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6A9B1A" w14:textId="64244412" w:rsidR="009F6CFA" w:rsidRPr="0035461C" w:rsidRDefault="009F6CFA" w:rsidP="009F6CFA">
      <w:pPr>
        <w:pStyle w:val="Heading1"/>
        <w:shd w:val="clear" w:color="auto" w:fill="FFFFFF"/>
        <w:rPr>
          <w:rFonts w:ascii="Calibri" w:hAnsi="Calibri" w:cs="Calibri"/>
          <w:b w:val="0"/>
          <w:color w:val="212121"/>
          <w:sz w:val="24"/>
          <w:szCs w:val="24"/>
        </w:rPr>
      </w:pPr>
      <w:r w:rsidRPr="0035461C">
        <w:rPr>
          <w:rFonts w:ascii="Calibri" w:hAnsi="Calibri" w:cs="Calibri"/>
          <w:b w:val="0"/>
          <w:sz w:val="24"/>
          <w:szCs w:val="24"/>
        </w:rPr>
        <w:t>The m</w:t>
      </w:r>
      <w:r w:rsidRPr="0035461C">
        <w:rPr>
          <w:rFonts w:ascii="Calibri" w:hAnsi="Calibri" w:cs="Calibri"/>
          <w:b w:val="0"/>
          <w:color w:val="212121"/>
          <w:sz w:val="24"/>
          <w:szCs w:val="24"/>
        </w:rPr>
        <w:t xml:space="preserve">anagement of type 1 diabetes in adults. A consensus report by the American Diabetes Association (ADA) and the European Association for the Study of Diabetes (EASD). </w:t>
      </w:r>
    </w:p>
    <w:p w14:paraId="7C2A8E73" w14:textId="07A7B9EE" w:rsidR="009F6CFA" w:rsidRPr="0035461C" w:rsidRDefault="009F6CFA" w:rsidP="009F6CFA">
      <w:pPr>
        <w:pStyle w:val="Heading1"/>
        <w:shd w:val="clear" w:color="auto" w:fill="FFFFFF"/>
        <w:spacing w:before="120" w:beforeAutospacing="0" w:after="0" w:afterAutospacing="0"/>
        <w:rPr>
          <w:rFonts w:ascii="Calibri" w:hAnsi="Calibri" w:cs="Calibri"/>
          <w:b w:val="0"/>
          <w:color w:val="212121"/>
          <w:sz w:val="28"/>
          <w:szCs w:val="24"/>
        </w:rPr>
      </w:pPr>
    </w:p>
    <w:p w14:paraId="4894A585" w14:textId="7CA9B393" w:rsidR="009F6CFA" w:rsidRPr="0035461C" w:rsidRDefault="009F6CFA" w:rsidP="009F6CFA">
      <w:pPr>
        <w:pStyle w:val="Heading1"/>
        <w:shd w:val="clear" w:color="auto" w:fill="FFFFFF"/>
        <w:spacing w:before="120" w:beforeAutospacing="0" w:after="0" w:afterAutospacing="0"/>
        <w:rPr>
          <w:rFonts w:ascii="Calibri" w:hAnsi="Calibri" w:cs="Calibri"/>
          <w:b w:val="0"/>
          <w:color w:val="212121"/>
          <w:sz w:val="24"/>
          <w:szCs w:val="24"/>
        </w:rPr>
      </w:pPr>
      <w:r w:rsidRPr="0035461C">
        <w:rPr>
          <w:rFonts w:ascii="Calibri" w:hAnsi="Calibri" w:cs="Calibri"/>
          <w:b w:val="0"/>
          <w:color w:val="212121"/>
          <w:sz w:val="24"/>
          <w:szCs w:val="24"/>
        </w:rPr>
        <w:t>Richard I</w:t>
      </w:r>
      <w:r w:rsidR="00573E3D" w:rsidRPr="0035461C">
        <w:rPr>
          <w:rFonts w:ascii="Calibri" w:hAnsi="Calibri" w:cs="Calibri"/>
          <w:b w:val="0"/>
          <w:color w:val="212121"/>
          <w:sz w:val="24"/>
          <w:szCs w:val="24"/>
        </w:rPr>
        <w:t>.</w:t>
      </w:r>
      <w:r w:rsidRPr="0035461C">
        <w:rPr>
          <w:rFonts w:ascii="Calibri" w:hAnsi="Calibri" w:cs="Calibri"/>
          <w:b w:val="0"/>
          <w:color w:val="212121"/>
          <w:sz w:val="24"/>
          <w:szCs w:val="24"/>
        </w:rPr>
        <w:t>G</w:t>
      </w:r>
      <w:r w:rsidR="00573E3D" w:rsidRPr="0035461C">
        <w:rPr>
          <w:rFonts w:ascii="Calibri" w:hAnsi="Calibri" w:cs="Calibri"/>
          <w:b w:val="0"/>
          <w:color w:val="212121"/>
          <w:sz w:val="24"/>
          <w:szCs w:val="24"/>
        </w:rPr>
        <w:t>.</w:t>
      </w:r>
      <w:r w:rsidRPr="0035461C">
        <w:rPr>
          <w:rFonts w:ascii="Calibri" w:hAnsi="Calibri" w:cs="Calibri"/>
          <w:b w:val="0"/>
          <w:color w:val="212121"/>
          <w:sz w:val="24"/>
          <w:szCs w:val="24"/>
        </w:rPr>
        <w:t xml:space="preserve"> Holt</w:t>
      </w:r>
      <w:r w:rsidR="00A25BCD" w:rsidRPr="0035461C">
        <w:rPr>
          <w:rFonts w:ascii="Calibri" w:hAnsi="Calibri" w:cs="Calibri"/>
          <w:b w:val="0"/>
          <w:color w:val="212121"/>
          <w:sz w:val="24"/>
          <w:szCs w:val="24"/>
          <w:vertAlign w:val="superscript"/>
        </w:rPr>
        <w:t>1</w:t>
      </w:r>
      <w:proofErr w:type="gramStart"/>
      <w:r w:rsidR="00A25BCD" w:rsidRPr="0035461C">
        <w:rPr>
          <w:rFonts w:ascii="Calibri" w:hAnsi="Calibri" w:cs="Calibri"/>
          <w:b w:val="0"/>
          <w:color w:val="212121"/>
          <w:sz w:val="24"/>
          <w:szCs w:val="24"/>
          <w:vertAlign w:val="superscript"/>
        </w:rPr>
        <w:t>,2</w:t>
      </w:r>
      <w:proofErr w:type="gramEnd"/>
    </w:p>
    <w:p w14:paraId="62FE50DE" w14:textId="47139AE8" w:rsidR="009F6CFA" w:rsidRPr="0035461C" w:rsidRDefault="009F6CFA" w:rsidP="009F6CFA">
      <w:pPr>
        <w:spacing w:before="120"/>
        <w:rPr>
          <w:rFonts w:ascii="Calibri" w:hAnsi="Calibri" w:cs="Calibri"/>
          <w:bCs/>
        </w:rPr>
      </w:pPr>
      <w:r w:rsidRPr="0035461C">
        <w:rPr>
          <w:rFonts w:ascii="Calibri" w:hAnsi="Calibri" w:cs="Calibri"/>
          <w:bCs/>
        </w:rPr>
        <w:t xml:space="preserve">J. Hans </w:t>
      </w:r>
      <w:r w:rsidR="006C0B08" w:rsidRPr="0035461C">
        <w:rPr>
          <w:rFonts w:ascii="Calibri" w:hAnsi="Calibri" w:cs="Calibri"/>
          <w:bCs/>
        </w:rPr>
        <w:t>D</w:t>
      </w:r>
      <w:r w:rsidRPr="0035461C">
        <w:rPr>
          <w:rFonts w:ascii="Calibri" w:hAnsi="Calibri" w:cs="Calibri"/>
          <w:bCs/>
        </w:rPr>
        <w:t>eVries</w:t>
      </w:r>
      <w:r w:rsidR="005C72A4" w:rsidRPr="0035461C">
        <w:rPr>
          <w:rFonts w:ascii="Calibri" w:hAnsi="Calibri" w:cs="Calibri"/>
          <w:bCs/>
          <w:vertAlign w:val="superscript"/>
        </w:rPr>
        <w:t>3</w:t>
      </w:r>
      <w:proofErr w:type="gramStart"/>
      <w:r w:rsidR="005C72A4" w:rsidRPr="0035461C">
        <w:rPr>
          <w:rFonts w:ascii="Calibri" w:hAnsi="Calibri" w:cs="Calibri"/>
          <w:bCs/>
          <w:vertAlign w:val="superscript"/>
        </w:rPr>
        <w:t>,4</w:t>
      </w:r>
      <w:proofErr w:type="gramEnd"/>
    </w:p>
    <w:p w14:paraId="3D2816C9" w14:textId="4227B44E" w:rsidR="009F6CFA" w:rsidRPr="0035461C" w:rsidRDefault="009F6CFA" w:rsidP="009F6CFA">
      <w:pPr>
        <w:spacing w:before="120"/>
        <w:rPr>
          <w:rFonts w:ascii="Calibri" w:hAnsi="Calibri" w:cs="Calibri"/>
          <w:vertAlign w:val="superscript"/>
        </w:rPr>
      </w:pPr>
      <w:r w:rsidRPr="0035461C">
        <w:rPr>
          <w:rFonts w:ascii="Calibri" w:hAnsi="Calibri" w:cs="Calibri"/>
          <w:bCs/>
        </w:rPr>
        <w:t>Amy Hess-Fischl</w:t>
      </w:r>
      <w:r w:rsidR="005C72A4" w:rsidRPr="0035461C">
        <w:rPr>
          <w:rFonts w:ascii="Calibri" w:hAnsi="Calibri" w:cs="Calibri"/>
          <w:bCs/>
          <w:vertAlign w:val="superscript"/>
        </w:rPr>
        <w:t>5</w:t>
      </w:r>
    </w:p>
    <w:p w14:paraId="7A06B64E" w14:textId="7A80F106" w:rsidR="009F6CFA" w:rsidRPr="0035461C" w:rsidRDefault="009F6CFA" w:rsidP="009F6CFA">
      <w:pPr>
        <w:spacing w:before="120"/>
        <w:rPr>
          <w:rFonts w:ascii="Calibri" w:hAnsi="Calibri" w:cs="Calibri"/>
          <w:bCs/>
          <w:vertAlign w:val="superscript"/>
        </w:rPr>
      </w:pPr>
      <w:r w:rsidRPr="0035461C">
        <w:rPr>
          <w:rFonts w:ascii="Calibri" w:hAnsi="Calibri" w:cs="Calibri"/>
          <w:bCs/>
        </w:rPr>
        <w:t>Irl B. Hirsch</w:t>
      </w:r>
      <w:r w:rsidR="005C72A4" w:rsidRPr="0035461C">
        <w:rPr>
          <w:rFonts w:ascii="Calibri" w:hAnsi="Calibri" w:cs="Calibri"/>
          <w:bCs/>
          <w:vertAlign w:val="superscript"/>
        </w:rPr>
        <w:t>6</w:t>
      </w:r>
    </w:p>
    <w:p w14:paraId="72197C35" w14:textId="79492E4D" w:rsidR="009F6CFA" w:rsidRPr="0035461C" w:rsidRDefault="0093697E" w:rsidP="009F6CFA">
      <w:pPr>
        <w:spacing w:before="120"/>
        <w:rPr>
          <w:rFonts w:ascii="Calibri" w:hAnsi="Calibri" w:cs="Calibri"/>
          <w:bCs/>
          <w:vertAlign w:val="superscript"/>
        </w:rPr>
      </w:pPr>
      <w:r w:rsidRPr="0035461C">
        <w:rPr>
          <w:rFonts w:ascii="Calibri" w:hAnsi="Calibri" w:cs="Calibri"/>
          <w:bCs/>
        </w:rPr>
        <w:t>M</w:t>
      </w:r>
      <w:r w:rsidR="00573E3D" w:rsidRPr="0035461C">
        <w:rPr>
          <w:rFonts w:ascii="Calibri" w:hAnsi="Calibri" w:cs="Calibri"/>
          <w:bCs/>
        </w:rPr>
        <w:t>.</w:t>
      </w:r>
      <w:r w:rsidRPr="0035461C">
        <w:rPr>
          <w:rFonts w:ascii="Calibri" w:hAnsi="Calibri" w:cs="Calibri"/>
          <w:bCs/>
        </w:rPr>
        <w:t xml:space="preserve"> </w:t>
      </w:r>
      <w:r w:rsidR="009F6CFA" w:rsidRPr="0035461C">
        <w:rPr>
          <w:rFonts w:ascii="Calibri" w:hAnsi="Calibri" w:cs="Calibri"/>
          <w:bCs/>
        </w:rPr>
        <w:t>Sue Kirkman</w:t>
      </w:r>
      <w:r w:rsidR="005C72A4" w:rsidRPr="0035461C">
        <w:rPr>
          <w:rFonts w:ascii="Calibri" w:hAnsi="Calibri" w:cs="Calibri"/>
          <w:bCs/>
          <w:vertAlign w:val="superscript"/>
        </w:rPr>
        <w:t>7</w:t>
      </w:r>
    </w:p>
    <w:p w14:paraId="6EE9F966" w14:textId="5A0E4925" w:rsidR="009F6CFA" w:rsidRPr="0035461C" w:rsidRDefault="009F6CFA" w:rsidP="009F6CFA">
      <w:pPr>
        <w:spacing w:before="120"/>
        <w:rPr>
          <w:rFonts w:ascii="Calibri" w:hAnsi="Calibri" w:cs="Calibri"/>
          <w:bCs/>
          <w:vertAlign w:val="superscript"/>
        </w:rPr>
      </w:pPr>
      <w:r w:rsidRPr="0035461C">
        <w:rPr>
          <w:rFonts w:ascii="Calibri" w:hAnsi="Calibri" w:cs="Calibri"/>
          <w:bCs/>
        </w:rPr>
        <w:t>Tomasz Klupa</w:t>
      </w:r>
      <w:r w:rsidR="005C72A4" w:rsidRPr="0035461C">
        <w:rPr>
          <w:rFonts w:ascii="Calibri" w:hAnsi="Calibri" w:cs="Calibri"/>
          <w:bCs/>
          <w:vertAlign w:val="superscript"/>
        </w:rPr>
        <w:t>8</w:t>
      </w:r>
    </w:p>
    <w:p w14:paraId="280137C1" w14:textId="64BF70F3" w:rsidR="009F6CFA" w:rsidRPr="0035461C" w:rsidRDefault="009F6CFA" w:rsidP="009F6CFA">
      <w:pPr>
        <w:spacing w:before="120"/>
        <w:rPr>
          <w:rFonts w:ascii="Calibri" w:hAnsi="Calibri" w:cs="Calibri"/>
          <w:bCs/>
          <w:vertAlign w:val="superscript"/>
        </w:rPr>
      </w:pPr>
      <w:r w:rsidRPr="0035461C">
        <w:rPr>
          <w:rFonts w:ascii="Calibri" w:hAnsi="Calibri" w:cs="Calibri"/>
          <w:bCs/>
        </w:rPr>
        <w:t>Barbara Ludwig</w:t>
      </w:r>
      <w:r w:rsidR="005C72A4" w:rsidRPr="0035461C">
        <w:rPr>
          <w:rFonts w:ascii="Calibri" w:hAnsi="Calibri" w:cs="Calibri"/>
          <w:bCs/>
          <w:vertAlign w:val="superscript"/>
        </w:rPr>
        <w:t>9</w:t>
      </w:r>
    </w:p>
    <w:p w14:paraId="35BC6DAA" w14:textId="781A91EF" w:rsidR="009F6CFA" w:rsidRPr="0035461C" w:rsidRDefault="009F6CFA" w:rsidP="009F6CFA">
      <w:pPr>
        <w:spacing w:before="120"/>
        <w:rPr>
          <w:rFonts w:ascii="Calibri" w:hAnsi="Calibri" w:cs="Calibri"/>
          <w:bCs/>
          <w:vertAlign w:val="superscript"/>
        </w:rPr>
      </w:pPr>
      <w:r w:rsidRPr="0035461C">
        <w:rPr>
          <w:rFonts w:ascii="Calibri" w:hAnsi="Calibri" w:cs="Calibri"/>
          <w:bCs/>
        </w:rPr>
        <w:t>K</w:t>
      </w:r>
      <w:r w:rsidR="008E3AE2" w:rsidRPr="0035461C">
        <w:rPr>
          <w:rFonts w:ascii="Calibri" w:hAnsi="Calibri" w:cs="Calibri"/>
          <w:bCs/>
        </w:rPr>
        <w:t>i</w:t>
      </w:r>
      <w:r w:rsidRPr="0035461C">
        <w:rPr>
          <w:rFonts w:ascii="Calibri" w:hAnsi="Calibri" w:cs="Calibri"/>
          <w:bCs/>
        </w:rPr>
        <w:t>rsten Nørgaard</w:t>
      </w:r>
      <w:r w:rsidR="005C72A4" w:rsidRPr="0035461C">
        <w:rPr>
          <w:rFonts w:ascii="Calibri" w:hAnsi="Calibri" w:cs="Calibri"/>
          <w:bCs/>
          <w:vertAlign w:val="superscript"/>
        </w:rPr>
        <w:t>10</w:t>
      </w:r>
      <w:proofErr w:type="gramStart"/>
      <w:r w:rsidR="00AE15CC" w:rsidRPr="0035461C">
        <w:rPr>
          <w:rFonts w:ascii="Calibri" w:hAnsi="Calibri" w:cs="Calibri"/>
          <w:bCs/>
          <w:vertAlign w:val="superscript"/>
        </w:rPr>
        <w:t>,11</w:t>
      </w:r>
      <w:proofErr w:type="gramEnd"/>
    </w:p>
    <w:p w14:paraId="5C10D8C4" w14:textId="4AAF4ED5" w:rsidR="009F6CFA" w:rsidRPr="0035461C" w:rsidRDefault="009F6CFA" w:rsidP="009F6CFA">
      <w:pPr>
        <w:spacing w:before="120"/>
        <w:rPr>
          <w:rFonts w:ascii="Calibri" w:hAnsi="Calibri" w:cs="Calibri"/>
          <w:bCs/>
          <w:vertAlign w:val="superscript"/>
        </w:rPr>
      </w:pPr>
      <w:r w:rsidRPr="0035461C">
        <w:rPr>
          <w:rFonts w:ascii="Calibri" w:hAnsi="Calibri" w:cs="Calibri"/>
          <w:bCs/>
        </w:rPr>
        <w:t>Jeremy Pettus</w:t>
      </w:r>
      <w:r w:rsidR="00AE15CC" w:rsidRPr="0035461C">
        <w:rPr>
          <w:rFonts w:ascii="Calibri" w:hAnsi="Calibri" w:cs="Calibri"/>
          <w:bCs/>
          <w:vertAlign w:val="superscript"/>
        </w:rPr>
        <w:t>12</w:t>
      </w:r>
    </w:p>
    <w:p w14:paraId="685499D8" w14:textId="43DBA720" w:rsidR="009F6CFA" w:rsidRPr="0035461C" w:rsidRDefault="009F6CFA" w:rsidP="009F6CFA">
      <w:pPr>
        <w:spacing w:before="120"/>
        <w:rPr>
          <w:rFonts w:ascii="Calibri" w:hAnsi="Calibri" w:cs="Calibri"/>
          <w:vertAlign w:val="superscript"/>
        </w:rPr>
      </w:pPr>
      <w:r w:rsidRPr="0035461C">
        <w:rPr>
          <w:rFonts w:ascii="Calibri" w:hAnsi="Calibri" w:cs="Calibri"/>
        </w:rPr>
        <w:t>Eric Renard</w:t>
      </w:r>
      <w:r w:rsidR="00AE15CC" w:rsidRPr="0035461C">
        <w:rPr>
          <w:rFonts w:ascii="Calibri" w:hAnsi="Calibri" w:cs="Calibri"/>
          <w:vertAlign w:val="superscript"/>
        </w:rPr>
        <w:t>13</w:t>
      </w:r>
    </w:p>
    <w:p w14:paraId="64A2270A" w14:textId="6DA31C8A" w:rsidR="00896E81" w:rsidRPr="0035461C" w:rsidRDefault="00896E81" w:rsidP="009F6CFA">
      <w:pPr>
        <w:spacing w:before="120"/>
        <w:rPr>
          <w:rFonts w:ascii="Calibri" w:hAnsi="Calibri" w:cs="Calibri"/>
          <w:vertAlign w:val="superscript"/>
        </w:rPr>
      </w:pPr>
      <w:r w:rsidRPr="0035461C">
        <w:rPr>
          <w:rFonts w:ascii="Calibri" w:hAnsi="Calibri" w:cs="Calibri"/>
        </w:rPr>
        <w:t>Jay S. Skyler</w:t>
      </w:r>
      <w:r w:rsidR="00AE15CC" w:rsidRPr="0035461C">
        <w:rPr>
          <w:rFonts w:ascii="Calibri" w:hAnsi="Calibri" w:cs="Calibri"/>
          <w:vertAlign w:val="superscript"/>
        </w:rPr>
        <w:t>14</w:t>
      </w:r>
    </w:p>
    <w:p w14:paraId="6364EFAB" w14:textId="23DDA216" w:rsidR="009F6CFA" w:rsidRPr="0035461C" w:rsidRDefault="009F6CFA" w:rsidP="009F6CFA">
      <w:pPr>
        <w:spacing w:before="120"/>
        <w:rPr>
          <w:rFonts w:ascii="Calibri" w:hAnsi="Calibri" w:cs="Calibri"/>
          <w:vertAlign w:val="superscript"/>
        </w:rPr>
      </w:pPr>
      <w:r w:rsidRPr="0035461C">
        <w:rPr>
          <w:rFonts w:ascii="Calibri" w:hAnsi="Calibri" w:cs="Calibri"/>
          <w:bCs/>
        </w:rPr>
        <w:t>Frank J. Snoek</w:t>
      </w:r>
      <w:r w:rsidR="00AE15CC" w:rsidRPr="0035461C">
        <w:rPr>
          <w:rFonts w:ascii="Calibri" w:hAnsi="Calibri" w:cs="Calibri"/>
          <w:bCs/>
          <w:vertAlign w:val="superscript"/>
        </w:rPr>
        <w:t>15</w:t>
      </w:r>
    </w:p>
    <w:p w14:paraId="197D67C8" w14:textId="0C9DB5A3" w:rsidR="009F6CFA" w:rsidRPr="0035461C" w:rsidRDefault="009F6CFA" w:rsidP="009F6CFA">
      <w:pPr>
        <w:spacing w:before="120"/>
        <w:rPr>
          <w:rFonts w:ascii="Calibri" w:hAnsi="Calibri" w:cs="Calibri"/>
          <w:vertAlign w:val="superscript"/>
        </w:rPr>
      </w:pPr>
      <w:r w:rsidRPr="0035461C">
        <w:rPr>
          <w:rFonts w:ascii="Calibri" w:hAnsi="Calibri" w:cs="Calibri"/>
        </w:rPr>
        <w:t>Ruth S. Weinstock</w:t>
      </w:r>
      <w:r w:rsidR="00AE15CC" w:rsidRPr="0035461C">
        <w:rPr>
          <w:rFonts w:ascii="Calibri" w:hAnsi="Calibri" w:cs="Calibri"/>
          <w:vertAlign w:val="superscript"/>
        </w:rPr>
        <w:t>16</w:t>
      </w:r>
    </w:p>
    <w:p w14:paraId="0593070B" w14:textId="2B1A381F" w:rsidR="009F6CFA" w:rsidRPr="0035461C" w:rsidRDefault="009F6CFA" w:rsidP="009F6CFA">
      <w:pPr>
        <w:pStyle w:val="Heading1"/>
        <w:shd w:val="clear" w:color="auto" w:fill="FFFFFF"/>
        <w:spacing w:before="120" w:beforeAutospacing="0" w:after="0" w:afterAutospacing="0"/>
        <w:rPr>
          <w:rFonts w:ascii="Calibri" w:hAnsi="Calibri" w:cs="Calibri"/>
          <w:b w:val="0"/>
          <w:color w:val="212121"/>
          <w:sz w:val="24"/>
          <w:szCs w:val="24"/>
          <w:vertAlign w:val="superscript"/>
        </w:rPr>
      </w:pPr>
      <w:r w:rsidRPr="0035461C">
        <w:rPr>
          <w:rFonts w:ascii="Calibri" w:hAnsi="Calibri" w:cs="Calibri"/>
          <w:b w:val="0"/>
          <w:color w:val="212121"/>
          <w:sz w:val="24"/>
          <w:szCs w:val="24"/>
        </w:rPr>
        <w:t xml:space="preserve">Anne </w:t>
      </w:r>
      <w:r w:rsidR="00896E81" w:rsidRPr="0035461C">
        <w:rPr>
          <w:rFonts w:ascii="Calibri" w:hAnsi="Calibri" w:cs="Calibri"/>
          <w:b w:val="0"/>
          <w:color w:val="212121"/>
          <w:sz w:val="24"/>
          <w:szCs w:val="24"/>
        </w:rPr>
        <w:t xml:space="preserve">L. </w:t>
      </w:r>
      <w:r w:rsidRPr="0035461C">
        <w:rPr>
          <w:rFonts w:ascii="Calibri" w:hAnsi="Calibri" w:cs="Calibri"/>
          <w:b w:val="0"/>
          <w:color w:val="212121"/>
          <w:sz w:val="24"/>
          <w:szCs w:val="24"/>
        </w:rPr>
        <w:t>Peters</w:t>
      </w:r>
      <w:r w:rsidR="00AE15CC" w:rsidRPr="0035461C">
        <w:rPr>
          <w:rFonts w:ascii="Calibri" w:hAnsi="Calibri" w:cs="Calibri"/>
          <w:b w:val="0"/>
          <w:color w:val="212121"/>
          <w:sz w:val="24"/>
          <w:szCs w:val="24"/>
          <w:vertAlign w:val="superscript"/>
        </w:rPr>
        <w:t>17</w:t>
      </w:r>
    </w:p>
    <w:p w14:paraId="4C3D673C" w14:textId="16ECE700" w:rsidR="005C72A4" w:rsidRPr="0035461C" w:rsidRDefault="00A25BCD" w:rsidP="005C72A4">
      <w:pPr>
        <w:pStyle w:val="Heading1"/>
        <w:shd w:val="clear" w:color="auto" w:fill="FFFFFF"/>
        <w:jc w:val="both"/>
        <w:rPr>
          <w:rFonts w:ascii="Calibri" w:hAnsi="Calibri" w:cs="Calibri"/>
          <w:bCs w:val="0"/>
          <w:sz w:val="24"/>
          <w:szCs w:val="24"/>
        </w:rPr>
      </w:pPr>
      <w:r w:rsidRPr="0035461C">
        <w:rPr>
          <w:rFonts w:ascii="Calibri" w:hAnsi="Calibri" w:cs="Calibri"/>
          <w:bCs w:val="0"/>
          <w:sz w:val="24"/>
          <w:szCs w:val="24"/>
        </w:rPr>
        <w:t>Affil</w:t>
      </w:r>
      <w:r w:rsidR="00835E2E" w:rsidRPr="0035461C">
        <w:rPr>
          <w:rFonts w:ascii="Calibri" w:hAnsi="Calibri" w:cs="Calibri"/>
          <w:bCs w:val="0"/>
          <w:sz w:val="24"/>
          <w:szCs w:val="24"/>
        </w:rPr>
        <w:t>i</w:t>
      </w:r>
      <w:r w:rsidRPr="0035461C">
        <w:rPr>
          <w:rFonts w:ascii="Calibri" w:hAnsi="Calibri" w:cs="Calibri"/>
          <w:bCs w:val="0"/>
          <w:sz w:val="24"/>
          <w:szCs w:val="24"/>
        </w:rPr>
        <w:t>ations</w:t>
      </w:r>
    </w:p>
    <w:p w14:paraId="16A594CD" w14:textId="3AE4D7DB" w:rsidR="005C72A4" w:rsidRPr="0035461C" w:rsidRDefault="005C72A4" w:rsidP="00485343">
      <w:pPr>
        <w:pStyle w:val="Heading1"/>
        <w:shd w:val="clear" w:color="auto" w:fill="FFFFFF"/>
        <w:spacing w:before="120" w:beforeAutospacing="0" w:after="0" w:afterAutospacing="0" w:line="360" w:lineRule="auto"/>
        <w:jc w:val="both"/>
        <w:rPr>
          <w:rFonts w:ascii="Calibri" w:hAnsi="Calibri" w:cs="Calibri"/>
          <w:b w:val="0"/>
          <w:bCs w:val="0"/>
          <w:sz w:val="24"/>
          <w:szCs w:val="24"/>
        </w:rPr>
      </w:pPr>
      <w:r w:rsidRPr="0035461C">
        <w:rPr>
          <w:rFonts w:ascii="Calibri" w:hAnsi="Calibri" w:cs="Calibri"/>
          <w:b w:val="0"/>
          <w:bCs w:val="0"/>
          <w:sz w:val="24"/>
          <w:szCs w:val="24"/>
          <w:vertAlign w:val="superscript"/>
        </w:rPr>
        <w:t>1</w:t>
      </w:r>
      <w:r w:rsidRPr="0035461C">
        <w:rPr>
          <w:rFonts w:ascii="Calibri" w:hAnsi="Calibri" w:cs="Calibri"/>
          <w:b w:val="0"/>
          <w:bCs w:val="0"/>
          <w:sz w:val="24"/>
          <w:szCs w:val="24"/>
        </w:rPr>
        <w:t xml:space="preserve">Human Development and Health, Faculty of Medicine, University of Southampton, Southampton, UK </w:t>
      </w:r>
    </w:p>
    <w:p w14:paraId="47F5EE81" w14:textId="0D9AC740" w:rsidR="005C72A4" w:rsidRPr="0035461C" w:rsidRDefault="005C72A4" w:rsidP="00485343">
      <w:pPr>
        <w:pStyle w:val="Heading1"/>
        <w:shd w:val="clear" w:color="auto" w:fill="FFFFFF"/>
        <w:spacing w:before="120" w:beforeAutospacing="0" w:after="0" w:afterAutospacing="0" w:line="360" w:lineRule="auto"/>
        <w:jc w:val="both"/>
        <w:rPr>
          <w:rFonts w:ascii="Calibri" w:hAnsi="Calibri" w:cs="Calibri"/>
          <w:b w:val="0"/>
          <w:bCs w:val="0"/>
          <w:sz w:val="24"/>
          <w:szCs w:val="24"/>
        </w:rPr>
      </w:pPr>
      <w:r w:rsidRPr="0035461C">
        <w:rPr>
          <w:rFonts w:ascii="Calibri" w:hAnsi="Calibri" w:cs="Calibri"/>
          <w:b w:val="0"/>
          <w:bCs w:val="0"/>
          <w:sz w:val="24"/>
          <w:szCs w:val="24"/>
          <w:vertAlign w:val="superscript"/>
        </w:rPr>
        <w:t>2</w:t>
      </w:r>
      <w:r w:rsidRPr="0035461C">
        <w:rPr>
          <w:rFonts w:ascii="Calibri" w:hAnsi="Calibri" w:cs="Calibri"/>
          <w:b w:val="0"/>
          <w:bCs w:val="0"/>
          <w:sz w:val="24"/>
          <w:szCs w:val="24"/>
        </w:rPr>
        <w:t>Southampton National Institute for Health Research Biomedical Research Centre, University Hospital Southampton NHS Foundation Trust, Southampton, UK</w:t>
      </w:r>
    </w:p>
    <w:p w14:paraId="39716BF7" w14:textId="18DC27EF" w:rsidR="005C72A4" w:rsidRPr="0035461C" w:rsidRDefault="005C72A4" w:rsidP="00485343">
      <w:pPr>
        <w:pStyle w:val="CommentText"/>
        <w:spacing w:before="120" w:after="0" w:line="360" w:lineRule="auto"/>
        <w:rPr>
          <w:rFonts w:ascii="Calibri" w:hAnsi="Calibri" w:cs="Calibri"/>
          <w:sz w:val="24"/>
          <w:szCs w:val="24"/>
        </w:rPr>
      </w:pPr>
      <w:r w:rsidRPr="0035461C">
        <w:rPr>
          <w:rFonts w:ascii="Calibri" w:hAnsi="Calibri" w:cs="Calibri"/>
          <w:bCs/>
          <w:sz w:val="24"/>
          <w:szCs w:val="24"/>
          <w:vertAlign w:val="superscript"/>
        </w:rPr>
        <w:t>3</w:t>
      </w:r>
      <w:r w:rsidRPr="0035461C">
        <w:rPr>
          <w:rFonts w:ascii="Calibri" w:hAnsi="Calibri" w:cs="Calibri"/>
          <w:sz w:val="24"/>
          <w:szCs w:val="24"/>
        </w:rPr>
        <w:t>Amsterdam UMC, Intern</w:t>
      </w:r>
      <w:r w:rsidRPr="0035461C">
        <w:rPr>
          <w:rFonts w:cstheme="minorHAnsi"/>
          <w:sz w:val="24"/>
          <w:szCs w:val="24"/>
        </w:rPr>
        <w:t>al Medicine, University of Amsterdam, Amsterdam, the Netherlands</w:t>
      </w:r>
    </w:p>
    <w:p w14:paraId="3854D7AB" w14:textId="083CEA6F" w:rsidR="005C72A4" w:rsidRPr="0035461C" w:rsidRDefault="005C72A4" w:rsidP="00485343">
      <w:pPr>
        <w:pStyle w:val="CommentText"/>
        <w:spacing w:before="120" w:after="0" w:line="360" w:lineRule="auto"/>
        <w:rPr>
          <w:rFonts w:ascii="Calibri" w:hAnsi="Calibri" w:cs="Calibri"/>
          <w:sz w:val="24"/>
          <w:szCs w:val="24"/>
        </w:rPr>
      </w:pPr>
      <w:r w:rsidRPr="0035461C">
        <w:rPr>
          <w:rFonts w:ascii="Calibri" w:hAnsi="Calibri" w:cs="Calibri"/>
          <w:sz w:val="24"/>
          <w:szCs w:val="24"/>
          <w:vertAlign w:val="superscript"/>
        </w:rPr>
        <w:t>4</w:t>
      </w:r>
      <w:r w:rsidRPr="0035461C">
        <w:rPr>
          <w:rFonts w:ascii="Calibri" w:hAnsi="Calibri" w:cs="Calibri"/>
          <w:sz w:val="24"/>
          <w:szCs w:val="24"/>
        </w:rPr>
        <w:t>Profil Institute for Metabolic Research, Neuss, Germany</w:t>
      </w:r>
    </w:p>
    <w:p w14:paraId="0A9E52EC" w14:textId="30E637CC" w:rsidR="005C72A4" w:rsidRPr="0035461C" w:rsidRDefault="005C72A4" w:rsidP="00485343">
      <w:pPr>
        <w:spacing w:before="120" w:line="360" w:lineRule="auto"/>
        <w:rPr>
          <w:rFonts w:ascii="Calibri" w:hAnsi="Calibri" w:cs="Calibri"/>
        </w:rPr>
      </w:pPr>
      <w:r w:rsidRPr="0035461C">
        <w:rPr>
          <w:rFonts w:ascii="Calibri" w:hAnsi="Calibri" w:cs="Calibri"/>
          <w:vertAlign w:val="superscript"/>
        </w:rPr>
        <w:t>5</w:t>
      </w:r>
      <w:r w:rsidRPr="0035461C">
        <w:rPr>
          <w:rFonts w:ascii="Calibri" w:hAnsi="Calibri" w:cs="Calibri"/>
        </w:rPr>
        <w:t>Kovler Diabetes Center, University of Chicago, USA</w:t>
      </w:r>
    </w:p>
    <w:p w14:paraId="0AF750B3" w14:textId="71B801B0" w:rsidR="005C72A4" w:rsidRPr="0035461C" w:rsidRDefault="005C72A4" w:rsidP="00485343">
      <w:pPr>
        <w:spacing w:before="120" w:line="360" w:lineRule="auto"/>
        <w:rPr>
          <w:rFonts w:ascii="Calibri" w:hAnsi="Calibri" w:cs="Calibri"/>
        </w:rPr>
      </w:pPr>
      <w:r w:rsidRPr="0035461C">
        <w:rPr>
          <w:rFonts w:ascii="Calibri" w:hAnsi="Calibri" w:cs="Calibri"/>
          <w:vertAlign w:val="superscript"/>
        </w:rPr>
        <w:t>6</w:t>
      </w:r>
      <w:r w:rsidRPr="0035461C">
        <w:rPr>
          <w:rFonts w:ascii="Calibri" w:hAnsi="Calibri" w:cs="Calibri"/>
        </w:rPr>
        <w:t>UW Medicine Diabetes Institute, Seattle, USA</w:t>
      </w:r>
    </w:p>
    <w:p w14:paraId="09EFE7FF" w14:textId="562AA387" w:rsidR="005C72A4" w:rsidRPr="0035461C" w:rsidRDefault="005C72A4" w:rsidP="00485343">
      <w:pPr>
        <w:spacing w:before="120" w:line="360" w:lineRule="auto"/>
        <w:rPr>
          <w:rFonts w:ascii="Calibri" w:hAnsi="Calibri" w:cs="Calibri"/>
        </w:rPr>
      </w:pPr>
      <w:r w:rsidRPr="0035461C">
        <w:rPr>
          <w:rFonts w:ascii="Calibri" w:hAnsi="Calibri" w:cs="Calibri"/>
          <w:vertAlign w:val="superscript"/>
        </w:rPr>
        <w:t>7</w:t>
      </w:r>
      <w:r w:rsidRPr="0035461C">
        <w:rPr>
          <w:rFonts w:ascii="Calibri" w:hAnsi="Calibri" w:cs="Calibri"/>
        </w:rPr>
        <w:t>U</w:t>
      </w:r>
      <w:r w:rsidR="001308D1" w:rsidRPr="0035461C">
        <w:rPr>
          <w:rFonts w:ascii="Calibri" w:hAnsi="Calibri" w:cs="Calibri"/>
        </w:rPr>
        <w:t>niversity of North Carolina</w:t>
      </w:r>
      <w:r w:rsidRPr="0035461C">
        <w:rPr>
          <w:rFonts w:ascii="Calibri" w:hAnsi="Calibri" w:cs="Calibri"/>
        </w:rPr>
        <w:t xml:space="preserve"> School of Medicine, Chapel Hill, USA</w:t>
      </w:r>
    </w:p>
    <w:p w14:paraId="65CC27B6" w14:textId="310F88D3" w:rsidR="005C72A4" w:rsidRPr="0035461C" w:rsidRDefault="005C72A4" w:rsidP="00485343">
      <w:pPr>
        <w:spacing w:before="120" w:line="360" w:lineRule="auto"/>
        <w:rPr>
          <w:rFonts w:ascii="Calibri" w:hAnsi="Calibri" w:cs="Calibri"/>
        </w:rPr>
      </w:pPr>
      <w:r w:rsidRPr="0035461C">
        <w:rPr>
          <w:rFonts w:ascii="Calibri" w:hAnsi="Calibri" w:cs="Calibri"/>
          <w:vertAlign w:val="superscript"/>
        </w:rPr>
        <w:t>8</w:t>
      </w:r>
      <w:r w:rsidRPr="0035461C">
        <w:rPr>
          <w:rFonts w:ascii="Calibri" w:hAnsi="Calibri" w:cs="Calibri"/>
        </w:rPr>
        <w:t xml:space="preserve">Jagiellonian University Medical College, </w:t>
      </w:r>
      <w:proofErr w:type="spellStart"/>
      <w:r w:rsidRPr="0035461C">
        <w:rPr>
          <w:rFonts w:ascii="Calibri" w:hAnsi="Calibri" w:cs="Calibri"/>
        </w:rPr>
        <w:t>Kraków</w:t>
      </w:r>
      <w:proofErr w:type="spellEnd"/>
      <w:r w:rsidRPr="0035461C">
        <w:rPr>
          <w:rFonts w:ascii="Calibri" w:hAnsi="Calibri" w:cs="Calibri"/>
        </w:rPr>
        <w:t>, Poland</w:t>
      </w:r>
    </w:p>
    <w:p w14:paraId="252AA1D9" w14:textId="3C00D76D" w:rsidR="005C72A4" w:rsidRPr="0035461C" w:rsidRDefault="005C72A4" w:rsidP="00485343">
      <w:pPr>
        <w:spacing w:before="120" w:line="360" w:lineRule="auto"/>
        <w:rPr>
          <w:rFonts w:ascii="Calibri" w:hAnsi="Calibri" w:cs="Calibri"/>
          <w:lang w:val="de-DE"/>
        </w:rPr>
      </w:pPr>
      <w:r w:rsidRPr="0035461C">
        <w:rPr>
          <w:rFonts w:ascii="Calibri" w:hAnsi="Calibri" w:cs="Calibri"/>
          <w:vertAlign w:val="superscript"/>
        </w:rPr>
        <w:t>9</w:t>
      </w:r>
      <w:r w:rsidRPr="0035461C">
        <w:rPr>
          <w:rFonts w:ascii="Calibri" w:hAnsi="Calibri" w:cs="Calibri"/>
          <w:lang w:val="de-DE"/>
        </w:rPr>
        <w:t>University Hospital Carl Gustav Carus, Technische Universität Dresden, Germany</w:t>
      </w:r>
    </w:p>
    <w:p w14:paraId="738026AF" w14:textId="07554319" w:rsidR="005C72A4" w:rsidRPr="0035461C" w:rsidRDefault="005C72A4" w:rsidP="00485343">
      <w:pPr>
        <w:spacing w:before="120" w:line="360" w:lineRule="auto"/>
        <w:rPr>
          <w:rFonts w:ascii="Calibri" w:hAnsi="Calibri" w:cs="Calibri"/>
          <w:lang w:val="de-DE"/>
        </w:rPr>
      </w:pPr>
      <w:r w:rsidRPr="0035461C">
        <w:rPr>
          <w:rFonts w:ascii="Calibri" w:hAnsi="Calibri" w:cs="Calibri"/>
          <w:vertAlign w:val="superscript"/>
          <w:lang w:val="de-DE"/>
        </w:rPr>
        <w:lastRenderedPageBreak/>
        <w:t>10</w:t>
      </w:r>
      <w:r w:rsidRPr="0035461C">
        <w:rPr>
          <w:rFonts w:ascii="Calibri" w:hAnsi="Calibri" w:cs="Calibri"/>
          <w:lang w:val="de-DE"/>
        </w:rPr>
        <w:t>Steno Diabetes Center Copenhagen, Denmark</w:t>
      </w:r>
    </w:p>
    <w:p w14:paraId="692CE871" w14:textId="07631765" w:rsidR="00AE15CC" w:rsidRPr="0035461C" w:rsidRDefault="005C72A4" w:rsidP="00485343">
      <w:pPr>
        <w:spacing w:before="120" w:line="360" w:lineRule="auto"/>
        <w:rPr>
          <w:rFonts w:ascii="Calibri" w:hAnsi="Calibri" w:cs="Calibri"/>
          <w:lang w:val="de-DE"/>
        </w:rPr>
      </w:pPr>
      <w:r w:rsidRPr="0035461C">
        <w:rPr>
          <w:rFonts w:ascii="Calibri" w:hAnsi="Calibri" w:cs="Calibri"/>
          <w:vertAlign w:val="superscript"/>
          <w:lang w:val="de-DE"/>
        </w:rPr>
        <w:t>11</w:t>
      </w:r>
      <w:r w:rsidR="00AE15CC" w:rsidRPr="0035461C">
        <w:rPr>
          <w:rFonts w:ascii="Calibri" w:hAnsi="Calibri" w:cs="Calibri"/>
          <w:lang w:val="de-DE"/>
        </w:rPr>
        <w:t>University of Copenhagen, Copenhagen</w:t>
      </w:r>
      <w:r w:rsidR="00965E11">
        <w:rPr>
          <w:rFonts w:ascii="Calibri" w:hAnsi="Calibri" w:cs="Calibri"/>
          <w:lang w:val="de-DE"/>
        </w:rPr>
        <w:t xml:space="preserve">, </w:t>
      </w:r>
      <w:r w:rsidR="00AE15CC" w:rsidRPr="0035461C">
        <w:rPr>
          <w:rFonts w:ascii="Calibri" w:hAnsi="Calibri" w:cs="Calibri"/>
          <w:lang w:val="de-DE"/>
        </w:rPr>
        <w:t>Denmark</w:t>
      </w:r>
      <w:r w:rsidRPr="0035461C">
        <w:rPr>
          <w:rFonts w:ascii="Calibri" w:hAnsi="Calibri" w:cs="Calibri"/>
          <w:lang w:val="de-DE"/>
        </w:rPr>
        <w:t xml:space="preserve"> </w:t>
      </w:r>
    </w:p>
    <w:p w14:paraId="599F119E" w14:textId="40464250" w:rsidR="005C72A4" w:rsidRPr="0035461C" w:rsidRDefault="00AE15CC" w:rsidP="00485343">
      <w:pPr>
        <w:spacing w:before="120" w:line="360" w:lineRule="auto"/>
        <w:rPr>
          <w:rFonts w:ascii="Calibri" w:hAnsi="Calibri" w:cs="Calibri"/>
          <w:lang w:val="de-DE"/>
        </w:rPr>
      </w:pPr>
      <w:r w:rsidRPr="0035461C">
        <w:rPr>
          <w:rFonts w:ascii="Calibri" w:hAnsi="Calibri" w:cs="Calibri"/>
          <w:vertAlign w:val="superscript"/>
          <w:lang w:val="de-DE"/>
        </w:rPr>
        <w:t>12</w:t>
      </w:r>
      <w:r w:rsidR="005C72A4" w:rsidRPr="0035461C">
        <w:rPr>
          <w:rFonts w:ascii="Calibri" w:hAnsi="Calibri" w:cs="Calibri"/>
          <w:lang w:val="de-DE"/>
        </w:rPr>
        <w:t>University of California, San Diego, USA</w:t>
      </w:r>
    </w:p>
    <w:p w14:paraId="0AD97225" w14:textId="303ED0D8" w:rsidR="005C72A4" w:rsidRPr="0035461C" w:rsidRDefault="00AE15CC" w:rsidP="00485343">
      <w:pPr>
        <w:spacing w:before="120" w:line="360" w:lineRule="auto"/>
        <w:rPr>
          <w:rFonts w:ascii="Calibri" w:hAnsi="Calibri" w:cs="Calibri"/>
          <w:bCs/>
        </w:rPr>
      </w:pPr>
      <w:r w:rsidRPr="0035461C">
        <w:rPr>
          <w:rFonts w:ascii="Calibri" w:hAnsi="Calibri" w:cs="Calibri"/>
          <w:vertAlign w:val="superscript"/>
          <w:lang w:val="de-DE"/>
        </w:rPr>
        <w:t>13</w:t>
      </w:r>
      <w:r w:rsidR="005C72A4" w:rsidRPr="0035461C">
        <w:rPr>
          <w:rFonts w:ascii="Calibri" w:hAnsi="Calibri" w:cs="Calibri"/>
          <w:bCs/>
        </w:rPr>
        <w:t>Montpellier University Hospital</w:t>
      </w:r>
      <w:r w:rsidR="004D4362">
        <w:rPr>
          <w:rFonts w:ascii="Calibri" w:hAnsi="Calibri" w:cs="Calibri"/>
          <w:bCs/>
        </w:rPr>
        <w:t xml:space="preserve"> </w:t>
      </w:r>
      <w:r w:rsidR="004D4362" w:rsidRPr="00666A00">
        <w:rPr>
          <w:rFonts w:ascii="Calibri" w:hAnsi="Calibri" w:cs="Calibri"/>
          <w:bCs/>
        </w:rPr>
        <w:t>and Institute of Functional Genomics</w:t>
      </w:r>
      <w:r w:rsidR="005C72A4" w:rsidRPr="0035461C">
        <w:rPr>
          <w:rFonts w:ascii="Calibri" w:hAnsi="Calibri" w:cs="Calibri"/>
          <w:bCs/>
        </w:rPr>
        <w:t xml:space="preserve">, </w:t>
      </w:r>
      <w:r w:rsidR="00450D06" w:rsidRPr="0035461C">
        <w:rPr>
          <w:rFonts w:ascii="Calibri" w:hAnsi="Calibri" w:cs="Calibri"/>
          <w:bCs/>
        </w:rPr>
        <w:t xml:space="preserve">University of Montpellier, </w:t>
      </w:r>
      <w:r w:rsidR="004D4362" w:rsidRPr="00666A00">
        <w:rPr>
          <w:rFonts w:ascii="Calibri" w:hAnsi="Calibri" w:cs="Calibri"/>
          <w:bCs/>
        </w:rPr>
        <w:t xml:space="preserve">CNRS, INSERM, </w:t>
      </w:r>
      <w:r w:rsidR="005C72A4" w:rsidRPr="0035461C">
        <w:rPr>
          <w:rFonts w:ascii="Calibri" w:hAnsi="Calibri" w:cs="Calibri"/>
          <w:bCs/>
        </w:rPr>
        <w:t>Montpellier, France</w:t>
      </w:r>
    </w:p>
    <w:p w14:paraId="2CCA535C" w14:textId="61BAD8DA" w:rsidR="005C72A4" w:rsidRPr="0035461C" w:rsidRDefault="00AE15CC" w:rsidP="00485343">
      <w:pPr>
        <w:spacing w:before="120" w:line="360" w:lineRule="auto"/>
        <w:rPr>
          <w:rFonts w:ascii="Calibri" w:hAnsi="Calibri" w:cs="Calibri"/>
          <w:bCs/>
        </w:rPr>
      </w:pPr>
      <w:r w:rsidRPr="0035461C">
        <w:rPr>
          <w:rFonts w:ascii="Calibri" w:hAnsi="Calibri" w:cs="Calibri"/>
          <w:bCs/>
          <w:vertAlign w:val="superscript"/>
        </w:rPr>
        <w:t>14</w:t>
      </w:r>
      <w:r w:rsidR="005C72A4" w:rsidRPr="0035461C">
        <w:rPr>
          <w:rFonts w:ascii="Calibri" w:hAnsi="Calibri" w:cs="Calibri"/>
          <w:bCs/>
        </w:rPr>
        <w:t>University of Miami Miller School of Medicine, Miami, USA</w:t>
      </w:r>
    </w:p>
    <w:p w14:paraId="61643DA1" w14:textId="1D04B9E6" w:rsidR="005C72A4" w:rsidRPr="0035461C" w:rsidRDefault="00AE15CC" w:rsidP="00485343">
      <w:pPr>
        <w:spacing w:before="120" w:line="360" w:lineRule="auto"/>
        <w:rPr>
          <w:rFonts w:ascii="Calibri" w:hAnsi="Calibri" w:cs="Calibri"/>
        </w:rPr>
      </w:pPr>
      <w:r w:rsidRPr="0035461C">
        <w:rPr>
          <w:rFonts w:ascii="Calibri" w:hAnsi="Calibri" w:cs="Calibri"/>
          <w:bCs/>
          <w:vertAlign w:val="superscript"/>
        </w:rPr>
        <w:t>15</w:t>
      </w:r>
      <w:r w:rsidR="005C72A4" w:rsidRPr="0035461C">
        <w:rPr>
          <w:rFonts w:ascii="Calibri" w:hAnsi="Calibri" w:cs="Calibri"/>
        </w:rPr>
        <w:t>Amsterdam UMC, Medical Psychol</w:t>
      </w:r>
      <w:r w:rsidR="005C72A4" w:rsidRPr="0035461C">
        <w:rPr>
          <w:rFonts w:asciiTheme="minorHAnsi" w:hAnsiTheme="minorHAnsi" w:cstheme="minorHAnsi"/>
        </w:rPr>
        <w:t xml:space="preserve">ogy, </w:t>
      </w:r>
      <w:proofErr w:type="spellStart"/>
      <w:r w:rsidR="00876713" w:rsidRPr="0035461C">
        <w:rPr>
          <w:rFonts w:asciiTheme="minorHAnsi" w:hAnsiTheme="minorHAnsi" w:cstheme="minorHAnsi"/>
          <w:iCs/>
        </w:rPr>
        <w:t>Vrije</w:t>
      </w:r>
      <w:proofErr w:type="spellEnd"/>
      <w:r w:rsidR="00876713" w:rsidRPr="0035461C">
        <w:rPr>
          <w:rFonts w:asciiTheme="minorHAnsi" w:hAnsiTheme="minorHAnsi" w:cstheme="minorHAnsi"/>
          <w:iCs/>
        </w:rPr>
        <w:t xml:space="preserve"> </w:t>
      </w:r>
      <w:proofErr w:type="spellStart"/>
      <w:r w:rsidR="00876713" w:rsidRPr="0035461C">
        <w:rPr>
          <w:rFonts w:asciiTheme="minorHAnsi" w:hAnsiTheme="minorHAnsi" w:cstheme="minorHAnsi"/>
          <w:iCs/>
        </w:rPr>
        <w:t>Universiteit</w:t>
      </w:r>
      <w:proofErr w:type="spellEnd"/>
      <w:r w:rsidR="005C72A4" w:rsidRPr="0035461C">
        <w:rPr>
          <w:rFonts w:ascii="Calibri" w:hAnsi="Calibri" w:cs="Calibri"/>
        </w:rPr>
        <w:t>, Amsterdam, the Netherlands</w:t>
      </w:r>
    </w:p>
    <w:p w14:paraId="5D7BCF5E" w14:textId="43CDF7DB" w:rsidR="005C72A4" w:rsidRPr="0035461C" w:rsidRDefault="00AE15CC" w:rsidP="00485343">
      <w:pPr>
        <w:spacing w:before="120" w:line="360" w:lineRule="auto"/>
        <w:rPr>
          <w:rFonts w:ascii="Calibri" w:hAnsi="Calibri" w:cs="Calibri"/>
          <w:bCs/>
        </w:rPr>
      </w:pPr>
      <w:r w:rsidRPr="0035461C">
        <w:rPr>
          <w:rFonts w:ascii="Calibri" w:hAnsi="Calibri" w:cs="Calibri"/>
          <w:vertAlign w:val="superscript"/>
        </w:rPr>
        <w:t>16</w:t>
      </w:r>
      <w:r w:rsidR="005C72A4" w:rsidRPr="0035461C">
        <w:rPr>
          <w:rFonts w:ascii="Calibri" w:hAnsi="Calibri" w:cs="Calibri"/>
          <w:bCs/>
        </w:rPr>
        <w:t>SUNY Upstate Medical University, Syracuse, USA</w:t>
      </w:r>
    </w:p>
    <w:p w14:paraId="56BB20FD" w14:textId="524BF775" w:rsidR="005C72A4" w:rsidRPr="0035461C" w:rsidRDefault="00AE15CC" w:rsidP="00485343">
      <w:pPr>
        <w:spacing w:before="120" w:line="360" w:lineRule="auto"/>
        <w:rPr>
          <w:rFonts w:ascii="Calibri" w:hAnsi="Calibri" w:cs="Calibri"/>
        </w:rPr>
      </w:pPr>
      <w:r w:rsidRPr="0035461C">
        <w:rPr>
          <w:rFonts w:ascii="Calibri" w:hAnsi="Calibri" w:cs="Calibri"/>
          <w:bCs/>
          <w:vertAlign w:val="superscript"/>
        </w:rPr>
        <w:t>17</w:t>
      </w:r>
      <w:r w:rsidR="00485343" w:rsidRPr="0035461C">
        <w:rPr>
          <w:rFonts w:ascii="Calibri" w:hAnsi="Calibri" w:cs="Calibri"/>
        </w:rPr>
        <w:t>Keck School of Medicine of USC, Los Angeles, USA</w:t>
      </w:r>
    </w:p>
    <w:p w14:paraId="1741E005" w14:textId="77777777" w:rsidR="00A25BCD" w:rsidRPr="0035461C" w:rsidRDefault="00A25BCD" w:rsidP="00454101">
      <w:pPr>
        <w:pStyle w:val="Heading1"/>
        <w:shd w:val="clear" w:color="auto" w:fill="FFFFFF"/>
        <w:jc w:val="both"/>
        <w:rPr>
          <w:rFonts w:ascii="Calibri" w:hAnsi="Calibri" w:cs="Calibri"/>
          <w:b w:val="0"/>
          <w:sz w:val="24"/>
          <w:szCs w:val="24"/>
        </w:rPr>
      </w:pPr>
    </w:p>
    <w:p w14:paraId="1FF955F7" w14:textId="4CB14446" w:rsidR="009F6CFA" w:rsidRPr="0035461C" w:rsidRDefault="00976FEB" w:rsidP="00454101">
      <w:pPr>
        <w:spacing w:before="120"/>
        <w:jc w:val="both"/>
        <w:rPr>
          <w:rFonts w:ascii="Calibri" w:hAnsi="Calibri" w:cs="Calibri"/>
        </w:rPr>
      </w:pPr>
      <w:r w:rsidRPr="0035461C">
        <w:rPr>
          <w:rFonts w:ascii="Calibri" w:hAnsi="Calibri" w:cs="Calibri"/>
          <w:b/>
          <w:bCs/>
        </w:rPr>
        <w:t>Author Contributions:</w:t>
      </w:r>
      <w:r w:rsidRPr="0035461C">
        <w:rPr>
          <w:rFonts w:ascii="Calibri" w:hAnsi="Calibri" w:cs="Calibri"/>
        </w:rPr>
        <w:t xml:space="preserve"> </w:t>
      </w:r>
      <w:r w:rsidR="00573E3D" w:rsidRPr="0035461C">
        <w:rPr>
          <w:rFonts w:ascii="Calibri" w:hAnsi="Calibri" w:cs="Calibri"/>
          <w:bCs/>
          <w:lang w:val="en-GB"/>
        </w:rPr>
        <w:t>R.I.G.H.</w:t>
      </w:r>
      <w:r w:rsidR="00E615B3" w:rsidRPr="0035461C">
        <w:rPr>
          <w:rFonts w:ascii="Calibri" w:hAnsi="Calibri" w:cs="Calibri"/>
          <w:bCs/>
          <w:lang w:val="en-GB"/>
        </w:rPr>
        <w:t xml:space="preserve"> </w:t>
      </w:r>
      <w:r w:rsidR="009F6CFA" w:rsidRPr="0035461C">
        <w:rPr>
          <w:rFonts w:ascii="Calibri" w:hAnsi="Calibri" w:cs="Calibri"/>
        </w:rPr>
        <w:t xml:space="preserve">and </w:t>
      </w:r>
      <w:r w:rsidR="00573E3D" w:rsidRPr="0035461C">
        <w:rPr>
          <w:rFonts w:ascii="Calibri" w:hAnsi="Calibri" w:cs="Calibri"/>
        </w:rPr>
        <w:t>A.</w:t>
      </w:r>
      <w:r w:rsidR="00FD745C" w:rsidRPr="0035461C">
        <w:rPr>
          <w:rFonts w:ascii="Calibri" w:hAnsi="Calibri" w:cs="Calibri"/>
        </w:rPr>
        <w:t>L.</w:t>
      </w:r>
      <w:r w:rsidR="00573E3D" w:rsidRPr="0035461C">
        <w:rPr>
          <w:rFonts w:ascii="Calibri" w:hAnsi="Calibri" w:cs="Calibri"/>
        </w:rPr>
        <w:t>P.</w:t>
      </w:r>
      <w:r w:rsidR="009F6CFA" w:rsidRPr="0035461C">
        <w:rPr>
          <w:rFonts w:ascii="Calibri" w:hAnsi="Calibri" w:cs="Calibri"/>
        </w:rPr>
        <w:t xml:space="preserve"> were co-chairs for the Consensus Statement Writing Group. </w:t>
      </w:r>
      <w:r w:rsidR="00573E3D" w:rsidRPr="0035461C">
        <w:rPr>
          <w:rFonts w:ascii="Calibri" w:hAnsi="Calibri" w:cs="Calibri"/>
          <w:bCs/>
        </w:rPr>
        <w:t>A.H.F.</w:t>
      </w:r>
      <w:r w:rsidR="00454101" w:rsidRPr="0035461C">
        <w:rPr>
          <w:rFonts w:ascii="Calibri" w:hAnsi="Calibri" w:cs="Calibri"/>
          <w:bCs/>
        </w:rPr>
        <w:t xml:space="preserve">, </w:t>
      </w:r>
      <w:r w:rsidR="00573E3D" w:rsidRPr="0035461C">
        <w:rPr>
          <w:rFonts w:ascii="Calibri" w:hAnsi="Calibri" w:cs="Calibri"/>
          <w:bCs/>
        </w:rPr>
        <w:t>I.</w:t>
      </w:r>
      <w:r w:rsidR="00FD745C" w:rsidRPr="0035461C">
        <w:rPr>
          <w:rFonts w:ascii="Calibri" w:hAnsi="Calibri" w:cs="Calibri"/>
          <w:bCs/>
        </w:rPr>
        <w:t>B.</w:t>
      </w:r>
      <w:r w:rsidR="00573E3D" w:rsidRPr="0035461C">
        <w:rPr>
          <w:rFonts w:ascii="Calibri" w:hAnsi="Calibri" w:cs="Calibri"/>
          <w:bCs/>
        </w:rPr>
        <w:t>H.</w:t>
      </w:r>
      <w:r w:rsidR="00454101" w:rsidRPr="0035461C">
        <w:rPr>
          <w:rFonts w:ascii="Calibri" w:hAnsi="Calibri" w:cs="Calibri"/>
          <w:bCs/>
        </w:rPr>
        <w:t xml:space="preserve">, </w:t>
      </w:r>
      <w:r w:rsidR="00573E3D" w:rsidRPr="0035461C">
        <w:rPr>
          <w:rFonts w:ascii="Calibri" w:hAnsi="Calibri" w:cs="Calibri"/>
          <w:bCs/>
        </w:rPr>
        <w:t>M.S.K.</w:t>
      </w:r>
      <w:r w:rsidR="00454101" w:rsidRPr="0035461C">
        <w:rPr>
          <w:rFonts w:ascii="Calibri" w:hAnsi="Calibri" w:cs="Calibri"/>
          <w:bCs/>
        </w:rPr>
        <w:t xml:space="preserve">, </w:t>
      </w:r>
      <w:r w:rsidR="00FD745C" w:rsidRPr="0035461C">
        <w:rPr>
          <w:rFonts w:ascii="Calibri" w:hAnsi="Calibri" w:cs="Calibri"/>
          <w:bCs/>
        </w:rPr>
        <w:t>J.P.</w:t>
      </w:r>
      <w:r w:rsidR="00454101" w:rsidRPr="0035461C">
        <w:rPr>
          <w:rFonts w:ascii="Calibri" w:hAnsi="Calibri" w:cs="Calibri"/>
          <w:bCs/>
        </w:rPr>
        <w:t xml:space="preserve">, </w:t>
      </w:r>
      <w:r w:rsidR="00FD745C" w:rsidRPr="0035461C">
        <w:rPr>
          <w:rFonts w:ascii="Calibri" w:hAnsi="Calibri" w:cs="Calibri"/>
        </w:rPr>
        <w:t>J.S.S.</w:t>
      </w:r>
      <w:r w:rsidR="00454101" w:rsidRPr="0035461C">
        <w:rPr>
          <w:rFonts w:ascii="Calibri" w:hAnsi="Calibri" w:cs="Calibri"/>
        </w:rPr>
        <w:t xml:space="preserve">, and </w:t>
      </w:r>
      <w:r w:rsidR="00FD745C" w:rsidRPr="0035461C">
        <w:rPr>
          <w:rFonts w:ascii="Calibri" w:hAnsi="Calibri" w:cs="Calibri"/>
        </w:rPr>
        <w:t>R.S.W.</w:t>
      </w:r>
      <w:r w:rsidR="00454101" w:rsidRPr="0035461C">
        <w:rPr>
          <w:rFonts w:ascii="Calibri" w:hAnsi="Calibri" w:cs="Calibri"/>
        </w:rPr>
        <w:t xml:space="preserve"> </w:t>
      </w:r>
      <w:r w:rsidR="009F6CFA" w:rsidRPr="0035461C">
        <w:rPr>
          <w:rFonts w:ascii="Calibri" w:hAnsi="Calibri" w:cs="Calibri"/>
        </w:rPr>
        <w:t xml:space="preserve">were the writing group members for the ADA. </w:t>
      </w:r>
      <w:r w:rsidR="00FD745C" w:rsidRPr="0035461C">
        <w:rPr>
          <w:rFonts w:ascii="Calibri" w:hAnsi="Calibri" w:cs="Calibri"/>
        </w:rPr>
        <w:t>J.H.D.</w:t>
      </w:r>
      <w:r w:rsidR="00454101" w:rsidRPr="0035461C">
        <w:rPr>
          <w:rFonts w:ascii="Calibri" w:hAnsi="Calibri" w:cs="Calibri"/>
          <w:bCs/>
        </w:rPr>
        <w:t xml:space="preserve">, </w:t>
      </w:r>
      <w:r w:rsidR="00FD745C" w:rsidRPr="0035461C">
        <w:rPr>
          <w:rFonts w:ascii="Calibri" w:hAnsi="Calibri" w:cs="Calibri"/>
          <w:bCs/>
        </w:rPr>
        <w:t>T.K.</w:t>
      </w:r>
      <w:r w:rsidR="00454101" w:rsidRPr="0035461C">
        <w:rPr>
          <w:rFonts w:ascii="Calibri" w:hAnsi="Calibri" w:cs="Calibri"/>
          <w:bCs/>
        </w:rPr>
        <w:t xml:space="preserve">, </w:t>
      </w:r>
      <w:r w:rsidR="00FD745C" w:rsidRPr="0035461C">
        <w:rPr>
          <w:rFonts w:ascii="Calibri" w:hAnsi="Calibri" w:cs="Calibri"/>
          <w:bCs/>
        </w:rPr>
        <w:t>B.L.</w:t>
      </w:r>
      <w:r w:rsidR="00454101" w:rsidRPr="0035461C">
        <w:rPr>
          <w:rFonts w:ascii="Calibri" w:hAnsi="Calibri" w:cs="Calibri"/>
          <w:bCs/>
        </w:rPr>
        <w:t xml:space="preserve">, </w:t>
      </w:r>
      <w:r w:rsidR="00FD745C" w:rsidRPr="0035461C">
        <w:rPr>
          <w:rFonts w:ascii="Calibri" w:hAnsi="Calibri" w:cs="Calibri"/>
          <w:bCs/>
        </w:rPr>
        <w:t>K.N.</w:t>
      </w:r>
      <w:r w:rsidR="00454101" w:rsidRPr="0035461C">
        <w:rPr>
          <w:rFonts w:ascii="Calibri" w:hAnsi="Calibri" w:cs="Calibri"/>
          <w:bCs/>
        </w:rPr>
        <w:t xml:space="preserve">, </w:t>
      </w:r>
      <w:r w:rsidR="00FD745C" w:rsidRPr="0035461C">
        <w:rPr>
          <w:rFonts w:ascii="Calibri" w:hAnsi="Calibri" w:cs="Calibri"/>
        </w:rPr>
        <w:t>E.R.</w:t>
      </w:r>
      <w:r w:rsidR="005D174B" w:rsidRPr="0035461C">
        <w:rPr>
          <w:rFonts w:ascii="Calibri" w:hAnsi="Calibri" w:cs="Calibri"/>
        </w:rPr>
        <w:t>,</w:t>
      </w:r>
      <w:r w:rsidR="00454101" w:rsidRPr="0035461C">
        <w:rPr>
          <w:rFonts w:ascii="Calibri" w:hAnsi="Calibri" w:cs="Calibri"/>
        </w:rPr>
        <w:t xml:space="preserve"> and </w:t>
      </w:r>
      <w:r w:rsidR="00FD745C" w:rsidRPr="0035461C">
        <w:rPr>
          <w:rFonts w:ascii="Calibri" w:hAnsi="Calibri" w:cs="Calibri"/>
          <w:bCs/>
        </w:rPr>
        <w:t>F.J.S.</w:t>
      </w:r>
      <w:r w:rsidR="009F6CFA" w:rsidRPr="0035461C">
        <w:rPr>
          <w:rFonts w:ascii="Calibri" w:hAnsi="Calibri" w:cs="Calibri"/>
        </w:rPr>
        <w:t xml:space="preserve"> were</w:t>
      </w:r>
      <w:r w:rsidR="00454101" w:rsidRPr="0035461C">
        <w:rPr>
          <w:rFonts w:ascii="Calibri" w:hAnsi="Calibri" w:cs="Calibri"/>
        </w:rPr>
        <w:t xml:space="preserve"> the</w:t>
      </w:r>
      <w:r w:rsidR="009F6CFA" w:rsidRPr="0035461C">
        <w:rPr>
          <w:rFonts w:ascii="Calibri" w:hAnsi="Calibri" w:cs="Calibri"/>
        </w:rPr>
        <w:t xml:space="preserve"> writing group members for the EASD.</w:t>
      </w:r>
    </w:p>
    <w:p w14:paraId="090A7935" w14:textId="77777777" w:rsidR="00734DC2" w:rsidRPr="0035461C" w:rsidRDefault="00734DC2" w:rsidP="00734DC2">
      <w:pPr>
        <w:autoSpaceDE w:val="0"/>
        <w:autoSpaceDN w:val="0"/>
        <w:adjustRightInd w:val="0"/>
        <w:spacing w:before="120" w:after="120"/>
        <w:jc w:val="both"/>
        <w:rPr>
          <w:rFonts w:ascii="Calibri" w:hAnsi="Calibri" w:cs="Calibri"/>
          <w:b/>
        </w:rPr>
      </w:pPr>
    </w:p>
    <w:p w14:paraId="71D89994" w14:textId="2943CFC2" w:rsidR="00734DC2" w:rsidRPr="0035461C" w:rsidRDefault="00734DC2" w:rsidP="00734DC2">
      <w:pPr>
        <w:autoSpaceDE w:val="0"/>
        <w:autoSpaceDN w:val="0"/>
        <w:adjustRightInd w:val="0"/>
        <w:spacing w:before="120" w:after="120"/>
        <w:jc w:val="both"/>
        <w:rPr>
          <w:rFonts w:ascii="Calibri" w:hAnsi="Calibri" w:cs="Calibri"/>
          <w:b/>
          <w:lang w:val="en-GB"/>
        </w:rPr>
      </w:pPr>
      <w:r w:rsidRPr="0035461C">
        <w:rPr>
          <w:rFonts w:ascii="Calibri" w:hAnsi="Calibri" w:cs="Calibri"/>
          <w:b/>
          <w:lang w:val="en-GB"/>
        </w:rPr>
        <w:t>Acknowledgements</w:t>
      </w:r>
    </w:p>
    <w:p w14:paraId="29860611" w14:textId="5D768C4C" w:rsidR="00DF5640" w:rsidRPr="0035461C" w:rsidRDefault="00DF5640" w:rsidP="00734DC2">
      <w:pPr>
        <w:autoSpaceDE w:val="0"/>
        <w:autoSpaceDN w:val="0"/>
        <w:adjustRightInd w:val="0"/>
        <w:spacing w:before="120" w:after="120"/>
        <w:jc w:val="both"/>
        <w:rPr>
          <w:rFonts w:ascii="Calibri" w:hAnsi="Calibri" w:cs="Calibri"/>
          <w:i/>
          <w:iCs/>
          <w:lang w:val="en-GB"/>
        </w:rPr>
      </w:pPr>
      <w:r w:rsidRPr="0035461C">
        <w:rPr>
          <w:rFonts w:ascii="Calibri" w:hAnsi="Calibri" w:cs="Calibri"/>
          <w:lang w:val="en-GB"/>
        </w:rPr>
        <w:t xml:space="preserve">We acknowledge the support of Malaika </w:t>
      </w:r>
      <w:r w:rsidR="001E395C" w:rsidRPr="0035461C">
        <w:rPr>
          <w:rFonts w:ascii="Calibri" w:hAnsi="Calibri" w:cs="Calibri"/>
          <w:lang w:val="en-GB"/>
        </w:rPr>
        <w:t xml:space="preserve">I. </w:t>
      </w:r>
      <w:r w:rsidRPr="0035461C">
        <w:rPr>
          <w:rFonts w:ascii="Calibri" w:hAnsi="Calibri" w:cs="Calibri"/>
          <w:lang w:val="en-GB"/>
        </w:rPr>
        <w:t xml:space="preserve">Hill Mindy Saraco, </w:t>
      </w:r>
      <w:r w:rsidR="001E395C" w:rsidRPr="0035461C">
        <w:rPr>
          <w:rFonts w:ascii="Calibri" w:hAnsi="Calibri" w:cs="Calibri"/>
          <w:lang w:val="en-GB"/>
        </w:rPr>
        <w:t xml:space="preserve">Robert </w:t>
      </w:r>
      <w:r w:rsidR="00CB292C" w:rsidRPr="0035461C">
        <w:rPr>
          <w:rFonts w:ascii="Calibri" w:hAnsi="Calibri" w:cs="Calibri"/>
          <w:lang w:val="en-GB"/>
        </w:rPr>
        <w:t xml:space="preserve">A. </w:t>
      </w:r>
      <w:proofErr w:type="spellStart"/>
      <w:r w:rsidRPr="0035461C">
        <w:rPr>
          <w:rFonts w:ascii="Calibri" w:hAnsi="Calibri" w:cs="Calibri"/>
          <w:lang w:val="en-GB"/>
        </w:rPr>
        <w:t>Gabbay</w:t>
      </w:r>
      <w:proofErr w:type="spellEnd"/>
      <w:r w:rsidRPr="0035461C">
        <w:rPr>
          <w:rFonts w:ascii="Calibri" w:hAnsi="Calibri" w:cs="Calibri"/>
          <w:lang w:val="en-GB"/>
        </w:rPr>
        <w:t xml:space="preserve">, Petra Niemann, Natasha </w:t>
      </w:r>
      <w:r w:rsidR="00AD494E" w:rsidRPr="0035461C">
        <w:rPr>
          <w:rFonts w:ascii="Calibri" w:hAnsi="Calibri" w:cs="Calibri"/>
          <w:lang w:val="en-GB"/>
        </w:rPr>
        <w:t>Buckley-</w:t>
      </w:r>
      <w:proofErr w:type="spellStart"/>
      <w:r w:rsidR="00AD494E" w:rsidRPr="0035461C">
        <w:rPr>
          <w:rFonts w:ascii="Calibri" w:hAnsi="Calibri" w:cs="Calibri"/>
          <w:lang w:val="en-GB"/>
        </w:rPr>
        <w:t>Mühge</w:t>
      </w:r>
      <w:proofErr w:type="spellEnd"/>
      <w:r w:rsidRPr="0035461C">
        <w:rPr>
          <w:rFonts w:ascii="Calibri" w:hAnsi="Calibri" w:cs="Calibri"/>
          <w:lang w:val="en-GB"/>
        </w:rPr>
        <w:t>, Monika Gruesser, the Committee for Clinical Affairs of the EASD,</w:t>
      </w:r>
      <w:r w:rsidR="0012174A" w:rsidRPr="0035461C">
        <w:rPr>
          <w:rFonts w:ascii="Calibri" w:hAnsi="Calibri" w:cs="Calibri"/>
          <w:lang w:val="en-GB"/>
        </w:rPr>
        <w:t xml:space="preserve"> </w:t>
      </w:r>
      <w:r w:rsidR="005D174B" w:rsidRPr="0035461C">
        <w:rPr>
          <w:rFonts w:ascii="Calibri" w:hAnsi="Calibri" w:cs="Calibri"/>
          <w:lang w:val="en-GB"/>
        </w:rPr>
        <w:t xml:space="preserve">and </w:t>
      </w:r>
      <w:r w:rsidR="004021D3" w:rsidRPr="0035461C">
        <w:rPr>
          <w:rFonts w:ascii="Calibri" w:hAnsi="Calibri" w:cs="Calibri"/>
          <w:lang w:val="en-GB"/>
        </w:rPr>
        <w:t>the Professional Practice Committee of the ADA</w:t>
      </w:r>
      <w:r w:rsidR="00A9782B" w:rsidRPr="0035461C">
        <w:rPr>
          <w:rFonts w:ascii="Calibri" w:hAnsi="Calibri" w:cs="Calibri"/>
          <w:lang w:val="en-GB"/>
        </w:rPr>
        <w:t xml:space="preserve">. </w:t>
      </w:r>
      <w:r w:rsidR="0035461C" w:rsidRPr="0035461C">
        <w:rPr>
          <w:rFonts w:ascii="Calibri" w:hAnsi="Calibri" w:cs="Calibri"/>
          <w:lang w:val="en-GB"/>
        </w:rPr>
        <w:t xml:space="preserve">We acknowledge Angus Jones for his invaluable help with the diagnosis section. We also acknowledge </w:t>
      </w:r>
      <w:proofErr w:type="spellStart"/>
      <w:r w:rsidR="0035461C" w:rsidRPr="0035461C">
        <w:rPr>
          <w:rFonts w:ascii="Calibri" w:hAnsi="Calibri" w:cs="Calibri"/>
          <w:lang w:val="en-GB"/>
        </w:rPr>
        <w:t>Davida</w:t>
      </w:r>
      <w:proofErr w:type="spellEnd"/>
      <w:r w:rsidR="0035461C" w:rsidRPr="0035461C">
        <w:rPr>
          <w:rFonts w:ascii="Calibri" w:hAnsi="Calibri" w:cs="Calibri"/>
          <w:lang w:val="en-GB"/>
        </w:rPr>
        <w:t xml:space="preserve"> F. Kruger, </w:t>
      </w:r>
      <w:proofErr w:type="spellStart"/>
      <w:r w:rsidR="0035461C" w:rsidRPr="0035461C">
        <w:rPr>
          <w:rFonts w:ascii="Calibri" w:hAnsi="Calibri" w:cs="Calibri"/>
          <w:lang w:val="en-GB"/>
        </w:rPr>
        <w:t>Grazia</w:t>
      </w:r>
      <w:proofErr w:type="spellEnd"/>
      <w:r w:rsidR="0035461C" w:rsidRPr="0035461C">
        <w:rPr>
          <w:rFonts w:ascii="Calibri" w:hAnsi="Calibri" w:cs="Calibri"/>
          <w:lang w:val="en-GB"/>
        </w:rPr>
        <w:t xml:space="preserve"> Aleppo, Desmond Schatz, Jane Speight, Anette Gabriele</w:t>
      </w:r>
      <w:r w:rsidR="0035461C" w:rsidRPr="00441EDA">
        <w:rPr>
          <w:rFonts w:ascii="Calibri" w:hAnsi="Calibri" w:cs="Calibri"/>
          <w:lang w:val="en-GB"/>
        </w:rPr>
        <w:t>-Ziegler, and Chantal Mathieu for serving as peer reviewers</w:t>
      </w:r>
      <w:r w:rsidR="00EF4B4D" w:rsidRPr="00441EDA">
        <w:rPr>
          <w:rFonts w:ascii="Calibri" w:hAnsi="Calibri" w:cs="Calibri"/>
          <w:lang w:val="en-GB"/>
        </w:rPr>
        <w:t>. We would like to thank Charlie Franklin and Michael B</w:t>
      </w:r>
      <w:r w:rsidR="00200179" w:rsidRPr="00441EDA">
        <w:rPr>
          <w:rFonts w:ascii="Calibri" w:hAnsi="Calibri" w:cs="Calibri"/>
          <w:lang w:val="en-GB"/>
        </w:rPr>
        <w:t>o</w:t>
      </w:r>
      <w:r w:rsidR="00EF4B4D" w:rsidRPr="00441EDA">
        <w:rPr>
          <w:rFonts w:ascii="Calibri" w:hAnsi="Calibri" w:cs="Calibri"/>
          <w:lang w:val="en-GB"/>
        </w:rPr>
        <w:t xml:space="preserve">nar </w:t>
      </w:r>
      <w:r w:rsidR="00200179" w:rsidRPr="00441EDA">
        <w:rPr>
          <w:rFonts w:ascii="Calibri" w:hAnsi="Calibri" w:cs="Calibri"/>
          <w:lang w:val="en-GB"/>
        </w:rPr>
        <w:t xml:space="preserve">of the Leicester Diabetes Centre </w:t>
      </w:r>
      <w:r w:rsidR="00EF4B4D" w:rsidRPr="00441EDA">
        <w:rPr>
          <w:rFonts w:ascii="Calibri" w:hAnsi="Calibri" w:cs="Calibri"/>
          <w:lang w:val="en-GB"/>
        </w:rPr>
        <w:t>for the graphic design of the figures</w:t>
      </w:r>
      <w:r w:rsidR="00200179" w:rsidRPr="00441EDA">
        <w:rPr>
          <w:rFonts w:ascii="Calibri" w:hAnsi="Calibri" w:cs="Calibri"/>
          <w:lang w:val="en-GB"/>
        </w:rPr>
        <w:t xml:space="preserve"> and</w:t>
      </w:r>
      <w:r w:rsidR="00441EDA" w:rsidRPr="00441EDA">
        <w:rPr>
          <w:rFonts w:ascii="Calibri" w:hAnsi="Calibri" w:cs="Calibri"/>
        </w:rPr>
        <w:t xml:space="preserve"> Richard M. Bergenstal, MD and the International Diabetes Center</w:t>
      </w:r>
      <w:r w:rsidR="00F064D4">
        <w:rPr>
          <w:rFonts w:ascii="Calibri" w:hAnsi="Calibri" w:cs="Calibri"/>
        </w:rPr>
        <w:t>, Minneapolis,</w:t>
      </w:r>
      <w:r w:rsidR="00441EDA" w:rsidRPr="00441EDA">
        <w:rPr>
          <w:rFonts w:ascii="Calibri" w:hAnsi="Calibri" w:cs="Calibri"/>
        </w:rPr>
        <w:t xml:space="preserve"> for the Ambulatory Glucose Profile figure</w:t>
      </w:r>
      <w:r w:rsidR="0035461C" w:rsidRPr="00441EDA">
        <w:rPr>
          <w:rFonts w:ascii="Calibri" w:hAnsi="Calibri" w:cs="Calibri"/>
          <w:i/>
          <w:iCs/>
          <w:lang w:val="en-GB"/>
        </w:rPr>
        <w:t>.</w:t>
      </w:r>
    </w:p>
    <w:p w14:paraId="32DF7B33" w14:textId="77777777" w:rsidR="00734DC2" w:rsidRPr="0035461C" w:rsidRDefault="00734DC2" w:rsidP="00734DC2">
      <w:pPr>
        <w:autoSpaceDE w:val="0"/>
        <w:autoSpaceDN w:val="0"/>
        <w:adjustRightInd w:val="0"/>
        <w:spacing w:before="120" w:after="120"/>
        <w:jc w:val="both"/>
        <w:rPr>
          <w:rFonts w:ascii="Calibri" w:hAnsi="Calibri" w:cs="Calibri"/>
          <w:b/>
          <w:lang w:val="en-GB"/>
        </w:rPr>
      </w:pPr>
    </w:p>
    <w:p w14:paraId="1D88ACDE" w14:textId="3B151550" w:rsidR="00734DC2" w:rsidRPr="0035461C" w:rsidRDefault="00734DC2" w:rsidP="00734DC2">
      <w:pPr>
        <w:autoSpaceDE w:val="0"/>
        <w:autoSpaceDN w:val="0"/>
        <w:adjustRightInd w:val="0"/>
        <w:spacing w:before="120" w:after="120"/>
        <w:jc w:val="both"/>
        <w:rPr>
          <w:rFonts w:ascii="Calibri" w:hAnsi="Calibri" w:cs="Calibri"/>
          <w:b/>
          <w:lang w:val="en-GB"/>
        </w:rPr>
      </w:pPr>
      <w:r w:rsidRPr="0035461C">
        <w:rPr>
          <w:rFonts w:ascii="Calibri" w:hAnsi="Calibri" w:cs="Calibri"/>
          <w:b/>
          <w:lang w:val="en-GB"/>
        </w:rPr>
        <w:t>Duality of Interest</w:t>
      </w:r>
    </w:p>
    <w:p w14:paraId="186C4780" w14:textId="1A7B9711" w:rsidR="004F273E" w:rsidRPr="0035461C" w:rsidRDefault="004F273E" w:rsidP="00734DC2">
      <w:pPr>
        <w:autoSpaceDE w:val="0"/>
        <w:autoSpaceDN w:val="0"/>
        <w:adjustRightInd w:val="0"/>
        <w:spacing w:before="120" w:after="120"/>
        <w:jc w:val="both"/>
        <w:rPr>
          <w:rFonts w:ascii="Calibri" w:hAnsi="Calibri" w:cs="Calibri"/>
          <w:bCs/>
          <w:lang w:val="en-GB"/>
        </w:rPr>
      </w:pPr>
      <w:r w:rsidRPr="0035461C">
        <w:rPr>
          <w:rFonts w:ascii="Calibri" w:hAnsi="Calibri" w:cs="Calibri"/>
          <w:bCs/>
          <w:lang w:val="en-GB"/>
        </w:rPr>
        <w:t xml:space="preserve">R.I.G.H. serves on the speakers’ bureau for and receives research support from Novo Nordisk. He serves on the speakers’ bureau for Abbott, Eli Lilly, Otsuka, and Roche. He also served as the editor-in-chief of </w:t>
      </w:r>
      <w:r w:rsidRPr="0035461C">
        <w:rPr>
          <w:rFonts w:ascii="Calibri" w:hAnsi="Calibri" w:cs="Calibri"/>
          <w:bCs/>
          <w:i/>
          <w:iCs/>
          <w:lang w:val="en-GB"/>
        </w:rPr>
        <w:t xml:space="preserve">Diabetic Medicine </w:t>
      </w:r>
      <w:r w:rsidRPr="0035461C">
        <w:rPr>
          <w:rFonts w:ascii="Calibri" w:hAnsi="Calibri" w:cs="Calibri"/>
          <w:bCs/>
          <w:iCs/>
          <w:lang w:val="en-GB"/>
        </w:rPr>
        <w:t>until December 2020</w:t>
      </w:r>
      <w:r w:rsidRPr="0035461C">
        <w:rPr>
          <w:rFonts w:ascii="Calibri" w:hAnsi="Calibri" w:cs="Calibri"/>
          <w:bCs/>
          <w:lang w:val="en-GB"/>
        </w:rPr>
        <w:t xml:space="preserve">. J.H.D. </w:t>
      </w:r>
      <w:r w:rsidR="004F7A52">
        <w:rPr>
          <w:rFonts w:ascii="Calibri" w:hAnsi="Calibri" w:cs="Calibri"/>
          <w:bCs/>
          <w:lang w:val="en-GB"/>
        </w:rPr>
        <w:t>received</w:t>
      </w:r>
      <w:r w:rsidRPr="0035461C">
        <w:rPr>
          <w:rFonts w:ascii="Calibri" w:hAnsi="Calibri" w:cs="Calibri"/>
          <w:bCs/>
          <w:lang w:val="en-GB"/>
        </w:rPr>
        <w:t xml:space="preserve"> research funding from </w:t>
      </w:r>
      <w:proofErr w:type="spellStart"/>
      <w:r w:rsidRPr="0035461C">
        <w:rPr>
          <w:rFonts w:ascii="Calibri" w:hAnsi="Calibri" w:cs="Calibri"/>
          <w:bCs/>
          <w:lang w:val="en-GB"/>
        </w:rPr>
        <w:t>Afon</w:t>
      </w:r>
      <w:proofErr w:type="spellEnd"/>
      <w:r w:rsidRPr="0035461C">
        <w:rPr>
          <w:rFonts w:ascii="Calibri" w:hAnsi="Calibri" w:cs="Calibri"/>
          <w:bCs/>
          <w:lang w:val="en-GB"/>
        </w:rPr>
        <w:t>, Eli Li</w:t>
      </w:r>
      <w:r w:rsidR="004F7A52">
        <w:rPr>
          <w:rFonts w:ascii="Calibri" w:hAnsi="Calibri" w:cs="Calibri"/>
          <w:bCs/>
          <w:lang w:val="en-GB"/>
        </w:rPr>
        <w:t>lly, and Novo Nordisk. He served</w:t>
      </w:r>
      <w:r w:rsidRPr="0035461C">
        <w:rPr>
          <w:rFonts w:ascii="Calibri" w:hAnsi="Calibri" w:cs="Calibri"/>
          <w:bCs/>
          <w:lang w:val="en-GB"/>
        </w:rPr>
        <w:t xml:space="preserve"> on advisory boards for </w:t>
      </w:r>
      <w:proofErr w:type="spellStart"/>
      <w:r w:rsidR="005C3753" w:rsidRPr="0035461C">
        <w:rPr>
          <w:rFonts w:ascii="Calibri" w:hAnsi="Calibri" w:cs="Calibri"/>
          <w:bCs/>
          <w:lang w:val="en-GB"/>
        </w:rPr>
        <w:t>Adocia</w:t>
      </w:r>
      <w:proofErr w:type="spellEnd"/>
      <w:r w:rsidR="005C3753" w:rsidRPr="0035461C">
        <w:rPr>
          <w:rFonts w:ascii="Calibri" w:hAnsi="Calibri" w:cs="Calibri"/>
          <w:bCs/>
          <w:lang w:val="en-GB"/>
        </w:rPr>
        <w:t xml:space="preserve">, </w:t>
      </w:r>
      <w:r w:rsidRPr="0035461C">
        <w:rPr>
          <w:rFonts w:ascii="Calibri" w:hAnsi="Calibri" w:cs="Calibri"/>
          <w:bCs/>
          <w:lang w:val="en-GB"/>
        </w:rPr>
        <w:t xml:space="preserve">Novo Nordisk and Zealand Pharma and </w:t>
      </w:r>
      <w:r w:rsidR="004F7A52">
        <w:rPr>
          <w:rFonts w:ascii="Calibri" w:hAnsi="Calibri" w:cs="Calibri"/>
          <w:bCs/>
          <w:lang w:val="en-GB"/>
        </w:rPr>
        <w:t>w</w:t>
      </w:r>
      <w:r w:rsidR="00A53FB7">
        <w:rPr>
          <w:rFonts w:ascii="Calibri" w:hAnsi="Calibri" w:cs="Calibri"/>
          <w:bCs/>
          <w:lang w:val="en-GB"/>
        </w:rPr>
        <w:t>as</w:t>
      </w:r>
      <w:r w:rsidRPr="0035461C">
        <w:rPr>
          <w:rFonts w:ascii="Calibri" w:hAnsi="Calibri" w:cs="Calibri"/>
          <w:bCs/>
          <w:lang w:val="en-GB"/>
        </w:rPr>
        <w:t xml:space="preserve"> on a speaker’s bureau for Novo Nordisk. A.H.F. is an auditor for the ADA’s Education Recognition Program. She is a participant in a speaker’s bureau for Abbott Diabetes Care and </w:t>
      </w:r>
      <w:proofErr w:type="spellStart"/>
      <w:r w:rsidRPr="0035461C">
        <w:rPr>
          <w:rFonts w:ascii="Calibri" w:hAnsi="Calibri" w:cs="Calibri"/>
          <w:bCs/>
          <w:lang w:val="en-GB"/>
        </w:rPr>
        <w:t>Xeris</w:t>
      </w:r>
      <w:proofErr w:type="spellEnd"/>
      <w:r w:rsidRPr="0035461C">
        <w:rPr>
          <w:rFonts w:ascii="Calibri" w:hAnsi="Calibri" w:cs="Calibri"/>
          <w:bCs/>
          <w:lang w:val="en-GB"/>
        </w:rPr>
        <w:t xml:space="preserve">. She is also a member of </w:t>
      </w:r>
      <w:proofErr w:type="spellStart"/>
      <w:r w:rsidRPr="0035461C">
        <w:rPr>
          <w:rFonts w:ascii="Calibri" w:hAnsi="Calibri" w:cs="Calibri"/>
          <w:bCs/>
          <w:lang w:val="en-GB"/>
        </w:rPr>
        <w:t>Xeris</w:t>
      </w:r>
      <w:proofErr w:type="spellEnd"/>
      <w:r w:rsidRPr="0035461C">
        <w:rPr>
          <w:rFonts w:ascii="Calibri" w:hAnsi="Calibri" w:cs="Calibri"/>
          <w:bCs/>
          <w:lang w:val="en-GB"/>
        </w:rPr>
        <w:t>’ advisory board. I.B.H. receives industry research funding from Medtronic Diabetes</w:t>
      </w:r>
      <w:r w:rsidR="00076CE0" w:rsidRPr="0035461C">
        <w:rPr>
          <w:rFonts w:ascii="Calibri" w:hAnsi="Calibri" w:cs="Calibri"/>
          <w:bCs/>
          <w:lang w:val="en-GB"/>
        </w:rPr>
        <w:t>,</w:t>
      </w:r>
      <w:r w:rsidRPr="0035461C">
        <w:rPr>
          <w:rFonts w:ascii="Calibri" w:hAnsi="Calibri" w:cs="Calibri"/>
          <w:bCs/>
          <w:lang w:val="en-GB"/>
        </w:rPr>
        <w:t xml:space="preserve"> </w:t>
      </w:r>
      <w:proofErr w:type="spellStart"/>
      <w:r w:rsidRPr="0035461C">
        <w:rPr>
          <w:rFonts w:ascii="Calibri" w:hAnsi="Calibri" w:cs="Calibri"/>
          <w:bCs/>
          <w:lang w:val="en-GB"/>
        </w:rPr>
        <w:t>Insulet</w:t>
      </w:r>
      <w:proofErr w:type="spellEnd"/>
      <w:r w:rsidR="00076CE0" w:rsidRPr="0035461C">
        <w:rPr>
          <w:rFonts w:ascii="Calibri" w:hAnsi="Calibri" w:cs="Calibri"/>
          <w:bCs/>
          <w:lang w:val="en-GB"/>
        </w:rPr>
        <w:t xml:space="preserve"> and </w:t>
      </w:r>
      <w:r w:rsidR="00076CE0" w:rsidRPr="0035461C">
        <w:rPr>
          <w:rFonts w:ascii="Calibri" w:hAnsi="Calibri" w:cs="Calibri"/>
        </w:rPr>
        <w:t>Beta Bionics</w:t>
      </w:r>
      <w:r w:rsidRPr="0035461C">
        <w:rPr>
          <w:rFonts w:ascii="Calibri" w:hAnsi="Calibri" w:cs="Calibri"/>
          <w:bCs/>
          <w:lang w:val="en-GB"/>
        </w:rPr>
        <w:t xml:space="preserve">. He is a consultant for Bigfoot, Roche, and Abbott Diabetes Care. M.S.K. receives research funding from Novo Nordisk and Bayer. K.N. receives research funding from, is a member of </w:t>
      </w:r>
      <w:r w:rsidRPr="0035461C">
        <w:rPr>
          <w:rFonts w:ascii="Calibri" w:hAnsi="Calibri" w:cs="Calibri"/>
          <w:bCs/>
          <w:lang w:val="en-GB"/>
        </w:rPr>
        <w:lastRenderedPageBreak/>
        <w:t xml:space="preserve">the advisory board for, and is a stockholder in Novo Nordisk. She is an advisory board member for Medtronic and Abbott Diabetes Care and receives research funding from </w:t>
      </w:r>
      <w:proofErr w:type="spellStart"/>
      <w:r w:rsidRPr="0035461C">
        <w:rPr>
          <w:rFonts w:ascii="Calibri" w:hAnsi="Calibri" w:cs="Calibri"/>
          <w:bCs/>
          <w:lang w:val="en-GB"/>
        </w:rPr>
        <w:t>DexCom</w:t>
      </w:r>
      <w:proofErr w:type="spellEnd"/>
      <w:r w:rsidRPr="0035461C">
        <w:rPr>
          <w:rFonts w:ascii="Calibri" w:hAnsi="Calibri" w:cs="Calibri"/>
          <w:bCs/>
          <w:lang w:val="en-GB"/>
        </w:rPr>
        <w:t xml:space="preserve">, Medtronic, and Zealand Pharma. J.P. is a consultant to Sanofi, Novo Nordisk, Eli Lilly, Zealand, </w:t>
      </w:r>
      <w:proofErr w:type="spellStart"/>
      <w:r w:rsidRPr="0035461C">
        <w:rPr>
          <w:rFonts w:ascii="Calibri" w:hAnsi="Calibri" w:cs="Calibri"/>
          <w:bCs/>
          <w:lang w:val="en-GB"/>
        </w:rPr>
        <w:t>Mannkind</w:t>
      </w:r>
      <w:proofErr w:type="spellEnd"/>
      <w:r w:rsidRPr="0035461C">
        <w:rPr>
          <w:rFonts w:ascii="Calibri" w:hAnsi="Calibri" w:cs="Calibri"/>
          <w:bCs/>
          <w:lang w:val="en-GB"/>
        </w:rPr>
        <w:t xml:space="preserve">, and </w:t>
      </w:r>
      <w:proofErr w:type="spellStart"/>
      <w:r w:rsidRPr="0035461C">
        <w:rPr>
          <w:rFonts w:ascii="Calibri" w:hAnsi="Calibri" w:cs="Calibri"/>
          <w:bCs/>
          <w:lang w:val="en-GB"/>
        </w:rPr>
        <w:t>Diasome</w:t>
      </w:r>
      <w:proofErr w:type="spellEnd"/>
      <w:r w:rsidRPr="0035461C">
        <w:rPr>
          <w:rFonts w:ascii="Calibri" w:hAnsi="Calibri" w:cs="Calibri"/>
          <w:bCs/>
          <w:lang w:val="en-GB"/>
        </w:rPr>
        <w:t>.</w:t>
      </w:r>
      <w:r w:rsidR="00635643" w:rsidRPr="0035461C">
        <w:rPr>
          <w:rFonts w:ascii="Calibri" w:hAnsi="Calibri" w:cs="Calibri"/>
          <w:bCs/>
          <w:lang w:val="en-GB"/>
        </w:rPr>
        <w:t xml:space="preserve"> </w:t>
      </w:r>
      <w:r w:rsidR="00064189" w:rsidRPr="0035461C">
        <w:rPr>
          <w:rFonts w:ascii="Calibri" w:hAnsi="Calibri" w:cs="Calibri"/>
          <w:bCs/>
          <w:lang w:val="en-GB"/>
        </w:rPr>
        <w:t xml:space="preserve">E.R. serves on the advisory board for Abbott, Air Liquide SI, </w:t>
      </w:r>
      <w:proofErr w:type="spellStart"/>
      <w:r w:rsidR="00064189" w:rsidRPr="0035461C">
        <w:rPr>
          <w:rFonts w:ascii="Calibri" w:hAnsi="Calibri" w:cs="Calibri"/>
          <w:bCs/>
          <w:lang w:val="en-GB"/>
        </w:rPr>
        <w:t>Dexcom</w:t>
      </w:r>
      <w:proofErr w:type="spellEnd"/>
      <w:r w:rsidR="00064189" w:rsidRPr="0035461C">
        <w:rPr>
          <w:rFonts w:ascii="Calibri" w:hAnsi="Calibri" w:cs="Calibri"/>
          <w:bCs/>
          <w:lang w:val="en-GB"/>
        </w:rPr>
        <w:t xml:space="preserve"> </w:t>
      </w:r>
      <w:proofErr w:type="spellStart"/>
      <w:r w:rsidR="00064189" w:rsidRPr="0035461C">
        <w:rPr>
          <w:rFonts w:ascii="Calibri" w:hAnsi="Calibri" w:cs="Calibri"/>
          <w:bCs/>
          <w:lang w:val="en-GB"/>
        </w:rPr>
        <w:t>Inc</w:t>
      </w:r>
      <w:proofErr w:type="spellEnd"/>
      <w:r w:rsidR="00064189" w:rsidRPr="0035461C">
        <w:rPr>
          <w:rFonts w:ascii="Calibri" w:hAnsi="Calibri" w:cs="Calibri"/>
          <w:bCs/>
          <w:lang w:val="en-GB"/>
        </w:rPr>
        <w:t xml:space="preserve">, </w:t>
      </w:r>
      <w:proofErr w:type="spellStart"/>
      <w:r w:rsidR="00064189" w:rsidRPr="0035461C">
        <w:rPr>
          <w:rFonts w:ascii="Calibri" w:hAnsi="Calibri" w:cs="Calibri"/>
          <w:bCs/>
          <w:lang w:val="en-GB"/>
        </w:rPr>
        <w:t>Insulet</w:t>
      </w:r>
      <w:proofErr w:type="spellEnd"/>
      <w:r w:rsidR="00064189" w:rsidRPr="0035461C">
        <w:rPr>
          <w:rFonts w:ascii="Calibri" w:hAnsi="Calibri" w:cs="Calibri"/>
          <w:bCs/>
          <w:lang w:val="en-GB"/>
        </w:rPr>
        <w:t>, Sanofi, Roche, Novo Nordisk, and Eli-Lilly</w:t>
      </w:r>
      <w:r w:rsidR="00677EEA" w:rsidRPr="00666A00">
        <w:rPr>
          <w:rFonts w:ascii="Calibri" w:hAnsi="Calibri" w:cs="Calibri"/>
          <w:bCs/>
          <w:lang w:val="en-GB"/>
        </w:rPr>
        <w:t xml:space="preserve">, and received research support from </w:t>
      </w:r>
      <w:proofErr w:type="spellStart"/>
      <w:r w:rsidR="00677EEA" w:rsidRPr="00666A00">
        <w:rPr>
          <w:rFonts w:ascii="Calibri" w:hAnsi="Calibri" w:cs="Calibri"/>
          <w:bCs/>
          <w:lang w:val="en-GB"/>
        </w:rPr>
        <w:t>Dexcom</w:t>
      </w:r>
      <w:proofErr w:type="spellEnd"/>
      <w:r w:rsidR="00677EEA" w:rsidRPr="00666A00">
        <w:rPr>
          <w:rFonts w:ascii="Calibri" w:hAnsi="Calibri" w:cs="Calibri"/>
          <w:bCs/>
          <w:lang w:val="en-GB"/>
        </w:rPr>
        <w:t xml:space="preserve"> </w:t>
      </w:r>
      <w:proofErr w:type="spellStart"/>
      <w:r w:rsidR="00677EEA" w:rsidRPr="00666A00">
        <w:rPr>
          <w:rFonts w:ascii="Calibri" w:hAnsi="Calibri" w:cs="Calibri"/>
          <w:bCs/>
          <w:lang w:val="en-GB"/>
        </w:rPr>
        <w:t>Inc</w:t>
      </w:r>
      <w:proofErr w:type="spellEnd"/>
      <w:r w:rsidR="00677EEA" w:rsidRPr="00666A00">
        <w:rPr>
          <w:rFonts w:ascii="Calibri" w:hAnsi="Calibri" w:cs="Calibri"/>
          <w:bCs/>
          <w:lang w:val="en-GB"/>
        </w:rPr>
        <w:t xml:space="preserve"> and Tandem</w:t>
      </w:r>
      <w:r w:rsidR="00064189" w:rsidRPr="0035461C">
        <w:rPr>
          <w:rFonts w:ascii="Calibri" w:hAnsi="Calibri" w:cs="Calibri"/>
          <w:bCs/>
          <w:lang w:val="en-GB"/>
        </w:rPr>
        <w:t xml:space="preserve">. J.S.S. is a </w:t>
      </w:r>
      <w:r w:rsidR="00E615B3" w:rsidRPr="0035461C">
        <w:rPr>
          <w:rFonts w:ascii="Calibri" w:hAnsi="Calibri" w:cs="Calibri"/>
          <w:bCs/>
          <w:lang w:val="en-GB"/>
        </w:rPr>
        <w:t xml:space="preserve">member of the </w:t>
      </w:r>
      <w:r w:rsidR="00064189" w:rsidRPr="0035461C">
        <w:rPr>
          <w:rFonts w:ascii="Calibri" w:hAnsi="Calibri" w:cs="Calibri"/>
          <w:bCs/>
          <w:lang w:val="en-GB"/>
        </w:rPr>
        <w:t xml:space="preserve">board of directors for Applied Therapeutics, and </w:t>
      </w:r>
      <w:proofErr w:type="spellStart"/>
      <w:r w:rsidR="00064189" w:rsidRPr="0035461C">
        <w:rPr>
          <w:rFonts w:ascii="Calibri" w:hAnsi="Calibri" w:cs="Calibri"/>
          <w:bCs/>
          <w:lang w:val="en-GB"/>
        </w:rPr>
        <w:t>DexCom</w:t>
      </w:r>
      <w:proofErr w:type="spellEnd"/>
      <w:r w:rsidR="00064189" w:rsidRPr="0035461C">
        <w:rPr>
          <w:rFonts w:ascii="Calibri" w:hAnsi="Calibri" w:cs="Calibri"/>
          <w:bCs/>
          <w:lang w:val="en-GB"/>
        </w:rPr>
        <w:t xml:space="preserve"> Inc. He serves on the scientific advisory board for </w:t>
      </w:r>
      <w:proofErr w:type="spellStart"/>
      <w:r w:rsidR="00064189" w:rsidRPr="0035461C">
        <w:rPr>
          <w:rFonts w:ascii="Calibri" w:hAnsi="Calibri" w:cs="Calibri"/>
          <w:bCs/>
          <w:lang w:val="en-GB"/>
        </w:rPr>
        <w:t>Abvance</w:t>
      </w:r>
      <w:proofErr w:type="spellEnd"/>
      <w:r w:rsidR="00064189" w:rsidRPr="0035461C">
        <w:rPr>
          <w:rFonts w:ascii="Calibri" w:hAnsi="Calibri" w:cs="Calibri"/>
          <w:bCs/>
          <w:lang w:val="en-GB"/>
        </w:rPr>
        <w:t xml:space="preserve">, </w:t>
      </w:r>
      <w:proofErr w:type="spellStart"/>
      <w:r w:rsidR="00064189" w:rsidRPr="0035461C">
        <w:rPr>
          <w:rFonts w:ascii="Calibri" w:hAnsi="Calibri" w:cs="Calibri"/>
          <w:bCs/>
          <w:lang w:val="en-GB"/>
        </w:rPr>
        <w:t>ActoBiotics</w:t>
      </w:r>
      <w:proofErr w:type="spellEnd"/>
      <w:r w:rsidR="00064189" w:rsidRPr="0035461C">
        <w:rPr>
          <w:rFonts w:ascii="Calibri" w:hAnsi="Calibri" w:cs="Calibri"/>
          <w:bCs/>
          <w:lang w:val="en-GB"/>
        </w:rPr>
        <w:t xml:space="preserve">, </w:t>
      </w:r>
      <w:proofErr w:type="spellStart"/>
      <w:r w:rsidR="00064189" w:rsidRPr="0035461C">
        <w:rPr>
          <w:rFonts w:ascii="Calibri" w:hAnsi="Calibri" w:cs="Calibri"/>
          <w:bCs/>
          <w:lang w:val="en-GB"/>
        </w:rPr>
        <w:t>Adocia</w:t>
      </w:r>
      <w:proofErr w:type="spellEnd"/>
      <w:r w:rsidR="00064189" w:rsidRPr="0035461C">
        <w:rPr>
          <w:rFonts w:ascii="Calibri" w:hAnsi="Calibri" w:cs="Calibri"/>
          <w:bCs/>
          <w:lang w:val="en-GB"/>
        </w:rPr>
        <w:t xml:space="preserve">, </w:t>
      </w:r>
      <w:proofErr w:type="spellStart"/>
      <w:r w:rsidR="00064189" w:rsidRPr="0035461C">
        <w:rPr>
          <w:rFonts w:ascii="Calibri" w:hAnsi="Calibri" w:cs="Calibri"/>
          <w:bCs/>
          <w:lang w:val="en-GB"/>
        </w:rPr>
        <w:t>Avotres</w:t>
      </w:r>
      <w:proofErr w:type="spellEnd"/>
      <w:r w:rsidR="00064189" w:rsidRPr="0035461C">
        <w:rPr>
          <w:rFonts w:ascii="Calibri" w:hAnsi="Calibri" w:cs="Calibri"/>
          <w:bCs/>
          <w:lang w:val="en-GB"/>
        </w:rPr>
        <w:t xml:space="preserve">, </w:t>
      </w:r>
      <w:proofErr w:type="spellStart"/>
      <w:r w:rsidR="00064189" w:rsidRPr="0035461C">
        <w:rPr>
          <w:rFonts w:ascii="Calibri" w:hAnsi="Calibri" w:cs="Calibri"/>
          <w:bCs/>
          <w:lang w:val="en-GB"/>
        </w:rPr>
        <w:t>Oramed</w:t>
      </w:r>
      <w:proofErr w:type="spellEnd"/>
      <w:r w:rsidR="00064189" w:rsidRPr="0035461C">
        <w:rPr>
          <w:rFonts w:ascii="Calibri" w:hAnsi="Calibri" w:cs="Calibri"/>
          <w:bCs/>
          <w:lang w:val="en-GB"/>
        </w:rPr>
        <w:t xml:space="preserve">, </w:t>
      </w:r>
      <w:proofErr w:type="spellStart"/>
      <w:r w:rsidR="00064189" w:rsidRPr="0035461C">
        <w:rPr>
          <w:rFonts w:ascii="Calibri" w:hAnsi="Calibri" w:cs="Calibri"/>
          <w:bCs/>
          <w:lang w:val="en-GB"/>
        </w:rPr>
        <w:t>Orgenesis</w:t>
      </w:r>
      <w:proofErr w:type="spellEnd"/>
      <w:r w:rsidR="00064189" w:rsidRPr="0035461C">
        <w:rPr>
          <w:rFonts w:ascii="Calibri" w:hAnsi="Calibri" w:cs="Calibri"/>
          <w:bCs/>
          <w:lang w:val="en-GB"/>
        </w:rPr>
        <w:t xml:space="preserve">, Sanofi Diabetes, </w:t>
      </w:r>
      <w:proofErr w:type="spellStart"/>
      <w:r w:rsidR="00064189" w:rsidRPr="0035461C">
        <w:rPr>
          <w:rFonts w:ascii="Calibri" w:hAnsi="Calibri" w:cs="Calibri"/>
          <w:bCs/>
          <w:lang w:val="en-GB"/>
        </w:rPr>
        <w:t>Tolerion</w:t>
      </w:r>
      <w:proofErr w:type="spellEnd"/>
      <w:r w:rsidR="00064189" w:rsidRPr="0035461C">
        <w:rPr>
          <w:rFonts w:ascii="Calibri" w:hAnsi="Calibri" w:cs="Calibri"/>
          <w:bCs/>
          <w:lang w:val="en-GB"/>
        </w:rPr>
        <w:t xml:space="preserve">, and </w:t>
      </w:r>
      <w:proofErr w:type="spellStart"/>
      <w:r w:rsidR="00064189" w:rsidRPr="0035461C">
        <w:rPr>
          <w:rFonts w:ascii="Calibri" w:hAnsi="Calibri" w:cs="Calibri"/>
          <w:bCs/>
          <w:lang w:val="en-GB"/>
        </w:rPr>
        <w:t>Viacyte</w:t>
      </w:r>
      <w:proofErr w:type="spellEnd"/>
      <w:r w:rsidR="00064189" w:rsidRPr="0035461C">
        <w:rPr>
          <w:rFonts w:ascii="Calibri" w:hAnsi="Calibri" w:cs="Calibri"/>
          <w:bCs/>
          <w:lang w:val="en-GB"/>
        </w:rPr>
        <w:t xml:space="preserve">. He received research support from </w:t>
      </w:r>
      <w:proofErr w:type="spellStart"/>
      <w:r w:rsidR="00064189" w:rsidRPr="0035461C">
        <w:rPr>
          <w:rFonts w:ascii="Calibri" w:hAnsi="Calibri" w:cs="Calibri"/>
          <w:bCs/>
          <w:lang w:val="en-GB"/>
        </w:rPr>
        <w:t>Tolerion</w:t>
      </w:r>
      <w:proofErr w:type="spellEnd"/>
      <w:r w:rsidR="00064189" w:rsidRPr="0035461C">
        <w:rPr>
          <w:rFonts w:ascii="Calibri" w:hAnsi="Calibri" w:cs="Calibri"/>
          <w:bCs/>
          <w:lang w:val="en-GB"/>
        </w:rPr>
        <w:t xml:space="preserve">. He is an advisor and consultant to </w:t>
      </w:r>
      <w:proofErr w:type="spellStart"/>
      <w:r w:rsidR="00064189" w:rsidRPr="0035461C">
        <w:rPr>
          <w:rFonts w:ascii="Calibri" w:hAnsi="Calibri" w:cs="Calibri"/>
          <w:bCs/>
          <w:lang w:val="en-GB"/>
        </w:rPr>
        <w:t>Boehringer-Ingelheim</w:t>
      </w:r>
      <w:proofErr w:type="spellEnd"/>
      <w:r w:rsidR="00064189" w:rsidRPr="0035461C">
        <w:rPr>
          <w:rFonts w:ascii="Calibri" w:hAnsi="Calibri" w:cs="Calibri"/>
          <w:bCs/>
          <w:lang w:val="en-GB"/>
        </w:rPr>
        <w:t xml:space="preserve">, Dance </w:t>
      </w:r>
      <w:proofErr w:type="spellStart"/>
      <w:r w:rsidR="00064189" w:rsidRPr="0035461C">
        <w:rPr>
          <w:rFonts w:ascii="Calibri" w:hAnsi="Calibri" w:cs="Calibri"/>
          <w:bCs/>
          <w:lang w:val="en-GB"/>
        </w:rPr>
        <w:t>Biopharm</w:t>
      </w:r>
      <w:proofErr w:type="spellEnd"/>
      <w:r w:rsidR="00064189" w:rsidRPr="0035461C">
        <w:rPr>
          <w:rFonts w:ascii="Calibri" w:hAnsi="Calibri" w:cs="Calibri"/>
          <w:bCs/>
          <w:lang w:val="en-GB"/>
        </w:rPr>
        <w:t>/</w:t>
      </w:r>
      <w:proofErr w:type="spellStart"/>
      <w:r w:rsidR="00064189" w:rsidRPr="0035461C">
        <w:rPr>
          <w:rFonts w:ascii="Calibri" w:hAnsi="Calibri" w:cs="Calibri"/>
          <w:bCs/>
          <w:lang w:val="en-GB"/>
        </w:rPr>
        <w:t>Aerami</w:t>
      </w:r>
      <w:proofErr w:type="spellEnd"/>
      <w:r w:rsidR="00064189" w:rsidRPr="0035461C">
        <w:rPr>
          <w:rFonts w:ascii="Calibri" w:hAnsi="Calibri" w:cs="Calibri"/>
          <w:bCs/>
          <w:lang w:val="en-GB"/>
        </w:rPr>
        <w:t xml:space="preserve"> Therapeutics, </w:t>
      </w:r>
      <w:proofErr w:type="spellStart"/>
      <w:r w:rsidR="00064189" w:rsidRPr="0035461C">
        <w:rPr>
          <w:rFonts w:ascii="Calibri" w:hAnsi="Calibri" w:cs="Calibri"/>
          <w:bCs/>
          <w:lang w:val="en-GB"/>
        </w:rPr>
        <w:t>Enthera</w:t>
      </w:r>
      <w:proofErr w:type="spellEnd"/>
      <w:r w:rsidR="00064189" w:rsidRPr="0035461C">
        <w:rPr>
          <w:rFonts w:ascii="Calibri" w:hAnsi="Calibri" w:cs="Calibri"/>
          <w:bCs/>
          <w:lang w:val="en-GB"/>
        </w:rPr>
        <w:t xml:space="preserve">, Ideal Life, </w:t>
      </w:r>
      <w:proofErr w:type="spellStart"/>
      <w:r w:rsidR="00064189" w:rsidRPr="0035461C">
        <w:rPr>
          <w:rFonts w:ascii="Calibri" w:hAnsi="Calibri" w:cs="Calibri"/>
          <w:bCs/>
          <w:lang w:val="en-GB"/>
        </w:rPr>
        <w:t>Imcyse</w:t>
      </w:r>
      <w:proofErr w:type="spellEnd"/>
      <w:r w:rsidR="00064189" w:rsidRPr="0035461C">
        <w:rPr>
          <w:rFonts w:ascii="Calibri" w:hAnsi="Calibri" w:cs="Calibri"/>
          <w:bCs/>
          <w:lang w:val="en-GB"/>
        </w:rPr>
        <w:t xml:space="preserve">, </w:t>
      </w:r>
      <w:proofErr w:type="spellStart"/>
      <w:r w:rsidR="00064189" w:rsidRPr="0035461C">
        <w:rPr>
          <w:rFonts w:ascii="Calibri" w:hAnsi="Calibri" w:cs="Calibri"/>
          <w:bCs/>
          <w:lang w:val="en-GB"/>
        </w:rPr>
        <w:t>Immnomolecular</w:t>
      </w:r>
      <w:proofErr w:type="spellEnd"/>
      <w:r w:rsidR="00064189" w:rsidRPr="0035461C">
        <w:rPr>
          <w:rFonts w:ascii="Calibri" w:hAnsi="Calibri" w:cs="Calibri"/>
          <w:bCs/>
          <w:lang w:val="en-GB"/>
        </w:rPr>
        <w:t xml:space="preserve"> Therapeutics, Novo-Nordisk, </w:t>
      </w:r>
      <w:proofErr w:type="spellStart"/>
      <w:r w:rsidR="00064189" w:rsidRPr="0035461C">
        <w:rPr>
          <w:rFonts w:ascii="Calibri" w:hAnsi="Calibri" w:cs="Calibri"/>
          <w:bCs/>
          <w:lang w:val="en-GB"/>
        </w:rPr>
        <w:t>Provention</w:t>
      </w:r>
      <w:proofErr w:type="spellEnd"/>
      <w:r w:rsidR="00064189" w:rsidRPr="0035461C">
        <w:rPr>
          <w:rFonts w:ascii="Calibri" w:hAnsi="Calibri" w:cs="Calibri"/>
          <w:bCs/>
          <w:lang w:val="en-GB"/>
        </w:rPr>
        <w:t xml:space="preserve"> Bio, Sanofi Diabetes, </w:t>
      </w:r>
      <w:proofErr w:type="spellStart"/>
      <w:r w:rsidR="00064189" w:rsidRPr="0035461C">
        <w:rPr>
          <w:rFonts w:ascii="Calibri" w:hAnsi="Calibri" w:cs="Calibri"/>
          <w:bCs/>
          <w:lang w:val="en-GB"/>
        </w:rPr>
        <w:t>Signos</w:t>
      </w:r>
      <w:proofErr w:type="spellEnd"/>
      <w:r w:rsidR="00064189" w:rsidRPr="0035461C">
        <w:rPr>
          <w:rFonts w:ascii="Calibri" w:hAnsi="Calibri" w:cs="Calibri"/>
          <w:bCs/>
          <w:lang w:val="en-GB"/>
        </w:rPr>
        <w:t xml:space="preserve">, </w:t>
      </w:r>
      <w:proofErr w:type="spellStart"/>
      <w:r w:rsidR="00064189" w:rsidRPr="0035461C">
        <w:rPr>
          <w:rFonts w:ascii="Calibri" w:hAnsi="Calibri" w:cs="Calibri"/>
          <w:bCs/>
          <w:lang w:val="en-GB"/>
        </w:rPr>
        <w:t>Tolerion</w:t>
      </w:r>
      <w:proofErr w:type="spellEnd"/>
      <w:r w:rsidR="00064189" w:rsidRPr="0035461C">
        <w:rPr>
          <w:rFonts w:ascii="Calibri" w:hAnsi="Calibri" w:cs="Calibri"/>
          <w:bCs/>
          <w:lang w:val="en-GB"/>
        </w:rPr>
        <w:t xml:space="preserve">, and </w:t>
      </w:r>
      <w:proofErr w:type="spellStart"/>
      <w:r w:rsidR="00064189" w:rsidRPr="0035461C">
        <w:rPr>
          <w:rFonts w:ascii="Calibri" w:hAnsi="Calibri" w:cs="Calibri"/>
          <w:bCs/>
          <w:lang w:val="en-GB"/>
        </w:rPr>
        <w:t>VielaBio</w:t>
      </w:r>
      <w:proofErr w:type="spellEnd"/>
      <w:r w:rsidR="00064189" w:rsidRPr="0035461C">
        <w:rPr>
          <w:rFonts w:ascii="Calibri" w:hAnsi="Calibri" w:cs="Calibri"/>
          <w:bCs/>
          <w:lang w:val="en-GB"/>
        </w:rPr>
        <w:t xml:space="preserve">. He is a shareholder or option holder in </w:t>
      </w:r>
      <w:proofErr w:type="spellStart"/>
      <w:r w:rsidR="00064189" w:rsidRPr="0035461C">
        <w:rPr>
          <w:rFonts w:ascii="Calibri" w:hAnsi="Calibri" w:cs="Calibri"/>
          <w:bCs/>
          <w:lang w:val="en-GB"/>
        </w:rPr>
        <w:t>Abvance</w:t>
      </w:r>
      <w:proofErr w:type="spellEnd"/>
      <w:r w:rsidR="00064189" w:rsidRPr="0035461C">
        <w:rPr>
          <w:rFonts w:ascii="Calibri" w:hAnsi="Calibri" w:cs="Calibri"/>
          <w:bCs/>
          <w:lang w:val="en-GB"/>
        </w:rPr>
        <w:t xml:space="preserve">, </w:t>
      </w:r>
      <w:proofErr w:type="spellStart"/>
      <w:r w:rsidR="00064189" w:rsidRPr="0035461C">
        <w:rPr>
          <w:rFonts w:ascii="Calibri" w:hAnsi="Calibri" w:cs="Calibri"/>
          <w:bCs/>
          <w:lang w:val="en-GB"/>
        </w:rPr>
        <w:t>Avotres</w:t>
      </w:r>
      <w:proofErr w:type="spellEnd"/>
      <w:r w:rsidR="00064189" w:rsidRPr="0035461C">
        <w:rPr>
          <w:rFonts w:ascii="Calibri" w:hAnsi="Calibri" w:cs="Calibri"/>
          <w:bCs/>
          <w:lang w:val="en-GB"/>
        </w:rPr>
        <w:t xml:space="preserve">, Dance </w:t>
      </w:r>
      <w:proofErr w:type="spellStart"/>
      <w:r w:rsidR="00064189" w:rsidRPr="0035461C">
        <w:rPr>
          <w:rFonts w:ascii="Calibri" w:hAnsi="Calibri" w:cs="Calibri"/>
          <w:bCs/>
          <w:lang w:val="en-GB"/>
        </w:rPr>
        <w:t>Biopharm</w:t>
      </w:r>
      <w:proofErr w:type="spellEnd"/>
      <w:r w:rsidR="00064189" w:rsidRPr="0035461C">
        <w:rPr>
          <w:rFonts w:ascii="Calibri" w:hAnsi="Calibri" w:cs="Calibri"/>
          <w:bCs/>
          <w:lang w:val="en-GB"/>
        </w:rPr>
        <w:t>/</w:t>
      </w:r>
      <w:proofErr w:type="spellStart"/>
      <w:r w:rsidR="00064189" w:rsidRPr="0035461C">
        <w:rPr>
          <w:rFonts w:ascii="Calibri" w:hAnsi="Calibri" w:cs="Calibri"/>
          <w:bCs/>
          <w:lang w:val="en-GB"/>
        </w:rPr>
        <w:t>Aerami</w:t>
      </w:r>
      <w:proofErr w:type="spellEnd"/>
      <w:r w:rsidR="00064189" w:rsidRPr="0035461C">
        <w:rPr>
          <w:rFonts w:ascii="Calibri" w:hAnsi="Calibri" w:cs="Calibri"/>
          <w:bCs/>
          <w:lang w:val="en-GB"/>
        </w:rPr>
        <w:t xml:space="preserve"> Therapeutics, </w:t>
      </w:r>
      <w:proofErr w:type="spellStart"/>
      <w:r w:rsidR="00064189" w:rsidRPr="0035461C">
        <w:rPr>
          <w:rFonts w:ascii="Calibri" w:hAnsi="Calibri" w:cs="Calibri"/>
          <w:bCs/>
          <w:lang w:val="en-GB"/>
        </w:rPr>
        <w:t>DexCom</w:t>
      </w:r>
      <w:proofErr w:type="spellEnd"/>
      <w:r w:rsidR="00064189" w:rsidRPr="0035461C">
        <w:rPr>
          <w:rFonts w:ascii="Calibri" w:hAnsi="Calibri" w:cs="Calibri"/>
          <w:bCs/>
          <w:lang w:val="en-GB"/>
        </w:rPr>
        <w:t xml:space="preserve"> Inc., Ideal Life, </w:t>
      </w:r>
      <w:proofErr w:type="spellStart"/>
      <w:r w:rsidR="00064189" w:rsidRPr="0035461C">
        <w:rPr>
          <w:rFonts w:ascii="Calibri" w:hAnsi="Calibri" w:cs="Calibri"/>
          <w:bCs/>
          <w:lang w:val="en-GB"/>
        </w:rPr>
        <w:t>Immnomolecular</w:t>
      </w:r>
      <w:proofErr w:type="spellEnd"/>
      <w:r w:rsidR="00064189" w:rsidRPr="0035461C">
        <w:rPr>
          <w:rFonts w:ascii="Calibri" w:hAnsi="Calibri" w:cs="Calibri"/>
          <w:bCs/>
          <w:lang w:val="en-GB"/>
        </w:rPr>
        <w:t xml:space="preserve"> Therapeutics, </w:t>
      </w:r>
      <w:proofErr w:type="spellStart"/>
      <w:r w:rsidR="00064189" w:rsidRPr="0035461C">
        <w:rPr>
          <w:rFonts w:ascii="Calibri" w:hAnsi="Calibri" w:cs="Calibri"/>
          <w:bCs/>
          <w:lang w:val="en-GB"/>
        </w:rPr>
        <w:t>Oramed</w:t>
      </w:r>
      <w:proofErr w:type="spellEnd"/>
      <w:r w:rsidR="00064189" w:rsidRPr="0035461C">
        <w:rPr>
          <w:rFonts w:ascii="Calibri" w:hAnsi="Calibri" w:cs="Calibri"/>
          <w:bCs/>
          <w:lang w:val="en-GB"/>
        </w:rPr>
        <w:t xml:space="preserve">, and </w:t>
      </w:r>
      <w:proofErr w:type="spellStart"/>
      <w:r w:rsidR="00064189" w:rsidRPr="0035461C">
        <w:rPr>
          <w:rFonts w:ascii="Calibri" w:hAnsi="Calibri" w:cs="Calibri"/>
          <w:bCs/>
          <w:lang w:val="en-GB"/>
        </w:rPr>
        <w:t>Orgenesis</w:t>
      </w:r>
      <w:proofErr w:type="spellEnd"/>
      <w:r w:rsidR="00635643" w:rsidRPr="0035461C">
        <w:rPr>
          <w:rFonts w:ascii="Calibri" w:hAnsi="Calibri" w:cs="Calibri"/>
          <w:bCs/>
          <w:lang w:val="en-GB"/>
        </w:rPr>
        <w:t xml:space="preserve">. </w:t>
      </w:r>
      <w:r w:rsidR="00064189" w:rsidRPr="0035461C">
        <w:rPr>
          <w:rFonts w:ascii="Calibri" w:hAnsi="Calibri" w:cs="Calibri"/>
          <w:bCs/>
          <w:lang w:val="en-GB"/>
        </w:rPr>
        <w:t xml:space="preserve">F.J.S. is consultant to Abbott, Eli Lilly, Sanofi and Novo Nordisk and serves on the </w:t>
      </w:r>
      <w:proofErr w:type="gramStart"/>
      <w:r w:rsidR="00064189" w:rsidRPr="0035461C">
        <w:rPr>
          <w:rFonts w:ascii="Calibri" w:hAnsi="Calibri" w:cs="Calibri"/>
          <w:bCs/>
          <w:lang w:val="en-GB"/>
        </w:rPr>
        <w:t>speakers</w:t>
      </w:r>
      <w:proofErr w:type="gramEnd"/>
      <w:r w:rsidR="00064189" w:rsidRPr="0035461C">
        <w:rPr>
          <w:rFonts w:ascii="Calibri" w:hAnsi="Calibri" w:cs="Calibri"/>
          <w:bCs/>
          <w:lang w:val="en-GB"/>
        </w:rPr>
        <w:t xml:space="preserve"> bureau for</w:t>
      </w:r>
      <w:r w:rsidR="00E615B3" w:rsidRPr="0035461C">
        <w:rPr>
          <w:rFonts w:ascii="Calibri" w:hAnsi="Calibri" w:cs="Calibri"/>
          <w:bCs/>
          <w:lang w:val="en-GB"/>
        </w:rPr>
        <w:t xml:space="preserve"> Abbott, Eli Lilly, </w:t>
      </w:r>
      <w:r w:rsidR="00064189" w:rsidRPr="0035461C">
        <w:rPr>
          <w:rFonts w:ascii="Calibri" w:hAnsi="Calibri" w:cs="Calibri"/>
          <w:bCs/>
          <w:lang w:val="en-GB"/>
        </w:rPr>
        <w:t>Sanofi, and Novo Nordisk.</w:t>
      </w:r>
      <w:r w:rsidR="00E615B3" w:rsidRPr="0035461C">
        <w:rPr>
          <w:rFonts w:ascii="Calibri" w:hAnsi="Calibri" w:cs="Calibri"/>
          <w:bCs/>
          <w:lang w:val="en-GB"/>
        </w:rPr>
        <w:t xml:space="preserve"> </w:t>
      </w:r>
      <w:r w:rsidR="00064189" w:rsidRPr="0035461C">
        <w:rPr>
          <w:rFonts w:ascii="Calibri" w:hAnsi="Calibri" w:cs="Calibri"/>
          <w:bCs/>
          <w:lang w:val="en-GB"/>
        </w:rPr>
        <w:t>He has received research funding from Sanofi and Novo Nordisk</w:t>
      </w:r>
      <w:r w:rsidR="00635643" w:rsidRPr="0035461C">
        <w:rPr>
          <w:rFonts w:ascii="Calibri" w:hAnsi="Calibri" w:cs="Calibri"/>
          <w:bCs/>
          <w:lang w:val="en-GB"/>
        </w:rPr>
        <w:t xml:space="preserve">. R.S.W. receives research funding from Eli Lilly, Medtronic, </w:t>
      </w:r>
      <w:proofErr w:type="spellStart"/>
      <w:r w:rsidR="00635643" w:rsidRPr="0035461C">
        <w:rPr>
          <w:rFonts w:ascii="Calibri" w:hAnsi="Calibri" w:cs="Calibri"/>
          <w:bCs/>
          <w:lang w:val="en-GB"/>
        </w:rPr>
        <w:t>Insulet</w:t>
      </w:r>
      <w:proofErr w:type="spellEnd"/>
      <w:r w:rsidR="00635643" w:rsidRPr="0035461C">
        <w:rPr>
          <w:rFonts w:ascii="Calibri" w:hAnsi="Calibri" w:cs="Calibri"/>
          <w:bCs/>
          <w:lang w:val="en-GB"/>
        </w:rPr>
        <w:t xml:space="preserve">, </w:t>
      </w:r>
      <w:proofErr w:type="spellStart"/>
      <w:r w:rsidR="00635643" w:rsidRPr="0035461C">
        <w:rPr>
          <w:rFonts w:ascii="Calibri" w:hAnsi="Calibri" w:cs="Calibri"/>
          <w:bCs/>
          <w:lang w:val="en-GB"/>
        </w:rPr>
        <w:t>Diasome</w:t>
      </w:r>
      <w:proofErr w:type="spellEnd"/>
      <w:r w:rsidR="00635643" w:rsidRPr="0035461C">
        <w:rPr>
          <w:rFonts w:ascii="Calibri" w:hAnsi="Calibri" w:cs="Calibri"/>
          <w:bCs/>
          <w:lang w:val="en-GB"/>
        </w:rPr>
        <w:t xml:space="preserve">, Kowa, </w:t>
      </w:r>
      <w:proofErr w:type="spellStart"/>
      <w:r w:rsidR="00635643" w:rsidRPr="0035461C">
        <w:rPr>
          <w:rFonts w:ascii="Calibri" w:hAnsi="Calibri" w:cs="Calibri"/>
          <w:bCs/>
          <w:lang w:val="en-GB"/>
        </w:rPr>
        <w:t>Tolerion</w:t>
      </w:r>
      <w:proofErr w:type="spellEnd"/>
      <w:r w:rsidR="00635643" w:rsidRPr="0035461C">
        <w:rPr>
          <w:rFonts w:ascii="Calibri" w:hAnsi="Calibri" w:cs="Calibri"/>
          <w:bCs/>
          <w:lang w:val="en-GB"/>
        </w:rPr>
        <w:t xml:space="preserve">, </w:t>
      </w:r>
      <w:r w:rsidR="005C3753" w:rsidRPr="0035461C">
        <w:rPr>
          <w:rFonts w:ascii="Calibri" w:hAnsi="Calibri" w:cs="Calibri"/>
          <w:bCs/>
          <w:lang w:val="en-GB"/>
        </w:rPr>
        <w:t xml:space="preserve">Novo Nordisk </w:t>
      </w:r>
      <w:r w:rsidR="00635643" w:rsidRPr="0035461C">
        <w:rPr>
          <w:rFonts w:ascii="Calibri" w:hAnsi="Calibri" w:cs="Calibri"/>
          <w:bCs/>
          <w:lang w:val="en-GB"/>
        </w:rPr>
        <w:t xml:space="preserve">and </w:t>
      </w:r>
      <w:proofErr w:type="spellStart"/>
      <w:r w:rsidR="00635643" w:rsidRPr="0035461C">
        <w:rPr>
          <w:rFonts w:ascii="Calibri" w:hAnsi="Calibri" w:cs="Calibri"/>
          <w:bCs/>
          <w:lang w:val="en-GB"/>
        </w:rPr>
        <w:t>Boehringer</w:t>
      </w:r>
      <w:proofErr w:type="spellEnd"/>
      <w:r w:rsidR="00635643" w:rsidRPr="0035461C">
        <w:rPr>
          <w:rFonts w:ascii="Calibri" w:hAnsi="Calibri" w:cs="Calibri"/>
          <w:bCs/>
          <w:lang w:val="en-GB"/>
        </w:rPr>
        <w:t xml:space="preserve"> </w:t>
      </w:r>
      <w:proofErr w:type="spellStart"/>
      <w:r w:rsidR="00635643" w:rsidRPr="0035461C">
        <w:rPr>
          <w:rFonts w:ascii="Calibri" w:hAnsi="Calibri" w:cs="Calibri"/>
          <w:bCs/>
          <w:lang w:val="en-GB"/>
        </w:rPr>
        <w:t>Ingelheim</w:t>
      </w:r>
      <w:proofErr w:type="spellEnd"/>
      <w:r w:rsidR="00635643" w:rsidRPr="0035461C">
        <w:rPr>
          <w:rFonts w:ascii="Calibri" w:hAnsi="Calibri" w:cs="Calibri"/>
          <w:bCs/>
          <w:lang w:val="en-GB"/>
        </w:rPr>
        <w:t xml:space="preserve">. A.L.P. serves on the advisory board for Abbott Diabetes Care, Eli Lilly and Company, Novo Nordisk, Medscape and Zealand Pharmaceuticals. She has received research support from </w:t>
      </w:r>
      <w:proofErr w:type="spellStart"/>
      <w:r w:rsidR="00635643" w:rsidRPr="0035461C">
        <w:rPr>
          <w:rFonts w:ascii="Calibri" w:hAnsi="Calibri" w:cs="Calibri"/>
          <w:bCs/>
          <w:lang w:val="en-GB"/>
        </w:rPr>
        <w:t>Dexcom</w:t>
      </w:r>
      <w:proofErr w:type="spellEnd"/>
      <w:r w:rsidR="00635643" w:rsidRPr="0035461C">
        <w:rPr>
          <w:rFonts w:ascii="Calibri" w:hAnsi="Calibri" w:cs="Calibri"/>
          <w:bCs/>
          <w:lang w:val="en-GB"/>
        </w:rPr>
        <w:t xml:space="preserve"> and </w:t>
      </w:r>
      <w:proofErr w:type="spellStart"/>
      <w:r w:rsidR="00635643" w:rsidRPr="0035461C">
        <w:rPr>
          <w:rFonts w:ascii="Calibri" w:hAnsi="Calibri" w:cs="Calibri"/>
          <w:bCs/>
          <w:lang w:val="en-GB"/>
        </w:rPr>
        <w:t>Insulet</w:t>
      </w:r>
      <w:proofErr w:type="spellEnd"/>
      <w:r w:rsidR="00635643" w:rsidRPr="0035461C">
        <w:rPr>
          <w:rFonts w:ascii="Calibri" w:hAnsi="Calibri" w:cs="Calibri"/>
          <w:bCs/>
          <w:lang w:val="en-GB"/>
        </w:rPr>
        <w:t xml:space="preserve"> and has received donated devices from Abbott Diabetes Care. She also has stock options from </w:t>
      </w:r>
      <w:proofErr w:type="spellStart"/>
      <w:r w:rsidR="00635643" w:rsidRPr="0035461C">
        <w:rPr>
          <w:rFonts w:ascii="Calibri" w:hAnsi="Calibri" w:cs="Calibri"/>
          <w:bCs/>
          <w:lang w:val="en-GB"/>
        </w:rPr>
        <w:t>Omada</w:t>
      </w:r>
      <w:proofErr w:type="spellEnd"/>
      <w:r w:rsidR="00635643" w:rsidRPr="0035461C">
        <w:rPr>
          <w:rFonts w:ascii="Calibri" w:hAnsi="Calibri" w:cs="Calibri"/>
          <w:bCs/>
          <w:lang w:val="en-GB"/>
        </w:rPr>
        <w:t xml:space="preserve"> Health and </w:t>
      </w:r>
      <w:proofErr w:type="spellStart"/>
      <w:r w:rsidR="00635643" w:rsidRPr="0035461C">
        <w:rPr>
          <w:rFonts w:ascii="Calibri" w:hAnsi="Calibri" w:cs="Calibri"/>
          <w:bCs/>
          <w:lang w:val="en-GB"/>
        </w:rPr>
        <w:t>Livongo</w:t>
      </w:r>
      <w:proofErr w:type="spellEnd"/>
      <w:r w:rsidR="00635643" w:rsidRPr="0035461C">
        <w:rPr>
          <w:rFonts w:ascii="Calibri" w:hAnsi="Calibri" w:cs="Calibri"/>
          <w:bCs/>
          <w:lang w:val="en-GB"/>
        </w:rPr>
        <w:t xml:space="preserve"> and is a special government employee of the FDA.</w:t>
      </w:r>
      <w:r w:rsidR="00E615B3" w:rsidRPr="0035461C">
        <w:rPr>
          <w:rFonts w:ascii="Calibri" w:hAnsi="Calibri" w:cs="Calibri"/>
          <w:bCs/>
          <w:lang w:val="en-GB"/>
        </w:rPr>
        <w:t xml:space="preserve"> </w:t>
      </w:r>
    </w:p>
    <w:p w14:paraId="1F5C7BEB" w14:textId="402497CB" w:rsidR="00734DC2" w:rsidRPr="0035461C" w:rsidRDefault="00734DC2" w:rsidP="00734DC2">
      <w:pPr>
        <w:autoSpaceDE w:val="0"/>
        <w:autoSpaceDN w:val="0"/>
        <w:adjustRightInd w:val="0"/>
        <w:spacing w:before="120" w:after="120"/>
        <w:jc w:val="both"/>
        <w:rPr>
          <w:rFonts w:ascii="Calibri" w:hAnsi="Calibri" w:cs="Calibri"/>
          <w:bCs/>
          <w:lang w:val="en-GB"/>
        </w:rPr>
      </w:pPr>
    </w:p>
    <w:p w14:paraId="48625700" w14:textId="7FB074FC" w:rsidR="00454101" w:rsidRPr="0035461C" w:rsidRDefault="00454101" w:rsidP="00454101">
      <w:pPr>
        <w:spacing w:before="120"/>
        <w:jc w:val="both"/>
        <w:rPr>
          <w:rFonts w:ascii="Calibri" w:hAnsi="Calibri" w:cs="Calibri"/>
        </w:rPr>
      </w:pPr>
    </w:p>
    <w:p w14:paraId="2F84ED85" w14:textId="2646296E" w:rsidR="00454101" w:rsidRPr="0035461C" w:rsidRDefault="00454101" w:rsidP="00454101">
      <w:pPr>
        <w:spacing w:before="120"/>
        <w:jc w:val="both"/>
        <w:rPr>
          <w:rFonts w:ascii="Calibri" w:hAnsi="Calibri" w:cs="Calibri"/>
        </w:rPr>
      </w:pPr>
      <w:r w:rsidRPr="0035461C">
        <w:rPr>
          <w:rFonts w:ascii="Calibri" w:hAnsi="Calibri" w:cs="Calibri"/>
        </w:rPr>
        <w:t>Email for correspondence: Richard Holt righ@soton.ac.uk</w:t>
      </w:r>
    </w:p>
    <w:p w14:paraId="7AE9B138" w14:textId="72409B97" w:rsidR="00454101" w:rsidRPr="0035461C" w:rsidRDefault="00454101" w:rsidP="00454101">
      <w:pPr>
        <w:spacing w:before="120"/>
        <w:jc w:val="both"/>
        <w:rPr>
          <w:rFonts w:ascii="Calibri" w:hAnsi="Calibri" w:cs="Calibri"/>
        </w:rPr>
      </w:pPr>
    </w:p>
    <w:p w14:paraId="339DDF93" w14:textId="6CD3FE50" w:rsidR="00454101" w:rsidRPr="0035461C" w:rsidRDefault="00454101" w:rsidP="00454101">
      <w:pPr>
        <w:spacing w:before="120"/>
        <w:jc w:val="both"/>
        <w:rPr>
          <w:rFonts w:ascii="Calibri" w:hAnsi="Calibri" w:cs="Calibri"/>
        </w:rPr>
      </w:pPr>
      <w:r w:rsidRPr="0035461C">
        <w:rPr>
          <w:rFonts w:ascii="Calibri" w:hAnsi="Calibri" w:cs="Calibri"/>
        </w:rPr>
        <w:t>This article is being simultaneously published in Diabetes Care and Diabetologia by the American Diabetes Association and the European Association for the Study of Diabetes</w:t>
      </w:r>
      <w:r w:rsidR="00E22EDB" w:rsidRPr="0035461C">
        <w:rPr>
          <w:rFonts w:ascii="Calibri" w:hAnsi="Calibri" w:cs="Calibri"/>
        </w:rPr>
        <w:t>, respectively</w:t>
      </w:r>
      <w:r w:rsidRPr="0035461C">
        <w:rPr>
          <w:rFonts w:ascii="Calibri" w:hAnsi="Calibri" w:cs="Calibri"/>
        </w:rPr>
        <w:t>.</w:t>
      </w:r>
    </w:p>
    <w:p w14:paraId="3A7FD930" w14:textId="55BBD496" w:rsidR="00454101" w:rsidRPr="0035461C" w:rsidRDefault="00454101" w:rsidP="00454101">
      <w:pPr>
        <w:spacing w:before="120"/>
        <w:jc w:val="both"/>
        <w:rPr>
          <w:rFonts w:ascii="Calibri" w:hAnsi="Calibri" w:cs="Calibri"/>
        </w:rPr>
      </w:pPr>
    </w:p>
    <w:p w14:paraId="21D769A4" w14:textId="250F7D8E" w:rsidR="00A9782B" w:rsidRPr="0035461C" w:rsidRDefault="00454101" w:rsidP="00454101">
      <w:pPr>
        <w:spacing w:before="120"/>
        <w:jc w:val="both"/>
        <w:rPr>
          <w:rFonts w:ascii="Calibri" w:hAnsi="Calibri" w:cs="Calibri"/>
        </w:rPr>
      </w:pPr>
      <w:r w:rsidRPr="0035461C">
        <w:rPr>
          <w:rFonts w:ascii="Calibri" w:hAnsi="Calibri" w:cs="Calibri"/>
        </w:rPr>
        <w:t>Key words: type 1 diabetes, diagnosis, schedule of care, insulin, glucose monitoring, hypoglycaemia, diabetic ketoacidosis, adjunctive therapy, nutrition, exercise, psychosocial care, transplantation</w:t>
      </w:r>
    </w:p>
    <w:p w14:paraId="58935CC8" w14:textId="77777777" w:rsidR="00A42893" w:rsidRPr="0035461C" w:rsidRDefault="00A42893" w:rsidP="00A42893">
      <w:pPr>
        <w:spacing w:after="160" w:line="259" w:lineRule="auto"/>
        <w:rPr>
          <w:rFonts w:ascii="Calibri" w:hAnsi="Calibri" w:cs="Calibri"/>
        </w:rPr>
      </w:pPr>
    </w:p>
    <w:p w14:paraId="691BD8A3" w14:textId="77777777" w:rsidR="00360A48" w:rsidRDefault="00360A48">
      <w:pPr>
        <w:spacing w:after="160" w:line="259" w:lineRule="auto"/>
        <w:rPr>
          <w:rFonts w:ascii="Calibri" w:hAnsi="Calibri" w:cs="Calibri"/>
          <w:b/>
          <w:bCs/>
        </w:rPr>
      </w:pPr>
      <w:r>
        <w:rPr>
          <w:rFonts w:ascii="Calibri" w:hAnsi="Calibri" w:cs="Calibri"/>
          <w:b/>
          <w:bCs/>
        </w:rPr>
        <w:br w:type="page"/>
      </w:r>
    </w:p>
    <w:p w14:paraId="383A0646" w14:textId="6DDD97F7" w:rsidR="00195224" w:rsidRPr="0035461C" w:rsidRDefault="00A9782B" w:rsidP="00A42893">
      <w:pPr>
        <w:spacing w:after="160" w:line="259" w:lineRule="auto"/>
        <w:rPr>
          <w:rFonts w:ascii="Calibri" w:hAnsi="Calibri" w:cs="Calibri"/>
          <w:b/>
          <w:bCs/>
        </w:rPr>
      </w:pPr>
      <w:bookmarkStart w:id="0" w:name="_GoBack"/>
      <w:bookmarkEnd w:id="0"/>
      <w:r w:rsidRPr="0035461C">
        <w:rPr>
          <w:rFonts w:ascii="Calibri" w:hAnsi="Calibri" w:cs="Calibri"/>
          <w:b/>
          <w:bCs/>
        </w:rPr>
        <w:t>List of A</w:t>
      </w:r>
      <w:r w:rsidR="00A42893" w:rsidRPr="0035461C">
        <w:rPr>
          <w:rFonts w:ascii="Calibri" w:hAnsi="Calibri" w:cs="Calibri"/>
          <w:b/>
          <w:bCs/>
        </w:rPr>
        <w:t>bbreviations</w:t>
      </w:r>
    </w:p>
    <w:p w14:paraId="448A8662" w14:textId="49A68B81" w:rsidR="00373BF8" w:rsidRPr="0035461C" w:rsidRDefault="00373BF8">
      <w:pPr>
        <w:rPr>
          <w:rFonts w:ascii="Calibri" w:hAnsi="Calibri" w:cs="Calibri"/>
          <w:color w:val="000000"/>
          <w:shd w:val="clear" w:color="auto" w:fill="FFFFFF"/>
        </w:rPr>
      </w:pPr>
      <w:r w:rsidRPr="0035461C">
        <w:rPr>
          <w:rFonts w:ascii="Calibri" w:hAnsi="Calibri" w:cs="Calibri"/>
          <w:color w:val="000000"/>
          <w:shd w:val="clear" w:color="auto" w:fill="FFFFFF"/>
        </w:rPr>
        <w:t>BGM:</w:t>
      </w:r>
      <w:r w:rsidRPr="0035461C">
        <w:rPr>
          <w:rFonts w:ascii="Calibri" w:hAnsi="Calibri" w:cs="Calibri"/>
          <w:color w:val="000000"/>
          <w:shd w:val="clear" w:color="auto" w:fill="FFFFFF"/>
        </w:rPr>
        <w:tab/>
      </w:r>
      <w:r w:rsidRPr="0035461C">
        <w:rPr>
          <w:rFonts w:ascii="Calibri" w:hAnsi="Calibri" w:cs="Calibri"/>
          <w:color w:val="000000"/>
          <w:shd w:val="clear" w:color="auto" w:fill="FFFFFF"/>
        </w:rPr>
        <w:tab/>
        <w:t>Blood glucose monitoring</w:t>
      </w:r>
    </w:p>
    <w:p w14:paraId="3D82F6DA" w14:textId="0CC410AE" w:rsidR="00EF4B4D" w:rsidRDefault="00EF4B4D">
      <w:pPr>
        <w:rPr>
          <w:rFonts w:ascii="Calibri" w:hAnsi="Calibri" w:cs="Calibri"/>
          <w:color w:val="000000"/>
          <w:shd w:val="clear" w:color="auto" w:fill="FFFFFF"/>
        </w:rPr>
      </w:pPr>
      <w:r>
        <w:rPr>
          <w:rFonts w:ascii="Calibri" w:hAnsi="Calibri" w:cs="Calibri"/>
          <w:color w:val="000000"/>
          <w:shd w:val="clear" w:color="auto" w:fill="FFFFFF"/>
        </w:rPr>
        <w:t>BMI:</w:t>
      </w:r>
      <w:r>
        <w:rPr>
          <w:rFonts w:ascii="Calibri" w:hAnsi="Calibri" w:cs="Calibri"/>
          <w:color w:val="000000"/>
          <w:shd w:val="clear" w:color="auto" w:fill="FFFFFF"/>
        </w:rPr>
        <w:tab/>
      </w:r>
      <w:r>
        <w:rPr>
          <w:rFonts w:ascii="Calibri" w:hAnsi="Calibri" w:cs="Calibri"/>
          <w:color w:val="000000"/>
          <w:shd w:val="clear" w:color="auto" w:fill="FFFFFF"/>
        </w:rPr>
        <w:tab/>
        <w:t>Body mass index</w:t>
      </w:r>
    </w:p>
    <w:p w14:paraId="18D3367A" w14:textId="241E67DB" w:rsidR="00373BF8" w:rsidRPr="0035461C" w:rsidRDefault="00373BF8">
      <w:pPr>
        <w:rPr>
          <w:rFonts w:ascii="Calibri" w:hAnsi="Calibri" w:cs="Calibri"/>
          <w:color w:val="000000"/>
          <w:shd w:val="clear" w:color="auto" w:fill="FFFFFF"/>
        </w:rPr>
      </w:pPr>
      <w:r w:rsidRPr="0035461C">
        <w:rPr>
          <w:rFonts w:ascii="Calibri" w:hAnsi="Calibri" w:cs="Calibri"/>
          <w:color w:val="000000"/>
          <w:shd w:val="clear" w:color="auto" w:fill="FFFFFF"/>
        </w:rPr>
        <w:t>CGM:</w:t>
      </w:r>
      <w:r w:rsidRPr="0035461C">
        <w:rPr>
          <w:rFonts w:ascii="Calibri" w:hAnsi="Calibri" w:cs="Calibri"/>
          <w:color w:val="000000"/>
          <w:shd w:val="clear" w:color="auto" w:fill="FFFFFF"/>
        </w:rPr>
        <w:tab/>
      </w:r>
      <w:r w:rsidRPr="0035461C">
        <w:rPr>
          <w:rFonts w:ascii="Calibri" w:hAnsi="Calibri" w:cs="Calibri"/>
          <w:color w:val="000000"/>
          <w:shd w:val="clear" w:color="auto" w:fill="FFFFFF"/>
        </w:rPr>
        <w:tab/>
        <w:t>C</w:t>
      </w:r>
      <w:r w:rsidRPr="0035461C">
        <w:rPr>
          <w:rFonts w:ascii="Calibri" w:hAnsi="Calibri" w:cs="Calibri"/>
        </w:rPr>
        <w:t>ontinuous glucose monitoring</w:t>
      </w:r>
    </w:p>
    <w:p w14:paraId="4ACCA1FC" w14:textId="4D5FFB83" w:rsidR="00EF4B4D" w:rsidRDefault="00EF4B4D">
      <w:pPr>
        <w:rPr>
          <w:rFonts w:ascii="Calibri" w:hAnsi="Calibri" w:cs="Calibri"/>
          <w:color w:val="000000"/>
          <w:shd w:val="clear" w:color="auto" w:fill="FFFFFF"/>
        </w:rPr>
      </w:pPr>
      <w:r>
        <w:rPr>
          <w:rFonts w:ascii="Calibri" w:hAnsi="Calibri" w:cs="Calibri"/>
        </w:rPr>
        <w:t>DCCT</w:t>
      </w:r>
      <w:r>
        <w:rPr>
          <w:rFonts w:ascii="Calibri" w:hAnsi="Calibri" w:cs="Calibri"/>
        </w:rPr>
        <w:tab/>
      </w:r>
      <w:r>
        <w:rPr>
          <w:rFonts w:ascii="Calibri" w:hAnsi="Calibri" w:cs="Calibri"/>
        </w:rPr>
        <w:tab/>
      </w:r>
      <w:r w:rsidRPr="00EF4B4D">
        <w:rPr>
          <w:rFonts w:ascii="Calibri" w:hAnsi="Calibri" w:cs="Calibri"/>
        </w:rPr>
        <w:t>Diabetes Control and Complications Trial</w:t>
      </w:r>
    </w:p>
    <w:p w14:paraId="3444C825" w14:textId="7DE81077" w:rsidR="007F6240" w:rsidRPr="0035461C" w:rsidRDefault="007F6240">
      <w:pPr>
        <w:rPr>
          <w:rFonts w:ascii="Calibri" w:hAnsi="Calibri" w:cs="Calibri"/>
          <w:color w:val="000000"/>
          <w:shd w:val="clear" w:color="auto" w:fill="FFFFFF"/>
        </w:rPr>
      </w:pPr>
      <w:r w:rsidRPr="0035461C">
        <w:rPr>
          <w:rFonts w:ascii="Calibri" w:hAnsi="Calibri" w:cs="Calibri"/>
          <w:color w:val="000000"/>
          <w:shd w:val="clear" w:color="auto" w:fill="FFFFFF"/>
        </w:rPr>
        <w:t xml:space="preserve">DKA: </w:t>
      </w:r>
      <w:r w:rsidRPr="0035461C">
        <w:rPr>
          <w:rFonts w:ascii="Calibri" w:hAnsi="Calibri" w:cs="Calibri"/>
          <w:color w:val="000000"/>
          <w:shd w:val="clear" w:color="auto" w:fill="FFFFFF"/>
        </w:rPr>
        <w:tab/>
      </w:r>
      <w:r w:rsidRPr="0035461C">
        <w:rPr>
          <w:rFonts w:ascii="Calibri" w:hAnsi="Calibri" w:cs="Calibri"/>
          <w:color w:val="000000"/>
          <w:shd w:val="clear" w:color="auto" w:fill="FFFFFF"/>
        </w:rPr>
        <w:tab/>
      </w:r>
      <w:r w:rsidR="00373BF8" w:rsidRPr="0035461C">
        <w:rPr>
          <w:rFonts w:ascii="Calibri" w:hAnsi="Calibri" w:cs="Calibri"/>
          <w:color w:val="000000"/>
          <w:shd w:val="clear" w:color="auto" w:fill="FFFFFF"/>
        </w:rPr>
        <w:t>D</w:t>
      </w:r>
      <w:r w:rsidRPr="0035461C">
        <w:rPr>
          <w:rFonts w:ascii="Calibri" w:hAnsi="Calibri" w:cs="Calibri"/>
          <w:color w:val="000000"/>
          <w:shd w:val="clear" w:color="auto" w:fill="FFFFFF"/>
        </w:rPr>
        <w:t>iabetic ketoacidosis</w:t>
      </w:r>
    </w:p>
    <w:p w14:paraId="4E33EA1C" w14:textId="447E6EDD" w:rsidR="007F6240" w:rsidRPr="0035461C" w:rsidRDefault="007F6240">
      <w:pPr>
        <w:rPr>
          <w:rFonts w:ascii="Calibri" w:hAnsi="Calibri" w:cs="Calibri"/>
          <w:color w:val="000000"/>
          <w:shd w:val="clear" w:color="auto" w:fill="FFFFFF"/>
        </w:rPr>
      </w:pPr>
      <w:r w:rsidRPr="0035461C">
        <w:rPr>
          <w:rFonts w:ascii="Calibri" w:hAnsi="Calibri" w:cs="Calibri"/>
          <w:color w:val="000000"/>
          <w:shd w:val="clear" w:color="auto" w:fill="FFFFFF"/>
        </w:rPr>
        <w:t xml:space="preserve">DSMES: </w:t>
      </w:r>
      <w:r w:rsidRPr="0035461C">
        <w:rPr>
          <w:rFonts w:ascii="Calibri" w:hAnsi="Calibri" w:cs="Calibri"/>
          <w:color w:val="000000"/>
          <w:shd w:val="clear" w:color="auto" w:fill="FFFFFF"/>
        </w:rPr>
        <w:tab/>
      </w:r>
      <w:r w:rsidR="00373BF8" w:rsidRPr="0035461C">
        <w:rPr>
          <w:rFonts w:ascii="Calibri" w:hAnsi="Calibri" w:cs="Calibri"/>
          <w:color w:val="000000"/>
          <w:shd w:val="clear" w:color="auto" w:fill="FFFFFF"/>
        </w:rPr>
        <w:t>D</w:t>
      </w:r>
      <w:r w:rsidRPr="0035461C">
        <w:rPr>
          <w:rFonts w:ascii="Calibri" w:hAnsi="Calibri" w:cs="Calibri"/>
          <w:color w:val="000000"/>
          <w:shd w:val="clear" w:color="auto" w:fill="FFFFFF"/>
        </w:rPr>
        <w:t xml:space="preserve">iabetes self-management education and support </w:t>
      </w:r>
    </w:p>
    <w:p w14:paraId="06CA8A21" w14:textId="3638F78A" w:rsidR="00EF4B4D" w:rsidRDefault="00EF4B4D">
      <w:pPr>
        <w:rPr>
          <w:rFonts w:ascii="Calibri" w:hAnsi="Calibri" w:cs="Calibri"/>
          <w:color w:val="232323"/>
          <w:shd w:val="clear" w:color="auto" w:fill="FFFFFF"/>
        </w:rPr>
      </w:pPr>
      <w:r>
        <w:rPr>
          <w:rFonts w:ascii="Calibri" w:hAnsi="Calibri" w:cs="Calibri"/>
          <w:color w:val="232323"/>
          <w:shd w:val="clear" w:color="auto" w:fill="FFFFFF"/>
        </w:rPr>
        <w:t>EDIC</w:t>
      </w:r>
      <w:r>
        <w:rPr>
          <w:rFonts w:ascii="Calibri" w:hAnsi="Calibri" w:cs="Calibri"/>
          <w:color w:val="232323"/>
          <w:shd w:val="clear" w:color="auto" w:fill="FFFFFF"/>
        </w:rPr>
        <w:tab/>
      </w:r>
      <w:r>
        <w:rPr>
          <w:rFonts w:ascii="Calibri" w:hAnsi="Calibri" w:cs="Calibri"/>
          <w:color w:val="232323"/>
          <w:shd w:val="clear" w:color="auto" w:fill="FFFFFF"/>
        </w:rPr>
        <w:tab/>
      </w:r>
      <w:r w:rsidRPr="00337517">
        <w:rPr>
          <w:rFonts w:ascii="Calibri" w:hAnsi="Calibri" w:cs="Calibri"/>
          <w:color w:val="232323"/>
          <w:shd w:val="clear" w:color="auto" w:fill="FFFFFF"/>
        </w:rPr>
        <w:t xml:space="preserve">Epidemiology of Diabetes Interventions and Complications </w:t>
      </w:r>
    </w:p>
    <w:p w14:paraId="509CCDE3" w14:textId="1C0BABCD" w:rsidR="00373BF8" w:rsidRPr="0035461C" w:rsidRDefault="00373BF8">
      <w:pPr>
        <w:rPr>
          <w:rFonts w:ascii="Calibri" w:hAnsi="Calibri" w:cs="Calibri"/>
          <w:color w:val="000000"/>
          <w:shd w:val="clear" w:color="auto" w:fill="FFFFFF"/>
        </w:rPr>
      </w:pPr>
      <w:r w:rsidRPr="0035461C">
        <w:rPr>
          <w:rFonts w:ascii="Calibri" w:hAnsi="Calibri" w:cs="Calibri"/>
          <w:color w:val="000000"/>
          <w:shd w:val="clear" w:color="auto" w:fill="FFFFFF"/>
        </w:rPr>
        <w:t>GMI:</w:t>
      </w:r>
      <w:r w:rsidRPr="0035461C">
        <w:rPr>
          <w:rFonts w:ascii="Calibri" w:hAnsi="Calibri" w:cs="Calibri"/>
          <w:color w:val="000000"/>
          <w:shd w:val="clear" w:color="auto" w:fill="FFFFFF"/>
        </w:rPr>
        <w:tab/>
      </w:r>
      <w:r w:rsidRPr="0035461C">
        <w:rPr>
          <w:rFonts w:ascii="Calibri" w:hAnsi="Calibri" w:cs="Calibri"/>
          <w:color w:val="000000"/>
          <w:shd w:val="clear" w:color="auto" w:fill="FFFFFF"/>
        </w:rPr>
        <w:tab/>
      </w:r>
      <w:r w:rsidRPr="0035461C">
        <w:rPr>
          <w:rFonts w:ascii="Calibri" w:hAnsi="Calibri" w:cs="Calibri"/>
        </w:rPr>
        <w:t>Glucose Management Indicator</w:t>
      </w:r>
    </w:p>
    <w:p w14:paraId="6B8DE4C0" w14:textId="018B1509" w:rsidR="00373BF8" w:rsidRPr="0035461C" w:rsidRDefault="00373BF8">
      <w:pPr>
        <w:rPr>
          <w:rFonts w:ascii="Calibri" w:hAnsi="Calibri" w:cs="Calibri"/>
          <w:color w:val="000000"/>
          <w:shd w:val="clear" w:color="auto" w:fill="FFFFFF"/>
        </w:rPr>
      </w:pPr>
      <w:r w:rsidRPr="0035461C">
        <w:rPr>
          <w:rFonts w:ascii="Calibri" w:hAnsi="Calibri" w:cs="Calibri"/>
          <w:color w:val="000000"/>
          <w:shd w:val="clear" w:color="auto" w:fill="FFFFFF"/>
        </w:rPr>
        <w:t>HbA</w:t>
      </w:r>
      <w:r w:rsidRPr="0035461C">
        <w:rPr>
          <w:rFonts w:ascii="Calibri" w:hAnsi="Calibri" w:cs="Calibri"/>
          <w:color w:val="000000"/>
          <w:shd w:val="clear" w:color="auto" w:fill="FFFFFF"/>
          <w:vertAlign w:val="subscript"/>
        </w:rPr>
        <w:t>1c</w:t>
      </w:r>
      <w:r w:rsidRPr="0035461C">
        <w:rPr>
          <w:rFonts w:ascii="Calibri" w:hAnsi="Calibri" w:cs="Calibri"/>
          <w:color w:val="000000"/>
          <w:shd w:val="clear" w:color="auto" w:fill="FFFFFF"/>
        </w:rPr>
        <w:t>:</w:t>
      </w:r>
      <w:r w:rsidRPr="0035461C">
        <w:rPr>
          <w:rFonts w:ascii="Calibri" w:hAnsi="Calibri" w:cs="Calibri"/>
          <w:color w:val="000000"/>
          <w:shd w:val="clear" w:color="auto" w:fill="FFFFFF"/>
        </w:rPr>
        <w:tab/>
      </w:r>
      <w:r w:rsidRPr="0035461C">
        <w:rPr>
          <w:rFonts w:ascii="Calibri" w:hAnsi="Calibri" w:cs="Calibri"/>
          <w:color w:val="000000"/>
          <w:shd w:val="clear" w:color="auto" w:fill="FFFFFF"/>
        </w:rPr>
        <w:tab/>
        <w:t>Glycate</w:t>
      </w:r>
      <w:r w:rsidR="00D50C68" w:rsidRPr="0035461C">
        <w:rPr>
          <w:rFonts w:ascii="Calibri" w:hAnsi="Calibri" w:cs="Calibri"/>
          <w:color w:val="000000"/>
          <w:shd w:val="clear" w:color="auto" w:fill="FFFFFF"/>
        </w:rPr>
        <w:t>d</w:t>
      </w:r>
      <w:r w:rsidRPr="0035461C">
        <w:rPr>
          <w:rFonts w:ascii="Calibri" w:hAnsi="Calibri" w:cs="Calibri"/>
          <w:color w:val="000000"/>
          <w:shd w:val="clear" w:color="auto" w:fill="FFFFFF"/>
        </w:rPr>
        <w:t xml:space="preserve"> </w:t>
      </w:r>
      <w:proofErr w:type="spellStart"/>
      <w:r w:rsidRPr="0035461C">
        <w:rPr>
          <w:rFonts w:ascii="Calibri" w:hAnsi="Calibri" w:cs="Calibri"/>
          <w:color w:val="000000"/>
          <w:shd w:val="clear" w:color="auto" w:fill="FFFFFF"/>
        </w:rPr>
        <w:t>haemoglobin</w:t>
      </w:r>
      <w:proofErr w:type="spellEnd"/>
      <w:r w:rsidRPr="0035461C">
        <w:rPr>
          <w:rFonts w:ascii="Calibri" w:hAnsi="Calibri" w:cs="Calibri"/>
          <w:color w:val="000000"/>
          <w:shd w:val="clear" w:color="auto" w:fill="FFFFFF"/>
        </w:rPr>
        <w:t xml:space="preserve"> </w:t>
      </w:r>
      <w:proofErr w:type="gramStart"/>
      <w:r w:rsidRPr="0035461C">
        <w:rPr>
          <w:rFonts w:ascii="Calibri" w:hAnsi="Calibri" w:cs="Calibri"/>
          <w:color w:val="000000"/>
          <w:shd w:val="clear" w:color="auto" w:fill="FFFFFF"/>
        </w:rPr>
        <w:t>A</w:t>
      </w:r>
      <w:r w:rsidRPr="0035461C">
        <w:rPr>
          <w:rFonts w:ascii="Calibri" w:hAnsi="Calibri" w:cs="Calibri"/>
          <w:color w:val="000000"/>
          <w:shd w:val="clear" w:color="auto" w:fill="FFFFFF"/>
          <w:vertAlign w:val="subscript"/>
        </w:rPr>
        <w:t>1c</w:t>
      </w:r>
      <w:proofErr w:type="gramEnd"/>
    </w:p>
    <w:p w14:paraId="026BADE4" w14:textId="5F230A24" w:rsidR="00EF4B4D" w:rsidRDefault="00EF4B4D">
      <w:pPr>
        <w:rPr>
          <w:rFonts w:ascii="Calibri" w:hAnsi="Calibri" w:cs="Calibri"/>
          <w:color w:val="000000"/>
          <w:shd w:val="clear" w:color="auto" w:fill="FFFFFF"/>
        </w:rPr>
      </w:pPr>
      <w:r>
        <w:rPr>
          <w:rFonts w:ascii="Calibri" w:hAnsi="Calibri" w:cs="Calibri"/>
        </w:rPr>
        <w:t>IAH</w:t>
      </w:r>
      <w:r>
        <w:rPr>
          <w:rFonts w:ascii="Calibri" w:hAnsi="Calibri" w:cs="Calibri"/>
        </w:rPr>
        <w:tab/>
      </w:r>
      <w:r>
        <w:rPr>
          <w:rFonts w:ascii="Calibri" w:hAnsi="Calibri" w:cs="Calibri"/>
        </w:rPr>
        <w:tab/>
      </w:r>
      <w:r w:rsidRPr="0035461C">
        <w:rPr>
          <w:rFonts w:ascii="Calibri" w:hAnsi="Calibri" w:cs="Calibri"/>
        </w:rPr>
        <w:t>Impaired awareness of hypoglycaemia</w:t>
      </w:r>
    </w:p>
    <w:p w14:paraId="1CFD2DD2" w14:textId="11B25B77" w:rsidR="007F6240" w:rsidRPr="0035461C" w:rsidRDefault="007F6240">
      <w:pPr>
        <w:rPr>
          <w:rFonts w:ascii="Calibri" w:hAnsi="Calibri" w:cs="Calibri"/>
          <w:color w:val="000000"/>
          <w:shd w:val="clear" w:color="auto" w:fill="FFFFFF"/>
        </w:rPr>
      </w:pPr>
      <w:r w:rsidRPr="0035461C">
        <w:rPr>
          <w:rFonts w:ascii="Calibri" w:hAnsi="Calibri" w:cs="Calibri"/>
          <w:color w:val="000000"/>
          <w:shd w:val="clear" w:color="auto" w:fill="FFFFFF"/>
        </w:rPr>
        <w:t xml:space="preserve">NPH: </w:t>
      </w:r>
      <w:r w:rsidRPr="0035461C">
        <w:rPr>
          <w:rFonts w:ascii="Calibri" w:hAnsi="Calibri" w:cs="Calibri"/>
          <w:color w:val="000000"/>
          <w:shd w:val="clear" w:color="auto" w:fill="FFFFFF"/>
        </w:rPr>
        <w:tab/>
      </w:r>
      <w:r w:rsidRPr="0035461C">
        <w:rPr>
          <w:rFonts w:ascii="Calibri" w:hAnsi="Calibri" w:cs="Calibri"/>
          <w:color w:val="000000"/>
          <w:shd w:val="clear" w:color="auto" w:fill="FFFFFF"/>
        </w:rPr>
        <w:tab/>
        <w:t xml:space="preserve">Neutral protamine </w:t>
      </w:r>
      <w:proofErr w:type="spellStart"/>
      <w:r w:rsidRPr="0035461C">
        <w:rPr>
          <w:rFonts w:ascii="Calibri" w:hAnsi="Calibri" w:cs="Calibri"/>
          <w:color w:val="000000"/>
          <w:shd w:val="clear" w:color="auto" w:fill="FFFFFF"/>
        </w:rPr>
        <w:t>Hagedorn</w:t>
      </w:r>
      <w:proofErr w:type="spellEnd"/>
    </w:p>
    <w:p w14:paraId="1C2C77AF" w14:textId="0381C5F6" w:rsidR="00293E98" w:rsidRDefault="00293E98">
      <w:pPr>
        <w:rPr>
          <w:rFonts w:ascii="Calibri" w:hAnsi="Calibri" w:cs="Calibri"/>
          <w:color w:val="000000"/>
          <w:shd w:val="clear" w:color="auto" w:fill="FFFFFF"/>
        </w:rPr>
      </w:pPr>
      <w:r>
        <w:rPr>
          <w:rFonts w:ascii="Calibri" w:hAnsi="Calibri" w:cs="Calibri"/>
          <w:color w:val="000000"/>
          <w:shd w:val="clear" w:color="auto" w:fill="FFFFFF"/>
        </w:rPr>
        <w:t>RCT:</w:t>
      </w:r>
      <w:r>
        <w:rPr>
          <w:rFonts w:ascii="Calibri" w:hAnsi="Calibri" w:cs="Calibri"/>
          <w:color w:val="000000"/>
          <w:shd w:val="clear" w:color="auto" w:fill="FFFFFF"/>
        </w:rPr>
        <w:tab/>
      </w:r>
      <w:r>
        <w:rPr>
          <w:rFonts w:ascii="Calibri" w:hAnsi="Calibri" w:cs="Calibri"/>
          <w:color w:val="000000"/>
          <w:shd w:val="clear" w:color="auto" w:fill="FFFFFF"/>
        </w:rPr>
        <w:tab/>
        <w:t>Randomized controlled trials</w:t>
      </w:r>
    </w:p>
    <w:p w14:paraId="5DD0B5A7" w14:textId="731588C2" w:rsidR="00373BF8" w:rsidRPr="0035461C" w:rsidRDefault="007F6240">
      <w:pPr>
        <w:rPr>
          <w:rFonts w:ascii="Calibri" w:hAnsi="Calibri" w:cs="Calibri"/>
          <w:color w:val="000000"/>
          <w:shd w:val="clear" w:color="auto" w:fill="FFFFFF"/>
        </w:rPr>
      </w:pPr>
      <w:r w:rsidRPr="0035461C">
        <w:rPr>
          <w:rFonts w:ascii="Calibri" w:hAnsi="Calibri" w:cs="Calibri"/>
          <w:color w:val="000000"/>
          <w:shd w:val="clear" w:color="auto" w:fill="FFFFFF"/>
        </w:rPr>
        <w:t>TIR:</w:t>
      </w:r>
      <w:r w:rsidRPr="0035461C">
        <w:rPr>
          <w:rFonts w:ascii="Calibri" w:hAnsi="Calibri" w:cs="Calibri"/>
          <w:color w:val="000000"/>
          <w:shd w:val="clear" w:color="auto" w:fill="FFFFFF"/>
        </w:rPr>
        <w:tab/>
      </w:r>
      <w:r w:rsidRPr="0035461C">
        <w:rPr>
          <w:rFonts w:ascii="Calibri" w:hAnsi="Calibri" w:cs="Calibri"/>
          <w:color w:val="000000"/>
          <w:shd w:val="clear" w:color="auto" w:fill="FFFFFF"/>
        </w:rPr>
        <w:tab/>
        <w:t>Time in range</w:t>
      </w:r>
    </w:p>
    <w:p w14:paraId="38E21018" w14:textId="553ED07D" w:rsidR="00195224" w:rsidRPr="0035461C" w:rsidRDefault="00373BF8" w:rsidP="00373BF8">
      <w:pPr>
        <w:rPr>
          <w:rFonts w:ascii="Calibri" w:hAnsi="Calibri" w:cs="Calibri"/>
        </w:rPr>
      </w:pPr>
      <w:r w:rsidRPr="0035461C">
        <w:rPr>
          <w:rFonts w:ascii="Calibri" w:hAnsi="Calibri" w:cs="Calibri"/>
          <w:color w:val="000000"/>
          <w:shd w:val="clear" w:color="auto" w:fill="FFFFFF"/>
        </w:rPr>
        <w:t>TBR:</w:t>
      </w:r>
      <w:r w:rsidRPr="0035461C">
        <w:rPr>
          <w:rFonts w:ascii="Calibri" w:hAnsi="Calibri" w:cs="Calibri"/>
          <w:color w:val="000000"/>
          <w:shd w:val="clear" w:color="auto" w:fill="FFFFFF"/>
        </w:rPr>
        <w:tab/>
      </w:r>
      <w:r w:rsidRPr="0035461C">
        <w:rPr>
          <w:rFonts w:ascii="Calibri" w:hAnsi="Calibri" w:cs="Calibri"/>
        </w:rPr>
        <w:tab/>
        <w:t>Time below range</w:t>
      </w:r>
      <w:r w:rsidR="00195224" w:rsidRPr="0035461C">
        <w:rPr>
          <w:rFonts w:ascii="Calibri" w:hAnsi="Calibri" w:cs="Calibri"/>
        </w:rPr>
        <w:br w:type="page"/>
      </w:r>
    </w:p>
    <w:p w14:paraId="50034E82" w14:textId="77777777" w:rsidR="00195224" w:rsidRPr="0035461C" w:rsidRDefault="00195224" w:rsidP="00454101">
      <w:pPr>
        <w:spacing w:before="120"/>
        <w:jc w:val="both"/>
        <w:rPr>
          <w:rFonts w:ascii="Calibri" w:hAnsi="Calibri" w:cs="Calibri"/>
          <w:b/>
        </w:rPr>
      </w:pPr>
      <w:r w:rsidRPr="0035461C">
        <w:rPr>
          <w:rFonts w:ascii="Calibri" w:hAnsi="Calibri" w:cs="Calibri"/>
          <w:b/>
        </w:rPr>
        <w:t xml:space="preserve">Abstract </w:t>
      </w:r>
    </w:p>
    <w:p w14:paraId="29834F06" w14:textId="2D7B6AB4" w:rsidR="00D608CE" w:rsidRPr="0035461C" w:rsidRDefault="00D608CE" w:rsidP="001C5BC0">
      <w:pPr>
        <w:spacing w:before="120"/>
        <w:jc w:val="both"/>
        <w:rPr>
          <w:rFonts w:ascii="Calibri" w:hAnsi="Calibri" w:cs="Calibri"/>
          <w:color w:val="000000"/>
          <w:shd w:val="clear" w:color="auto" w:fill="FFFFFF"/>
        </w:rPr>
      </w:pPr>
    </w:p>
    <w:p w14:paraId="71C20CD5" w14:textId="293DE3BD" w:rsidR="009F6CFA" w:rsidRPr="0035461C" w:rsidRDefault="00F73871" w:rsidP="00F73871">
      <w:pPr>
        <w:pStyle w:val="xmsonormal"/>
        <w:spacing w:before="120" w:beforeAutospacing="0" w:after="0" w:afterAutospacing="0"/>
        <w:jc w:val="both"/>
        <w:rPr>
          <w:rFonts w:ascii="Calibri" w:hAnsi="Calibri" w:cs="Calibri"/>
          <w:b/>
          <w:sz w:val="28"/>
        </w:rPr>
      </w:pPr>
      <w:r w:rsidRPr="0035461C">
        <w:rPr>
          <w:rFonts w:ascii="Calibri" w:hAnsi="Calibri" w:cs="Calibri"/>
          <w:szCs w:val="22"/>
        </w:rPr>
        <w:t xml:space="preserve">The American Diabetes Association and the European Association for the Study of Diabetes convened a </w:t>
      </w:r>
      <w:r w:rsidR="00DD4FB3" w:rsidRPr="0035461C">
        <w:rPr>
          <w:rFonts w:ascii="Calibri" w:hAnsi="Calibri" w:cs="Calibri"/>
          <w:szCs w:val="22"/>
        </w:rPr>
        <w:t>writing group</w:t>
      </w:r>
      <w:r w:rsidRPr="0035461C">
        <w:rPr>
          <w:rFonts w:ascii="Calibri" w:hAnsi="Calibri" w:cs="Calibri"/>
          <w:szCs w:val="22"/>
        </w:rPr>
        <w:t xml:space="preserve"> to develop a consensus statement on the management of type 1 diabetes in adults. The writing group has considered the rapid development of new treatments and technologies and addressed the following topics: diagnosis, aims of management, schedule of care, </w:t>
      </w:r>
      <w:r w:rsidR="00A640F2" w:rsidRPr="0035461C">
        <w:rPr>
          <w:rFonts w:ascii="Calibri" w:hAnsi="Calibri" w:cs="Calibri"/>
          <w:szCs w:val="22"/>
        </w:rPr>
        <w:t xml:space="preserve">diabetes self-management education and support, </w:t>
      </w:r>
      <w:r w:rsidRPr="0035461C">
        <w:rPr>
          <w:rFonts w:ascii="Calibri" w:hAnsi="Calibri" w:cs="Calibri"/>
          <w:szCs w:val="22"/>
        </w:rPr>
        <w:t xml:space="preserve">monitoring, insulin therapy, hypoglycaemia, </w:t>
      </w:r>
      <w:r w:rsidR="00A640F2" w:rsidRPr="0035461C">
        <w:rPr>
          <w:rFonts w:ascii="Calibri" w:hAnsi="Calibri" w:cs="Calibri"/>
          <w:szCs w:val="22"/>
        </w:rPr>
        <w:t xml:space="preserve">behavioural considerations, psychosocial care, </w:t>
      </w:r>
      <w:r w:rsidRPr="0035461C">
        <w:rPr>
          <w:rFonts w:ascii="Calibri" w:hAnsi="Calibri" w:cs="Calibri"/>
          <w:szCs w:val="22"/>
        </w:rPr>
        <w:t>diabetic ketoacidosis</w:t>
      </w:r>
      <w:r w:rsidR="00EE2A0A">
        <w:rPr>
          <w:rFonts w:ascii="Calibri" w:hAnsi="Calibri" w:cs="Calibri"/>
          <w:szCs w:val="22"/>
        </w:rPr>
        <w:t xml:space="preserve"> (DKA)</w:t>
      </w:r>
      <w:r w:rsidRPr="0035461C">
        <w:rPr>
          <w:rFonts w:ascii="Calibri" w:hAnsi="Calibri" w:cs="Calibri"/>
          <w:szCs w:val="22"/>
        </w:rPr>
        <w:t xml:space="preserve">, pancreas and islet transplantation, adjunctive therapies, </w:t>
      </w:r>
      <w:r w:rsidR="00A640F2" w:rsidRPr="0035461C">
        <w:rPr>
          <w:rFonts w:ascii="Calibri" w:hAnsi="Calibri" w:cs="Calibri"/>
          <w:szCs w:val="22"/>
        </w:rPr>
        <w:t>special populations,</w:t>
      </w:r>
      <w:r w:rsidR="005701E9" w:rsidRPr="0035461C">
        <w:rPr>
          <w:rFonts w:ascii="Calibri" w:hAnsi="Calibri" w:cs="Calibri"/>
          <w:szCs w:val="22"/>
        </w:rPr>
        <w:t xml:space="preserve"> </w:t>
      </w:r>
      <w:r w:rsidRPr="0035461C">
        <w:rPr>
          <w:rFonts w:ascii="Calibri" w:hAnsi="Calibri" w:cs="Calibri"/>
          <w:szCs w:val="22"/>
        </w:rPr>
        <w:t xml:space="preserve">inpatient management and future perspectives. Although we discuss the schedule for follow-up examinations and testing, we have not included the evaluation and treatment of the chronic microvascular and </w:t>
      </w:r>
      <w:proofErr w:type="spellStart"/>
      <w:r w:rsidRPr="0035461C">
        <w:rPr>
          <w:rFonts w:ascii="Calibri" w:hAnsi="Calibri" w:cs="Calibri"/>
          <w:szCs w:val="22"/>
        </w:rPr>
        <w:t>macrovascular</w:t>
      </w:r>
      <w:proofErr w:type="spellEnd"/>
      <w:r w:rsidRPr="0035461C">
        <w:rPr>
          <w:rFonts w:ascii="Calibri" w:hAnsi="Calibri" w:cs="Calibri"/>
          <w:szCs w:val="22"/>
        </w:rPr>
        <w:t xml:space="preserve"> complications of diabetes as these are well-reviewed and discussed elsewhere. </w:t>
      </w:r>
      <w:r w:rsidRPr="0035461C">
        <w:rPr>
          <w:rFonts w:ascii="Calibri" w:hAnsi="Calibri" w:cs="Calibri"/>
          <w:color w:val="000000"/>
          <w:szCs w:val="22"/>
          <w:shd w:val="clear" w:color="auto" w:fill="FFFFFF"/>
        </w:rPr>
        <w:t xml:space="preserve">The </w:t>
      </w:r>
      <w:r w:rsidR="00B0144B" w:rsidRPr="0035461C">
        <w:rPr>
          <w:rFonts w:ascii="Calibri" w:hAnsi="Calibri" w:cs="Calibri"/>
          <w:color w:val="000000"/>
          <w:szCs w:val="22"/>
          <w:shd w:val="clear" w:color="auto" w:fill="FFFFFF"/>
        </w:rPr>
        <w:t>writing group</w:t>
      </w:r>
      <w:r w:rsidRPr="0035461C">
        <w:rPr>
          <w:rFonts w:ascii="Calibri" w:hAnsi="Calibri" w:cs="Calibri"/>
          <w:color w:val="000000"/>
          <w:szCs w:val="22"/>
          <w:shd w:val="clear" w:color="auto" w:fill="FFFFFF"/>
        </w:rPr>
        <w:t xml:space="preserve"> w</w:t>
      </w:r>
      <w:r w:rsidR="00E437CD" w:rsidRPr="0035461C">
        <w:rPr>
          <w:rFonts w:ascii="Calibri" w:hAnsi="Calibri" w:cs="Calibri"/>
          <w:color w:val="000000"/>
          <w:szCs w:val="22"/>
          <w:shd w:val="clear" w:color="auto" w:fill="FFFFFF"/>
        </w:rPr>
        <w:t>as</w:t>
      </w:r>
      <w:r w:rsidRPr="0035461C">
        <w:rPr>
          <w:rFonts w:ascii="Calibri" w:hAnsi="Calibri" w:cs="Calibri"/>
          <w:color w:val="000000"/>
          <w:szCs w:val="22"/>
          <w:shd w:val="clear" w:color="auto" w:fill="FFFFFF"/>
        </w:rPr>
        <w:t xml:space="preserve"> aware of both national and international guidance on type 1 diabetes and did not seek to replicate this but rather aimed to highlight the major areas that healthcare professionals should consider when managing adults with type 1 diabetes. </w:t>
      </w:r>
      <w:r w:rsidR="001308D1" w:rsidRPr="0035461C">
        <w:rPr>
          <w:rFonts w:ascii="Calibri" w:hAnsi="Calibri" w:cs="Calibri"/>
          <w:color w:val="000000"/>
          <w:szCs w:val="22"/>
          <w:shd w:val="clear" w:color="auto" w:fill="FFFFFF"/>
        </w:rPr>
        <w:t>Though evidence-based, recommendations in the report represent the consensus opinion of the authors where the available evidence is incomplete.</w:t>
      </w:r>
      <w:r w:rsidR="009F6CFA" w:rsidRPr="0035461C">
        <w:rPr>
          <w:rFonts w:ascii="Calibri" w:hAnsi="Calibri" w:cs="Calibri"/>
          <w:b/>
          <w:sz w:val="28"/>
        </w:rPr>
        <w:br w:type="page"/>
      </w:r>
    </w:p>
    <w:p w14:paraId="69261115" w14:textId="6C6C5839" w:rsidR="008045FC" w:rsidRPr="0035461C" w:rsidRDefault="00707AF2" w:rsidP="001C5BC0">
      <w:pPr>
        <w:spacing w:before="120"/>
        <w:jc w:val="both"/>
        <w:rPr>
          <w:rFonts w:ascii="Calibri" w:hAnsi="Calibri" w:cs="Calibri"/>
          <w:b/>
        </w:rPr>
      </w:pPr>
      <w:r w:rsidRPr="0035461C">
        <w:rPr>
          <w:rFonts w:ascii="Calibri" w:hAnsi="Calibri" w:cs="Calibri"/>
          <w:b/>
        </w:rPr>
        <w:t>Section 1:</w:t>
      </w:r>
      <w:r w:rsidR="00E615B3" w:rsidRPr="0035461C">
        <w:rPr>
          <w:rFonts w:ascii="Calibri" w:hAnsi="Calibri" w:cs="Calibri"/>
          <w:b/>
        </w:rPr>
        <w:t xml:space="preserve"> </w:t>
      </w:r>
      <w:r w:rsidR="008045FC" w:rsidRPr="0035461C">
        <w:rPr>
          <w:rFonts w:ascii="Calibri" w:hAnsi="Calibri" w:cs="Calibri"/>
          <w:b/>
        </w:rPr>
        <w:t>Introduction and rationale for the consensus report</w:t>
      </w:r>
    </w:p>
    <w:p w14:paraId="18CE538C" w14:textId="66F8C950" w:rsidR="008A3726" w:rsidRPr="0035461C" w:rsidRDefault="008045FC" w:rsidP="001C5BC0">
      <w:pPr>
        <w:spacing w:before="120"/>
        <w:jc w:val="both"/>
        <w:rPr>
          <w:rFonts w:ascii="Calibri" w:hAnsi="Calibri" w:cs="Calibri"/>
        </w:rPr>
      </w:pPr>
      <w:r w:rsidRPr="008A3726">
        <w:rPr>
          <w:rFonts w:asciiTheme="minorHAnsi" w:hAnsiTheme="minorHAnsi" w:cstheme="minorHAnsi"/>
        </w:rPr>
        <w:t>Type 1 diabetes</w:t>
      </w:r>
      <w:r w:rsidR="00707AF2" w:rsidRPr="008A3726">
        <w:rPr>
          <w:rFonts w:asciiTheme="minorHAnsi" w:hAnsiTheme="minorHAnsi" w:cstheme="minorHAnsi"/>
        </w:rPr>
        <w:t xml:space="preserve"> is </w:t>
      </w:r>
      <w:r w:rsidRPr="008A3726">
        <w:rPr>
          <w:rFonts w:asciiTheme="minorHAnsi" w:hAnsiTheme="minorHAnsi" w:cstheme="minorHAnsi"/>
        </w:rPr>
        <w:t xml:space="preserve">a condition caused by autoimmune </w:t>
      </w:r>
      <w:r w:rsidR="009070D5" w:rsidRPr="008A3726">
        <w:rPr>
          <w:rFonts w:asciiTheme="minorHAnsi" w:hAnsiTheme="minorHAnsi" w:cstheme="minorHAnsi"/>
        </w:rPr>
        <w:t xml:space="preserve">damage </w:t>
      </w:r>
      <w:r w:rsidRPr="008A3726">
        <w:rPr>
          <w:rFonts w:asciiTheme="minorHAnsi" w:hAnsiTheme="minorHAnsi" w:cstheme="minorHAnsi"/>
        </w:rPr>
        <w:t xml:space="preserve">of the insulin-producing </w:t>
      </w:r>
      <w:r w:rsidRPr="008A3726">
        <w:rPr>
          <w:rStyle w:val="SymbolNewFont"/>
          <w:rFonts w:asciiTheme="minorHAnsi" w:hAnsiTheme="minorHAnsi" w:cstheme="minorHAnsi"/>
        </w:rPr>
        <w:t>β</w:t>
      </w:r>
      <w:r w:rsidRPr="008A3726">
        <w:rPr>
          <w:rFonts w:asciiTheme="minorHAnsi" w:hAnsiTheme="minorHAnsi" w:cstheme="minorHAnsi"/>
        </w:rPr>
        <w:t xml:space="preserve"> cells of the pancreatic islet</w:t>
      </w:r>
      <w:r w:rsidR="00CA6CB2" w:rsidRPr="008A3726">
        <w:rPr>
          <w:rFonts w:asciiTheme="minorHAnsi" w:hAnsiTheme="minorHAnsi" w:cstheme="minorHAnsi"/>
        </w:rPr>
        <w:t>s</w:t>
      </w:r>
      <w:r w:rsidRPr="008A3726">
        <w:rPr>
          <w:rFonts w:asciiTheme="minorHAnsi" w:hAnsiTheme="minorHAnsi" w:cstheme="minorHAnsi"/>
        </w:rPr>
        <w:t xml:space="preserve">, </w:t>
      </w:r>
      <w:r w:rsidR="0035430F" w:rsidRPr="008A3726">
        <w:rPr>
          <w:rFonts w:asciiTheme="minorHAnsi" w:hAnsiTheme="minorHAnsi" w:cstheme="minorHAnsi"/>
        </w:rPr>
        <w:t xml:space="preserve">usually leading to severe endogenous insulin deficiency. </w:t>
      </w:r>
      <w:r w:rsidR="004122F2" w:rsidRPr="008A3726">
        <w:rPr>
          <w:rFonts w:asciiTheme="minorHAnsi" w:hAnsiTheme="minorHAnsi" w:cstheme="minorHAnsi"/>
        </w:rPr>
        <w:t xml:space="preserve">Type 1 diabetes accounts for approximately 5-10% of all cases of diabetes. </w:t>
      </w:r>
      <w:bookmarkStart w:id="1" w:name="_Hlk77178588"/>
      <w:r w:rsidR="004122F2" w:rsidRPr="008A3726">
        <w:rPr>
          <w:rFonts w:asciiTheme="minorHAnsi" w:hAnsiTheme="minorHAnsi" w:cstheme="minorHAnsi"/>
        </w:rPr>
        <w:t xml:space="preserve">Although the incidence peaks in puberty and early adulthood, </w:t>
      </w:r>
      <w:r w:rsidR="008A3726">
        <w:rPr>
          <w:rFonts w:asciiTheme="minorHAnsi" w:hAnsiTheme="minorHAnsi" w:cstheme="minorHAnsi"/>
        </w:rPr>
        <w:t xml:space="preserve">new-onset </w:t>
      </w:r>
      <w:r w:rsidR="004122F2" w:rsidRPr="008A3726">
        <w:rPr>
          <w:rFonts w:asciiTheme="minorHAnsi" w:hAnsiTheme="minorHAnsi" w:cstheme="minorHAnsi"/>
        </w:rPr>
        <w:t xml:space="preserve">type 1 diabetes </w:t>
      </w:r>
      <w:r w:rsidR="008A3726">
        <w:rPr>
          <w:rFonts w:asciiTheme="minorHAnsi" w:hAnsiTheme="minorHAnsi" w:cstheme="minorHAnsi"/>
        </w:rPr>
        <w:t>occurs</w:t>
      </w:r>
      <w:r w:rsidR="004122F2" w:rsidRPr="008A3726">
        <w:rPr>
          <w:rFonts w:asciiTheme="minorHAnsi" w:hAnsiTheme="minorHAnsi" w:cstheme="minorHAnsi"/>
        </w:rPr>
        <w:t xml:space="preserve"> </w:t>
      </w:r>
      <w:r w:rsidR="008A3726">
        <w:rPr>
          <w:rFonts w:asciiTheme="minorHAnsi" w:hAnsiTheme="minorHAnsi" w:cstheme="minorHAnsi"/>
        </w:rPr>
        <w:t xml:space="preserve">in </w:t>
      </w:r>
      <w:r w:rsidR="004122F2" w:rsidRPr="008A3726">
        <w:rPr>
          <w:rFonts w:asciiTheme="minorHAnsi" w:hAnsiTheme="minorHAnsi" w:cstheme="minorHAnsi"/>
        </w:rPr>
        <w:t>all age groups</w:t>
      </w:r>
      <w:r w:rsidR="00B24FA7" w:rsidRPr="008A3726">
        <w:rPr>
          <w:rFonts w:asciiTheme="minorHAnsi" w:hAnsiTheme="minorHAnsi" w:cstheme="minorHAnsi"/>
        </w:rPr>
        <w:t xml:space="preserve"> and</w:t>
      </w:r>
      <w:r w:rsidR="007C4CFB" w:rsidRPr="008A3726">
        <w:rPr>
          <w:rFonts w:asciiTheme="minorHAnsi" w:hAnsiTheme="minorHAnsi" w:cstheme="minorHAnsi"/>
        </w:rPr>
        <w:t xml:space="preserve"> </w:t>
      </w:r>
      <w:r w:rsidR="00164913">
        <w:rPr>
          <w:rFonts w:asciiTheme="minorHAnsi" w:hAnsiTheme="minorHAnsi" w:cstheme="minorHAnsi"/>
        </w:rPr>
        <w:t>people with type 1 diabetes live for many decades after onset of the disease</w:t>
      </w:r>
      <w:r w:rsidR="00603DB8">
        <w:rPr>
          <w:rFonts w:asciiTheme="minorHAnsi" w:hAnsiTheme="minorHAnsi" w:cstheme="minorHAnsi"/>
        </w:rPr>
        <w:t xml:space="preserve">, such that the overall prevalence of </w:t>
      </w:r>
      <w:r w:rsidR="007C4CFB" w:rsidRPr="008A3726">
        <w:rPr>
          <w:rFonts w:asciiTheme="minorHAnsi" w:hAnsiTheme="minorHAnsi" w:cstheme="minorHAnsi"/>
          <w:lang w:val="en-GB"/>
        </w:rPr>
        <w:t xml:space="preserve">type 1 diabetes is </w:t>
      </w:r>
      <w:r w:rsidR="00603DB8">
        <w:rPr>
          <w:rFonts w:asciiTheme="minorHAnsi" w:hAnsiTheme="minorHAnsi" w:cstheme="minorHAnsi"/>
          <w:lang w:val="en-GB"/>
        </w:rPr>
        <w:t>higher</w:t>
      </w:r>
      <w:r w:rsidR="007C4CFB" w:rsidRPr="008A3726">
        <w:rPr>
          <w:rFonts w:asciiTheme="minorHAnsi" w:hAnsiTheme="minorHAnsi" w:cstheme="minorHAnsi"/>
          <w:lang w:val="en-GB"/>
        </w:rPr>
        <w:t xml:space="preserve"> </w:t>
      </w:r>
      <w:r w:rsidR="00164913">
        <w:rPr>
          <w:rFonts w:asciiTheme="minorHAnsi" w:hAnsiTheme="minorHAnsi" w:cstheme="minorHAnsi"/>
          <w:lang w:val="en-GB"/>
        </w:rPr>
        <w:t>in adults than in children</w:t>
      </w:r>
      <w:r w:rsidR="008A3726" w:rsidRPr="008A3726">
        <w:rPr>
          <w:rFonts w:asciiTheme="minorHAnsi" w:hAnsiTheme="minorHAnsi" w:cstheme="minorHAnsi"/>
        </w:rPr>
        <w:t xml:space="preserve">, justifying our focus on type 1 diabetes </w:t>
      </w:r>
      <w:r w:rsidR="008A3726">
        <w:rPr>
          <w:rFonts w:asciiTheme="minorHAnsi" w:hAnsiTheme="minorHAnsi" w:cstheme="minorHAnsi"/>
        </w:rPr>
        <w:t>in</w:t>
      </w:r>
      <w:r w:rsidR="008A3726" w:rsidRPr="008A3726">
        <w:rPr>
          <w:rFonts w:asciiTheme="minorHAnsi" w:hAnsiTheme="minorHAnsi" w:cstheme="minorHAnsi"/>
        </w:rPr>
        <w:t xml:space="preserve"> adults</w:t>
      </w:r>
      <w:r w:rsidR="00643FF1">
        <w:rPr>
          <w:rFonts w:asciiTheme="minorHAnsi" w:hAnsiTheme="minorHAnsi" w:cstheme="minorHAnsi"/>
        </w:rPr>
        <w:t xml:space="preserve"> </w:t>
      </w:r>
      <w:r w:rsidR="00643FF1">
        <w:rPr>
          <w:rFonts w:asciiTheme="minorHAnsi" w:hAnsiTheme="minorHAnsi" w:cstheme="minorHAnsi"/>
        </w:rPr>
        <w:fldChar w:fldCharType="begin"/>
      </w:r>
      <w:r w:rsidR="00076F77">
        <w:rPr>
          <w:rFonts w:asciiTheme="minorHAnsi" w:hAnsiTheme="minorHAnsi" w:cstheme="minorHAnsi"/>
        </w:rPr>
        <w:instrText xml:space="preserve"> ADDIN ZOTERO_ITEM CSL_CITATION {"citationID":"IUH08juJ","properties":{"formattedCitation":"(1)","plainCitation":"(1)","noteIndex":0},"citationItems":[{"id":12520,"uris":["http://zotero.org/groups/369679/items/66VW8ZMH"],"uri":["http://zotero.org/groups/369679/items/66VW8ZMH"],"itemData":{"id":12520,"type":"article-journal","abstract":"Survival in type 1 diabetes has improved, but the impact on life expectancy in the U.S. type 1 diabetes population is not well established. Our objective was to estimate the life expectancy of the Pittsburgh Epidemiology of Diabetes Complications (EDC) study cohort and quantify improvements by comparing two subcohorts based on year of diabetes diagnosis (1950-1964 [n = 390] vs. 1965-1980 [n = 543]). The EDC study is a prospective cohort study of 933 participants with childhood-onset (aged &lt;17 years) type 1 diabetes diagnosed at Children's Hospital of Pittsburgh from 1950 to 1980. Mortality ascertainment was censored 31 December 2009. Abridged cohort life tables were constructed to calculate life expectancy. Death occurred in 237 (60.8%) of the 1950-1964 subcohort compared with 88 (16.2%) of the 1965-1980 subcohort. The life expectancy at birth for those diagnosed 1965-1980 was ~15 years greater than participants diagnosed 1950-1964 (68.8 [95% CI 64.7-72.8] vs. 53.4 [50.8-56.0] years, respectively) (P &lt; 0.0001); this difference persisted regardless of sex or pubertal status at diagnosis. This improvement in life expectancy emphasizes the need for insurance companies to update analysis of the life expectancy of those with childhood-onset type 1 diabetes because weighting of insurance premiums is based on outdated estimates.","container-title":"Diabetes","DOI":"10.2337/db11-1625","ISSN":"1939-327X","issue":"11","journalAbbreviation":"Diabetes","language":"eng","note":"PMID: 22851572\nPMCID: PMC3478551","page":"2987-2992","source":"PubMed","title":"Improvements in the life expectancy of type 1 diabetes: the Pittsburgh Epidemiology of Diabetes Complications study cohort","title-short":"Improvements in the life expectancy of type 1 diabetes","volume":"61","author":[{"family":"Miller","given":"Rachel G."},{"family":"Secrest","given":"Aaron M."},{"family":"Sharma","given":"Ravi K."},{"family":"Songer","given":"Thomas J."},{"family":"Orchard","given":"Trevor J."}],"issued":{"date-parts":[["2012",11]]}}}],"schema":"https://github.com/citation-style-language/schema/raw/master/csl-citation.json"} </w:instrText>
      </w:r>
      <w:r w:rsidR="00643FF1">
        <w:rPr>
          <w:rFonts w:asciiTheme="minorHAnsi" w:hAnsiTheme="minorHAnsi" w:cstheme="minorHAnsi"/>
        </w:rPr>
        <w:fldChar w:fldCharType="separate"/>
      </w:r>
      <w:r w:rsidR="00643FF1" w:rsidRPr="00643FF1">
        <w:rPr>
          <w:rFonts w:ascii="Calibri" w:hAnsi="Calibri" w:cs="Calibri"/>
        </w:rPr>
        <w:t>(1)</w:t>
      </w:r>
      <w:r w:rsidR="00643FF1">
        <w:rPr>
          <w:rFonts w:asciiTheme="minorHAnsi" w:hAnsiTheme="minorHAnsi" w:cstheme="minorHAnsi"/>
        </w:rPr>
        <w:fldChar w:fldCharType="end"/>
      </w:r>
      <w:r w:rsidR="008A3726" w:rsidRPr="008A3726">
        <w:rPr>
          <w:rFonts w:asciiTheme="minorHAnsi" w:hAnsiTheme="minorHAnsi" w:cstheme="minorHAnsi"/>
        </w:rPr>
        <w:t xml:space="preserve">. </w:t>
      </w:r>
      <w:r w:rsidR="007C4CFB" w:rsidRPr="008A3726">
        <w:rPr>
          <w:rFonts w:asciiTheme="minorHAnsi" w:hAnsiTheme="minorHAnsi" w:cstheme="minorHAnsi"/>
          <w:lang w:val="en-GB"/>
        </w:rPr>
        <w:t>The</w:t>
      </w:r>
      <w:r w:rsidR="004122F2" w:rsidRPr="008A3726">
        <w:rPr>
          <w:rFonts w:asciiTheme="minorHAnsi" w:hAnsiTheme="minorHAnsi" w:cstheme="minorHAnsi"/>
        </w:rPr>
        <w:t xml:space="preserve"> global prevalence of </w:t>
      </w:r>
      <w:r w:rsidR="007C4CFB" w:rsidRPr="008A3726">
        <w:rPr>
          <w:rFonts w:asciiTheme="minorHAnsi" w:hAnsiTheme="minorHAnsi" w:cstheme="minorHAnsi"/>
        </w:rPr>
        <w:t xml:space="preserve">type 1 diabetes is </w:t>
      </w:r>
      <w:r w:rsidR="004122F2" w:rsidRPr="008A3726">
        <w:rPr>
          <w:rFonts w:asciiTheme="minorHAnsi" w:hAnsiTheme="minorHAnsi" w:cstheme="minorHAnsi"/>
        </w:rPr>
        <w:t>5.9 per 10,000 population</w:t>
      </w:r>
      <w:r w:rsidR="00B45136" w:rsidRPr="008A3726">
        <w:rPr>
          <w:rFonts w:asciiTheme="minorHAnsi" w:hAnsiTheme="minorHAnsi" w:cstheme="minorHAnsi"/>
        </w:rPr>
        <w:t xml:space="preserve"> </w:t>
      </w:r>
      <w:r w:rsidR="007C4CFB" w:rsidRPr="008A3726">
        <w:rPr>
          <w:rFonts w:asciiTheme="minorHAnsi" w:hAnsiTheme="minorHAnsi" w:cstheme="minorHAnsi"/>
        </w:rPr>
        <w:t xml:space="preserve">while </w:t>
      </w:r>
      <w:r w:rsidR="00B24FA7" w:rsidRPr="008A3726">
        <w:rPr>
          <w:rFonts w:asciiTheme="minorHAnsi" w:hAnsiTheme="minorHAnsi" w:cstheme="minorHAnsi"/>
        </w:rPr>
        <w:t>t</w:t>
      </w:r>
      <w:r w:rsidR="004122F2" w:rsidRPr="008A3726">
        <w:rPr>
          <w:rFonts w:asciiTheme="minorHAnsi" w:hAnsiTheme="minorHAnsi" w:cstheme="minorHAnsi"/>
        </w:rPr>
        <w:t>he incidence has risen rapidly over the last 50 years and is currently estimated to be 15 per 100,000 per year</w:t>
      </w:r>
      <w:r w:rsidR="00B24FA7" w:rsidRPr="008A3726">
        <w:rPr>
          <w:rFonts w:asciiTheme="minorHAnsi" w:hAnsiTheme="minorHAnsi" w:cstheme="minorHAnsi"/>
        </w:rPr>
        <w:t xml:space="preserve"> </w:t>
      </w:r>
      <w:r w:rsidR="00B24FA7" w:rsidRPr="008A3726">
        <w:rPr>
          <w:rFonts w:asciiTheme="minorHAnsi" w:hAnsiTheme="minorHAnsi" w:cstheme="minorHAnsi"/>
        </w:rPr>
        <w:fldChar w:fldCharType="begin"/>
      </w:r>
      <w:r w:rsidR="00076F77">
        <w:rPr>
          <w:rFonts w:asciiTheme="minorHAnsi" w:hAnsiTheme="minorHAnsi" w:cstheme="minorHAnsi"/>
        </w:rPr>
        <w:instrText xml:space="preserve"> ADDIN ZOTERO_ITEM CSL_CITATION {"citationID":"Rnh807pg","properties":{"formattedCitation":"(2)","plainCitation":"(2)","noteIndex":0},"citationItems":[{"id":10895,"uris":["http://zotero.org/groups/369679/items/UKG53IYC"],"uri":["http://zotero.org/groups/369679/items/UKG53IYC"],"itemData":{"id":10895,"type":"article-journal","abstract":"Background: Diabetes is referred to a group of diseases characterized by high glucose levels in blood. It is caused by a deficiency in the production or function of insulin or both, which can occur because of different reasons, resulting in protein and lipid metabolic disorders. The aim of this study was to systematically review the prevalence and incidence of type 1 diabetes in the world. Methods: A systematic search of resources was conducted to investigate the prevalence and incidence of type 1 diabetes in the world. The databases of Medline (via PubMed and Ovid),ProQuest, Scopus, and Web of Science from January 1980 to September 2019 were searched to locate English articles. The located articles were screened in multiple levels of title, abstract,and full-text and final studies that met the inclusion criteria were retrieved and included in the study. Results: From 1202 located articles, 193 studies were included in this systematic review. The results of meta-analysis showed that the incidence of type 1 diabetes was 15 per 100,000 people and the prevalence was 9.5% (95% CI: 0.07 to 0.12) in the world, which was statistically significant. Conclusion: According to the results, the incidence and prevalence of type 1 diabetes are increasing in the world. As a result, insulin will be difficult to access and afford, especially in underdeveloped and developing countries.","container-title":"Health Promotion Perspectives","DOI":"10.34172/hpp.2020.18","ISSN":"2228-6497","issue":"2","journalAbbreviation":"Health Promot Perspect","language":"eng","note":"PMID: 32296622\nPMCID: PMC7146037","page":"98-115","source":"PubMed","title":"Prevalence and incidence of type 1 diabetes in the world: a systematic review and meta-analysis","title-short":"Prevalence and incidence of type 1 diabetes in the world","volume":"10","author":[{"family":"Mobasseri","given":"Majid"},{"family":"Shirmohammadi","given":"Masoud"},{"family":"Amiri","given":"Tarlan"},{"family":"Vahed","given":"Nafiseh"},{"family":"Hosseini Fard","given":"Hossein"},{"family":"Ghojazadeh","given":"Morteza"}],"issued":{"date-parts":[["2020"]]}}}],"schema":"https://github.com/citation-style-language/schema/raw/master/csl-citation.json"} </w:instrText>
      </w:r>
      <w:r w:rsidR="00B24FA7" w:rsidRPr="008A3726">
        <w:rPr>
          <w:rFonts w:asciiTheme="minorHAnsi" w:hAnsiTheme="minorHAnsi" w:cstheme="minorHAnsi"/>
        </w:rPr>
        <w:fldChar w:fldCharType="separate"/>
      </w:r>
      <w:r w:rsidR="00643FF1" w:rsidRPr="00643FF1">
        <w:rPr>
          <w:rFonts w:ascii="Calibri" w:hAnsi="Calibri" w:cs="Calibri"/>
        </w:rPr>
        <w:t>(2)</w:t>
      </w:r>
      <w:r w:rsidR="00B24FA7" w:rsidRPr="008A3726">
        <w:rPr>
          <w:rFonts w:asciiTheme="minorHAnsi" w:hAnsiTheme="minorHAnsi" w:cstheme="minorHAnsi"/>
        </w:rPr>
        <w:fldChar w:fldCharType="end"/>
      </w:r>
      <w:r w:rsidR="004122F2" w:rsidRPr="008A3726">
        <w:rPr>
          <w:rFonts w:asciiTheme="minorHAnsi" w:hAnsiTheme="minorHAnsi" w:cstheme="minorHAnsi"/>
        </w:rPr>
        <w:t>.</w:t>
      </w:r>
      <w:bookmarkEnd w:id="1"/>
    </w:p>
    <w:p w14:paraId="1DAA223E" w14:textId="6655CD2E" w:rsidR="00B92FA7" w:rsidRPr="0035461C" w:rsidRDefault="008045FC" w:rsidP="001C5BC0">
      <w:pPr>
        <w:spacing w:before="120"/>
        <w:jc w:val="both"/>
        <w:rPr>
          <w:rFonts w:ascii="Calibri" w:hAnsi="Calibri" w:cs="Calibri"/>
        </w:rPr>
      </w:pPr>
      <w:r w:rsidRPr="0035461C">
        <w:rPr>
          <w:rFonts w:ascii="Calibri" w:hAnsi="Calibri" w:cs="Calibri"/>
        </w:rPr>
        <w:t xml:space="preserve">Prior to the discovery of insulin a century ago, type 1 diabetes was associated with a life-expectancy </w:t>
      </w:r>
      <w:r w:rsidR="00047FBF" w:rsidRPr="0035461C">
        <w:rPr>
          <w:rFonts w:ascii="Calibri" w:hAnsi="Calibri" w:cs="Calibri"/>
        </w:rPr>
        <w:t xml:space="preserve">as short as </w:t>
      </w:r>
      <w:r w:rsidRPr="0035461C">
        <w:rPr>
          <w:rFonts w:ascii="Calibri" w:hAnsi="Calibri" w:cs="Calibri"/>
        </w:rPr>
        <w:t xml:space="preserve">a few months. </w:t>
      </w:r>
      <w:r w:rsidR="005C3753" w:rsidRPr="0035461C">
        <w:rPr>
          <w:rFonts w:ascii="Calibri" w:hAnsi="Calibri" w:cs="Calibri"/>
        </w:rPr>
        <w:t>Beginning in 1922, relatively crude extracts of exogenous insulin, derived from animal pancreases, were used to treat people with type 1 diabetes</w:t>
      </w:r>
      <w:r w:rsidR="00B92FA7" w:rsidRPr="0035461C">
        <w:rPr>
          <w:rFonts w:ascii="Calibri" w:hAnsi="Calibri" w:cs="Calibri"/>
        </w:rPr>
        <w:t xml:space="preserve">. Over the ensuing decades, insulin concentrations were standardized, insulin solutions became more pure, </w:t>
      </w:r>
      <w:r w:rsidR="00F211DC" w:rsidRPr="0035461C">
        <w:rPr>
          <w:rFonts w:ascii="Calibri" w:hAnsi="Calibri" w:cs="Calibri"/>
        </w:rPr>
        <w:t>resulting in reduced immunogenicity</w:t>
      </w:r>
      <w:r w:rsidR="00F211DC">
        <w:rPr>
          <w:rFonts w:ascii="Calibri" w:hAnsi="Calibri" w:cs="Calibri"/>
        </w:rPr>
        <w:t>,</w:t>
      </w:r>
      <w:r w:rsidR="00F211DC" w:rsidRPr="0035461C">
        <w:rPr>
          <w:rFonts w:ascii="Calibri" w:hAnsi="Calibri" w:cs="Calibri"/>
        </w:rPr>
        <w:t xml:space="preserve"> </w:t>
      </w:r>
      <w:r w:rsidR="00B92FA7" w:rsidRPr="0035461C">
        <w:rPr>
          <w:rFonts w:ascii="Calibri" w:hAnsi="Calibri" w:cs="Calibri"/>
        </w:rPr>
        <w:t>and additives (zinc, protamine) were incorporated into insulin solutions to increase the duration of action. In the 1980s, semi-synthetic and recombinant human insulins were developed</w:t>
      </w:r>
      <w:r w:rsidR="00F211DC">
        <w:rPr>
          <w:rFonts w:ascii="Calibri" w:hAnsi="Calibri" w:cs="Calibri"/>
        </w:rPr>
        <w:t xml:space="preserve"> and i</w:t>
      </w:r>
      <w:r w:rsidR="00B92FA7" w:rsidRPr="0035461C">
        <w:rPr>
          <w:rFonts w:ascii="Calibri" w:hAnsi="Calibri" w:cs="Calibri"/>
        </w:rPr>
        <w:t>n the mid-1990s, insulin analogues became available</w:t>
      </w:r>
      <w:r w:rsidR="00F211DC">
        <w:rPr>
          <w:rFonts w:ascii="Calibri" w:hAnsi="Calibri" w:cs="Calibri"/>
        </w:rPr>
        <w:t>. B</w:t>
      </w:r>
      <w:r w:rsidR="00B92FA7" w:rsidRPr="0035461C">
        <w:rPr>
          <w:rFonts w:ascii="Calibri" w:hAnsi="Calibri" w:cs="Calibri"/>
        </w:rPr>
        <w:t xml:space="preserve">asal insulin analogues were designed with prolonged duration of action and reduced </w:t>
      </w:r>
      <w:proofErr w:type="spellStart"/>
      <w:r w:rsidR="00B92FA7" w:rsidRPr="0035461C">
        <w:rPr>
          <w:rFonts w:ascii="Calibri" w:hAnsi="Calibri" w:cs="Calibri"/>
        </w:rPr>
        <w:t>pharmacodynamic</w:t>
      </w:r>
      <w:proofErr w:type="spellEnd"/>
      <w:r w:rsidR="00B92FA7" w:rsidRPr="0035461C">
        <w:rPr>
          <w:rFonts w:ascii="Calibri" w:hAnsi="Calibri" w:cs="Calibri"/>
        </w:rPr>
        <w:t xml:space="preserve"> variability compared to protamine-based (NPH) human insulin while rapid-acting analogues were introduced with quicker onset and shorter duration than regular </w:t>
      </w:r>
      <w:r w:rsidR="0055019C" w:rsidRPr="0035461C">
        <w:rPr>
          <w:rFonts w:ascii="Calibri" w:hAnsi="Calibri" w:cs="Calibri"/>
        </w:rPr>
        <w:t xml:space="preserve">human </w:t>
      </w:r>
      <w:r w:rsidR="00B92FA7" w:rsidRPr="0035461C">
        <w:rPr>
          <w:rFonts w:ascii="Calibri" w:hAnsi="Calibri" w:cs="Calibri"/>
        </w:rPr>
        <w:t xml:space="preserve">insulin, resulting in </w:t>
      </w:r>
      <w:r w:rsidR="00737458" w:rsidRPr="0035461C">
        <w:rPr>
          <w:rFonts w:ascii="Calibri" w:hAnsi="Calibri" w:cs="Calibri"/>
        </w:rPr>
        <w:t>reduced early postprandial hyperglyc</w:t>
      </w:r>
      <w:r w:rsidR="00E615B3" w:rsidRPr="0035461C">
        <w:rPr>
          <w:rFonts w:ascii="Calibri" w:hAnsi="Calibri" w:cs="Calibri"/>
        </w:rPr>
        <w:t>a</w:t>
      </w:r>
      <w:r w:rsidR="00737458" w:rsidRPr="0035461C">
        <w:rPr>
          <w:rFonts w:ascii="Calibri" w:hAnsi="Calibri" w:cs="Calibri"/>
        </w:rPr>
        <w:t>emia</w:t>
      </w:r>
      <w:r w:rsidR="00B92FA7" w:rsidRPr="0035461C">
        <w:rPr>
          <w:rFonts w:ascii="Calibri" w:hAnsi="Calibri" w:cs="Calibri"/>
        </w:rPr>
        <w:t xml:space="preserve"> and less </w:t>
      </w:r>
      <w:r w:rsidR="00737458" w:rsidRPr="0035461C">
        <w:rPr>
          <w:rFonts w:ascii="Calibri" w:hAnsi="Calibri" w:cs="Calibri"/>
        </w:rPr>
        <w:t xml:space="preserve">later </w:t>
      </w:r>
      <w:r w:rsidR="00B92FA7" w:rsidRPr="0035461C">
        <w:rPr>
          <w:rFonts w:ascii="Calibri" w:hAnsi="Calibri" w:cs="Calibri"/>
        </w:rPr>
        <w:t>post-meal hypoglycaemia</w:t>
      </w:r>
      <w:r w:rsidR="00AE561C" w:rsidRPr="0035461C">
        <w:rPr>
          <w:rFonts w:ascii="Calibri" w:hAnsi="Calibri" w:cs="Calibri"/>
        </w:rPr>
        <w:t xml:space="preserve"> </w:t>
      </w:r>
      <w:r w:rsidR="006A4C2E" w:rsidRPr="0035461C">
        <w:rPr>
          <w:rFonts w:ascii="Calibri" w:hAnsi="Calibri" w:cs="Calibri"/>
        </w:rPr>
        <w:fldChar w:fldCharType="begin"/>
      </w:r>
      <w:r w:rsidR="00076F77">
        <w:rPr>
          <w:rFonts w:ascii="Calibri" w:hAnsi="Calibri" w:cs="Calibri"/>
        </w:rPr>
        <w:instrText xml:space="preserve"> ADDIN ZOTERO_ITEM CSL_CITATION {"citationID":"HkCMkEAp","properties":{"formattedCitation":"(3)","plainCitation":"(3)","noteIndex":0},"citationItems":[{"id":10939,"uris":["http://zotero.org/groups/369679/items/JEDVKV5I"],"uri":["http://zotero.org/groups/369679/items/JEDVKV5I"],"itemData":{"id":10939,"type":"article-journal","abstract":"Insulin has been available for the treatment of diabetes for almost a century, and the variety of insulin choices today represents many years of discovery and innovation. Insulin has gone from poorly defined extracts of animal pancreata to pure and precisely controlled formulations that can be prescribed and administered with high accuracy and predictability of action. Modifications of the insulin formulation and of the insulin molecule itself have made it possible to approximate the natural endogenous insulin response. Insulin and insulin formulations had to be designed to produce either a constant low basal level of insulin or the spikes of insulin released in response to meals. We discuss how the biochemical properties of endogenous insulin were exploited to either shorten or extend the time-action profiles of injectable insulins by varying the pharmacokinetics (time for appearance of insulin in the blood after injection) and pharmacodynamics (time-dependent changes in blood sugar after injection). This has resulted in rapid-acting, short-acting, intermediate-acting, and long-acting insulins, as well as mixtures and concentrated formulations. An understanding of how various insulins and formulations were designed to solve the challenges of insulin replacement will assist clinicians in meeting the needs of their individual patients.","container-title":"Endocrine Reviews","DOI":"10.1210/endrev/bnaa015","ISSN":"1945-7189","issue":"5","journalAbbreviation":"Endocr Rev","language":"eng","note":"PMID: 32396624\nPMCID: PMC7366348","source":"PubMed","title":"The Evolution of Insulin and How it Informs Therapy and Treatment Choices","volume":"41","author":[{"family":"Hirsch","given":"Irl B."},{"family":"Juneja","given":"Rattan"},{"family":"Beals","given":"John M."},{"family":"Antalis","given":"Caryl J."},{"family":"Wright","given":"Eugene E."}],"issued":{"date-parts":[["2020"]],"season":"01"}}}],"schema":"https://github.com/citation-style-language/schema/raw/master/csl-citation.json"} </w:instrText>
      </w:r>
      <w:r w:rsidR="006A4C2E" w:rsidRPr="0035461C">
        <w:rPr>
          <w:rFonts w:ascii="Calibri" w:hAnsi="Calibri" w:cs="Calibri"/>
        </w:rPr>
        <w:fldChar w:fldCharType="separate"/>
      </w:r>
      <w:r w:rsidR="00643FF1" w:rsidRPr="00643FF1">
        <w:rPr>
          <w:rFonts w:ascii="Calibri" w:hAnsi="Calibri" w:cs="Calibri"/>
        </w:rPr>
        <w:t>(3)</w:t>
      </w:r>
      <w:r w:rsidR="006A4C2E" w:rsidRPr="0035461C">
        <w:rPr>
          <w:rFonts w:ascii="Calibri" w:hAnsi="Calibri" w:cs="Calibri"/>
        </w:rPr>
        <w:fldChar w:fldCharType="end"/>
      </w:r>
      <w:r w:rsidR="00AE561C" w:rsidRPr="0035461C">
        <w:rPr>
          <w:rFonts w:ascii="Calibri" w:hAnsi="Calibri" w:cs="Calibri"/>
        </w:rPr>
        <w:t>.</w:t>
      </w:r>
      <w:r w:rsidR="00B92FA7" w:rsidRPr="0035461C">
        <w:rPr>
          <w:rFonts w:ascii="Calibri" w:hAnsi="Calibri" w:cs="Calibri"/>
        </w:rPr>
        <w:t xml:space="preserve"> </w:t>
      </w:r>
    </w:p>
    <w:p w14:paraId="746A4EA2" w14:textId="3784B7E7" w:rsidR="008045FC" w:rsidRPr="0035461C" w:rsidRDefault="008045FC" w:rsidP="001C5BC0">
      <w:pPr>
        <w:spacing w:before="120"/>
        <w:jc w:val="both"/>
        <w:rPr>
          <w:rFonts w:ascii="Calibri" w:hAnsi="Calibri" w:cs="Calibri"/>
        </w:rPr>
      </w:pPr>
      <w:r w:rsidRPr="0035461C">
        <w:rPr>
          <w:rFonts w:ascii="Calibri" w:hAnsi="Calibri" w:cs="Calibri"/>
        </w:rPr>
        <w:t>The discovery of insulin transformed the lives of many people but it soon became apparent that type 1 diabetes is associated with the development of long-term complications and shortened life expectancy. Over the last 100 years, development</w:t>
      </w:r>
      <w:r w:rsidR="000D50DD" w:rsidRPr="0035461C">
        <w:rPr>
          <w:rFonts w:ascii="Calibri" w:hAnsi="Calibri" w:cs="Calibri"/>
        </w:rPr>
        <w:t xml:space="preserve">s </w:t>
      </w:r>
      <w:r w:rsidRPr="0035461C">
        <w:rPr>
          <w:rFonts w:ascii="Calibri" w:hAnsi="Calibri" w:cs="Calibri"/>
        </w:rPr>
        <w:t>in insulin, its delivery</w:t>
      </w:r>
      <w:r w:rsidR="00332AA1" w:rsidRPr="0035461C">
        <w:rPr>
          <w:rFonts w:ascii="Calibri" w:hAnsi="Calibri" w:cs="Calibri"/>
        </w:rPr>
        <w:t>,</w:t>
      </w:r>
      <w:r w:rsidRPr="0035461C">
        <w:rPr>
          <w:rFonts w:ascii="Calibri" w:hAnsi="Calibri" w:cs="Calibri"/>
        </w:rPr>
        <w:t xml:space="preserve"> and </w:t>
      </w:r>
      <w:r w:rsidR="00854163" w:rsidRPr="0035461C">
        <w:rPr>
          <w:rFonts w:ascii="Calibri" w:hAnsi="Calibri" w:cs="Calibri"/>
        </w:rPr>
        <w:t xml:space="preserve">technologies to measure glycaemic </w:t>
      </w:r>
      <w:r w:rsidR="00AE561C" w:rsidRPr="0035461C">
        <w:rPr>
          <w:rFonts w:ascii="Calibri" w:hAnsi="Calibri" w:cs="Calibri"/>
        </w:rPr>
        <w:t>indices</w:t>
      </w:r>
      <w:r w:rsidR="00854163" w:rsidRPr="0035461C">
        <w:rPr>
          <w:rFonts w:ascii="Calibri" w:hAnsi="Calibri" w:cs="Calibri"/>
        </w:rPr>
        <w:t xml:space="preserve"> have </w:t>
      </w:r>
      <w:r w:rsidR="000D50DD" w:rsidRPr="0035461C">
        <w:rPr>
          <w:rFonts w:ascii="Calibri" w:hAnsi="Calibri" w:cs="Calibri"/>
        </w:rPr>
        <w:t xml:space="preserve">markedly </w:t>
      </w:r>
      <w:r w:rsidR="00854163" w:rsidRPr="0035461C">
        <w:rPr>
          <w:rFonts w:ascii="Calibri" w:hAnsi="Calibri" w:cs="Calibri"/>
        </w:rPr>
        <w:t>changed the management of type 1 diabetes. Despite these advances, many people with type 1 diabetes</w:t>
      </w:r>
      <w:r w:rsidR="000D50DD" w:rsidRPr="0035461C">
        <w:rPr>
          <w:rFonts w:ascii="Calibri" w:hAnsi="Calibri" w:cs="Calibri"/>
        </w:rPr>
        <w:t xml:space="preserve"> </w:t>
      </w:r>
      <w:r w:rsidR="00854163" w:rsidRPr="0035461C">
        <w:rPr>
          <w:rFonts w:ascii="Calibri" w:hAnsi="Calibri" w:cs="Calibri"/>
        </w:rPr>
        <w:t xml:space="preserve">do not </w:t>
      </w:r>
      <w:r w:rsidR="005C3753" w:rsidRPr="0035461C">
        <w:rPr>
          <w:rFonts w:ascii="Calibri" w:hAnsi="Calibri" w:cs="Calibri"/>
        </w:rPr>
        <w:t>reach</w:t>
      </w:r>
      <w:r w:rsidR="007B02BF" w:rsidRPr="0035461C">
        <w:rPr>
          <w:rFonts w:ascii="Calibri" w:hAnsi="Calibri" w:cs="Calibri"/>
        </w:rPr>
        <w:t xml:space="preserve"> </w:t>
      </w:r>
      <w:r w:rsidR="00854163" w:rsidRPr="0035461C">
        <w:rPr>
          <w:rFonts w:ascii="Calibri" w:hAnsi="Calibri" w:cs="Calibri"/>
        </w:rPr>
        <w:t xml:space="preserve">the glycaemic </w:t>
      </w:r>
      <w:r w:rsidR="00873561" w:rsidRPr="0035461C">
        <w:rPr>
          <w:rFonts w:ascii="Calibri" w:hAnsi="Calibri" w:cs="Calibri"/>
        </w:rPr>
        <w:t>targets</w:t>
      </w:r>
      <w:r w:rsidR="00854163" w:rsidRPr="0035461C">
        <w:rPr>
          <w:rFonts w:ascii="Calibri" w:hAnsi="Calibri" w:cs="Calibri"/>
        </w:rPr>
        <w:t xml:space="preserve"> necessary to prevent or slow the progression of diabetes complications, which continue to </w:t>
      </w:r>
      <w:r w:rsidR="00E615B3" w:rsidRPr="0035461C">
        <w:rPr>
          <w:rFonts w:ascii="Calibri" w:hAnsi="Calibri" w:cs="Calibri"/>
        </w:rPr>
        <w:t>exert</w:t>
      </w:r>
      <w:r w:rsidR="00854163" w:rsidRPr="0035461C">
        <w:rPr>
          <w:rFonts w:ascii="Calibri" w:hAnsi="Calibri" w:cs="Calibri"/>
        </w:rPr>
        <w:t xml:space="preserve"> a high </w:t>
      </w:r>
      <w:r w:rsidR="007B02BF" w:rsidRPr="0035461C">
        <w:rPr>
          <w:rFonts w:ascii="Calibri" w:hAnsi="Calibri" w:cs="Calibri"/>
        </w:rPr>
        <w:t xml:space="preserve">clinical and emotional </w:t>
      </w:r>
      <w:r w:rsidR="00854163" w:rsidRPr="0035461C">
        <w:rPr>
          <w:rFonts w:ascii="Calibri" w:hAnsi="Calibri" w:cs="Calibri"/>
        </w:rPr>
        <w:t xml:space="preserve">burden. </w:t>
      </w:r>
    </w:p>
    <w:p w14:paraId="2D578E4B" w14:textId="5C6038CF" w:rsidR="00854163" w:rsidRPr="0035461C" w:rsidRDefault="00854163" w:rsidP="001C5BC0">
      <w:pPr>
        <w:spacing w:before="120"/>
        <w:jc w:val="both"/>
        <w:rPr>
          <w:rFonts w:ascii="Calibri" w:hAnsi="Calibri" w:cs="Calibri"/>
          <w:color w:val="000000"/>
          <w:shd w:val="clear" w:color="auto" w:fill="FFFFFF"/>
        </w:rPr>
      </w:pPr>
      <w:r w:rsidRPr="0035461C">
        <w:rPr>
          <w:rFonts w:ascii="Calibri" w:hAnsi="Calibri" w:cs="Calibri"/>
        </w:rPr>
        <w:t>Recogni</w:t>
      </w:r>
      <w:r w:rsidR="002442B8" w:rsidRPr="0035461C">
        <w:rPr>
          <w:rFonts w:ascii="Calibri" w:hAnsi="Calibri" w:cs="Calibri"/>
        </w:rPr>
        <w:t>z</w:t>
      </w:r>
      <w:r w:rsidRPr="0035461C">
        <w:rPr>
          <w:rFonts w:ascii="Calibri" w:hAnsi="Calibri" w:cs="Calibri"/>
        </w:rPr>
        <w:t>ing the on-going challenge of type 1 diabetes and the rapid development of new treatments</w:t>
      </w:r>
      <w:r w:rsidR="00873561" w:rsidRPr="0035461C">
        <w:rPr>
          <w:rFonts w:ascii="Calibri" w:hAnsi="Calibri" w:cs="Calibri"/>
        </w:rPr>
        <w:t xml:space="preserve"> and technologies</w:t>
      </w:r>
      <w:r w:rsidRPr="0035461C">
        <w:rPr>
          <w:rFonts w:ascii="Calibri" w:hAnsi="Calibri" w:cs="Calibri"/>
        </w:rPr>
        <w:t xml:space="preserve">, </w:t>
      </w:r>
      <w:r w:rsidRPr="0035461C">
        <w:rPr>
          <w:rFonts w:ascii="Calibri" w:hAnsi="Calibri" w:cs="Calibri"/>
          <w:color w:val="000000"/>
          <w:shd w:val="clear" w:color="auto" w:fill="FFFFFF"/>
        </w:rPr>
        <w:t>the European Association for the Study of Diabetes</w:t>
      </w:r>
      <w:r w:rsidR="00E615B3" w:rsidRPr="0035461C">
        <w:rPr>
          <w:rFonts w:ascii="Calibri" w:hAnsi="Calibri" w:cs="Calibri"/>
          <w:color w:val="000000"/>
          <w:shd w:val="clear" w:color="auto" w:fill="FFFFFF"/>
        </w:rPr>
        <w:t xml:space="preserve"> (EASD)</w:t>
      </w:r>
      <w:r w:rsidRPr="0035461C">
        <w:rPr>
          <w:rFonts w:ascii="Calibri" w:hAnsi="Calibri" w:cs="Calibri"/>
          <w:color w:val="000000"/>
          <w:shd w:val="clear" w:color="auto" w:fill="FFFFFF"/>
        </w:rPr>
        <w:t xml:space="preserve"> and </w:t>
      </w:r>
      <w:r w:rsidR="00707AF2" w:rsidRPr="0035461C">
        <w:rPr>
          <w:rFonts w:ascii="Calibri" w:hAnsi="Calibri" w:cs="Calibri"/>
          <w:color w:val="000000"/>
          <w:shd w:val="clear" w:color="auto" w:fill="FFFFFF"/>
        </w:rPr>
        <w:t xml:space="preserve">the </w:t>
      </w:r>
      <w:r w:rsidRPr="0035461C">
        <w:rPr>
          <w:rFonts w:ascii="Calibri" w:hAnsi="Calibri" w:cs="Calibri"/>
          <w:color w:val="000000"/>
          <w:shd w:val="clear" w:color="auto" w:fill="FFFFFF"/>
        </w:rPr>
        <w:t xml:space="preserve">American Diabetes Association </w:t>
      </w:r>
      <w:r w:rsidR="00E615B3" w:rsidRPr="0035461C">
        <w:rPr>
          <w:rFonts w:ascii="Calibri" w:hAnsi="Calibri" w:cs="Calibri"/>
          <w:color w:val="000000"/>
          <w:shd w:val="clear" w:color="auto" w:fill="FFFFFF"/>
        </w:rPr>
        <w:t xml:space="preserve">(ADA) </w:t>
      </w:r>
      <w:r w:rsidRPr="0035461C">
        <w:rPr>
          <w:rFonts w:ascii="Calibri" w:hAnsi="Calibri" w:cs="Calibri"/>
          <w:color w:val="000000"/>
          <w:shd w:val="clear" w:color="auto" w:fill="FFFFFF"/>
        </w:rPr>
        <w:t xml:space="preserve">convened a </w:t>
      </w:r>
      <w:r w:rsidR="0083280C" w:rsidRPr="0035461C">
        <w:rPr>
          <w:rFonts w:ascii="Calibri" w:hAnsi="Calibri" w:cs="Calibri"/>
          <w:color w:val="000000"/>
          <w:shd w:val="clear" w:color="auto" w:fill="FFFFFF"/>
        </w:rPr>
        <w:t>writing group</w:t>
      </w:r>
      <w:r w:rsidRPr="0035461C">
        <w:rPr>
          <w:rFonts w:ascii="Calibri" w:hAnsi="Calibri" w:cs="Calibri"/>
          <w:color w:val="000000"/>
          <w:shd w:val="clear" w:color="auto" w:fill="FFFFFF"/>
        </w:rPr>
        <w:t xml:space="preserve"> to develop a </w:t>
      </w:r>
      <w:r w:rsidR="00387182" w:rsidRPr="0035461C">
        <w:rPr>
          <w:rFonts w:ascii="Calibri" w:hAnsi="Calibri" w:cs="Calibri"/>
          <w:color w:val="000000"/>
          <w:shd w:val="clear" w:color="auto" w:fill="FFFFFF"/>
        </w:rPr>
        <w:t>consensus report</w:t>
      </w:r>
      <w:r w:rsidRPr="0035461C">
        <w:rPr>
          <w:rFonts w:ascii="Calibri" w:hAnsi="Calibri" w:cs="Calibri"/>
          <w:color w:val="000000"/>
          <w:shd w:val="clear" w:color="auto" w:fill="FFFFFF"/>
        </w:rPr>
        <w:t xml:space="preserve"> on the management of type 1 diabetes in adults</w:t>
      </w:r>
      <w:r w:rsidR="00D50C68" w:rsidRPr="0035461C">
        <w:rPr>
          <w:rFonts w:ascii="Calibri" w:hAnsi="Calibri" w:cs="Calibri"/>
          <w:color w:val="000000"/>
          <w:shd w:val="clear" w:color="auto" w:fill="FFFFFF"/>
        </w:rPr>
        <w:t>,</w:t>
      </w:r>
      <w:r w:rsidR="004122F2" w:rsidRPr="0035461C">
        <w:rPr>
          <w:rFonts w:ascii="Calibri" w:hAnsi="Calibri" w:cs="Calibri"/>
          <w:color w:val="000000"/>
          <w:shd w:val="clear" w:color="auto" w:fill="FFFFFF"/>
        </w:rPr>
        <w:t xml:space="preserve"> aged 18 years and over</w:t>
      </w:r>
      <w:r w:rsidRPr="0035461C">
        <w:rPr>
          <w:rFonts w:ascii="Calibri" w:hAnsi="Calibri" w:cs="Calibri"/>
          <w:color w:val="000000"/>
          <w:shd w:val="clear" w:color="auto" w:fill="FFFFFF"/>
        </w:rPr>
        <w:t xml:space="preserve">. The </w:t>
      </w:r>
      <w:r w:rsidR="00CB0922" w:rsidRPr="0035461C">
        <w:rPr>
          <w:rFonts w:ascii="Calibri" w:hAnsi="Calibri" w:cs="Calibri"/>
          <w:color w:val="000000"/>
          <w:shd w:val="clear" w:color="auto" w:fill="FFFFFF"/>
        </w:rPr>
        <w:t>writing group</w:t>
      </w:r>
      <w:r w:rsidRPr="0035461C">
        <w:rPr>
          <w:rFonts w:ascii="Calibri" w:hAnsi="Calibri" w:cs="Calibri"/>
          <w:color w:val="000000"/>
          <w:shd w:val="clear" w:color="auto" w:fill="FFFFFF"/>
        </w:rPr>
        <w:t xml:space="preserve"> w</w:t>
      </w:r>
      <w:r w:rsidR="00A374AA" w:rsidRPr="0035461C">
        <w:rPr>
          <w:rFonts w:ascii="Calibri" w:hAnsi="Calibri" w:cs="Calibri"/>
          <w:color w:val="000000"/>
          <w:shd w:val="clear" w:color="auto" w:fill="FFFFFF"/>
        </w:rPr>
        <w:t>as</w:t>
      </w:r>
      <w:r w:rsidRPr="0035461C">
        <w:rPr>
          <w:rFonts w:ascii="Calibri" w:hAnsi="Calibri" w:cs="Calibri"/>
          <w:color w:val="000000"/>
          <w:shd w:val="clear" w:color="auto" w:fill="FFFFFF"/>
        </w:rPr>
        <w:t xml:space="preserve"> aware of both national and international guidance on type 1 diabetes and did not seek to replicate this but </w:t>
      </w:r>
      <w:r w:rsidR="007613CD" w:rsidRPr="0035461C">
        <w:rPr>
          <w:rFonts w:ascii="Calibri" w:hAnsi="Calibri" w:cs="Calibri"/>
          <w:color w:val="000000"/>
          <w:shd w:val="clear" w:color="auto" w:fill="FFFFFF"/>
        </w:rPr>
        <w:t xml:space="preserve">rather </w:t>
      </w:r>
      <w:r w:rsidRPr="0035461C">
        <w:rPr>
          <w:rFonts w:ascii="Calibri" w:hAnsi="Calibri" w:cs="Calibri"/>
          <w:color w:val="000000"/>
          <w:shd w:val="clear" w:color="auto" w:fill="FFFFFF"/>
        </w:rPr>
        <w:t xml:space="preserve">aimed to highlight the major areas of care that healthcare professionals should consider when managing </w:t>
      </w:r>
      <w:r w:rsidR="009835DF" w:rsidRPr="0035461C">
        <w:rPr>
          <w:rFonts w:ascii="Calibri" w:hAnsi="Calibri" w:cs="Calibri"/>
          <w:color w:val="000000"/>
          <w:shd w:val="clear" w:color="auto" w:fill="FFFFFF"/>
        </w:rPr>
        <w:t>adults</w:t>
      </w:r>
      <w:r w:rsidRPr="0035461C">
        <w:rPr>
          <w:rFonts w:ascii="Calibri" w:hAnsi="Calibri" w:cs="Calibri"/>
          <w:color w:val="000000"/>
          <w:shd w:val="clear" w:color="auto" w:fill="FFFFFF"/>
        </w:rPr>
        <w:t xml:space="preserve"> with type 1 diabetes. The consensus report has focused predominantly </w:t>
      </w:r>
      <w:r w:rsidR="003E1886" w:rsidRPr="0035461C">
        <w:rPr>
          <w:rFonts w:ascii="Calibri" w:hAnsi="Calibri" w:cs="Calibri"/>
          <w:color w:val="000000"/>
          <w:shd w:val="clear" w:color="auto" w:fill="FFFFFF"/>
        </w:rPr>
        <w:t xml:space="preserve">on current and future glycaemic </w:t>
      </w:r>
      <w:r w:rsidRPr="0035461C">
        <w:rPr>
          <w:rFonts w:ascii="Calibri" w:hAnsi="Calibri" w:cs="Calibri"/>
          <w:color w:val="000000"/>
          <w:shd w:val="clear" w:color="auto" w:fill="FFFFFF"/>
        </w:rPr>
        <w:t xml:space="preserve">management </w:t>
      </w:r>
      <w:r w:rsidR="009835DF" w:rsidRPr="0035461C">
        <w:rPr>
          <w:rFonts w:ascii="Calibri" w:hAnsi="Calibri" w:cs="Calibri"/>
          <w:color w:val="000000"/>
          <w:shd w:val="clear" w:color="auto" w:fill="FFFFFF"/>
        </w:rPr>
        <w:t xml:space="preserve">strategies </w:t>
      </w:r>
      <w:r w:rsidRPr="0035461C">
        <w:rPr>
          <w:rFonts w:ascii="Calibri" w:hAnsi="Calibri" w:cs="Calibri"/>
          <w:color w:val="000000"/>
          <w:shd w:val="clear" w:color="auto" w:fill="FFFFFF"/>
        </w:rPr>
        <w:t xml:space="preserve">and metabolic emergencies. </w:t>
      </w:r>
      <w:r w:rsidR="001E2579" w:rsidRPr="0035461C">
        <w:rPr>
          <w:rFonts w:ascii="Calibri" w:hAnsi="Calibri" w:cs="Calibri"/>
          <w:color w:val="000000"/>
          <w:shd w:val="clear" w:color="auto" w:fill="FFFFFF"/>
        </w:rPr>
        <w:t>R</w:t>
      </w:r>
      <w:r w:rsidRPr="0035461C">
        <w:rPr>
          <w:rFonts w:ascii="Calibri" w:hAnsi="Calibri" w:cs="Calibri"/>
          <w:color w:val="000000"/>
          <w:shd w:val="clear" w:color="auto" w:fill="FFFFFF"/>
        </w:rPr>
        <w:t xml:space="preserve">ecent advances in </w:t>
      </w:r>
      <w:r w:rsidR="00D50C68" w:rsidRPr="0035461C">
        <w:rPr>
          <w:rFonts w:ascii="Calibri" w:hAnsi="Calibri" w:cs="Calibri"/>
          <w:color w:val="000000"/>
          <w:shd w:val="clear" w:color="auto" w:fill="FFFFFF"/>
        </w:rPr>
        <w:t xml:space="preserve">the </w:t>
      </w:r>
      <w:r w:rsidRPr="0035461C">
        <w:rPr>
          <w:rFonts w:ascii="Calibri" w:hAnsi="Calibri" w:cs="Calibri"/>
          <w:color w:val="000000"/>
          <w:shd w:val="clear" w:color="auto" w:fill="FFFFFF"/>
        </w:rPr>
        <w:t>diagnosis of type 1 diabetes ha</w:t>
      </w:r>
      <w:r w:rsidR="00D9093C" w:rsidRPr="0035461C">
        <w:rPr>
          <w:rFonts w:ascii="Calibri" w:hAnsi="Calibri" w:cs="Calibri"/>
          <w:color w:val="000000"/>
          <w:shd w:val="clear" w:color="auto" w:fill="FFFFFF"/>
        </w:rPr>
        <w:t>ve</w:t>
      </w:r>
      <w:r w:rsidRPr="0035461C">
        <w:rPr>
          <w:rFonts w:ascii="Calibri" w:hAnsi="Calibri" w:cs="Calibri"/>
          <w:color w:val="000000"/>
          <w:shd w:val="clear" w:color="auto" w:fill="FFFFFF"/>
        </w:rPr>
        <w:t xml:space="preserve"> been considered</w:t>
      </w:r>
      <w:r w:rsidR="001E2579" w:rsidRPr="0035461C">
        <w:rPr>
          <w:rFonts w:ascii="Calibri" w:hAnsi="Calibri" w:cs="Calibri"/>
          <w:color w:val="000000"/>
          <w:shd w:val="clear" w:color="auto" w:fill="FFFFFF"/>
        </w:rPr>
        <w:t xml:space="preserve">. Unlike many </w:t>
      </w:r>
      <w:r w:rsidR="00D9093C" w:rsidRPr="0035461C">
        <w:rPr>
          <w:rFonts w:ascii="Calibri" w:hAnsi="Calibri" w:cs="Calibri"/>
          <w:color w:val="000000"/>
          <w:shd w:val="clear" w:color="auto" w:fill="FFFFFF"/>
        </w:rPr>
        <w:t xml:space="preserve">other </w:t>
      </w:r>
      <w:r w:rsidR="001E2579" w:rsidRPr="0035461C">
        <w:rPr>
          <w:rFonts w:ascii="Calibri" w:hAnsi="Calibri" w:cs="Calibri"/>
          <w:color w:val="000000"/>
          <w:shd w:val="clear" w:color="auto" w:fill="FFFFFF"/>
        </w:rPr>
        <w:t>chronic conditions, type 1 diabetes places a</w:t>
      </w:r>
      <w:r w:rsidR="00707AF2" w:rsidRPr="0035461C">
        <w:rPr>
          <w:rFonts w:ascii="Calibri" w:hAnsi="Calibri" w:cs="Calibri"/>
          <w:color w:val="000000"/>
          <w:shd w:val="clear" w:color="auto" w:fill="FFFFFF"/>
        </w:rPr>
        <w:t xml:space="preserve"> </w:t>
      </w:r>
      <w:r w:rsidR="001E2579" w:rsidRPr="0035461C">
        <w:rPr>
          <w:rFonts w:ascii="Calibri" w:hAnsi="Calibri" w:cs="Calibri"/>
          <w:color w:val="000000"/>
          <w:shd w:val="clear" w:color="auto" w:fill="FFFFFF"/>
        </w:rPr>
        <w:t xml:space="preserve">unique burden of management on the individual with </w:t>
      </w:r>
      <w:r w:rsidR="00AA70ED" w:rsidRPr="0035461C">
        <w:rPr>
          <w:rFonts w:ascii="Calibri" w:hAnsi="Calibri" w:cs="Calibri"/>
          <w:color w:val="000000"/>
          <w:shd w:val="clear" w:color="auto" w:fill="FFFFFF"/>
        </w:rPr>
        <w:t>the condition</w:t>
      </w:r>
      <w:r w:rsidR="001E2579" w:rsidRPr="0035461C">
        <w:rPr>
          <w:rFonts w:ascii="Calibri" w:hAnsi="Calibri" w:cs="Calibri"/>
          <w:color w:val="000000"/>
          <w:shd w:val="clear" w:color="auto" w:fill="FFFFFF"/>
        </w:rPr>
        <w:t xml:space="preserve">. In addition to complex medication regimens, </w:t>
      </w:r>
      <w:r w:rsidR="00D3598D" w:rsidRPr="0035461C">
        <w:rPr>
          <w:rFonts w:ascii="Calibri" w:hAnsi="Calibri" w:cs="Calibri"/>
          <w:color w:val="000000"/>
          <w:shd w:val="clear" w:color="auto" w:fill="FFFFFF"/>
        </w:rPr>
        <w:t xml:space="preserve">other </w:t>
      </w:r>
      <w:proofErr w:type="spellStart"/>
      <w:r w:rsidR="00D3598D" w:rsidRPr="0035461C">
        <w:rPr>
          <w:rFonts w:ascii="Calibri" w:hAnsi="Calibri" w:cs="Calibri"/>
          <w:color w:val="000000"/>
          <w:shd w:val="clear" w:color="auto" w:fill="FFFFFF"/>
        </w:rPr>
        <w:t>behavioural</w:t>
      </w:r>
      <w:proofErr w:type="spellEnd"/>
      <w:r w:rsidR="00D3598D" w:rsidRPr="0035461C">
        <w:rPr>
          <w:rFonts w:ascii="Calibri" w:hAnsi="Calibri" w:cs="Calibri"/>
          <w:color w:val="000000"/>
          <w:shd w:val="clear" w:color="auto" w:fill="FFFFFF"/>
        </w:rPr>
        <w:t xml:space="preserve"> </w:t>
      </w:r>
      <w:r w:rsidR="001E2579" w:rsidRPr="0035461C">
        <w:rPr>
          <w:rFonts w:ascii="Calibri" w:hAnsi="Calibri" w:cs="Calibri"/>
          <w:color w:val="000000"/>
          <w:shd w:val="clear" w:color="auto" w:fill="FFFFFF"/>
        </w:rPr>
        <w:t xml:space="preserve">modification is also needed; all of this requires considerable knowledge and skill to navigate between hyper- and hypoglycaemia. </w:t>
      </w:r>
      <w:r w:rsidR="002442B8" w:rsidRPr="0035461C">
        <w:rPr>
          <w:rFonts w:ascii="Calibri" w:hAnsi="Calibri" w:cs="Calibri"/>
          <w:color w:val="000000"/>
          <w:shd w:val="clear" w:color="auto" w:fill="FFFFFF"/>
        </w:rPr>
        <w:t xml:space="preserve">The importance of diabetes self-management </w:t>
      </w:r>
      <w:r w:rsidR="000C66F4" w:rsidRPr="0035461C">
        <w:rPr>
          <w:rFonts w:ascii="Calibri" w:hAnsi="Calibri" w:cs="Calibri"/>
          <w:color w:val="000000"/>
          <w:shd w:val="clear" w:color="auto" w:fill="FFFFFF"/>
        </w:rPr>
        <w:t>education and support</w:t>
      </w:r>
      <w:r w:rsidR="00AC11E9" w:rsidRPr="0035461C">
        <w:rPr>
          <w:rFonts w:ascii="Calibri" w:hAnsi="Calibri" w:cs="Calibri"/>
          <w:color w:val="000000"/>
          <w:shd w:val="clear" w:color="auto" w:fill="FFFFFF"/>
        </w:rPr>
        <w:t xml:space="preserve"> (DSMES)</w:t>
      </w:r>
      <w:r w:rsidR="000C66F4" w:rsidRPr="0035461C">
        <w:rPr>
          <w:rFonts w:ascii="Calibri" w:hAnsi="Calibri" w:cs="Calibri"/>
          <w:color w:val="000000"/>
          <w:shd w:val="clear" w:color="auto" w:fill="FFFFFF"/>
        </w:rPr>
        <w:t xml:space="preserve"> </w:t>
      </w:r>
      <w:r w:rsidR="002442B8" w:rsidRPr="0035461C">
        <w:rPr>
          <w:rFonts w:ascii="Calibri" w:hAnsi="Calibri" w:cs="Calibri"/>
          <w:color w:val="000000"/>
          <w:shd w:val="clear" w:color="auto" w:fill="FFFFFF"/>
        </w:rPr>
        <w:t xml:space="preserve">and </w:t>
      </w:r>
      <w:r w:rsidR="00911E6F" w:rsidRPr="0035461C">
        <w:rPr>
          <w:rFonts w:ascii="Calibri" w:hAnsi="Calibri" w:cs="Calibri"/>
          <w:color w:val="000000"/>
          <w:shd w:val="clear" w:color="auto" w:fill="FFFFFF"/>
        </w:rPr>
        <w:t xml:space="preserve">psychosocial </w:t>
      </w:r>
      <w:r w:rsidR="002442B8" w:rsidRPr="0035461C">
        <w:rPr>
          <w:rFonts w:ascii="Calibri" w:hAnsi="Calibri" w:cs="Calibri"/>
          <w:color w:val="000000"/>
          <w:shd w:val="clear" w:color="auto" w:fill="FFFFFF"/>
        </w:rPr>
        <w:t xml:space="preserve">care </w:t>
      </w:r>
      <w:r w:rsidR="00C9663F" w:rsidRPr="0035461C">
        <w:rPr>
          <w:rFonts w:ascii="Calibri" w:hAnsi="Calibri" w:cs="Calibri"/>
          <w:color w:val="000000"/>
          <w:shd w:val="clear" w:color="auto" w:fill="FFFFFF"/>
        </w:rPr>
        <w:t xml:space="preserve">are </w:t>
      </w:r>
      <w:r w:rsidR="002442B8" w:rsidRPr="0035461C">
        <w:rPr>
          <w:rFonts w:ascii="Calibri" w:hAnsi="Calibri" w:cs="Calibri"/>
          <w:color w:val="000000"/>
          <w:shd w:val="clear" w:color="auto" w:fill="FFFFFF"/>
        </w:rPr>
        <w:t xml:space="preserve">rightly documented in the report. While acknowledging the </w:t>
      </w:r>
      <w:r w:rsidR="002D2ABB">
        <w:rPr>
          <w:rFonts w:ascii="Calibri" w:hAnsi="Calibri" w:cs="Calibri"/>
          <w:color w:val="000000"/>
          <w:shd w:val="clear" w:color="auto" w:fill="FFFFFF"/>
        </w:rPr>
        <w:t xml:space="preserve">major </w:t>
      </w:r>
      <w:r w:rsidR="002442B8" w:rsidRPr="0035461C">
        <w:rPr>
          <w:rFonts w:ascii="Calibri" w:hAnsi="Calibri" w:cs="Calibri"/>
          <w:color w:val="000000"/>
          <w:shd w:val="clear" w:color="auto" w:fill="FFFFFF"/>
        </w:rPr>
        <w:t>significance</w:t>
      </w:r>
      <w:r w:rsidR="00EC0658">
        <w:rPr>
          <w:rFonts w:ascii="Calibri" w:hAnsi="Calibri" w:cs="Calibri"/>
          <w:color w:val="000000"/>
          <w:shd w:val="clear" w:color="auto" w:fill="FFFFFF"/>
        </w:rPr>
        <w:t xml:space="preserve"> and cost</w:t>
      </w:r>
      <w:r w:rsidR="002442B8" w:rsidRPr="0035461C">
        <w:rPr>
          <w:rFonts w:ascii="Calibri" w:hAnsi="Calibri" w:cs="Calibri"/>
          <w:color w:val="000000"/>
          <w:shd w:val="clear" w:color="auto" w:fill="FFFFFF"/>
        </w:rPr>
        <w:t xml:space="preserve"> of screening, diagnosing</w:t>
      </w:r>
      <w:r w:rsidR="00E437CD" w:rsidRPr="0035461C">
        <w:rPr>
          <w:rFonts w:ascii="Calibri" w:hAnsi="Calibri" w:cs="Calibri"/>
          <w:color w:val="000000"/>
          <w:shd w:val="clear" w:color="auto" w:fill="FFFFFF"/>
        </w:rPr>
        <w:t>,</w:t>
      </w:r>
      <w:r w:rsidR="002442B8" w:rsidRPr="0035461C">
        <w:rPr>
          <w:rFonts w:ascii="Calibri" w:hAnsi="Calibri" w:cs="Calibri"/>
          <w:color w:val="000000"/>
          <w:shd w:val="clear" w:color="auto" w:fill="FFFFFF"/>
        </w:rPr>
        <w:t xml:space="preserve"> and managing the chronic microvascular and </w:t>
      </w:r>
      <w:proofErr w:type="spellStart"/>
      <w:r w:rsidR="002442B8" w:rsidRPr="0035461C">
        <w:rPr>
          <w:rFonts w:ascii="Calibri" w:hAnsi="Calibri" w:cs="Calibri"/>
          <w:color w:val="000000"/>
          <w:shd w:val="clear" w:color="auto" w:fill="FFFFFF"/>
        </w:rPr>
        <w:t>macrovascular</w:t>
      </w:r>
      <w:proofErr w:type="spellEnd"/>
      <w:r w:rsidR="002442B8" w:rsidRPr="0035461C">
        <w:rPr>
          <w:rFonts w:ascii="Calibri" w:hAnsi="Calibri" w:cs="Calibri"/>
          <w:color w:val="000000"/>
          <w:shd w:val="clear" w:color="auto" w:fill="FFFFFF"/>
        </w:rPr>
        <w:t xml:space="preserve"> complications of diabetes, a detailed description of the management of these complications is beyond the scope of this report.</w:t>
      </w:r>
    </w:p>
    <w:p w14:paraId="6409DA9A" w14:textId="67CA31C2" w:rsidR="00A75150" w:rsidRDefault="006603F6" w:rsidP="001C5BC0">
      <w:pPr>
        <w:spacing w:before="120"/>
        <w:jc w:val="both"/>
        <w:rPr>
          <w:rFonts w:ascii="Calibri" w:hAnsi="Calibri" w:cs="Calibri"/>
          <w:color w:val="000000"/>
          <w:shd w:val="clear" w:color="auto" w:fill="FFFFFF"/>
        </w:rPr>
      </w:pPr>
      <w:r w:rsidRPr="0035461C">
        <w:rPr>
          <w:rFonts w:ascii="Calibri" w:hAnsi="Calibri" w:cs="Calibri"/>
          <w:color w:val="000000"/>
          <w:shd w:val="clear" w:color="auto" w:fill="FFFFFF"/>
        </w:rPr>
        <w:t xml:space="preserve">Two members of the writing group, one from the ADA and one from </w:t>
      </w:r>
      <w:r w:rsidR="000203B7">
        <w:rPr>
          <w:rFonts w:ascii="Calibri" w:hAnsi="Calibri" w:cs="Calibri"/>
          <w:color w:val="000000"/>
          <w:shd w:val="clear" w:color="auto" w:fill="FFFFFF"/>
        </w:rPr>
        <w:t xml:space="preserve">the </w:t>
      </w:r>
      <w:r w:rsidRPr="0035461C">
        <w:rPr>
          <w:rFonts w:ascii="Calibri" w:hAnsi="Calibri" w:cs="Calibri"/>
          <w:color w:val="000000"/>
          <w:shd w:val="clear" w:color="auto" w:fill="FFFFFF"/>
        </w:rPr>
        <w:t>EASD</w:t>
      </w:r>
      <w:r w:rsidR="00D378B6" w:rsidRPr="0035461C">
        <w:rPr>
          <w:rFonts w:ascii="Calibri" w:hAnsi="Calibri" w:cs="Calibri"/>
          <w:color w:val="000000"/>
          <w:shd w:val="clear" w:color="auto" w:fill="FFFFFF"/>
        </w:rPr>
        <w:t>,</w:t>
      </w:r>
      <w:r w:rsidRPr="0035461C">
        <w:rPr>
          <w:rFonts w:ascii="Calibri" w:hAnsi="Calibri" w:cs="Calibri"/>
          <w:color w:val="000000"/>
          <w:shd w:val="clear" w:color="auto" w:fill="FFFFFF"/>
        </w:rPr>
        <w:t xml:space="preserve"> were assigned to be the primary authors of each section. The </w:t>
      </w:r>
      <w:r w:rsidR="00D378B6" w:rsidRPr="0035461C">
        <w:rPr>
          <w:rFonts w:ascii="Calibri" w:hAnsi="Calibri" w:cs="Calibri"/>
          <w:color w:val="000000"/>
          <w:shd w:val="clear" w:color="auto" w:fill="FFFFFF"/>
        </w:rPr>
        <w:t xml:space="preserve">chosen </w:t>
      </w:r>
      <w:r w:rsidRPr="0035461C">
        <w:rPr>
          <w:rFonts w:ascii="Calibri" w:hAnsi="Calibri" w:cs="Calibri"/>
          <w:color w:val="000000"/>
          <w:shd w:val="clear" w:color="auto" w:fill="FFFFFF"/>
        </w:rPr>
        <w:t xml:space="preserve">individuals had specific knowledge of the area and were tasked with reviewing and summarizing the available literature. Each section, in turn, was reviewed and approved by the entire working group. </w:t>
      </w:r>
      <w:r w:rsidR="002442B8" w:rsidRPr="0035461C">
        <w:rPr>
          <w:rFonts w:ascii="Calibri" w:hAnsi="Calibri" w:cs="Calibri"/>
          <w:color w:val="000000"/>
          <w:shd w:val="clear" w:color="auto" w:fill="FFFFFF"/>
        </w:rPr>
        <w:t xml:space="preserve">The draft consensus </w:t>
      </w:r>
      <w:r w:rsidR="00CB0922" w:rsidRPr="0035461C">
        <w:rPr>
          <w:rFonts w:ascii="Calibri" w:hAnsi="Calibri" w:cs="Calibri"/>
          <w:color w:val="000000"/>
          <w:shd w:val="clear" w:color="auto" w:fill="FFFFFF"/>
        </w:rPr>
        <w:t xml:space="preserve">report </w:t>
      </w:r>
      <w:r w:rsidR="002442B8" w:rsidRPr="0035461C">
        <w:rPr>
          <w:rFonts w:ascii="Calibri" w:hAnsi="Calibri" w:cs="Calibri"/>
          <w:color w:val="000000"/>
          <w:shd w:val="clear" w:color="auto" w:fill="FFFFFF"/>
        </w:rPr>
        <w:t>w</w:t>
      </w:r>
      <w:r w:rsidR="00CB0922" w:rsidRPr="0035461C">
        <w:rPr>
          <w:rFonts w:ascii="Calibri" w:hAnsi="Calibri" w:cs="Calibri"/>
          <w:color w:val="000000"/>
          <w:shd w:val="clear" w:color="auto" w:fill="FFFFFF"/>
        </w:rPr>
        <w:t>as</w:t>
      </w:r>
      <w:r w:rsidR="002442B8" w:rsidRPr="0035461C">
        <w:rPr>
          <w:rFonts w:ascii="Calibri" w:hAnsi="Calibri" w:cs="Calibri"/>
          <w:color w:val="000000"/>
          <w:shd w:val="clear" w:color="auto" w:fill="FFFFFF"/>
        </w:rPr>
        <w:t xml:space="preserve"> peer reviewed (see “Acknowledgments”)</w:t>
      </w:r>
      <w:r w:rsidR="00575B00">
        <w:rPr>
          <w:rFonts w:ascii="Calibri" w:hAnsi="Calibri" w:cs="Calibri"/>
          <w:color w:val="000000"/>
          <w:shd w:val="clear" w:color="auto" w:fill="FFFFFF"/>
        </w:rPr>
        <w:t xml:space="preserve"> and s</w:t>
      </w:r>
      <w:r w:rsidR="002442B8" w:rsidRPr="0035461C">
        <w:rPr>
          <w:rFonts w:ascii="Calibri" w:hAnsi="Calibri" w:cs="Calibri"/>
          <w:color w:val="000000"/>
          <w:shd w:val="clear" w:color="auto" w:fill="FFFFFF"/>
        </w:rPr>
        <w:t xml:space="preserve">uggestions </w:t>
      </w:r>
      <w:r w:rsidR="00804F18" w:rsidRPr="0035461C">
        <w:rPr>
          <w:rFonts w:ascii="Calibri" w:hAnsi="Calibri" w:cs="Calibri"/>
          <w:color w:val="000000"/>
          <w:shd w:val="clear" w:color="auto" w:fill="FFFFFF"/>
        </w:rPr>
        <w:t xml:space="preserve">were </w:t>
      </w:r>
      <w:r w:rsidR="002442B8" w:rsidRPr="0035461C">
        <w:rPr>
          <w:rFonts w:ascii="Calibri" w:hAnsi="Calibri" w:cs="Calibri"/>
          <w:color w:val="000000"/>
          <w:shd w:val="clear" w:color="auto" w:fill="FFFFFF"/>
        </w:rPr>
        <w:t xml:space="preserve">incorporated as deemed appropriate by the authors. </w:t>
      </w:r>
      <w:r w:rsidR="00575B00">
        <w:rPr>
          <w:rFonts w:ascii="Calibri" w:hAnsi="Calibri" w:cs="Calibri"/>
          <w:color w:val="000000"/>
          <w:shd w:val="clear" w:color="auto" w:fill="FFFFFF"/>
        </w:rPr>
        <w:t>The revised draft report was presented at the 2021 virtual ADA Scientific Sessions in 2021</w:t>
      </w:r>
      <w:r w:rsidR="00575B00" w:rsidRPr="0035461C">
        <w:rPr>
          <w:rFonts w:ascii="Calibri" w:hAnsi="Calibri" w:cs="Calibri"/>
          <w:color w:val="000000"/>
          <w:shd w:val="clear" w:color="auto" w:fill="FFFFFF"/>
        </w:rPr>
        <w:t>,</w:t>
      </w:r>
      <w:r w:rsidR="00575B00">
        <w:rPr>
          <w:rFonts w:ascii="Calibri" w:hAnsi="Calibri" w:cs="Calibri"/>
          <w:color w:val="000000"/>
          <w:shd w:val="clear" w:color="auto" w:fill="FFFFFF"/>
        </w:rPr>
        <w:t xml:space="preserve"> after which public comments were invited. The report was further revised in light of this consultation. </w:t>
      </w:r>
      <w:r w:rsidR="00957FA2">
        <w:rPr>
          <w:rFonts w:ascii="Calibri" w:hAnsi="Calibri" w:cs="Calibri"/>
          <w:color w:val="000000"/>
          <w:shd w:val="clear" w:color="auto" w:fill="FFFFFF"/>
        </w:rPr>
        <w:t>Large areas</w:t>
      </w:r>
      <w:r w:rsidR="00AB5DB5" w:rsidRPr="00A75150">
        <w:rPr>
          <w:rFonts w:ascii="Calibri" w:hAnsi="Calibri" w:cs="Calibri"/>
          <w:color w:val="000000"/>
          <w:shd w:val="clear" w:color="auto" w:fill="FFFFFF"/>
        </w:rPr>
        <w:t xml:space="preserve"> of clinical practice in type 1 diabetes </w:t>
      </w:r>
      <w:r w:rsidR="00957FA2">
        <w:rPr>
          <w:rFonts w:ascii="Calibri" w:hAnsi="Calibri" w:cs="Calibri"/>
          <w:color w:val="000000"/>
          <w:shd w:val="clear" w:color="auto" w:fill="FFFFFF"/>
        </w:rPr>
        <w:t>are</w:t>
      </w:r>
      <w:r w:rsidR="00AB5DB5" w:rsidRPr="00A75150">
        <w:rPr>
          <w:rFonts w:ascii="Calibri" w:hAnsi="Calibri" w:cs="Calibri"/>
          <w:color w:val="000000"/>
          <w:shd w:val="clear" w:color="auto" w:fill="FFFFFF"/>
        </w:rPr>
        <w:t xml:space="preserve"> based on expert opinion and coh</w:t>
      </w:r>
      <w:r w:rsidR="00AB5DB5">
        <w:rPr>
          <w:rFonts w:ascii="Calibri" w:hAnsi="Calibri" w:cs="Calibri"/>
          <w:color w:val="000000"/>
          <w:shd w:val="clear" w:color="auto" w:fill="FFFFFF"/>
        </w:rPr>
        <w:t>ort studies rather than randomiz</w:t>
      </w:r>
      <w:r w:rsidR="00AB5DB5" w:rsidRPr="00A75150">
        <w:rPr>
          <w:rFonts w:ascii="Calibri" w:hAnsi="Calibri" w:cs="Calibri"/>
          <w:color w:val="000000"/>
          <w:shd w:val="clear" w:color="auto" w:fill="FFFFFF"/>
        </w:rPr>
        <w:t>ed controlled trials</w:t>
      </w:r>
      <w:r w:rsidR="00293E98">
        <w:rPr>
          <w:rFonts w:ascii="Calibri" w:hAnsi="Calibri" w:cs="Calibri"/>
          <w:color w:val="000000"/>
          <w:shd w:val="clear" w:color="auto" w:fill="FFFFFF"/>
        </w:rPr>
        <w:t xml:space="preserve"> (RCTs)</w:t>
      </w:r>
      <w:r w:rsidR="00AB5DB5">
        <w:rPr>
          <w:rFonts w:ascii="Calibri" w:hAnsi="Calibri" w:cs="Calibri"/>
          <w:color w:val="000000"/>
          <w:shd w:val="clear" w:color="auto" w:fill="FFFFFF"/>
        </w:rPr>
        <w:t xml:space="preserve">, </w:t>
      </w:r>
      <w:r w:rsidR="00B35D2D">
        <w:rPr>
          <w:rFonts w:ascii="Calibri" w:hAnsi="Calibri" w:cs="Calibri"/>
          <w:color w:val="000000"/>
          <w:shd w:val="clear" w:color="auto" w:fill="FFFFFF"/>
        </w:rPr>
        <w:t>and so the writing group considered both observational and clinical trial findings, rather than relying solely</w:t>
      </w:r>
      <w:r w:rsidR="000728B3">
        <w:rPr>
          <w:rFonts w:ascii="Calibri" w:hAnsi="Calibri" w:cs="Calibri"/>
          <w:color w:val="000000"/>
          <w:shd w:val="clear" w:color="auto" w:fill="FFFFFF"/>
        </w:rPr>
        <w:t xml:space="preserve"> on</w:t>
      </w:r>
      <w:r w:rsidR="00B35D2D">
        <w:rPr>
          <w:rFonts w:ascii="Calibri" w:hAnsi="Calibri" w:cs="Calibri"/>
          <w:color w:val="000000"/>
          <w:shd w:val="clear" w:color="auto" w:fill="FFFFFF"/>
        </w:rPr>
        <w:t xml:space="preserve"> </w:t>
      </w:r>
      <w:r w:rsidR="00AB5DB5">
        <w:rPr>
          <w:rFonts w:ascii="Calibri" w:hAnsi="Calibri" w:cs="Calibri"/>
          <w:color w:val="000000"/>
          <w:shd w:val="clear" w:color="auto" w:fill="FFFFFF"/>
        </w:rPr>
        <w:t>unbiased</w:t>
      </w:r>
      <w:r w:rsidR="00293E98">
        <w:rPr>
          <w:rFonts w:ascii="Calibri" w:hAnsi="Calibri" w:cs="Calibri"/>
          <w:color w:val="000000"/>
          <w:shd w:val="clear" w:color="auto" w:fill="FFFFFF"/>
        </w:rPr>
        <w:t xml:space="preserve"> RCTs</w:t>
      </w:r>
      <w:r w:rsidR="000C6473">
        <w:rPr>
          <w:rFonts w:ascii="Calibri" w:hAnsi="Calibri" w:cs="Calibri"/>
          <w:color w:val="000000"/>
          <w:shd w:val="clear" w:color="auto" w:fill="FFFFFF"/>
        </w:rPr>
        <w:t xml:space="preserve"> </w:t>
      </w:r>
      <w:r w:rsidR="00575B00">
        <w:rPr>
          <w:rFonts w:ascii="Calibri" w:hAnsi="Calibri" w:cs="Calibri"/>
          <w:color w:val="000000"/>
          <w:shd w:val="clear" w:color="auto" w:fill="FFFFFF"/>
        </w:rPr>
        <w:t xml:space="preserve">and </w:t>
      </w:r>
      <w:r w:rsidR="00AB5DB5">
        <w:rPr>
          <w:rFonts w:ascii="Calibri" w:hAnsi="Calibri" w:cs="Calibri"/>
          <w:color w:val="000000"/>
          <w:shd w:val="clear" w:color="auto" w:fill="FFFFFF"/>
        </w:rPr>
        <w:t>meta-analys</w:t>
      </w:r>
      <w:r w:rsidR="00B35D2D">
        <w:rPr>
          <w:rFonts w:ascii="Calibri" w:hAnsi="Calibri" w:cs="Calibri"/>
          <w:color w:val="000000"/>
          <w:shd w:val="clear" w:color="auto" w:fill="FFFFFF"/>
        </w:rPr>
        <w:t>e</w:t>
      </w:r>
      <w:r w:rsidR="00AB5DB5">
        <w:rPr>
          <w:rFonts w:ascii="Calibri" w:hAnsi="Calibri" w:cs="Calibri"/>
          <w:color w:val="000000"/>
          <w:shd w:val="clear" w:color="auto" w:fill="FFFFFF"/>
        </w:rPr>
        <w:t>s.</w:t>
      </w:r>
      <w:r w:rsidR="00AB5DB5" w:rsidRPr="0035461C">
        <w:rPr>
          <w:rFonts w:ascii="Calibri" w:hAnsi="Calibri" w:cs="Calibri"/>
          <w:color w:val="000000"/>
          <w:shd w:val="clear" w:color="auto" w:fill="FFFFFF"/>
        </w:rPr>
        <w:t xml:space="preserve"> </w:t>
      </w:r>
      <w:r w:rsidR="00957FA2" w:rsidRPr="0035461C">
        <w:rPr>
          <w:rFonts w:ascii="Calibri" w:hAnsi="Calibri" w:cs="Calibri"/>
          <w:color w:val="000000"/>
          <w:shd w:val="clear" w:color="auto" w:fill="FFFFFF"/>
        </w:rPr>
        <w:t>T</w:t>
      </w:r>
      <w:r w:rsidR="002442B8" w:rsidRPr="0035461C">
        <w:rPr>
          <w:rFonts w:ascii="Calibri" w:hAnsi="Calibri" w:cs="Calibri"/>
          <w:color w:val="000000"/>
          <w:shd w:val="clear" w:color="auto" w:fill="FFFFFF"/>
        </w:rPr>
        <w:t xml:space="preserve">he report represents the </w:t>
      </w:r>
      <w:r w:rsidR="009835DF" w:rsidRPr="0035461C">
        <w:rPr>
          <w:rFonts w:ascii="Calibri" w:hAnsi="Calibri" w:cs="Calibri"/>
          <w:color w:val="000000"/>
          <w:shd w:val="clear" w:color="auto" w:fill="FFFFFF"/>
        </w:rPr>
        <w:t>consensus opinion</w:t>
      </w:r>
      <w:r w:rsidR="002442B8" w:rsidRPr="0035461C">
        <w:rPr>
          <w:rFonts w:ascii="Calibri" w:hAnsi="Calibri" w:cs="Calibri"/>
          <w:color w:val="000000"/>
          <w:shd w:val="clear" w:color="auto" w:fill="FFFFFF"/>
        </w:rPr>
        <w:t xml:space="preserve"> of the authors</w:t>
      </w:r>
      <w:r w:rsidR="00804F18" w:rsidRPr="0035461C">
        <w:rPr>
          <w:rFonts w:ascii="Calibri" w:hAnsi="Calibri" w:cs="Calibri"/>
          <w:color w:val="000000"/>
          <w:shd w:val="clear" w:color="auto" w:fill="FFFFFF"/>
        </w:rPr>
        <w:t xml:space="preserve"> given that the available evidence is incomplete</w:t>
      </w:r>
      <w:r w:rsidR="002442B8" w:rsidRPr="0035461C">
        <w:rPr>
          <w:rFonts w:ascii="Calibri" w:hAnsi="Calibri" w:cs="Calibri"/>
          <w:color w:val="000000"/>
          <w:shd w:val="clear" w:color="auto" w:fill="FFFFFF"/>
        </w:rPr>
        <w:t>.</w:t>
      </w:r>
      <w:r w:rsidR="00B35D2D">
        <w:rPr>
          <w:rFonts w:ascii="Calibri" w:hAnsi="Calibri" w:cs="Calibri"/>
          <w:color w:val="000000"/>
          <w:shd w:val="clear" w:color="auto" w:fill="FFFFFF"/>
        </w:rPr>
        <w:t xml:space="preserve"> </w:t>
      </w:r>
    </w:p>
    <w:p w14:paraId="68DF7A99" w14:textId="77777777" w:rsidR="00AB5DB5" w:rsidRPr="0035461C" w:rsidRDefault="00AB5DB5" w:rsidP="001C5BC0">
      <w:pPr>
        <w:spacing w:before="120"/>
        <w:jc w:val="both"/>
        <w:rPr>
          <w:rFonts w:ascii="Calibri" w:hAnsi="Calibri" w:cs="Calibri"/>
          <w:color w:val="000000"/>
          <w:shd w:val="clear" w:color="auto" w:fill="FFFFFF"/>
        </w:rPr>
      </w:pPr>
    </w:p>
    <w:p w14:paraId="1494D552" w14:textId="66CDA153" w:rsidR="00303C8A" w:rsidRPr="0035461C" w:rsidRDefault="00707AF2" w:rsidP="001C5BC0">
      <w:pPr>
        <w:spacing w:before="120"/>
        <w:jc w:val="both"/>
        <w:rPr>
          <w:rFonts w:ascii="Calibri" w:hAnsi="Calibri" w:cs="Calibri"/>
          <w:b/>
        </w:rPr>
      </w:pPr>
      <w:r w:rsidRPr="0035461C">
        <w:rPr>
          <w:rFonts w:ascii="Calibri" w:hAnsi="Calibri" w:cs="Calibri"/>
          <w:b/>
        </w:rPr>
        <w:t>Section 2:</w:t>
      </w:r>
      <w:r w:rsidR="00E615B3" w:rsidRPr="0035461C">
        <w:rPr>
          <w:rFonts w:ascii="Calibri" w:hAnsi="Calibri" w:cs="Calibri"/>
          <w:b/>
        </w:rPr>
        <w:t xml:space="preserve"> </w:t>
      </w:r>
      <w:r w:rsidR="00303C8A" w:rsidRPr="0035461C">
        <w:rPr>
          <w:rFonts w:ascii="Calibri" w:hAnsi="Calibri" w:cs="Calibri"/>
          <w:b/>
        </w:rPr>
        <w:t>Diagnosis of type 1 diabetes</w:t>
      </w:r>
    </w:p>
    <w:p w14:paraId="5B540F8E" w14:textId="719FC7BF" w:rsidR="00315A80" w:rsidRDefault="00707AF2" w:rsidP="001C5BC0">
      <w:pPr>
        <w:spacing w:before="120"/>
        <w:jc w:val="both"/>
        <w:rPr>
          <w:rFonts w:ascii="Calibri" w:hAnsi="Calibri" w:cs="Calibri"/>
        </w:rPr>
      </w:pPr>
      <w:r w:rsidRPr="0035461C">
        <w:rPr>
          <w:rFonts w:ascii="Calibri" w:hAnsi="Calibri" w:cs="Calibri"/>
        </w:rPr>
        <w:t xml:space="preserve">Adults </w:t>
      </w:r>
      <w:r w:rsidR="0035430F" w:rsidRPr="0035461C">
        <w:rPr>
          <w:rFonts w:ascii="Calibri" w:hAnsi="Calibri" w:cs="Calibri"/>
        </w:rPr>
        <w:t>with</w:t>
      </w:r>
      <w:r w:rsidRPr="0035461C">
        <w:rPr>
          <w:rFonts w:ascii="Calibri" w:hAnsi="Calibri" w:cs="Calibri"/>
        </w:rPr>
        <w:t xml:space="preserve"> new</w:t>
      </w:r>
      <w:r w:rsidR="000C66F4" w:rsidRPr="0035461C">
        <w:rPr>
          <w:rFonts w:ascii="Calibri" w:hAnsi="Calibri" w:cs="Calibri"/>
        </w:rPr>
        <w:t>-</w:t>
      </w:r>
      <w:r w:rsidRPr="0035461C">
        <w:rPr>
          <w:rFonts w:ascii="Calibri" w:hAnsi="Calibri" w:cs="Calibri"/>
        </w:rPr>
        <w:t>onset</w:t>
      </w:r>
      <w:r w:rsidR="0035430F" w:rsidRPr="0035461C">
        <w:rPr>
          <w:rFonts w:ascii="Calibri" w:hAnsi="Calibri" w:cs="Calibri"/>
        </w:rPr>
        <w:t xml:space="preserve"> type 1 diabetes </w:t>
      </w:r>
      <w:r w:rsidRPr="0035461C">
        <w:rPr>
          <w:rFonts w:ascii="Calibri" w:hAnsi="Calibri" w:cs="Calibri"/>
        </w:rPr>
        <w:t xml:space="preserve">can </w:t>
      </w:r>
      <w:r w:rsidR="0035430F" w:rsidRPr="0035461C">
        <w:rPr>
          <w:rFonts w:ascii="Calibri" w:hAnsi="Calibri" w:cs="Calibri"/>
        </w:rPr>
        <w:t>present with a short duration of illness of 1–4 weeks</w:t>
      </w:r>
      <w:r w:rsidRPr="0035461C">
        <w:rPr>
          <w:rFonts w:ascii="Calibri" w:hAnsi="Calibri" w:cs="Calibri"/>
        </w:rPr>
        <w:t xml:space="preserve"> or a more slowly evolving process that can be mistaken for type 2 diabetes</w:t>
      </w:r>
      <w:r w:rsidR="0035430F" w:rsidRPr="0035461C">
        <w:rPr>
          <w:rFonts w:ascii="Calibri" w:hAnsi="Calibri" w:cs="Calibri"/>
        </w:rPr>
        <w:t xml:space="preserve">. </w:t>
      </w:r>
      <w:r w:rsidR="00315A80">
        <w:rPr>
          <w:rFonts w:ascii="Calibri" w:hAnsi="Calibri" w:cs="Calibri"/>
        </w:rPr>
        <w:t>Several other types of diabetes, for example</w:t>
      </w:r>
      <w:r w:rsidR="00224AA9" w:rsidRPr="0035461C">
        <w:rPr>
          <w:rFonts w:ascii="Calibri" w:hAnsi="Calibri" w:cs="Calibri"/>
        </w:rPr>
        <w:t xml:space="preserve"> monogenic diabetes</w:t>
      </w:r>
      <w:r w:rsidR="00315A80">
        <w:rPr>
          <w:rFonts w:ascii="Calibri" w:hAnsi="Calibri" w:cs="Calibri"/>
        </w:rPr>
        <w:t>,</w:t>
      </w:r>
      <w:r w:rsidR="00224AA9" w:rsidRPr="0035461C">
        <w:rPr>
          <w:rFonts w:ascii="Calibri" w:hAnsi="Calibri" w:cs="Calibri"/>
        </w:rPr>
        <w:t xml:space="preserve"> can be misdiagnosed as type 1 diabetes. </w:t>
      </w:r>
      <w:r w:rsidR="00315A80">
        <w:rPr>
          <w:rFonts w:ascii="Calibri" w:hAnsi="Calibri" w:cs="Calibri"/>
        </w:rPr>
        <w:t>In older adults, pancreatic cancer may present with diabetes and weight loss. A</w:t>
      </w:r>
      <w:r w:rsidR="008C0188">
        <w:rPr>
          <w:rFonts w:ascii="Calibri" w:hAnsi="Calibri" w:cs="Calibri"/>
        </w:rPr>
        <w:t xml:space="preserve"> new and emerging issue is the development of profound insulin deficiency associated with the use of immune check-point inhibitors, which may present </w:t>
      </w:r>
      <w:r w:rsidR="000728B3">
        <w:rPr>
          <w:rFonts w:ascii="Calibri" w:hAnsi="Calibri" w:cs="Calibri"/>
        </w:rPr>
        <w:t xml:space="preserve">with hyperglycaemia and </w:t>
      </w:r>
      <w:r w:rsidR="00EE2A0A">
        <w:rPr>
          <w:rFonts w:ascii="Calibri" w:hAnsi="Calibri" w:cs="Calibri"/>
        </w:rPr>
        <w:t>DKA</w:t>
      </w:r>
      <w:r w:rsidR="00643FF1">
        <w:rPr>
          <w:rFonts w:ascii="Calibri" w:hAnsi="Calibri" w:cs="Calibri"/>
        </w:rPr>
        <w:t xml:space="preserve"> </w:t>
      </w:r>
      <w:r w:rsidR="00643FF1">
        <w:rPr>
          <w:rFonts w:ascii="Calibri" w:hAnsi="Calibri" w:cs="Calibri"/>
        </w:rPr>
        <w:fldChar w:fldCharType="begin"/>
      </w:r>
      <w:r w:rsidR="00076F77">
        <w:rPr>
          <w:rFonts w:ascii="Calibri" w:hAnsi="Calibri" w:cs="Calibri"/>
        </w:rPr>
        <w:instrText xml:space="preserve"> ADDIN ZOTERO_ITEM CSL_CITATION {"citationID":"AVvNHgeC","properties":{"formattedCitation":"(4)","plainCitation":"(4)","noteIndex":0},"citationItems":[{"id":12519,"uris":["http://zotero.org/groups/369679/items/UMR6WZPD"],"uri":["http://zotero.org/groups/369679/items/UMR6WZPD"],"itemData":{"id":12519,"type":"article-journal","abstract":"Insulin-dependent diabetes may occur in patients with cancers who are treated with checkpoint inhibitors (CPIs). We reviewed cases occurring over a 6-year period at two academic institutions and identified 27 patients in whom this developed, or an incidence of 0.9%. The patients had a variety of solid-organ cancers, but all had received either anti-PD-1 or anti-PD-L1 antibodies. Diabetes presented with ketoacidosis in 59%, and 42% had evidence of pancreatitis in the peridiagnosis period. Forty percent had at least one positive autoantibody and 21% had two or more. There was a predominance of HLA-DR4, which was present in 76% of patients. Other immune adverse events were seen in 70%, and endocrine adverse events in 44%. We conclude that autoimmune, insulin-dependent diabetes occurs in close to 1% of patients treated with anti-PD-1 or -PD-L1 CPIs. This syndrome has similarities and differences compared with classic type 1 diabetes. The dominance of HLA-DR4 suggests an opportunity to identify those at highest risk of these complications and to discover insights into the mechanisms of this adverse event.","container-title":"Diabetes","DOI":"10.2337/dbi18-0002","ISSN":"1939-327X","issue":"8","journalAbbreviation":"Diabetes","language":"eng","note":"PMID: 29937434\nPMCID: PMC6054443","page":"1471-1480","source":"PubMed","title":"Collateral Damage: Insulin-Dependent Diabetes Induced With Checkpoint Inhibitors","title-short":"Collateral Damage","volume":"67","author":[{"family":"Stamatouli","given":"Angeliki M."},{"family":"Quandt","given":"Zoe"},{"family":"Perdigoto","given":"Ana Luisa"},{"family":"Clark","given":"Pamela L."},{"family":"Kluger","given":"Harriet"},{"family":"Weiss","given":"Sarah A."},{"family":"Gettinger","given":"Scott"},{"family":"Sznol","given":"Mario"},{"family":"Young","given":"Arabella"},{"family":"Rushakoff","given":"Robert"},{"family":"Lee","given":"James"},{"family":"Bluestone","given":"Jeffrey A."},{"family":"Anderson","given":"Mark"},{"family":"Herold","given":"Kevan C."}],"issued":{"date-parts":[["2018",8]]}}}],"schema":"https://github.com/citation-style-language/schema/raw/master/csl-citation.json"} </w:instrText>
      </w:r>
      <w:r w:rsidR="00643FF1">
        <w:rPr>
          <w:rFonts w:ascii="Calibri" w:hAnsi="Calibri" w:cs="Calibri"/>
        </w:rPr>
        <w:fldChar w:fldCharType="separate"/>
      </w:r>
      <w:r w:rsidR="00643FF1" w:rsidRPr="00643FF1">
        <w:rPr>
          <w:rFonts w:ascii="Calibri" w:hAnsi="Calibri" w:cs="Calibri"/>
        </w:rPr>
        <w:t>(4)</w:t>
      </w:r>
      <w:r w:rsidR="00643FF1">
        <w:rPr>
          <w:rFonts w:ascii="Calibri" w:hAnsi="Calibri" w:cs="Calibri"/>
        </w:rPr>
        <w:fldChar w:fldCharType="end"/>
      </w:r>
      <w:r w:rsidR="008C0188">
        <w:rPr>
          <w:rFonts w:ascii="Calibri" w:hAnsi="Calibri" w:cs="Calibri"/>
        </w:rPr>
        <w:t xml:space="preserve">. </w:t>
      </w:r>
    </w:p>
    <w:p w14:paraId="306B5C10" w14:textId="4A346C16" w:rsidR="00224AA9" w:rsidRDefault="00224AA9" w:rsidP="001C5BC0">
      <w:pPr>
        <w:spacing w:before="120"/>
        <w:jc w:val="both"/>
        <w:rPr>
          <w:rFonts w:ascii="Calibri" w:hAnsi="Calibri" w:cs="Calibri"/>
        </w:rPr>
      </w:pPr>
      <w:r w:rsidRPr="0035461C">
        <w:rPr>
          <w:rFonts w:ascii="Calibri" w:hAnsi="Calibri" w:cs="Calibri"/>
        </w:rPr>
        <w:t xml:space="preserve">Most of the available data discussed below are derived from white European populations and may not be representative of other ethnic groups. </w:t>
      </w:r>
      <w:r w:rsidR="0035430F" w:rsidRPr="0035461C">
        <w:rPr>
          <w:rFonts w:ascii="Calibri" w:hAnsi="Calibri" w:cs="Calibri"/>
        </w:rPr>
        <w:t>The clinical presentation may differ, but the classical triad of thirst and polydipsia, polyuria</w:t>
      </w:r>
      <w:r w:rsidR="00E70D07" w:rsidRPr="0035461C">
        <w:rPr>
          <w:rFonts w:ascii="Calibri" w:hAnsi="Calibri" w:cs="Calibri"/>
        </w:rPr>
        <w:t>,</w:t>
      </w:r>
      <w:r w:rsidR="0035430F" w:rsidRPr="0035461C">
        <w:rPr>
          <w:rFonts w:ascii="Calibri" w:hAnsi="Calibri" w:cs="Calibri"/>
        </w:rPr>
        <w:t xml:space="preserve"> and weight loss are </w:t>
      </w:r>
      <w:r w:rsidR="00F72D94" w:rsidRPr="0035461C">
        <w:rPr>
          <w:rFonts w:ascii="Calibri" w:hAnsi="Calibri" w:cs="Calibri"/>
        </w:rPr>
        <w:t xml:space="preserve">common </w:t>
      </w:r>
      <w:r w:rsidR="0035430F" w:rsidRPr="0035461C">
        <w:rPr>
          <w:rFonts w:ascii="Calibri" w:hAnsi="Calibri" w:cs="Calibri"/>
        </w:rPr>
        <w:t>symptoms</w:t>
      </w:r>
      <w:r w:rsidRPr="0035461C">
        <w:rPr>
          <w:rFonts w:ascii="Calibri" w:hAnsi="Calibri" w:cs="Calibri"/>
        </w:rPr>
        <w:t xml:space="preserve"> of type 1 diabetes</w:t>
      </w:r>
      <w:r w:rsidR="0035430F" w:rsidRPr="0035461C">
        <w:rPr>
          <w:rFonts w:ascii="Calibri" w:hAnsi="Calibri" w:cs="Calibri"/>
        </w:rPr>
        <w:t xml:space="preserve">. </w:t>
      </w:r>
      <w:r w:rsidR="00F757D9" w:rsidRPr="0035461C">
        <w:rPr>
          <w:rFonts w:ascii="Calibri" w:hAnsi="Calibri" w:cs="Calibri"/>
        </w:rPr>
        <w:t xml:space="preserve">Accurate classification of the type of diabetes has implications beyond </w:t>
      </w:r>
      <w:r w:rsidR="00AE561C" w:rsidRPr="0035461C">
        <w:rPr>
          <w:rFonts w:ascii="Calibri" w:hAnsi="Calibri" w:cs="Calibri"/>
        </w:rPr>
        <w:t xml:space="preserve">the </w:t>
      </w:r>
      <w:r w:rsidR="00F757D9" w:rsidRPr="0035461C">
        <w:rPr>
          <w:rFonts w:ascii="Calibri" w:hAnsi="Calibri" w:cs="Calibri"/>
        </w:rPr>
        <w:t>use of insulin treatment; education, insulin regimen, use of adjuvant therapies, access to newer technologies</w:t>
      </w:r>
      <w:r w:rsidR="00E85581" w:rsidRPr="0035461C">
        <w:rPr>
          <w:rFonts w:ascii="Calibri" w:hAnsi="Calibri" w:cs="Calibri"/>
        </w:rPr>
        <w:t>,</w:t>
      </w:r>
      <w:r w:rsidR="00F757D9" w:rsidRPr="0035461C">
        <w:rPr>
          <w:rFonts w:ascii="Calibri" w:hAnsi="Calibri" w:cs="Calibri"/>
        </w:rPr>
        <w:t xml:space="preserve"> </w:t>
      </w:r>
      <w:r w:rsidR="00387182" w:rsidRPr="0035461C">
        <w:rPr>
          <w:rFonts w:ascii="Calibri" w:hAnsi="Calibri" w:cs="Calibri"/>
        </w:rPr>
        <w:t>need for psychosocial support</w:t>
      </w:r>
      <w:r w:rsidRPr="0035461C">
        <w:rPr>
          <w:rFonts w:ascii="Calibri" w:hAnsi="Calibri" w:cs="Calibri"/>
        </w:rPr>
        <w:t xml:space="preserve"> to address the profound psychological impact of the diagnosis of diabetes</w:t>
      </w:r>
      <w:r w:rsidR="00387182" w:rsidRPr="0035461C">
        <w:rPr>
          <w:rFonts w:ascii="Calibri" w:hAnsi="Calibri" w:cs="Calibri"/>
        </w:rPr>
        <w:t xml:space="preserve"> </w:t>
      </w:r>
      <w:r w:rsidR="00F757D9" w:rsidRPr="0035461C">
        <w:rPr>
          <w:rFonts w:ascii="Calibri" w:hAnsi="Calibri" w:cs="Calibri"/>
        </w:rPr>
        <w:t xml:space="preserve">and concurrent disease screening may all depend on the diagnosis an individual receives. </w:t>
      </w:r>
      <w:r w:rsidR="009835DF" w:rsidRPr="0035461C">
        <w:rPr>
          <w:rFonts w:ascii="Calibri" w:hAnsi="Calibri" w:cs="Calibri"/>
        </w:rPr>
        <w:t>Furthermore</w:t>
      </w:r>
      <w:r w:rsidR="00E85581" w:rsidRPr="0035461C">
        <w:rPr>
          <w:rFonts w:ascii="Calibri" w:hAnsi="Calibri" w:cs="Calibri"/>
        </w:rPr>
        <w:t>,</w:t>
      </w:r>
      <w:r w:rsidR="009835DF" w:rsidRPr="0035461C">
        <w:rPr>
          <w:rFonts w:ascii="Calibri" w:hAnsi="Calibri" w:cs="Calibri"/>
        </w:rPr>
        <w:t xml:space="preserve"> accurate diagnosis allows an assessment of the risk of diabetes in first degree relatives and appropriate counselling. </w:t>
      </w:r>
      <w:r w:rsidR="0035430F" w:rsidRPr="0035461C">
        <w:rPr>
          <w:rFonts w:ascii="Calibri" w:hAnsi="Calibri" w:cs="Calibri"/>
        </w:rPr>
        <w:t>Although profound insulin deficiency is the hallmark of type 1 diabetes, some</w:t>
      </w:r>
      <w:r w:rsidR="0035430F" w:rsidRPr="0035461C">
        <w:rPr>
          <w:rFonts w:ascii="Calibri" w:hAnsi="Calibri" w:cs="Calibri"/>
          <w:b/>
        </w:rPr>
        <w:t xml:space="preserve"> </w:t>
      </w:r>
      <w:r w:rsidR="00303C8A" w:rsidRPr="0035461C">
        <w:rPr>
          <w:rFonts w:ascii="Calibri" w:hAnsi="Calibri" w:cs="Calibri"/>
        </w:rPr>
        <w:t xml:space="preserve">adults </w:t>
      </w:r>
      <w:r w:rsidR="0035430F" w:rsidRPr="0035461C">
        <w:rPr>
          <w:rFonts w:ascii="Calibri" w:hAnsi="Calibri" w:cs="Calibri"/>
        </w:rPr>
        <w:t>with</w:t>
      </w:r>
      <w:r w:rsidR="00303C8A" w:rsidRPr="0035461C">
        <w:rPr>
          <w:rFonts w:ascii="Calibri" w:hAnsi="Calibri" w:cs="Calibri"/>
        </w:rPr>
        <w:t xml:space="preserve"> type 1 diabetes maintain some insulin secretion for years after diagnosis and may </w:t>
      </w:r>
      <w:r w:rsidR="0035430F" w:rsidRPr="0035461C">
        <w:rPr>
          <w:rFonts w:ascii="Calibri" w:hAnsi="Calibri" w:cs="Calibri"/>
        </w:rPr>
        <w:t>not require</w:t>
      </w:r>
      <w:r w:rsidR="00303C8A" w:rsidRPr="0035461C">
        <w:rPr>
          <w:rFonts w:ascii="Calibri" w:hAnsi="Calibri" w:cs="Calibri"/>
        </w:rPr>
        <w:t xml:space="preserve"> insulin </w:t>
      </w:r>
      <w:r w:rsidR="0035430F" w:rsidRPr="0035461C">
        <w:rPr>
          <w:rFonts w:ascii="Calibri" w:hAnsi="Calibri" w:cs="Calibri"/>
        </w:rPr>
        <w:t>treatment</w:t>
      </w:r>
      <w:r w:rsidR="00303C8A" w:rsidRPr="0035461C">
        <w:rPr>
          <w:rFonts w:ascii="Calibri" w:hAnsi="Calibri" w:cs="Calibri"/>
        </w:rPr>
        <w:t xml:space="preserve"> at diagnosis</w:t>
      </w:r>
      <w:r w:rsidR="00AE561C" w:rsidRPr="0035461C">
        <w:rPr>
          <w:rFonts w:ascii="Calibri" w:hAnsi="Calibri" w:cs="Calibri"/>
        </w:rPr>
        <w:t xml:space="preserve"> </w:t>
      </w:r>
      <w:r w:rsidR="004F0D31" w:rsidRPr="0035461C">
        <w:rPr>
          <w:rFonts w:ascii="Calibri" w:hAnsi="Calibri" w:cs="Calibri"/>
        </w:rPr>
        <w:fldChar w:fldCharType="begin"/>
      </w:r>
      <w:r w:rsidR="00076F77">
        <w:rPr>
          <w:rFonts w:ascii="Calibri" w:hAnsi="Calibri" w:cs="Calibri"/>
        </w:rPr>
        <w:instrText xml:space="preserve"> ADDIN ZOTERO_ITEM CSL_CITATION {"citationID":"eAFr8PLA","properties":{"formattedCitation":"(5)","plainCitation":"(5)","noteIndex":0},"citationItems":[{"id":10941,"uris":["http://zotero.org/groups/369679/items/YAYM8LHF"],"uri":["http://zotero.org/groups/369679/items/YAYM8LHF"],"itemData":{"id":10941,"type":"article-journal","abstract":"OBJECTIVE: It is generally accepted that complete β-cell destruction eventually occurs in individuals with type 1 diabetes, which has implications for treatment approaches and insurance coverage. The frequency of residual insulin secretion in a large cohort of individuals at varying ages of diagnosis and type 1 diabetes duration is unknown.\nRESEARCH DESIGN AND METHODS: The frequency of residual insulin secretion was determined by measurement of nonfasting serum C-peptide concentration in 919 individuals with type 1 diabetes according to prespecified groups based on age at diagnosis and duration of disease (from 3 to 81 years' duration). Stimulated C-peptide was measured in those with detectable nonfasting values and a group of those with undetectable values as control.\nRESULTS: The overall frequency of detectable nonfasting C-peptide was 29%, decreasing with time from diagnosis regardless of age at diagnosis. In all duration groups, the frequency of C-peptide was higher with diagnosis age &gt;18 years compared with ≤18 years. Nineteen percent of those with undetectable nonfasting C-peptide were C-peptide positive upon stimulation testing.\nCONCLUSIONS: The American Diabetes Association's definition of type 1 diabetes as \"usually leading to absolute insulin deficiency\" results in clinicians often considering the presence of residual insulin secretion as unexpected in this population. However, our data suggest that residual secretion is present in almost one out of three individuals 3 or more years from type 1 diabetes diagnosis. The frequency of residual C-peptide decreases with time from diagnosis regardless of age at diagnosis, yet at all durations of disease, diagnosis during adulthood is associated with greater frequency and higher values of C-peptide.","container-title":"Diabetes Care","DOI":"10.2337/dc14-1952","ISSN":"1935-5548","issue":"3","journalAbbreviation":"Diabetes Care","language":"eng","note":"PMID: 25519448","page":"476-481","source":"PubMed","title":"Prevalence of detectable C-Peptide according to age at diagnosis and duration of type 1 diabetes","volume":"38","author":[{"family":"Davis","given":"Asa K."},{"family":"DuBose","given":"Stephanie N."},{"family":"Haller","given":"Michael J."},{"family":"Miller","given":"Kellee M."},{"family":"DiMeglio","given":"Linda A."},{"family":"Bethin","given":"Kathleen E."},{"family":"Goland","given":"Robin S."},{"family":"Greenberg","given":"Ellen M."},{"family":"Liljenquist","given":"David R."},{"family":"Ahmann","given":"Andrew J."},{"family":"Marcovina","given":"Santica M."},{"family":"Peters","given":"Anne L."},{"family":"Beck","given":"Roy W."},{"family":"Greenbaum","given":"Carla J."},{"literal":"T1D Exchange Clinic Network"}],"issued":{"date-parts":[["2015",3]]}}}],"schema":"https://github.com/citation-style-language/schema/raw/master/csl-citation.json"} </w:instrText>
      </w:r>
      <w:r w:rsidR="004F0D31" w:rsidRPr="0035461C">
        <w:rPr>
          <w:rFonts w:ascii="Calibri" w:hAnsi="Calibri" w:cs="Calibri"/>
        </w:rPr>
        <w:fldChar w:fldCharType="separate"/>
      </w:r>
      <w:r w:rsidR="00643FF1" w:rsidRPr="00643FF1">
        <w:rPr>
          <w:rFonts w:ascii="Calibri" w:hAnsi="Calibri" w:cs="Calibri"/>
        </w:rPr>
        <w:t>(5)</w:t>
      </w:r>
      <w:r w:rsidR="004F0D31" w:rsidRPr="0035461C">
        <w:rPr>
          <w:rFonts w:ascii="Calibri" w:hAnsi="Calibri" w:cs="Calibri"/>
        </w:rPr>
        <w:fldChar w:fldCharType="end"/>
      </w:r>
      <w:r w:rsidR="00AE561C" w:rsidRPr="0035461C">
        <w:rPr>
          <w:rFonts w:ascii="Calibri" w:hAnsi="Calibri" w:cs="Calibri"/>
        </w:rPr>
        <w:t>,</w:t>
      </w:r>
      <w:r w:rsidR="00F757D9" w:rsidRPr="0035461C">
        <w:rPr>
          <w:rFonts w:ascii="Calibri" w:hAnsi="Calibri" w:cs="Calibri"/>
        </w:rPr>
        <w:t xml:space="preserve"> </w:t>
      </w:r>
      <w:r w:rsidR="0035430F" w:rsidRPr="0035461C">
        <w:rPr>
          <w:rFonts w:ascii="Calibri" w:hAnsi="Calibri" w:cs="Calibri"/>
        </w:rPr>
        <w:t>lead</w:t>
      </w:r>
      <w:r w:rsidR="00F757D9" w:rsidRPr="0035461C">
        <w:rPr>
          <w:rFonts w:ascii="Calibri" w:hAnsi="Calibri" w:cs="Calibri"/>
        </w:rPr>
        <w:t>ing</w:t>
      </w:r>
      <w:r w:rsidR="0035430F" w:rsidRPr="0035461C">
        <w:rPr>
          <w:rFonts w:ascii="Calibri" w:hAnsi="Calibri" w:cs="Calibri"/>
        </w:rPr>
        <w:t xml:space="preserve"> to diagnostic uncertainty about the type of diabetes</w:t>
      </w:r>
      <w:r w:rsidR="009835DF" w:rsidRPr="0035461C">
        <w:rPr>
          <w:rFonts w:ascii="Calibri" w:hAnsi="Calibri" w:cs="Calibri"/>
        </w:rPr>
        <w:t xml:space="preserve"> and its management</w:t>
      </w:r>
      <w:r w:rsidR="0035430F" w:rsidRPr="0035461C">
        <w:rPr>
          <w:rFonts w:ascii="Calibri" w:hAnsi="Calibri" w:cs="Calibri"/>
        </w:rPr>
        <w:t xml:space="preserve">. </w:t>
      </w:r>
    </w:p>
    <w:p w14:paraId="0C4237F9" w14:textId="77777777" w:rsidR="00315A80" w:rsidRPr="0035461C" w:rsidRDefault="00315A80" w:rsidP="001C5BC0">
      <w:pPr>
        <w:spacing w:before="120"/>
        <w:jc w:val="both"/>
        <w:rPr>
          <w:rFonts w:ascii="Calibri" w:hAnsi="Calibri" w:cs="Calibri"/>
        </w:rPr>
      </w:pPr>
    </w:p>
    <w:p w14:paraId="6D7154C3" w14:textId="25D24461" w:rsidR="00303C8A" w:rsidRPr="0035461C" w:rsidRDefault="00303C8A" w:rsidP="001C5BC0">
      <w:pPr>
        <w:spacing w:before="120"/>
        <w:jc w:val="both"/>
        <w:rPr>
          <w:rFonts w:ascii="Calibri" w:hAnsi="Calibri" w:cs="Calibri"/>
          <w:i/>
          <w:u w:val="single"/>
        </w:rPr>
      </w:pPr>
      <w:r w:rsidRPr="0035461C">
        <w:rPr>
          <w:rFonts w:ascii="Calibri" w:hAnsi="Calibri" w:cs="Calibri"/>
          <w:i/>
          <w:u w:val="single"/>
        </w:rPr>
        <w:t xml:space="preserve">Differentiating type 1 </w:t>
      </w:r>
      <w:r w:rsidR="00F757D9" w:rsidRPr="0035461C">
        <w:rPr>
          <w:rFonts w:ascii="Calibri" w:hAnsi="Calibri" w:cs="Calibri"/>
          <w:i/>
          <w:u w:val="single"/>
        </w:rPr>
        <w:t xml:space="preserve">diabetes </w:t>
      </w:r>
      <w:r w:rsidRPr="0035461C">
        <w:rPr>
          <w:rFonts w:ascii="Calibri" w:hAnsi="Calibri" w:cs="Calibri"/>
          <w:i/>
          <w:u w:val="single"/>
        </w:rPr>
        <w:t>from type 2 diabetes</w:t>
      </w:r>
    </w:p>
    <w:p w14:paraId="2FCDA5AA" w14:textId="4F30E239" w:rsidR="00303C8A" w:rsidRPr="0035461C" w:rsidRDefault="00303C8A" w:rsidP="001C5BC0">
      <w:pPr>
        <w:spacing w:before="120"/>
        <w:jc w:val="both"/>
        <w:rPr>
          <w:rFonts w:ascii="Calibri" w:hAnsi="Calibri" w:cs="Calibri"/>
        </w:rPr>
      </w:pPr>
      <w:r w:rsidRPr="0035461C">
        <w:rPr>
          <w:rFonts w:ascii="Calibri" w:hAnsi="Calibri" w:cs="Calibri"/>
        </w:rPr>
        <w:t>Identifying whether a</w:t>
      </w:r>
      <w:r w:rsidR="00E7183C" w:rsidRPr="0035461C">
        <w:rPr>
          <w:rFonts w:ascii="Calibri" w:hAnsi="Calibri" w:cs="Calibri"/>
        </w:rPr>
        <w:t>n adult with</w:t>
      </w:r>
      <w:r w:rsidR="00F757D9" w:rsidRPr="0035461C">
        <w:rPr>
          <w:rFonts w:ascii="Calibri" w:hAnsi="Calibri" w:cs="Calibri"/>
        </w:rPr>
        <w:t xml:space="preserve"> newly diagnosed </w:t>
      </w:r>
      <w:r w:rsidR="00E7183C" w:rsidRPr="0035461C">
        <w:rPr>
          <w:rFonts w:ascii="Calibri" w:hAnsi="Calibri" w:cs="Calibri"/>
        </w:rPr>
        <w:t xml:space="preserve">diabetes </w:t>
      </w:r>
      <w:r w:rsidRPr="0035461C">
        <w:rPr>
          <w:rFonts w:ascii="Calibri" w:hAnsi="Calibri" w:cs="Calibri"/>
        </w:rPr>
        <w:t xml:space="preserve">has type 1 diabetes may be challenging where </w:t>
      </w:r>
      <w:r w:rsidR="00F757D9" w:rsidRPr="0035461C">
        <w:rPr>
          <w:rFonts w:ascii="Calibri" w:hAnsi="Calibri" w:cs="Calibri"/>
        </w:rPr>
        <w:t>the individual</w:t>
      </w:r>
      <w:r w:rsidRPr="0035461C">
        <w:rPr>
          <w:rFonts w:ascii="Calibri" w:hAnsi="Calibri" w:cs="Calibri"/>
        </w:rPr>
        <w:t xml:space="preserve"> </w:t>
      </w:r>
      <w:r w:rsidR="00F757D9" w:rsidRPr="0035461C">
        <w:rPr>
          <w:rFonts w:ascii="Calibri" w:hAnsi="Calibri" w:cs="Calibri"/>
        </w:rPr>
        <w:t>has</w:t>
      </w:r>
      <w:r w:rsidRPr="0035461C">
        <w:rPr>
          <w:rFonts w:ascii="Calibri" w:hAnsi="Calibri" w:cs="Calibri"/>
        </w:rPr>
        <w:t xml:space="preserve"> features pointing towards both type 1 </w:t>
      </w:r>
      <w:r w:rsidR="00AE561C" w:rsidRPr="0035461C">
        <w:rPr>
          <w:rFonts w:ascii="Calibri" w:hAnsi="Calibri" w:cs="Calibri"/>
        </w:rPr>
        <w:t xml:space="preserve">diabetes </w:t>
      </w:r>
      <w:r w:rsidRPr="0035461C">
        <w:rPr>
          <w:rFonts w:ascii="Calibri" w:hAnsi="Calibri" w:cs="Calibri"/>
        </w:rPr>
        <w:t>and 2 diabetes, for exa</w:t>
      </w:r>
      <w:r w:rsidRPr="0035461C">
        <w:rPr>
          <w:rFonts w:asciiTheme="minorHAnsi" w:hAnsiTheme="minorHAnsi" w:cstheme="minorHAnsi"/>
        </w:rPr>
        <w:t xml:space="preserve">mple </w:t>
      </w:r>
      <w:r w:rsidR="00DF4902" w:rsidRPr="0035461C">
        <w:rPr>
          <w:rFonts w:asciiTheme="minorHAnsi" w:hAnsiTheme="minorHAnsi" w:cstheme="minorHAnsi"/>
        </w:rPr>
        <w:t xml:space="preserve">an </w:t>
      </w:r>
      <w:r w:rsidR="009835DF" w:rsidRPr="0035461C">
        <w:rPr>
          <w:rFonts w:asciiTheme="minorHAnsi" w:hAnsiTheme="minorHAnsi" w:cstheme="minorHAnsi"/>
        </w:rPr>
        <w:t>older</w:t>
      </w:r>
      <w:r w:rsidRPr="0035461C">
        <w:rPr>
          <w:rFonts w:asciiTheme="minorHAnsi" w:hAnsiTheme="minorHAnsi" w:cstheme="minorHAnsi"/>
        </w:rPr>
        <w:t xml:space="preserve"> </w:t>
      </w:r>
      <w:r w:rsidR="009835DF" w:rsidRPr="0035461C">
        <w:rPr>
          <w:rFonts w:asciiTheme="minorHAnsi" w:hAnsiTheme="minorHAnsi" w:cstheme="minorHAnsi"/>
        </w:rPr>
        <w:t xml:space="preserve">adult </w:t>
      </w:r>
      <w:r w:rsidR="00E7183C" w:rsidRPr="0035461C">
        <w:rPr>
          <w:rFonts w:asciiTheme="minorHAnsi" w:hAnsiTheme="minorHAnsi" w:cstheme="minorHAnsi"/>
        </w:rPr>
        <w:t>with a low</w:t>
      </w:r>
      <w:r w:rsidR="00DF4902" w:rsidRPr="0035461C">
        <w:rPr>
          <w:rFonts w:asciiTheme="minorHAnsi" w:hAnsiTheme="minorHAnsi" w:cstheme="minorHAnsi"/>
        </w:rPr>
        <w:t xml:space="preserve"> or </w:t>
      </w:r>
      <w:r w:rsidR="00E7183C" w:rsidRPr="0035461C">
        <w:rPr>
          <w:rFonts w:asciiTheme="minorHAnsi" w:hAnsiTheme="minorHAnsi" w:cstheme="minorHAnsi"/>
        </w:rPr>
        <w:t xml:space="preserve">normal </w:t>
      </w:r>
      <w:r w:rsidR="00F74FC1" w:rsidRPr="0035461C">
        <w:rPr>
          <w:rFonts w:asciiTheme="minorHAnsi" w:hAnsiTheme="minorHAnsi" w:cstheme="minorHAnsi"/>
        </w:rPr>
        <w:t>body mass index (</w:t>
      </w:r>
      <w:r w:rsidR="00E7183C" w:rsidRPr="0035461C">
        <w:rPr>
          <w:rFonts w:asciiTheme="minorHAnsi" w:hAnsiTheme="minorHAnsi" w:cstheme="minorHAnsi"/>
        </w:rPr>
        <w:t>BMI</w:t>
      </w:r>
      <w:r w:rsidR="00F74FC1" w:rsidRPr="0035461C">
        <w:rPr>
          <w:rFonts w:asciiTheme="minorHAnsi" w:hAnsiTheme="minorHAnsi" w:cstheme="minorHAnsi"/>
        </w:rPr>
        <w:t>)</w:t>
      </w:r>
      <w:r w:rsidR="009835DF" w:rsidRPr="0035461C">
        <w:rPr>
          <w:rFonts w:asciiTheme="minorHAnsi" w:hAnsiTheme="minorHAnsi" w:cstheme="minorHAnsi"/>
        </w:rPr>
        <w:t xml:space="preserve"> or young adult </w:t>
      </w:r>
      <w:r w:rsidR="00E7183C" w:rsidRPr="0035461C">
        <w:rPr>
          <w:rFonts w:asciiTheme="minorHAnsi" w:hAnsiTheme="minorHAnsi" w:cstheme="minorHAnsi"/>
        </w:rPr>
        <w:t>with an elevated BMI</w:t>
      </w:r>
      <w:r w:rsidR="00DF4902" w:rsidRPr="0035461C">
        <w:rPr>
          <w:rFonts w:asciiTheme="minorHAnsi" w:hAnsiTheme="minorHAnsi" w:cstheme="minorHAnsi"/>
        </w:rPr>
        <w:t>. Ketoacidosis, once considered pathognomonic of type 1 diabetes, may occur in ketosis-prone type 2 diabetes.</w:t>
      </w:r>
      <w:r w:rsidR="009835DF" w:rsidRPr="0035461C">
        <w:rPr>
          <w:rFonts w:asciiTheme="minorHAnsi" w:hAnsiTheme="minorHAnsi" w:cstheme="minorHAnsi"/>
        </w:rPr>
        <w:t xml:space="preserve"> </w:t>
      </w:r>
      <w:r w:rsidRPr="0035461C">
        <w:rPr>
          <w:rFonts w:asciiTheme="minorHAnsi" w:hAnsiTheme="minorHAnsi" w:cstheme="minorHAnsi"/>
        </w:rPr>
        <w:t xml:space="preserve">Misclassification of type 1 diabetes in adults is common and over 40% of those </w:t>
      </w:r>
      <w:r w:rsidR="00F757D9" w:rsidRPr="0035461C">
        <w:rPr>
          <w:rFonts w:asciiTheme="minorHAnsi" w:hAnsiTheme="minorHAnsi" w:cstheme="minorHAnsi"/>
        </w:rPr>
        <w:t>developing</w:t>
      </w:r>
      <w:r w:rsidRPr="0035461C">
        <w:rPr>
          <w:rFonts w:asciiTheme="minorHAnsi" w:hAnsiTheme="minorHAnsi" w:cstheme="minorHAnsi"/>
        </w:rPr>
        <w:t xml:space="preserve"> typ</w:t>
      </w:r>
      <w:r w:rsidRPr="0035461C">
        <w:rPr>
          <w:rFonts w:ascii="Calibri" w:hAnsi="Calibri" w:cs="Calibri"/>
        </w:rPr>
        <w:t>e 1 diabetes after age 30</w:t>
      </w:r>
      <w:r w:rsidR="00F757D9" w:rsidRPr="0035461C">
        <w:rPr>
          <w:rFonts w:ascii="Calibri" w:hAnsi="Calibri" w:cs="Calibri"/>
        </w:rPr>
        <w:t xml:space="preserve"> years</w:t>
      </w:r>
      <w:r w:rsidRPr="0035461C">
        <w:rPr>
          <w:rFonts w:ascii="Calibri" w:hAnsi="Calibri" w:cs="Calibri"/>
        </w:rPr>
        <w:t xml:space="preserve"> are initially treated as </w:t>
      </w:r>
      <w:r w:rsidR="00F757D9" w:rsidRPr="0035461C">
        <w:rPr>
          <w:rFonts w:ascii="Calibri" w:hAnsi="Calibri" w:cs="Calibri"/>
        </w:rPr>
        <w:t xml:space="preserve">having </w:t>
      </w:r>
      <w:r w:rsidRPr="0035461C">
        <w:rPr>
          <w:rFonts w:ascii="Calibri" w:hAnsi="Calibri" w:cs="Calibri"/>
        </w:rPr>
        <w:t>type 2 diabetes</w:t>
      </w:r>
      <w:r w:rsidR="00AE561C" w:rsidRPr="0035461C">
        <w:rPr>
          <w:rFonts w:ascii="Calibri" w:hAnsi="Calibri" w:cs="Calibri"/>
        </w:rPr>
        <w:t xml:space="preserve"> </w:t>
      </w:r>
      <w:r w:rsidR="00481B48" w:rsidRPr="0035461C">
        <w:rPr>
          <w:rFonts w:ascii="Calibri" w:hAnsi="Calibri" w:cs="Calibri"/>
        </w:rPr>
        <w:fldChar w:fldCharType="begin"/>
      </w:r>
      <w:r w:rsidR="00076F77">
        <w:rPr>
          <w:rFonts w:ascii="Calibri" w:hAnsi="Calibri" w:cs="Calibri"/>
        </w:rPr>
        <w:instrText xml:space="preserve"> ADDIN ZOTERO_ITEM CSL_CITATION {"citationID":"dlqLFoA8","properties":{"formattedCitation":"(6\\uc0\\u8211{}8)","plainCitation":"(6–8)","noteIndex":0},"citationItems":[{"id":3913,"uris":["http://zotero.org/groups/369679/items/9HCBWBQI"],"uri":["http://zotero.org/groups/369679/items/9HCBWBQI"],"itemData":{"id":3913,"type":"article-journal","abstract":"AIMS/HYPOTHESIS: Late-onset type 1 diabetes can be difficult to identify. Measurement of endogenous insulin secretion using C-peptide provides a gold standard classification of diabetes type in longstanding diabetes that closely relates to treatment requirements. We aimed to determine the prevalence and characteristics of type 1 diabetes defined by severe endogenous insulin deficiency after age 30 and assess whether these individuals are identified and managed as having type 1 diabetes in clinical practice.\nMETHODS: We assessed the characteristics of type 1 diabetes defined by rapid insulin requirement (within 3 years of diagnosis) and severe endogenous insulin deficiency (non-fasting C-peptide &lt;200 pmol/l) in 583 participants with insulin-treated diabetes, diagnosed after age 30, from the Diabetes Alliance for Research in England (DARE) population cohort. We compared characteristics with participants with retained endogenous insulin secretion (&gt;600 pmol/l) and 220 participants with severe insulin deficiency who were diagnosed under age 30.\nRESULTS: Twenty-one per cent of participants with insulin-treated diabetes who were diagnosed after age 30 met the study criteria for type 1 diabetes. Of these participants, 38% did not receive insulin at diagnosis, of whom 47% self-reported type 2 diabetes. Rapid insulin requirement was highly predictive of severe endogenous insulin deficiency: 85% required insulin within 1 year of diagnosis, and 47% of all those initially treated without insulin who progressed to insulin treatment within 3 years of diagnosis had severe endogenous insulin deficiency. Participants with late-onset type 1 diabetes defined by development of severe insulin deficiency had similar clinical characteristics to those with young-onset type 1 diabetes. However, those with later onset type 1 diabetes had a modestly lower type 1 diabetes genetic risk score (0.268 vs 0.279; p &lt; 0.001 [expected type 2 diabetes population median, 0.231]), a higher islet autoantibody prevalence (GAD-, islet antigen 2 [IA2]- or zinc transporter protein 8 [ZnT8]-positive) of 78% at 13 years vs 62% at 26 years of diabetes duration; (p = 0.02), and were less likely to identify as having type 1 diabetes (79% vs 100%; p &lt; 0.001) vs those with young-onset disease.\nCONCLUSIONS/INTERPRETATION: Type 1 diabetes diagnosed over 30 years of age, defined by severe insulin deficiency, has similar clinical and biological characteristics to that occurring at younger ages, but is frequently not identified. Clinicians should be aware that patients progressing to insulin within 3 years of diagnosis have a high likelihood of type 1 diabetes, regardless of initial diagnosis.","container-title":"Diabetologia","DOI":"10.1007/s00125-019-4863-8","ISSN":"1432-0428","issue":"7","journalAbbreviation":"Diabetologia","language":"eng","note":"PMID: 30969375\nPMCID: PMC6559997","page":"1167-1172","source":"PubMed","title":"Type 1 diabetes defined by severe insulin deficiency occurs after 30 years of age and is commonly treated as type 2 diabetes","volume":"62","author":[{"family":"Thomas","given":"Nicholas J."},{"family":"Lynam","given":"Anita L."},{"family":"Hill","given":"Anita V."},{"family":"Weedon","given":"Michael N."},{"family":"Shields","given":"Beverley M."},{"family":"Oram","given":"Richard A."},{"family":"McDonald","given":"Timothy J."},{"family":"Hattersley","given":"Andrew T."},{"family":"Jones","given":"Angus G."}],"issued":{"date-parts":[["2019",7]]}}},{"id":10944,"uris":["http://zotero.org/groups/369679/items/G2DKN3DJ"],"uri":["http://zotero.org/groups/369679/items/G2DKN3DJ"],"itemData":{"id":10944,"type":"article-journal","abstract":"IN BRIEF Diabetic ketoacidosis (DKA) is a life-threatening complication that frequently occurs at diagnosis of type 1 diabetes, occurs more commonly when a patient is misdiagnosed, is the leading cause of death in children with type 1 diabetes, and is associated with worse long-term outcomes. Our retrospective online survey found that 25% of all participants were misdiagnosed and that misdiagnosis was associated with an 18% increased risk for DKA compared to those correctly diagnosed. Adult providers should consider type 1 diabetes when diagnosing type 2 diabetes, and pediatric providers should rule out type 1 diabetes when a patient reports nonspecific viral symptoms.","container-title":"Clinical Diabetes: A Publication of the American Diabetes Association","DOI":"10.2337/cd18-0088","ISSN":"0891-8929","issue":"3","journalAbbreviation":"Clin Diabetes","language":"eng","note":"PMID: 31371859\nPMCID: PMC6640891","page":"276-281","source":"PubMed","title":"Misdiagnosis and Diabetic Ketoacidosis at Diagnosis of Type 1 Diabetes: Patient and Caregiver Perspectives","title-short":"Misdiagnosis and Diabetic Ketoacidosis at Diagnosis of Type 1 Diabetes","volume":"37","author":[{"family":"Muñoz","given":"Cynthia"},{"family":"Floreen","given":"Anna"},{"family":"Garey","given":"Colleen"},{"family":"Karlya","given":"Tom"},{"family":"Jelley","given":"David"},{"family":"Alonso","given":"G. Todd"},{"family":"McAuliffe-Fogarty","given":"Alicia"}],"issued":{"date-parts":[["2019",7]]}}},{"id":3912,"uris":["http://zotero.org/groups/369679/items/JX8T23BQ"],"uri":["http://zotero.org/groups/369679/items/JX8T23BQ"],"itemData":{"id":3912,"type":"article-journal","abstract":"BACKGROUND: Differentiating between type 1 and type 2 diabetes is fundamental to ensuring appropriate management of patients, but can be challenging, especially when treating with insulin. The 2010 UK Practical Classification Guidelines for Diabetes were developed to help make the differentiation.\nAIM: To assess diagnostic accuracy of the UK guidelines against 'gold standard' definitions of type 1 and type 2 diabetes based on measured C-peptide levels.\nDESIGN AND SETTING: In total, 601 adults with insulin-treated diabetes and diabetes duration ≥5 years were recruited in Devon, Northamptonshire, and Leicestershire.\nMETHOD: Baseline information and home urine sample were collected. Urinary C-peptide creatinine ratio (UCPCR) measures endogenous insulin production. Gold standard type 1 diabetes was defined as continuous insulin treatment within 3 years of diagnosis and absolute insulin deficiency (UCPCR&lt;0.2 nmol/mmol ≥5 years post-diagnosis); all others classed as having type 2 diabetes. Diagnostic performance of the clinical criteria was assessed and other criteria explored using receiver operating characteristic (ROC) curves.\nRESULTS: UK guidelines correctly classified 86% of participants. Most misclassifications occurred in patients classed as having type 1 diabetes who had significant endogenous insulin levels (57 out of 601; 9%); most in those diagnosed ≥35 years and treated with insulin from diagnosis, where 37 out of 66 (56%) were misclassified. Time to insulin and age at diagnosis performed best in predicting long-term endogenous insulin production (ROC AUC = 0.904 and 0.871); BMI was a less strong predictor of diabetes type (AUC = 0.824).\nCONCLUSION: Current UK guidelines provide a pragmatic clinical approach to classification reflecting long-term endogenous insulin production; caution is needed in older patients commencing insulin from diagnosis, where misclassification rates are increased.","container-title":"The British Journal of General Practice: The Journal of the Royal College of General Practitioners","DOI":"10.3399/bjgp16X684961","ISSN":"1478-5242","issue":"646","journalAbbreviation":"Br J Gen Pract","language":"eng","note":"PMID: 27080317\nPMCID: PMC4838443","page":"e315-322","source":"PubMed","title":"Practical Classification Guidelines for Diabetes in patients treated with insulin: a cross-sectional study of the accuracy of diabetes diagnosis","title-short":"Practical Classification Guidelines for Diabetes in patients treated with insulin","volume":"66","author":[{"family":"Hope","given":"Suzy V."},{"family":"Wienand-Barnett","given":"Sophie"},{"family":"Shepherd","given":"Maggie"},{"family":"King","given":"Sophie M."},{"family":"Fox","given":"Charles"},{"family":"Khunti","given":"Kamlesh"},{"family":"Oram","given":"Richard A."},{"family":"Knight","given":"Bea A."},{"family":"Hattersley","given":"Andrew T."},{"family":"Jones","given":"Angus G."},{"family":"Shields","given":"Beverley M."}],"issued":{"date-parts":[["2016",5]]}}}],"schema":"https://github.com/citation-style-language/schema/raw/master/csl-citation.json"} </w:instrText>
      </w:r>
      <w:r w:rsidR="00481B48" w:rsidRPr="0035461C">
        <w:rPr>
          <w:rFonts w:ascii="Calibri" w:hAnsi="Calibri" w:cs="Calibri"/>
        </w:rPr>
        <w:fldChar w:fldCharType="separate"/>
      </w:r>
      <w:r w:rsidR="00643FF1" w:rsidRPr="00643FF1">
        <w:rPr>
          <w:rFonts w:ascii="Calibri" w:hAnsi="Calibri" w:cs="Calibri"/>
        </w:rPr>
        <w:t>(6–8)</w:t>
      </w:r>
      <w:r w:rsidR="00481B48" w:rsidRPr="0035461C">
        <w:rPr>
          <w:rFonts w:ascii="Calibri" w:hAnsi="Calibri" w:cs="Calibri"/>
        </w:rPr>
        <w:fldChar w:fldCharType="end"/>
      </w:r>
      <w:r w:rsidR="00AE561C" w:rsidRPr="0035461C">
        <w:rPr>
          <w:rFonts w:ascii="Calibri" w:hAnsi="Calibri" w:cs="Calibri"/>
        </w:rPr>
        <w:t>.</w:t>
      </w:r>
      <w:r w:rsidRPr="0035461C">
        <w:rPr>
          <w:rFonts w:ascii="Calibri" w:hAnsi="Calibri" w:cs="Calibri"/>
        </w:rPr>
        <w:t xml:space="preserve"> </w:t>
      </w:r>
      <w:r w:rsidR="00E7183C" w:rsidRPr="0035461C">
        <w:rPr>
          <w:rFonts w:ascii="Calibri" w:hAnsi="Calibri" w:cs="Calibri"/>
        </w:rPr>
        <w:t>A misdiagnosis of type 2 diabetes can</w:t>
      </w:r>
      <w:r w:rsidR="00EC0658">
        <w:rPr>
          <w:rFonts w:ascii="Calibri" w:hAnsi="Calibri" w:cs="Calibri"/>
        </w:rPr>
        <w:t xml:space="preserve"> cause distress</w:t>
      </w:r>
      <w:r w:rsidR="00E7183C" w:rsidRPr="0035461C">
        <w:rPr>
          <w:rFonts w:ascii="Calibri" w:hAnsi="Calibri" w:cs="Calibri"/>
        </w:rPr>
        <w:t xml:space="preserve">, especially for those </w:t>
      </w:r>
      <w:r w:rsidR="004D72E4" w:rsidRPr="0035461C">
        <w:rPr>
          <w:rFonts w:ascii="Calibri" w:hAnsi="Calibri" w:cs="Calibri"/>
        </w:rPr>
        <w:t xml:space="preserve">with type 1 diabetes </w:t>
      </w:r>
      <w:r w:rsidR="00E7183C" w:rsidRPr="0035461C">
        <w:rPr>
          <w:rFonts w:ascii="Calibri" w:hAnsi="Calibri" w:cs="Calibri"/>
        </w:rPr>
        <w:t>who are overweight</w:t>
      </w:r>
      <w:r w:rsidR="004D72E4" w:rsidRPr="0035461C">
        <w:rPr>
          <w:rFonts w:ascii="Calibri" w:hAnsi="Calibri" w:cs="Calibri"/>
        </w:rPr>
        <w:t xml:space="preserve"> or </w:t>
      </w:r>
      <w:r w:rsidR="00E7183C" w:rsidRPr="0035461C">
        <w:rPr>
          <w:rFonts w:ascii="Calibri" w:hAnsi="Calibri" w:cs="Calibri"/>
        </w:rPr>
        <w:t xml:space="preserve">obese. </w:t>
      </w:r>
      <w:r w:rsidRPr="0035461C">
        <w:rPr>
          <w:rFonts w:ascii="Calibri" w:hAnsi="Calibri" w:cs="Calibri"/>
        </w:rPr>
        <w:t>No single clinical feature confirms type 1 diabetes in isolation</w:t>
      </w:r>
      <w:r w:rsidR="00AE561C" w:rsidRPr="0035461C">
        <w:rPr>
          <w:rFonts w:ascii="Calibri" w:hAnsi="Calibri" w:cs="Calibri"/>
        </w:rPr>
        <w:t xml:space="preserve"> </w:t>
      </w:r>
      <w:r w:rsidR="00B9205A" w:rsidRPr="0035461C">
        <w:rPr>
          <w:rFonts w:ascii="Calibri" w:hAnsi="Calibri" w:cs="Calibri"/>
        </w:rPr>
        <w:fldChar w:fldCharType="begin"/>
      </w:r>
      <w:r w:rsidR="00076F77">
        <w:rPr>
          <w:rFonts w:ascii="Calibri" w:hAnsi="Calibri" w:cs="Calibri"/>
        </w:rPr>
        <w:instrText xml:space="preserve"> ADDIN ZOTERO_ITEM CSL_CITATION {"citationID":"8G5DWovX","properties":{"formattedCitation":"(9,10)","plainCitation":"(9,10)","noteIndex":0},"citationItems":[{"id":10947,"uris":["http://zotero.org/groups/369679/items/T33BZMCL"],"uri":["http://zotero.org/groups/369679/items/T33BZMCL"],"itemData":{"id":10947,"type":"article-journal","abstract":"OBJECTIVE: Clinicians predominantly use clinical features to differentiate type 1 from type 2 diabetes yet there are no evidence-based clinical criteria to aid classification of patients. Misclassification of diabetes is widespread (7-15% of cases), resulting in patients receiving inappropriate treatment. We sought to identify which clinical criteria could be used to discriminate type 1 and type 2 diabetes.\nDESIGN: Systematic review of all diagnostic accuracy studies published since 1979 using clinical criteria to predict insulin deficiency (measured by C-peptide).\nDATA SOURCES: 14 databases including: MEDLINE, MEDLINE in Process and EMBASE. The search strategy took the form of: (terms for diabetes) AND (terms for C-Peptide).\nELIGIBILITY CRITERIA: Diagnostic accuracy studies of any routinely available clinical predictors against a reference standard of insulin deficiency defined by cut-offs of C-peptide concentrations. No restrictions on race, age, language or country of origin.\nRESULTS: 10,917 abstracts were screened, and 231 full texts reviewed. 11 studies met inclusion criteria, but varied by age, race, year and proportion of participants who were C-peptide negative. Age at diagnosis was the most discriminatory feature in 7/9 studies where it was assessed, with optimal cut-offs (&gt;70% mean sensitivity and specificity) across studies being &lt;30 years or &lt;40 years. Use of/time to insulin treatment and body mass index (BMI) were also discriminatory. When combining features, BMI added little over age at diagnosis and/or time to insulin (&lt;1% improvement in classification).\nCONCLUSIONS: Despite finding only 11 studies, and considerable heterogeneity between studies, age at diagnosis and time to insulin were consistently the most discriminatory criteria. BMI, despite being widely used in clinical practice, adds little to these two criteria. The criteria identified are similar to the Royal College of General Practitioners National Health Service (RCGP/NHS) Diabetes classification guidelines, which use age at diagnosis &lt;35 years and time to insulin &lt;6 m. Until further studies are carried out, these guidelines represent a suitable classification scheme.\nSYSTEMATIC REVIEW REGISTRATION: PROSPERO reference CRD42012001736.","container-title":"BMJ open","DOI":"10.1136/bmjopen-2015-009088","ISSN":"2044-6055","issue":"11","journalAbbreviation":"BMJ Open","language":"eng","note":"PMID: 26525723\nPMCID: PMC4636628","page":"e009088","source":"PubMed","title":"Can clinical features be used to differentiate type 1 from type 2 diabetes? A systematic review of the literature","title-short":"Can clinical features be used to differentiate type 1 from type 2 diabetes?","volume":"5","author":[{"family":"Shields","given":"Beverley M."},{"family":"Peters","given":"Jaime L."},{"family":"Cooper","given":"Chris"},{"family":"Lowe","given":"Jenny"},{"family":"Knight","given":"Bridget A."},{"family":"Powell","given":"Roy J."},{"family":"Jones","given":"Angus"},{"family":"Hyde","given":"Christopher J."},{"family":"Hattersley","given":"Andrew T."}],"issued":{"date-parts":[["2015",11,2]]}}},{"id":10950,"uris":["http://zotero.org/groups/369679/items/6IFCAH4J"],"uri":["http://zotero.org/groups/369679/items/6IFCAH4J"],"itemData":{"id":10950,"type":"webpage","title":"The utility of clinical features and glycaemia at diagnosis in classifying young adult onset diabetes - Virtual Meeting | EASD","URL":"https://www.easd.org/virtualmeeting/home.html#!resources/the-utility-of-clinical-features-and-glycaemia-at-diagnosis-in-classifying-young-adult-onset-diabetes","accessed":{"date-parts":[["2021",1,28]]}}}],"schema":"https://github.com/citation-style-language/schema/raw/master/csl-citation.json"} </w:instrText>
      </w:r>
      <w:r w:rsidR="00B9205A" w:rsidRPr="0035461C">
        <w:rPr>
          <w:rFonts w:ascii="Calibri" w:hAnsi="Calibri" w:cs="Calibri"/>
        </w:rPr>
        <w:fldChar w:fldCharType="separate"/>
      </w:r>
      <w:r w:rsidR="00643FF1" w:rsidRPr="00643FF1">
        <w:rPr>
          <w:rFonts w:ascii="Calibri" w:hAnsi="Calibri" w:cs="Calibri"/>
        </w:rPr>
        <w:t>(9,10)</w:t>
      </w:r>
      <w:r w:rsidR="00B9205A" w:rsidRPr="0035461C">
        <w:rPr>
          <w:rFonts w:ascii="Calibri" w:hAnsi="Calibri" w:cs="Calibri"/>
        </w:rPr>
        <w:fldChar w:fldCharType="end"/>
      </w:r>
      <w:r w:rsidR="00AE561C" w:rsidRPr="0035461C">
        <w:rPr>
          <w:rFonts w:ascii="Calibri" w:hAnsi="Calibri" w:cs="Calibri"/>
        </w:rPr>
        <w:t>.</w:t>
      </w:r>
      <w:r w:rsidRPr="0035461C">
        <w:rPr>
          <w:rFonts w:ascii="Calibri" w:hAnsi="Calibri" w:cs="Calibri"/>
        </w:rPr>
        <w:t xml:space="preserve"> The most discriminative feature is younger age at diagnosis (&lt;35 y</w:t>
      </w:r>
      <w:r w:rsidR="004253BD" w:rsidRPr="0035461C">
        <w:rPr>
          <w:rFonts w:ascii="Calibri" w:hAnsi="Calibri" w:cs="Calibri"/>
        </w:rPr>
        <w:t>ea</w:t>
      </w:r>
      <w:r w:rsidRPr="0035461C">
        <w:rPr>
          <w:rFonts w:ascii="Calibri" w:hAnsi="Calibri" w:cs="Calibri"/>
        </w:rPr>
        <w:t>rs), with lower BMI (&lt;25 kg/m</w:t>
      </w:r>
      <w:r w:rsidRPr="0035461C">
        <w:rPr>
          <w:rFonts w:ascii="Calibri" w:hAnsi="Calibri" w:cs="Calibri"/>
          <w:vertAlign w:val="superscript"/>
        </w:rPr>
        <w:t>2</w:t>
      </w:r>
      <w:r w:rsidRPr="0035461C">
        <w:rPr>
          <w:rFonts w:ascii="Calibri" w:hAnsi="Calibri" w:cs="Calibri"/>
        </w:rPr>
        <w:t>), unintentional weight loss, ketoacidosis</w:t>
      </w:r>
      <w:r w:rsidR="00A75C61" w:rsidRPr="0035461C">
        <w:rPr>
          <w:rFonts w:ascii="Calibri" w:hAnsi="Calibri" w:cs="Calibri"/>
        </w:rPr>
        <w:t>,</w:t>
      </w:r>
      <w:r w:rsidRPr="0035461C">
        <w:rPr>
          <w:rFonts w:ascii="Calibri" w:hAnsi="Calibri" w:cs="Calibri"/>
        </w:rPr>
        <w:t xml:space="preserve"> and glucose &gt;360 mg/</w:t>
      </w:r>
      <w:proofErr w:type="spellStart"/>
      <w:r w:rsidRPr="0035461C">
        <w:rPr>
          <w:rFonts w:ascii="Calibri" w:hAnsi="Calibri" w:cs="Calibri"/>
        </w:rPr>
        <w:t>dL</w:t>
      </w:r>
      <w:proofErr w:type="spellEnd"/>
      <w:r w:rsidRPr="0035461C">
        <w:rPr>
          <w:rFonts w:ascii="Calibri" w:hAnsi="Calibri" w:cs="Calibri"/>
        </w:rPr>
        <w:t xml:space="preserve"> (20 </w:t>
      </w:r>
      <w:proofErr w:type="spellStart"/>
      <w:r w:rsidRPr="0035461C">
        <w:rPr>
          <w:rFonts w:ascii="Calibri" w:hAnsi="Calibri" w:cs="Calibri"/>
        </w:rPr>
        <w:t>mmol</w:t>
      </w:r>
      <w:proofErr w:type="spellEnd"/>
      <w:r w:rsidRPr="0035461C">
        <w:rPr>
          <w:rFonts w:ascii="Calibri" w:hAnsi="Calibri" w:cs="Calibri"/>
        </w:rPr>
        <w:t>/L) at presentation also</w:t>
      </w:r>
      <w:r w:rsidR="0019450E" w:rsidRPr="0035461C">
        <w:rPr>
          <w:rFonts w:ascii="Calibri" w:hAnsi="Calibri" w:cs="Calibri"/>
        </w:rPr>
        <w:t xml:space="preserve"> being</w:t>
      </w:r>
      <w:r w:rsidRPr="0035461C">
        <w:rPr>
          <w:rFonts w:ascii="Calibri" w:hAnsi="Calibri" w:cs="Calibri"/>
        </w:rPr>
        <w:t xml:space="preserve"> informative. Other features classically associated with type 1</w:t>
      </w:r>
      <w:r w:rsidR="00F757D9" w:rsidRPr="0035461C">
        <w:rPr>
          <w:rFonts w:ascii="Calibri" w:hAnsi="Calibri" w:cs="Calibri"/>
        </w:rPr>
        <w:t xml:space="preserve"> diabetes</w:t>
      </w:r>
      <w:r w:rsidRPr="0035461C">
        <w:rPr>
          <w:rFonts w:ascii="Calibri" w:hAnsi="Calibri" w:cs="Calibri"/>
        </w:rPr>
        <w:t>, such as ketosis without acidosis, osmotic symptoms, family history</w:t>
      </w:r>
      <w:r w:rsidR="004372DF" w:rsidRPr="0035461C">
        <w:rPr>
          <w:rFonts w:ascii="Calibri" w:hAnsi="Calibri" w:cs="Calibri"/>
        </w:rPr>
        <w:t>,</w:t>
      </w:r>
      <w:r w:rsidRPr="0035461C">
        <w:rPr>
          <w:rFonts w:ascii="Calibri" w:hAnsi="Calibri" w:cs="Calibri"/>
        </w:rPr>
        <w:t xml:space="preserve"> or a history of autoimmune diseases are weak discriminators</w:t>
      </w:r>
      <w:r w:rsidR="004253BD" w:rsidRPr="0035461C">
        <w:rPr>
          <w:rFonts w:ascii="Calibri" w:hAnsi="Calibri" w:cs="Calibri"/>
        </w:rPr>
        <w:t xml:space="preserve"> </w:t>
      </w:r>
      <w:r w:rsidR="00A517FF" w:rsidRPr="0035461C">
        <w:rPr>
          <w:rFonts w:ascii="Calibri" w:hAnsi="Calibri" w:cs="Calibri"/>
        </w:rPr>
        <w:fldChar w:fldCharType="begin"/>
      </w:r>
      <w:r w:rsidR="00076F77">
        <w:rPr>
          <w:rFonts w:ascii="Calibri" w:hAnsi="Calibri" w:cs="Calibri"/>
        </w:rPr>
        <w:instrText xml:space="preserve"> ADDIN ZOTERO_ITEM CSL_CITATION {"citationID":"2vFYVTLk","properties":{"formattedCitation":"(8\\uc0\\u8211{}10)","plainCitation":"(8–10)","noteIndex":0},"citationItems":[{"id":3912,"uris":["http://zotero.org/groups/369679/items/JX8T23BQ"],"uri":["http://zotero.org/groups/369679/items/JX8T23BQ"],"itemData":{"id":3912,"type":"article-journal","abstract":"BACKGROUND: Differentiating between type 1 and type 2 diabetes is fundamental to ensuring appropriate management of patients, but can be challenging, especially when treating with insulin. The 2010 UK Practical Classification Guidelines for Diabetes were developed to help make the differentiation.\nAIM: To assess diagnostic accuracy of the UK guidelines against 'gold standard' definitions of type 1 and type 2 diabetes based on measured C-peptide levels.\nDESIGN AND SETTING: In total, 601 adults with insulin-treated diabetes and diabetes duration ≥5 years were recruited in Devon, Northamptonshire, and Leicestershire.\nMETHOD: Baseline information and home urine sample were collected. Urinary C-peptide creatinine ratio (UCPCR) measures endogenous insulin production. Gold standard type 1 diabetes was defined as continuous insulin treatment within 3 years of diagnosis and absolute insulin deficiency (UCPCR&lt;0.2 nmol/mmol ≥5 years post-diagnosis); all others classed as having type 2 diabetes. Diagnostic performance of the clinical criteria was assessed and other criteria explored using receiver operating characteristic (ROC) curves.\nRESULTS: UK guidelines correctly classified 86% of participants. Most misclassifications occurred in patients classed as having type 1 diabetes who had significant endogenous insulin levels (57 out of 601; 9%); most in those diagnosed ≥35 years and treated with insulin from diagnosis, where 37 out of 66 (56%) were misclassified. Time to insulin and age at diagnosis performed best in predicting long-term endogenous insulin production (ROC AUC = 0.904 and 0.871); BMI was a less strong predictor of diabetes type (AUC = 0.824).\nCONCLUSION: Current UK guidelines provide a pragmatic clinical approach to classification reflecting long-term endogenous insulin production; caution is needed in older patients commencing insulin from diagnosis, where misclassification rates are increased.","container-title":"The British Journal of General Practice: The Journal of the Royal College of General Practitioners","DOI":"10.3399/bjgp16X684961","ISSN":"1478-5242","issue":"646","journalAbbreviation":"Br J Gen Pract","language":"eng","note":"PMID: 27080317\nPMCID: PMC4838443","page":"e315-322","source":"PubMed","title":"Practical Classification Guidelines for Diabetes in patients treated with insulin: a cross-sectional study of the accuracy of diabetes diagnosis","title-short":"Practical Classification Guidelines for Diabetes in patients treated with insulin","volume":"66","author":[{"family":"Hope","given":"Suzy V."},{"family":"Wienand-Barnett","given":"Sophie"},{"family":"Shepherd","given":"Maggie"},{"family":"King","given":"Sophie M."},{"family":"Fox","given":"Charles"},{"family":"Khunti","given":"Kamlesh"},{"family":"Oram","given":"Richard A."},{"family":"Knight","given":"Bea A."},{"family":"Hattersley","given":"Andrew T."},{"family":"Jones","given":"Angus G."},{"family":"Shields","given":"Beverley M."}],"issued":{"date-parts":[["2016",5]]}}},{"id":10947,"uris":["http://zotero.org/groups/369679/items/T33BZMCL"],"uri":["http://zotero.org/groups/369679/items/T33BZMCL"],"itemData":{"id":10947,"type":"article-journal","abstract":"OBJECTIVE: Clinicians predominantly use clinical features to differentiate type 1 from type 2 diabetes yet there are no evidence-based clinical criteria to aid classification of patients. Misclassification of diabetes is widespread (7-15% of cases), resulting in patients receiving inappropriate treatment. We sought to identify which clinical criteria could be used to discriminate type 1 and type 2 diabetes.\nDESIGN: Systematic review of all diagnostic accuracy studies published since 1979 using clinical criteria to predict insulin deficiency (measured by C-peptide).\nDATA SOURCES: 14 databases including: MEDLINE, MEDLINE in Process and EMBASE. The search strategy took the form of: (terms for diabetes) AND (terms for C-Peptide).\nELIGIBILITY CRITERIA: Diagnostic accuracy studies of any routinely available clinical predictors against a reference standard of insulin deficiency defined by cut-offs of C-peptide concentrations. No restrictions on race, age, language or country of origin.\nRESULTS: 10,917 abstracts were screened, and 231 full texts reviewed. 11 studies met inclusion criteria, but varied by age, race, year and proportion of participants who were C-peptide negative. Age at diagnosis was the most discriminatory feature in 7/9 studies where it was assessed, with optimal cut-offs (&gt;70% mean sensitivity and specificity) across studies being &lt;30 years or &lt;40 years. Use of/time to insulin treatment and body mass index (BMI) were also discriminatory. When combining features, BMI added little over age at diagnosis and/or time to insulin (&lt;1% improvement in classification).\nCONCLUSIONS: Despite finding only 11 studies, and considerable heterogeneity between studies, age at diagnosis and time to insulin were consistently the most discriminatory criteria. BMI, despite being widely used in clinical practice, adds little to these two criteria. The criteria identified are similar to the Royal College of General Practitioners National Health Service (RCGP/NHS) Diabetes classification guidelines, which use age at diagnosis &lt;35 years and time to insulin &lt;6 m. Until further studies are carried out, these guidelines represent a suitable classification scheme.\nSYSTEMATIC REVIEW REGISTRATION: PROSPERO reference CRD42012001736.","container-title":"BMJ open","DOI":"10.1136/bmjopen-2015-009088","ISSN":"2044-6055","issue":"11","journalAbbreviation":"BMJ Open","language":"eng","note":"PMID: 26525723\nPMCID: PMC4636628","page":"e009088","source":"PubMed","title":"Can clinical features be used to differentiate type 1 from type 2 diabetes? A systematic review of the literature","title-short":"Can clinical features be used to differentiate type 1 from type 2 diabetes?","volume":"5","author":[{"family":"Shields","given":"Beverley M."},{"family":"Peters","given":"Jaime L."},{"family":"Cooper","given":"Chris"},{"family":"Lowe","given":"Jenny"},{"family":"Knight","given":"Bridget A."},{"family":"Powell","given":"Roy J."},{"family":"Jones","given":"Angus"},{"family":"Hyde","given":"Christopher J."},{"family":"Hattersley","given":"Andrew T."}],"issued":{"date-parts":[["2015",11,2]]}}},{"id":10950,"uris":["http://zotero.org/groups/369679/items/6IFCAH4J"],"uri":["http://zotero.org/groups/369679/items/6IFCAH4J"],"itemData":{"id":10950,"type":"webpage","title":"The utility of clinical features and glycaemia at diagnosis in classifying young adult onset diabetes - Virtual Meeting | EASD","URL":"https://www.easd.org/virtualmeeting/home.html#!resources/the-utility-of-clinical-features-and-glycaemia-at-diagnosis-in-classifying-young-adult-onset-diabetes","accessed":{"date-parts":[["2021",1,28]]}}}],"schema":"https://github.com/citation-style-language/schema/raw/master/csl-citation.json"} </w:instrText>
      </w:r>
      <w:r w:rsidR="00A517FF" w:rsidRPr="0035461C">
        <w:rPr>
          <w:rFonts w:ascii="Calibri" w:hAnsi="Calibri" w:cs="Calibri"/>
        </w:rPr>
        <w:fldChar w:fldCharType="separate"/>
      </w:r>
      <w:r w:rsidR="00643FF1" w:rsidRPr="00643FF1">
        <w:rPr>
          <w:rFonts w:ascii="Calibri" w:hAnsi="Calibri" w:cs="Calibri"/>
        </w:rPr>
        <w:t>(8–10)</w:t>
      </w:r>
      <w:r w:rsidR="00A517FF" w:rsidRPr="0035461C">
        <w:rPr>
          <w:rFonts w:ascii="Calibri" w:hAnsi="Calibri" w:cs="Calibri"/>
        </w:rPr>
        <w:fldChar w:fldCharType="end"/>
      </w:r>
      <w:r w:rsidR="004253BD" w:rsidRPr="0035461C">
        <w:rPr>
          <w:rFonts w:ascii="Calibri" w:hAnsi="Calibri" w:cs="Calibri"/>
        </w:rPr>
        <w:t>.</w:t>
      </w:r>
    </w:p>
    <w:p w14:paraId="039EFD45" w14:textId="413BDF25" w:rsidR="00224AA9" w:rsidRPr="0035461C" w:rsidRDefault="00303C8A" w:rsidP="001C5BC0">
      <w:pPr>
        <w:spacing w:before="120"/>
        <w:jc w:val="both"/>
        <w:rPr>
          <w:rFonts w:ascii="Calibri" w:hAnsi="Calibri" w:cs="Calibri"/>
        </w:rPr>
      </w:pPr>
      <w:r w:rsidRPr="0035461C">
        <w:rPr>
          <w:rFonts w:ascii="Calibri" w:hAnsi="Calibri" w:cs="Calibri"/>
        </w:rPr>
        <w:t>The very strong relationship between type 2 diabetes incidence and age means that even ‘classical’ features of type 1 diabetes may have a limited predictive value in older adults, as type 2 diabetes in this age group is so common</w:t>
      </w:r>
      <w:r w:rsidR="004253BD" w:rsidRPr="0035461C">
        <w:rPr>
          <w:rFonts w:ascii="Calibri" w:hAnsi="Calibri" w:cs="Calibri"/>
        </w:rPr>
        <w:t xml:space="preserve"> </w:t>
      </w:r>
      <w:r w:rsidR="002F2649" w:rsidRPr="0035461C">
        <w:rPr>
          <w:rFonts w:ascii="Calibri" w:hAnsi="Calibri" w:cs="Calibri"/>
        </w:rPr>
        <w:fldChar w:fldCharType="begin"/>
      </w:r>
      <w:r w:rsidR="00076F77">
        <w:rPr>
          <w:rFonts w:ascii="Calibri" w:hAnsi="Calibri" w:cs="Calibri"/>
        </w:rPr>
        <w:instrText xml:space="preserve"> ADDIN ZOTERO_ITEM CSL_CITATION {"citationID":"X6y4Hw3E","properties":{"formattedCitation":"(11)","plainCitation":"(11)","noteIndex":0},"citationItems":[{"id":288,"uris":["http://zotero.org/groups/369679/items/DNUUCSUX"],"uri":["http://zotero.org/groups/369679/items/DNUUCSUX"],"itemData":{"id":288,"type":"article-journal","abstract":"BACKGROUND: Type 1 diabetes is typically considered a disease of children and young adults. Genetic susceptibility to young-onset type 1 diabetes is well defined and does not predispose to type 2 diabetes. It is not known how frequently genetic susceptibility to type 1 diabetes leads to a diagnosis of diabetes after age 30 years. We aimed to investigate the frequency and phenotype of type 1 diabetes resulting from high genetic susceptibility in the first six decades of life.\nMETHODS: In this cross-sectional analysis, we used a type 1 diabetes genetic risk score based on 29 common variants to identify individuals of white European descent in UK Biobank in the half of the population with high or low genetic susceptibility to type 1 diabetes. We used Kaplan-Meier analysis to evaluate the number of cases of diabetes in both groups in the first six decades of life. We genetically defined type 1 diabetes as the additional cases of diabetes that occurred in the high genetic susceptibility group compared with the low genetic susceptibility group. All remaining cases were defined as type 2 diabetes. We assessed the clinical characteristics of the groups with genetically defined type 1 or type 2 diabetes.\nFINDINGS: 13 250 (3·5%) of 379 511 white European individuals in UK Biobank had developed diabetes in the first six decades of life. 1286 more cases of diabetes were in the half of the population with high genetic susceptibility to type 1 diabetes than in the half of the population with low genetic susceptibility. These genetically defined cases of type 1 diabetes were distributed across all ages of diagnosis; 537 (42%) were in individuals diagnosed when aged 31-60 years, representing 4% (537/12 233) of all diabetes cases diagnosed after age 30 years. The clinical characteristics of the group diagnosed with type 1 diabetes when aged 31-60 years were similar to the clinical characteristics of the group diagnosed with type 1 diabetes when aged 30 years or younger. For individuals diagnosed with diabetes when aged 31-60 years, the clinical characteristics of type 1 diabetes differed from those of type 2 diabetes: they had a lower BMI (27·4 kg/m2 [95% CI 26·7-28·0] vs 32·4 kg/m2 [32·2-32·5]; p&lt;0·0001), were more likely to use insulin in the first year after diagnosis (89% [476/537] vs 6% [648/11 696]; p&lt;0·0001), and were more likely to have diabetic ketoacidosis (11% [61/537] vs 0·3% [30/11 696]; p&lt;0·0001).\nINTERPRETATION: Genetic susceptibility to type 1 diabetes results in non-obesity-related, insulin-dependent diabetes, which presents throughout the first six decades of life. Our results highlight the difficulty of identifying type 1 diabetes after age 30 years because of the increasing background prevalence of type 2 diabetes. Failure to diagnose late-onset type 1 diabetes can have serious consequences because these patients rapidly develop insulin dependency.\nFUNDING: Wellcome Trust and Diabetes UK.","container-title":"The Lancet. Diabetes &amp; Endocrinology","DOI":"10.1016/S2213-8587(17)30362-5","ISSN":"2213-8595","issue":"2","journalAbbreviation":"Lancet Diabetes Endocrinol","language":"eng","note":"PMID: 29199115\nPMCID: PMC5805861","page":"122-129","source":"PubMed","title":"Frequency and phenotype of type 1 diabetes in the first six decades of life: a cross-sectional, genetically stratified survival analysis from UK Biobank","title-short":"Frequency and phenotype of type 1 diabetes in the first six decades of life","volume":"6","author":[{"family":"Thomas","given":"Nicholas J."},{"family":"Jones","given":"Samuel E."},{"family":"Weedon","given":"Michael N."},{"family":"Shields","given":"Beverley M."},{"family":"Oram","given":"Richard A."},{"family":"Hattersley","given":"Andrew T."}],"issued":{"date-parts":[["2018"]]}}}],"schema":"https://github.com/citation-style-language/schema/raw/master/csl-citation.json"} </w:instrText>
      </w:r>
      <w:r w:rsidR="002F2649" w:rsidRPr="0035461C">
        <w:rPr>
          <w:rFonts w:ascii="Calibri" w:hAnsi="Calibri" w:cs="Calibri"/>
        </w:rPr>
        <w:fldChar w:fldCharType="separate"/>
      </w:r>
      <w:r w:rsidR="00643FF1" w:rsidRPr="00643FF1">
        <w:rPr>
          <w:rFonts w:ascii="Calibri" w:hAnsi="Calibri" w:cs="Calibri"/>
        </w:rPr>
        <w:t>(11)</w:t>
      </w:r>
      <w:r w:rsidR="002F2649" w:rsidRPr="0035461C">
        <w:rPr>
          <w:rFonts w:ascii="Calibri" w:hAnsi="Calibri" w:cs="Calibri"/>
        </w:rPr>
        <w:fldChar w:fldCharType="end"/>
      </w:r>
      <w:r w:rsidR="004253BD" w:rsidRPr="0035461C">
        <w:rPr>
          <w:rFonts w:ascii="Calibri" w:hAnsi="Calibri" w:cs="Calibri"/>
        </w:rPr>
        <w:t>.</w:t>
      </w:r>
      <w:r w:rsidRPr="0035461C">
        <w:rPr>
          <w:rFonts w:ascii="Calibri" w:hAnsi="Calibri" w:cs="Calibri"/>
        </w:rPr>
        <w:t xml:space="preserve"> The majorit</w:t>
      </w:r>
      <w:r w:rsidR="00010BE4" w:rsidRPr="0035461C">
        <w:rPr>
          <w:rFonts w:ascii="Calibri" w:hAnsi="Calibri" w:cs="Calibri"/>
        </w:rPr>
        <w:t xml:space="preserve">y of older adults with low BMI </w:t>
      </w:r>
      <w:r w:rsidRPr="0035461C">
        <w:rPr>
          <w:rFonts w:ascii="Calibri" w:hAnsi="Calibri" w:cs="Calibri"/>
        </w:rPr>
        <w:t>will have type 2 diabetes</w:t>
      </w:r>
      <w:r w:rsidR="002A4B58" w:rsidRPr="0035461C">
        <w:rPr>
          <w:rFonts w:ascii="Calibri" w:hAnsi="Calibri" w:cs="Calibri"/>
        </w:rPr>
        <w:t xml:space="preserve"> </w:t>
      </w:r>
      <w:r w:rsidR="002A1F9C" w:rsidRPr="0035461C">
        <w:rPr>
          <w:rFonts w:ascii="Calibri" w:hAnsi="Calibri" w:cs="Calibri"/>
        </w:rPr>
        <w:fldChar w:fldCharType="begin"/>
      </w:r>
      <w:r w:rsidR="00076F77">
        <w:rPr>
          <w:rFonts w:ascii="Calibri" w:hAnsi="Calibri" w:cs="Calibri"/>
        </w:rPr>
        <w:instrText xml:space="preserve"> ADDIN ZOTERO_ITEM CSL_CITATION {"citationID":"FhyMft5u","properties":{"formattedCitation":"(9,12,13)","plainCitation":"(9,12,13)","noteIndex":0},"citationItems":[{"id":10947,"uris":["http://zotero.org/groups/369679/items/T33BZMCL"],"uri":["http://zotero.org/groups/369679/items/T33BZMCL"],"itemData":{"id":10947,"type":"article-journal","abstract":"OBJECTIVE: Clinicians predominantly use clinical features to differentiate type 1 from type 2 diabetes yet there are no evidence-based clinical criteria to aid classification of patients. Misclassification of diabetes is widespread (7-15% of cases), resulting in patients receiving inappropriate treatment. We sought to identify which clinical criteria could be used to discriminate type 1 and type 2 diabetes.\nDESIGN: Systematic review of all diagnostic accuracy studies published since 1979 using clinical criteria to predict insulin deficiency (measured by C-peptide).\nDATA SOURCES: 14 databases including: MEDLINE, MEDLINE in Process and EMBASE. The search strategy took the form of: (terms for diabetes) AND (terms for C-Peptide).\nELIGIBILITY CRITERIA: Diagnostic accuracy studies of any routinely available clinical predictors against a reference standard of insulin deficiency defined by cut-offs of C-peptide concentrations. No restrictions on race, age, language or country of origin.\nRESULTS: 10,917 abstracts were screened, and 231 full texts reviewed. 11 studies met inclusion criteria, but varied by age, race, year and proportion of participants who were C-peptide negative. Age at diagnosis was the most discriminatory feature in 7/9 studies where it was assessed, with optimal cut-offs (&gt;70% mean sensitivity and specificity) across studies being &lt;30 years or &lt;40 years. Use of/time to insulin treatment and body mass index (BMI) were also discriminatory. When combining features, BMI added little over age at diagnosis and/or time to insulin (&lt;1% improvement in classification).\nCONCLUSIONS: Despite finding only 11 studies, and considerable heterogeneity between studies, age at diagnosis and time to insulin were consistently the most discriminatory criteria. BMI, despite being widely used in clinical practice, adds little to these two criteria. The criteria identified are similar to the Royal College of General Practitioners National Health Service (RCGP/NHS) Diabetes classification guidelines, which use age at diagnosis &lt;35 years and time to insulin &lt;6 m. Until further studies are carried out, these guidelines represent a suitable classification scheme.\nSYSTEMATIC REVIEW REGISTRATION: PROSPERO reference CRD42012001736.","container-title":"BMJ open","DOI":"10.1136/bmjopen-2015-009088","ISSN":"2044-6055","issue":"11","journalAbbreviation":"BMJ Open","language":"eng","note":"PMID: 26525723\nPMCID: PMC4636628","page":"e009088","source":"PubMed","title":"Can clinical features be used to differentiate type 1 from type 2 diabetes? A systematic review of the literature","title-short":"Can clinical features be used to differentiate type 1 from type 2 diabetes?","volume":"5","author":[{"family":"Shields","given":"Beverley M."},{"family":"Peters","given":"Jaime L."},{"family":"Cooper","given":"Chris"},{"family":"Lowe","given":"Jenny"},{"family":"Knight","given":"Bridget A."},{"family":"Powell","given":"Roy J."},{"family":"Jones","given":"Angus"},{"family":"Hyde","given":"Christopher J."},{"family":"Hattersley","given":"Andrew T."}],"issued":{"date-parts":[["2015",11,2]]}}},{"id":10952,"uris":["http://zotero.org/groups/369679/items/7U722QZ7"],"uri":["http://zotero.org/groups/369679/items/7U722QZ7"],"itemData":{"id":10952,"type":"article-journal","abstract":"OBJECTIVE: To determine whether adults diagnosed with type 2 diabetes at 18-44 years of age (early type 2 diabetes) have different metabolic profiles at diagnosis than adults diagnosed at &gt; or =45 years of age (usual type 2 diabetes).\nRESEARCH DESIGN AND METHODS: Within a health maintenance organization, we studied characteristics among 2,437 adults newly diagnosed with type 2 diabetes between 1996 and 1998 who had measured weight, HbA(1c), blood pressure, and cholesterol within 3 months of diagnosis. We abstracted clinical data from electronic medical records. We compared mean and proportional differences with parametric t tests and chi(2) analyses, respectively. We used multiple logistic regression to identify the factors independently associated with the onset group (early vs. usual type 2 diabetes).\nRESULTS: There was an inverse linear relationship between BMI and age at diagnosis of type 2 diabetes (P &lt; 0.001). On univariate analysis, adults with early type 2 diabetes were more obese (BMI 39 vs. 33 kg/m(2), P &lt; 0.001), were more likely to be female (P = 0.04), had slightly worse glycemic control (HbA(1c) 7.7 vs. 7.5%, P = 0.03), had a higher prevalence of diastolic hypertension (37 vs. 26%, P &lt; 0.001), despite a lower prevalence of systolic hypertension (34 vs. 55%, P &lt; 0.001), and had an equally high rate of abnormal lipids (82 vs. 78%, P = 0.13) than adults with usual type 2 diabetes. BMI, female gender, cholesterol, and diastolic and systolic blood pressure remained independently associated with onset group at multivariate analysis.\nCONCLUSIONS: Although both onset groups were on average obese, the inverse linear relationship of obesity and age of diabetes onset that we observed suggests that obesity is a continuous risk rather than a threshold risk for diabetes onset. Both onset groups had a high prevalence of cardiovascular disease risk factors.","container-title":"Diabetes Care","DOI":"10.2337/diacare.24.9.1522","ISSN":"0149-5992","issue":"9","journalAbbreviation":"Diabetes Care","language":"eng","note":"PMID: 11522693","page":"1522-1527","source":"PubMed","title":"Characteristics of an adult population with newly diagnosed type 2 diabetes: the relation of obesity and age of onset","title-short":"Characteristics of an adult population with newly diagnosed type 2 diabetes","volume":"24","author":[{"family":"Hillier","given":"T. A."},{"family":"Pedula","given":"K. L."}],"issued":{"date-parts":[["2001",9]]}}},{"id":4473,"uris":["http://zotero.org/groups/369679/items/5HP4QVNL"],"uri":["http://zotero.org/groups/369679/items/5HP4QVNL"],"itemData":{"id":4473,"type":"article-journal","abstract":"PURPOSE: To examine the occurrence of diabetic ketoacidosis (DKA) in adults without a prior history of type I diabetes.\nPATIENTS AND METHODS: A retrospective review was conducted of medical records of adults presenting with DKA between 1987 and 1993. The medical record was reviewed to classify patients as type I, type II, or newly diagnosed diabetics and to determine the status of diabetic treatment following the episode of DKA in those patients without prior history of type I diabetes.\nRESULTS: Two hundred twenty-six patients were included in the study; 106 (47%) were classified as type I and 58 (26%) as type II from data available in the medical record, and 62 (27%) had DKA as the initial manifestation of the disease. Nineteen percent of the patients in whom diabetes was a new diagnosis and 52% of the patients who had a prior history of NIDDM were &gt; or = 40 years old. Of patients with follow-up of at least 12 months, about 24% of the newly diagnosed and 8% of those with a history of NIDDM were not taking insulin.\nCONCLUSION: DKA occurs in patients with type II diabetes. Older patients may present with clinically apparent type I diabetes. Some adults who present with DKA do not remain insulin dependent.","container-title":"The American Journal of Medicine","DOI":"10.1016/s0002-9343(96)00076-9","ISSN":"0002-9343","issue":"1","journalAbbreviation":"Am. J. Med.","language":"eng","note":"PMID: 8686710","page":"19-24","source":"PubMed","title":"The occurrence of diabetic ketoacidosis in non-insulin-dependent diabetes and newly diagnosed diabetic adults","volume":"101","author":[{"family":"Westphal","given":"S. A."}],"issued":{"date-parts":[["1996",7]]}}}],"schema":"https://github.com/citation-style-language/schema/raw/master/csl-citation.json"} </w:instrText>
      </w:r>
      <w:r w:rsidR="002A1F9C" w:rsidRPr="0035461C">
        <w:rPr>
          <w:rFonts w:ascii="Calibri" w:hAnsi="Calibri" w:cs="Calibri"/>
        </w:rPr>
        <w:fldChar w:fldCharType="separate"/>
      </w:r>
      <w:r w:rsidR="00643FF1" w:rsidRPr="00643FF1">
        <w:rPr>
          <w:rFonts w:ascii="Calibri" w:hAnsi="Calibri" w:cs="Calibri"/>
        </w:rPr>
        <w:t>(9,12,13)</w:t>
      </w:r>
      <w:r w:rsidR="002A1F9C" w:rsidRPr="0035461C">
        <w:rPr>
          <w:rFonts w:ascii="Calibri" w:hAnsi="Calibri" w:cs="Calibri"/>
        </w:rPr>
        <w:fldChar w:fldCharType="end"/>
      </w:r>
      <w:r w:rsidR="000647C7" w:rsidRPr="0035461C">
        <w:rPr>
          <w:rFonts w:ascii="Calibri" w:hAnsi="Calibri" w:cs="Calibri"/>
        </w:rPr>
        <w:t>,</w:t>
      </w:r>
      <w:r w:rsidRPr="0035461C">
        <w:rPr>
          <w:rFonts w:ascii="Calibri" w:hAnsi="Calibri" w:cs="Calibri"/>
        </w:rPr>
        <w:t xml:space="preserve"> even more so when a person</w:t>
      </w:r>
      <w:r w:rsidR="00F757D9" w:rsidRPr="0035461C">
        <w:rPr>
          <w:rFonts w:ascii="Calibri" w:hAnsi="Calibri" w:cs="Calibri"/>
        </w:rPr>
        <w:t>’</w:t>
      </w:r>
      <w:r w:rsidRPr="0035461C">
        <w:rPr>
          <w:rFonts w:ascii="Calibri" w:hAnsi="Calibri" w:cs="Calibri"/>
        </w:rPr>
        <w:t>s ethnicity is associated with high type 2 diabetes risk</w:t>
      </w:r>
      <w:r w:rsidR="004253BD" w:rsidRPr="0035461C">
        <w:rPr>
          <w:rFonts w:ascii="Calibri" w:hAnsi="Calibri" w:cs="Calibri"/>
        </w:rPr>
        <w:t xml:space="preserve"> </w:t>
      </w:r>
      <w:r w:rsidR="00F648AF" w:rsidRPr="0035461C">
        <w:rPr>
          <w:rFonts w:ascii="Calibri" w:hAnsi="Calibri" w:cs="Calibri"/>
        </w:rPr>
        <w:fldChar w:fldCharType="begin"/>
      </w:r>
      <w:r w:rsidR="00076F77">
        <w:rPr>
          <w:rFonts w:ascii="Calibri" w:hAnsi="Calibri" w:cs="Calibri"/>
        </w:rPr>
        <w:instrText xml:space="preserve"> ADDIN ZOTERO_ITEM CSL_CITATION {"citationID":"ZSFXVoWe","properties":{"formattedCitation":"(14)","plainCitation":"(14)","noteIndex":0},"citationItems":[{"id":10955,"uris":["http://zotero.org/groups/369679/items/SDZTGW7S"],"uri":["http://zotero.org/groups/369679/items/SDZTGW7S"],"itemData":{"id":10955,"type":"article-journal","abstract":"AIMS/HYPOTHESIS: The aim of this study was to assess the effect of ethnicity on the association between age and body mass index as well as the prevalence of diabetes.\nMETHODS: We selected population-based studies carried out after 1980 in the DECODE/A studies representing different ethnic groups: 11 European, 1 Maltese, 3 Indian, 2 Chinese and 3 Japanese surveys. The total numbers of subjects were 14,240 men and 15,129 women who were 30 to 89 years of age. Diabetes was diagnosed according to the 1999 World Health Organization criteria based on a standard 75 g OGTT. Sex-specific prevalence of diabetes by age and BMI was stratified by ethnic group, in particular the interaction of ethnicity on the associations between age/BMI and the prevalence of diabetes.\nRESULTS: The prevalence of diabetes was higher in studies from India and Malta compared to Japan, China, and the rest of Europe. The association between BMI and diabetes, adjusted for age, showed noticeable differences between the ethnic groups with an increase in prevalence starting at a BMI between 15 and 20 kg/m(2) in the Maltese and Indian populations compared to 25 kg/m(2 )in Europeans.\nCONCLUSION/INTERPRETATION: The effect of BMI on the age-adjusted prevalence of Type 2 diabetes was modified by ethnicity with considerably lower thresholds in Indian and Maltese subjects compared to those from the rest of Europe. This difference should be reflected in national and international recommendations regarding \"optimal\" BMI.","container-title":"Diabetologia","DOI":"10.1007/s00125-003-1158-9","ISSN":"0012-186X","issue":"8","journalAbbreviation":"Diabetologia","language":"eng","note":"PMID: 12827246","page":"1063-1070","source":"PubMed","title":"Age, body mass index and Type 2 diabetes-associations modified by ethnicity","volume":"46","author":[{"family":"Nakagami","given":"T."},{"family":"Qiao","given":"Q."},{"family":"Carstensen","given":"B."},{"family":"Nhr-Hansen","given":"C."},{"family":"Hu","given":"G."},{"family":"Tuomilehto","given":"J."},{"family":"Balkau","given":"B."},{"family":"Borch-Johnsen","given":"K."},{"literal":"DECODE-DECODA Study Group"}],"issued":{"date-parts":[["2003",8]]}}}],"schema":"https://github.com/citation-style-language/schema/raw/master/csl-citation.json"} </w:instrText>
      </w:r>
      <w:r w:rsidR="00F648AF" w:rsidRPr="0035461C">
        <w:rPr>
          <w:rFonts w:ascii="Calibri" w:hAnsi="Calibri" w:cs="Calibri"/>
        </w:rPr>
        <w:fldChar w:fldCharType="separate"/>
      </w:r>
      <w:r w:rsidR="00643FF1" w:rsidRPr="00643FF1">
        <w:rPr>
          <w:rFonts w:ascii="Calibri" w:hAnsi="Calibri" w:cs="Calibri"/>
        </w:rPr>
        <w:t>(14)</w:t>
      </w:r>
      <w:r w:rsidR="00F648AF" w:rsidRPr="0035461C">
        <w:rPr>
          <w:rFonts w:ascii="Calibri" w:hAnsi="Calibri" w:cs="Calibri"/>
        </w:rPr>
        <w:fldChar w:fldCharType="end"/>
      </w:r>
      <w:r w:rsidR="004253BD" w:rsidRPr="0035461C">
        <w:rPr>
          <w:rFonts w:ascii="Calibri" w:hAnsi="Calibri" w:cs="Calibri"/>
        </w:rPr>
        <w:t>.</w:t>
      </w:r>
      <w:r w:rsidRPr="0035461C">
        <w:rPr>
          <w:rFonts w:ascii="Calibri" w:hAnsi="Calibri" w:cs="Calibri"/>
        </w:rPr>
        <w:t xml:space="preserve"> Rapid progression to insulin treatment (&lt; 3 years) is strongly suggestive of type 1 diabetes at any age</w:t>
      </w:r>
      <w:r w:rsidR="004253BD" w:rsidRPr="0035461C">
        <w:rPr>
          <w:rFonts w:ascii="Calibri" w:hAnsi="Calibri" w:cs="Calibri"/>
        </w:rPr>
        <w:t xml:space="preserve"> </w:t>
      </w:r>
      <w:r w:rsidR="00A32FC0" w:rsidRPr="00471BEC">
        <w:rPr>
          <w:rFonts w:asciiTheme="minorHAnsi" w:hAnsiTheme="minorHAnsi" w:cstheme="minorHAnsi"/>
        </w:rPr>
        <w:fldChar w:fldCharType="begin"/>
      </w:r>
      <w:r w:rsidR="00076F77">
        <w:rPr>
          <w:rFonts w:asciiTheme="minorHAnsi" w:hAnsiTheme="minorHAnsi" w:cstheme="minorHAnsi"/>
        </w:rPr>
        <w:instrText xml:space="preserve"> ADDIN ZOTERO_ITEM CSL_CITATION {"citationID":"qbzMDQnI","properties":{"formattedCitation":"(6,8,15)","plainCitation":"(6,8,15)","noteIndex":0},"citationItems":[{"id":3913,"uris":["http://zotero.org/groups/369679/items/9HCBWBQI"],"uri":["http://zotero.org/groups/369679/items/9HCBWBQI"],"itemData":{"id":3913,"type":"article-journal","abstract":"AIMS/HYPOTHESIS: Late-onset type 1 diabetes can be difficult to identify. Measurement of endogenous insulin secretion using C-peptide provides a gold standard classification of diabetes type in longstanding diabetes that closely relates to treatment requirements. We aimed to determine the prevalence and characteristics of type 1 diabetes defined by severe endogenous insulin deficiency after age 30 and assess whether these individuals are identified and managed as having type 1 diabetes in clinical practice.\nMETHODS: We assessed the characteristics of type 1 diabetes defined by rapid insulin requirement (within 3 years of diagnosis) and severe endogenous insulin deficiency (non-fasting C-peptide &lt;200 pmol/l) in 583 participants with insulin-treated diabetes, diagnosed after age 30, from the Diabetes Alliance for Research in England (DARE) population cohort. We compared characteristics with participants with retained endogenous insulin secretion (&gt;600 pmol/l) and 220 participants with severe insulin deficiency who were diagnosed under age 30.\nRESULTS: Twenty-one per cent of participants with insulin-treated diabetes who were diagnosed after age 30 met the study criteria for type 1 diabetes. Of these participants, 38% did not receive insulin at diagnosis, of whom 47% self-reported type 2 diabetes. Rapid insulin requirement was highly predictive of severe endogenous insulin deficiency: 85% required insulin within 1 year of diagnosis, and 47% of all those initially treated without insulin who progressed to insulin treatment within 3 years of diagnosis had severe endogenous insulin deficiency. Participants with late-onset type 1 diabetes defined by development of severe insulin deficiency had similar clinical characteristics to those with young-onset type 1 diabetes. However, those with later onset type 1 diabetes had a modestly lower type 1 diabetes genetic risk score (0.268 vs 0.279; p &lt; 0.001 [expected type 2 diabetes population median, 0.231]), a higher islet autoantibody prevalence (GAD-, islet antigen 2 [IA2]- or zinc transporter protein 8 [ZnT8]-positive) of 78% at 13 years vs 62% at 26 years of diabetes duration; (p = 0.02), and were less likely to identify as having type 1 diabetes (79% vs 100%; p &lt; 0.001) vs those with young-onset disease.\nCONCLUSIONS/INTERPRETATION: Type 1 diabetes diagnosed over 30 years of age, defined by severe insulin deficiency, has similar clinical and biological characteristics to that occurring at younger ages, but is frequently not identified. Clinicians should be aware that patients progressing to insulin within 3 years of diagnosis have a high likelihood of type 1 diabetes, regardless of initial diagnosis.","container-title":"Diabetologia","DOI":"10.1007/s00125-019-4863-8","ISSN":"1432-0428","issue":"7","journalAbbreviation":"Diabetologia","language":"eng","note":"PMID: 30969375\nPMCID: PMC6559997","page":"1167-1172","source":"PubMed","title":"Type 1 diabetes defined by severe insulin deficiency occurs after 30 years of age and is commonly treated as type 2 diabetes","volume":"62","author":[{"family":"Thomas","given":"Nicholas J."},{"family":"Lynam","given":"Anita L."},{"family":"Hill","given":"Anita V."},{"family":"Weedon","given":"Michael N."},{"family":"Shields","given":"Beverley M."},{"family":"Oram","given":"Richard A."},{"family":"McDonald","given":"Timothy J."},{"family":"Hattersley","given":"Andrew T."},{"family":"Jones","given":"Angus G."}],"issued":{"date-parts":[["2019",7]]}}},{"id":3912,"uris":["http://zotero.org/groups/369679/items/JX8T23BQ"],"uri":["http://zotero.org/groups/369679/items/JX8T23BQ"],"itemData":{"id":3912,"type":"article-journal","abstract":"BACKGROUND: Differentiating between type 1 and type 2 diabetes is fundamental to ensuring appropriate management of patients, but can be challenging, especially when treating with insulin. The 2010 UK Practical Classification Guidelines for Diabetes were developed to help make the differentiation.\nAIM: To assess diagnostic accuracy of the UK guidelines against 'gold standard' definitions of type 1 and type 2 diabetes based on measured C-peptide levels.\nDESIGN AND SETTING: In total, 601 adults with insulin-treated diabetes and diabetes duration ≥5 years were recruited in Devon, Northamptonshire, and Leicestershire.\nMETHOD: Baseline information and home urine sample were collected. Urinary C-peptide creatinine ratio (UCPCR) measures endogenous insulin production. Gold standard type 1 diabetes was defined as continuous insulin treatment within 3 years of diagnosis and absolute insulin deficiency (UCPCR&lt;0.2 nmol/mmol ≥5 years post-diagnosis); all others classed as having type 2 diabetes. Diagnostic performance of the clinical criteria was assessed and other criteria explored using receiver operating characteristic (ROC) curves.\nRESULTS: UK guidelines correctly classified 86% of participants. Most misclassifications occurred in patients classed as having type 1 diabetes who had significant endogenous insulin levels (57 out of 601; 9%); most in those diagnosed ≥35 years and treated with insulin from diagnosis, where 37 out of 66 (56%) were misclassified. Time to insulin and age at diagnosis performed best in predicting long-term endogenous insulin production (ROC AUC = 0.904 and 0.871); BMI was a less strong predictor of diabetes type (AUC = 0.824).\nCONCLUSION: Current UK guidelines provide a pragmatic clinical approach to classification reflecting long-term endogenous insulin production; caution is needed in older patients commencing insulin from diagnosis, where misclassification rates are increased.","container-title":"The British Journal of General Practice: The Journal of the Royal College of General Practitioners","DOI":"10.3399/bjgp16X684961","ISSN":"1478-5242","issue":"646","journalAbbreviation":"Br J Gen Pract","language":"eng","note":"PMID: 27080317\nPMCID: PMC4838443","page":"e315-322","source":"PubMed","title":"Practical Classification Guidelines for Diabetes in patients treated with insulin: a cross-sectional study of the accuracy of diabetes diagnosis","title-short":"Practical Classification Guidelines for Diabetes in patients treated with insulin","volume":"66","author":[{"family":"Hope","given":"Suzy V."},{"family":"Wienand-Barnett","given":"Sophie"},{"family":"Shepherd","given":"Maggie"},{"family":"King","given":"Sophie M."},{"family":"Fox","given":"Charles"},{"family":"Khunti","given":"Kamlesh"},{"family":"Oram","given":"Richard A."},{"family":"Knight","given":"Bea A."},{"family":"Hattersley","given":"Andrew T."},{"family":"Jones","given":"Angus G."},{"family":"Shields","given":"Beverley M."}],"issued":{"date-parts":[["2016",5]]}}},{"id":10958,"uris":["http://zotero.org/groups/369679/items/XVCMY2MD"],"uri":["http://zotero.org/groups/369679/items/XVCMY2MD"],"itemData":{"id":10958,"type":"article-journal","abstract":"The Early Treatment Diabetic Retinopathy Study (ETDRS), conducted at 22 clinical centers during the period 1980 to 1989, collected baseline data on C-peptide levels after ingestion of Sustacal in 582 patients with diabetes mellitus, prior to enrollment in the trial. Data on several clinical factors associated with diabetes were also collected from all 3711 enrolled patients. C-peptide data were used to develop sets of clinical criteria for the classification of ETDRS patients and to compare and contrast definitions of type of diabetes used in previous studies. The distribution of C-peptide levels was strikingly bimodal, suggesting a division of study participants into two groups--those with levels at 80 pmol/L or less and those with more than 80 pmol/L of C-peptide after Sustacal ingestion. Constellations of clinical characteristics that could serve as proxies for C-peptide level were ascertained. The result was two sets of clinically developed definitions for type of diabetes in the ETDRS. According to the more restrictive set of definitions, three groups were identified, compared to two groups using the \"broad\" set of definitions. Discriminant analysis was also used to classify ETDRS patients, yielding similar results. A comparison of definitions of type of diabetes used in the ETDRS and in previous studies revealed that even in the absence of C-peptide data, clinically derived definitions provided good discrimination between type I and type II diabetes.","container-title":"Annals of Epidemiology","DOI":"10.1016/1047-2797(93)90004-n","ISSN":"1047-2797","issue":"1","journalAbbreviation":"Ann Epidemiol","language":"eng","note":"PMID: 8287162","page":"9-17","source":"PubMed","title":"C-peptide and the classification of diabetes mellitus patients in the Early Treatment Diabetic Retinopathy Study. Report number 6. The ETDRS Research Group","volume":"3","author":[{"family":"Prior","given":"M. J."},{"family":"Prout","given":"T."},{"family":"Miller","given":"D."},{"family":"Ewart","given":"R."},{"family":"Kumar","given":"D."}],"issued":{"date-parts":[["1993",1]]}}}],"schema":"https://github.com/citation-style-language/schema/raw/master/csl-citation.json"} </w:instrText>
      </w:r>
      <w:r w:rsidR="00A32FC0" w:rsidRPr="00471BEC">
        <w:rPr>
          <w:rFonts w:asciiTheme="minorHAnsi" w:hAnsiTheme="minorHAnsi" w:cstheme="minorHAnsi"/>
        </w:rPr>
        <w:fldChar w:fldCharType="separate"/>
      </w:r>
      <w:r w:rsidR="00643FF1" w:rsidRPr="00643FF1">
        <w:rPr>
          <w:rFonts w:ascii="Calibri" w:hAnsi="Calibri" w:cs="Calibri"/>
        </w:rPr>
        <w:t>(6,8,15)</w:t>
      </w:r>
      <w:r w:rsidR="00A32FC0" w:rsidRPr="00471BEC">
        <w:rPr>
          <w:rFonts w:asciiTheme="minorHAnsi" w:hAnsiTheme="minorHAnsi" w:cstheme="minorHAnsi"/>
        </w:rPr>
        <w:fldChar w:fldCharType="end"/>
      </w:r>
      <w:r w:rsidR="004253BD" w:rsidRPr="00471BEC">
        <w:rPr>
          <w:rFonts w:asciiTheme="minorHAnsi" w:hAnsiTheme="minorHAnsi" w:cstheme="minorHAnsi"/>
        </w:rPr>
        <w:t>.</w:t>
      </w:r>
      <w:r w:rsidRPr="00471BEC">
        <w:rPr>
          <w:rFonts w:asciiTheme="minorHAnsi" w:hAnsiTheme="minorHAnsi" w:cstheme="minorHAnsi"/>
        </w:rPr>
        <w:t xml:space="preserve"> </w:t>
      </w:r>
      <w:r w:rsidR="00471BEC">
        <w:rPr>
          <w:rFonts w:asciiTheme="minorHAnsi" w:hAnsiTheme="minorHAnsi" w:cstheme="minorHAnsi"/>
        </w:rPr>
        <w:t>T</w:t>
      </w:r>
      <w:r w:rsidR="00471BEC" w:rsidRPr="00471BEC">
        <w:rPr>
          <w:rFonts w:asciiTheme="minorHAnsi" w:hAnsiTheme="minorHAnsi" w:cstheme="minorHAnsi"/>
        </w:rPr>
        <w:t>he diagnosis of type 1 diabetes can be more difficult</w:t>
      </w:r>
      <w:r w:rsidR="00471BEC">
        <w:rPr>
          <w:rFonts w:asciiTheme="minorHAnsi" w:hAnsiTheme="minorHAnsi" w:cstheme="minorHAnsi"/>
        </w:rPr>
        <w:t xml:space="preserve"> i</w:t>
      </w:r>
      <w:r w:rsidR="00471BEC" w:rsidRPr="00471BEC">
        <w:rPr>
          <w:rFonts w:asciiTheme="minorHAnsi" w:hAnsiTheme="minorHAnsi" w:cstheme="minorHAnsi"/>
        </w:rPr>
        <w:t xml:space="preserve">n adults who progress to insulin therapy more slowly. </w:t>
      </w:r>
      <w:r w:rsidRPr="0035461C">
        <w:rPr>
          <w:rFonts w:ascii="Calibri" w:hAnsi="Calibri" w:cs="Calibri"/>
        </w:rPr>
        <w:t xml:space="preserve">Controversy remains as to whether </w:t>
      </w:r>
      <w:r w:rsidR="000869AC" w:rsidRPr="0035461C">
        <w:rPr>
          <w:rFonts w:ascii="Calibri" w:hAnsi="Calibri" w:cs="Calibri"/>
          <w:color w:val="202124"/>
          <w:shd w:val="clear" w:color="auto" w:fill="FFFFFF"/>
        </w:rPr>
        <w:t>latent a</w:t>
      </w:r>
      <w:r w:rsidR="00F8769F" w:rsidRPr="0035461C">
        <w:rPr>
          <w:rFonts w:ascii="Calibri" w:hAnsi="Calibri" w:cs="Calibri"/>
          <w:color w:val="202124"/>
          <w:shd w:val="clear" w:color="auto" w:fill="FFFFFF"/>
        </w:rPr>
        <w:t>utoimmune </w:t>
      </w:r>
      <w:r w:rsidR="000869AC" w:rsidRPr="0035461C">
        <w:rPr>
          <w:rFonts w:ascii="Calibri" w:hAnsi="Calibri" w:cs="Calibri"/>
          <w:bCs/>
          <w:color w:val="202124"/>
          <w:shd w:val="clear" w:color="auto" w:fill="FFFFFF"/>
        </w:rPr>
        <w:t>d</w:t>
      </w:r>
      <w:r w:rsidR="00F8769F" w:rsidRPr="0035461C">
        <w:rPr>
          <w:rFonts w:ascii="Calibri" w:hAnsi="Calibri" w:cs="Calibri"/>
          <w:bCs/>
          <w:color w:val="202124"/>
          <w:shd w:val="clear" w:color="auto" w:fill="FFFFFF"/>
        </w:rPr>
        <w:t>iabetes</w:t>
      </w:r>
      <w:r w:rsidR="000869AC" w:rsidRPr="0035461C">
        <w:rPr>
          <w:rFonts w:ascii="Calibri" w:hAnsi="Calibri" w:cs="Calibri"/>
          <w:color w:val="202124"/>
          <w:shd w:val="clear" w:color="auto" w:fill="FFFFFF"/>
        </w:rPr>
        <w:t> of a</w:t>
      </w:r>
      <w:r w:rsidR="00F8769F" w:rsidRPr="0035461C">
        <w:rPr>
          <w:rFonts w:ascii="Calibri" w:hAnsi="Calibri" w:cs="Calibri"/>
          <w:color w:val="202124"/>
          <w:shd w:val="clear" w:color="auto" w:fill="FFFFFF"/>
        </w:rPr>
        <w:t>dulthood (</w:t>
      </w:r>
      <w:r w:rsidRPr="0035461C">
        <w:rPr>
          <w:rFonts w:ascii="Calibri" w:hAnsi="Calibri" w:cs="Calibri"/>
        </w:rPr>
        <w:t>LADA</w:t>
      </w:r>
      <w:r w:rsidR="00F8769F" w:rsidRPr="0035461C">
        <w:rPr>
          <w:rFonts w:ascii="Calibri" w:hAnsi="Calibri" w:cs="Calibri"/>
        </w:rPr>
        <w:t>)</w:t>
      </w:r>
      <w:r w:rsidRPr="0035461C">
        <w:rPr>
          <w:rFonts w:ascii="Calibri" w:hAnsi="Calibri" w:cs="Calibri"/>
        </w:rPr>
        <w:t xml:space="preserve"> is a discrete subtype, a milder form of </w:t>
      </w:r>
      <w:r w:rsidR="00F8769F" w:rsidRPr="0035461C">
        <w:rPr>
          <w:rFonts w:ascii="Calibri" w:hAnsi="Calibri" w:cs="Calibri"/>
        </w:rPr>
        <w:t>type 1 diabetes</w:t>
      </w:r>
      <w:r w:rsidRPr="0035461C">
        <w:rPr>
          <w:rFonts w:ascii="Calibri" w:hAnsi="Calibri" w:cs="Calibri"/>
        </w:rPr>
        <w:t xml:space="preserve">, or a mixture of some </w:t>
      </w:r>
      <w:r w:rsidR="00F8769F" w:rsidRPr="0035461C">
        <w:rPr>
          <w:rFonts w:ascii="Calibri" w:hAnsi="Calibri" w:cs="Calibri"/>
        </w:rPr>
        <w:t>individuals</w:t>
      </w:r>
      <w:r w:rsidRPr="0035461C">
        <w:rPr>
          <w:rFonts w:ascii="Calibri" w:hAnsi="Calibri" w:cs="Calibri"/>
        </w:rPr>
        <w:t xml:space="preserve"> with </w:t>
      </w:r>
      <w:r w:rsidR="00F8769F" w:rsidRPr="0035461C">
        <w:rPr>
          <w:rFonts w:ascii="Calibri" w:hAnsi="Calibri" w:cs="Calibri"/>
        </w:rPr>
        <w:t>type 1 diabetes</w:t>
      </w:r>
      <w:r w:rsidRPr="0035461C">
        <w:rPr>
          <w:rFonts w:ascii="Calibri" w:hAnsi="Calibri" w:cs="Calibri"/>
        </w:rPr>
        <w:t xml:space="preserve"> and others with </w:t>
      </w:r>
      <w:r w:rsidR="00F8769F" w:rsidRPr="0035461C">
        <w:rPr>
          <w:rFonts w:ascii="Calibri" w:hAnsi="Calibri" w:cs="Calibri"/>
        </w:rPr>
        <w:t>type 2 diabetes</w:t>
      </w:r>
      <w:r w:rsidR="004253BD" w:rsidRPr="0035461C">
        <w:rPr>
          <w:rFonts w:ascii="Calibri" w:hAnsi="Calibri" w:cs="Calibri"/>
        </w:rPr>
        <w:t xml:space="preserve"> </w:t>
      </w:r>
      <w:r w:rsidR="006F5EAC" w:rsidRPr="0035461C">
        <w:rPr>
          <w:rFonts w:ascii="Calibri" w:hAnsi="Calibri" w:cs="Calibri"/>
        </w:rPr>
        <w:fldChar w:fldCharType="begin"/>
      </w:r>
      <w:r w:rsidR="00076F77">
        <w:rPr>
          <w:rFonts w:ascii="Calibri" w:hAnsi="Calibri" w:cs="Calibri"/>
        </w:rPr>
        <w:instrText xml:space="preserve"> ADDIN ZOTERO_ITEM CSL_CITATION {"citationID":"91EskhTi","properties":{"formattedCitation":"(16,17)","plainCitation":"(16,17)","noteIndex":0},"citationItems":[{"id":10569,"uris":["http://zotero.org/groups/369679/items/5WLWPJA6"],"uri":["http://zotero.org/groups/369679/items/5WLWPJA6"],"itemData":{"id":10569,"type":"article-journal","abstract":"The convergence of advances in medical science, human biology, data science, and technology has enabled the generation of new insights into the phenotype known as \"diabetes.\" Increased knowledge of this condition has emerged from populations around the world, illuminating the differences in how diabetes presents, its variable prevalence, and how best practice in treatment varies between populations. In parallel, focus has been placed on the development of tools for the application of precision medicine to numerous conditions. This Consensus Report presents the American Diabetes Association (ADA) Precision Medicine in Diabetes Initiative in partnership with the European Association for the Study of Diabetes (EASD), including its mission, the current state of the field, and prospects for the future. Expert opinions are presented on areas of precision diagnostics and precision therapeutics (including prevention and treatment), and key barriers to and opportunities for implementation of precision diabetes medicine, with better care and outcomes around the globe, are highlighted. Cases where precision diagnosis is already feasible and effective (i.e., monogenic forms of diabetes) are presented, while the major hurdles to the global implementation of precision diagnosis of complex forms of diabetes are discussed. The situation is similar for precision therapeutics, in which the appropriate therapy will often change over time owing to the manner in which diabetes evolves within individual patients. This Consensus Report describes a foundation for precision diabetes medicine, while highlighting what remains to be done to realize its potential. This, combined with a subsequent, detailed evidence-based review (due 2022), will provide a roadmap for precision medicine in diabetes that helps improve the quality of life for all those with diabetes.","container-title":"Diabetes Care","DOI":"10.2337/dci20-0022","ISSN":"1935-5548","issue":"7","journalAbbreviation":"Diabetes Care","language":"eng","note":"PMID: 32561617\nPMCID: PMC7305007","page":"1617-1635","source":"PubMed","title":"Precision Medicine in Diabetes: A Consensus Report From the American Diabetes Association (ADA) and the European Association for the Study of Diabetes (EASD)","title-short":"Precision Medicine in Diabetes","volume":"43","author":[{"family":"Chung","given":"Wendy K."},{"family":"Erion","given":"Karel"},{"family":"Florez","given":"Jose C."},{"family":"Hattersley","given":"Andrew T."},{"family":"Hivert","given":"Marie-France"},{"family":"Lee","given":"Christine G."},{"family":"McCarthy","given":"Mark I."},{"family":"Nolan","given":"John J."},{"family":"Norris","given":"Jill M."},{"family":"Pearson","given":"Ewan R."},{"family":"Philipson","given":"Louis"},{"family":"McElvaine","given":"Allison T."},{"family":"Cefalu","given":"William T."},{"family":"Rich","given":"Stephen S."},{"family":"Franks","given":"Paul W."}],"issued":{"date-parts":[["2020",7]]}}},{"id":12518,"uris":["http://zotero.org/groups/369679/items/KWZN6AS7"],"uri":["http://zotero.org/groups/369679/items/KWZN6AS7"],"itemData":{"id":12518,"type":"article-journal","abstract":"A substantial proportion of patients with adult-onset diabetes share features of both type 1 diabetes (T1D) and type 2 diabetes (T2D). These individuals, at diagnosis, clinically resemble T2D patients by not requiring insulin treatment, yet they have immunogenetic markers associated with T1D. Such a slowly evolving form of autoimmune diabetes, described as latent autoimmune diabetes of adults (LADA), accounts for 2-12% of all patients with adult-onset diabetes, though they show considerable variability according to their demographics and mode of ascertainment. While therapeutic strategies aim for metabolic control and preservation of residual insulin secretory capacity, endotype heterogeneity within LADA implies a personalized approach to treatment. Faced with a paucity of large-scale clinical trials in LADA, an expert panel reviewed data and delineated one therapeutic approach. Building on the 2020 American Diabetes Association (ADA)/European Association for the Study of Diabetes (EASD) consensus for T2D and heterogeneity within autoimmune diabetes, we propose \"deviations\" for LADA from those guidelines. Within LADA, C-peptide values, proxy for β-cell function, drive therapeutic decisions. Three broad categories of random C-peptide levels were introduced by the panel: 1) C-peptide levels &lt;0.3 nmol/L: a multiple-insulin regimen recommended as for T1D; 2) C-peptide values ≥0.3 and ≤0.7 nmol/L: defined by the panel as a \"gray area\" in which a modified ADA/EASD algorithm for T2D is recommended; consider insulin in combination with other therapies to modulate β-cell failure and limit diabetic complications; 3) C-peptide values &gt;0.7 nmol/L: suggests a modified ADA/EASD algorithm as for T2D but allowing for the potentially progressive nature of LADA by monitoring C-peptide to adjust treatment. The panel concluded by advising general screening for LADA in newly diagnosed non-insulin-requiring diabetes and, importantly, that large randomized clinical trials are warranted.","container-title":"Diabetes","DOI":"10.2337/dbi20-0017","ISSN":"1939-327X","issue":"10","journalAbbreviation":"Diabetes","language":"eng","note":"PMID: 32847960\nPMCID: PMC7809717","page":"2037-2047","source":"PubMed","title":"Management of Latent Autoimmune Diabetes in Adults: A Consensus Statement From an International Expert Panel","title-short":"Management of Latent Autoimmune Diabetes in Adults","volume":"69","author":[{"family":"Buzzetti","given":"Raffaella"},{"family":"Tuomi","given":"Tiinamaija"},{"family":"Mauricio","given":"Didac"},{"family":"Pietropaolo","given":"Massimo"},{"family":"Zhou","given":"Zhiguang"},{"family":"Pozzilli","given":"Paolo"},{"family":"Leslie","given":"Richard David"}],"issued":{"date-parts":[["2020",10]]}}}],"schema":"https://github.com/citation-style-language/schema/raw/master/csl-citation.json"} </w:instrText>
      </w:r>
      <w:r w:rsidR="006F5EAC" w:rsidRPr="0035461C">
        <w:rPr>
          <w:rFonts w:ascii="Calibri" w:hAnsi="Calibri" w:cs="Calibri"/>
        </w:rPr>
        <w:fldChar w:fldCharType="separate"/>
      </w:r>
      <w:r w:rsidR="00643FF1" w:rsidRPr="00643FF1">
        <w:rPr>
          <w:rFonts w:ascii="Calibri" w:hAnsi="Calibri" w:cs="Calibri"/>
        </w:rPr>
        <w:t>(16,17)</w:t>
      </w:r>
      <w:r w:rsidR="006F5EAC" w:rsidRPr="0035461C">
        <w:rPr>
          <w:rFonts w:ascii="Calibri" w:hAnsi="Calibri" w:cs="Calibri"/>
        </w:rPr>
        <w:fldChar w:fldCharType="end"/>
      </w:r>
      <w:r w:rsidR="004253BD" w:rsidRPr="0035461C">
        <w:rPr>
          <w:rFonts w:ascii="Calibri" w:hAnsi="Calibri" w:cs="Calibri"/>
        </w:rPr>
        <w:t>.</w:t>
      </w:r>
    </w:p>
    <w:p w14:paraId="0BB16ADC" w14:textId="77777777" w:rsidR="00224AA9" w:rsidRPr="0035461C" w:rsidRDefault="00224AA9" w:rsidP="001C5BC0">
      <w:pPr>
        <w:spacing w:before="120"/>
        <w:jc w:val="both"/>
        <w:rPr>
          <w:rFonts w:ascii="Calibri" w:hAnsi="Calibri" w:cs="Calibri"/>
        </w:rPr>
      </w:pPr>
    </w:p>
    <w:p w14:paraId="2E57B542" w14:textId="52534254" w:rsidR="007F33D8" w:rsidRPr="0035461C" w:rsidRDefault="007F33D8" w:rsidP="001C5BC0">
      <w:pPr>
        <w:spacing w:before="120"/>
        <w:jc w:val="both"/>
        <w:rPr>
          <w:rFonts w:ascii="Calibri" w:hAnsi="Calibri" w:cs="Calibri"/>
          <w:i/>
          <w:u w:val="single"/>
        </w:rPr>
      </w:pPr>
      <w:r w:rsidRPr="0035461C">
        <w:rPr>
          <w:rFonts w:ascii="Calibri" w:hAnsi="Calibri" w:cs="Calibri"/>
          <w:i/>
          <w:u w:val="single"/>
        </w:rPr>
        <w:t>Differentiating type 1 diabetes from monogenic diabetes</w:t>
      </w:r>
    </w:p>
    <w:p w14:paraId="24AE2C88" w14:textId="1EF21C73" w:rsidR="00303C8A" w:rsidRPr="0035461C" w:rsidRDefault="00303C8A" w:rsidP="001C5BC0">
      <w:pPr>
        <w:spacing w:before="120"/>
        <w:jc w:val="both"/>
        <w:rPr>
          <w:rFonts w:ascii="Calibri" w:hAnsi="Calibri" w:cs="Calibri"/>
        </w:rPr>
      </w:pPr>
      <w:r w:rsidRPr="0035461C">
        <w:rPr>
          <w:rFonts w:ascii="Calibri" w:hAnsi="Calibri" w:cs="Calibri"/>
        </w:rPr>
        <w:t>Monogenic diabetes is found in approximate</w:t>
      </w:r>
      <w:r w:rsidR="000C66F4" w:rsidRPr="0035461C">
        <w:rPr>
          <w:rFonts w:ascii="Calibri" w:hAnsi="Calibri" w:cs="Calibri"/>
        </w:rPr>
        <w:t>ly</w:t>
      </w:r>
      <w:r w:rsidRPr="0035461C">
        <w:rPr>
          <w:rFonts w:ascii="Calibri" w:hAnsi="Calibri" w:cs="Calibri"/>
        </w:rPr>
        <w:t xml:space="preserve"> 4% of those diagnosed with diabetes before the age of 30</w:t>
      </w:r>
      <w:r w:rsidR="007F33D8" w:rsidRPr="0035461C">
        <w:rPr>
          <w:rFonts w:ascii="Calibri" w:hAnsi="Calibri" w:cs="Calibri"/>
        </w:rPr>
        <w:t xml:space="preserve"> years; the likelihood of monogenic diabetes</w:t>
      </w:r>
      <w:r w:rsidRPr="0035461C">
        <w:rPr>
          <w:rFonts w:ascii="Calibri" w:hAnsi="Calibri" w:cs="Calibri"/>
        </w:rPr>
        <w:t xml:space="preserve"> rises to 20% where islet antibodies are negative and C-peptide secretion </w:t>
      </w:r>
      <w:r w:rsidR="00EB7B87" w:rsidRPr="0035461C">
        <w:rPr>
          <w:rFonts w:ascii="Calibri" w:hAnsi="Calibri" w:cs="Calibri"/>
        </w:rPr>
        <w:t xml:space="preserve">is </w:t>
      </w:r>
      <w:r w:rsidRPr="0035461C">
        <w:rPr>
          <w:rFonts w:ascii="Calibri" w:hAnsi="Calibri" w:cs="Calibri"/>
        </w:rPr>
        <w:t>maintained</w:t>
      </w:r>
      <w:r w:rsidR="009E2746" w:rsidRPr="0035461C">
        <w:rPr>
          <w:rFonts w:ascii="Calibri" w:hAnsi="Calibri" w:cs="Calibri"/>
        </w:rPr>
        <w:t xml:space="preserve"> </w:t>
      </w:r>
      <w:r w:rsidR="00F41FC8" w:rsidRPr="0035461C">
        <w:rPr>
          <w:rFonts w:ascii="Calibri" w:hAnsi="Calibri" w:cs="Calibri"/>
        </w:rPr>
        <w:fldChar w:fldCharType="begin"/>
      </w:r>
      <w:r w:rsidR="00076F77">
        <w:rPr>
          <w:rFonts w:ascii="Calibri" w:hAnsi="Calibri" w:cs="Calibri"/>
        </w:rPr>
        <w:instrText xml:space="preserve"> ADDIN ZOTERO_ITEM CSL_CITATION {"citationID":"qXmZRShw","properties":{"formattedCitation":"(18)","plainCitation":"(18)","noteIndex":0},"citationItems":[{"id":2640,"uris":["http://zotero.org/groups/369679/items/QWDBNAHE"],"uri":["http://zotero.org/groups/369679/items/QWDBNAHE"],"itemData":{"id":2640,"type":"article-journal","abstract":"OBJECTIVE Monogenic diabetes, a young-onset form of diabetes, is often misdiagnosed as type 1 diabetes, resulting in unnecessary treatment with insulin. A screening approach for monogenic diabetes is needed to accurately select suitable patients for expensive diagnostic genetic testing. We used C-peptide and islet autoantibodies, highly sensitive and specific biomarkers for discriminating type 1 from non–type 1 diabetes, in a biomarker screening pathway for monogenic diabetes.\nRESEARCH DESIGN AND METHODS We studied patients diagnosed at age 30 years or younger, currently younger than 50 years, in two U.K. regions with existing high detection of monogenic diabetes. The biomarker screening pathway comprised three stages: 1) assessment of endogenous insulin secretion using urinary C-peptide/creatinine ratio (UCPCR); 2) if UCPCR was ≥0.2 nmol/mmol, measurement of GAD and IA2 islet autoantibodies; and 3) if negative for both autoantibodies, molecular genetic diagnostic testing for 35 monogenic diabetes subtypes.\nRESULTS A total of 1,407 patients participated (1,365 with no known genetic cause, 34 with monogenic diabetes, and 8 with cystic fibrosis–related diabetes). A total of 386 out of 1,365 (28%) patients had a UCPCR ≥0.2 nmol/mmol, and 216 out of 386 (56%) were negative for GAD and IA2 and underwent molecular genetic testing. Seventeen new cases of monogenic diabetes were diagnosed (8 common Maturity Onset Diabetes of the Young [Sanger sequencing] and 9 rarer causes [next-generation sequencing]) in addition to the 34 known cases (estimated prevalence of 3.6% [51/1,407] [95% CI 2.7–4.7%]). The positive predictive value was 20%, suggesting a 1-in-5 detection rate for the pathway. The negative predictive value was 99.9%.\nCONCLUSIONS The biomarker screening pathway for monogenic diabetes is an effective, cheap, and easily implemented approach to systematically screening all young-onset patients. The minimum prevalence of monogenic diabetes is 3.6% of patients diagnosed at age 30 years or younger.","container-title":"Diabetes Care","DOI":"10.2337/dc17-0224","ISSN":"0149-5992, 1935-5548","issue":"8","language":"en","note":"PMID: 28701371","page":"1017-1025","source":"care.diabetesjournals.org","title":"Population-Based Assessment of a Biomarker-Based Screening Pathway to Aid Diagnosis of Monogenic Diabetes in Young-Onset Patients","volume":"40","author":[{"family":"Shields","given":"Beverley M."},{"family":"Shepherd","given":"Maggie"},{"family":"Hudson","given":"Michelle"},{"family":"McDonald","given":"Timothy J."},{"family":"Colclough","given":"Kevin"},{"family":"Peters","given":"Jaime"},{"family":"Knight","given":"Bridget"},{"family":"Hyde","given":"Chris"},{"family":"Ellard","given":"Sian"},{"family":"Pearson","given":"Ewan R."},{"family":"Hattersley","given":"Andrew T."}],"issued":{"date-parts":[["2017",8,1]]}}}],"schema":"https://github.com/citation-style-language/schema/raw/master/csl-citation.json"} </w:instrText>
      </w:r>
      <w:r w:rsidR="00F41FC8" w:rsidRPr="0035461C">
        <w:rPr>
          <w:rFonts w:ascii="Calibri" w:hAnsi="Calibri" w:cs="Calibri"/>
        </w:rPr>
        <w:fldChar w:fldCharType="separate"/>
      </w:r>
      <w:r w:rsidR="00643FF1" w:rsidRPr="00643FF1">
        <w:rPr>
          <w:rFonts w:ascii="Calibri" w:hAnsi="Calibri" w:cs="Calibri"/>
        </w:rPr>
        <w:t>(18)</w:t>
      </w:r>
      <w:r w:rsidR="00F41FC8" w:rsidRPr="0035461C">
        <w:rPr>
          <w:rFonts w:ascii="Calibri" w:hAnsi="Calibri" w:cs="Calibri"/>
        </w:rPr>
        <w:fldChar w:fldCharType="end"/>
      </w:r>
      <w:r w:rsidR="00EB7B87" w:rsidRPr="0035461C">
        <w:rPr>
          <w:rFonts w:ascii="Calibri" w:hAnsi="Calibri" w:cs="Calibri"/>
        </w:rPr>
        <w:t>.</w:t>
      </w:r>
      <w:r w:rsidRPr="0035461C">
        <w:rPr>
          <w:rFonts w:ascii="Calibri" w:hAnsi="Calibri" w:cs="Calibri"/>
        </w:rPr>
        <w:t xml:space="preserve"> </w:t>
      </w:r>
      <w:r w:rsidR="00224AA9" w:rsidRPr="0035461C">
        <w:rPr>
          <w:rFonts w:ascii="Calibri" w:hAnsi="Calibri" w:cs="Calibri"/>
        </w:rPr>
        <w:t xml:space="preserve">Monogenic diabetes is commonly mistaken for type 1 diabetes because of the young age at onset. A </w:t>
      </w:r>
      <w:r w:rsidR="007F33D8" w:rsidRPr="0035461C">
        <w:rPr>
          <w:rFonts w:ascii="Calibri" w:hAnsi="Calibri" w:cs="Calibri"/>
        </w:rPr>
        <w:t>d</w:t>
      </w:r>
      <w:r w:rsidRPr="0035461C">
        <w:rPr>
          <w:rFonts w:ascii="Calibri" w:hAnsi="Calibri" w:cs="Calibri"/>
        </w:rPr>
        <w:t>iagnosis</w:t>
      </w:r>
      <w:r w:rsidR="00224AA9" w:rsidRPr="0035461C">
        <w:rPr>
          <w:rFonts w:ascii="Calibri" w:hAnsi="Calibri" w:cs="Calibri"/>
        </w:rPr>
        <w:t xml:space="preserve"> of monogenic diabetes</w:t>
      </w:r>
      <w:r w:rsidRPr="0035461C">
        <w:rPr>
          <w:rFonts w:ascii="Calibri" w:hAnsi="Calibri" w:cs="Calibri"/>
        </w:rPr>
        <w:t xml:space="preserve"> allows specific treatment with discontinuation of insulin in many cases and has implications for family members and screening for concurrent conditions</w:t>
      </w:r>
      <w:r w:rsidR="00D608CE" w:rsidRPr="0035461C">
        <w:rPr>
          <w:rFonts w:ascii="Calibri" w:hAnsi="Calibri" w:cs="Calibri"/>
        </w:rPr>
        <w:t xml:space="preserve"> </w:t>
      </w:r>
      <w:r w:rsidR="009F4826" w:rsidRPr="0035461C">
        <w:rPr>
          <w:rFonts w:ascii="Calibri" w:hAnsi="Calibri" w:cs="Calibri"/>
        </w:rPr>
        <w:fldChar w:fldCharType="begin"/>
      </w:r>
      <w:r w:rsidR="00076F77">
        <w:rPr>
          <w:rFonts w:ascii="Calibri" w:hAnsi="Calibri" w:cs="Calibri"/>
        </w:rPr>
        <w:instrText xml:space="preserve"> ADDIN ZOTERO_ITEM CSL_CITATION {"citationID":"WtF8suMA","properties":{"formattedCitation":"(19,20)","plainCitation":"(19,20)","noteIndex":0},"citationItems":[{"id":10988,"uris":["http://zotero.org/groups/369679/items/JZMARQRF"],"uri":["http://zotero.org/groups/369679/items/JZMARQRF"],"itemData":{"id":10988,"type":"article-journal","abstract":"BACKGROUND: Type 2 diabetes shows evidence of underlying heterogeneity. No studies have assessed whether different causes for diabetes change the response to oral hypoglycaemic therapy. In a few cases, patients with diabetes caused by mutations in the hepatocyte nuclear factor 1alpha (HNF-1alpha) gene have been described as sensitive to the hypoglycaemic effects of sulphonylureas. We aimed to see whether the glycaemic response to the sulphonylurea gliclazide and the biguanide metformin differed in HNF-1alpha diabetes and type 2 diabetes, and to investigate the mechanism for differences in sulphonylurea sensitivity.\nMETHODS: We did a randomised crossover trial of glicazide and metformin in 36 patients, either with diabetes caused by HNF-1alpha mutations or type 2 diabetes, who were matched for body-mass index and fasting plasma glucose. The primary outcome was reduction in fasting plasma glucose. Analysis was by intention to treat. We assessed possible mechanisms for sulphonylurea sensitivity through insulin sensitivity, insulin secretory response to glucose and tolbutamide, and tolbutamide clearance.\nFINDINGS: Patients with HNF-1alpha diabetes had a 5.2-fold greater response to gliclazide than to metformin (fasting plasma glucose reduction 4.7 vs 0.9 mmol/L, p=0.0007) and 3.9-fold greater response to gliclazide than those with type 2 diabetes (p=0.002). Patients with HNF-1alpha diabetes had a strong insulin secretory response to intravenous tolbutamide despite a small response to intravenous glucose, and were more insulin sensitive than those with type 2 diabetes. Sulphonylurea metabolism was similar in both patient groups.\nINTERPRETATION: The cause of hyperglycaemia changes the response to hypoglycaemic drugs; HNF-1alpha diabetes has marked sulphonylurea sensitivity. This pharmacogenetic effect is consistent with models of HNF-1alpha deficiency, which show that the beta-cell defect is upstream of the sulphonylurea receptor. Definition of the genetic basis of hyperglycaemia has implications for patient management.","container-title":"Lancet (London, England)","DOI":"10.1016/S0140-6736(03)14571-0","ISSN":"1474-547X","issue":"9392","journalAbbreviation":"Lancet","language":"eng","note":"PMID: 14575972","page":"1275-1281","source":"PubMed","title":"Genetic cause of hyperglycaemia and response to treatment in diabetes","volume":"362","author":[{"family":"Pearson","given":"Ewan R."},{"family":"Starkey","given":"Bryan J."},{"family":"Powell","given":"Roy J."},{"family":"Gribble","given":"Fiona M."},{"family":"Clark","given":"Penny M."},{"family":"Hattersley","given":"Andrew T."}],"issued":{"date-parts":[["2003",10,18]]}}},{"id":11464,"uris":["http://zotero.org/groups/369679/items/T6IM2SZC"],"uri":["http://zotero.org/groups/369679/items/T6IM2SZC"],"itemData":{"id":11464,"type":"article-journal","container-title":"Pediatric Diabetes","DOI":"https://doi.org/10.1111/pedi.12772","ISSN":"1399-5448","issue":"S27","language":"en","note":"_eprint: https://onlinelibrary.wiley.com/doi/pdf/10.1111/pedi.12772","page":"47-63","source":"Wiley Online Library","title":"ISPAD Clinical Practice Consensus Guidelines 2018: The diagnosis and management of monogenic diabetes in children and adolescents","title-short":"ISPAD Clinical Practice Consensus Guidelines 2018","volume":"19","author":[{"family":"Hattersley","given":"Andrew T."},{"family":"Greeley","given":"Siri A. W."},{"family":"Polak","given":"Michel"},{"family":"Rubio‐Cabezas","given":"Oscar"},{"family":"Njølstad","given":"Pål R."},{"family":"Mlynarski","given":"Wojciech"},{"family":"Castano","given":"Luis"},{"family":"Carlsson","given":"Annelie"},{"family":"Raile","given":"Klemens"},{"family":"Chi","given":"Dung V."},{"family":"Ellard","given":"Sian"},{"family":"Craig","given":"Maria E."}],"issued":{"date-parts":[["2018"]]}}}],"schema":"https://github.com/citation-style-language/schema/raw/master/csl-citation.json"} </w:instrText>
      </w:r>
      <w:r w:rsidR="009F4826" w:rsidRPr="0035461C">
        <w:rPr>
          <w:rFonts w:ascii="Calibri" w:hAnsi="Calibri" w:cs="Calibri"/>
        </w:rPr>
        <w:fldChar w:fldCharType="separate"/>
      </w:r>
      <w:r w:rsidR="00643FF1" w:rsidRPr="00643FF1">
        <w:rPr>
          <w:rFonts w:ascii="Calibri" w:hAnsi="Calibri" w:cs="Calibri"/>
        </w:rPr>
        <w:t>(19,20)</w:t>
      </w:r>
      <w:r w:rsidR="009F4826" w:rsidRPr="0035461C">
        <w:rPr>
          <w:rFonts w:ascii="Calibri" w:hAnsi="Calibri" w:cs="Calibri"/>
        </w:rPr>
        <w:fldChar w:fldCharType="end"/>
      </w:r>
      <w:r w:rsidR="00D608CE" w:rsidRPr="0035461C">
        <w:rPr>
          <w:rFonts w:ascii="Calibri" w:hAnsi="Calibri" w:cs="Calibri"/>
        </w:rPr>
        <w:t xml:space="preserve">. </w:t>
      </w:r>
    </w:p>
    <w:p w14:paraId="2D744672" w14:textId="77777777" w:rsidR="000647C7" w:rsidRPr="0035461C" w:rsidRDefault="000647C7" w:rsidP="00224AA9">
      <w:pPr>
        <w:spacing w:before="120"/>
        <w:jc w:val="both"/>
        <w:rPr>
          <w:rFonts w:ascii="Calibri" w:hAnsi="Calibri" w:cs="Calibri"/>
          <w:i/>
          <w:u w:val="single"/>
        </w:rPr>
      </w:pPr>
    </w:p>
    <w:p w14:paraId="48505A7E" w14:textId="0B53EB3D" w:rsidR="00224AA9" w:rsidRPr="0035461C" w:rsidRDefault="00224AA9" w:rsidP="00224AA9">
      <w:pPr>
        <w:spacing w:before="120"/>
        <w:jc w:val="both"/>
        <w:rPr>
          <w:rFonts w:ascii="Calibri" w:hAnsi="Calibri" w:cs="Calibri"/>
          <w:i/>
          <w:u w:val="single"/>
        </w:rPr>
      </w:pPr>
      <w:r w:rsidRPr="0035461C">
        <w:rPr>
          <w:rFonts w:ascii="Calibri" w:hAnsi="Calibri" w:cs="Calibri"/>
          <w:i/>
          <w:u w:val="single"/>
        </w:rPr>
        <w:t>Investigation of an adult with suspected type 1 diabetes</w:t>
      </w:r>
    </w:p>
    <w:p w14:paraId="4DAC75B4" w14:textId="663FD289" w:rsidR="00224AA9" w:rsidRPr="0035461C" w:rsidRDefault="00224AA9" w:rsidP="00224AA9">
      <w:pPr>
        <w:spacing w:before="120"/>
        <w:jc w:val="both"/>
        <w:rPr>
          <w:rFonts w:ascii="Calibri" w:hAnsi="Calibri" w:cs="Calibri"/>
        </w:rPr>
      </w:pPr>
      <w:r w:rsidRPr="0035461C">
        <w:rPr>
          <w:rFonts w:ascii="Calibri" w:hAnsi="Calibri" w:cs="Calibri"/>
        </w:rPr>
        <w:t>A</w:t>
      </w:r>
      <w:r w:rsidR="00123F73">
        <w:rPr>
          <w:rFonts w:ascii="Calibri" w:hAnsi="Calibri" w:cs="Calibri"/>
        </w:rPr>
        <w:t>n</w:t>
      </w:r>
      <w:r w:rsidRPr="0035461C">
        <w:rPr>
          <w:rFonts w:ascii="Calibri" w:hAnsi="Calibri" w:cs="Calibri"/>
        </w:rPr>
        <w:t xml:space="preserve"> algorithm for the investigation of adults with suspected type 1 diabetes is shown in Figure 1.</w:t>
      </w:r>
    </w:p>
    <w:p w14:paraId="72A91515" w14:textId="77777777" w:rsidR="000647C7" w:rsidRPr="0035461C" w:rsidRDefault="000647C7" w:rsidP="00224AA9">
      <w:pPr>
        <w:spacing w:before="120"/>
        <w:jc w:val="both"/>
        <w:rPr>
          <w:rFonts w:ascii="Calibri" w:hAnsi="Calibri" w:cs="Calibri"/>
          <w:i/>
        </w:rPr>
      </w:pPr>
    </w:p>
    <w:p w14:paraId="6C2C63BD" w14:textId="1F43448A" w:rsidR="00224AA9" w:rsidRPr="0035461C" w:rsidRDefault="00224AA9" w:rsidP="00224AA9">
      <w:pPr>
        <w:spacing w:before="120"/>
        <w:jc w:val="both"/>
        <w:rPr>
          <w:rFonts w:ascii="Calibri" w:hAnsi="Calibri" w:cs="Calibri"/>
          <w:i/>
        </w:rPr>
      </w:pPr>
      <w:r w:rsidRPr="0035461C">
        <w:rPr>
          <w:rFonts w:ascii="Calibri" w:hAnsi="Calibri" w:cs="Calibri"/>
          <w:i/>
        </w:rPr>
        <w:t>Islet autoantibodies</w:t>
      </w:r>
    </w:p>
    <w:p w14:paraId="7DFB3255" w14:textId="13C105B6" w:rsidR="00224AA9" w:rsidRPr="0035461C" w:rsidRDefault="00224AA9" w:rsidP="00224AA9">
      <w:pPr>
        <w:spacing w:before="120"/>
        <w:jc w:val="both"/>
        <w:rPr>
          <w:rFonts w:ascii="Calibri" w:hAnsi="Calibri" w:cs="Calibri"/>
        </w:rPr>
      </w:pPr>
      <w:r w:rsidRPr="0035461C">
        <w:rPr>
          <w:rFonts w:ascii="Calibri" w:hAnsi="Calibri" w:cs="Calibri"/>
        </w:rPr>
        <w:t xml:space="preserve">An assessment of islet autoantibodies at diagnosis is recommended as the primary investigation of an adult with suspected type 1 diabetes. </w:t>
      </w:r>
      <w:r w:rsidRPr="0035461C">
        <w:rPr>
          <w:rFonts w:ascii="Calibri" w:hAnsi="Calibri" w:cs="Calibri"/>
          <w:color w:val="111111"/>
          <w:shd w:val="clear" w:color="auto" w:fill="FFFFFF"/>
        </w:rPr>
        <w:t>Glutamic Acid Decarboxylase</w:t>
      </w:r>
      <w:r w:rsidRPr="0035461C">
        <w:rPr>
          <w:rFonts w:ascii="Calibri" w:hAnsi="Calibri" w:cs="Calibri"/>
        </w:rPr>
        <w:t xml:space="preserve"> (GAD) should be the primary antibody measured and, if negative, should be followed by </w:t>
      </w:r>
      <w:r w:rsidRPr="0035461C">
        <w:rPr>
          <w:rFonts w:ascii="Calibri" w:hAnsi="Calibri" w:cs="Calibri"/>
          <w:color w:val="202124"/>
          <w:shd w:val="clear" w:color="auto" w:fill="FFFFFF"/>
        </w:rPr>
        <w:t>islet tyrosine phosphatase 2</w:t>
      </w:r>
      <w:r w:rsidRPr="0035461C">
        <w:rPr>
          <w:rFonts w:ascii="Calibri" w:hAnsi="Calibri" w:cs="Calibri"/>
        </w:rPr>
        <w:t xml:space="preserve"> (IA2) and/or Zinc transporter 8 (ZNT8) where available. Islet cell antibody (ICA) measurement is no longer recommended because it is an imprecise biological assay that has been superseded by the direct measurement of single antibodies </w:t>
      </w:r>
      <w:r w:rsidRPr="0035461C">
        <w:rPr>
          <w:rFonts w:ascii="Calibri" w:hAnsi="Calibri" w:cs="Calibri"/>
        </w:rPr>
        <w:fldChar w:fldCharType="begin"/>
      </w:r>
      <w:r w:rsidR="00076F77">
        <w:rPr>
          <w:rFonts w:ascii="Calibri" w:hAnsi="Calibri" w:cs="Calibri"/>
        </w:rPr>
        <w:instrText xml:space="preserve"> ADDIN ZOTERO_ITEM CSL_CITATION {"citationID":"v59XRwVl","properties":{"formattedCitation":"(21,22)","plainCitation":"(21,22)","noteIndex":0},"citationItems":[{"id":10976,"uris":["http://zotero.org/groups/369679/items/5G9EXGU9"],"uri":["http://zotero.org/groups/369679/items/5G9EXGU9"],"itemData":{"id":10976,"type":"article-journal","abstract":"CONTEXT: Autoantibodies to glutamate decarboxylase, islet antigen-2, insulin, and zinc transporter-8 are characteristic of type 1 diabetes. They are detectable before clinical onset and define the subgroup of patients with latent autoimmune diabetes in adults. Autoantibody assays are increasingly available to clinicians. This article reviews the prognostic significance of autoantibodies and considers the utility of diabetes antibody testing in routine clinical practice.\nEVIDENCE ACQUISITION: The medical literature to May 2009 was reviewed for key articles and consensus statements covering use of islet autoantibody testing for prediction and classification of diabetes and implications for therapy.\nEVIDENCE SYNTHESIS: Sensitive and specific glutamate decarboxylase and islet antigen-2 antibody assays are widely available, although to insulin autoantibody assays remain variable. Islet autoantibodies appear early in life, and testing for multiple antibodies identifies unaffected individuals at very high risk of type 1 diabetes with high sensitivity. This is important for research, but currently no intervention prevents or delays diabetes, and evidence of benefit from awareness of risk is weak. In non-insulin-treated diabetes, patients with autoantibodies progress to insulin requirement more rapidly, but evidence that testing benefits the individual patient is limited. Antibody testing is useful in classifying diabetes of other types.\nCONCLUSIONS: Islet autoantibody testing allows prediction of type 1 diabetes and definition of the latent autoimmune diabetes in adults subgroup of non-insulin-treated patients. Although useful for research, until therapies modulating the disease process become available, the benefit to individual patients is generally questionable. With a few exceptions, diabetes antibody testing does not yet have a role in routine clinical care.","container-title":"The Journal of Clinical Endocrinology and Metabolism","DOI":"10.1210/jc.2009-1365","ISSN":"1945-7197","issue":"1","journalAbbreviation":"J Clin Endocrinol Metab","language":"eng","note":"PMID: 19875480","page":"25-33","source":"PubMed","title":"Clinical applications of diabetes antibody testing","volume":"95","author":[{"family":"Bingley","given":"Polly J."}],"issued":{"date-parts":[["2010",1]]}}},{"id":10979,"uris":["http://zotero.org/groups/369679/items/8R88R4F3"],"uri":["http://zotero.org/groups/369679/items/8R88R4F3"],"itemData":{"id":10979,"type":"article-journal","abstract":"OBJECTIVE: To assess whether there are any differences in genetic, autoimmune, or clinical features between type 1 diabetes presenting in childhood and that diagnosed later.\nRESEARCH DESIGN AND METHODS: We studied 352 individuals (252 children and adolescents &lt;20 years of age and 100 adults &gt; or =20 years of age) manifesting clinical signs of type 1 diabetes over a period of 7.5 years at a university hospital in northern Finland with a primary catchment area population of approximately 300,000. The patients were analyzed for susceptible and protective HLA-DQB1 alleles (*02, *0302, *0301, *0602, *0603, and *0604), islet cell antibodies (ICA), insulin autoantibodies, and antibodies to GAD and IA-2 (IA-2A). Their clinical symptoms and signs were recorded at diagnosis.\nRESULTS: The adult patients carried the high-risk DQB1*02/0302 genotype less frequently than the children and more often had protective genotypes. They also had a decreased frequency of all 4 single autoantibody specificities and of multiple (&gt; or =3) autoantibodies. The proportion of patients testing negative for all autoantibodies was lower among the children than among the adults. IA-2A were associated with the DQB1*0302/x genotype in both the children and adults, and the same held true for ICA among the adults. The adults were characterized by a higher proportion of males, a longer duration of symptoms, and a lower frequency of infections during the preceding 3 months. In addition, they had a higher relative body weight on admission and milder signs of metabolic decompensation (higher pH, base excess, and bicarbonate concentrations) and a lower glycated hemoglobin level at diagnosis than the children.\nCONCLUSIONS: Clinical manifestation of type 1 diabetes before the age of 20 years is associated with a strong HLA-defined genetic disease susceptibility, an intensive humoral immune response to various beta-cell antigens, a higher frequency of preceding infections, and a shorter duration of symptoms and more severe metabolic decompensation at diagnosis. Taken together, these observations suggest that the age at clinical onset of type 1 diabetes is determined by the intensity of the beta-cell-destructive process, which is modulated by both genetic and environmental factors.","container-title":"Diabetes Care","DOI":"10.2337/diacare.23.9.1326","ISSN":"0149-5992","issue":"9","journalAbbreviation":"Diabetes Care","language":"eng","note":"PMID: 10977027","page":"1326-1332","source":"PubMed","title":"Genetic, autoimmune, and clinical characteristics of childhood- and adult-onset type 1 diabetes","volume":"23","author":[{"family":"Sabbah","given":"E."},{"family":"Savola","given":"K."},{"family":"Ebeling","given":"T."},{"family":"Kulmala","given":"P."},{"family":"Vähäsalo","given":"P."},{"family":"Ilonen","given":"J."},{"family":"Salmela","given":"P. I."},{"family":"Knip","given":"M."}],"issued":{"date-parts":[["2000",9]]}}}],"schema":"https://github.com/citation-style-language/schema/raw/master/csl-citation.json"} </w:instrText>
      </w:r>
      <w:r w:rsidRPr="0035461C">
        <w:rPr>
          <w:rFonts w:ascii="Calibri" w:hAnsi="Calibri" w:cs="Calibri"/>
        </w:rPr>
        <w:fldChar w:fldCharType="separate"/>
      </w:r>
      <w:r w:rsidR="00643FF1" w:rsidRPr="00643FF1">
        <w:rPr>
          <w:rFonts w:ascii="Calibri" w:hAnsi="Calibri" w:cs="Calibri"/>
        </w:rPr>
        <w:t>(21,22)</w:t>
      </w:r>
      <w:r w:rsidRPr="0035461C">
        <w:rPr>
          <w:rFonts w:ascii="Calibri" w:hAnsi="Calibri" w:cs="Calibri"/>
        </w:rPr>
        <w:fldChar w:fldCharType="end"/>
      </w:r>
      <w:r w:rsidRPr="0035461C">
        <w:rPr>
          <w:rFonts w:ascii="Calibri" w:hAnsi="Calibri" w:cs="Calibri"/>
        </w:rPr>
        <w:t xml:space="preserve">. </w:t>
      </w:r>
    </w:p>
    <w:p w14:paraId="28C6DDA4" w14:textId="586C0413" w:rsidR="00224AA9" w:rsidRPr="0035461C" w:rsidRDefault="00224AA9" w:rsidP="00224AA9">
      <w:pPr>
        <w:spacing w:before="120"/>
        <w:jc w:val="both"/>
        <w:rPr>
          <w:rFonts w:ascii="Calibri" w:hAnsi="Calibri" w:cs="Calibri"/>
        </w:rPr>
      </w:pPr>
      <w:r w:rsidRPr="0035461C">
        <w:rPr>
          <w:rFonts w:ascii="Calibri" w:hAnsi="Calibri" w:cs="Calibri"/>
        </w:rPr>
        <w:t xml:space="preserve">In people with clinical features suggesting type 1 diabetes, the presence of one or more positive islet autoantibodies is highly predictive of rapid progression and severe insulin deficiency and these individuals should be considered to have type 1 diabetes, even if they were not insulin requiring at diagnosis </w:t>
      </w:r>
      <w:r w:rsidRPr="0035461C">
        <w:rPr>
          <w:rFonts w:ascii="Calibri" w:hAnsi="Calibri" w:cs="Calibri"/>
        </w:rPr>
        <w:fldChar w:fldCharType="begin"/>
      </w:r>
      <w:r w:rsidR="00076F77">
        <w:rPr>
          <w:rFonts w:ascii="Calibri" w:hAnsi="Calibri" w:cs="Calibri"/>
        </w:rPr>
        <w:instrText xml:space="preserve"> ADDIN ZOTERO_ITEM CSL_CITATION {"citationID":"AjXEUsxw","properties":{"formattedCitation":"(23,24)","plainCitation":"(23,24)","noteIndex":0},"citationItems":[{"id":10982,"uris":["http://zotero.org/groups/369679/items/X6JQTA8Q"],"uri":["http://zotero.org/groups/369679/items/X6JQTA8Q"],"itemData":{"id":10982,"type":"article-journal","abstract":"OBJECTIVE: To clarify the predictive value of islet cell antibody (ICA) and GAD65 antibody (GADA) present at diagnosis with respect to the need for insulin treatment 6 years after diagnosis in young adults initially considered to have type 2 or unclassifiable diabetes.\nRESEARCH DESIGN AND METHODS: The patient material was representative of the entire Swedish population, consisting of patients who were 15-34 years old at diagnosis of diabetes in 1987-1988 but were not considered to have type 1 diabetes at onset. At follow-up, 6 years after the diagnosis, it was noted whether the patient was treated with insulin. The presence of ICA was determined by an immunofluorescence assay, and GADAs were measured by a radioligand assay.\nRESULTS: Six years after diagnosis, 70 of 97 patients were treated with insulin, and 27 of 97 patients were treated with oral drugs or diet alone. At diagnosis, ICAs and GADAs were present in 41 (59%) of 70 patients and 41 (60%) of 68 patients, respectively, of those now treated with insulin, compared with only 1 (4%) of 26 patients and 2 (7%) of 27 patients who were still not treated with insulin. For either ICA or GADA, the corresponding frequencies were 50 (74%) of 68 for patients who were later treated with insulin and 3 (12%) of 26 for those who were still not treated with insulin, respectively. The sensitivity for later insulin treatment was highest (74%) for the presence of ICA or GADA, and the specificity was highest (100%) for ICA and GADA. The positive predictive value was 100% for the combination of ICA and GADA, 98% for ICA alone, and approximately 95% for GADA alone.\nCONCLUSIONS: Determination of the presence of ICA and GADA at diagnosis of diabetes improves the classification of diabetes and predicts the future need of insulin in young adults.","container-title":"Diabetes Care","DOI":"10.2337/diacare.22.3.409","ISSN":"0149-5992","issue":"3","journalAbbreviation":"Diabetes Care","language":"eng","note":"PMID: 10097919","page":"409-412","source":"PubMed","title":"Islet cell and glutamic acid decarboxylase antibodies present at diagnosis of diabetes predict the need for insulin treatment. A cohort study in young adults whose disease was initially labeled as type 2 or unclassifiable diabetes","volume":"22","author":[{"family":"Littorin","given":"B."},{"family":"Sundkvist","given":"G."},{"family":"Hagopian","given":"W."},{"family":"Landin-Olsson","given":"M."},{"family":"Lernmark","given":"A."},{"family":"Ostman","given":"J."},{"family":"Arnqvist","given":"H. J."},{"family":"Blohmé","given":"G."},{"family":"Bolinder","given":"J."},{"family":"Eriksson","given":"J. W."},{"family":"Lithner","given":"F."},{"family":"Scherstén","given":"B."},{"family":"Wibell","given":"L."}],"issued":{"date-parts":[["1999",3]]}}},{"id":10566,"uris":["http://zotero.org/groups/369679/items/PPB72UME"],"uri":["http://zotero.org/groups/369679/items/PPB72UME"],"itemData":{"id":10566,"type":"article-journal","abstract":"OBJECTIVE: To develop and validate multivariable clinical diagnostic models to assist distinguishing between type 1 and type 2 diabetes in adults aged 18-50.\nDESIGN: Multivariable logistic regression analysis was used to develop classification models integrating five pre-specified predictor variables, including clinical features (age of diagnosis, body mass index) and clinical biomarkers (GADA and Islet Antigen 2 islet autoantibodies, Type 1 Diabetes Genetic Risk Score), to identify type 1 diabetes with rapid insulin requirement using data from existing cohorts.\nSETTING: UK cohorts recruited from primary and secondary care.\nPARTICIPANTS: 1352 (model development) and 582 (external validation) participants diagnosed with diabetes between the age of 18 and 50 years of white European origin.\nMAIN OUTCOME MEASURES: Type 1 diabetes was defined by rapid insulin requirement (within 3 years of diagnosis) and severe endogenous insulin deficiency (C-peptide &lt;200 pmol/L). Type 2 diabetes was defined by either a lack of rapid insulin requirement or, where insulin treated within 3 years, retained endogenous insulin secretion (C-peptide &gt;600 pmol/L at ≥5 years diabetes duration). Model performance was assessed using area under the receiver operating characteristic curve (ROC AUC), and internal and external validation.\nRESULTS: Type 1 diabetes was present in 13% of participants in the development cohort. All five predictor variables were discriminative and independent predictors of type 1 diabetes (p&lt;0.001 for all) with individual ROC AUC ranging from 0.82 to 0.85. Model performance was high: ROC AUC range 0.90 (95% CI 0.88 to 0.93) (clinical features only) to 0.97 (95% CI 0.96 to 0.98) (all predictors) with low prediction error. Results were consistent in external validation (clinical features and GADA ROC AUC 0.93 (0.90 to 0.96)).\nCONCLUSIONS: Clinical diagnostic models integrating clinical features with biomarkers have high accuracy for identifying type 1 diabetes with rapid insulin requirement, and could assist clinicians and researchers in accurately identifying patients with type 1 diabetes.","container-title":"BMJ open","DOI":"10.1136/bmjopen-2019-031586","ISSN":"2044-6055","issue":"9","journalAbbreviation":"BMJ Open","language":"eng","note":"PMID: 31558459\nPMCID: PMC6773323","page":"e031586","source":"PubMed","title":"Development and validation of multivariable clinical diagnostic models to identify type 1 diabetes requiring rapid insulin therapy in adults aged 18-50 years","volume":"9","author":[{"family":"Lynam","given":"Anita"},{"family":"McDonald","given":"Timothy"},{"family":"Hill","given":"Anita"},{"family":"Dennis","given":"John"},{"family":"Oram","given":"Richard"},{"family":"Pearson","given":"Ewan"},{"family":"Weedon","given":"Michael"},{"family":"Hattersley","given":"Andrew"},{"family":"Owen","given":"Katharine"},{"family":"Shields","given":"Beverley"},{"family":"Jones","given":"Angus"}],"issued":{"date-parts":[["2019"]],"season":"26"}}}],"schema":"https://github.com/citation-style-language/schema/raw/master/csl-citation.json"} </w:instrText>
      </w:r>
      <w:r w:rsidRPr="0035461C">
        <w:rPr>
          <w:rFonts w:ascii="Calibri" w:hAnsi="Calibri" w:cs="Calibri"/>
        </w:rPr>
        <w:fldChar w:fldCharType="separate"/>
      </w:r>
      <w:r w:rsidR="00643FF1" w:rsidRPr="00643FF1">
        <w:rPr>
          <w:rFonts w:ascii="Calibri" w:hAnsi="Calibri" w:cs="Calibri"/>
        </w:rPr>
        <w:t>(23,24)</w:t>
      </w:r>
      <w:r w:rsidRPr="0035461C">
        <w:rPr>
          <w:rFonts w:ascii="Calibri" w:hAnsi="Calibri" w:cs="Calibri"/>
        </w:rPr>
        <w:fldChar w:fldCharType="end"/>
      </w:r>
      <w:r w:rsidRPr="0035461C">
        <w:rPr>
          <w:rFonts w:ascii="Calibri" w:hAnsi="Calibri" w:cs="Calibri"/>
        </w:rPr>
        <w:t xml:space="preserve">. </w:t>
      </w:r>
      <w:r w:rsidR="00035F74" w:rsidRPr="00D85B4D">
        <w:rPr>
          <w:rFonts w:asciiTheme="minorHAnsi" w:hAnsiTheme="minorHAnsi" w:cstheme="minorHAnsi"/>
          <w:lang w:val="en-GB"/>
        </w:rPr>
        <w:t xml:space="preserve">As positive GAD antibodies may be found at a low level in adults </w:t>
      </w:r>
      <w:r w:rsidR="00734A47">
        <w:rPr>
          <w:rFonts w:asciiTheme="minorHAnsi" w:hAnsiTheme="minorHAnsi" w:cstheme="minorHAnsi"/>
          <w:lang w:val="en-GB"/>
        </w:rPr>
        <w:t xml:space="preserve">without autoimmune diabetes </w:t>
      </w:r>
      <w:r w:rsidR="00035F74" w:rsidRPr="00D85B4D">
        <w:rPr>
          <w:rFonts w:asciiTheme="minorHAnsi" w:hAnsiTheme="minorHAnsi" w:cstheme="minorHAnsi"/>
          <w:lang w:val="en-GB"/>
        </w:rPr>
        <w:t>and false positive results may occur, GAD should only be measured in those suspected to have type 1 diabetes</w:t>
      </w:r>
      <w:r w:rsidR="00142DDE">
        <w:rPr>
          <w:rFonts w:asciiTheme="minorHAnsi" w:hAnsiTheme="minorHAnsi" w:cstheme="minorHAnsi"/>
          <w:lang w:val="en-GB"/>
        </w:rPr>
        <w:t xml:space="preserve"> </w:t>
      </w:r>
      <w:r w:rsidR="00142DDE">
        <w:rPr>
          <w:rFonts w:asciiTheme="minorHAnsi" w:hAnsiTheme="minorHAnsi" w:cstheme="minorHAnsi"/>
          <w:lang w:val="en-GB"/>
        </w:rPr>
        <w:fldChar w:fldCharType="begin"/>
      </w:r>
      <w:r w:rsidR="00076F77">
        <w:rPr>
          <w:rFonts w:asciiTheme="minorHAnsi" w:hAnsiTheme="minorHAnsi" w:cstheme="minorHAnsi"/>
          <w:lang w:val="en-GB"/>
        </w:rPr>
        <w:instrText xml:space="preserve"> ADDIN ZOTERO_ITEM CSL_CITATION {"citationID":"LJLjUMV6","properties":{"formattedCitation":"(24)","plainCitation":"(24)","noteIndex":0},"citationItems":[{"id":10566,"uris":["http://zotero.org/groups/369679/items/PPB72UME"],"uri":["http://zotero.org/groups/369679/items/PPB72UME"],"itemData":{"id":10566,"type":"article-journal","abstract":"OBJECTIVE: To develop and validate multivariable clinical diagnostic models to assist distinguishing between type 1 and type 2 diabetes in adults aged 18-50.\nDESIGN: Multivariable logistic regression analysis was used to develop classification models integrating five pre-specified predictor variables, including clinical features (age of diagnosis, body mass index) and clinical biomarkers (GADA and Islet Antigen 2 islet autoantibodies, Type 1 Diabetes Genetic Risk Score), to identify type 1 diabetes with rapid insulin requirement using data from existing cohorts.\nSETTING: UK cohorts recruited from primary and secondary care.\nPARTICIPANTS: 1352 (model development) and 582 (external validation) participants diagnosed with diabetes between the age of 18 and 50 years of white European origin.\nMAIN OUTCOME MEASURES: Type 1 diabetes was defined by rapid insulin requirement (within 3 years of diagnosis) and severe endogenous insulin deficiency (C-peptide &lt;200 pmol/L). Type 2 diabetes was defined by either a lack of rapid insulin requirement or, where insulin treated within 3 years, retained endogenous insulin secretion (C-peptide &gt;600 pmol/L at ≥5 years diabetes duration). Model performance was assessed using area under the receiver operating characteristic curve (ROC AUC), and internal and external validation.\nRESULTS: Type 1 diabetes was present in 13% of participants in the development cohort. All five predictor variables were discriminative and independent predictors of type 1 diabetes (p&lt;0.001 for all) with individual ROC AUC ranging from 0.82 to 0.85. Model performance was high: ROC AUC range 0.90 (95% CI 0.88 to 0.93) (clinical features only) to 0.97 (95% CI 0.96 to 0.98) (all predictors) with low prediction error. Results were consistent in external validation (clinical features and GADA ROC AUC 0.93 (0.90 to 0.96)).\nCONCLUSIONS: Clinical diagnostic models integrating clinical features with biomarkers have high accuracy for identifying type 1 diabetes with rapid insulin requirement, and could assist clinicians and researchers in accurately identifying patients with type 1 diabetes.","container-title":"BMJ open","DOI":"10.1136/bmjopen-2019-031586","ISSN":"2044-6055","issue":"9","journalAbbreviation":"BMJ Open","language":"eng","note":"PMID: 31558459\nPMCID: PMC6773323","page":"e031586","source":"PubMed","title":"Development and validation of multivariable clinical diagnostic models to identify type 1 diabetes requiring rapid insulin therapy in adults aged 18-50 years","volume":"9","author":[{"family":"Lynam","given":"Anita"},{"family":"McDonald","given":"Timothy"},{"family":"Hill","given":"Anita"},{"family":"Dennis","given":"John"},{"family":"Oram","given":"Richard"},{"family":"Pearson","given":"Ewan"},{"family":"Weedon","given":"Michael"},{"family":"Hattersley","given":"Andrew"},{"family":"Owen","given":"Katharine"},{"family":"Shields","given":"Beverley"},{"family":"Jones","given":"Angus"}],"issued":{"date-parts":[["2019"]],"season":"26"}}}],"schema":"https://github.com/citation-style-language/schema/raw/master/csl-citation.json"} </w:instrText>
      </w:r>
      <w:r w:rsidR="00142DDE">
        <w:rPr>
          <w:rFonts w:asciiTheme="minorHAnsi" w:hAnsiTheme="minorHAnsi" w:cstheme="minorHAnsi"/>
          <w:lang w:val="en-GB"/>
        </w:rPr>
        <w:fldChar w:fldCharType="separate"/>
      </w:r>
      <w:r w:rsidR="00142DDE" w:rsidRPr="00142DDE">
        <w:rPr>
          <w:rFonts w:ascii="Calibri" w:hAnsi="Calibri" w:cs="Calibri"/>
        </w:rPr>
        <w:t>(24)</w:t>
      </w:r>
      <w:r w:rsidR="00142DDE">
        <w:rPr>
          <w:rFonts w:asciiTheme="minorHAnsi" w:hAnsiTheme="minorHAnsi" w:cstheme="minorHAnsi"/>
          <w:lang w:val="en-GB"/>
        </w:rPr>
        <w:fldChar w:fldCharType="end"/>
      </w:r>
      <w:r w:rsidR="00035F74">
        <w:rPr>
          <w:rFonts w:asciiTheme="minorHAnsi" w:hAnsiTheme="minorHAnsi" w:cstheme="minorHAnsi"/>
          <w:lang w:val="en-GB"/>
        </w:rPr>
        <w:t>.</w:t>
      </w:r>
    </w:p>
    <w:p w14:paraId="7031B2AB" w14:textId="0544341B" w:rsidR="00224AA9" w:rsidRPr="0035461C" w:rsidRDefault="00224AA9" w:rsidP="00224AA9">
      <w:pPr>
        <w:spacing w:before="120"/>
        <w:jc w:val="both"/>
        <w:rPr>
          <w:rFonts w:ascii="Calibri" w:hAnsi="Calibri" w:cs="Calibri"/>
        </w:rPr>
      </w:pPr>
      <w:r w:rsidRPr="0035461C">
        <w:rPr>
          <w:rFonts w:ascii="Calibri" w:hAnsi="Calibri" w:cs="Calibri"/>
        </w:rPr>
        <w:t>The absence of autoantibodies does not exclude type 1 diabetes, as approximately 5-10% of white European people with new-onset type 1 diabetes have negative islet antibodies</w:t>
      </w:r>
      <w:r w:rsidR="009E1833" w:rsidRPr="0035461C">
        <w:rPr>
          <w:rFonts w:ascii="Calibri" w:hAnsi="Calibri" w:cs="Calibri"/>
        </w:rPr>
        <w:t xml:space="preserve"> </w:t>
      </w:r>
      <w:r w:rsidR="00F5215D" w:rsidRPr="0035461C">
        <w:rPr>
          <w:rFonts w:ascii="Calibri" w:hAnsi="Calibri" w:cs="Calibri"/>
        </w:rPr>
        <w:fldChar w:fldCharType="begin"/>
      </w:r>
      <w:r w:rsidR="00076F77">
        <w:rPr>
          <w:rFonts w:ascii="Calibri" w:hAnsi="Calibri" w:cs="Calibri"/>
        </w:rPr>
        <w:instrText xml:space="preserve"> ADDIN ZOTERO_ITEM CSL_CITATION {"citationID":"rGIxKbuk","properties":{"formattedCitation":"(8,9,25)","plainCitation":"(8,9,25)","noteIndex":0},"citationItems":[{"id":3912,"uris":["http://zotero.org/groups/369679/items/JX8T23BQ"],"uri":["http://zotero.org/groups/369679/items/JX8T23BQ"],"itemData":{"id":3912,"type":"article-journal","abstract":"BACKGROUND: Differentiating between type 1 and type 2 diabetes is fundamental to ensuring appropriate management of patients, but can be challenging, especially when treating with insulin. The 2010 UK Practical Classification Guidelines for Diabetes were developed to help make the differentiation.\nAIM: To assess diagnostic accuracy of the UK guidelines against 'gold standard' definitions of type 1 and type 2 diabetes based on measured C-peptide levels.\nDESIGN AND SETTING: In total, 601 adults with insulin-treated diabetes and diabetes duration ≥5 years were recruited in Devon, Northamptonshire, and Leicestershire.\nMETHOD: Baseline information and home urine sample were collected. Urinary C-peptide creatinine ratio (UCPCR) measures endogenous insulin production. Gold standard type 1 diabetes was defined as continuous insulin treatment within 3 years of diagnosis and absolute insulin deficiency (UCPCR&lt;0.2 nmol/mmol ≥5 years post-diagnosis); all others classed as having type 2 diabetes. Diagnostic performance of the clinical criteria was assessed and other criteria explored using receiver operating characteristic (ROC) curves.\nRESULTS: UK guidelines correctly classified 86% of participants. Most misclassifications occurred in patients classed as having type 1 diabetes who had significant endogenous insulin levels (57 out of 601; 9%); most in those diagnosed ≥35 years and treated with insulin from diagnosis, where 37 out of 66 (56%) were misclassified. Time to insulin and age at diagnosis performed best in predicting long-term endogenous insulin production (ROC AUC = 0.904 and 0.871); BMI was a less strong predictor of diabetes type (AUC = 0.824).\nCONCLUSION: Current UK guidelines provide a pragmatic clinical approach to classification reflecting long-term endogenous insulin production; caution is needed in older patients commencing insulin from diagnosis, where misclassification rates are increased.","container-title":"The British Journal of General Practice: The Journal of the Royal College of General Practitioners","DOI":"10.3399/bjgp16X684961","ISSN":"1478-5242","issue":"646","journalAbbreviation":"Br J Gen Pract","language":"eng","note":"PMID: 27080317\nPMCID: PMC4838443","page":"e315-322","source":"PubMed","title":"Practical Classification Guidelines for Diabetes in patients treated with insulin: a cross-sectional study of the accuracy of diabetes diagnosis","title-short":"Practical Classification Guidelines for Diabetes in patients treated with insulin","volume":"66","author":[{"family":"Hope","given":"Suzy V."},{"family":"Wienand-Barnett","given":"Sophie"},{"family":"Shepherd","given":"Maggie"},{"family":"King","given":"Sophie M."},{"family":"Fox","given":"Charles"},{"family":"Khunti","given":"Kamlesh"},{"family":"Oram","given":"Richard A."},{"family":"Knight","given":"Bea A."},{"family":"Hattersley","given":"Andrew T."},{"family":"Jones","given":"Angus G."},{"family":"Shields","given":"Beverley M."}],"issued":{"date-parts":[["2016",5]]}}},{"id":10947,"uris":["http://zotero.org/groups/369679/items/T33BZMCL"],"uri":["http://zotero.org/groups/369679/items/T33BZMCL"],"itemData":{"id":10947,"type":"article-journal","abstract":"OBJECTIVE: Clinicians predominantly use clinical features to differentiate type 1 from type 2 diabetes yet there are no evidence-based clinical criteria to aid classification of patients. Misclassification of diabetes is widespread (7-15% of cases), resulting in patients receiving inappropriate treatment. We sought to identify which clinical criteria could be used to discriminate type 1 and type 2 diabetes.\nDESIGN: Systematic review of all diagnostic accuracy studies published since 1979 using clinical criteria to predict insulin deficiency (measured by C-peptide).\nDATA SOURCES: 14 databases including: MEDLINE, MEDLINE in Process and EMBASE. The search strategy took the form of: (terms for diabetes) AND (terms for C-Peptide).\nELIGIBILITY CRITERIA: Diagnostic accuracy studies of any routinely available clinical predictors against a reference standard of insulin deficiency defined by cut-offs of C-peptide concentrations. No restrictions on race, age, language or country of origin.\nRESULTS: 10,917 abstracts were screened, and 231 full texts reviewed. 11 studies met inclusion criteria, but varied by age, race, year and proportion of participants who were C-peptide negative. Age at diagnosis was the most discriminatory feature in 7/9 studies where it was assessed, with optimal cut-offs (&gt;70% mean sensitivity and specificity) across studies being &lt;30 years or &lt;40 years. Use of/time to insulin treatment and body mass index (BMI) were also discriminatory. When combining features, BMI added little over age at diagnosis and/or time to insulin (&lt;1% improvement in classification).\nCONCLUSIONS: Despite finding only 11 studies, and considerable heterogeneity between studies, age at diagnosis and time to insulin were consistently the most discriminatory criteria. BMI, despite being widely used in clinical practice, adds little to these two criteria. The criteria identified are similar to the Royal College of General Practitioners National Health Service (RCGP/NHS) Diabetes classification guidelines, which use age at diagnosis &lt;35 years and time to insulin &lt;6 m. Until further studies are carried out, these guidelines represent a suitable classification scheme.\nSYSTEMATIC REVIEW REGISTRATION: PROSPERO reference CRD42012001736.","container-title":"BMJ open","DOI":"10.1136/bmjopen-2015-009088","ISSN":"2044-6055","issue":"11","journalAbbreviation":"BMJ Open","language":"eng","note":"PMID: 26525723\nPMCID: PMC4636628","page":"e009088","source":"PubMed","title":"Can clinical features be used to differentiate type 1 from type 2 diabetes? A systematic review of the literature","title-short":"Can clinical features be used to differentiate type 1 from type 2 diabetes?","volume":"5","author":[{"family":"Shields","given":"Beverley M."},{"family":"Peters","given":"Jaime L."},{"family":"Cooper","given":"Chris"},{"family":"Lowe","given":"Jenny"},{"family":"Knight","given":"Bridget A."},{"family":"Powell","given":"Roy J."},{"family":"Jones","given":"Angus"},{"family":"Hyde","given":"Christopher J."},{"family":"Hattersley","given":"Andrew T."}],"issued":{"date-parts":[["2015",11,2]]}}},{"id":11473,"uris":["http://zotero.org/groups/369679/items/T3UQFXJB"],"uri":["http://zotero.org/groups/369679/items/T3UQFXJB"],"itemData":{"id":11473,"type":"article-journal","abstract":"&lt;h3&gt;Abstract&lt;/h3&gt; &lt;h3&gt;Objective&lt;/h3&gt; &lt;p&gt;Islet autoantibodies at diagnosis are not well studied in older-adult onset (&amp;gt;30years) type 1 diabetes due to difficulties of accurate diagnosis. We used a type 1 diabetes genetic risk score (T1DGRS) to identify type 1 diabetes aiming to evaluate the prevalence and pattern of autoantibodies in older-adult onset type 1 diabetes.&lt;/p&gt;&lt;h3&gt;Methods&lt;/h3&gt; &lt;p&gt;We used a 30 variant T1DGRS in 1866 white-European individuals to genetically confirm a clinical diagnosis of new onset type 1 diabetes. We then assessed the prevalence and pattern of GADA, IA2A and ZnT8A within genetically consistent type 1 diabetes across three age groups (&amp;lt;18years (n=702), 18-30years (n=524) and &amp;gt;30years (n=588)).&lt;/p&gt;&lt;h3&gt;Findings&lt;/h3&gt; &lt;p&gt;In autoantibody positive cases T1DGRS was consistent with 100% type 1 diabetes in each age group. Conversely in autoantibody negative cases, T1DGRS was consistent with 93%(56/60) of &amp;lt;18years, 55%(37/67) of 18-30years and just 23%(34/151) of &amp;gt;30years having type 1 diabetes. Restricting analysis to genetically consistent type 1 diabetes showed similar proportions of positive autoantibodies across age groups (92% &amp;lt;18years, 92% 18-30years, 93% &amp;gt;30years)[p=0.87]. GADA was the most common autoantibody in older-adult onset type 1 diabetes, identifying 95% of autoantibody positive cases versus 72% in those &amp;lt;18years.&lt;/p&gt;&lt;h3&gt;Interpretation&lt;/h3&gt; &lt;p&gt;Older adult-onset type 1 diabetes has identical rates but different patterns of positive autoantibodies to childhood onset. In clinically suspected type 1 diabetes in older-adults, absence of autoantibodies strongly suggests non-autoimmune diabetes. Our findings suggest the need to change guidelines from measuring islet autoantibodies where there is diagnostic uncertainty to measuring at least GADA in all suspected adult type 1 diabetes cases.&lt;/p&gt;","container-title":"medRxiv","DOI":"10.1101/2021.03.22.21252507","language":"en","note":"publisher: Cold Spring Harbor Laboratory Press","page":"2021.03.22.21252507","source":"www.medrxiv.org","title":"The absence of islet autoantibodies in clinically diagnosed older-adult onset type 1 diabetes suggests an alternative pathology, advocating for routine testing in this age group","author":[{"family":"Thomas","given":"Nicholas J."},{"family":"Walkey","given":"Helen C."},{"family":"Kaur","given":"Akaal"},{"family":"Misra","given":"Shivani"},{"family":"Oliver","given":"Nick S."},{"family":"Colclough","given":"Kevin"},{"family":"Weedon","given":"Michael N."},{"family":"Johnston","given":"Desmond G."},{"family":"Hattersley","given":"Andrew T."},{"family":"Patel","given":"Kashyap A."}],"issued":{"date-parts":[["2021",3,24]]}}}],"schema":"https://github.com/citation-style-language/schema/raw/master/csl-citation.json"} </w:instrText>
      </w:r>
      <w:r w:rsidR="00F5215D" w:rsidRPr="0035461C">
        <w:rPr>
          <w:rFonts w:ascii="Calibri" w:hAnsi="Calibri" w:cs="Calibri"/>
        </w:rPr>
        <w:fldChar w:fldCharType="separate"/>
      </w:r>
      <w:r w:rsidR="00643FF1" w:rsidRPr="00643FF1">
        <w:rPr>
          <w:rFonts w:ascii="Calibri" w:hAnsi="Calibri" w:cs="Calibri"/>
        </w:rPr>
        <w:t>(8,9,25)</w:t>
      </w:r>
      <w:r w:rsidR="00F5215D" w:rsidRPr="0035461C">
        <w:rPr>
          <w:rFonts w:ascii="Calibri" w:hAnsi="Calibri" w:cs="Calibri"/>
        </w:rPr>
        <w:fldChar w:fldCharType="end"/>
      </w:r>
      <w:r w:rsidRPr="0035461C">
        <w:rPr>
          <w:rFonts w:ascii="Calibri" w:hAnsi="Calibri" w:cs="Calibri"/>
        </w:rPr>
        <w:t xml:space="preserve">, and further consideration of the diagnosis is necessary. </w:t>
      </w:r>
      <w:r w:rsidR="00FF4115">
        <w:rPr>
          <w:rFonts w:ascii="Calibri" w:hAnsi="Calibri" w:cs="Calibri"/>
        </w:rPr>
        <w:t>Furthermore, antibodies may disappear over time</w:t>
      </w:r>
      <w:r w:rsidR="001C2617">
        <w:rPr>
          <w:rFonts w:ascii="Calibri" w:hAnsi="Calibri" w:cs="Calibri"/>
        </w:rPr>
        <w:t xml:space="preserve"> </w:t>
      </w:r>
      <w:r w:rsidR="001C2617">
        <w:rPr>
          <w:rFonts w:ascii="Calibri" w:hAnsi="Calibri" w:cs="Calibri"/>
        </w:rPr>
        <w:fldChar w:fldCharType="begin"/>
      </w:r>
      <w:r w:rsidR="00076F77">
        <w:rPr>
          <w:rFonts w:ascii="Calibri" w:hAnsi="Calibri" w:cs="Calibri"/>
        </w:rPr>
        <w:instrText xml:space="preserve"> ADDIN ZOTERO_ITEM CSL_CITATION {"citationID":"TRAKx0VA","properties":{"formattedCitation":"(26)","plainCitation":"(26)","noteIndex":0},"citationItems":[{"id":12517,"uris":["http://zotero.org/groups/369679/items/YQGJQBHU"],"uri":["http://zotero.org/groups/369679/items/YQGJQBHU"],"itemData":{"id":12517,"type":"article-journal","abstract":"OBJECTIVE: GAD antibodies (GADA) are more common in type 1 diabetic subjects diagnosed at an older age, whereas insulinoma-antigen 2 antibodies (IA-2A) are more common in subjects with younger onset. The prevalence of both antibodies decreases with longer duration of type 1 diabetes. We evaluated the interaction between age of diagnosis (onset) and duration of diabetes on the percentage of GADA- and IA-2A-positive subjects.\nRESEARCH DESIGN AND METHODS: Data were used from 5,020 individuals with type 1 diabetes obtained from the Type 1 Diabetes Genetics Consortium dataset. The percentages of GADA- and IA-2A-positive subjects were modeled with duration as the continuous independent variable using a modified spline.\nRESULTS: Within the first 5 years from diagnosis, 19.4% of individuals (median age 13 years) had neither GADA nor IA-2A, and by 6 to 13 years after diagnosis (median age 18 years), 31.7% were antibody-negative. There was no significant interaction between onset of disease and duration of diabetes for IA-2A (P = 0.30). The interaction was significant for GADA (P = 0.0002), resulting from differences in subjects diagnosed at or older than age 14. For these individuals, there was no apparent effect of duration of disease on the percentage of GADA-positive subjects within the first 5 years of diagnosis.\nCONCLUSIONS: Onset and duration of diabetes both have an important effect on antibody status. The interaction of onset and duration on GADA positivity, but not on IA-2A, suggests differences in biology. These data provide a context for clinicians to interpret results of autoantibody testing in clinical practice.","container-title":"Diabetes Care","DOI":"10.2337/dc10-1903","ISSN":"1935-5548","issue":"4","journalAbbreviation":"Diabetes Care","language":"eng","note":"PMID: 21330643\nPMCID: PMC3064062","page":"988-993","source":"PubMed","title":"Interaction of onset and duration of diabetes on the percent of GAD and IA-2 antibody-positive subjects in the type 1 diabetes genetics consortium database","volume":"34","author":[{"family":"Tridgell","given":"David M."},{"family":"Spiekerman","given":"Charles"},{"family":"Wang","given":"Richard S."},{"family":"Greenbaum","given":"Carla J."}],"issued":{"date-parts":[["2011",4]]}}}],"schema":"https://github.com/citation-style-language/schema/raw/master/csl-citation.json"} </w:instrText>
      </w:r>
      <w:r w:rsidR="001C2617">
        <w:rPr>
          <w:rFonts w:ascii="Calibri" w:hAnsi="Calibri" w:cs="Calibri"/>
        </w:rPr>
        <w:fldChar w:fldCharType="separate"/>
      </w:r>
      <w:r w:rsidR="001C2617" w:rsidRPr="001C2617">
        <w:rPr>
          <w:rFonts w:ascii="Calibri" w:hAnsi="Calibri" w:cs="Calibri"/>
        </w:rPr>
        <w:t>(26)</w:t>
      </w:r>
      <w:r w:rsidR="001C2617">
        <w:rPr>
          <w:rFonts w:ascii="Calibri" w:hAnsi="Calibri" w:cs="Calibri"/>
        </w:rPr>
        <w:fldChar w:fldCharType="end"/>
      </w:r>
      <w:r w:rsidR="00FF4115">
        <w:rPr>
          <w:rFonts w:ascii="Calibri" w:hAnsi="Calibri" w:cs="Calibri"/>
        </w:rPr>
        <w:t xml:space="preserve">. </w:t>
      </w:r>
      <w:r w:rsidRPr="0035461C">
        <w:rPr>
          <w:rFonts w:ascii="Calibri" w:hAnsi="Calibri" w:cs="Calibri"/>
        </w:rPr>
        <w:t>In those diagnosed below the age of 35 years, type 1 diabetes is still the most likely diagnosis, particularly if there are no clinical features of type 2 diabetes or monogenic diabetes. In those aged over 35 years, type 2 diabetes becomes increasingly likely with absent islet autoantibodies and older age. However, it can be hard to differentiate between type 1 diabetes and type 2 diabetes based on age and clinical features in non-white European populations.</w:t>
      </w:r>
    </w:p>
    <w:p w14:paraId="3DA03F02" w14:textId="3F4B9B6A" w:rsidR="00224AA9" w:rsidRPr="0035461C" w:rsidRDefault="00224AA9" w:rsidP="00224AA9">
      <w:pPr>
        <w:spacing w:before="120"/>
        <w:jc w:val="both"/>
        <w:rPr>
          <w:rFonts w:ascii="Calibri" w:hAnsi="Calibri" w:cs="Calibri"/>
        </w:rPr>
      </w:pPr>
      <w:r w:rsidRPr="0035461C">
        <w:rPr>
          <w:rFonts w:ascii="Calibri" w:hAnsi="Calibri" w:cs="Calibri"/>
        </w:rPr>
        <w:t xml:space="preserve">It is important to make a clinical decision about how to treat the person with diabetes. Regardless of </w:t>
      </w:r>
      <w:r w:rsidR="000647C7" w:rsidRPr="0035461C">
        <w:rPr>
          <w:rFonts w:ascii="Calibri" w:hAnsi="Calibri" w:cs="Calibri"/>
        </w:rPr>
        <w:t>any</w:t>
      </w:r>
      <w:r w:rsidRPr="0035461C">
        <w:rPr>
          <w:rFonts w:ascii="Calibri" w:hAnsi="Calibri" w:cs="Calibri"/>
        </w:rPr>
        <w:t xml:space="preserve"> features of type 2 diabetes or absence of islet antibodies, if there is a clinical suspicion of type 1 diabetes, the individual should be treated with insulin. However, in some individuals, where the clinical course is more suggestive of type 2 diabetes, a trial of non-insulin therapy may be appropriate. Those whose diabetes is treated without insulin will require careful monitoring and education, so that insulin can be rapidly initiated in the event of glycaemic deterioration. Type 2 diabetes and other types of diabetes should be considered in all age groups</w:t>
      </w:r>
      <w:r w:rsidR="000647C7" w:rsidRPr="0035461C">
        <w:rPr>
          <w:rFonts w:ascii="Calibri" w:hAnsi="Calibri" w:cs="Calibri"/>
        </w:rPr>
        <w:t xml:space="preserve"> but i</w:t>
      </w:r>
      <w:r w:rsidRPr="0035461C">
        <w:rPr>
          <w:rFonts w:ascii="Calibri" w:hAnsi="Calibri" w:cs="Calibri"/>
        </w:rPr>
        <w:t xml:space="preserve">n those aged under 35 years, negative islet antibodies should raise the suspicion of monogenic diabetes. </w:t>
      </w:r>
    </w:p>
    <w:p w14:paraId="479E175A" w14:textId="77777777" w:rsidR="00224AA9" w:rsidRPr="0035461C" w:rsidRDefault="00224AA9" w:rsidP="00224AA9">
      <w:pPr>
        <w:jc w:val="both"/>
        <w:rPr>
          <w:rFonts w:ascii="Calibri" w:hAnsi="Calibri" w:cs="Calibri"/>
        </w:rPr>
      </w:pPr>
    </w:p>
    <w:p w14:paraId="16F2B98E" w14:textId="77777777" w:rsidR="00224AA9" w:rsidRPr="0035461C" w:rsidRDefault="00224AA9" w:rsidP="00224AA9">
      <w:pPr>
        <w:spacing w:before="120"/>
        <w:jc w:val="both"/>
        <w:rPr>
          <w:rFonts w:ascii="Calibri" w:hAnsi="Calibri" w:cs="Calibri"/>
          <w:i/>
        </w:rPr>
      </w:pPr>
      <w:r w:rsidRPr="0035461C">
        <w:rPr>
          <w:rFonts w:ascii="Calibri" w:hAnsi="Calibri" w:cs="Calibri"/>
          <w:i/>
        </w:rPr>
        <w:t>C-peptide measurement</w:t>
      </w:r>
    </w:p>
    <w:p w14:paraId="78C5389A" w14:textId="5E138B79" w:rsidR="00224AA9" w:rsidRPr="0035461C" w:rsidRDefault="00224AA9" w:rsidP="00224AA9">
      <w:pPr>
        <w:spacing w:before="120"/>
        <w:jc w:val="both"/>
        <w:rPr>
          <w:rFonts w:ascii="Calibri" w:hAnsi="Calibri" w:cs="Calibri"/>
        </w:rPr>
      </w:pPr>
      <w:r w:rsidRPr="0035461C">
        <w:rPr>
          <w:rFonts w:ascii="Calibri" w:hAnsi="Calibri" w:cs="Calibri"/>
        </w:rPr>
        <w:t xml:space="preserve">Beyond 3 years after diagnosis where there is uncertainty about diabetes type, </w:t>
      </w:r>
      <w:r w:rsidR="00076CE0" w:rsidRPr="0035461C">
        <w:rPr>
          <w:rFonts w:ascii="Calibri" w:hAnsi="Calibri" w:cs="Calibri"/>
        </w:rPr>
        <w:t xml:space="preserve">a </w:t>
      </w:r>
      <w:r w:rsidR="00076CE0" w:rsidRPr="0035461C">
        <w:rPr>
          <w:rFonts w:ascii="Calibri" w:hAnsi="Calibri" w:cs="Calibri"/>
          <w:lang w:val="en-GB"/>
        </w:rPr>
        <w:t xml:space="preserve">random C-peptide measurement (with concurrent glucose) within 5 hours of eating </w:t>
      </w:r>
      <w:r w:rsidRPr="0035461C">
        <w:rPr>
          <w:rFonts w:ascii="Calibri" w:hAnsi="Calibri" w:cs="Calibri"/>
        </w:rPr>
        <w:t>is recommended. Where a person is treated with insulin, this test should always be performed prior to insulin discontinuation, to exclude severe insulin deficiency.</w:t>
      </w:r>
    </w:p>
    <w:p w14:paraId="53AA1BA8" w14:textId="4F025AD7" w:rsidR="00035F74" w:rsidRDefault="00224AA9" w:rsidP="00224AA9">
      <w:pPr>
        <w:spacing w:before="120"/>
        <w:jc w:val="both"/>
        <w:rPr>
          <w:rFonts w:asciiTheme="minorHAnsi" w:hAnsiTheme="minorHAnsi" w:cstheme="minorHAnsi"/>
        </w:rPr>
      </w:pPr>
      <w:r w:rsidRPr="0035461C">
        <w:rPr>
          <w:rFonts w:ascii="Calibri" w:hAnsi="Calibri" w:cs="Calibri"/>
        </w:rPr>
        <w:t xml:space="preserve">Persistent C-peptide &gt;600 </w:t>
      </w:r>
      <w:proofErr w:type="spellStart"/>
      <w:r w:rsidRPr="0035461C">
        <w:rPr>
          <w:rFonts w:ascii="Calibri" w:hAnsi="Calibri" w:cs="Calibri"/>
        </w:rPr>
        <w:t>pmol</w:t>
      </w:r>
      <w:proofErr w:type="spellEnd"/>
      <w:r w:rsidRPr="0035461C">
        <w:rPr>
          <w:rFonts w:ascii="Calibri" w:hAnsi="Calibri" w:cs="Calibri"/>
        </w:rPr>
        <w:t xml:space="preserve">/L (non-fasting) is strongly suggestive of type 2 diabetes and people with C-peptide in this range are often able to replace insulin with other agents </w:t>
      </w:r>
      <w:r w:rsidRPr="0035461C">
        <w:rPr>
          <w:rFonts w:ascii="Calibri" w:hAnsi="Calibri" w:cs="Calibri"/>
        </w:rPr>
        <w:fldChar w:fldCharType="begin"/>
      </w:r>
      <w:r w:rsidR="00076F77">
        <w:rPr>
          <w:rFonts w:ascii="Calibri" w:hAnsi="Calibri" w:cs="Calibri"/>
        </w:rPr>
        <w:instrText xml:space="preserve"> ADDIN ZOTERO_ITEM CSL_CITATION {"citationID":"lT9twqvs","properties":{"formattedCitation":"(27\\uc0\\u8211{}30)","plainCitation":"(27–30)","noteIndex":0},"citationItems":[{"id":93,"uris":["http://zotero.org/groups/369679/items/2BKDCX5Y"],"uri":["http://zotero.org/groups/369679/items/2BKDCX5Y"],"itemData":{"id":93,"type":"article-journal","abstract":"OBJECTIVE: Ketosis-prone diabetes (KPD) is an emerging, heterogeneous syndrome. A sound classification scheme for KPD is essential to guide clinical practice and pathophysiologic studies. Four schemes have been used and are based on immunologic criteria, immunologic criteria and insulin requirement, BMI, and immunologic criteria and beta-cell function (Abeta classification). The aim of the present study is to compare the four schemes for accuracy and predictive value in determining whether KPD patients have absent or preserved beta-cell function, which is a strong determinant of long-term insulin dependence and clinical phenotype.\nRESEARCH DESIGN AND METHODS: Consecutive patients (n = 294) presenting with diabetic ketoacidosis and followed for 12-60 months were classified according to all four schemes. They were evaluated longitudinally for beta-cell autoimmunity, clinical and biochemical features, beta-cell function, and insulin dependence. beta-Cell function was defined by peak plasma C-peptide response to glucagon &gt;or=1.5 ng/ml. The accuracy of each scheme to predict absent or preserved beta-cell function after 12 months of follow-up was tested using multiple statistical analyses.\nRESULTS: The \"Abeta\" classification scheme was the most accurate overall, with a sensitivity and specificity of 99.4 and 95.9%, respectively, positive and negative likelihood ratios of 24.55 and 0.01, respectively, and an area under the receiver operator characteristic curve of 0.972.\nCONCLUSIONS: The Abeta scheme has the highest accuracy and predictive value in classifying KPD patients with regard to clinical outcomes and pathophysiologic subtypes.","container-title":"Diabetes Care","DOI":"10.2337/dc06-0749","ISSN":"0149-5992","issue":"12","journalAbbreviation":"Diabetes Care","language":"eng","note":"PMID: 17130187","page":"2575-2579","source":"PubMed","title":"Accuracy and predictive value of classification schemes for ketosis-prone diabetes","volume":"29","author":[{"family":"Balasubramanyam","given":"Ashok"},{"family":"Garza","given":"Gilberto"},{"family":"Rodriguez","given":"Lucille"},{"family":"Hampe","given":"Christiane S."},{"family":"Gaur","given":"Lakshmi"},{"family":"Lernmark","given":"Ake"},{"family":"Maldonado","given":"Mario R."}],"issued":{"date-parts":[["2006",12]]}}},{"id":10984,"uris":["http://zotero.org/groups/369679/items/ZFUI6RTL"],"uri":["http://zotero.org/groups/369679/items/ZFUI6RTL"],"itemData":{"id":10984,"type":"article-journal","abstract":"AIM: Insulin treatment is considered to be the final option for patients with progressive type 2 diabetes. This study investigated, whether reconverting type 2 patients from insulin treatment to oral treatment using pioglitazone is possible without deterioration of blood glucose control.\nMETHODS: The PioSwitch study was a prospective, open label, proof of concept study. Thiazolidinedione-naïve patients with residual beta-cell function were switched from an existing insulin therapy to treatment with pioglitazone and glimepiride for 6 months. Efficacy was assessed by laboratory parameters and scores for evaluation of metabolic control, beta-cell function, insulin resistance and cardiovascular risk.\nRESULTS: In total, 98 patients [66 men, 32 women, age (mean +/- s.d.): 59 +/- 9 years; disease duration: 5.6 +/- 3.6 years; Hemoglobin A1c (HbA1c): 6.9 +/- 0.8%; body mass index (BMI): 33.9 +/- 5.2 kg/m(2), initial daily insulin therapy dose: 0.36 +/- 0.3 U/kg body weight] out of 117 screened patients were treated. During the observation period, 23 patients were prematurely terminated because of an increase in HbA1c from baseline &gt; 0.5% or other reasons. In 75 patients (76%), no deterioration of glucose metabolism occurred and additional improvements were seen in the majority of the observation parameters [baseline vs. endpoint; HbA1c: 6.79 +/- 0.74%/6.66 +/- 0.69% (p &lt; 0.05), glucose: 6.4 +/- 1.5/5.2 +/- 1.4 mmol/l (p &lt; 0.001), adiponectin: 7 +/- 3 mg/l/17 +/- 8 mg/l (p &lt; 0.001), C-peptide: 987 +/- 493/1756 +/- 789 (p &lt; 0.001), sensitivity index derived from the intravenous glucose tolerance test (SI(ivGTT)): 1.21 +/- 0.85/1.49 +/- 0.95 (p &lt; 0.05), hsCRP: 3.3 +/- 2.4/2.6 +/- 2.4 mg/l (p &lt; 0.01), macrophage chemo-attractant protein 1 (MCP1): 487 +/- 246/382 +/- 295 ng/l (p &lt; 0.05)]. BMI increased from 33.8 +/- 5.1 to 34.4 +/- 5.3 kg/m(2) (p &lt; 0.001).\nCONCLUSIONS: The switch from insulin therapy resulting in a moderately HbA1c level, to oral treatment with pioglitazone was successful in a majority of patients with sufficient residual beta-cell function. It allows a simple and less expensive therapy with a better cardiovascular risk marker profile.","container-title":"Diabetes, Obesity &amp; Metabolism","DOI":"10.1111/j.1463-1326.2008.00975.x","ISSN":"1463-1326","issue":"5","journalAbbreviation":"Diabetes Obes Metab","language":"eng","note":"PMID: 19422402","page":"464-471","source":"PubMed","title":"Successful switch from insulin therapy to treatment with pioglitazone in type 2 diabetes patients with residual beta-cell function: results from the PioSwitch study","title-short":"Successful switch from insulin therapy to treatment with pioglitazone in type 2 diabetes patients with residual beta-cell function","volume":"11","author":[{"family":"Hohberg","given":"C."},{"family":"Pfützner","given":"A."},{"family":"Forst","given":"T."},{"family":"Lübben","given":"G."},{"family":"Karagiannis","given":"E."},{"family":"Borchert","given":"M."},{"family":"Schöndorf","given":"T."}],"issued":{"date-parts":[["2009",5]]}}},{"id":10971,"uris":["http://zotero.org/groups/369679/items/6JED93BY"],"uri":["http://zotero.org/groups/369679/items/6JED93BY"],"itemData":{"id":10971,"type":"webpage","abstract":"The results of this study indicate that stimulated C-peptide and glucose levels may be useful criteria to identify whether combination metformin-troglitazone treatment can successfully replace insulin therapy in the management of obese patients with type 2 diabetes. Inability to normalize glucose in …","container-title":"Endocrine practice : official journal of the American College of Endocrinology and the American Association of Clinical Endocrinologists","language":"en","note":"ISSN: 1530-891X\nissue: 6\npublisher: Endocr Pract\nvolume: 5\nPMID: 15251651\nDOI: 10.4158/EP.5.6.305","title":"Classification of type 2 diabetes by clinical response to metformin-troglitazone combination and C-Peptide criteria","URL":"https://pubmed.ncbi.nlm.nih.gov/15251651/","author":[{"family":"Lee","given":"A"},{"family":"Morley","given":"J"}],"accessed":{"date-parts":[["2021",2,8]]},"issued":{"date-parts":[["1999",12]]}}},{"id":10986,"uris":["http://zotero.org/groups/369679/items/3M4WC8FQ"],"uri":["http://zotero.org/groups/369679/items/3M4WC8FQ"],"itemData":{"id":10986,"type":"article-journal","abstract":"OBJECTIVE: To determine whether combination oral hypoglycemic therapy in insulin-using patients with non-insulin-dependent diabetes mellitus (NIDDM) can improve glycemic control for a prolonged period.\nMETHODS: We expanded and extended an earlier study to include 130 patients with NIDDM for 10 to 30 years who had been using twice-daily mixed insulin for less than 10 years. Reduction and eventual elimination of the insulin therapy and substitution of metformin and a sulfonylurea were attempted. At follow-up visits, patients were weighed, random plasma glucose levels were determined, and glycosylated hemoglobin values were obtained.\nRESULTS: Of 130 C-peptide-positive patients with NIDDM receiving twice-daily mixed insulin, 100 were successfully transferred to combination oral hypoglycemic therapy with glyburide originally and later glimepiride and metformin--a primary failure rate of 23.1%. Secondary failure occurred in 20 patients after a mean duration of 6.4 months. Two patients with successful conversion to oral combination therapy resumed insulin treatment because of cost. Of the patients with primary failures, 6 had gastrointestinal side effects, 10 were successfully managed on combination oral therapy plus evening mixed insulin, and 14 ultimately received twice-daily insulin and metformin. Of the secondary failures, 13 were controlled on combination oral therapy plus evening insulin and 7 on twice-daily insulin in conjunction with metformin. No difference was found in the original C-peptide levels among these three groups. Glycosylated hemoglobin levels were significantly less on combined oral hypoglycemic therapy (9.8% versus 8.3%; P = 0.0001), on combination oral therapy plus evening insulin (11.2% versus 9.7%; P = 0.001), and on return to twice-daily mixed insulin with metformin (11.0% versus 9.9%; P = 0.04). Those eight patients who resumed twice-daily insulin therapy alone, however, had a nonsignificant increase in glycosylated hemoglobin (9.3% versus 9.9%).\nCONCLUSION: Improvement in glycosylated hemoglobin level in insulin-using patients with NIDDM can be obtained with combination oral therapy alone, combination oral therapy with once-daily evening insulin, or twice-daily mixed insulin with metformin in comparison with twice-daily insulin alone.","container-title":"Endocrine Practice: Official Journal of the American College of Endocrinology and the American Association of Clinical Endocrinologists","DOI":"10.4158/EP.4.2.82","ISSN":"1530-891X","issue":"2","journalAbbreviation":"Endocr Pract","language":"eng","note":"PMID: 15251750","page":"82-85","source":"PubMed","title":"Improved glycemic control with use of oral hypoglycemic therapy with or without insulin","volume":"4","author":[{"family":"Bell","given":"D. S."},{"family":"Mayo","given":"M. S."}],"issued":{"date-parts":[["1998",4]]}}}],"schema":"https://github.com/citation-style-language/schema/raw/master/csl-citation.json"} </w:instrText>
      </w:r>
      <w:r w:rsidRPr="0035461C">
        <w:rPr>
          <w:rFonts w:ascii="Calibri" w:hAnsi="Calibri" w:cs="Calibri"/>
        </w:rPr>
        <w:fldChar w:fldCharType="separate"/>
      </w:r>
      <w:r w:rsidR="001C2617" w:rsidRPr="001C2617">
        <w:rPr>
          <w:rFonts w:ascii="Calibri" w:hAnsi="Calibri" w:cs="Calibri"/>
        </w:rPr>
        <w:t>(27–30)</w:t>
      </w:r>
      <w:r w:rsidRPr="0035461C">
        <w:rPr>
          <w:rFonts w:ascii="Calibri" w:hAnsi="Calibri" w:cs="Calibri"/>
        </w:rPr>
        <w:fldChar w:fldCharType="end"/>
      </w:r>
      <w:r w:rsidRPr="0035461C">
        <w:rPr>
          <w:rFonts w:ascii="Calibri" w:hAnsi="Calibri" w:cs="Calibri"/>
        </w:rPr>
        <w:t xml:space="preserve">. Routine C-peptide testing in those with clinically diagnosed type 1 diabetes of at least 3 years duration has led to reclassification in 11% of those with adult-onset diabetes </w:t>
      </w:r>
      <w:r w:rsidRPr="0035461C">
        <w:rPr>
          <w:rFonts w:ascii="Calibri" w:hAnsi="Calibri" w:cs="Calibri"/>
        </w:rPr>
        <w:fldChar w:fldCharType="begin"/>
      </w:r>
      <w:r w:rsidR="00076F77">
        <w:rPr>
          <w:rFonts w:ascii="Calibri" w:hAnsi="Calibri" w:cs="Calibri"/>
        </w:rPr>
        <w:instrText xml:space="preserve"> ADDIN ZOTERO_ITEM CSL_CITATION {"citationID":"7xB5BefB","properties":{"formattedCitation":"(31)","plainCitation":"(31)","noteIndex":0},"citationItems":[{"id":10974,"uris":["http://zotero.org/groups/369679/items/GJXQASNW"],"uri":["http://zotero.org/groups/369679/items/GJXQASNW"],"itemData":{"id":10974,"type":"article-journal","abstract":"AIMS/HYPOTHESIS: The aim of this study was to determine the impact of the routine use of serum C-peptide in an out-patient clinic setting on individuals with a clinician-diagnosis of type 1 diabetes.\nMETHODS: In this single-centre study, individuals with type 1 diabetes of at least 3 years duration were offered random serum C-peptide testing at routine clinic review. A C-peptide ≥200 pmol/L prompted further evaluation of the individual using a diagnostic algorithm that included measurement of islet cell antibodies and genetic testing. Where appropriate, a trial of anti-diabetic co-therapies was considered.\nRESULTS: Serum C-peptide testing was performed in 859 individuals (90% of the eligible cohort), of whom 114 (13.2%) had C-peptide ≥200 pmol/L. The cause of diabetes was reclassified in 58 individuals (6.8% of the tested cohort). The majority of reclassifications were to type 2 diabetes (44 individuals; 5.1%), with a smaller proportion of monogenic diabetes (14 individuals; 1.6%). Overall, 13 individuals (1.5%) successfully discontinued insulin, while a further 16 individuals (1.9%) had improved glycaemic control following the addition of co-therapies. The estimated total cost of the testing programme was £23,262 (~€26,053), that is, £27 (~€30) per individual tested. In current terms, the cost of prior insulin therapy in the individuals with monogenic diabetes who successfully stopped insulin was approximately £57,000 (~€64,000).\nCONCLUSIONS/INTERPRETATION: Serum C-peptide testing can easily be incorporated into an out-patient clinic setting and could be a cost-effective intervention. C-peptide testing should be strongly considered in individuals with a clinician-diagnosis of type 1 diabetes of at least 3 years duration.","container-title":"Diabetic Medicine: A Journal of the British Diabetic Association","DOI":"10.1111/dme.14449","ISSN":"1464-5491","journalAbbreviation":"Diabet Med","language":"eng","note":"PMID: 33131101","page":"e14449","source":"PubMed","title":"Impact of routine clinic measurement of serum C-peptide in people with a clinician-diagnosis of type 1 diabetes","author":[{"family":"Foteinopoulou","given":"Evgenia"},{"family":"Clarke","given":"Catriona A. L."},{"family":"Pattenden","given":"Rebecca J."},{"family":"Ritchie","given":"Stuart A."},{"family":"McMurray","given":"Emily M."},{"family":"Reynolds","given":"Rebecca M."},{"family":"Arunagirinathan","given":"Ganesan"},{"family":"Gibb","given":"Fraser W."},{"family":"McKnight","given":"John A."},{"family":"Strachan","given":"Mark W. J."}],"issued":{"date-parts":[["2020",11,1]]}}}],"schema":"https://github.com/citation-style-language/schema/raw/master/csl-citation.json"} </w:instrText>
      </w:r>
      <w:r w:rsidRPr="0035461C">
        <w:rPr>
          <w:rFonts w:ascii="Calibri" w:hAnsi="Calibri" w:cs="Calibri"/>
        </w:rPr>
        <w:fldChar w:fldCharType="separate"/>
      </w:r>
      <w:r w:rsidR="001C2617" w:rsidRPr="001C2617">
        <w:rPr>
          <w:rFonts w:ascii="Calibri" w:hAnsi="Calibri" w:cs="Calibri"/>
        </w:rPr>
        <w:t>(31)</w:t>
      </w:r>
      <w:r w:rsidRPr="0035461C">
        <w:rPr>
          <w:rFonts w:ascii="Calibri" w:hAnsi="Calibri" w:cs="Calibri"/>
        </w:rPr>
        <w:fldChar w:fldCharType="end"/>
      </w:r>
      <w:r w:rsidRPr="0035461C">
        <w:rPr>
          <w:rFonts w:ascii="Calibri" w:hAnsi="Calibri" w:cs="Calibri"/>
        </w:rPr>
        <w:t>. By contrast, low or absent C-peptide confirms the diagnosis of</w:t>
      </w:r>
      <w:r w:rsidRPr="00965E11">
        <w:rPr>
          <w:rFonts w:ascii="Calibri" w:hAnsi="Calibri" w:cs="Calibri"/>
        </w:rPr>
        <w:t xml:space="preserve"> type 1 diabetes.</w:t>
      </w:r>
      <w:r w:rsidR="00035F74" w:rsidRPr="00965E11">
        <w:rPr>
          <w:rFonts w:ascii="Calibri" w:hAnsi="Calibri" w:cs="Calibri"/>
        </w:rPr>
        <w:t xml:space="preserve"> Although low C-peptide concentrations</w:t>
      </w:r>
      <w:r w:rsidR="00035F74" w:rsidRPr="00977D5A">
        <w:rPr>
          <w:rFonts w:ascii="Calibri" w:hAnsi="Calibri" w:cs="Calibri"/>
        </w:rPr>
        <w:t xml:space="preserve"> may occur </w:t>
      </w:r>
      <w:r w:rsidR="004D4362">
        <w:rPr>
          <w:rFonts w:ascii="Calibri" w:hAnsi="Calibri" w:cs="Calibri"/>
        </w:rPr>
        <w:t xml:space="preserve">in </w:t>
      </w:r>
      <w:r w:rsidR="000728B3">
        <w:rPr>
          <w:rFonts w:ascii="Calibri" w:hAnsi="Calibri" w:cs="Calibri"/>
        </w:rPr>
        <w:t>some types of secondary</w:t>
      </w:r>
      <w:r w:rsidR="00035F74" w:rsidRPr="00734A47">
        <w:rPr>
          <w:rFonts w:ascii="Calibri" w:hAnsi="Calibri" w:cs="Calibri"/>
        </w:rPr>
        <w:t xml:space="preserve"> diabetes </w:t>
      </w:r>
      <w:r w:rsidR="00035F74" w:rsidRPr="00B24FA7">
        <w:rPr>
          <w:rFonts w:ascii="Calibri" w:hAnsi="Calibri" w:cs="Calibri"/>
        </w:rPr>
        <w:t>and very longstanding type 2 d</w:t>
      </w:r>
      <w:r w:rsidR="00035F74" w:rsidRPr="00957FA2">
        <w:rPr>
          <w:rFonts w:ascii="Calibri" w:hAnsi="Calibri" w:cs="Calibri"/>
        </w:rPr>
        <w:t xml:space="preserve">iabetes, these </w:t>
      </w:r>
      <w:r w:rsidR="00965E11" w:rsidRPr="00965E11">
        <w:rPr>
          <w:rFonts w:ascii="Calibri" w:hAnsi="Calibri" w:cs="Calibri"/>
        </w:rPr>
        <w:t>situations are unlikely to be confused for type 1 diabetes; however, in some cases investigation of other types of diabetes may be appropriate</w:t>
      </w:r>
      <w:r w:rsidR="00035F74" w:rsidRPr="00965E11">
        <w:rPr>
          <w:rFonts w:ascii="Calibri" w:hAnsi="Calibri" w:cs="Calibri"/>
        </w:rPr>
        <w:t xml:space="preserve">. </w:t>
      </w:r>
    </w:p>
    <w:p w14:paraId="454DB217" w14:textId="5F0D3C0E" w:rsidR="00035F74" w:rsidRPr="0035461C" w:rsidRDefault="00035F74" w:rsidP="00224AA9">
      <w:pPr>
        <w:spacing w:before="120"/>
        <w:jc w:val="both"/>
        <w:rPr>
          <w:rFonts w:ascii="Calibri" w:hAnsi="Calibri" w:cs="Calibri"/>
        </w:rPr>
      </w:pPr>
      <w:r w:rsidRPr="00D85B4D">
        <w:rPr>
          <w:rFonts w:asciiTheme="minorHAnsi" w:hAnsiTheme="minorHAnsi" w:cstheme="minorHAnsi"/>
          <w:iCs/>
          <w:lang w:val="en-GB"/>
        </w:rPr>
        <w:t>Plasma C-peptide is the recommended test where available, with modestly higher performance than urine measurement</w:t>
      </w:r>
      <w:r w:rsidR="00F07E9E">
        <w:rPr>
          <w:rFonts w:asciiTheme="minorHAnsi" w:hAnsiTheme="minorHAnsi" w:cstheme="minorHAnsi"/>
          <w:iCs/>
          <w:lang w:val="en-GB"/>
        </w:rPr>
        <w:t>. The latter</w:t>
      </w:r>
      <w:r w:rsidRPr="00D85B4D">
        <w:rPr>
          <w:rFonts w:asciiTheme="minorHAnsi" w:hAnsiTheme="minorHAnsi" w:cstheme="minorHAnsi"/>
          <w:iCs/>
          <w:lang w:val="en-GB"/>
        </w:rPr>
        <w:t xml:space="preserve"> may be confounded by impaired renal function. If </w:t>
      </w:r>
      <w:r w:rsidR="00965E11">
        <w:rPr>
          <w:rFonts w:asciiTheme="minorHAnsi" w:hAnsiTheme="minorHAnsi" w:cstheme="minorHAnsi"/>
          <w:iCs/>
          <w:lang w:val="en-GB"/>
        </w:rPr>
        <w:t>u</w:t>
      </w:r>
      <w:r w:rsidRPr="00D85B4D">
        <w:rPr>
          <w:rFonts w:asciiTheme="minorHAnsi" w:hAnsiTheme="minorHAnsi" w:cstheme="minorHAnsi"/>
          <w:iCs/>
          <w:lang w:val="en-GB"/>
        </w:rPr>
        <w:t>rin</w:t>
      </w:r>
      <w:r w:rsidR="00965E11">
        <w:rPr>
          <w:rFonts w:asciiTheme="minorHAnsi" w:hAnsiTheme="minorHAnsi" w:cstheme="minorHAnsi"/>
          <w:iCs/>
          <w:lang w:val="en-GB"/>
        </w:rPr>
        <w:t>ary</w:t>
      </w:r>
      <w:r w:rsidRPr="00D85B4D">
        <w:rPr>
          <w:rFonts w:asciiTheme="minorHAnsi" w:hAnsiTheme="minorHAnsi" w:cstheme="minorHAnsi"/>
          <w:iCs/>
          <w:lang w:val="en-GB"/>
        </w:rPr>
        <w:t xml:space="preserve"> C-peptide</w:t>
      </w:r>
      <w:r w:rsidR="00965E11">
        <w:rPr>
          <w:rFonts w:asciiTheme="minorHAnsi" w:hAnsiTheme="minorHAnsi" w:cstheme="minorHAnsi"/>
          <w:iCs/>
          <w:lang w:val="en-GB"/>
        </w:rPr>
        <w:t xml:space="preserve"> to creatinine r</w:t>
      </w:r>
      <w:r w:rsidRPr="00D85B4D">
        <w:rPr>
          <w:rFonts w:asciiTheme="minorHAnsi" w:hAnsiTheme="minorHAnsi" w:cstheme="minorHAnsi"/>
          <w:iCs/>
          <w:lang w:val="en-GB"/>
        </w:rPr>
        <w:t>atio is used</w:t>
      </w:r>
      <w:r w:rsidR="00965E11">
        <w:rPr>
          <w:rFonts w:asciiTheme="minorHAnsi" w:hAnsiTheme="minorHAnsi" w:cstheme="minorHAnsi"/>
          <w:iCs/>
          <w:lang w:val="en-GB"/>
        </w:rPr>
        <w:t>,</w:t>
      </w:r>
      <w:r w:rsidRPr="00D85B4D">
        <w:rPr>
          <w:rFonts w:asciiTheme="minorHAnsi" w:hAnsiTheme="minorHAnsi" w:cstheme="minorHAnsi"/>
          <w:iCs/>
          <w:lang w:val="en-GB"/>
        </w:rPr>
        <w:t xml:space="preserve"> a value &lt;0.2</w:t>
      </w:r>
      <w:r w:rsidR="000203B7">
        <w:rPr>
          <w:rFonts w:asciiTheme="minorHAnsi" w:hAnsiTheme="minorHAnsi" w:cstheme="minorHAnsi"/>
          <w:iCs/>
          <w:lang w:val="en-GB"/>
        </w:rPr>
        <w:t xml:space="preserve"> </w:t>
      </w:r>
      <w:proofErr w:type="spellStart"/>
      <w:r w:rsidRPr="00D85B4D">
        <w:rPr>
          <w:rFonts w:asciiTheme="minorHAnsi" w:hAnsiTheme="minorHAnsi" w:cstheme="minorHAnsi"/>
          <w:iCs/>
          <w:lang w:val="en-GB"/>
        </w:rPr>
        <w:t>nmol</w:t>
      </w:r>
      <w:proofErr w:type="spellEnd"/>
      <w:r w:rsidRPr="00D85B4D">
        <w:rPr>
          <w:rFonts w:asciiTheme="minorHAnsi" w:hAnsiTheme="minorHAnsi" w:cstheme="minorHAnsi"/>
          <w:iCs/>
          <w:lang w:val="en-GB"/>
        </w:rPr>
        <w:t>/</w:t>
      </w:r>
      <w:proofErr w:type="spellStart"/>
      <w:r w:rsidRPr="00D85B4D">
        <w:rPr>
          <w:rFonts w:asciiTheme="minorHAnsi" w:hAnsiTheme="minorHAnsi" w:cstheme="minorHAnsi"/>
          <w:iCs/>
          <w:lang w:val="en-GB"/>
        </w:rPr>
        <w:t>mol</w:t>
      </w:r>
      <w:proofErr w:type="spellEnd"/>
      <w:r w:rsidRPr="00D85B4D">
        <w:rPr>
          <w:rFonts w:asciiTheme="minorHAnsi" w:hAnsiTheme="minorHAnsi" w:cstheme="minorHAnsi"/>
          <w:iCs/>
          <w:lang w:val="en-GB"/>
        </w:rPr>
        <w:t xml:space="preserve"> can be used to define severe insulin deficiency.</w:t>
      </w:r>
    </w:p>
    <w:p w14:paraId="04265903" w14:textId="77777777" w:rsidR="000647C7" w:rsidRPr="0035461C" w:rsidRDefault="000647C7" w:rsidP="00224AA9">
      <w:pPr>
        <w:spacing w:before="120"/>
        <w:jc w:val="both"/>
        <w:rPr>
          <w:rFonts w:ascii="Calibri" w:hAnsi="Calibri" w:cs="Calibri"/>
          <w:i/>
        </w:rPr>
      </w:pPr>
    </w:p>
    <w:p w14:paraId="046E40FA" w14:textId="006A2BFE" w:rsidR="00224AA9" w:rsidRPr="0035461C" w:rsidRDefault="00224AA9" w:rsidP="00224AA9">
      <w:pPr>
        <w:spacing w:before="120"/>
        <w:jc w:val="both"/>
        <w:rPr>
          <w:rFonts w:ascii="Calibri" w:hAnsi="Calibri" w:cs="Calibri"/>
          <w:i/>
        </w:rPr>
      </w:pPr>
      <w:r w:rsidRPr="0035461C">
        <w:rPr>
          <w:rFonts w:ascii="Calibri" w:hAnsi="Calibri" w:cs="Calibri"/>
          <w:i/>
        </w:rPr>
        <w:t>Genetic testing</w:t>
      </w:r>
    </w:p>
    <w:p w14:paraId="14BF6308" w14:textId="41165A83" w:rsidR="00224AA9" w:rsidRPr="0035461C" w:rsidRDefault="00224AA9" w:rsidP="00224AA9">
      <w:pPr>
        <w:spacing w:before="120"/>
        <w:jc w:val="both"/>
        <w:rPr>
          <w:rFonts w:ascii="Calibri" w:hAnsi="Calibri" w:cs="Calibri"/>
        </w:rPr>
      </w:pPr>
      <w:r w:rsidRPr="0035461C">
        <w:rPr>
          <w:rFonts w:ascii="Calibri" w:hAnsi="Calibri" w:cs="Calibri"/>
        </w:rPr>
        <w:t xml:space="preserve">As monogenic diabetes was less likely to have been considered in the past, molecular genetic testing for neonatal diabetes should be considered for all people with type 1 diabetes, regardless of current age, who were diagnosed under 6 months of age as </w:t>
      </w:r>
      <w:r w:rsidR="000647C7" w:rsidRPr="0035461C">
        <w:rPr>
          <w:rFonts w:ascii="Calibri" w:hAnsi="Calibri" w:cs="Calibri"/>
        </w:rPr>
        <w:t xml:space="preserve">more than </w:t>
      </w:r>
      <w:r w:rsidRPr="0035461C">
        <w:rPr>
          <w:rFonts w:ascii="Calibri" w:hAnsi="Calibri" w:cs="Calibri"/>
        </w:rPr>
        <w:t>80% have monogenic neonatal diabetes, and the 30-50% with K</w:t>
      </w:r>
      <w:r w:rsidRPr="0035461C">
        <w:rPr>
          <w:rFonts w:ascii="Calibri" w:hAnsi="Calibri" w:cs="Calibri"/>
          <w:vertAlign w:val="subscript"/>
        </w:rPr>
        <w:t>ATP</w:t>
      </w:r>
      <w:r w:rsidRPr="0035461C">
        <w:rPr>
          <w:rFonts w:ascii="Calibri" w:hAnsi="Calibri" w:cs="Calibri"/>
        </w:rPr>
        <w:t xml:space="preserve"> channel mutations can replace insulin with sulfonylureas </w:t>
      </w:r>
      <w:r w:rsidRPr="0035461C">
        <w:rPr>
          <w:rFonts w:ascii="Calibri" w:hAnsi="Calibri" w:cs="Calibri"/>
        </w:rPr>
        <w:fldChar w:fldCharType="begin"/>
      </w:r>
      <w:r w:rsidR="00076F77">
        <w:rPr>
          <w:rFonts w:ascii="Calibri" w:hAnsi="Calibri" w:cs="Calibri"/>
        </w:rPr>
        <w:instrText xml:space="preserve"> ADDIN ZOTERO_ITEM CSL_CITATION {"citationID":"HPppCkRJ","properties":{"formattedCitation":"(32,33)","plainCitation":"(32,33)","noteIndex":0},"citationItems":[{"id":2751,"uris":["http://zotero.org/groups/369679/items/NUVSF2QY"],"uri":["http://zotero.org/groups/369679/items/NUVSF2QY"],"itemData":{"id":2751,"type":"article-journal","abstract":"BACKGROUND: Traditional genetic testing focusses on analysis of one or a few genes according to clinical features; this approach is changing as improved sequencing methods enable simultaneous analysis of several genes. Neonatal diabetes is the presenting feature of many discrete clinical phenotypes defined by different genetic causes. Genetic subtype defines treatment, with improved glycaemic control on sulfonylurea treatment for most patients with potassium channel mutations. We investigated the effect of early, comprehensive testing of all known genetic causes of neonatal diabetes.\nMETHODS: In this large, international, cohort study, we studied patients with neonatal diabetes diagnosed with diabetes before 6 months of age who were referred from 79 countries. We identified mutations by comprehensive genetic testing including Sanger sequencing, 6q24 methylation analysis, and targeted next-generation sequencing of all known neonatal diabetes genes.\nFINDINGS: Between January, 2000, and August, 2013, genetic testing was done in 1020 patients (571 boys, 449 girls). Mutations in the potassium channel genes were the most common cause (n=390) of neonatal diabetes, but were identified less frequently in consanguineous families (12% in consanguineous families vs 46% in non-consanguineous families; p&lt;0·0001). Median duration of diabetes at the time of genetic testing decreased from more than 4 years before 2005 to less than 3 months after 2012. Earlier referral for genetic testing affected the clinical phenotype. In patients with genetically diagnosed Wolcott-Rallison syndrome, 23 (88%) of 26 patients tested within 3 months from diagnosis had isolated diabetes, compared with three (17%) of 18 patients referred later (&gt;4 years; p&lt;0·0001), in whom skeletal and liver involvement was common. Similarly, for patients with genetically diagnosed transient neonatal diabetes, the diabetes had remitted in only ten (10%) of 101 patients tested early (&lt;3 months) compared with 60 (100%) of the 60 later referrals (p&lt;0·0001).\nINTERPRETATION: Patients are now referred for genetic testing closer to their presentation with neonatal diabetes. Comprehensive testing of all causes identified causal mutations in more than 80% of cases. The genetic result predicts the best diabetes treatment and development of related features. This model represents a new framework for clinical care with genetic diagnosis preceding development of clinical features and guiding clinical management.\nFUNDING: Wellcome Trust and Diabetes UK.","container-title":"Lancet (London, England)","DOI":"10.1016/S0140-6736(15)60098-8","ISSN":"1474-547X","issue":"9997","journalAbbreviation":"Lancet","language":"ENG","note":"PMID: 26231457\nPMCID: PMC4772451","page":"957-963","source":"PubMed","title":"The effect of early, comprehensive genomic testing on clinical care in neonatal diabetes: an international cohort study","title-short":"The effect of early, comprehensive genomic testing on clinical care in neonatal diabetes","volume":"386","author":[{"family":"De Franco","given":"Elisa"},{"family":"Flanagan","given":"Sarah E."},{"family":"Houghton","given":"Jayne A. L."},{"family":"Lango Allen","given":"Hana"},{"family":"Mackay","given":"Deborah J. G."},{"family":"Temple","given":"I. Karen"},{"family":"Ellard","given":"Sian"},{"family":"Hattersley","given":"Andrew T."}],"issued":{"date-parts":[["2015",9,5]]}}},{"id":10990,"uris":["http://zotero.org/groups/369679/items/WNMVBS3C"],"uri":["http://zotero.org/groups/369679/items/WNMVBS3C"],"itemData":{"id":10990,"type":"article-journal","abstract":"BACKGROUND: Heterozygous activating mutations in KCNJ11, encoding the Kir6.2 subunit of the ATP-sensitive potassium (K(ATP)) channel, cause 30 to 58 percent of cases of diabetes diagnosed in patients under six months of age. Patients present with ketoacidosis or severe hyperglycemia and are treated with insulin. Diabetes results from impaired insulin secretion caused by a failure of the beta-cell K(ATP) channel to close in response to increased intracellular ATP. Sulfonylureas close the K(ATP) channel by an ATP-independent route.\nMETHODS: We assessed glycemic control in 49 consecutive patients with Kir6.2 mutations who received appropriate doses of sulfonylureas and, in smaller subgroups, investigated the insulin secretory responses to intravenous and oral glucose, a mixed meal, and glucagon. The response of mutant K(ATP) channels to the sulfonylurea tolbutamide was assayed in xenopus oocytes.\nRESULTS: A total of 44 patients (90 percent) successfully discontinued insulin after receiving sulfonylureas. The extent of the tolbutamide blockade of K(ATP) channels in vitro reflected the response seen in patients. Glycated hemoglobin levels improved in all patients who switched to sulfonylurea therapy (from 8.1 percent before treatment to 6.4 percent after 12 weeks of treatment, P&lt;0.001). Improved glycemic control was sustained at one year. Sulfonylurea treatment increased insulin secretion, which was more highly stimulated by oral glucose or a mixed meal than by intravenous glucose. Exogenous glucagon increased insulin secretion only in the presence of sulfonylureas.\nCONCLUSIONS: Sulfonylurea therapy is safe in the short term for patients with diabetes caused by KCNJ11 mutations and is probably more effective than insulin therapy. This pharmacogenetic response to sulfonylureas may result from the closing of mutant K(ATP) channels, thereby increasing insulin secretion in response to incretins and glucose metabolism. (ClinicalTrials.gov number, NCT00334711 [ClinicalTrials.gov].).","container-title":"The New England Journal of Medicine","DOI":"10.1056/NEJMoa061759","ISSN":"1533-4406","issue":"5","journalAbbreviation":"N Engl J Med","language":"eng","note":"PMID: 16885550","page":"467-477","source":"PubMed","title":"Switching from insulin to oral sulfonylureas in patients with diabetes due to Kir6.2 mutations","volume":"355","author":[{"family":"Pearson","given":"Ewan R."},{"family":"Flechtner","given":"Isabelle"},{"family":"Njølstad","given":"Pål R."},{"family":"Malecki","given":"Maciej T."},{"family":"Flanagan","given":"Sarah E."},{"family":"Larkin","given":"Brian"},{"family":"Ashcroft","given":"Frances M."},{"family":"Klimes","given":"Iwar"},{"family":"Codner","given":"Ethel"},{"family":"Iotova","given":"Violeta"},{"family":"Slingerland","given":"Annabelle S."},{"family":"Shield","given":"Julian"},{"family":"Robert","given":"Jean-Jacques"},{"family":"Holst","given":"Jens J."},{"family":"Clark","given":"Penny M."},{"family":"Ellard","given":"Sian"},{"family":"Søvik","given":"Oddmund"},{"family":"Polak","given":"Michel"},{"family":"Hattersley","given":"Andrew T."},{"literal":"Neonatal Diabetes International Collaborative Group"}],"issued":{"date-parts":[["2006",8,3]]}}}],"schema":"https://github.com/citation-style-language/schema/raw/master/csl-citation.json"} </w:instrText>
      </w:r>
      <w:r w:rsidRPr="0035461C">
        <w:rPr>
          <w:rFonts w:ascii="Calibri" w:hAnsi="Calibri" w:cs="Calibri"/>
        </w:rPr>
        <w:fldChar w:fldCharType="separate"/>
      </w:r>
      <w:r w:rsidR="001C2617" w:rsidRPr="001C2617">
        <w:rPr>
          <w:rFonts w:ascii="Calibri" w:hAnsi="Calibri" w:cs="Calibri"/>
        </w:rPr>
        <w:t>(32,33)</w:t>
      </w:r>
      <w:r w:rsidRPr="0035461C">
        <w:rPr>
          <w:rFonts w:ascii="Calibri" w:hAnsi="Calibri" w:cs="Calibri"/>
        </w:rPr>
        <w:fldChar w:fldCharType="end"/>
      </w:r>
      <w:r w:rsidRPr="0035461C">
        <w:rPr>
          <w:rFonts w:ascii="Calibri" w:hAnsi="Calibri" w:cs="Calibri"/>
        </w:rPr>
        <w:t>.</w:t>
      </w:r>
    </w:p>
    <w:p w14:paraId="274F5B9C" w14:textId="07B4AD2B" w:rsidR="00224AA9" w:rsidRPr="0035461C" w:rsidRDefault="00224AA9" w:rsidP="001C5BC0">
      <w:pPr>
        <w:spacing w:before="120"/>
        <w:jc w:val="both"/>
        <w:rPr>
          <w:rFonts w:ascii="Calibri" w:hAnsi="Calibri" w:cs="Calibri"/>
        </w:rPr>
      </w:pPr>
      <w:r w:rsidRPr="0035461C">
        <w:rPr>
          <w:rFonts w:ascii="Calibri" w:hAnsi="Calibri" w:cs="Calibri"/>
        </w:rPr>
        <w:t>Monogenic diabetes should be considered in those with one or more of the following</w:t>
      </w:r>
      <w:r w:rsidR="00476294" w:rsidRPr="0035461C">
        <w:rPr>
          <w:rFonts w:ascii="Calibri" w:hAnsi="Calibri" w:cs="Calibri"/>
        </w:rPr>
        <w:t xml:space="preserve"> features</w:t>
      </w:r>
      <w:r w:rsidRPr="0035461C">
        <w:rPr>
          <w:rFonts w:ascii="Calibri" w:hAnsi="Calibri" w:cs="Calibri"/>
        </w:rPr>
        <w:t>: age at diagnosis of less than 35 years, HbA</w:t>
      </w:r>
      <w:r w:rsidRPr="0035461C">
        <w:rPr>
          <w:rFonts w:ascii="Calibri" w:hAnsi="Calibri" w:cs="Calibri"/>
          <w:vertAlign w:val="subscript"/>
        </w:rPr>
        <w:t>1c</w:t>
      </w:r>
      <w:r w:rsidRPr="0035461C">
        <w:rPr>
          <w:rFonts w:ascii="Calibri" w:hAnsi="Calibri" w:cs="Calibri"/>
        </w:rPr>
        <w:t xml:space="preserve"> &lt;58</w:t>
      </w:r>
      <w:r w:rsidR="000203B7">
        <w:rPr>
          <w:rFonts w:ascii="Calibri" w:hAnsi="Calibri" w:cs="Calibri"/>
        </w:rPr>
        <w:t xml:space="preserve"> </w:t>
      </w:r>
      <w:proofErr w:type="spellStart"/>
      <w:r w:rsidRPr="0035461C">
        <w:rPr>
          <w:rFonts w:ascii="Calibri" w:hAnsi="Calibri" w:cs="Calibri"/>
        </w:rPr>
        <w:t>mmol</w:t>
      </w:r>
      <w:proofErr w:type="spellEnd"/>
      <w:r w:rsidRPr="0035461C">
        <w:rPr>
          <w:rFonts w:ascii="Calibri" w:hAnsi="Calibri" w:cs="Calibri"/>
        </w:rPr>
        <w:t>/</w:t>
      </w:r>
      <w:proofErr w:type="spellStart"/>
      <w:r w:rsidRPr="0035461C">
        <w:rPr>
          <w:rFonts w:ascii="Calibri" w:hAnsi="Calibri" w:cs="Calibri"/>
        </w:rPr>
        <w:t>mol</w:t>
      </w:r>
      <w:proofErr w:type="spellEnd"/>
      <w:r w:rsidRPr="0035461C">
        <w:rPr>
          <w:rFonts w:ascii="Calibri" w:hAnsi="Calibri" w:cs="Calibri"/>
        </w:rPr>
        <w:t xml:space="preserve"> (7.5%) at diagnosis, one parent with diabetes, </w:t>
      </w:r>
      <w:r w:rsidR="000647C7" w:rsidRPr="0035461C">
        <w:rPr>
          <w:rFonts w:ascii="Calibri" w:hAnsi="Calibri" w:cs="Calibri"/>
        </w:rPr>
        <w:t xml:space="preserve">and </w:t>
      </w:r>
      <w:r w:rsidRPr="0035461C">
        <w:rPr>
          <w:rFonts w:ascii="Calibri" w:hAnsi="Calibri" w:cs="Calibri"/>
        </w:rPr>
        <w:t xml:space="preserve">features of specific monogenic cause (e.g. renal cysts, partial lipodystrophy, maternally inherited deafness, severe insulin resistance in the absence of obesity) </w:t>
      </w:r>
      <w:r w:rsidRPr="0035461C">
        <w:rPr>
          <w:rFonts w:ascii="Calibri" w:hAnsi="Calibri" w:cs="Calibri"/>
        </w:rPr>
        <w:fldChar w:fldCharType="begin"/>
      </w:r>
      <w:r w:rsidR="00076F77">
        <w:rPr>
          <w:rFonts w:ascii="Calibri" w:hAnsi="Calibri" w:cs="Calibri"/>
        </w:rPr>
        <w:instrText xml:space="preserve"> ADDIN ZOTERO_ITEM CSL_CITATION {"citationID":"pB7N8MvI","properties":{"formattedCitation":"(34)","plainCitation":"(34)","noteIndex":0},"citationItems":[{"id":10993,"uris":["http://zotero.org/groups/369679/items/TU3I6FZH"],"uri":["http://zotero.org/groups/369679/items/TU3I6FZH"],"itemData":{"id":10993,"type":"article-journal","abstract":"OBJECTIVE: Identifying maturity-onset diabetes of the young (MODY) in pediatric populations close to diabetes diagnosis is difficult. Misdiagnosis and unnecessary insulin treatment are common. We aimed to identify the discriminatory clinical features at diabetes diagnosis of patients with glucokinase (GCK), hepatocyte nuclear factor-1A (HNF1A), and HNF4A MODY in the pediatric population.\nRESEARCH DESIGN AND METHODS: Swedish patients (n = 3,933) aged 1-18 years, diagnosed with diabetes May 2005 to December 2010, were recruited from the national consecutive prospective cohort Better Diabetes Diagnosis. Clinical data, islet autoantibodies (GAD insulinoma antigen-2, zinc transporter 8, and insulin autoantibodies), HLA type, and C-peptide were collected at diagnosis. MODY was identified by sequencing GCK, HNF1A, and HNF4A, through either routine clinical or research testing.\nRESULTS: The minimal prevalence of MODY was 1.2%. Discriminatory factors for MODY at diagnosis included four islet autoantibody negativity (100% vs. 11% not-known MODY; P = 2 × 10-44), HbA1c (7.0% vs. 10.7% [53 vs. 93 mmol/mol]; P = 1 × 10-20), plasma glucose (11.7 vs. 26.7 mmol/L; P = 3 × 10-19), parental diabetes (63% vs. 12%; P = 1 × 10-15), and diabetic ketoacidosis (0% vs. 15%; P = 0.001). Testing 303 autoantibody-negative patients identified 46 patients with MODY (detection rate 15%). Limiting testing to the 73 islet autoantibody-negative patients with HbA1c &lt;7.5% (58 mmol/mol) at diagnosis identified 36 out of 46 (78%) patients with MODY (detection rate 49%). On follow-up, the 46 patients with MODY had excellent glycemic control, with an HbA1c of 6.4% (47 mmol/mol), with 42 out of 46 (91%) patients not on insulin treatment.\nCONCLUSIONS: At diagnosis of pediatric diabetes, absence of all islet autoantibodies and modest hyperglycemia (HbA1c &lt;7.5% [58 mmol/mol]) should result in testing for GCK, HNF1A, and HNF4A MODY. Testing all 12% patients negative for four islet autoantibodies is an effective strategy for not missing MODY but will result in a lower detection rate. Identifying MODY results in excellent long-term glycemic control without insulin.","container-title":"Diabetes Care","DOI":"10.2337/dc19-0747","ISSN":"1935-5548","issue":"1","journalAbbreviation":"Diabetes Care","language":"eng","note":"PMID: 31704690\nPMCID: PMC6925576","page":"82-89","source":"PubMed","title":"Absence of Islet Autoantibodies and Modestly Raised Glucose Values at Diabetes Diagnosis Should Lead to Testing for MODY: Lessons From a 5-Year Pediatric Swedish National Cohort Study","title-short":"Absence of Islet Autoantibodies and Modestly Raised Glucose Values at Diabetes Diagnosis Should Lead to Testing for MODY","volume":"43","author":[{"family":"Carlsson","given":"Annelie"},{"family":"Shepherd","given":"Maggie"},{"family":"Ellard","given":"Sian"},{"family":"Weedon","given":"Michael"},{"family":"Lernmark","given":"Åke"},{"family":"Forsander","given":"Gun"},{"family":"Colclough","given":"Kevin"},{"family":"Brahimi","given":"Qefsere"},{"family":"Valtonen-Andre","given":"Camilla"},{"family":"Ivarsson","given":"Sten A."},{"family":"Elding Larsson","given":"Helena"},{"family":"Samuelsson","given":"Ulf"},{"family":"Örtqvist","given":"Eva"},{"family":"Groop","given":"Leif"},{"family":"Ludvigsson","given":"Johnny"},{"family":"Marcus","given":"Claude"},{"family":"Hattersley","given":"Andrew T."}],"issued":{"date-parts":[["2020",1]]}}}],"schema":"https://github.com/citation-style-language/schema/raw/master/csl-citation.json"} </w:instrText>
      </w:r>
      <w:r w:rsidRPr="0035461C">
        <w:rPr>
          <w:rFonts w:ascii="Calibri" w:hAnsi="Calibri" w:cs="Calibri"/>
        </w:rPr>
        <w:fldChar w:fldCharType="separate"/>
      </w:r>
      <w:r w:rsidR="001C2617" w:rsidRPr="001C2617">
        <w:rPr>
          <w:rFonts w:ascii="Calibri" w:hAnsi="Calibri" w:cs="Calibri"/>
        </w:rPr>
        <w:t>(34)</w:t>
      </w:r>
      <w:r w:rsidRPr="0035461C">
        <w:rPr>
          <w:rFonts w:ascii="Calibri" w:hAnsi="Calibri" w:cs="Calibri"/>
        </w:rPr>
        <w:fldChar w:fldCharType="end"/>
      </w:r>
      <w:r w:rsidRPr="0035461C">
        <w:rPr>
          <w:rFonts w:ascii="Calibri" w:hAnsi="Calibri" w:cs="Calibri"/>
        </w:rPr>
        <w:t>. A monogenic diabetes prediction model risk calculator (</w:t>
      </w:r>
      <w:hyperlink r:id="rId11" w:history="1">
        <w:r w:rsidRPr="0035461C">
          <w:rPr>
            <w:rStyle w:val="Hyperlink"/>
            <w:rFonts w:ascii="Calibri" w:hAnsi="Calibri" w:cs="Calibri"/>
          </w:rPr>
          <w:t>https://www.diabetesgenes.org/mody-probability-calculator</w:t>
        </w:r>
      </w:hyperlink>
      <w:r w:rsidRPr="0035461C">
        <w:rPr>
          <w:rFonts w:ascii="Calibri" w:hAnsi="Calibri" w:cs="Calibri"/>
        </w:rPr>
        <w:t>) may also be used to identify which individuals diagnosed between 6 months and 35 years are at increased risk of monogenic diabetes</w:t>
      </w:r>
      <w:r w:rsidR="0023260A">
        <w:rPr>
          <w:rFonts w:ascii="Calibri" w:hAnsi="Calibri" w:cs="Calibri"/>
        </w:rPr>
        <w:t xml:space="preserve"> </w:t>
      </w:r>
      <w:r w:rsidR="0023260A" w:rsidRPr="0035461C">
        <w:rPr>
          <w:rFonts w:ascii="Calibri" w:hAnsi="Calibri" w:cs="Calibri"/>
        </w:rPr>
        <w:fldChar w:fldCharType="begin"/>
      </w:r>
      <w:r w:rsidR="00076F77">
        <w:rPr>
          <w:rFonts w:ascii="Calibri" w:hAnsi="Calibri" w:cs="Calibri"/>
        </w:rPr>
        <w:instrText xml:space="preserve"> ADDIN ZOTERO_ITEM CSL_CITATION {"citationID":"ryFyPuNO","properties":{"formattedCitation":"(35)","plainCitation":"(35)","noteIndex":0},"citationItems":[{"id":10996,"uris":["http://zotero.org/groups/369679/items/YKQL6ATM"],"uri":["http://zotero.org/groups/369679/items/YKQL6ATM"],"itemData":{"id":10996,"type":"article-journal","abstract":"AIMS/HYPOTHESIS: Diagnosing MODY is difficult. To date, selection for molecular genetic testing for MODY has used discrete cut-offs of limited clinical characteristics with varying sensitivity and specificity. We aimed to use multiple, weighted, clinical criteria to determine an individual's probability of having MODY, as a crucial tool for rational genetic testing.\nMETHODS: We developed prediction models using logistic regression on data from 1,191 patients with MODY (n = 594), type 1 diabetes (n = 278) and type 2 diabetes (n = 319). Model performance was assessed by receiver operating characteristic (ROC) curves, cross-validation and validation in a further 350 patients.\nRESULTS: The models defined an overall probability of MODY using a weighted combination of the most discriminative characteristics. For MODY, compared with type 1 diabetes, these were: lower HbA(1c), parent with diabetes, female sex and older age at diagnosis. MODY was discriminated from type 2 diabetes by: lower BMI, younger age at diagnosis, female sex, lower HbA(1c), parent with diabetes, and not being treated with oral hypoglycaemic agents or insulin. Both models showed excellent discrimination (c-statistic = 0.95 and 0.98, respectively), low rates of cross-validated misclassification (9.2% and 5.3%), and good performance on the external test dataset (c-statistic = 0.95 and 0.94). Using the optimal cut-offs, the probability models improved the sensitivity (91% vs 72%) and specificity (94% vs 91%) for identifying MODY compared with standard criteria of diagnosis &lt;25 years and an affected parent. The models are now available online at www.diabetesgenes.org .\nCONCLUSIONS/INTERPRETATION: We have developed clinical prediction models that calculate an individual's probability of having MODY. This allows an improved and more rational approach to determine who should have molecular genetic testing.","container-title":"Diabetologia","DOI":"10.1007/s00125-011-2418-8","ISSN":"1432-0428","issue":"5","journalAbbreviation":"Diabetologia","language":"eng","note":"PMID: 22218698\nPMCID: PMC3328676","page":"1265-1272","source":"PubMed","title":"The development and validation of a clinical prediction model to determine the probability of MODY in patients with young-onset diabetes","volume":"55","author":[{"family":"Shields","given":"B. M."},{"family":"McDonald","given":"T. J."},{"family":"Ellard","given":"S."},{"family":"Campbell","given":"M. J."},{"family":"Hyde","given":"C."},{"family":"Hattersley","given":"A. T."}],"issued":{"date-parts":[["2012",5]]}}}],"schema":"https://github.com/citation-style-language/schema/raw/master/csl-citation.json"} </w:instrText>
      </w:r>
      <w:r w:rsidR="0023260A" w:rsidRPr="0035461C">
        <w:rPr>
          <w:rFonts w:ascii="Calibri" w:hAnsi="Calibri" w:cs="Calibri"/>
        </w:rPr>
        <w:fldChar w:fldCharType="separate"/>
      </w:r>
      <w:r w:rsidR="001C2617" w:rsidRPr="001C2617">
        <w:rPr>
          <w:rFonts w:ascii="Calibri" w:hAnsi="Calibri" w:cs="Calibri"/>
        </w:rPr>
        <w:t>(35)</w:t>
      </w:r>
      <w:r w:rsidR="0023260A" w:rsidRPr="0035461C">
        <w:rPr>
          <w:rFonts w:ascii="Calibri" w:hAnsi="Calibri" w:cs="Calibri"/>
        </w:rPr>
        <w:fldChar w:fldCharType="end"/>
      </w:r>
      <w:r w:rsidRPr="0035461C">
        <w:rPr>
          <w:rFonts w:ascii="Calibri" w:hAnsi="Calibri" w:cs="Calibri"/>
        </w:rPr>
        <w:t>. Those at increased risk should have islet autoantibody and C-peptide testing.</w:t>
      </w:r>
      <w:r w:rsidR="00E615B3" w:rsidRPr="0035461C">
        <w:rPr>
          <w:rFonts w:ascii="Calibri" w:hAnsi="Calibri" w:cs="Calibri"/>
        </w:rPr>
        <w:t xml:space="preserve"> </w:t>
      </w:r>
      <w:r w:rsidRPr="0035461C">
        <w:rPr>
          <w:rFonts w:ascii="Calibri" w:hAnsi="Calibri" w:cs="Calibri"/>
        </w:rPr>
        <w:t xml:space="preserve">Molecular genetic testing should only be considered if the antibodies are negative and non-fasting C-peptide is &gt;200 </w:t>
      </w:r>
      <w:proofErr w:type="spellStart"/>
      <w:r w:rsidRPr="0035461C">
        <w:rPr>
          <w:rFonts w:ascii="Calibri" w:hAnsi="Calibri" w:cs="Calibri"/>
        </w:rPr>
        <w:t>pmol</w:t>
      </w:r>
      <w:proofErr w:type="spellEnd"/>
      <w:r w:rsidRPr="0035461C">
        <w:rPr>
          <w:rFonts w:ascii="Calibri" w:hAnsi="Calibri" w:cs="Calibri"/>
        </w:rPr>
        <w:t xml:space="preserve">/l </w:t>
      </w:r>
      <w:r w:rsidRPr="0035461C">
        <w:rPr>
          <w:rFonts w:ascii="Calibri" w:hAnsi="Calibri" w:cs="Calibri"/>
        </w:rPr>
        <w:fldChar w:fldCharType="begin"/>
      </w:r>
      <w:r w:rsidR="00076F77">
        <w:rPr>
          <w:rFonts w:ascii="Calibri" w:hAnsi="Calibri" w:cs="Calibri"/>
        </w:rPr>
        <w:instrText xml:space="preserve"> ADDIN ZOTERO_ITEM CSL_CITATION {"citationID":"B5pHObC5","properties":{"formattedCitation":"(36\\uc0\\u8211{}38)","plainCitation":"(36–38)","noteIndex":0},"citationItems":[{"id":10999,"uris":["http://zotero.org/groups/369679/items/9DD5PH8C"],"uri":["http://zotero.org/groups/369679/items/9DD5PH8C"],"itemData":{"id":10999,"type":"article-journal","abstract":"OBJECTIVE: Hepatocyte nuclear factor 1-α (HNF1A)/hepatocyte nuclear factor 4-α (HNF4A) maturity-onset diabetes of the young (MODY) is frequently misdiagnosed as type 1 diabetes, and patients are inappropriately treated with insulin. Blood C-peptide can aid in the diagnosis of MODY, but practical reasons limit its widespread use. Urinary C-peptide creatinine ratio (UCPCR), a stable measure of endogenous insulin secretion, is a noninvasive alternative. We aimed to compare stimulated UCPCR in adults with HNF1A/4A MODY, type 1 diabetes, and type 2 diabetes.\nRESEARCH DESIGN AND METHODS: Adults with diabetes for ≥ 5 years, without renal impairment, were studied (HNF1A MODY [n = 54], HNF4A MODY [n = 23], glucokinase MODY [n = 20], type 1 diabetes [n = 69], and type 2 diabetes [n = 54]). The UCPCR was collected in boric acid 120 min after the largest meal of the day and mailed for analysis. Receiver operating characteristic (ROC) curves were used to identify optimal UCPCR cutoffs to differentiate HNF1A/4A MODY from type 1 and type 2 diabetes.\nRESULTS: UCPCR was lower in type 1 diabetes than HNF1A/4A MODY (median [interquartile range]) (&lt;0.02 nmol/mmol [&lt;0.02 to &lt;0.02] vs. 1.72 nmol/mmol [0.98-2.90]; P &lt; 0.0001). ROC curves showed excellent discrimination (area under curve [AUC] 0.98) and identified a cutoff UCPCR of ≥ 0.2 nmol/mmol for differentiating HNF1A/4A MODY from type 1 diabetes (97% sensitivity, 96% specificity). UCPCR was lower in HNF1A/4A MODY than in type 2 diabetes (1.72 nmol/mmol [0.98-2.90] vs. 2.47 nmol/mmol [1.4-4.13]); P = 0.007). ROC curves showed a weak distinction between HNF1A/4A MODY and type 2 diabetes (AUC 0.64).\nCONCLUSIONS: UCPCR is a noninvasive outpatient tool that can be used to discriminate HNF1A and HNF4A MODY from long-duration type 1 diabetes. To differentiate MODY from type 1 diabetes of &gt;5 years' duration, UCPCR could be used to determine whether genetic testing is indicated.","container-title":"Diabetes Care","DOI":"10.2337/dc10-1293","ISSN":"1935-5548","issue":"2","journalAbbreviation":"Diabetes Care","language":"eng","note":"PMID: 21270186\nPMCID: PMC3024335","page":"286-291","source":"PubMed","title":"Urinary C-peptide creatinine ratio is a practical outpatient tool for identifying hepatocyte nuclear factor 1-{alpha}/hepatocyte nuclear factor 4-{alpha} maturity-onset diabetes of the young from long-duration type 1 diabetes","volume":"34","author":[{"family":"Besser","given":"Rachel E. J."},{"family":"Shepherd","given":"Maggie H."},{"family":"McDonald","given":"Timothy J."},{"family":"Shields","given":"Beverley M."},{"family":"Knight","given":"Bridget A."},{"family":"Ellard","given":"Sian"},{"family":"Hattersley","given":"Andrew T."}],"issued":{"date-parts":[["2011",2]]}}},{"id":11002,"uris":["http://zotero.org/groups/369679/items/B5APNBCE"],"uri":["http://zotero.org/groups/369679/items/B5APNBCE"],"itemData":{"id":11002,"type":"article-journal","abstract":"AIM: Maturity-onset diabetes of the young is a monogenic form of familial, young-onset diabetes. It is rare (</w:instrText>
      </w:r>
      <w:r w:rsidR="00076F77">
        <w:rPr>
          <w:rFonts w:ascii="Cambria Math" w:hAnsi="Cambria Math" w:cs="Cambria Math"/>
        </w:rPr>
        <w:instrText>∼</w:instrText>
      </w:r>
      <w:r w:rsidR="00076F77">
        <w:rPr>
          <w:rFonts w:ascii="Calibri" w:hAnsi="Calibri" w:cs="Calibri"/>
        </w:rPr>
        <w:instrText xml:space="preserve">1% diabetes) and may be misdiagnosed as Type 1 diabetes and inappropriately treated with insulin. Type 1 diabetes is characterized by the presence of islet autoantibodies, including glutamate decarboxylase (GAD) and islet antigen-2 (IA-2) antibodies. The prevalence of islet autoantibodies is unknown in maturity-onset diabetes of the young and may have the potential to differentiate this form of diabetes from Type 1 diabetes. The aim of this study was to determine the prevalence of GAD and IA-2 antibodies in patients with maturity-onset diabetes of the young and Type 1 diabetes.\nMETHODS: We measured plasma GAD and IA-2 antibodies in 508 patients with the most common forms of maturity-onset diabetes of the young (GCK: n = 227; HNF1A: n = 229; HNF4A: n = 52) and 98 patients with newly diagnosed Type 1 diabetes (diagnosed &lt; 6 months). Autoantibodies were considered positive if ≥ 99th centile of 500 adult control subjects.\nRESULTS: GAD and/or IA-2 antibodies were present in 80/98 (82%) patients with Type 1 diabetes and 5/508 (&lt; 1%) patients with maturity-onset diabetes of the young. In the cohort with Type 1 diabetes, both GAD and IA-2 antibodies were detected in 37.8% of patients, GAD only in 24.5% and IA-2 only in 19.4%. All five patients with maturity-onset diabetes of the young with detectable antibodies had GAD antibodies and none had detectable IA-2 antibodies.\nCONCLUSION: The prevalence of GAD and IA-2 antibodies in maturity-onset diabetes of the young is the same as in control subjects (&lt; 1%). The finding of islet autoantibodies, especially IA-2 antibodies, makes the diagnosis of maturity-onset diabetes of the young very unlikely and genetic testing should only be performed if other clinical characteristics strongly suggest this form of diabetes rather than Type 1 diabetes. This supports routine islet autoantibody testing before proceeding to more expensive molecular genetic testing.","container-title":"Diabetic Medicine: A Journal of the British Diabetic Association","DOI":"10.1111/j.1464-5491.2011.03287.x","ISSN":"1464-5491","issue":"9","journalAbbreviation":"Diabet Med","language":"eng","note":"PMID: 21395678","page":"1028-1033","source":"PubMed","title":"Islet autoantibodies can discriminate maturity-onset diabetes of the young (MODY) from Type 1 diabetes","volume":"28","author":[{"family":"McDonald","given":"T. J."},{"family":"Colclough","given":"K."},{"family":"Brown","given":"R."},{"family":"Shields","given":"B."},{"family":"Shepherd","given":"M."},{"family":"Bingley","given":"P."},{"family":"Williams","given":"A."},{"family":"Hattersley","given":"A. T."},{"family":"Ellard","given":"Sian"}],"issued":{"date-parts":[["2011",9]]}}},{"id":11004,"uris":["http://zotero.org/groups/369679/items/D3XBWPIQ"],"uri":["http://zotero.org/groups/369679/items/D3XBWPIQ"],"itemData":{"id":11004,"type":"article-journal","abstract":"OBJECTIVE: Misdiagnosis of maturity-onset diabetes of the young (MODY) remains widespread, despite the benefits of optimized management. This cross-sectional study examined diagnostic misclassification of MODY in subjects with clinically labeled young adult-onset type 1 and type 2 diabetes by extending genetic testing beyond current guidelines.\nRESEARCH DESIGN AND METHODS: Individuals were selected for diagnostic sequencing if they displayed features atypical for their diagnostic label. From 247 case subjects with clinically labeled type 1 diabetes, we sequenced hepatocyte nuclear factor 1 α (HNF1A) and hepatocyte nuclear factor 4 α (HNF4A) in 20 with residual β-cell function ≥ 3 years from diagnosis (random or glucagon-stimulated C-peptide ≥ 0.2 nmol/L). From 322 with clinically labeled type 2 diabetes, we sequenced HNF1A and HNF4A in 80 with diabetes diagnosed ≤ 30 years and/or diabetes diagnosed ≤ 45 years without metabolic syndrome. We also sequenced the glucokinase (GCK) in 40 subjects with mild fasting hyperglycemia.\nRESULTS: In the type 1 diabetic group, two HNF1A mutations were found (0.8% prevalence). In type 2 diabetic subjects, 10 HNF1A, two HNF4A, and one GCK mutation were identified (4.0%). Only 47% of MODY case subjects identified met current guidelines for diagnostic sequencing. Follow-up revealed a further 12 mutation carriers among relatives. Twenty-seven percent of newly identified MODY subjects changed treatment, all with improved glycemic control (HbA(1c) 8.8 vs. 7.3% at 3 months; P = 0.02).\nCONCLUSIONS: The systematic use of widened diagnostic testing criteria doubled the numbers of MODY case subjects identified compared with current clinical practice. The yield was greatest in young adult-onset type 2 diabetes. We recommend that all patients diagnosed before age 30 and with presence of C-peptide at 3 years' duration are considered for molecular diagnostic analysis.","container-title":"Diabetes Care","DOI":"10.2337/dc11-1243","ISSN":"1935-5548","issue":"6","journalAbbreviation":"Diabetes Care","language":"eng","note":"PMID: 22432108\nPMCID: PMC3357216","page":"1206-1212","source":"PubMed","title":"Systematic assessment of etiology in adults with a clinical diagnosis of young-onset type 2 diabetes is a successful strategy for identifying maturity-onset diabetes of the young","volume":"35","author":[{"family":"Thanabalasingham","given":"Gaya"},{"family":"Pal","given":"Aparna"},{"family":"Selwood","given":"Mary P."},{"family":"Dudley","given":"Christina"},{"family":"Fisher","given":"Karen"},{"family":"Bingley","given":"Polly J."},{"family":"Ellard","given":"Sian"},{"family":"Farmer","given":"Andrew J."},{"family":"McCarthy","given":"Mark I."},{"family":"Owen","given":"Katharine R."}],"issued":{"date-parts":[["2012",6]]}}}],"schema":"https://github.com/citation-style-language/schema/raw/master/csl-citation.json"} </w:instrText>
      </w:r>
      <w:r w:rsidRPr="0035461C">
        <w:rPr>
          <w:rFonts w:ascii="Calibri" w:hAnsi="Calibri" w:cs="Calibri"/>
        </w:rPr>
        <w:fldChar w:fldCharType="separate"/>
      </w:r>
      <w:r w:rsidR="001C2617" w:rsidRPr="001C2617">
        <w:rPr>
          <w:rFonts w:ascii="Calibri" w:hAnsi="Calibri" w:cs="Calibri"/>
        </w:rPr>
        <w:t>(36–38)</w:t>
      </w:r>
      <w:r w:rsidRPr="0035461C">
        <w:rPr>
          <w:rFonts w:ascii="Calibri" w:hAnsi="Calibri" w:cs="Calibri"/>
        </w:rPr>
        <w:fldChar w:fldCharType="end"/>
      </w:r>
      <w:r w:rsidRPr="0035461C">
        <w:rPr>
          <w:rFonts w:ascii="Calibri" w:hAnsi="Calibri" w:cs="Calibri"/>
        </w:rPr>
        <w:t>. Molecular genetic testing is not universally available.</w:t>
      </w:r>
    </w:p>
    <w:p w14:paraId="5F2F8748" w14:textId="0967EBC9" w:rsidR="007F33D8" w:rsidRPr="0035461C" w:rsidRDefault="007F33D8" w:rsidP="00E615B3">
      <w:pPr>
        <w:spacing w:before="120"/>
        <w:jc w:val="both"/>
        <w:rPr>
          <w:rFonts w:ascii="Calibri" w:hAnsi="Calibri" w:cs="Calibri"/>
          <w:b/>
        </w:rPr>
      </w:pPr>
    </w:p>
    <w:p w14:paraId="491E96FB" w14:textId="4DC83503" w:rsidR="007F33D8" w:rsidRPr="0035461C" w:rsidRDefault="00707AF2" w:rsidP="001C5BC0">
      <w:pPr>
        <w:spacing w:before="120"/>
        <w:rPr>
          <w:rFonts w:ascii="Calibri" w:hAnsi="Calibri" w:cs="Calibri"/>
          <w:b/>
        </w:rPr>
      </w:pPr>
      <w:r w:rsidRPr="0035461C">
        <w:rPr>
          <w:rFonts w:ascii="Calibri" w:hAnsi="Calibri" w:cs="Calibri"/>
          <w:b/>
        </w:rPr>
        <w:t>Section 3:</w:t>
      </w:r>
      <w:r w:rsidR="00E615B3" w:rsidRPr="0035461C">
        <w:rPr>
          <w:rFonts w:ascii="Calibri" w:hAnsi="Calibri" w:cs="Calibri"/>
          <w:b/>
        </w:rPr>
        <w:t xml:space="preserve"> </w:t>
      </w:r>
      <w:r w:rsidR="007F33D8" w:rsidRPr="0035461C">
        <w:rPr>
          <w:rFonts w:ascii="Calibri" w:hAnsi="Calibri" w:cs="Calibri"/>
          <w:b/>
        </w:rPr>
        <w:t>Aims and Goals of management of type 1 diabetes</w:t>
      </w:r>
    </w:p>
    <w:p w14:paraId="3592FB2B" w14:textId="1C027785" w:rsidR="007F33D8" w:rsidRPr="0035461C" w:rsidRDefault="007F33D8" w:rsidP="001C5BC0">
      <w:pPr>
        <w:pStyle w:val="section1nextPara"/>
        <w:spacing w:before="120" w:line="240" w:lineRule="auto"/>
        <w:ind w:firstLine="0"/>
        <w:rPr>
          <w:rFonts w:ascii="Calibri" w:hAnsi="Calibri" w:cs="Calibri"/>
          <w:color w:val="auto"/>
          <w:sz w:val="24"/>
          <w:szCs w:val="24"/>
        </w:rPr>
      </w:pPr>
      <w:r w:rsidRPr="0035461C">
        <w:rPr>
          <w:rFonts w:ascii="Calibri" w:hAnsi="Calibri" w:cs="Calibri"/>
          <w:color w:val="auto"/>
          <w:sz w:val="24"/>
          <w:szCs w:val="24"/>
        </w:rPr>
        <w:t>The aim of diabetes care and management</w:t>
      </w:r>
      <w:r w:rsidR="002707D9" w:rsidRPr="0035461C">
        <w:rPr>
          <w:rFonts w:ascii="Calibri" w:hAnsi="Calibri" w:cs="Calibri"/>
          <w:color w:val="auto"/>
          <w:sz w:val="24"/>
          <w:szCs w:val="24"/>
        </w:rPr>
        <w:t xml:space="preserve"> is to support people </w:t>
      </w:r>
      <w:r w:rsidRPr="0035461C">
        <w:rPr>
          <w:rFonts w:ascii="Calibri" w:hAnsi="Calibri" w:cs="Calibri"/>
          <w:color w:val="auto"/>
          <w:sz w:val="24"/>
          <w:szCs w:val="24"/>
        </w:rPr>
        <w:t xml:space="preserve">with type 1 diabetes </w:t>
      </w:r>
      <w:r w:rsidR="002707D9" w:rsidRPr="0035461C">
        <w:rPr>
          <w:rFonts w:ascii="Calibri" w:hAnsi="Calibri" w:cs="Calibri"/>
          <w:color w:val="auto"/>
          <w:sz w:val="24"/>
          <w:szCs w:val="24"/>
        </w:rPr>
        <w:t xml:space="preserve">to live a long and healthy life. The management strategies to achieve this aim </w:t>
      </w:r>
      <w:r w:rsidRPr="0035461C">
        <w:rPr>
          <w:rFonts w:ascii="Calibri" w:hAnsi="Calibri" w:cs="Calibri"/>
          <w:color w:val="auto"/>
          <w:sz w:val="24"/>
          <w:szCs w:val="24"/>
        </w:rPr>
        <w:t xml:space="preserve">broadly </w:t>
      </w:r>
      <w:r w:rsidR="002707D9" w:rsidRPr="0035461C">
        <w:rPr>
          <w:rFonts w:ascii="Calibri" w:hAnsi="Calibri" w:cs="Calibri"/>
          <w:color w:val="auto"/>
          <w:sz w:val="24"/>
          <w:szCs w:val="24"/>
        </w:rPr>
        <w:t>include</w:t>
      </w:r>
      <w:r w:rsidRPr="0035461C">
        <w:rPr>
          <w:rFonts w:ascii="Calibri" w:hAnsi="Calibri" w:cs="Calibri"/>
          <w:color w:val="auto"/>
          <w:sz w:val="24"/>
          <w:szCs w:val="24"/>
        </w:rPr>
        <w:t>:</w:t>
      </w:r>
      <w:r w:rsidRPr="0035461C" w:rsidDel="008A50B8">
        <w:rPr>
          <w:rFonts w:ascii="Calibri" w:hAnsi="Calibri" w:cs="Calibri"/>
          <w:color w:val="auto"/>
          <w:sz w:val="24"/>
          <w:szCs w:val="24"/>
        </w:rPr>
        <w:t xml:space="preserve"> </w:t>
      </w:r>
    </w:p>
    <w:p w14:paraId="03BE0BC0" w14:textId="77777777" w:rsidR="0060319F" w:rsidRDefault="002707D9" w:rsidP="0060319F">
      <w:pPr>
        <w:pStyle w:val="section1nextPara"/>
        <w:numPr>
          <w:ilvl w:val="0"/>
          <w:numId w:val="1"/>
        </w:numPr>
        <w:spacing w:before="120" w:line="240" w:lineRule="auto"/>
        <w:rPr>
          <w:rFonts w:ascii="Calibri" w:hAnsi="Calibri" w:cs="Calibri"/>
          <w:color w:val="auto"/>
          <w:sz w:val="24"/>
          <w:szCs w:val="24"/>
        </w:rPr>
      </w:pPr>
      <w:r w:rsidRPr="0035461C">
        <w:rPr>
          <w:rFonts w:ascii="Calibri" w:hAnsi="Calibri" w:cs="Calibri"/>
          <w:color w:val="auto"/>
          <w:sz w:val="24"/>
          <w:szCs w:val="24"/>
        </w:rPr>
        <w:t>E</w:t>
      </w:r>
      <w:r w:rsidR="007F33D8" w:rsidRPr="0035461C">
        <w:rPr>
          <w:rFonts w:ascii="Calibri" w:hAnsi="Calibri" w:cs="Calibri"/>
          <w:color w:val="auto"/>
          <w:sz w:val="24"/>
          <w:szCs w:val="24"/>
        </w:rPr>
        <w:t>ffective</w:t>
      </w:r>
      <w:r w:rsidR="00BC6E30" w:rsidRPr="0035461C">
        <w:rPr>
          <w:rFonts w:ascii="Calibri" w:hAnsi="Calibri" w:cs="Calibri"/>
          <w:color w:val="auto"/>
          <w:sz w:val="24"/>
          <w:szCs w:val="24"/>
        </w:rPr>
        <w:t>ly</w:t>
      </w:r>
      <w:r w:rsidR="007F33D8" w:rsidRPr="0035461C">
        <w:rPr>
          <w:rFonts w:ascii="Calibri" w:hAnsi="Calibri" w:cs="Calibri"/>
          <w:color w:val="auto"/>
          <w:sz w:val="24"/>
          <w:szCs w:val="24"/>
        </w:rPr>
        <w:t xml:space="preserve"> deliver</w:t>
      </w:r>
      <w:r w:rsidR="00BC6E30" w:rsidRPr="0035461C">
        <w:rPr>
          <w:rFonts w:ascii="Calibri" w:hAnsi="Calibri" w:cs="Calibri"/>
          <w:color w:val="auto"/>
          <w:sz w:val="24"/>
          <w:szCs w:val="24"/>
        </w:rPr>
        <w:t>ing</w:t>
      </w:r>
      <w:r w:rsidR="007F33D8" w:rsidRPr="0035461C">
        <w:rPr>
          <w:rFonts w:ascii="Calibri" w:hAnsi="Calibri" w:cs="Calibri"/>
          <w:color w:val="auto"/>
          <w:sz w:val="24"/>
          <w:szCs w:val="24"/>
        </w:rPr>
        <w:t xml:space="preserve"> exogenous insulin </w:t>
      </w:r>
      <w:r w:rsidRPr="0035461C">
        <w:rPr>
          <w:rFonts w:ascii="Calibri" w:hAnsi="Calibri" w:cs="Calibri"/>
          <w:color w:val="auto"/>
          <w:sz w:val="24"/>
          <w:szCs w:val="24"/>
        </w:rPr>
        <w:t>to maintain glucose levels as close to the</w:t>
      </w:r>
      <w:r w:rsidR="00FC5A99" w:rsidRPr="0035461C">
        <w:rPr>
          <w:rFonts w:ascii="Calibri" w:hAnsi="Calibri" w:cs="Calibri"/>
          <w:color w:val="auto"/>
          <w:sz w:val="24"/>
          <w:szCs w:val="24"/>
        </w:rPr>
        <w:t xml:space="preserve"> individual’s</w:t>
      </w:r>
      <w:r w:rsidR="0025069B" w:rsidRPr="0035461C">
        <w:rPr>
          <w:rFonts w:ascii="Calibri" w:hAnsi="Calibri" w:cs="Calibri"/>
          <w:color w:val="auto"/>
          <w:sz w:val="24"/>
          <w:szCs w:val="24"/>
        </w:rPr>
        <w:t xml:space="preserve"> target </w:t>
      </w:r>
      <w:r w:rsidRPr="0035461C">
        <w:rPr>
          <w:rFonts w:ascii="Calibri" w:hAnsi="Calibri" w:cs="Calibri"/>
          <w:color w:val="auto"/>
          <w:sz w:val="24"/>
          <w:szCs w:val="24"/>
        </w:rPr>
        <w:t>range as</w:t>
      </w:r>
      <w:r w:rsidR="0025069B" w:rsidRPr="0035461C">
        <w:rPr>
          <w:rFonts w:ascii="Calibri" w:hAnsi="Calibri" w:cs="Calibri"/>
          <w:color w:val="auto"/>
          <w:sz w:val="24"/>
          <w:szCs w:val="24"/>
        </w:rPr>
        <w:t xml:space="preserve"> is safely </w:t>
      </w:r>
      <w:r w:rsidRPr="0035461C">
        <w:rPr>
          <w:rFonts w:ascii="Calibri" w:hAnsi="Calibri" w:cs="Calibri"/>
          <w:color w:val="auto"/>
          <w:sz w:val="24"/>
          <w:szCs w:val="24"/>
        </w:rPr>
        <w:t xml:space="preserve">possible to prevent the development and progression of diabetes complications while </w:t>
      </w:r>
    </w:p>
    <w:p w14:paraId="7D685F2F" w14:textId="40F6F95A" w:rsidR="00413495" w:rsidRPr="0060319F" w:rsidRDefault="00413495" w:rsidP="0060319F">
      <w:pPr>
        <w:pStyle w:val="section1nextPara"/>
        <w:numPr>
          <w:ilvl w:val="0"/>
          <w:numId w:val="1"/>
        </w:numPr>
        <w:spacing w:before="120" w:line="240" w:lineRule="auto"/>
        <w:rPr>
          <w:rFonts w:ascii="Calibri" w:hAnsi="Calibri" w:cs="Calibri"/>
          <w:color w:val="auto"/>
          <w:sz w:val="24"/>
          <w:szCs w:val="24"/>
        </w:rPr>
      </w:pPr>
      <w:r w:rsidRPr="0060319F">
        <w:rPr>
          <w:rFonts w:ascii="Calibri" w:eastAsiaTheme="minorHAnsi" w:hAnsi="Calibri" w:cs="Calibri"/>
          <w:sz w:val="24"/>
          <w:lang w:eastAsia="en-US"/>
        </w:rPr>
        <w:t>Minimizin</w:t>
      </w:r>
      <w:r w:rsidRPr="0060319F">
        <w:rPr>
          <w:rFonts w:ascii="Calibri" w:eastAsiaTheme="minorHAnsi" w:hAnsi="Calibri" w:cs="Calibri"/>
          <w:color w:val="auto"/>
          <w:sz w:val="24"/>
          <w:lang w:eastAsia="en-US"/>
        </w:rPr>
        <w:t>g episodes of hypoglycaemia, of all levels, including Level 1 (&lt;70 mg/</w:t>
      </w:r>
      <w:proofErr w:type="spellStart"/>
      <w:r w:rsidRPr="0060319F">
        <w:rPr>
          <w:rFonts w:ascii="Calibri" w:eastAsiaTheme="minorHAnsi" w:hAnsi="Calibri" w:cs="Calibri"/>
          <w:color w:val="auto"/>
          <w:sz w:val="24"/>
          <w:lang w:eastAsia="en-US"/>
        </w:rPr>
        <w:t>dL</w:t>
      </w:r>
      <w:proofErr w:type="spellEnd"/>
      <w:r w:rsidR="00555D24">
        <w:rPr>
          <w:rFonts w:ascii="Calibri" w:eastAsiaTheme="minorHAnsi" w:hAnsi="Calibri" w:cs="Calibri"/>
          <w:color w:val="auto"/>
          <w:sz w:val="24"/>
          <w:lang w:eastAsia="en-US"/>
        </w:rPr>
        <w:t xml:space="preserve"> </w:t>
      </w:r>
      <w:r w:rsidRPr="0060319F">
        <w:rPr>
          <w:rFonts w:ascii="Calibri" w:eastAsiaTheme="minorHAnsi" w:hAnsi="Calibri" w:cs="Calibri"/>
          <w:color w:val="auto"/>
          <w:sz w:val="24"/>
          <w:lang w:eastAsia="en-US"/>
        </w:rPr>
        <w:t>and ≥54 mg/</w:t>
      </w:r>
      <w:proofErr w:type="spellStart"/>
      <w:r w:rsidRPr="0060319F">
        <w:rPr>
          <w:rFonts w:ascii="Calibri" w:eastAsiaTheme="minorHAnsi" w:hAnsi="Calibri" w:cs="Calibri"/>
          <w:color w:val="auto"/>
          <w:sz w:val="24"/>
          <w:lang w:eastAsia="en-US"/>
        </w:rPr>
        <w:t>dL</w:t>
      </w:r>
      <w:proofErr w:type="spellEnd"/>
      <w:r w:rsidRPr="0060319F">
        <w:rPr>
          <w:rFonts w:ascii="Calibri" w:eastAsiaTheme="minorHAnsi" w:hAnsi="Calibri" w:cs="Calibri"/>
          <w:color w:val="auto"/>
          <w:sz w:val="24"/>
          <w:lang w:eastAsia="en-US"/>
        </w:rPr>
        <w:t xml:space="preserve"> (3.0 </w:t>
      </w:r>
      <w:r w:rsidR="00555D24">
        <w:rPr>
          <w:rFonts w:ascii="Calibri" w:eastAsiaTheme="minorHAnsi" w:hAnsi="Calibri" w:cs="Calibri"/>
          <w:color w:val="auto"/>
          <w:sz w:val="24"/>
          <w:lang w:eastAsia="en-US"/>
        </w:rPr>
        <w:t xml:space="preserve">– 3.9 </w:t>
      </w:r>
      <w:proofErr w:type="spellStart"/>
      <w:r w:rsidRPr="0060319F">
        <w:rPr>
          <w:rFonts w:ascii="Calibri" w:eastAsiaTheme="minorHAnsi" w:hAnsi="Calibri" w:cs="Calibri"/>
          <w:color w:val="auto"/>
          <w:sz w:val="24"/>
          <w:lang w:eastAsia="en-US"/>
        </w:rPr>
        <w:t>mmol</w:t>
      </w:r>
      <w:proofErr w:type="spellEnd"/>
      <w:r w:rsidRPr="0060319F">
        <w:rPr>
          <w:rFonts w:ascii="Calibri" w:eastAsiaTheme="minorHAnsi" w:hAnsi="Calibri" w:cs="Calibri"/>
          <w:color w:val="auto"/>
          <w:sz w:val="24"/>
          <w:lang w:eastAsia="en-US"/>
        </w:rPr>
        <w:t>/L)), but in particular Level 2 (&lt;54 mg/</w:t>
      </w:r>
      <w:proofErr w:type="spellStart"/>
      <w:r w:rsidRPr="0060319F">
        <w:rPr>
          <w:rFonts w:ascii="Calibri" w:eastAsiaTheme="minorHAnsi" w:hAnsi="Calibri" w:cs="Calibri"/>
          <w:color w:val="auto"/>
          <w:sz w:val="24"/>
          <w:lang w:eastAsia="en-US"/>
        </w:rPr>
        <w:t>dL</w:t>
      </w:r>
      <w:proofErr w:type="spellEnd"/>
      <w:r w:rsidRPr="0060319F">
        <w:rPr>
          <w:rFonts w:ascii="Calibri" w:eastAsiaTheme="minorHAnsi" w:hAnsi="Calibri" w:cs="Calibri"/>
          <w:color w:val="auto"/>
          <w:sz w:val="24"/>
          <w:lang w:eastAsia="en-US"/>
        </w:rPr>
        <w:t xml:space="preserve"> [3.0 </w:t>
      </w:r>
      <w:proofErr w:type="spellStart"/>
      <w:r w:rsidRPr="0060319F">
        <w:rPr>
          <w:rFonts w:ascii="Calibri" w:eastAsiaTheme="minorHAnsi" w:hAnsi="Calibri" w:cs="Calibri"/>
          <w:color w:val="auto"/>
          <w:sz w:val="24"/>
          <w:lang w:eastAsia="en-US"/>
        </w:rPr>
        <w:t>mmol</w:t>
      </w:r>
      <w:proofErr w:type="spellEnd"/>
      <w:r w:rsidRPr="0060319F">
        <w:rPr>
          <w:rFonts w:ascii="Calibri" w:eastAsiaTheme="minorHAnsi" w:hAnsi="Calibri" w:cs="Calibri"/>
          <w:color w:val="auto"/>
          <w:sz w:val="24"/>
          <w:lang w:eastAsia="en-US"/>
        </w:rPr>
        <w:t xml:space="preserve">/L]) and Level 3 (severe event characterized by altered mental and/or physical functioning that requires assistance from another </w:t>
      </w:r>
      <w:r w:rsidRPr="0060319F">
        <w:rPr>
          <w:rFonts w:ascii="Calibri" w:hAnsi="Calibri" w:cs="Calibri"/>
          <w:color w:val="auto"/>
          <w:sz w:val="24"/>
        </w:rPr>
        <w:t>person for recovery) hypoglycaemia and preventing episodes of diabetic ketoacidosis while treating these appropriately should they occur</w:t>
      </w:r>
    </w:p>
    <w:p w14:paraId="65A5DF5F" w14:textId="7775212A" w:rsidR="002707D9" w:rsidRPr="0035461C" w:rsidRDefault="002707D9" w:rsidP="0060377A">
      <w:pPr>
        <w:pStyle w:val="section1nextPara"/>
        <w:numPr>
          <w:ilvl w:val="0"/>
          <w:numId w:val="1"/>
        </w:numPr>
        <w:spacing w:before="120" w:line="240" w:lineRule="auto"/>
        <w:rPr>
          <w:rFonts w:ascii="Calibri" w:hAnsi="Calibri" w:cs="Calibri"/>
          <w:color w:val="auto"/>
          <w:sz w:val="24"/>
          <w:szCs w:val="24"/>
        </w:rPr>
      </w:pPr>
      <w:r w:rsidRPr="0035461C">
        <w:rPr>
          <w:rFonts w:ascii="Calibri" w:hAnsi="Calibri" w:cs="Calibri"/>
          <w:color w:val="auto"/>
          <w:sz w:val="24"/>
          <w:szCs w:val="24"/>
        </w:rPr>
        <w:t>Effectively managing cardiovascular risk factors</w:t>
      </w:r>
    </w:p>
    <w:p w14:paraId="0AE6EE7D" w14:textId="24F80E26" w:rsidR="007F33D8" w:rsidRPr="0035461C" w:rsidRDefault="007F33D8" w:rsidP="0060377A">
      <w:pPr>
        <w:pStyle w:val="section1nextPara"/>
        <w:numPr>
          <w:ilvl w:val="0"/>
          <w:numId w:val="1"/>
        </w:numPr>
        <w:spacing w:before="120" w:line="240" w:lineRule="auto"/>
        <w:rPr>
          <w:rFonts w:ascii="Calibri" w:hAnsi="Calibri" w:cs="Calibri"/>
          <w:color w:val="auto"/>
          <w:sz w:val="24"/>
          <w:szCs w:val="24"/>
        </w:rPr>
      </w:pPr>
      <w:r w:rsidRPr="0035461C">
        <w:rPr>
          <w:rFonts w:ascii="Calibri" w:hAnsi="Calibri" w:cs="Calibri"/>
          <w:color w:val="auto"/>
          <w:sz w:val="24"/>
          <w:szCs w:val="24"/>
        </w:rPr>
        <w:t>Provid</w:t>
      </w:r>
      <w:r w:rsidR="00EF5A4B" w:rsidRPr="0035461C">
        <w:rPr>
          <w:rFonts w:ascii="Calibri" w:hAnsi="Calibri" w:cs="Calibri"/>
          <w:color w:val="auto"/>
          <w:sz w:val="24"/>
          <w:szCs w:val="24"/>
        </w:rPr>
        <w:t>ing</w:t>
      </w:r>
      <w:r w:rsidRPr="0035461C">
        <w:rPr>
          <w:rFonts w:ascii="Calibri" w:hAnsi="Calibri" w:cs="Calibri"/>
          <w:color w:val="auto"/>
          <w:sz w:val="24"/>
          <w:szCs w:val="24"/>
        </w:rPr>
        <w:t xml:space="preserve"> approaches, treatments</w:t>
      </w:r>
      <w:r w:rsidR="000869AC" w:rsidRPr="0035461C">
        <w:rPr>
          <w:rFonts w:ascii="Calibri" w:hAnsi="Calibri" w:cs="Calibri"/>
          <w:color w:val="auto"/>
          <w:sz w:val="24"/>
          <w:szCs w:val="24"/>
        </w:rPr>
        <w:t>,</w:t>
      </w:r>
      <w:r w:rsidRPr="0035461C">
        <w:rPr>
          <w:rFonts w:ascii="Calibri" w:hAnsi="Calibri" w:cs="Calibri"/>
          <w:color w:val="auto"/>
          <w:sz w:val="24"/>
          <w:szCs w:val="24"/>
        </w:rPr>
        <w:t xml:space="preserve"> and devices that </w:t>
      </w:r>
      <w:r w:rsidR="008B52B9" w:rsidRPr="0035461C">
        <w:rPr>
          <w:rFonts w:ascii="Calibri" w:hAnsi="Calibri" w:cs="Calibri"/>
          <w:color w:val="auto"/>
          <w:sz w:val="24"/>
          <w:szCs w:val="24"/>
        </w:rPr>
        <w:t>minimize</w:t>
      </w:r>
      <w:r w:rsidRPr="0035461C">
        <w:rPr>
          <w:rFonts w:ascii="Calibri" w:hAnsi="Calibri" w:cs="Calibri"/>
          <w:color w:val="auto"/>
          <w:sz w:val="24"/>
          <w:szCs w:val="24"/>
        </w:rPr>
        <w:t xml:space="preserve"> the psychosocial burden of living with type 1 diabetes</w:t>
      </w:r>
      <w:r w:rsidR="009836AA" w:rsidRPr="0035461C">
        <w:rPr>
          <w:rFonts w:ascii="Calibri" w:hAnsi="Calibri" w:cs="Calibri"/>
          <w:color w:val="auto"/>
          <w:sz w:val="24"/>
          <w:szCs w:val="24"/>
        </w:rPr>
        <w:t xml:space="preserve">, </w:t>
      </w:r>
      <w:r w:rsidR="00EF5A4B" w:rsidRPr="0035461C">
        <w:rPr>
          <w:rFonts w:ascii="Calibri" w:hAnsi="Calibri" w:cs="Calibri"/>
          <w:color w:val="auto"/>
          <w:sz w:val="24"/>
          <w:szCs w:val="24"/>
        </w:rPr>
        <w:t>and consequently diabetes-related distress</w:t>
      </w:r>
      <w:r w:rsidR="009836AA" w:rsidRPr="0035461C">
        <w:rPr>
          <w:rFonts w:ascii="Calibri" w:hAnsi="Calibri" w:cs="Calibri"/>
          <w:color w:val="auto"/>
          <w:sz w:val="24"/>
          <w:szCs w:val="24"/>
        </w:rPr>
        <w:t>, while</w:t>
      </w:r>
      <w:r w:rsidR="00EF5A4B" w:rsidRPr="0035461C">
        <w:rPr>
          <w:rFonts w:ascii="Calibri" w:hAnsi="Calibri" w:cs="Calibri"/>
          <w:color w:val="auto"/>
          <w:sz w:val="24"/>
          <w:szCs w:val="24"/>
        </w:rPr>
        <w:t xml:space="preserve"> </w:t>
      </w:r>
      <w:r w:rsidR="009836AA" w:rsidRPr="0035461C">
        <w:rPr>
          <w:rFonts w:ascii="Calibri" w:hAnsi="Calibri" w:cs="Calibri"/>
          <w:color w:val="auto"/>
          <w:sz w:val="24"/>
          <w:szCs w:val="24"/>
        </w:rPr>
        <w:t xml:space="preserve">promoting </w:t>
      </w:r>
      <w:r w:rsidR="00EF5A4B" w:rsidRPr="0035461C">
        <w:rPr>
          <w:rFonts w:ascii="Calibri" w:hAnsi="Calibri" w:cs="Calibri"/>
          <w:color w:val="auto"/>
          <w:sz w:val="24"/>
          <w:szCs w:val="24"/>
        </w:rPr>
        <w:t>psychological wellbeing</w:t>
      </w:r>
    </w:p>
    <w:p w14:paraId="5857D8D2" w14:textId="00E8201C" w:rsidR="007F33D8" w:rsidRPr="0035461C" w:rsidRDefault="000C2F1B" w:rsidP="008016D5">
      <w:pPr>
        <w:pStyle w:val="section1nextPara"/>
        <w:spacing w:before="120" w:line="240" w:lineRule="auto"/>
        <w:ind w:firstLine="0"/>
        <w:rPr>
          <w:rFonts w:ascii="Calibri" w:hAnsi="Calibri" w:cs="Calibri"/>
          <w:color w:val="auto"/>
          <w:sz w:val="24"/>
          <w:szCs w:val="24"/>
        </w:rPr>
      </w:pPr>
      <w:r w:rsidRPr="0035461C">
        <w:rPr>
          <w:rFonts w:ascii="Calibri" w:hAnsi="Calibri" w:cs="Calibri"/>
          <w:color w:val="auto"/>
          <w:sz w:val="24"/>
          <w:szCs w:val="24"/>
        </w:rPr>
        <w:t>M</w:t>
      </w:r>
      <w:r w:rsidR="008016D5" w:rsidRPr="0035461C">
        <w:rPr>
          <w:rFonts w:ascii="Calibri" w:hAnsi="Calibri" w:cs="Calibri"/>
          <w:color w:val="auto"/>
          <w:sz w:val="24"/>
          <w:szCs w:val="24"/>
        </w:rPr>
        <w:t xml:space="preserve">anagement strategies should adapt to </w:t>
      </w:r>
      <w:r w:rsidR="00B55C9B" w:rsidRPr="0035461C">
        <w:rPr>
          <w:rFonts w:ascii="Calibri" w:hAnsi="Calibri" w:cs="Calibri"/>
          <w:color w:val="auto"/>
          <w:sz w:val="24"/>
          <w:szCs w:val="24"/>
        </w:rPr>
        <w:t>new therapies and technologies as they become available</w:t>
      </w:r>
      <w:r w:rsidR="008B52B9" w:rsidRPr="0035461C">
        <w:rPr>
          <w:rFonts w:ascii="Calibri" w:hAnsi="Calibri" w:cs="Calibri"/>
          <w:color w:val="auto"/>
          <w:sz w:val="24"/>
          <w:szCs w:val="24"/>
        </w:rPr>
        <w:t xml:space="preserve"> according to the wishes and desires of the person with diabetes</w:t>
      </w:r>
      <w:r w:rsidR="008016D5" w:rsidRPr="0035461C">
        <w:rPr>
          <w:rFonts w:ascii="Calibri" w:hAnsi="Calibri" w:cs="Calibri"/>
          <w:color w:val="auto"/>
          <w:sz w:val="24"/>
          <w:szCs w:val="24"/>
        </w:rPr>
        <w:t>.</w:t>
      </w:r>
    </w:p>
    <w:p w14:paraId="3D25DEF5" w14:textId="13D1B7F7" w:rsidR="007F33D8" w:rsidRPr="0035461C" w:rsidRDefault="007F33D8" w:rsidP="001C5BC0">
      <w:pPr>
        <w:pStyle w:val="section1nextPara"/>
        <w:spacing w:before="120" w:line="240" w:lineRule="auto"/>
        <w:ind w:firstLine="0"/>
        <w:rPr>
          <w:rFonts w:ascii="Calibri" w:hAnsi="Calibri" w:cs="Calibri"/>
          <w:sz w:val="24"/>
          <w:szCs w:val="24"/>
          <w:shd w:val="clear" w:color="auto" w:fill="FFFFFF"/>
        </w:rPr>
      </w:pPr>
      <w:r w:rsidRPr="0035461C">
        <w:rPr>
          <w:rFonts w:ascii="Calibri" w:hAnsi="Calibri" w:cs="Calibri"/>
          <w:sz w:val="24"/>
          <w:szCs w:val="24"/>
          <w:shd w:val="clear" w:color="auto" w:fill="FFFFFF"/>
        </w:rPr>
        <w:t xml:space="preserve">The importance of glycaemic </w:t>
      </w:r>
      <w:r w:rsidR="00C45DAC" w:rsidRPr="0035461C">
        <w:rPr>
          <w:rFonts w:ascii="Calibri" w:hAnsi="Calibri" w:cs="Calibri"/>
          <w:sz w:val="24"/>
          <w:szCs w:val="24"/>
          <w:shd w:val="clear" w:color="auto" w:fill="FFFFFF"/>
        </w:rPr>
        <w:t>management</w:t>
      </w:r>
      <w:r w:rsidRPr="0035461C">
        <w:rPr>
          <w:rFonts w:ascii="Calibri" w:hAnsi="Calibri" w:cs="Calibri"/>
          <w:sz w:val="24"/>
          <w:szCs w:val="24"/>
          <w:shd w:val="clear" w:color="auto" w:fill="FFFFFF"/>
        </w:rPr>
        <w:t xml:space="preserve"> was demonstrated convincingly by the Diabetes Control and Complications Trial</w:t>
      </w:r>
      <w:r w:rsidR="00200179">
        <w:rPr>
          <w:rFonts w:ascii="Calibri" w:hAnsi="Calibri" w:cs="Calibri"/>
          <w:sz w:val="24"/>
          <w:szCs w:val="24"/>
          <w:shd w:val="clear" w:color="auto" w:fill="FFFFFF"/>
        </w:rPr>
        <w:t xml:space="preserve"> (DCCT)</w:t>
      </w:r>
      <w:r w:rsidRPr="0035461C">
        <w:rPr>
          <w:rFonts w:ascii="Calibri" w:hAnsi="Calibri" w:cs="Calibri"/>
          <w:sz w:val="24"/>
          <w:szCs w:val="24"/>
          <w:shd w:val="clear" w:color="auto" w:fill="FFFFFF"/>
        </w:rPr>
        <w:t xml:space="preserve"> </w:t>
      </w:r>
      <w:r w:rsidR="009836AA" w:rsidRPr="0035461C">
        <w:rPr>
          <w:rFonts w:ascii="Calibri" w:hAnsi="Calibri" w:cs="Calibri"/>
          <w:sz w:val="24"/>
          <w:szCs w:val="24"/>
          <w:shd w:val="clear" w:color="auto" w:fill="FFFFFF"/>
        </w:rPr>
        <w:fldChar w:fldCharType="begin"/>
      </w:r>
      <w:r w:rsidR="00076F77">
        <w:rPr>
          <w:rFonts w:ascii="Calibri" w:hAnsi="Calibri" w:cs="Calibri"/>
          <w:sz w:val="24"/>
          <w:szCs w:val="24"/>
          <w:shd w:val="clear" w:color="auto" w:fill="FFFFFF"/>
        </w:rPr>
        <w:instrText xml:space="preserve"> ADDIN ZOTERO_ITEM CSL_CITATION {"citationID":"oXbI7RSi","properties":{"formattedCitation":"(39)","plainCitation":"(39)","noteIndex":0},"citationItems":[{"id":3865,"uris":["http://zotero.org/groups/369679/items/GDLTZHA3"],"uri":["http://zotero.org/groups/369679/items/GDLTZHA3"],"itemData":{"id":3865,"type":"article-journal","abstract":"BACKGROUND: Long-term microvascular and neurologic complications cause major morbidity and mortality in patients with insulin-dependent diabetes mellitus (IDDM). We examined whether intensive treatment with the goal of maintaining blood glucose concentrations close to the normal range could decrease the frequency and severity of these complications.\nMETHODS: A total of 1441 patients with IDDM--726 with no retinopathy at base line (the primary-prevention cohort) and 715 with mild retinopathy (the secondary-intervention cohort) were randomly assigned to intensive therapy administered either with an external insulin pump or by three or more daily insulin injections and guided by frequent blood glucose monitoring or to conventional therapy with one or two daily insulin injections. The patients were followed for a mean of 6.5 years, and the appearance and progression of retinopathy and other complications were assessed regularly.\nRESULTS: In the primary-prevention cohort, intensive therapy reduced the adjusted mean risk for the development of retinopathy by 76 percent (95 percent confidence interval, 62 to 85 percent), as compared with conventional therapy. In the secondary-intervention cohort, intensive therapy slowed the progression of retinopathy by 54 percent (95 percent confidence interval, 39 to 66 percent) and reduced the development of proliferative or severe nonproliferative retinopathy by 47 percent (95 percent confidence interval, 14 to 67 percent). In the two cohorts combined, intensive therapy reduced the occurrence of microalbuminuria (urinary albumin excretion of &gt; or = 40 mg per 24 hours) by 39 percent (95 percent confidence interval, 21 to 52 percent), that of albuminuria (urinary albumin excretion of &gt; or = 300 mg per 24 hours) by 54 percent (95 percent confidence interval 19 to 74 percent), and that of clinical neuropathy by 60 percent (95 percent confidence interval, 38 to 74 percent). The chief adverse event associated with intensive therapy was a two-to-threefold increase in severe hypoglycemia.\nCONCLUSIONS: Intensive therapy effectively delays the onset and slows the progression of diabetic retinopathy, nephropathy, and neuropathy in patients with IDDM.","container-title":"The New England Journal of Medicine","DOI":"10.1056/NEJM199309303291401","ISSN":"0028-4793","issue":"14","journalAbbreviation":"N. Engl. J. Med.","language":"eng","note":"PMID: 8366922","page":"977-986","source":"PubMed","title":"The effect of intensive treatment of diabetes on the development and progression of long-term complications in insulin-dependent diabetes mellitus","volume":"329","author":[{"literal":"Diabetes Control and Complications Trial Research Group"},{"family":"Nathan","given":"D. M."},{"family":"Genuth","given":"S."},{"family":"Lachin","given":"J."},{"family":"Cleary","given":"P."},{"family":"Crofford","given":"O."},{"family":"Davis","given":"M."},{"family":"Rand","given":"L."},{"family":"Siebert","given":"C."}],"issued":{"date-parts":[["1993"]],"season":"30"}}}],"schema":"https://github.com/citation-style-language/schema/raw/master/csl-citation.json"} </w:instrText>
      </w:r>
      <w:r w:rsidR="009836AA" w:rsidRPr="0035461C">
        <w:rPr>
          <w:rFonts w:ascii="Calibri" w:hAnsi="Calibri" w:cs="Calibri"/>
          <w:sz w:val="24"/>
          <w:szCs w:val="24"/>
          <w:shd w:val="clear" w:color="auto" w:fill="FFFFFF"/>
        </w:rPr>
        <w:fldChar w:fldCharType="separate"/>
      </w:r>
      <w:r w:rsidR="001C2617" w:rsidRPr="001C2617">
        <w:rPr>
          <w:rFonts w:ascii="Calibri" w:hAnsi="Calibri" w:cs="Calibri"/>
          <w:sz w:val="24"/>
        </w:rPr>
        <w:t>(39)</w:t>
      </w:r>
      <w:r w:rsidR="009836AA" w:rsidRPr="0035461C">
        <w:rPr>
          <w:rFonts w:ascii="Calibri" w:hAnsi="Calibri" w:cs="Calibri"/>
          <w:sz w:val="24"/>
          <w:szCs w:val="24"/>
          <w:shd w:val="clear" w:color="auto" w:fill="FFFFFF"/>
        </w:rPr>
        <w:fldChar w:fldCharType="end"/>
      </w:r>
      <w:r w:rsidR="009836AA" w:rsidRPr="0035461C">
        <w:rPr>
          <w:rFonts w:ascii="Calibri" w:hAnsi="Calibri" w:cs="Calibri"/>
          <w:sz w:val="24"/>
          <w:szCs w:val="24"/>
          <w:shd w:val="clear" w:color="auto" w:fill="FFFFFF"/>
        </w:rPr>
        <w:t xml:space="preserve"> </w:t>
      </w:r>
      <w:r w:rsidRPr="0035461C">
        <w:rPr>
          <w:rFonts w:ascii="Calibri" w:hAnsi="Calibri" w:cs="Calibri"/>
          <w:sz w:val="24"/>
          <w:szCs w:val="24"/>
          <w:shd w:val="clear" w:color="auto" w:fill="FFFFFF"/>
        </w:rPr>
        <w:t xml:space="preserve">and the Epidemiology of Diabetes Interventions and Complications </w:t>
      </w:r>
      <w:r w:rsidR="00200179">
        <w:rPr>
          <w:rFonts w:ascii="Calibri" w:hAnsi="Calibri" w:cs="Calibri"/>
          <w:sz w:val="24"/>
          <w:szCs w:val="24"/>
          <w:shd w:val="clear" w:color="auto" w:fill="FFFFFF"/>
        </w:rPr>
        <w:t xml:space="preserve">(EDIC) </w:t>
      </w:r>
      <w:r w:rsidR="00AA70ED" w:rsidRPr="0035461C">
        <w:rPr>
          <w:rFonts w:ascii="Calibri" w:hAnsi="Calibri" w:cs="Calibri"/>
          <w:sz w:val="24"/>
          <w:szCs w:val="24"/>
          <w:shd w:val="clear" w:color="auto" w:fill="FFFFFF"/>
        </w:rPr>
        <w:t xml:space="preserve">follow-up </w:t>
      </w:r>
      <w:r w:rsidRPr="0035461C">
        <w:rPr>
          <w:rFonts w:ascii="Calibri" w:hAnsi="Calibri" w:cs="Calibri"/>
          <w:sz w:val="24"/>
          <w:szCs w:val="24"/>
          <w:shd w:val="clear" w:color="auto" w:fill="FFFFFF"/>
        </w:rPr>
        <w:t>study</w:t>
      </w:r>
      <w:r w:rsidR="009836AA" w:rsidRPr="0035461C">
        <w:rPr>
          <w:rFonts w:ascii="Calibri" w:hAnsi="Calibri" w:cs="Calibri"/>
          <w:sz w:val="24"/>
          <w:szCs w:val="24"/>
          <w:shd w:val="clear" w:color="auto" w:fill="FFFFFF"/>
        </w:rPr>
        <w:t xml:space="preserve"> </w:t>
      </w:r>
      <w:r w:rsidR="009836AA" w:rsidRPr="0035461C">
        <w:rPr>
          <w:rFonts w:ascii="Calibri" w:hAnsi="Calibri" w:cs="Calibri"/>
          <w:color w:val="auto"/>
          <w:sz w:val="24"/>
          <w:szCs w:val="24"/>
        </w:rPr>
        <w:fldChar w:fldCharType="begin"/>
      </w:r>
      <w:r w:rsidR="00076F77">
        <w:rPr>
          <w:rFonts w:ascii="Calibri" w:hAnsi="Calibri" w:cs="Calibri"/>
          <w:color w:val="auto"/>
          <w:sz w:val="24"/>
          <w:szCs w:val="24"/>
        </w:rPr>
        <w:instrText xml:space="preserve"> ADDIN ZOTERO_ITEM CSL_CITATION {"citationID":"o8PShdIs","properties":{"formattedCitation":"(40)","plainCitation":"(40)","noteIndex":0},"citationItems":[{"id":11009,"uris":["http://zotero.org/groups/369679/items/4BDPJ52Z"],"uri":["http://zotero.org/groups/369679/items/4BDPJ52Z"],"itemData":{"id":11009,"type":"article-journal","abstract":"OBJECTIVE: Early initiation of intensive diabetes therapy aimed at achieving near-normal glycemia reduces the early development of vascular complications in type 1 diabetes. We now assess whether intensive therapy compared with conventional therapy during the Diabetes Control and Complications Trial (DCCT) affected the incidence of cardiovascular disease over 30 years of follow-up.\nRESEARCH DESIGN AND METHODS: The DCCT randomly assigned 1,441 patients with type 1 diabetes to intensive versus conventional therapy for a mean of 6.5 years, after which 93% were subsequently monitored during the observational Epidemiology of Diabetes Interventions and Complications (EDIC) study. Cardiovascular disease (nonfatal myocardial infarction and stroke, cardiovascular death, confirmed angina, congestive heart failure, and coronary artery revascularization) was adjudicated using standardized measures.\nRESULTS: During 30 years of follow-up in DCCT and EDIC, 149 cardiovascular disease events occurred in 82 former intensive treatment group subjects versus 217 events in 102 former conventional treatment group subjects. Intensive therapy reduced the incidence of any cardiovascular disease by 30% (95% CI 7, 48; P = 0.016), and the incidence of major cardiovascular events (nonfatal myocardial infarction, stroke, or cardiovascular death) by 32% (95% CI -3, 56; P = 0.07). The lower HbA1c levels during the DCCT/EDIC statistically account for all of the observed treatment effect on cardiovascular disease risk. Increased albuminuria was also independently associated with cardiovascular disease risk.\nCONCLUSIONS: Intensive diabetes therapy during the DCCT (6.5 years) has long-term beneficial effects on the incidence of cardiovascular disease in type 1 diabetes that persist for up to 30 years.","container-title":"Diabetes Care","DOI":"10.2337/dc15-1990","ISSN":"1935-5548","issue":"5","journalAbbreviation":"Diabetes Care","language":"eng","note":"PMID: 26861924\nPMCID: PMC4839174","page":"686-693","source":"PubMed","title":"Intensive Diabetes Treatment and Cardiovascular Outcomes in Type 1 Diabetes: The DCCT/EDIC Study 30-Year Follow-up","title-short":"Intensive Diabetes Treatment and Cardiovascular Outcomes in Type 1 Diabetes","volume":"39","author":[{"literal":"Diabetes Control and Complications Trial (DCCT)/Epidemiology of Diabetes Interventions and Complications (EDIC) Study Research Group"}],"issued":{"date-parts":[["2016",5]]}}}],"schema":"https://github.com/citation-style-language/schema/raw/master/csl-citation.json"} </w:instrText>
      </w:r>
      <w:r w:rsidR="009836AA" w:rsidRPr="0035461C">
        <w:rPr>
          <w:rFonts w:ascii="Calibri" w:hAnsi="Calibri" w:cs="Calibri"/>
          <w:color w:val="auto"/>
          <w:sz w:val="24"/>
          <w:szCs w:val="24"/>
        </w:rPr>
        <w:fldChar w:fldCharType="separate"/>
      </w:r>
      <w:r w:rsidR="001C2617" w:rsidRPr="001C2617">
        <w:rPr>
          <w:rFonts w:ascii="Calibri" w:hAnsi="Calibri" w:cs="Calibri"/>
          <w:sz w:val="24"/>
        </w:rPr>
        <w:t>(40)</w:t>
      </w:r>
      <w:r w:rsidR="009836AA" w:rsidRPr="0035461C">
        <w:rPr>
          <w:rFonts w:ascii="Calibri" w:hAnsi="Calibri" w:cs="Calibri"/>
          <w:color w:val="auto"/>
          <w:sz w:val="24"/>
          <w:szCs w:val="24"/>
        </w:rPr>
        <w:fldChar w:fldCharType="end"/>
      </w:r>
      <w:r w:rsidRPr="0035461C">
        <w:rPr>
          <w:rFonts w:ascii="Calibri" w:hAnsi="Calibri" w:cs="Calibri"/>
          <w:sz w:val="24"/>
          <w:szCs w:val="24"/>
          <w:shd w:val="clear" w:color="auto" w:fill="FFFFFF"/>
        </w:rPr>
        <w:t xml:space="preserve">. With the use of intensive insulin therapy </w:t>
      </w:r>
      <w:r w:rsidR="00241C0E" w:rsidRPr="0035461C">
        <w:rPr>
          <w:rFonts w:ascii="Calibri" w:hAnsi="Calibri" w:cs="Calibri"/>
          <w:sz w:val="24"/>
          <w:szCs w:val="24"/>
          <w:shd w:val="clear" w:color="auto" w:fill="FFFFFF"/>
        </w:rPr>
        <w:t>that aimed to achieve levels of glycaemi</w:t>
      </w:r>
      <w:r w:rsidR="00CC00B5" w:rsidRPr="0035461C">
        <w:rPr>
          <w:rFonts w:ascii="Calibri" w:hAnsi="Calibri" w:cs="Calibri"/>
          <w:sz w:val="24"/>
          <w:szCs w:val="24"/>
          <w:shd w:val="clear" w:color="auto" w:fill="FFFFFF"/>
        </w:rPr>
        <w:t xml:space="preserve">a </w:t>
      </w:r>
      <w:r w:rsidR="00241C0E" w:rsidRPr="0035461C">
        <w:rPr>
          <w:rFonts w:ascii="Calibri" w:hAnsi="Calibri" w:cs="Calibri"/>
          <w:sz w:val="24"/>
          <w:szCs w:val="24"/>
          <w:shd w:val="clear" w:color="auto" w:fill="FFFFFF"/>
        </w:rPr>
        <w:t>close to the non-diabetes range,</w:t>
      </w:r>
      <w:r w:rsidR="00241C0E" w:rsidRPr="0035461C">
        <w:rPr>
          <w:rFonts w:ascii="Calibri" w:hAnsi="Calibri" w:cs="Calibri"/>
          <w:color w:val="4D5156"/>
          <w:sz w:val="21"/>
          <w:szCs w:val="21"/>
          <w:shd w:val="clear" w:color="auto" w:fill="FFFFFF"/>
        </w:rPr>
        <w:t> </w:t>
      </w:r>
      <w:r w:rsidRPr="0035461C">
        <w:rPr>
          <w:rFonts w:ascii="Calibri" w:hAnsi="Calibri" w:cs="Calibri"/>
          <w:sz w:val="24"/>
          <w:szCs w:val="24"/>
          <w:shd w:val="clear" w:color="auto" w:fill="FFFFFF"/>
        </w:rPr>
        <w:t>HbA</w:t>
      </w:r>
      <w:r w:rsidRPr="0035461C">
        <w:rPr>
          <w:rFonts w:ascii="Calibri" w:hAnsi="Calibri" w:cs="Calibri"/>
          <w:sz w:val="24"/>
          <w:szCs w:val="24"/>
          <w:shd w:val="clear" w:color="auto" w:fill="FFFFFF"/>
          <w:vertAlign w:val="subscript"/>
        </w:rPr>
        <w:t>1c</w:t>
      </w:r>
      <w:r w:rsidRPr="0035461C">
        <w:rPr>
          <w:rFonts w:ascii="Calibri" w:hAnsi="Calibri" w:cs="Calibri"/>
          <w:sz w:val="24"/>
          <w:szCs w:val="24"/>
          <w:shd w:val="clear" w:color="auto" w:fill="FFFFFF"/>
        </w:rPr>
        <w:t xml:space="preserve"> was lowered by ~2% (22 </w:t>
      </w:r>
      <w:proofErr w:type="spellStart"/>
      <w:r w:rsidRPr="0035461C">
        <w:rPr>
          <w:rFonts w:ascii="Calibri" w:hAnsi="Calibri" w:cs="Calibri"/>
          <w:sz w:val="24"/>
          <w:szCs w:val="24"/>
          <w:shd w:val="clear" w:color="auto" w:fill="FFFFFF"/>
        </w:rPr>
        <w:t>mmol</w:t>
      </w:r>
      <w:proofErr w:type="spellEnd"/>
      <w:r w:rsidRPr="0035461C">
        <w:rPr>
          <w:rFonts w:ascii="Calibri" w:hAnsi="Calibri" w:cs="Calibri"/>
          <w:sz w:val="24"/>
          <w:szCs w:val="24"/>
          <w:shd w:val="clear" w:color="auto" w:fill="FFFFFF"/>
        </w:rPr>
        <w:t>/</w:t>
      </w:r>
      <w:proofErr w:type="spellStart"/>
      <w:r w:rsidRPr="0035461C">
        <w:rPr>
          <w:rFonts w:ascii="Calibri" w:hAnsi="Calibri" w:cs="Calibri"/>
          <w:sz w:val="24"/>
          <w:szCs w:val="24"/>
          <w:shd w:val="clear" w:color="auto" w:fill="FFFFFF"/>
        </w:rPr>
        <w:t>mol</w:t>
      </w:r>
      <w:proofErr w:type="spellEnd"/>
      <w:r w:rsidRPr="0035461C">
        <w:rPr>
          <w:rFonts w:ascii="Calibri" w:hAnsi="Calibri" w:cs="Calibri"/>
          <w:sz w:val="24"/>
          <w:szCs w:val="24"/>
          <w:shd w:val="clear" w:color="auto" w:fill="FFFFFF"/>
        </w:rPr>
        <w:t>) to a mean HbA</w:t>
      </w:r>
      <w:r w:rsidRPr="0035461C">
        <w:rPr>
          <w:rFonts w:ascii="Calibri" w:hAnsi="Calibri" w:cs="Calibri"/>
          <w:sz w:val="24"/>
          <w:szCs w:val="24"/>
          <w:shd w:val="clear" w:color="auto" w:fill="FFFFFF"/>
          <w:vertAlign w:val="subscript"/>
        </w:rPr>
        <w:t>1c</w:t>
      </w:r>
      <w:r w:rsidRPr="0035461C">
        <w:rPr>
          <w:rFonts w:ascii="Calibri" w:hAnsi="Calibri" w:cs="Calibri"/>
          <w:sz w:val="24"/>
          <w:szCs w:val="24"/>
          <w:shd w:val="clear" w:color="auto" w:fill="FFFFFF"/>
        </w:rPr>
        <w:t xml:space="preserve"> of ~7.0% (53 </w:t>
      </w:r>
      <w:proofErr w:type="spellStart"/>
      <w:r w:rsidRPr="0035461C">
        <w:rPr>
          <w:rFonts w:ascii="Calibri" w:hAnsi="Calibri" w:cs="Calibri"/>
          <w:sz w:val="24"/>
          <w:szCs w:val="24"/>
          <w:shd w:val="clear" w:color="auto" w:fill="FFFFFF"/>
        </w:rPr>
        <w:t>mmol</w:t>
      </w:r>
      <w:proofErr w:type="spellEnd"/>
      <w:r w:rsidRPr="0035461C">
        <w:rPr>
          <w:rFonts w:ascii="Calibri" w:hAnsi="Calibri" w:cs="Calibri"/>
          <w:sz w:val="24"/>
          <w:szCs w:val="24"/>
          <w:shd w:val="clear" w:color="auto" w:fill="FFFFFF"/>
        </w:rPr>
        <w:t>/</w:t>
      </w:r>
      <w:proofErr w:type="spellStart"/>
      <w:r w:rsidRPr="0035461C">
        <w:rPr>
          <w:rFonts w:ascii="Calibri" w:hAnsi="Calibri" w:cs="Calibri"/>
          <w:sz w:val="24"/>
          <w:szCs w:val="24"/>
          <w:shd w:val="clear" w:color="auto" w:fill="FFFFFF"/>
        </w:rPr>
        <w:t>mol</w:t>
      </w:r>
      <w:proofErr w:type="spellEnd"/>
      <w:r w:rsidRPr="0035461C">
        <w:rPr>
          <w:rFonts w:ascii="Calibri" w:hAnsi="Calibri" w:cs="Calibri"/>
          <w:sz w:val="24"/>
          <w:szCs w:val="24"/>
          <w:shd w:val="clear" w:color="auto" w:fill="FFFFFF"/>
        </w:rPr>
        <w:t>) over a mean of 6.5 years compared with standard care (mean HbA</w:t>
      </w:r>
      <w:r w:rsidRPr="0035461C">
        <w:rPr>
          <w:rFonts w:ascii="Calibri" w:hAnsi="Calibri" w:cs="Calibri"/>
          <w:sz w:val="24"/>
          <w:szCs w:val="24"/>
          <w:shd w:val="clear" w:color="auto" w:fill="FFFFFF"/>
          <w:vertAlign w:val="subscript"/>
        </w:rPr>
        <w:t>1c</w:t>
      </w:r>
      <w:r w:rsidRPr="0035461C">
        <w:rPr>
          <w:rFonts w:ascii="Calibri" w:hAnsi="Calibri" w:cs="Calibri"/>
          <w:sz w:val="24"/>
          <w:szCs w:val="24"/>
          <w:shd w:val="clear" w:color="auto" w:fill="FFFFFF"/>
        </w:rPr>
        <w:t xml:space="preserve"> ~9.0% (75 </w:t>
      </w:r>
      <w:proofErr w:type="spellStart"/>
      <w:r w:rsidRPr="0035461C">
        <w:rPr>
          <w:rFonts w:ascii="Calibri" w:hAnsi="Calibri" w:cs="Calibri"/>
          <w:sz w:val="24"/>
          <w:szCs w:val="24"/>
          <w:shd w:val="clear" w:color="auto" w:fill="FFFFFF"/>
        </w:rPr>
        <w:t>mmol</w:t>
      </w:r>
      <w:proofErr w:type="spellEnd"/>
      <w:r w:rsidRPr="0035461C">
        <w:rPr>
          <w:rFonts w:ascii="Calibri" w:hAnsi="Calibri" w:cs="Calibri"/>
          <w:sz w:val="24"/>
          <w:szCs w:val="24"/>
          <w:shd w:val="clear" w:color="auto" w:fill="FFFFFF"/>
        </w:rPr>
        <w:t>/</w:t>
      </w:r>
      <w:proofErr w:type="spellStart"/>
      <w:r w:rsidRPr="0035461C">
        <w:rPr>
          <w:rFonts w:ascii="Calibri" w:hAnsi="Calibri" w:cs="Calibri"/>
          <w:sz w:val="24"/>
          <w:szCs w:val="24"/>
          <w:shd w:val="clear" w:color="auto" w:fill="FFFFFF"/>
        </w:rPr>
        <w:t>mol</w:t>
      </w:r>
      <w:proofErr w:type="spellEnd"/>
      <w:r w:rsidRPr="0035461C">
        <w:rPr>
          <w:rFonts w:ascii="Calibri" w:hAnsi="Calibri" w:cs="Calibri"/>
          <w:sz w:val="24"/>
          <w:szCs w:val="24"/>
          <w:shd w:val="clear" w:color="auto" w:fill="FFFFFF"/>
        </w:rPr>
        <w:t>)</w:t>
      </w:r>
      <w:r w:rsidR="0004698E" w:rsidRPr="0035461C">
        <w:rPr>
          <w:rFonts w:ascii="Calibri" w:hAnsi="Calibri" w:cs="Calibri"/>
          <w:sz w:val="24"/>
          <w:szCs w:val="24"/>
          <w:shd w:val="clear" w:color="auto" w:fill="FFFFFF"/>
        </w:rPr>
        <w:t>)</w:t>
      </w:r>
      <w:r w:rsidR="00C45DAC" w:rsidRPr="0035461C">
        <w:rPr>
          <w:rFonts w:ascii="Calibri" w:hAnsi="Calibri" w:cs="Calibri"/>
          <w:sz w:val="24"/>
          <w:szCs w:val="24"/>
          <w:shd w:val="clear" w:color="auto" w:fill="FFFFFF"/>
        </w:rPr>
        <w:t xml:space="preserve"> </w:t>
      </w:r>
      <w:r w:rsidR="0004328B" w:rsidRPr="0035461C">
        <w:rPr>
          <w:rFonts w:ascii="Calibri" w:hAnsi="Calibri" w:cs="Calibri"/>
          <w:sz w:val="24"/>
          <w:szCs w:val="24"/>
          <w:shd w:val="clear" w:color="auto" w:fill="FFFFFF"/>
        </w:rPr>
        <w:fldChar w:fldCharType="begin"/>
      </w:r>
      <w:r w:rsidR="00076F77">
        <w:rPr>
          <w:rFonts w:ascii="Calibri" w:hAnsi="Calibri" w:cs="Calibri"/>
          <w:sz w:val="24"/>
          <w:szCs w:val="24"/>
          <w:shd w:val="clear" w:color="auto" w:fill="FFFFFF"/>
        </w:rPr>
        <w:instrText xml:space="preserve"> ADDIN ZOTERO_ITEM CSL_CITATION {"citationID":"lPWf4EWx","properties":{"formattedCitation":"(39)","plainCitation":"(39)","noteIndex":0},"citationItems":[{"id":3865,"uris":["http://zotero.org/groups/369679/items/GDLTZHA3"],"uri":["http://zotero.org/groups/369679/items/GDLTZHA3"],"itemData":{"id":3865,"type":"article-journal","abstract":"BACKGROUND: Long-term microvascular and neurologic complications cause major morbidity and mortality in patients with insulin-dependent diabetes mellitus (IDDM). We examined whether intensive treatment with the goal of maintaining blood glucose concentrations close to the normal range could decrease the frequency and severity of these complications.\nMETHODS: A total of 1441 patients with IDDM--726 with no retinopathy at base line (the primary-prevention cohort) and 715 with mild retinopathy (the secondary-intervention cohort) were randomly assigned to intensive therapy administered either with an external insulin pump or by three or more daily insulin injections and guided by frequent blood glucose monitoring or to conventional therapy with one or two daily insulin injections. The patients were followed for a mean of 6.5 years, and the appearance and progression of retinopathy and other complications were assessed regularly.\nRESULTS: In the primary-prevention cohort, intensive therapy reduced the adjusted mean risk for the development of retinopathy by 76 percent (95 percent confidence interval, 62 to 85 percent), as compared with conventional therapy. In the secondary-intervention cohort, intensive therapy slowed the progression of retinopathy by 54 percent (95 percent confidence interval, 39 to 66 percent) and reduced the development of proliferative or severe nonproliferative retinopathy by 47 percent (95 percent confidence interval, 14 to 67 percent). In the two cohorts combined, intensive therapy reduced the occurrence of microalbuminuria (urinary albumin excretion of &gt; or = 40 mg per 24 hours) by 39 percent (95 percent confidence interval, 21 to 52 percent), that of albuminuria (urinary albumin excretion of &gt; or = 300 mg per 24 hours) by 54 percent (95 percent confidence interval 19 to 74 percent), and that of clinical neuropathy by 60 percent (95 percent confidence interval, 38 to 74 percent). The chief adverse event associated with intensive therapy was a two-to-threefold increase in severe hypoglycemia.\nCONCLUSIONS: Intensive therapy effectively delays the onset and slows the progression of diabetic retinopathy, nephropathy, and neuropathy in patients with IDDM.","container-title":"The New England Journal of Medicine","DOI":"10.1056/NEJM199309303291401","ISSN":"0028-4793","issue":"14","journalAbbreviation":"N. Engl. J. Med.","language":"eng","note":"PMID: 8366922","page":"977-986","source":"PubMed","title":"The effect of intensive treatment of diabetes on the development and progression of long-term complications in insulin-dependent diabetes mellitus","volume":"329","author":[{"literal":"Diabetes Control and Complications Trial Research Group"},{"family":"Nathan","given":"D. M."},{"family":"Genuth","given":"S."},{"family":"Lachin","given":"J."},{"family":"Cleary","given":"P."},{"family":"Crofford","given":"O."},{"family":"Davis","given":"M."},{"family":"Rand","given":"L."},{"family":"Siebert","given":"C."}],"issued":{"date-parts":[["1993"]],"season":"30"}}}],"schema":"https://github.com/citation-style-language/schema/raw/master/csl-citation.json"} </w:instrText>
      </w:r>
      <w:r w:rsidR="0004328B" w:rsidRPr="0035461C">
        <w:rPr>
          <w:rFonts w:ascii="Calibri" w:hAnsi="Calibri" w:cs="Calibri"/>
          <w:sz w:val="24"/>
          <w:szCs w:val="24"/>
          <w:shd w:val="clear" w:color="auto" w:fill="FFFFFF"/>
        </w:rPr>
        <w:fldChar w:fldCharType="separate"/>
      </w:r>
      <w:r w:rsidR="001C2617" w:rsidRPr="001C2617">
        <w:rPr>
          <w:rFonts w:ascii="Calibri" w:hAnsi="Calibri" w:cs="Calibri"/>
          <w:sz w:val="24"/>
        </w:rPr>
        <w:t>(39)</w:t>
      </w:r>
      <w:r w:rsidR="0004328B" w:rsidRPr="0035461C">
        <w:rPr>
          <w:rFonts w:ascii="Calibri" w:hAnsi="Calibri" w:cs="Calibri"/>
          <w:sz w:val="24"/>
          <w:szCs w:val="24"/>
          <w:shd w:val="clear" w:color="auto" w:fill="FFFFFF"/>
        </w:rPr>
        <w:fldChar w:fldCharType="end"/>
      </w:r>
      <w:r w:rsidR="00C45DAC" w:rsidRPr="0035461C">
        <w:rPr>
          <w:rFonts w:ascii="Calibri" w:hAnsi="Calibri" w:cs="Calibri"/>
          <w:sz w:val="24"/>
          <w:szCs w:val="24"/>
          <w:shd w:val="clear" w:color="auto" w:fill="FFFFFF"/>
        </w:rPr>
        <w:t>.</w:t>
      </w:r>
      <w:r w:rsidRPr="0035461C">
        <w:rPr>
          <w:rFonts w:ascii="Calibri" w:hAnsi="Calibri" w:cs="Calibri"/>
          <w:sz w:val="24"/>
          <w:szCs w:val="24"/>
          <w:shd w:val="clear" w:color="auto" w:fill="FFFFFF"/>
        </w:rPr>
        <w:t xml:space="preserve"> The</w:t>
      </w:r>
      <w:r w:rsidRPr="0035461C">
        <w:rPr>
          <w:rFonts w:ascii="Calibri" w:hAnsi="Calibri" w:cs="Calibri"/>
          <w:color w:val="auto"/>
          <w:sz w:val="24"/>
          <w:szCs w:val="24"/>
        </w:rPr>
        <w:t xml:space="preserve"> risk of primary development of retinopathy was reduced by 75% and progression of retinopathy slowed by 54%. The development of microalbuminuria was reduced by 39% and clinical neuropathy by 60% in those assigned to intensive therapy. These benefits persisted beyond the end of the trial despite equivalent glucose </w:t>
      </w:r>
      <w:r w:rsidR="00C45DAC" w:rsidRPr="0035461C">
        <w:rPr>
          <w:rFonts w:ascii="Calibri" w:hAnsi="Calibri" w:cs="Calibri"/>
          <w:color w:val="auto"/>
          <w:sz w:val="24"/>
          <w:szCs w:val="24"/>
        </w:rPr>
        <w:t>levels</w:t>
      </w:r>
      <w:r w:rsidRPr="0035461C">
        <w:rPr>
          <w:rFonts w:ascii="Calibri" w:hAnsi="Calibri" w:cs="Calibri"/>
          <w:color w:val="auto"/>
          <w:sz w:val="24"/>
          <w:szCs w:val="24"/>
        </w:rPr>
        <w:t xml:space="preserve"> (</w:t>
      </w:r>
      <w:r w:rsidRPr="0035461C">
        <w:rPr>
          <w:rFonts w:ascii="Calibri" w:hAnsi="Calibri" w:cs="Calibri"/>
          <w:sz w:val="24"/>
          <w:szCs w:val="24"/>
          <w:shd w:val="clear" w:color="auto" w:fill="FFFFFF"/>
        </w:rPr>
        <w:t>HbA</w:t>
      </w:r>
      <w:r w:rsidRPr="0035461C">
        <w:rPr>
          <w:rFonts w:ascii="Calibri" w:hAnsi="Calibri" w:cs="Calibri"/>
          <w:sz w:val="24"/>
          <w:szCs w:val="24"/>
          <w:shd w:val="clear" w:color="auto" w:fill="FFFFFF"/>
          <w:vertAlign w:val="subscript"/>
        </w:rPr>
        <w:t>1c</w:t>
      </w:r>
      <w:r w:rsidRPr="0035461C">
        <w:rPr>
          <w:rFonts w:ascii="Calibri" w:hAnsi="Calibri" w:cs="Calibri"/>
          <w:sz w:val="24"/>
          <w:szCs w:val="24"/>
          <w:shd w:val="clear" w:color="auto" w:fill="FFFFFF"/>
        </w:rPr>
        <w:t xml:space="preserve"> </w:t>
      </w:r>
      <w:r w:rsidRPr="0035461C">
        <w:rPr>
          <w:rFonts w:ascii="Calibri" w:hAnsi="Calibri" w:cs="Calibri"/>
          <w:color w:val="auto"/>
          <w:sz w:val="24"/>
          <w:szCs w:val="24"/>
        </w:rPr>
        <w:t xml:space="preserve">~8% (64 </w:t>
      </w:r>
      <w:proofErr w:type="spellStart"/>
      <w:r w:rsidRPr="0035461C">
        <w:rPr>
          <w:rFonts w:ascii="Calibri" w:hAnsi="Calibri" w:cs="Calibri"/>
          <w:color w:val="auto"/>
          <w:sz w:val="24"/>
          <w:szCs w:val="24"/>
        </w:rPr>
        <w:t>mmol</w:t>
      </w:r>
      <w:proofErr w:type="spellEnd"/>
      <w:r w:rsidRPr="0035461C">
        <w:rPr>
          <w:rFonts w:ascii="Calibri" w:hAnsi="Calibri" w:cs="Calibri"/>
          <w:color w:val="auto"/>
          <w:sz w:val="24"/>
          <w:szCs w:val="24"/>
        </w:rPr>
        <w:t>/</w:t>
      </w:r>
      <w:proofErr w:type="spellStart"/>
      <w:r w:rsidRPr="0035461C">
        <w:rPr>
          <w:rFonts w:ascii="Calibri" w:hAnsi="Calibri" w:cs="Calibri"/>
          <w:color w:val="auto"/>
          <w:sz w:val="24"/>
          <w:szCs w:val="24"/>
        </w:rPr>
        <w:t>mol</w:t>
      </w:r>
      <w:proofErr w:type="spellEnd"/>
      <w:r w:rsidRPr="0035461C">
        <w:rPr>
          <w:rFonts w:ascii="Calibri" w:hAnsi="Calibri" w:cs="Calibri"/>
          <w:color w:val="auto"/>
          <w:sz w:val="24"/>
          <w:szCs w:val="24"/>
        </w:rPr>
        <w:t>)) in the post-trial period</w:t>
      </w:r>
      <w:r w:rsidR="00F80778" w:rsidRPr="0035461C">
        <w:rPr>
          <w:rFonts w:ascii="Calibri" w:hAnsi="Calibri" w:cs="Calibri"/>
          <w:color w:val="auto"/>
          <w:sz w:val="24"/>
          <w:szCs w:val="24"/>
        </w:rPr>
        <w:t>,</w:t>
      </w:r>
      <w:r w:rsidRPr="0035461C">
        <w:rPr>
          <w:rFonts w:ascii="Calibri" w:hAnsi="Calibri" w:cs="Calibri"/>
          <w:color w:val="auto"/>
          <w:sz w:val="24"/>
          <w:szCs w:val="24"/>
        </w:rPr>
        <w:t xml:space="preserve"> and reductions in cardiovascular disease </w:t>
      </w:r>
      <w:r w:rsidR="00AA70ED" w:rsidRPr="0035461C">
        <w:rPr>
          <w:rFonts w:ascii="Calibri" w:hAnsi="Calibri" w:cs="Calibri"/>
          <w:color w:val="auto"/>
          <w:sz w:val="24"/>
          <w:szCs w:val="24"/>
        </w:rPr>
        <w:t xml:space="preserve">and mortality </w:t>
      </w:r>
      <w:r w:rsidRPr="0035461C">
        <w:rPr>
          <w:rFonts w:ascii="Calibri" w:hAnsi="Calibri" w:cs="Calibri"/>
          <w:color w:val="auto"/>
          <w:sz w:val="24"/>
          <w:szCs w:val="24"/>
        </w:rPr>
        <w:t>emerged with time</w:t>
      </w:r>
      <w:r w:rsidR="00C45DAC" w:rsidRPr="0035461C">
        <w:rPr>
          <w:rFonts w:ascii="Calibri" w:hAnsi="Calibri" w:cs="Calibri"/>
          <w:color w:val="auto"/>
          <w:sz w:val="24"/>
          <w:szCs w:val="24"/>
        </w:rPr>
        <w:t xml:space="preserve"> </w:t>
      </w:r>
      <w:r w:rsidR="002A0084" w:rsidRPr="0035461C">
        <w:rPr>
          <w:rFonts w:ascii="Calibri" w:hAnsi="Calibri" w:cs="Calibri"/>
          <w:color w:val="auto"/>
          <w:sz w:val="24"/>
          <w:szCs w:val="24"/>
        </w:rPr>
        <w:fldChar w:fldCharType="begin"/>
      </w:r>
      <w:r w:rsidR="00076F77">
        <w:rPr>
          <w:rFonts w:ascii="Calibri" w:hAnsi="Calibri" w:cs="Calibri"/>
          <w:color w:val="auto"/>
          <w:sz w:val="24"/>
          <w:szCs w:val="24"/>
        </w:rPr>
        <w:instrText xml:space="preserve"> ADDIN ZOTERO_ITEM CSL_CITATION {"citationID":"ZfzbaQ6A","properties":{"formattedCitation":"(40)","plainCitation":"(40)","noteIndex":0},"citationItems":[{"id":11009,"uris":["http://zotero.org/groups/369679/items/4BDPJ52Z"],"uri":["http://zotero.org/groups/369679/items/4BDPJ52Z"],"itemData":{"id":11009,"type":"article-journal","abstract":"OBJECTIVE: Early initiation of intensive diabetes therapy aimed at achieving near-normal glycemia reduces the early development of vascular complications in type 1 diabetes. We now assess whether intensive therapy compared with conventional therapy during the Diabetes Control and Complications Trial (DCCT) affected the incidence of cardiovascular disease over 30 years of follow-up.\nRESEARCH DESIGN AND METHODS: The DCCT randomly assigned 1,441 patients with type 1 diabetes to intensive versus conventional therapy for a mean of 6.5 years, after which 93% were subsequently monitored during the observational Epidemiology of Diabetes Interventions and Complications (EDIC) study. Cardiovascular disease (nonfatal myocardial infarction and stroke, cardiovascular death, confirmed angina, congestive heart failure, and coronary artery revascularization) was adjudicated using standardized measures.\nRESULTS: During 30 years of follow-up in DCCT and EDIC, 149 cardiovascular disease events occurred in 82 former intensive treatment group subjects versus 217 events in 102 former conventional treatment group subjects. Intensive therapy reduced the incidence of any cardiovascular disease by 30% (95% CI 7, 48; P = 0.016), and the incidence of major cardiovascular events (nonfatal myocardial infarction, stroke, or cardiovascular death) by 32% (95% CI -3, 56; P = 0.07). The lower HbA1c levels during the DCCT/EDIC statistically account for all of the observed treatment effect on cardiovascular disease risk. Increased albuminuria was also independently associated with cardiovascular disease risk.\nCONCLUSIONS: Intensive diabetes therapy during the DCCT (6.5 years) has long-term beneficial effects on the incidence of cardiovascular disease in type 1 diabetes that persist for up to 30 years.","container-title":"Diabetes Care","DOI":"10.2337/dc15-1990","ISSN":"1935-5548","issue":"5","journalAbbreviation":"Diabetes Care","language":"eng","note":"PMID: 26861924\nPMCID: PMC4839174","page":"686-693","source":"PubMed","title":"Intensive Diabetes Treatment and Cardiovascular Outcomes in Type 1 Diabetes: The DCCT/EDIC Study 30-Year Follow-up","title-short":"Intensive Diabetes Treatment and Cardiovascular Outcomes in Type 1 Diabetes","volume":"39","author":[{"literal":"Diabetes Control and Complications Trial (DCCT)/Epidemiology of Diabetes Interventions and Complications (EDIC) Study Research Group"}],"issued":{"date-parts":[["2016",5]]}}}],"schema":"https://github.com/citation-style-language/schema/raw/master/csl-citation.json"} </w:instrText>
      </w:r>
      <w:r w:rsidR="002A0084" w:rsidRPr="0035461C">
        <w:rPr>
          <w:rFonts w:ascii="Calibri" w:hAnsi="Calibri" w:cs="Calibri"/>
          <w:color w:val="auto"/>
          <w:sz w:val="24"/>
          <w:szCs w:val="24"/>
        </w:rPr>
        <w:fldChar w:fldCharType="separate"/>
      </w:r>
      <w:r w:rsidR="001C2617" w:rsidRPr="001C2617">
        <w:rPr>
          <w:rFonts w:ascii="Calibri" w:hAnsi="Calibri" w:cs="Calibri"/>
          <w:sz w:val="24"/>
        </w:rPr>
        <w:t>(40)</w:t>
      </w:r>
      <w:r w:rsidR="002A0084" w:rsidRPr="0035461C">
        <w:rPr>
          <w:rFonts w:ascii="Calibri" w:hAnsi="Calibri" w:cs="Calibri"/>
          <w:color w:val="auto"/>
          <w:sz w:val="24"/>
          <w:szCs w:val="24"/>
        </w:rPr>
        <w:fldChar w:fldCharType="end"/>
      </w:r>
      <w:r w:rsidR="00C45DAC" w:rsidRPr="0035461C">
        <w:rPr>
          <w:rFonts w:ascii="Calibri" w:hAnsi="Calibri" w:cs="Calibri"/>
          <w:color w:val="auto"/>
          <w:sz w:val="24"/>
          <w:szCs w:val="24"/>
        </w:rPr>
        <w:t>.</w:t>
      </w:r>
      <w:r w:rsidRPr="0035461C">
        <w:rPr>
          <w:rFonts w:ascii="Calibri" w:hAnsi="Calibri" w:cs="Calibri"/>
          <w:color w:val="auto"/>
          <w:sz w:val="24"/>
          <w:szCs w:val="24"/>
        </w:rPr>
        <w:t xml:space="preserve"> This seminal study has been the basis for glycaemic target recommendations for type 1 diabetes worldwide. The cost of intensive </w:t>
      </w:r>
      <w:r w:rsidR="00C45DAC" w:rsidRPr="0035461C">
        <w:rPr>
          <w:rFonts w:ascii="Calibri" w:hAnsi="Calibri" w:cs="Calibri"/>
          <w:color w:val="auto"/>
          <w:sz w:val="24"/>
          <w:szCs w:val="24"/>
        </w:rPr>
        <w:t>management</w:t>
      </w:r>
      <w:r w:rsidRPr="0035461C">
        <w:rPr>
          <w:rFonts w:ascii="Calibri" w:hAnsi="Calibri" w:cs="Calibri"/>
          <w:color w:val="auto"/>
          <w:sz w:val="24"/>
          <w:szCs w:val="24"/>
        </w:rPr>
        <w:t xml:space="preserve"> was</w:t>
      </w:r>
      <w:r w:rsidR="00D859CA" w:rsidRPr="0035461C">
        <w:rPr>
          <w:rFonts w:ascii="Calibri" w:hAnsi="Calibri" w:cs="Calibri"/>
          <w:color w:val="auto"/>
          <w:sz w:val="24"/>
          <w:szCs w:val="24"/>
        </w:rPr>
        <w:t>, however,</w:t>
      </w:r>
      <w:r w:rsidRPr="0035461C">
        <w:rPr>
          <w:rFonts w:ascii="Calibri" w:hAnsi="Calibri" w:cs="Calibri"/>
          <w:color w:val="auto"/>
          <w:sz w:val="24"/>
          <w:szCs w:val="24"/>
        </w:rPr>
        <w:t xml:space="preserve"> a </w:t>
      </w:r>
      <w:r w:rsidR="000C6473">
        <w:rPr>
          <w:rFonts w:ascii="Calibri" w:hAnsi="Calibri" w:cs="Calibri"/>
          <w:color w:val="auto"/>
          <w:sz w:val="24"/>
          <w:szCs w:val="24"/>
        </w:rPr>
        <w:t>2-3</w:t>
      </w:r>
      <w:r w:rsidRPr="0035461C">
        <w:rPr>
          <w:rFonts w:ascii="Calibri" w:hAnsi="Calibri" w:cs="Calibri"/>
          <w:color w:val="auto"/>
          <w:sz w:val="24"/>
          <w:szCs w:val="24"/>
        </w:rPr>
        <w:t>-fold increase in the rates of severe hypoglycaemia as well as weight gain.</w:t>
      </w:r>
    </w:p>
    <w:p w14:paraId="72D09B63" w14:textId="5C350824" w:rsidR="007F33D8" w:rsidRPr="0035461C" w:rsidRDefault="007F33D8" w:rsidP="001C5BC0">
      <w:pPr>
        <w:pStyle w:val="section1nextPara"/>
        <w:spacing w:before="120" w:line="240" w:lineRule="auto"/>
        <w:ind w:firstLine="0"/>
        <w:rPr>
          <w:rFonts w:ascii="Calibri" w:hAnsi="Calibri" w:cs="Calibri"/>
          <w:color w:val="auto"/>
          <w:sz w:val="24"/>
          <w:szCs w:val="24"/>
        </w:rPr>
      </w:pPr>
      <w:r w:rsidRPr="0035461C">
        <w:rPr>
          <w:rFonts w:ascii="Calibri" w:hAnsi="Calibri" w:cs="Calibri"/>
          <w:color w:val="auto"/>
          <w:sz w:val="24"/>
          <w:szCs w:val="24"/>
        </w:rPr>
        <w:t xml:space="preserve">The </w:t>
      </w:r>
      <w:r w:rsidR="00AA70ED" w:rsidRPr="0035461C">
        <w:rPr>
          <w:rFonts w:ascii="Calibri" w:hAnsi="Calibri" w:cs="Calibri"/>
          <w:color w:val="auto"/>
          <w:sz w:val="24"/>
          <w:szCs w:val="24"/>
        </w:rPr>
        <w:t xml:space="preserve">main </w:t>
      </w:r>
      <w:r w:rsidRPr="0035461C">
        <w:rPr>
          <w:rFonts w:ascii="Calibri" w:hAnsi="Calibri" w:cs="Calibri"/>
          <w:color w:val="auto"/>
          <w:sz w:val="24"/>
          <w:szCs w:val="24"/>
        </w:rPr>
        <w:t xml:space="preserve">results of </w:t>
      </w:r>
      <w:r w:rsidRPr="00EF4B4D">
        <w:rPr>
          <w:rFonts w:ascii="Calibri" w:hAnsi="Calibri" w:cs="Calibri"/>
          <w:color w:val="auto"/>
          <w:sz w:val="24"/>
          <w:szCs w:val="24"/>
        </w:rPr>
        <w:t xml:space="preserve">the </w:t>
      </w:r>
      <w:r w:rsidRPr="0035461C">
        <w:rPr>
          <w:rFonts w:ascii="Calibri" w:hAnsi="Calibri" w:cs="Calibri"/>
          <w:color w:val="auto"/>
          <w:sz w:val="24"/>
          <w:szCs w:val="24"/>
        </w:rPr>
        <w:t>DCCT were published in 1993 before any of the current insulin analogues and diabetes technologies</w:t>
      </w:r>
      <w:r w:rsidR="0019450E" w:rsidRPr="0035461C">
        <w:rPr>
          <w:rFonts w:ascii="Calibri" w:hAnsi="Calibri" w:cs="Calibri"/>
          <w:color w:val="auto"/>
          <w:sz w:val="24"/>
          <w:szCs w:val="24"/>
        </w:rPr>
        <w:t xml:space="preserve">, </w:t>
      </w:r>
      <w:r w:rsidR="00512AAD" w:rsidRPr="0035461C">
        <w:rPr>
          <w:rFonts w:ascii="Calibri" w:hAnsi="Calibri" w:cs="Calibri"/>
          <w:color w:val="auto"/>
          <w:sz w:val="24"/>
          <w:szCs w:val="24"/>
        </w:rPr>
        <w:t>except for insulin pumps</w:t>
      </w:r>
      <w:r w:rsidR="0019450E" w:rsidRPr="0035461C">
        <w:rPr>
          <w:rFonts w:ascii="Calibri" w:hAnsi="Calibri" w:cs="Calibri"/>
          <w:color w:val="auto"/>
          <w:sz w:val="24"/>
          <w:szCs w:val="24"/>
        </w:rPr>
        <w:t>,</w:t>
      </w:r>
      <w:r w:rsidRPr="0035461C">
        <w:rPr>
          <w:rFonts w:ascii="Calibri" w:hAnsi="Calibri" w:cs="Calibri"/>
          <w:color w:val="auto"/>
          <w:sz w:val="24"/>
          <w:szCs w:val="24"/>
        </w:rPr>
        <w:t xml:space="preserve"> were available. Increasingly, achieving and maintaining glucose levels in the target range have become possible with fewer episodes of hypoglycaemia</w:t>
      </w:r>
      <w:r w:rsidR="00C45DAC" w:rsidRPr="0035461C">
        <w:rPr>
          <w:rFonts w:ascii="Calibri" w:hAnsi="Calibri" w:cs="Calibri"/>
          <w:color w:val="auto"/>
          <w:sz w:val="24"/>
          <w:szCs w:val="24"/>
        </w:rPr>
        <w:t xml:space="preserve"> </w:t>
      </w:r>
      <w:r w:rsidR="00E745D0" w:rsidRPr="0035461C">
        <w:rPr>
          <w:rFonts w:ascii="Calibri" w:hAnsi="Calibri" w:cs="Calibri"/>
          <w:color w:val="auto"/>
          <w:sz w:val="24"/>
          <w:szCs w:val="24"/>
        </w:rPr>
        <w:fldChar w:fldCharType="begin"/>
      </w:r>
      <w:r w:rsidR="00076F77">
        <w:rPr>
          <w:rFonts w:ascii="Calibri" w:hAnsi="Calibri" w:cs="Calibri"/>
          <w:color w:val="auto"/>
          <w:sz w:val="24"/>
          <w:szCs w:val="24"/>
        </w:rPr>
        <w:instrText xml:space="preserve"> ADDIN ZOTERO_ITEM CSL_CITATION {"citationID":"qD4U3x92","properties":{"formattedCitation":"(41\\uc0\\u8211{}44)","plainCitation":"(41–44)","noteIndex":0},"citationItems":[{"id":11012,"uris":["http://zotero.org/groups/369679/items/4WPLFB37"],"uri":["http://zotero.org/groups/369679/items/4WPLFB37"],"itemData":{"id":11012,"type":"article-journal","abstract":"CONTEXT: Few studies have assessed factors associated with severe hypoglycemia (SH) and diabetic ketoacidosis (DKA) in adults with type 1 diabetes (T1D).\nOBJECTIVE: Our objective was to determine frequency of and factors associated with the occurrence of SH and DKA in adults with T1D.\nDESIGN AND SETTING: We conducted a cross-sectional analysis from the T1D Exchange clinic registry at 70 U.S. endocrino</w:instrText>
      </w:r>
      <w:r w:rsidR="00076F77">
        <w:rPr>
          <w:rFonts w:ascii="Calibri" w:hAnsi="Calibri" w:cs="Calibri" w:hint="eastAsia"/>
          <w:color w:val="auto"/>
          <w:sz w:val="24"/>
          <w:szCs w:val="24"/>
        </w:rPr>
        <w:instrText xml:space="preserve">logy centers.\nPATIENTS: Analysis included 7012 participants in the T1D Exchange clinic registry aged 26 to 93 years old with T1D for </w:instrText>
      </w:r>
      <w:r w:rsidR="00076F77">
        <w:rPr>
          <w:rFonts w:ascii="Calibri" w:hAnsi="Calibri" w:cs="Calibri" w:hint="eastAsia"/>
          <w:color w:val="auto"/>
          <w:sz w:val="24"/>
          <w:szCs w:val="24"/>
        </w:rPr>
        <w:instrText>≥</w:instrText>
      </w:r>
      <w:r w:rsidR="00076F77">
        <w:rPr>
          <w:rFonts w:ascii="Calibri" w:hAnsi="Calibri" w:cs="Calibri" w:hint="eastAsia"/>
          <w:color w:val="auto"/>
          <w:sz w:val="24"/>
          <w:szCs w:val="24"/>
        </w:rPr>
        <w:instrText xml:space="preserve">2 years.\nRESULTS: Higher frequencies of SH and DKA were associated with lower socioeconomic status (P &lt; .001). SH was strongly associated with diabetes duration (P &lt; .001), with 18.6% of those with diabetes </w:instrText>
      </w:r>
      <w:r w:rsidR="00076F77">
        <w:rPr>
          <w:rFonts w:ascii="Calibri" w:hAnsi="Calibri" w:cs="Calibri" w:hint="eastAsia"/>
          <w:color w:val="auto"/>
          <w:sz w:val="24"/>
          <w:szCs w:val="24"/>
        </w:rPr>
        <w:instrText>≥</w:instrText>
      </w:r>
      <w:r w:rsidR="00076F77">
        <w:rPr>
          <w:rFonts w:ascii="Calibri" w:hAnsi="Calibri" w:cs="Calibri" w:hint="eastAsia"/>
          <w:color w:val="auto"/>
          <w:sz w:val="24"/>
          <w:szCs w:val="24"/>
        </w:rPr>
        <w:instrText xml:space="preserve">40 years having an event in the past 12 months. SH frequency was lowest in those with hemoglobin A1c (HbA1c) levels of 7.0% (53 mmol/mol) to 7.5% (58 mmol/mol), being higher in those with HbA1c levels &lt;7.0% (&lt;53 mmol/mol) or &gt;7.5% (&gt;58 mmol/mol). DKA frequency increased with higher HbA1c levels (P &lt; .001), with 21.0% of those with HbA1c </w:instrText>
      </w:r>
      <w:r w:rsidR="00076F77">
        <w:rPr>
          <w:rFonts w:ascii="Calibri" w:hAnsi="Calibri" w:cs="Calibri" w:hint="eastAsia"/>
          <w:color w:val="auto"/>
          <w:sz w:val="24"/>
          <w:szCs w:val="24"/>
        </w:rPr>
        <w:instrText>≥</w:instrText>
      </w:r>
      <w:r w:rsidR="00076F77">
        <w:rPr>
          <w:rFonts w:ascii="Calibri" w:hAnsi="Calibri" w:cs="Calibri" w:hint="eastAsia"/>
          <w:color w:val="auto"/>
          <w:sz w:val="24"/>
          <w:szCs w:val="24"/>
        </w:rPr>
        <w:instrText>10.0% (</w:instrText>
      </w:r>
      <w:r w:rsidR="00076F77">
        <w:rPr>
          <w:rFonts w:ascii="Calibri" w:hAnsi="Calibri" w:cs="Calibri" w:hint="eastAsia"/>
          <w:color w:val="auto"/>
          <w:sz w:val="24"/>
          <w:szCs w:val="24"/>
        </w:rPr>
        <w:instrText>≥</w:instrText>
      </w:r>
      <w:r w:rsidR="00076F77">
        <w:rPr>
          <w:rFonts w:ascii="Calibri" w:hAnsi="Calibri" w:cs="Calibri" w:hint="eastAsia"/>
          <w:color w:val="auto"/>
          <w:sz w:val="24"/>
          <w:szCs w:val="24"/>
        </w:rPr>
        <w:instrText xml:space="preserve">86 mmol/mol) having an event in the past 12 months.\nCONCLUSIONS: SH and DKA are more common in those with lower socioeconomic status. DKA, most common in those with HbA1c </w:instrText>
      </w:r>
      <w:r w:rsidR="00076F77">
        <w:rPr>
          <w:rFonts w:ascii="Calibri" w:hAnsi="Calibri" w:cs="Calibri" w:hint="eastAsia"/>
          <w:color w:val="auto"/>
          <w:sz w:val="24"/>
          <w:szCs w:val="24"/>
        </w:rPr>
        <w:instrText>≥</w:instrText>
      </w:r>
      <w:r w:rsidR="00076F77">
        <w:rPr>
          <w:rFonts w:ascii="Calibri" w:hAnsi="Calibri" w:cs="Calibri" w:hint="eastAsia"/>
          <w:color w:val="auto"/>
          <w:sz w:val="24"/>
          <w:szCs w:val="24"/>
        </w:rPr>
        <w:instrText>10.0% (</w:instrText>
      </w:r>
      <w:r w:rsidR="00076F77">
        <w:rPr>
          <w:rFonts w:ascii="Calibri" w:hAnsi="Calibri" w:cs="Calibri" w:hint="eastAsia"/>
          <w:color w:val="auto"/>
          <w:sz w:val="24"/>
          <w:szCs w:val="24"/>
        </w:rPr>
        <w:instrText>≥</w:instrText>
      </w:r>
      <w:r w:rsidR="00076F77">
        <w:rPr>
          <w:rFonts w:ascii="Calibri" w:hAnsi="Calibri" w:cs="Calibri" w:hint="eastAsia"/>
          <w:color w:val="auto"/>
          <w:sz w:val="24"/>
          <w:szCs w:val="24"/>
        </w:rPr>
        <w:instrText xml:space="preserve">86 mmol/mol), should be largely preventable. In contrast, SH, most frequent with diabetes </w:instrText>
      </w:r>
      <w:r w:rsidR="00076F77">
        <w:rPr>
          <w:rFonts w:ascii="Calibri" w:hAnsi="Calibri" w:cs="Calibri" w:hint="eastAsia"/>
          <w:color w:val="auto"/>
          <w:sz w:val="24"/>
          <w:szCs w:val="24"/>
        </w:rPr>
        <w:instrText>≥</w:instrText>
      </w:r>
      <w:r w:rsidR="00076F77">
        <w:rPr>
          <w:rFonts w:ascii="Calibri" w:hAnsi="Calibri" w:cs="Calibri" w:hint="eastAsia"/>
          <w:color w:val="auto"/>
          <w:sz w:val="24"/>
          <w:szCs w:val="24"/>
        </w:rPr>
        <w:instrText>40 years duration, cannot be abolished given the limitat</w:instrText>
      </w:r>
      <w:r w:rsidR="00076F77">
        <w:rPr>
          <w:rFonts w:ascii="Calibri" w:hAnsi="Calibri" w:cs="Calibri"/>
          <w:color w:val="auto"/>
          <w:sz w:val="24"/>
          <w:szCs w:val="24"/>
        </w:rPr>
        <w:instrText>ion of current therapies. To reduce SH in adults with longstanding diabetes, consideration should be given to modifying HbA1c goals, particularly in patients with very low HbA1c levels.","container-title":"The Journal of Clinical Endocrinology and Metabolism","DOI":"10.1210/jc.2013-1589","ISSN":"1945-7197","issue":"8","journalAbbreviation":"J Clin Endocrinol Metab","language":"eng","note":"PMID: 23760624","page":"3411-3419","source":"PubMed","title":"Severe hypoglycemia and diabetic ketoacidosis in adults with type 1 diabetes: results from the T1D Exchange clinic registry","title-short":"Severe hypoglycemia and diabetic ketoacidosis in adults with type 1 diabetes","volume":"98","author":[{"family":"Weinstock","given":"Ruth S."},{"family":"Xing","given":"Dongyuan"},{"family":"Maahs","given":"David M."},{"family":"Michels","given":"Aaron"},{"family":"Rickels","given":"Michael R."},{"family":"Peters","given":"Anne L."},{"family":"Bergenstal","given":"Richard M."},{"family":"Harris","given":"Breanne"},{"family":"Dubose","given":"Stephanie N."},{"family":"Miller","given":"Kellee M."},{"family":"Beck","given":"Roy W."},{"literal":"T1D Exchange Clinic Network"}],"issued":{"date-parts":[["2013",8]]}}},{"id":1179,"uris":["http://zotero.org/groups/369679/items/TM8MXG3A"],"uri":["http://zotero.org/groups/369679/items/TM8MXG3A"],"itemData":{"id":1179,"type":"article-journal","abstract":"BACKGROUND: The value of continuous glucose monitoring in the management of type 1 diabetes mellitus has not been determined.\nMETHODS: In a multicenter clinical trial, we randomly assigned 322 adults and children who were already receiving intensive therapy for type 1 diabetes to a group with continuous glucose monitoring or to a control group performing home monitoring with a blood glucose meter. All the patients were stratified into three groups according to age and had a glycated hemoglobin level of 7.0 to 10.0%. The primary outcome was the change in the glycated hemoglobin level at 26 weeks.\nRESULTS: The changes in glycated hemoglobin levels in the two study groups varied markedly according to age group (P=0.003), with a significant difference among patients 25 years of age or older that favored the continuous-monitoring group (mean difference in change, -0.53%; 95% confidence interval [CI], -0.71 to -0.35; P&lt;0.001). The between-group difference was not significant among those who were 15 to 24 years of age (mean difference, 0.08; 95% CI, -0.17 to 0.33; P=0.52) or among those who were 8 to 14 years of age (mean difference, -0.13; 95% CI, -0.38 to 0.11; P=0.29). Secondary glycated hemoglobin outcomes were better in the continuous-monitoring group than in the control group among the oldest and youngest patients but not among those who were 15 to 24 years of age. The use of continuous glucose monitoring averaged 6.0 or more days per week for 83% of patients 25 years of age or older, 30% of those 15 to 24 years of age, and 50% of those 8 to 14 years of age. The rate of severe hypoglycemia was low and did not differ between the two study groups; however, the trial was not powered to detect such a difference.\nCONCLUSIONS: Continuous glucose monitoring can be associated with improved glycemic control in adults with type 1 diabetes. Further work is needed to identify barriers to effectiveness of continuous monitoring in children and adolescents. (ClinicalTrials.gov number, NCT00406133.)","container-title":"The New England journal of medicine","DOI":"10.1056/NEJMoa0805017","ISSN":"1533-4406","issue":"14","journalAbbreviation":"N. Engl. J. Med.","language":"eng","note":"PMID: 18779236","page":"1464-1476","source":"NCBI PubMed","title":"Continuous glucose monitoring and intensive treatment of type 1 diabetes","volume":"359","author":[{"literal":"Juvenile Diabetes Research Foundation Continuous Glucose Monitoring Study Group"},{"family":"Tamborlane","given":"William V"},{"family":"Beck","given":"Roy W"},{"family":"Bode","given":"Bruce W"},{"family":"Buckingham","given":"Bruce"},{"family":"Chase","given":"H Peter"},{"family":"Clemons","given":"Robert"},{"family":"Fiallo-Scharer","given":"Rosanna"},{"family":"Fox","given":"Larry A"},{"family":"Gilliam","given":"Lisa K"},{"family":"Hirsch","given":"Irl B"},{"family":"Huang","given":"Elbert S"},{"family":"Kollman","given":"Craig"},{"family":"Kowalski","given":"Aaron J"},{"family":"Laffel","given":"Lori"},{"family":"Lawrence","given":"Jean M"},{"family":"Lee","given":"Joyce"},{"family":"Mauras","given":"Nelly"},{"family":"O'Grady","given":"Michael"},{"family":"Ruedy","given":"Katrina J"},{"family":"Tansey","given":"Michael"},{"family":"Tsalikian","given":"Eva"},{"family":"Weinzimer","given":"Stuart"},{"family":"Wilson","given":"Darrell M"},{"family":"Wolpert","given":"Howard"},{"family":"Wysocki","given":"Tim"},{"family":"Xing","given":"Dongyuan"}],"issued":{"date-parts":[["2008",10,2]]}}},{"id":327,"uris":["http://zotero.org/groups/369679/items/3PRCJV9V"],"uri":["http://zotero.org/groups/369679/items/3PRCJV9V"],"itemData":{"id":327,"type":"article-journal","abstract":"BACKGROUND: Tight control of blood glucose in type 1 diabetes delays onset of macrovascular and microvascular diabetic complications; however, glucose levels need to be closely monitored to prevent hypoglycaemia. We aimed to assess whether a factory-calibrated, sensor-based, flash glucose-monitoring system compared with self-monitored glucose testing reduced exposure to hypoglycaemia in patients with type 1 diabetes.\nMETHOD: In this multicentre, prospective, non-masked, randomised controlled trial, we enrolled adult patients wit</w:instrText>
      </w:r>
      <w:r w:rsidR="00076F77">
        <w:rPr>
          <w:rFonts w:ascii="Calibri" w:hAnsi="Calibri" w:cs="Calibri" w:hint="eastAsia"/>
          <w:color w:val="auto"/>
          <w:sz w:val="24"/>
          <w:szCs w:val="24"/>
        </w:rPr>
        <w:instrText xml:space="preserve">h well controlled type 1 diabetes (HbA1c </w:instrText>
      </w:r>
      <w:r w:rsidR="00076F77">
        <w:rPr>
          <w:rFonts w:ascii="Calibri" w:hAnsi="Calibri" w:cs="Calibri" w:hint="eastAsia"/>
          <w:color w:val="auto"/>
          <w:sz w:val="24"/>
          <w:szCs w:val="24"/>
        </w:rPr>
        <w:instrText>≤</w:instrText>
      </w:r>
      <w:r w:rsidR="00076F77">
        <w:rPr>
          <w:rFonts w:ascii="Calibri" w:hAnsi="Calibri" w:cs="Calibri" w:hint="eastAsia"/>
          <w:color w:val="auto"/>
          <w:sz w:val="24"/>
          <w:szCs w:val="24"/>
        </w:rPr>
        <w:instrText>58 mmol/mol [7</w:instrText>
      </w:r>
      <w:r w:rsidR="00076F77">
        <w:rPr>
          <w:rFonts w:ascii="Calibri" w:hAnsi="Calibri" w:cs="Calibri" w:hint="eastAsia"/>
          <w:color w:val="auto"/>
          <w:sz w:val="24"/>
          <w:szCs w:val="24"/>
        </w:rPr>
        <w:instrText>·</w:instrText>
      </w:r>
      <w:r w:rsidR="00076F77">
        <w:rPr>
          <w:rFonts w:ascii="Calibri" w:hAnsi="Calibri" w:cs="Calibri" w:hint="eastAsia"/>
          <w:color w:val="auto"/>
          <w:sz w:val="24"/>
          <w:szCs w:val="24"/>
        </w:rPr>
        <w:instrText>5%]) from 23 European diabetes centres. After 2 weeks of all participants wearing the blinded sensor, those with readings for at least 50% of the period were randomly assigned (1:1) to flash sensor-</w:instrText>
      </w:r>
      <w:r w:rsidR="00076F77">
        <w:rPr>
          <w:rFonts w:ascii="Calibri" w:hAnsi="Calibri" w:cs="Calibri"/>
          <w:color w:val="auto"/>
          <w:sz w:val="24"/>
          <w:szCs w:val="24"/>
        </w:rPr>
        <w:instrText>based glucose monitoring (intervention group) or to self-monitoring of blood glucose with capillary strips (control group). Randomisation was done centrally using the biased-coin minimisation method dependent on study centre and type of insulin administration. Participants, investigators, and study staff were not masked to group allocation. The primary outcome was change in time in hypoglycaemia (&lt;3·9 mmol/L [70 mg/dL]) between baseline and 6 months in the full analysis set (all participants randomised; excluding those who had a positive pregnancy test during the study). This trial was registered with ClinicalTrials.gov, number NCT02232698.\nFINDINGS: Between Sept 4, 2014, and Feb 12, 2015, we enrolled 328 participants. After the screening and baseline phase, 120 participants were randomly assigned to the intervention group and 121 to the control group, with outcomes being evaluated in 119 and 120, respectively. Mean time in hypoglycaemia changed from 3·38 h/day at baseline to 2·03 h/day at 6 months (baseline adjusted mean change -1·39) in the intervention group, and from 3·44 h/day to 3·27 h/day in the control group (-0·14); with the between-group difference of -1·24 (SE 0·239; p&lt;0·0001), equating to a 38% reduction in time in hypoglycaemia in the intervention group. No device-related hypoglycaemia or safety issues were reported. 13 adverse events were reported by ten participants related to the sensor-four of allergy events (one severe, three moderate); one itching (mild); one rash (mild); four insertion-site symptom (severe); two erythema (one severe, one mild); and one oedema (moderate). There were ten serious adverse events (five in each group) reported by nine participants; none were related to the device.\nINTERPRETATION: Novel flash glucose testing reduced the time adults with well controlled type 1 diabetes spent in hypoglycaemia. Future studies are needed to assess the effectiveness of this technology in patients with less well controlled diabetes and in younger age groups.\nFUNDING: Abbott Diabetes Care.","container-title":"Lancet (London, England)","DOI":"10.1016/S0140-6736(16)31535-5","ISSN":"1474-547X","issue":"10057","journalAbbreviation":"Lancet","language":"eng","note":"PMID: 27634581","page":"2254-2263","source":"PubMed","title":"Novel glucose-sensing technology and hypoglycaemia in type 1 diabetes: a multicentre, non-masked, randomised controlled trial","title-short":"Novel glucose-sensing technology and hypoglycaemia in type 1 diabetes","volume":"388","author":[{"family":"Bolinder","given":"Jan"},{"family":"Antuna","given":"Ramiro"},{"family":"Geelhoed-Duijvestijn","given":"Petronella"},{"family":"Kröger","given":"Jens"},{"family":"Weitgasser","given":"Raimund"}],"issued":{"date-parts":[["2016"]],"season":"05"}}},{"id":3716,"uris":["http://zotero.org/groups/369679/items/LVQW5IZV"],"uri":["http://zotero.org/groups/369679/items/LVQW5IZV"],"itemData":{"id":3716,"type":"article-journal","abstract":"BACKGROUND: Patients with type 1 diabetes who have impaired awareness of hypoglycaemia have a three to six times increased risk of severe hypoglycaemia. We aimed to assess whether continuous glucose monitoring (CGM) improves glycaemia and prevents severe hypoglycaemia compared with self-monitoring of blood glucose (SMBG) in this high-risk population.\nMETHODS: We did a randomised, open-label, crossover trial (IN CONTROL) at two medical centres in the Netherlands. Eligible participants were patients diagnosed with type 1 diabetes according to American Diabetes Association criteria, aged 18-75 years, with impaired awareness of hypoglycaemia as confirmed by a Gold score of at least 4, and treated with either continuous subcutaneous insulin infusion or multiple daily insulin injections and doing at least three SMBG measurements per day. After screening, re-education about diabetes management, and a 6-week run-in phase (to obtain baseline CGM data), we randomly assigned patients (1:1) with a computer-generated allocation sequence (block size of four) to either 16 weeks of CGM followed by 12 weeks of washout and 16 weeks of SMBG, or 16 weeks of SMBG followed by 12 weeks of washout and 16 weeks of CGM (where the SMBG phase was the control). During the CGM phase, patients used a real-time CGM system consisting of a Paradigm Veo system with a MiniLink transmitter and an Enlite glucose sensor (Medtronic, CA, USA). During the SMBG phase, patients were equipped with a masked CGM device, consisting of an iPro 2 continuous glucose monitor and an Enlite glucose sensor, which does not display real-time glucose values. The number of SMBG measurements per day and SMBG systems were not standardised between patients, to mimic real-life conditions. During both intervention periods, patients attended follow-up visits at the centres each month and had telephone consultations 2 weeks after each visit inquiring about adverse events, episodes of hypoglycaemia, etc. The primary endpoint was the mean difference in percentage of time spent in normoglycaemia (4-10 mmol/L) over the total intervention periods, analysed on an intention-to-treat basis. Severe hypoglycaemia (requiring third party assistance) was a secondary endpoint. This trial is registered with ClinicalTrials.gov, number NCT01787903.\nFINDINGS: Between March 4, 2013, and Feb 9, 2015, we recruited and randomly assigned 52 patients to either the CGM-SMBG sequence (n=26) or the SMBG-CGM sequence (n=26). The last patient visit was on March 21, 2016. Time spent in normoglycaemia was higher during CGM than during SMBG: 65·0% (95% CI 62·8-67·3) versus 55·4% (53·1-57·7</w:instrText>
      </w:r>
      <w:r w:rsidR="00076F77">
        <w:rPr>
          <w:rFonts w:ascii="Calibri" w:hAnsi="Calibri" w:cs="Calibri" w:hint="eastAsia"/>
          <w:color w:val="auto"/>
          <w:sz w:val="24"/>
          <w:szCs w:val="24"/>
        </w:rPr>
        <w:instrText>; mean difference 9</w:instrText>
      </w:r>
      <w:r w:rsidR="00076F77">
        <w:rPr>
          <w:rFonts w:ascii="Calibri" w:hAnsi="Calibri" w:cs="Calibri" w:hint="eastAsia"/>
          <w:color w:val="auto"/>
          <w:sz w:val="24"/>
          <w:szCs w:val="24"/>
        </w:rPr>
        <w:instrText>·</w:instrText>
      </w:r>
      <w:r w:rsidR="00076F77">
        <w:rPr>
          <w:rFonts w:ascii="Calibri" w:hAnsi="Calibri" w:cs="Calibri" w:hint="eastAsia"/>
          <w:color w:val="auto"/>
          <w:sz w:val="24"/>
          <w:szCs w:val="24"/>
        </w:rPr>
        <w:instrText>6%, 95% CI 8</w:instrText>
      </w:r>
      <w:r w:rsidR="00076F77">
        <w:rPr>
          <w:rFonts w:ascii="Calibri" w:hAnsi="Calibri" w:cs="Calibri" w:hint="eastAsia"/>
          <w:color w:val="auto"/>
          <w:sz w:val="24"/>
          <w:szCs w:val="24"/>
        </w:rPr>
        <w:instrText>·</w:instrText>
      </w:r>
      <w:r w:rsidR="00076F77">
        <w:rPr>
          <w:rFonts w:ascii="Calibri" w:hAnsi="Calibri" w:cs="Calibri" w:hint="eastAsia"/>
          <w:color w:val="auto"/>
          <w:sz w:val="24"/>
          <w:szCs w:val="24"/>
        </w:rPr>
        <w:instrText>0-11</w:instrText>
      </w:r>
      <w:r w:rsidR="00076F77">
        <w:rPr>
          <w:rFonts w:ascii="Calibri" w:hAnsi="Calibri" w:cs="Calibri" w:hint="eastAsia"/>
          <w:color w:val="auto"/>
          <w:sz w:val="24"/>
          <w:szCs w:val="24"/>
        </w:rPr>
        <w:instrText>·</w:instrText>
      </w:r>
      <w:r w:rsidR="00076F77">
        <w:rPr>
          <w:rFonts w:ascii="Calibri" w:hAnsi="Calibri" w:cs="Calibri" w:hint="eastAsia"/>
          <w:color w:val="auto"/>
          <w:sz w:val="24"/>
          <w:szCs w:val="24"/>
        </w:rPr>
        <w:instrText>2; p&lt;0</w:instrText>
      </w:r>
      <w:r w:rsidR="00076F77">
        <w:rPr>
          <w:rFonts w:ascii="Calibri" w:hAnsi="Calibri" w:cs="Calibri" w:hint="eastAsia"/>
          <w:color w:val="auto"/>
          <w:sz w:val="24"/>
          <w:szCs w:val="24"/>
        </w:rPr>
        <w:instrText>·</w:instrText>
      </w:r>
      <w:r w:rsidR="00076F77">
        <w:rPr>
          <w:rFonts w:ascii="Calibri" w:hAnsi="Calibri" w:cs="Calibri" w:hint="eastAsia"/>
          <w:color w:val="auto"/>
          <w:sz w:val="24"/>
          <w:szCs w:val="24"/>
        </w:rPr>
        <w:instrText xml:space="preserve">0001), with reductions in both time spent in hypoglycaemia (ie, blood glucose </w:instrText>
      </w:r>
      <w:r w:rsidR="00076F77">
        <w:rPr>
          <w:rFonts w:ascii="Calibri" w:hAnsi="Calibri" w:cs="Calibri" w:hint="eastAsia"/>
          <w:color w:val="auto"/>
          <w:sz w:val="24"/>
          <w:szCs w:val="24"/>
        </w:rPr>
        <w:instrText>≤</w:instrText>
      </w:r>
      <w:r w:rsidR="00076F77">
        <w:rPr>
          <w:rFonts w:ascii="Calibri" w:hAnsi="Calibri" w:cs="Calibri" w:hint="eastAsia"/>
          <w:color w:val="auto"/>
          <w:sz w:val="24"/>
          <w:szCs w:val="24"/>
        </w:rPr>
        <w:instrText>3</w:instrText>
      </w:r>
      <w:r w:rsidR="00076F77">
        <w:rPr>
          <w:rFonts w:ascii="Calibri" w:hAnsi="Calibri" w:cs="Calibri" w:hint="eastAsia"/>
          <w:color w:val="auto"/>
          <w:sz w:val="24"/>
          <w:szCs w:val="24"/>
        </w:rPr>
        <w:instrText>·</w:instrText>
      </w:r>
      <w:r w:rsidR="00076F77">
        <w:rPr>
          <w:rFonts w:ascii="Calibri" w:hAnsi="Calibri" w:cs="Calibri" w:hint="eastAsia"/>
          <w:color w:val="auto"/>
          <w:sz w:val="24"/>
          <w:szCs w:val="24"/>
        </w:rPr>
        <w:instrText>9 mmol/L [6</w:instrText>
      </w:r>
      <w:r w:rsidR="00076F77">
        <w:rPr>
          <w:rFonts w:ascii="Calibri" w:hAnsi="Calibri" w:cs="Calibri" w:hint="eastAsia"/>
          <w:color w:val="auto"/>
          <w:sz w:val="24"/>
          <w:szCs w:val="24"/>
        </w:rPr>
        <w:instrText>·</w:instrText>
      </w:r>
      <w:r w:rsidR="00076F77">
        <w:rPr>
          <w:rFonts w:ascii="Calibri" w:hAnsi="Calibri" w:cs="Calibri" w:hint="eastAsia"/>
          <w:color w:val="auto"/>
          <w:sz w:val="24"/>
          <w:szCs w:val="24"/>
        </w:rPr>
        <w:instrText>8% vs 11</w:instrText>
      </w:r>
      <w:r w:rsidR="00076F77">
        <w:rPr>
          <w:rFonts w:ascii="Calibri" w:hAnsi="Calibri" w:cs="Calibri" w:hint="eastAsia"/>
          <w:color w:val="auto"/>
          <w:sz w:val="24"/>
          <w:szCs w:val="24"/>
        </w:rPr>
        <w:instrText>·</w:instrText>
      </w:r>
      <w:r w:rsidR="00076F77">
        <w:rPr>
          <w:rFonts w:ascii="Calibri" w:hAnsi="Calibri" w:cs="Calibri" w:hint="eastAsia"/>
          <w:color w:val="auto"/>
          <w:sz w:val="24"/>
          <w:szCs w:val="24"/>
        </w:rPr>
        <w:instrText>4%, mean difference 4</w:instrText>
      </w:r>
      <w:r w:rsidR="00076F77">
        <w:rPr>
          <w:rFonts w:ascii="Calibri" w:hAnsi="Calibri" w:cs="Calibri" w:hint="eastAsia"/>
          <w:color w:val="auto"/>
          <w:sz w:val="24"/>
          <w:szCs w:val="24"/>
        </w:rPr>
        <w:instrText>·</w:instrText>
      </w:r>
      <w:r w:rsidR="00076F77">
        <w:rPr>
          <w:rFonts w:ascii="Calibri" w:hAnsi="Calibri" w:cs="Calibri" w:hint="eastAsia"/>
          <w:color w:val="auto"/>
          <w:sz w:val="24"/>
          <w:szCs w:val="24"/>
        </w:rPr>
        <w:instrText>7%, 3</w:instrText>
      </w:r>
      <w:r w:rsidR="00076F77">
        <w:rPr>
          <w:rFonts w:ascii="Calibri" w:hAnsi="Calibri" w:cs="Calibri" w:hint="eastAsia"/>
          <w:color w:val="auto"/>
          <w:sz w:val="24"/>
          <w:szCs w:val="24"/>
        </w:rPr>
        <w:instrText>·</w:instrText>
      </w:r>
      <w:r w:rsidR="00076F77">
        <w:rPr>
          <w:rFonts w:ascii="Calibri" w:hAnsi="Calibri" w:cs="Calibri" w:hint="eastAsia"/>
          <w:color w:val="auto"/>
          <w:sz w:val="24"/>
          <w:szCs w:val="24"/>
        </w:rPr>
        <w:instrText>4-5</w:instrText>
      </w:r>
      <w:r w:rsidR="00076F77">
        <w:rPr>
          <w:rFonts w:ascii="Calibri" w:hAnsi="Calibri" w:cs="Calibri" w:hint="eastAsia"/>
          <w:color w:val="auto"/>
          <w:sz w:val="24"/>
          <w:szCs w:val="24"/>
        </w:rPr>
        <w:instrText>·</w:instrText>
      </w:r>
      <w:r w:rsidR="00076F77">
        <w:rPr>
          <w:rFonts w:ascii="Calibri" w:hAnsi="Calibri" w:cs="Calibri" w:hint="eastAsia"/>
          <w:color w:val="auto"/>
          <w:sz w:val="24"/>
          <w:szCs w:val="24"/>
        </w:rPr>
        <w:instrText>9; p&lt;0</w:instrText>
      </w:r>
      <w:r w:rsidR="00076F77">
        <w:rPr>
          <w:rFonts w:ascii="Calibri" w:hAnsi="Calibri" w:cs="Calibri" w:hint="eastAsia"/>
          <w:color w:val="auto"/>
          <w:sz w:val="24"/>
          <w:szCs w:val="24"/>
        </w:rPr>
        <w:instrText>·</w:instrText>
      </w:r>
      <w:r w:rsidR="00076F77">
        <w:rPr>
          <w:rFonts w:ascii="Calibri" w:hAnsi="Calibri" w:cs="Calibri" w:hint="eastAsia"/>
          <w:color w:val="auto"/>
          <w:sz w:val="24"/>
          <w:szCs w:val="24"/>
        </w:rPr>
        <w:instrText>0001]) and time spent in hyperglycaemia (ie, blood glucose &gt;10 mmol/L</w:instrText>
      </w:r>
      <w:r w:rsidR="00076F77">
        <w:rPr>
          <w:rFonts w:ascii="Calibri" w:hAnsi="Calibri" w:cs="Calibri"/>
          <w:color w:val="auto"/>
          <w:sz w:val="24"/>
          <w:szCs w:val="24"/>
        </w:rPr>
        <w:instrText xml:space="preserve"> [28·2% vs 33·2%, mean difference 5·0%, 3·1-6·9; p&lt;0·0001]). During CGM, the number of severe hypoglycaemic events was lower (14 events vs 34 events, p=0·033). Five serious adverse events other than severe hypoglycaemia occurred during the trial, but all were deemed unrelated to the trial intervention. Additionally, no mild to moderate adverse events were related to the trial intervention.\nINTERPRETATION: CGM increased time spent in normoglycaemia and reduced severe hypoglycaemia in patients with type 1 diabetes and impaired awareness of hypoglycaemia, compared with SMBG. Our results support the concept of using CGM in this high-risk population.\nFUNDING: Eli Lilly and Sanofi.","container-title":"The Lancet. Diabetes &amp; Endocrinology","DOI":"10.1016/S2213-8587(16)30193-0","ISSN":"2213-8595","issue":"11","journalAbbreviation":"Lancet Diabetes Endocrinol","language":"eng","note":"PMID: 27641781","page":"893-902","source":"PubMed","title":"Continuous glucose monitoring for patients with type 1 diabetes and impaired awareness of hypoglycaemia (IN CONTROL): a randomised, open-label, crossover trial","title-short":"Continuous glucose monitoring for patients with type 1 diabetes and impaired awareness of hypoglycaemia (IN CONTROL)","volume":"4","author":[{"family":"Beers","given":"Cornelis A. J.","non-dropping-particle":"van"},{"family":"DeVries","given":"J. Hans"},{"family":"Kleijer","given":"Susanne J."},{"family":"Smits","given":"Mark M."},{"family":"Geelhoed-Duijvestijn","given":"Petronella H."},{"family":"Kramer","given":"Mark H. H."},{"family":"Diamant","given":"Michaela"},{"family":"Snoek","given":"Frank J."},{"family":"Serné","given":"Erik H."}],"issued":{"date-parts":[["2016"]]}}}],"schema":"https://github.com/citation-style-language/schema/raw/master/csl-citation.json"} </w:instrText>
      </w:r>
      <w:r w:rsidR="00E745D0" w:rsidRPr="0035461C">
        <w:rPr>
          <w:rFonts w:ascii="Calibri" w:hAnsi="Calibri" w:cs="Calibri"/>
          <w:color w:val="auto"/>
          <w:sz w:val="24"/>
          <w:szCs w:val="24"/>
        </w:rPr>
        <w:fldChar w:fldCharType="separate"/>
      </w:r>
      <w:r w:rsidR="001C2617" w:rsidRPr="001C2617">
        <w:rPr>
          <w:rFonts w:ascii="Calibri" w:hAnsi="Calibri" w:cs="Calibri"/>
          <w:sz w:val="24"/>
          <w:szCs w:val="24"/>
        </w:rPr>
        <w:t>(41–44)</w:t>
      </w:r>
      <w:r w:rsidR="00E745D0" w:rsidRPr="0035461C">
        <w:rPr>
          <w:rFonts w:ascii="Calibri" w:hAnsi="Calibri" w:cs="Calibri"/>
          <w:color w:val="auto"/>
          <w:sz w:val="24"/>
          <w:szCs w:val="24"/>
        </w:rPr>
        <w:fldChar w:fldCharType="end"/>
      </w:r>
      <w:r w:rsidR="00C45DAC" w:rsidRPr="0035461C">
        <w:rPr>
          <w:rFonts w:ascii="Calibri" w:hAnsi="Calibri" w:cs="Calibri"/>
          <w:color w:val="auto"/>
          <w:sz w:val="24"/>
          <w:szCs w:val="24"/>
        </w:rPr>
        <w:t>.</w:t>
      </w:r>
      <w:r w:rsidRPr="0035461C">
        <w:rPr>
          <w:rFonts w:ascii="Calibri" w:hAnsi="Calibri" w:cs="Calibri"/>
          <w:color w:val="auto"/>
          <w:sz w:val="24"/>
          <w:szCs w:val="24"/>
        </w:rPr>
        <w:t xml:space="preserve"> Although the evidence of HbA</w:t>
      </w:r>
      <w:r w:rsidRPr="0035461C">
        <w:rPr>
          <w:rFonts w:ascii="Calibri" w:hAnsi="Calibri" w:cs="Calibri"/>
          <w:color w:val="auto"/>
          <w:sz w:val="24"/>
          <w:szCs w:val="24"/>
          <w:vertAlign w:val="subscript"/>
        </w:rPr>
        <w:t>1c</w:t>
      </w:r>
      <w:r w:rsidRPr="0035461C">
        <w:rPr>
          <w:rFonts w:ascii="Calibri" w:hAnsi="Calibri" w:cs="Calibri"/>
          <w:color w:val="auto"/>
          <w:sz w:val="24"/>
          <w:szCs w:val="24"/>
        </w:rPr>
        <w:t xml:space="preserve"> reduction remains the most robust and is the only measure that is prospectively validated, more recent studies have begun to examine the relationship between time in range (TIR)</w:t>
      </w:r>
      <w:r w:rsidR="00241C0E" w:rsidRPr="0035461C">
        <w:rPr>
          <w:rFonts w:ascii="Calibri" w:hAnsi="Calibri" w:cs="Calibri"/>
          <w:color w:val="auto"/>
          <w:sz w:val="24"/>
          <w:szCs w:val="24"/>
        </w:rPr>
        <w:t xml:space="preserve"> </w:t>
      </w:r>
      <w:r w:rsidRPr="0035461C">
        <w:rPr>
          <w:rFonts w:ascii="Calibri" w:hAnsi="Calibri" w:cs="Calibri"/>
          <w:color w:val="auto"/>
          <w:sz w:val="24"/>
          <w:szCs w:val="24"/>
        </w:rPr>
        <w:t>and long-term complications and have provided</w:t>
      </w:r>
      <w:r w:rsidR="00241C0E" w:rsidRPr="0035461C">
        <w:rPr>
          <w:rFonts w:ascii="Calibri" w:hAnsi="Calibri" w:cs="Calibri"/>
          <w:color w:val="auto"/>
          <w:sz w:val="24"/>
          <w:szCs w:val="24"/>
        </w:rPr>
        <w:t xml:space="preserve"> </w:t>
      </w:r>
      <w:r w:rsidRPr="0035461C">
        <w:rPr>
          <w:rFonts w:ascii="Calibri" w:hAnsi="Calibri" w:cs="Calibri"/>
          <w:color w:val="auto"/>
          <w:sz w:val="24"/>
          <w:szCs w:val="24"/>
        </w:rPr>
        <w:t>the basis for glycaemic targets with newer glucose monitoring technologies</w:t>
      </w:r>
      <w:r w:rsidR="00C45DAC" w:rsidRPr="0035461C">
        <w:rPr>
          <w:rFonts w:ascii="Calibri" w:hAnsi="Calibri" w:cs="Calibri"/>
          <w:color w:val="auto"/>
          <w:sz w:val="24"/>
          <w:szCs w:val="24"/>
        </w:rPr>
        <w:t xml:space="preserve"> </w:t>
      </w:r>
      <w:r w:rsidR="00F21C87" w:rsidRPr="0035461C">
        <w:rPr>
          <w:rFonts w:ascii="Calibri" w:hAnsi="Calibri" w:cs="Calibri"/>
          <w:color w:val="auto"/>
          <w:sz w:val="24"/>
          <w:szCs w:val="24"/>
        </w:rPr>
        <w:fldChar w:fldCharType="begin"/>
      </w:r>
      <w:r w:rsidR="00076F77">
        <w:rPr>
          <w:rFonts w:ascii="Calibri" w:hAnsi="Calibri" w:cs="Calibri"/>
          <w:color w:val="auto"/>
          <w:sz w:val="24"/>
          <w:szCs w:val="24"/>
        </w:rPr>
        <w:instrText xml:space="preserve"> ADDIN ZOTERO_ITEM CSL_CITATION {"citationID":"NPC1jOiw","properties":{"formattedCitation":"(45,46)","plainCitation":"(45,46)","noteIndex":0},"citationItems":[{"id":11018,"uris":["http://zotero.org/groups/369679/items/AF3WJ23J"],"uri":["http://zotero.org/groups/369679/items/AF3WJ23J"],"itemData":{"id":11018,"type":"article-journal","abstract":"OBJECTIVE: This study evaluated the association of time in range (TIR) of 70-180 mg/dL (3.9-10 mmol/L) with the development or progression of retinopathy and development of microalbuminuria using the Diabetes Control and Complications Trial (DCCT) data set in order to validate the use of TIR as an outcome measure for clinical trials.\nRESEARCH DESIGN AND METHODS: In the DCCT, blood glucose concentrations were measured at a central laboratory from seven fingerstick samples (seven-point testing: pre- and 90-min postmeals and at bedtime) collected during 1 day every 3 months. Retinopathy progression was assessed every 6 months and urinary microalbuminuria development every 12 months. Proportional hazards models were used to assess the association of TIR and other glycemic metrics, computed from the seven-point fingerstick data, with the rate of development of microvascular complications.\nRESULTS: Mean TIR of seven-point profiles for the 1,440 participants was 41 ± 16%. The hazard rate of development of retinopathy progression was increased by 64% (95% CI 51-78), and development of the microalbuminuria outcome was increased by 40% (95% CI 25-56), for each 10 percentage points lower TIR (P &lt; 0.001 for each). Results were similar for mean glucose and hyperglycemia metrics.\nCONCLUSIONS: Based on these results, a compelling case can be made that TIR is strongly associated with the risk of microvascular complications and should be an acceptable end point for clinical trials. Although hemoglobin A1c remains a valuable outcome metric in clinical trials, TIR and other glycemic metrics-especially when measured with continuous glucose monitoring-add value as outcome measures in many studies.","container-title":"Diabetes Care","DOI":"10.2337/dc18-1444","ISSN":"1935-5548","issue":"3","journalAbbreviation":"Diabetes Care","language":"eng","note":"PMID: 30352896\nPMCID: PMC6905478","page":"400-405","source":"PubMed","title":"Validation of Time in Range as an Outcome Measure for Diabetes Clinical Trials","volume":"42","author":[{"family":"Beck","given":"Roy W."},{"family":"Bergenstal","given":"Richard M."},{"family":"Riddlesworth","given":"Tonya D."},{"family":"Kollman","given":"Craig"},{"family":"Li","given":"Zhaomian"},{"family":"Brown","given":"Adam S."},{"family":"Close","given":"Kelly L."}],"issued":{"date-parts":[["2019",3]]}}},{"id":11476,"uris":["http://zotero.org/groups/369679/items/RT7F66MB"],"uri":["http://zotero.org/groups/369679/items/RT7F66MB"],"itemData":{"id":11476,"type":"article-journal","abstract":"OBJECTIVE: To investigate the association between treatment-induced change in continuous glucose monitoring (CGM) time in range (TIR) and albuminuria in persons with type 1 diabetes (T1D) treated with sensor-augmented insulin pumps (SAP).\nRESEARCH DESIGN AND METHODS: Twenty-six out of 55 participants with albuminuria and multiple daily injection therapy (25% females; median 51 [interquartile range 46-63] years of age; glycated hemoglobin A1c (HbA1c) 75 [68-88] mmol/mol [9.0% (8.4-10.4%)]; and urinary albumin-to-creatinine ratio (UACR) 89 [37-250] mg/g) were in a randomized controlled trial assigned to SAP therapy for 1 year. Anthropometrics, CGM data, and blood and urine samples were collected every 3 months.\nRESULTS: Mean change (95% CI) in percentage of TIR (%TIR) was 13.2% (6.2; 20.2), in HbA1c was -14.4 (-17.4; -10.5) mmol/mol (-1.3% [-1.6; -1.0]), and in UACR was -15% (-38; 17) (all P &lt; 0.05). UACR decreased by 19% (10; 28) per 10% increase in %TIR (P = 0.04), 18% (1; 30) per 10 mmol/mol decrease in HbA1c (P = 0.07), and 31% per 10-mmHg decrease in mean arterial pressure (P &lt; 0.001).\nCONCLUSIONS: In this longitudinal study, treatment-induced increase in %TIR was significantly associated with decrease in albuminuria in T1D.","container-title":"Diabetes Care","DOI":"10.2337/dc20-0909","ISSN":"1935-5548","issue":"11","journalAbbreviation":"Diabetes Care","language":"eng","note":"PMID: 32887707","page":"2882-2885","source":"PubMed","title":"Improved Time in Range Over 1 Year Is Associated With Reduced Albuminuria in Individuals With Sensor-Augmented Insulin Pump-Treated Type 1 Diabetes","volume":"43","author":[{"family":"Ranjan","given":"Ajenthen G."},{"family":"Rosenlund","given":"Signe V."},{"family":"Hansen","given":"Tine W."},{"family":"Rossing","given":"Peter"},{"family":"Andersen","given":"Steen"},{"family":"Nørgaard","given":"Kirsten"}],"issued":{"date-parts":[["2020",11]]}}}],"schema":"https://github.com/citation-style-language/schema/raw/master/csl-citation.json"} </w:instrText>
      </w:r>
      <w:r w:rsidR="00F21C87" w:rsidRPr="0035461C">
        <w:rPr>
          <w:rFonts w:ascii="Calibri" w:hAnsi="Calibri" w:cs="Calibri"/>
          <w:color w:val="auto"/>
          <w:sz w:val="24"/>
          <w:szCs w:val="24"/>
        </w:rPr>
        <w:fldChar w:fldCharType="separate"/>
      </w:r>
      <w:r w:rsidR="001C2617" w:rsidRPr="001C2617">
        <w:rPr>
          <w:rFonts w:ascii="Calibri" w:hAnsi="Calibri" w:cs="Calibri"/>
          <w:sz w:val="24"/>
        </w:rPr>
        <w:t>(45,46)</w:t>
      </w:r>
      <w:r w:rsidR="00F21C87" w:rsidRPr="0035461C">
        <w:rPr>
          <w:rFonts w:ascii="Calibri" w:hAnsi="Calibri" w:cs="Calibri"/>
          <w:color w:val="auto"/>
          <w:sz w:val="24"/>
          <w:szCs w:val="24"/>
        </w:rPr>
        <w:fldChar w:fldCharType="end"/>
      </w:r>
      <w:r w:rsidR="00C45DAC" w:rsidRPr="0035461C">
        <w:rPr>
          <w:rFonts w:ascii="Calibri" w:hAnsi="Calibri" w:cs="Calibri"/>
          <w:color w:val="auto"/>
          <w:sz w:val="24"/>
          <w:szCs w:val="24"/>
        </w:rPr>
        <w:t>.</w:t>
      </w:r>
    </w:p>
    <w:p w14:paraId="190BBA58" w14:textId="7239394E" w:rsidR="00D35E9D" w:rsidRPr="0035461C" w:rsidRDefault="000C13C9" w:rsidP="001C5BC0">
      <w:pPr>
        <w:autoSpaceDE w:val="0"/>
        <w:autoSpaceDN w:val="0"/>
        <w:adjustRightInd w:val="0"/>
        <w:spacing w:before="120"/>
        <w:jc w:val="both"/>
        <w:rPr>
          <w:rFonts w:ascii="Calibri" w:hAnsi="Calibri" w:cs="Calibri"/>
        </w:rPr>
      </w:pPr>
      <w:r w:rsidRPr="0035461C">
        <w:rPr>
          <w:rFonts w:ascii="Calibri" w:hAnsi="Calibri" w:cs="Calibri"/>
          <w:shd w:val="clear" w:color="auto" w:fill="FFFFFF"/>
        </w:rPr>
        <w:t xml:space="preserve">The glycaemic target </w:t>
      </w:r>
      <w:r w:rsidRPr="0035461C">
        <w:rPr>
          <w:rFonts w:ascii="Calibri" w:hAnsi="Calibri" w:cs="Calibri"/>
        </w:rPr>
        <w:t xml:space="preserve">should be individualized </w:t>
      </w:r>
      <w:r w:rsidR="004757DB" w:rsidRPr="0035461C">
        <w:rPr>
          <w:rFonts w:ascii="Calibri" w:hAnsi="Calibri" w:cs="Calibri"/>
        </w:rPr>
        <w:t xml:space="preserve">considering factors </w:t>
      </w:r>
      <w:r w:rsidR="00241C0E" w:rsidRPr="0035461C">
        <w:rPr>
          <w:rFonts w:ascii="Calibri" w:hAnsi="Calibri" w:cs="Calibri"/>
        </w:rPr>
        <w:t>that include</w:t>
      </w:r>
      <w:r w:rsidRPr="0035461C">
        <w:rPr>
          <w:rFonts w:ascii="Calibri" w:hAnsi="Calibri" w:cs="Calibri"/>
        </w:rPr>
        <w:t xml:space="preserve"> duration of diabetes, age</w:t>
      </w:r>
      <w:r w:rsidR="00D35E9D" w:rsidRPr="0035461C">
        <w:rPr>
          <w:rFonts w:ascii="Calibri" w:hAnsi="Calibri" w:cs="Calibri"/>
        </w:rPr>
        <w:t xml:space="preserve"> and </w:t>
      </w:r>
      <w:r w:rsidRPr="0035461C">
        <w:rPr>
          <w:rFonts w:ascii="Calibri" w:hAnsi="Calibri" w:cs="Calibri"/>
        </w:rPr>
        <w:t xml:space="preserve">life expectancy, comorbid conditions, known </w:t>
      </w:r>
      <w:r w:rsidR="00C45DAC" w:rsidRPr="0035461C">
        <w:rPr>
          <w:rFonts w:ascii="Calibri" w:hAnsi="Calibri" w:cs="Calibri"/>
        </w:rPr>
        <w:t>cardiovascular disease</w:t>
      </w:r>
      <w:r w:rsidRPr="0035461C">
        <w:rPr>
          <w:rFonts w:ascii="Calibri" w:hAnsi="Calibri" w:cs="Calibri"/>
        </w:rPr>
        <w:t xml:space="preserve"> or advanced microvascular complications, </w:t>
      </w:r>
      <w:r w:rsidR="008B52B9" w:rsidRPr="0035461C">
        <w:rPr>
          <w:rFonts w:ascii="Calibri" w:hAnsi="Calibri" w:cs="Calibri"/>
        </w:rPr>
        <w:t xml:space="preserve">impaired </w:t>
      </w:r>
      <w:r w:rsidRPr="0035461C">
        <w:rPr>
          <w:rFonts w:ascii="Calibri" w:hAnsi="Calibri" w:cs="Calibri"/>
        </w:rPr>
        <w:t>aw</w:t>
      </w:r>
      <w:r w:rsidR="00A269A9" w:rsidRPr="0035461C">
        <w:rPr>
          <w:rFonts w:ascii="Calibri" w:hAnsi="Calibri" w:cs="Calibri"/>
        </w:rPr>
        <w:t>areness</w:t>
      </w:r>
      <w:r w:rsidR="008B52B9" w:rsidRPr="0035461C">
        <w:rPr>
          <w:rFonts w:ascii="Calibri" w:hAnsi="Calibri" w:cs="Calibri"/>
        </w:rPr>
        <w:t xml:space="preserve"> of hypogly</w:t>
      </w:r>
      <w:r w:rsidR="00E615B3" w:rsidRPr="0035461C">
        <w:rPr>
          <w:rFonts w:ascii="Calibri" w:hAnsi="Calibri" w:cs="Calibri"/>
        </w:rPr>
        <w:t>caemia</w:t>
      </w:r>
      <w:r w:rsidR="00A269A9" w:rsidRPr="0035461C">
        <w:rPr>
          <w:rFonts w:ascii="Calibri" w:hAnsi="Calibri" w:cs="Calibri"/>
        </w:rPr>
        <w:t xml:space="preserve">, and individual </w:t>
      </w:r>
      <w:r w:rsidRPr="0035461C">
        <w:rPr>
          <w:rFonts w:ascii="Calibri" w:hAnsi="Calibri" w:cs="Calibri"/>
        </w:rPr>
        <w:t>considerations</w:t>
      </w:r>
      <w:r w:rsidR="006331BA" w:rsidRPr="0035461C">
        <w:rPr>
          <w:rFonts w:ascii="Calibri" w:hAnsi="Calibri" w:cs="Calibri"/>
        </w:rPr>
        <w:t>,</w:t>
      </w:r>
      <w:r w:rsidRPr="0035461C">
        <w:rPr>
          <w:rFonts w:ascii="Calibri" w:hAnsi="Calibri" w:cs="Calibri"/>
          <w:shd w:val="clear" w:color="auto" w:fill="FFFFFF"/>
        </w:rPr>
        <w:t xml:space="preserve"> and </w:t>
      </w:r>
      <w:r w:rsidR="008D3C21" w:rsidRPr="0035461C">
        <w:rPr>
          <w:rFonts w:ascii="Calibri" w:hAnsi="Calibri" w:cs="Calibri"/>
          <w:shd w:val="clear" w:color="auto" w:fill="FFFFFF"/>
        </w:rPr>
        <w:t xml:space="preserve">it </w:t>
      </w:r>
      <w:r w:rsidRPr="0035461C">
        <w:rPr>
          <w:rFonts w:ascii="Calibri" w:hAnsi="Calibri" w:cs="Calibri"/>
          <w:shd w:val="clear" w:color="auto" w:fill="FFFFFF"/>
        </w:rPr>
        <w:t xml:space="preserve">may change over time. Goals should be achieved in conjunction with an understanding of the person’s psychosocial needs and a reduction in diabetes distress if elevated. </w:t>
      </w:r>
      <w:r w:rsidRPr="0035461C">
        <w:rPr>
          <w:rFonts w:ascii="Calibri" w:hAnsi="Calibri" w:cs="Calibri"/>
        </w:rPr>
        <w:t>An HbA</w:t>
      </w:r>
      <w:r w:rsidRPr="0035461C">
        <w:rPr>
          <w:rFonts w:ascii="Calibri" w:hAnsi="Calibri" w:cs="Calibri"/>
          <w:vertAlign w:val="subscript"/>
        </w:rPr>
        <w:t>1</w:t>
      </w:r>
      <w:r w:rsidR="00422497" w:rsidRPr="0035461C">
        <w:rPr>
          <w:rFonts w:ascii="Calibri" w:hAnsi="Calibri" w:cs="Calibri"/>
          <w:vertAlign w:val="subscript"/>
        </w:rPr>
        <w:t>c</w:t>
      </w:r>
      <w:r w:rsidR="00241C0E" w:rsidRPr="0035461C">
        <w:rPr>
          <w:rFonts w:ascii="Calibri" w:hAnsi="Calibri" w:cs="Calibri"/>
          <w:vertAlign w:val="subscript"/>
        </w:rPr>
        <w:t xml:space="preserve"> </w:t>
      </w:r>
      <w:r w:rsidRPr="0035461C">
        <w:rPr>
          <w:rFonts w:ascii="Calibri" w:hAnsi="Calibri" w:cs="Calibri"/>
        </w:rPr>
        <w:t xml:space="preserve">goal for </w:t>
      </w:r>
      <w:r w:rsidR="008B52B9" w:rsidRPr="0035461C">
        <w:rPr>
          <w:rFonts w:ascii="Calibri" w:hAnsi="Calibri" w:cs="Calibri"/>
        </w:rPr>
        <w:t>most</w:t>
      </w:r>
      <w:r w:rsidRPr="0035461C">
        <w:rPr>
          <w:rFonts w:ascii="Calibri" w:hAnsi="Calibri" w:cs="Calibri"/>
        </w:rPr>
        <w:t xml:space="preserve"> adults of &lt;7</w:t>
      </w:r>
      <w:r w:rsidR="00F044DA" w:rsidRPr="0035461C">
        <w:rPr>
          <w:rFonts w:ascii="Calibri" w:hAnsi="Calibri" w:cs="Calibri"/>
        </w:rPr>
        <w:t>.0</w:t>
      </w:r>
      <w:r w:rsidRPr="0035461C">
        <w:rPr>
          <w:rFonts w:ascii="Calibri" w:hAnsi="Calibri" w:cs="Calibri"/>
        </w:rPr>
        <w:t xml:space="preserve">% (53 </w:t>
      </w:r>
      <w:proofErr w:type="spellStart"/>
      <w:r w:rsidRPr="0035461C">
        <w:rPr>
          <w:rFonts w:ascii="Calibri" w:hAnsi="Calibri" w:cs="Calibri"/>
        </w:rPr>
        <w:t>mmol</w:t>
      </w:r>
      <w:proofErr w:type="spellEnd"/>
      <w:r w:rsidRPr="0035461C">
        <w:rPr>
          <w:rFonts w:ascii="Calibri" w:hAnsi="Calibri" w:cs="Calibri"/>
        </w:rPr>
        <w:t>/</w:t>
      </w:r>
      <w:proofErr w:type="spellStart"/>
      <w:r w:rsidRPr="0035461C">
        <w:rPr>
          <w:rFonts w:ascii="Calibri" w:hAnsi="Calibri" w:cs="Calibri"/>
        </w:rPr>
        <w:t>mol</w:t>
      </w:r>
      <w:proofErr w:type="spellEnd"/>
      <w:r w:rsidRPr="0035461C">
        <w:rPr>
          <w:rFonts w:ascii="Calibri" w:hAnsi="Calibri" w:cs="Calibri"/>
        </w:rPr>
        <w:t>) without significant hypogl</w:t>
      </w:r>
      <w:r w:rsidR="008E0C17" w:rsidRPr="0035461C">
        <w:rPr>
          <w:rFonts w:ascii="Calibri" w:hAnsi="Calibri" w:cs="Calibri"/>
        </w:rPr>
        <w:t>ycaemi</w:t>
      </w:r>
      <w:r w:rsidRPr="0035461C">
        <w:rPr>
          <w:rFonts w:ascii="Calibri" w:hAnsi="Calibri" w:cs="Calibri"/>
        </w:rPr>
        <w:t>a is appropriate.</w:t>
      </w:r>
      <w:r w:rsidR="00ED5F0B" w:rsidRPr="0035461C">
        <w:rPr>
          <w:rFonts w:ascii="Calibri" w:hAnsi="Calibri" w:cs="Calibri"/>
        </w:rPr>
        <w:t xml:space="preserve"> Achievement of lower HbA</w:t>
      </w:r>
      <w:r w:rsidR="00ED5F0B" w:rsidRPr="0035461C">
        <w:rPr>
          <w:rFonts w:ascii="Calibri" w:hAnsi="Calibri" w:cs="Calibri"/>
          <w:vertAlign w:val="subscript"/>
        </w:rPr>
        <w:t>1</w:t>
      </w:r>
      <w:r w:rsidR="00422497" w:rsidRPr="0035461C">
        <w:rPr>
          <w:rFonts w:ascii="Calibri" w:hAnsi="Calibri" w:cs="Calibri"/>
          <w:vertAlign w:val="subscript"/>
        </w:rPr>
        <w:t>c</w:t>
      </w:r>
      <w:r w:rsidR="00ED5F0B" w:rsidRPr="0035461C">
        <w:rPr>
          <w:rFonts w:ascii="Calibri" w:hAnsi="Calibri" w:cs="Calibri"/>
        </w:rPr>
        <w:t xml:space="preserve"> levels than the goal of 7% (53 </w:t>
      </w:r>
      <w:proofErr w:type="spellStart"/>
      <w:r w:rsidR="00ED5F0B" w:rsidRPr="0035461C">
        <w:rPr>
          <w:rFonts w:ascii="Calibri" w:hAnsi="Calibri" w:cs="Calibri"/>
        </w:rPr>
        <w:t>mmol</w:t>
      </w:r>
      <w:proofErr w:type="spellEnd"/>
      <w:r w:rsidR="00ED5F0B" w:rsidRPr="0035461C">
        <w:rPr>
          <w:rFonts w:ascii="Calibri" w:hAnsi="Calibri" w:cs="Calibri"/>
        </w:rPr>
        <w:t>/</w:t>
      </w:r>
      <w:proofErr w:type="spellStart"/>
      <w:r w:rsidR="00ED5F0B" w:rsidRPr="0035461C">
        <w:rPr>
          <w:rFonts w:ascii="Calibri" w:hAnsi="Calibri" w:cs="Calibri"/>
        </w:rPr>
        <w:t>mol</w:t>
      </w:r>
      <w:proofErr w:type="spellEnd"/>
      <w:r w:rsidR="00ED5F0B" w:rsidRPr="0035461C">
        <w:rPr>
          <w:rFonts w:ascii="Calibri" w:hAnsi="Calibri" w:cs="Calibri"/>
        </w:rPr>
        <w:t xml:space="preserve">) may be acceptable, and even beneficial, following discussion between the person with diabetes and their healthcare </w:t>
      </w:r>
      <w:r w:rsidR="006331BA" w:rsidRPr="0035461C">
        <w:rPr>
          <w:rFonts w:ascii="Calibri" w:hAnsi="Calibri" w:cs="Calibri"/>
        </w:rPr>
        <w:t>team</w:t>
      </w:r>
      <w:r w:rsidR="00ED5F0B" w:rsidRPr="0035461C">
        <w:rPr>
          <w:rFonts w:ascii="Calibri" w:hAnsi="Calibri" w:cs="Calibri"/>
        </w:rPr>
        <w:t xml:space="preserve"> if </w:t>
      </w:r>
      <w:r w:rsidR="00422497" w:rsidRPr="0035461C">
        <w:rPr>
          <w:rFonts w:ascii="Calibri" w:hAnsi="Calibri" w:cs="Calibri"/>
        </w:rPr>
        <w:t>these</w:t>
      </w:r>
      <w:r w:rsidR="00ED5F0B" w:rsidRPr="0035461C">
        <w:rPr>
          <w:rFonts w:ascii="Calibri" w:hAnsi="Calibri" w:cs="Calibri"/>
        </w:rPr>
        <w:t xml:space="preserve"> can be achieved safely without adverse effects of treatment. Less-stringent HbA</w:t>
      </w:r>
      <w:r w:rsidR="00ED5F0B" w:rsidRPr="0035461C">
        <w:rPr>
          <w:rFonts w:ascii="Calibri" w:hAnsi="Calibri" w:cs="Calibri"/>
          <w:vertAlign w:val="subscript"/>
        </w:rPr>
        <w:t>1C</w:t>
      </w:r>
      <w:r w:rsidR="00ED5F0B" w:rsidRPr="0035461C">
        <w:rPr>
          <w:rFonts w:ascii="Calibri" w:hAnsi="Calibri" w:cs="Calibri"/>
        </w:rPr>
        <w:t xml:space="preserve"> goals (such as &lt;8</w:t>
      </w:r>
      <w:r w:rsidR="005A4294" w:rsidRPr="0035461C">
        <w:rPr>
          <w:rFonts w:ascii="Calibri" w:hAnsi="Calibri" w:cs="Calibri"/>
        </w:rPr>
        <w:t>.0</w:t>
      </w:r>
      <w:r w:rsidR="00ED5F0B" w:rsidRPr="0035461C">
        <w:rPr>
          <w:rFonts w:ascii="Calibri" w:hAnsi="Calibri" w:cs="Calibri"/>
        </w:rPr>
        <w:t xml:space="preserve">% [64 </w:t>
      </w:r>
      <w:proofErr w:type="spellStart"/>
      <w:r w:rsidR="00ED5F0B" w:rsidRPr="0035461C">
        <w:rPr>
          <w:rFonts w:ascii="Calibri" w:hAnsi="Calibri" w:cs="Calibri"/>
        </w:rPr>
        <w:t>mmol</w:t>
      </w:r>
      <w:proofErr w:type="spellEnd"/>
      <w:r w:rsidR="00ED5F0B" w:rsidRPr="0035461C">
        <w:rPr>
          <w:rFonts w:ascii="Calibri" w:hAnsi="Calibri" w:cs="Calibri"/>
        </w:rPr>
        <w:t>/</w:t>
      </w:r>
      <w:proofErr w:type="spellStart"/>
      <w:r w:rsidR="00ED5F0B" w:rsidRPr="0035461C">
        <w:rPr>
          <w:rFonts w:ascii="Calibri" w:hAnsi="Calibri" w:cs="Calibri"/>
        </w:rPr>
        <w:t>mol</w:t>
      </w:r>
      <w:proofErr w:type="spellEnd"/>
      <w:r w:rsidR="00ED5F0B" w:rsidRPr="0035461C">
        <w:rPr>
          <w:rFonts w:ascii="Calibri" w:hAnsi="Calibri" w:cs="Calibri"/>
        </w:rPr>
        <w:t>]) may be appropriate for individuals with limited life expectancy or where the harms of treatment are greater than the benefits.</w:t>
      </w:r>
      <w:r w:rsidR="00770EE2" w:rsidRPr="0035461C">
        <w:rPr>
          <w:rFonts w:ascii="Calibri" w:hAnsi="Calibri" w:cs="Calibri"/>
        </w:rPr>
        <w:t xml:space="preserve"> It should be recognized that any reduction in HbA</w:t>
      </w:r>
      <w:r w:rsidR="00770EE2" w:rsidRPr="0035461C">
        <w:rPr>
          <w:rFonts w:ascii="Calibri" w:hAnsi="Calibri" w:cs="Calibri"/>
          <w:vertAlign w:val="subscript"/>
        </w:rPr>
        <w:t>1c</w:t>
      </w:r>
      <w:r w:rsidR="00770EE2" w:rsidRPr="0035461C">
        <w:rPr>
          <w:rFonts w:ascii="Calibri" w:hAnsi="Calibri" w:cs="Calibri"/>
        </w:rPr>
        <w:t xml:space="preserve"> from high initial levels has significant benefit even if</w:t>
      </w:r>
      <w:r w:rsidR="00BD651C" w:rsidRPr="0035461C">
        <w:rPr>
          <w:rFonts w:ascii="Calibri" w:hAnsi="Calibri" w:cs="Calibri"/>
        </w:rPr>
        <w:t xml:space="preserve"> the</w:t>
      </w:r>
      <w:r w:rsidR="00770EE2" w:rsidRPr="0035461C">
        <w:rPr>
          <w:rFonts w:ascii="Calibri" w:hAnsi="Calibri" w:cs="Calibri"/>
        </w:rPr>
        <w:t xml:space="preserve"> “goal” </w:t>
      </w:r>
      <w:r w:rsidR="000A46B3" w:rsidRPr="0035461C">
        <w:rPr>
          <w:rFonts w:ascii="Calibri" w:hAnsi="Calibri" w:cs="Calibri"/>
        </w:rPr>
        <w:t xml:space="preserve">is </w:t>
      </w:r>
      <w:r w:rsidR="00770EE2" w:rsidRPr="0035461C">
        <w:rPr>
          <w:rFonts w:ascii="Calibri" w:hAnsi="Calibri" w:cs="Calibri"/>
        </w:rPr>
        <w:t>not reached.</w:t>
      </w:r>
    </w:p>
    <w:p w14:paraId="073B540E" w14:textId="08149A26" w:rsidR="00C51B21" w:rsidRDefault="009D3580" w:rsidP="00C51B21">
      <w:pPr>
        <w:autoSpaceDE w:val="0"/>
        <w:autoSpaceDN w:val="0"/>
        <w:adjustRightInd w:val="0"/>
        <w:spacing w:before="120"/>
        <w:jc w:val="both"/>
        <w:rPr>
          <w:rFonts w:ascii="Calibri" w:hAnsi="Calibri" w:cs="Calibri"/>
          <w:color w:val="000000"/>
          <w:shd w:val="clear" w:color="auto" w:fill="FFFFFF"/>
        </w:rPr>
      </w:pPr>
      <w:r w:rsidRPr="0035461C">
        <w:rPr>
          <w:rFonts w:ascii="Calibri" w:hAnsi="Calibri" w:cs="Calibri"/>
        </w:rPr>
        <w:t>C</w:t>
      </w:r>
      <w:r w:rsidR="00D35E9D" w:rsidRPr="0035461C">
        <w:rPr>
          <w:rFonts w:ascii="Calibri" w:hAnsi="Calibri" w:cs="Calibri"/>
        </w:rPr>
        <w:t xml:space="preserve">apillary </w:t>
      </w:r>
      <w:r w:rsidRPr="0035461C">
        <w:rPr>
          <w:rFonts w:ascii="Calibri" w:hAnsi="Calibri" w:cs="Calibri"/>
        </w:rPr>
        <w:t>blood</w:t>
      </w:r>
      <w:r w:rsidR="00D35E9D" w:rsidRPr="0035461C">
        <w:rPr>
          <w:rFonts w:ascii="Calibri" w:hAnsi="Calibri" w:cs="Calibri"/>
        </w:rPr>
        <w:t xml:space="preserve"> glucose</w:t>
      </w:r>
      <w:r w:rsidRPr="0035461C">
        <w:rPr>
          <w:rFonts w:ascii="Calibri" w:hAnsi="Calibri" w:cs="Calibri"/>
        </w:rPr>
        <w:t xml:space="preserve"> monitoring (BGM)</w:t>
      </w:r>
      <w:r w:rsidR="00D35E9D" w:rsidRPr="0035461C">
        <w:rPr>
          <w:rFonts w:ascii="Calibri" w:hAnsi="Calibri" w:cs="Calibri"/>
        </w:rPr>
        <w:t xml:space="preserve"> can help people with type 1 diabetes achieve these </w:t>
      </w:r>
      <w:r w:rsidRPr="0035461C">
        <w:rPr>
          <w:rFonts w:ascii="Calibri" w:hAnsi="Calibri" w:cs="Calibri"/>
        </w:rPr>
        <w:t>HbA</w:t>
      </w:r>
      <w:r w:rsidRPr="0035461C">
        <w:rPr>
          <w:rFonts w:ascii="Calibri" w:hAnsi="Calibri" w:cs="Calibri"/>
          <w:vertAlign w:val="subscript"/>
        </w:rPr>
        <w:t>1c</w:t>
      </w:r>
      <w:r w:rsidRPr="0035461C">
        <w:rPr>
          <w:rFonts w:ascii="Calibri" w:hAnsi="Calibri" w:cs="Calibri"/>
        </w:rPr>
        <w:t xml:space="preserve"> goals</w:t>
      </w:r>
      <w:r w:rsidR="00D35E9D" w:rsidRPr="0035461C">
        <w:rPr>
          <w:rFonts w:ascii="Calibri" w:hAnsi="Calibri" w:cs="Calibri"/>
        </w:rPr>
        <w:t>. A pre-prandial capillary plasma glucose target of 80–130 mg/</w:t>
      </w:r>
      <w:proofErr w:type="spellStart"/>
      <w:r w:rsidR="00D35E9D" w:rsidRPr="0035461C">
        <w:rPr>
          <w:rFonts w:ascii="Calibri" w:hAnsi="Calibri" w:cs="Calibri"/>
        </w:rPr>
        <w:t>dL</w:t>
      </w:r>
      <w:proofErr w:type="spellEnd"/>
      <w:r w:rsidR="00D35E9D" w:rsidRPr="0035461C">
        <w:rPr>
          <w:rFonts w:ascii="Calibri" w:hAnsi="Calibri" w:cs="Calibri"/>
        </w:rPr>
        <w:t xml:space="preserve"> (4.4–7.2 </w:t>
      </w:r>
      <w:proofErr w:type="spellStart"/>
      <w:r w:rsidR="00D35E9D" w:rsidRPr="0035461C">
        <w:rPr>
          <w:rFonts w:ascii="Calibri" w:hAnsi="Calibri" w:cs="Calibri"/>
        </w:rPr>
        <w:t>mmol</w:t>
      </w:r>
      <w:proofErr w:type="spellEnd"/>
      <w:r w:rsidR="00D35E9D" w:rsidRPr="0035461C">
        <w:rPr>
          <w:rFonts w:ascii="Calibri" w:hAnsi="Calibri" w:cs="Calibri"/>
        </w:rPr>
        <w:t>/L) is appropriate for many people. Postprandial glucose may be targeted if HbA</w:t>
      </w:r>
      <w:r w:rsidR="00D35E9D" w:rsidRPr="0035461C">
        <w:rPr>
          <w:rFonts w:ascii="Calibri" w:hAnsi="Calibri" w:cs="Calibri"/>
          <w:vertAlign w:val="subscript"/>
        </w:rPr>
        <w:t>1</w:t>
      </w:r>
      <w:r w:rsidR="00422497" w:rsidRPr="0035461C">
        <w:rPr>
          <w:rFonts w:ascii="Calibri" w:hAnsi="Calibri" w:cs="Calibri"/>
          <w:vertAlign w:val="subscript"/>
        </w:rPr>
        <w:t>c</w:t>
      </w:r>
      <w:r w:rsidR="00D35E9D" w:rsidRPr="0035461C">
        <w:rPr>
          <w:rFonts w:ascii="Calibri" w:hAnsi="Calibri" w:cs="Calibri"/>
        </w:rPr>
        <w:t xml:space="preserve"> goals are not met despite reaching pre</w:t>
      </w:r>
      <w:r w:rsidR="009836AA" w:rsidRPr="0035461C">
        <w:rPr>
          <w:rFonts w:ascii="Calibri" w:hAnsi="Calibri" w:cs="Calibri"/>
        </w:rPr>
        <w:t>-</w:t>
      </w:r>
      <w:r w:rsidR="00D35E9D" w:rsidRPr="0035461C">
        <w:rPr>
          <w:rFonts w:ascii="Calibri" w:hAnsi="Calibri" w:cs="Calibri"/>
        </w:rPr>
        <w:t>prandial glucose targets. Post</w:t>
      </w:r>
      <w:r w:rsidR="009836AA" w:rsidRPr="0035461C">
        <w:rPr>
          <w:rFonts w:ascii="Calibri" w:hAnsi="Calibri" w:cs="Calibri"/>
        </w:rPr>
        <w:t>-</w:t>
      </w:r>
      <w:r w:rsidR="00D35E9D" w:rsidRPr="0035461C">
        <w:rPr>
          <w:rFonts w:ascii="Calibri" w:hAnsi="Calibri" w:cs="Calibri"/>
        </w:rPr>
        <w:t>prandial glucose measurements should be made 1–2 h after the beginning of the meal, which generally corresponds to peak levels in people with diabetes. A peak postprandial capillary plasma glucose of &lt;180 mg/</w:t>
      </w:r>
      <w:proofErr w:type="spellStart"/>
      <w:r w:rsidR="00D35E9D" w:rsidRPr="0035461C">
        <w:rPr>
          <w:rFonts w:ascii="Calibri" w:hAnsi="Calibri" w:cs="Calibri"/>
        </w:rPr>
        <w:t>dL</w:t>
      </w:r>
      <w:proofErr w:type="spellEnd"/>
      <w:r w:rsidR="00D35E9D" w:rsidRPr="0035461C">
        <w:rPr>
          <w:rFonts w:ascii="Calibri" w:hAnsi="Calibri" w:cs="Calibri"/>
        </w:rPr>
        <w:t xml:space="preserve"> (10.0 </w:t>
      </w:r>
      <w:proofErr w:type="spellStart"/>
      <w:r w:rsidR="00D35E9D" w:rsidRPr="0035461C">
        <w:rPr>
          <w:rFonts w:ascii="Calibri" w:hAnsi="Calibri" w:cs="Calibri"/>
        </w:rPr>
        <w:t>mmol</w:t>
      </w:r>
      <w:proofErr w:type="spellEnd"/>
      <w:r w:rsidR="00D35E9D" w:rsidRPr="0035461C">
        <w:rPr>
          <w:rFonts w:ascii="Calibri" w:hAnsi="Calibri" w:cs="Calibri"/>
        </w:rPr>
        <w:t>/L) is appropriate</w:t>
      </w:r>
      <w:r w:rsidR="005C3753" w:rsidRPr="0035461C">
        <w:rPr>
          <w:rFonts w:ascii="Calibri" w:hAnsi="Calibri" w:cs="Calibri"/>
        </w:rPr>
        <w:t xml:space="preserve"> for most people with diabetes, </w:t>
      </w:r>
      <w:r w:rsidR="00677EEA" w:rsidRPr="00666A00">
        <w:rPr>
          <w:rFonts w:ascii="Calibri" w:hAnsi="Calibri" w:cs="Calibri"/>
        </w:rPr>
        <w:t xml:space="preserve">although </w:t>
      </w:r>
      <w:r w:rsidR="00677EEA">
        <w:rPr>
          <w:rFonts w:ascii="Calibri" w:hAnsi="Calibri" w:cs="Calibri"/>
        </w:rPr>
        <w:t xml:space="preserve">an </w:t>
      </w:r>
      <w:r w:rsidR="00677EEA" w:rsidRPr="00666A00">
        <w:rPr>
          <w:rFonts w:ascii="Calibri" w:hAnsi="Calibri" w:cs="Calibri"/>
        </w:rPr>
        <w:t>ideal target</w:t>
      </w:r>
      <w:r w:rsidR="00677EEA">
        <w:rPr>
          <w:rFonts w:ascii="Calibri" w:hAnsi="Calibri" w:cs="Calibri"/>
        </w:rPr>
        <w:t xml:space="preserve"> </w:t>
      </w:r>
      <w:r w:rsidR="00677EEA" w:rsidRPr="00666A00">
        <w:rPr>
          <w:rFonts w:ascii="Calibri" w:hAnsi="Calibri" w:cs="Calibri"/>
        </w:rPr>
        <w:t xml:space="preserve">for </w:t>
      </w:r>
      <w:proofErr w:type="spellStart"/>
      <w:r w:rsidR="00677EEA" w:rsidRPr="00666A00">
        <w:rPr>
          <w:rFonts w:ascii="Calibri" w:hAnsi="Calibri" w:cs="Calibri"/>
        </w:rPr>
        <w:t>normoglyc</w:t>
      </w:r>
      <w:r w:rsidR="000C6473">
        <w:rPr>
          <w:rFonts w:ascii="Calibri" w:hAnsi="Calibri" w:cs="Calibri"/>
        </w:rPr>
        <w:t>a</w:t>
      </w:r>
      <w:r w:rsidR="00677EEA" w:rsidRPr="00666A00">
        <w:rPr>
          <w:rFonts w:ascii="Calibri" w:hAnsi="Calibri" w:cs="Calibri"/>
        </w:rPr>
        <w:t>emia</w:t>
      </w:r>
      <w:proofErr w:type="spellEnd"/>
      <w:r w:rsidR="00677EEA" w:rsidRPr="00666A00">
        <w:rPr>
          <w:rFonts w:ascii="Calibri" w:hAnsi="Calibri" w:cs="Calibri"/>
        </w:rPr>
        <w:t xml:space="preserve"> is</w:t>
      </w:r>
      <w:r w:rsidR="00677EEA">
        <w:rPr>
          <w:rFonts w:ascii="Calibri" w:hAnsi="Calibri" w:cs="Calibri"/>
        </w:rPr>
        <w:t xml:space="preserve"> </w:t>
      </w:r>
      <w:r w:rsidR="00677EEA" w:rsidRPr="00666A00">
        <w:rPr>
          <w:rFonts w:ascii="Calibri" w:hAnsi="Calibri" w:cs="Calibri"/>
        </w:rPr>
        <w:t xml:space="preserve">&lt;140 mg/dl (7.8 </w:t>
      </w:r>
      <w:proofErr w:type="spellStart"/>
      <w:r w:rsidR="00677EEA" w:rsidRPr="00666A00">
        <w:rPr>
          <w:rFonts w:ascii="Calibri" w:hAnsi="Calibri" w:cs="Calibri"/>
        </w:rPr>
        <w:t>mmol</w:t>
      </w:r>
      <w:proofErr w:type="spellEnd"/>
      <w:r w:rsidR="00677EEA" w:rsidRPr="00666A00">
        <w:rPr>
          <w:rFonts w:ascii="Calibri" w:hAnsi="Calibri" w:cs="Calibri"/>
        </w:rPr>
        <w:t>/l)</w:t>
      </w:r>
      <w:r w:rsidR="00677EEA">
        <w:rPr>
          <w:rFonts w:ascii="Calibri" w:hAnsi="Calibri" w:cs="Calibri"/>
        </w:rPr>
        <w:t>. H</w:t>
      </w:r>
      <w:r w:rsidR="005C3753" w:rsidRPr="0035461C">
        <w:rPr>
          <w:rFonts w:ascii="Calibri" w:hAnsi="Calibri" w:cs="Calibri"/>
        </w:rPr>
        <w:t>igher goals in those with limited life expectancy or where the harms of treatment are greater than the benefits</w:t>
      </w:r>
      <w:r w:rsidR="00677EEA">
        <w:rPr>
          <w:rFonts w:ascii="Calibri" w:hAnsi="Calibri" w:cs="Calibri"/>
        </w:rPr>
        <w:t xml:space="preserve"> are recommended</w:t>
      </w:r>
      <w:r w:rsidR="00B61240" w:rsidRPr="0035461C">
        <w:rPr>
          <w:rFonts w:ascii="Calibri" w:hAnsi="Calibri" w:cs="Calibri"/>
        </w:rPr>
        <w:t xml:space="preserve"> (table 1)</w:t>
      </w:r>
      <w:r w:rsidR="00D35E9D" w:rsidRPr="0035461C">
        <w:rPr>
          <w:rFonts w:ascii="Calibri" w:hAnsi="Calibri" w:cs="Calibri"/>
        </w:rPr>
        <w:t>.</w:t>
      </w:r>
    </w:p>
    <w:p w14:paraId="0CA03C73" w14:textId="1FE704D2" w:rsidR="00D54634" w:rsidRPr="00C51B21" w:rsidRDefault="000139D0" w:rsidP="00C51B21">
      <w:pPr>
        <w:autoSpaceDE w:val="0"/>
        <w:autoSpaceDN w:val="0"/>
        <w:adjustRightInd w:val="0"/>
        <w:spacing w:before="120"/>
        <w:jc w:val="both"/>
        <w:rPr>
          <w:rFonts w:ascii="Calibri" w:hAnsi="Calibri" w:cs="Calibri"/>
          <w:color w:val="000000"/>
          <w:shd w:val="clear" w:color="auto" w:fill="FFFFFF"/>
        </w:rPr>
      </w:pPr>
      <w:r>
        <w:rPr>
          <w:rFonts w:ascii="Calibri" w:hAnsi="Calibri" w:cs="Calibri"/>
        </w:rPr>
        <w:t>Further</w:t>
      </w:r>
      <w:r w:rsidR="00585489" w:rsidRPr="0035461C">
        <w:rPr>
          <w:rFonts w:ascii="Calibri" w:hAnsi="Calibri" w:cs="Calibri"/>
        </w:rPr>
        <w:t xml:space="preserve"> measurement</w:t>
      </w:r>
      <w:r>
        <w:rPr>
          <w:rFonts w:ascii="Calibri" w:hAnsi="Calibri" w:cs="Calibri"/>
        </w:rPr>
        <w:t>s that complement</w:t>
      </w:r>
      <w:r w:rsidR="00585489" w:rsidRPr="0035461C">
        <w:rPr>
          <w:rFonts w:ascii="Calibri" w:hAnsi="Calibri" w:cs="Calibri"/>
        </w:rPr>
        <w:t xml:space="preserve"> HbA</w:t>
      </w:r>
      <w:r w:rsidR="00585489" w:rsidRPr="0035461C">
        <w:rPr>
          <w:rFonts w:ascii="Calibri" w:hAnsi="Calibri" w:cs="Calibri"/>
          <w:vertAlign w:val="subscript"/>
        </w:rPr>
        <w:t>1c</w:t>
      </w:r>
      <w:r w:rsidR="00585489" w:rsidRPr="0035461C">
        <w:rPr>
          <w:rFonts w:ascii="Calibri" w:hAnsi="Calibri" w:cs="Calibri"/>
        </w:rPr>
        <w:t xml:space="preserve"> </w:t>
      </w:r>
      <w:r w:rsidR="009D3580" w:rsidRPr="0035461C">
        <w:rPr>
          <w:rFonts w:ascii="Calibri" w:hAnsi="Calibri" w:cs="Calibri"/>
        </w:rPr>
        <w:t xml:space="preserve">and BGM </w:t>
      </w:r>
      <w:r w:rsidR="00B92FA7" w:rsidRPr="0035461C">
        <w:rPr>
          <w:rFonts w:ascii="Calibri" w:hAnsi="Calibri" w:cs="Calibri"/>
        </w:rPr>
        <w:t>are</w:t>
      </w:r>
      <w:r w:rsidR="00585489" w:rsidRPr="0035461C">
        <w:rPr>
          <w:rFonts w:ascii="Calibri" w:hAnsi="Calibri" w:cs="Calibri"/>
        </w:rPr>
        <w:t xml:space="preserve"> assessment</w:t>
      </w:r>
      <w:r w:rsidR="00B92FA7" w:rsidRPr="0035461C">
        <w:rPr>
          <w:rFonts w:ascii="Calibri" w:hAnsi="Calibri" w:cs="Calibri"/>
        </w:rPr>
        <w:t>s</w:t>
      </w:r>
      <w:r w:rsidR="000869AC" w:rsidRPr="0035461C">
        <w:rPr>
          <w:rFonts w:ascii="Calibri" w:hAnsi="Calibri" w:cs="Calibri"/>
        </w:rPr>
        <w:t xml:space="preserve"> of the glucose m</w:t>
      </w:r>
      <w:r w:rsidR="00585489" w:rsidRPr="0035461C">
        <w:rPr>
          <w:rFonts w:ascii="Calibri" w:hAnsi="Calibri" w:cs="Calibri"/>
        </w:rPr>
        <w:t xml:space="preserve">anagement </w:t>
      </w:r>
      <w:r w:rsidR="000869AC" w:rsidRPr="0035461C">
        <w:rPr>
          <w:rFonts w:ascii="Calibri" w:hAnsi="Calibri" w:cs="Calibri"/>
        </w:rPr>
        <w:t>i</w:t>
      </w:r>
      <w:r w:rsidR="00B92FA7" w:rsidRPr="0035461C">
        <w:rPr>
          <w:rFonts w:ascii="Calibri" w:hAnsi="Calibri" w:cs="Calibri"/>
        </w:rPr>
        <w:t>ndicator</w:t>
      </w:r>
      <w:r w:rsidR="00585489" w:rsidRPr="0035461C">
        <w:rPr>
          <w:rFonts w:ascii="Calibri" w:hAnsi="Calibri" w:cs="Calibri"/>
        </w:rPr>
        <w:t xml:space="preserve"> (GMI) and </w:t>
      </w:r>
      <w:r w:rsidR="00B92FA7" w:rsidRPr="0035461C">
        <w:rPr>
          <w:rFonts w:ascii="Calibri" w:hAnsi="Calibri" w:cs="Calibri"/>
        </w:rPr>
        <w:t>time in range (</w:t>
      </w:r>
      <w:r w:rsidR="00585489" w:rsidRPr="0035461C">
        <w:rPr>
          <w:rFonts w:ascii="Calibri" w:hAnsi="Calibri" w:cs="Calibri"/>
        </w:rPr>
        <w:t>TIR</w:t>
      </w:r>
      <w:r w:rsidR="00B92FA7" w:rsidRPr="0035461C">
        <w:rPr>
          <w:rFonts w:ascii="Calibri" w:hAnsi="Calibri" w:cs="Calibri"/>
        </w:rPr>
        <w:t>)</w:t>
      </w:r>
      <w:r w:rsidR="00585489" w:rsidRPr="0035461C">
        <w:rPr>
          <w:rFonts w:ascii="Calibri" w:hAnsi="Calibri" w:cs="Calibri"/>
        </w:rPr>
        <w:t xml:space="preserve"> from continuous glucose monitoring (CGM) data. </w:t>
      </w:r>
      <w:r w:rsidR="00B92FA7" w:rsidRPr="0035461C">
        <w:rPr>
          <w:rFonts w:ascii="Calibri" w:hAnsi="Calibri" w:cs="Calibri"/>
          <w:color w:val="000000"/>
          <w:shd w:val="clear" w:color="auto" w:fill="FFFFFF"/>
        </w:rPr>
        <w:t>GMI is calculated based on the average sensor glucose</w:t>
      </w:r>
      <w:r w:rsidR="003723EB" w:rsidRPr="0035461C">
        <w:rPr>
          <w:rFonts w:ascii="Calibri" w:hAnsi="Calibri" w:cs="Calibri"/>
          <w:color w:val="000000"/>
          <w:shd w:val="clear" w:color="auto" w:fill="FFFFFF"/>
        </w:rPr>
        <w:t xml:space="preserve"> over</w:t>
      </w:r>
      <w:r w:rsidR="00B92FA7" w:rsidRPr="0035461C">
        <w:rPr>
          <w:rFonts w:ascii="Calibri" w:hAnsi="Calibri" w:cs="Calibri"/>
          <w:color w:val="000000"/>
          <w:shd w:val="clear" w:color="auto" w:fill="FFFFFF"/>
        </w:rPr>
        <w:t xml:space="preserve"> the last 14 days and provides a</w:t>
      </w:r>
      <w:r w:rsidR="00B3041A" w:rsidRPr="0035461C">
        <w:rPr>
          <w:rFonts w:ascii="Calibri" w:hAnsi="Calibri" w:cs="Calibri"/>
          <w:color w:val="000000"/>
          <w:shd w:val="clear" w:color="auto" w:fill="FFFFFF"/>
        </w:rPr>
        <w:t>n</w:t>
      </w:r>
      <w:r w:rsidR="00B92FA7" w:rsidRPr="0035461C">
        <w:rPr>
          <w:rFonts w:ascii="Calibri" w:hAnsi="Calibri" w:cs="Calibri"/>
          <w:color w:val="000000"/>
          <w:shd w:val="clear" w:color="auto" w:fill="FFFFFF"/>
        </w:rPr>
        <w:t xml:space="preserve"> approximation of a laboratory-measured HbA</w:t>
      </w:r>
      <w:r w:rsidR="00B92FA7" w:rsidRPr="0035461C">
        <w:rPr>
          <w:rFonts w:ascii="Calibri" w:hAnsi="Calibri" w:cs="Calibri"/>
          <w:color w:val="000000"/>
          <w:shd w:val="clear" w:color="auto" w:fill="FFFFFF"/>
          <w:vertAlign w:val="subscript"/>
        </w:rPr>
        <w:t>1c</w:t>
      </w:r>
      <w:r w:rsidR="00B92FA7" w:rsidRPr="0035461C">
        <w:rPr>
          <w:rFonts w:ascii="Calibri" w:hAnsi="Calibri" w:cs="Calibri"/>
          <w:color w:val="000000"/>
          <w:shd w:val="clear" w:color="auto" w:fill="FFFFFF"/>
        </w:rPr>
        <w:t xml:space="preserve"> in some individuals, but it may be higher or lower than actual HbA</w:t>
      </w:r>
      <w:r w:rsidR="00B92FA7" w:rsidRPr="0035461C">
        <w:rPr>
          <w:rFonts w:ascii="Calibri" w:hAnsi="Calibri" w:cs="Calibri"/>
          <w:color w:val="000000"/>
          <w:shd w:val="clear" w:color="auto" w:fill="FFFFFF"/>
          <w:vertAlign w:val="subscript"/>
        </w:rPr>
        <w:t>1c</w:t>
      </w:r>
      <w:r w:rsidR="00B92FA7" w:rsidRPr="0035461C">
        <w:rPr>
          <w:rFonts w:ascii="Calibri" w:hAnsi="Calibri" w:cs="Calibri"/>
          <w:color w:val="000000"/>
          <w:shd w:val="clear" w:color="auto" w:fill="FFFFFF"/>
        </w:rPr>
        <w:t xml:space="preserve"> in others</w:t>
      </w:r>
      <w:r w:rsidR="003723EB" w:rsidRPr="0035461C">
        <w:rPr>
          <w:rFonts w:ascii="Calibri" w:hAnsi="Calibri" w:cs="Calibri"/>
          <w:color w:val="000000"/>
          <w:shd w:val="clear" w:color="auto" w:fill="FFFFFF"/>
        </w:rPr>
        <w:t xml:space="preserve"> </w:t>
      </w:r>
      <w:r w:rsidR="008275D1" w:rsidRPr="0035461C">
        <w:rPr>
          <w:rFonts w:ascii="Calibri" w:hAnsi="Calibri" w:cs="Calibri"/>
          <w:color w:val="000000"/>
          <w:shd w:val="clear" w:color="auto" w:fill="FFFFFF"/>
        </w:rPr>
        <w:fldChar w:fldCharType="begin"/>
      </w:r>
      <w:r w:rsidR="00076F77">
        <w:rPr>
          <w:rFonts w:ascii="Calibri" w:hAnsi="Calibri" w:cs="Calibri"/>
          <w:color w:val="000000"/>
          <w:shd w:val="clear" w:color="auto" w:fill="FFFFFF"/>
        </w:rPr>
        <w:instrText xml:space="preserve"> ADDIN ZOTERO_ITEM CSL_CITATION {"citationID":"HIeNghWw","properties":{"formattedCitation":"(45)","plainCitation":"(45)","noteIndex":0},"citationItems":[{"id":11018,"uris":["http://zotero.org/groups/369679/items/AF3WJ23J"],"uri":["http://zotero.org/groups/369679/items/AF3WJ23J"],"itemData":{"id":11018,"type":"article-journal","abstract":"OBJECTIVE: This study evaluated the association of time in range (TIR) of 70-180 mg/dL (3.9-10 mmol/L) with the development or progression of retinopathy and development of microalbuminuria using the Diabetes Control and Complications Trial (DCCT) data set in order to validate the use of TIR as an outcome measure for clinical trials.\nRESEARCH DESIGN AND METHODS: In the DCCT, blood glucose concentrations were measured at a central laboratory from seven fingerstick samples (seven-point testing: pre- and 90-min postmeals and at bedtime) collected during 1 day every 3 months. Retinopathy progression was assessed every 6 months and urinary microalbuminuria development every 12 months. Proportional hazards models were used to assess the association of TIR and other glycemic metrics, computed from the seven-point fingerstick data, with the rate of development of microvascular complications.\nRESULTS: Mean TIR of seven-point profiles for the 1,440 participants was 41 ± 16%. The hazard rate of development of retinopathy progression was increased by 64% (95% CI 51-78), and development of the microalbuminuria outcome was increased by 40% (95% CI 25-56), for each 10 percentage points lower TIR (P &lt; 0.001 for each). Results were similar for mean glucose and hyperglycemia metrics.\nCONCLUSIONS: Based on these results, a compelling case can be made that TIR is strongly associated with the risk of microvascular complications and should be an acceptable end point for clinical trials. Although hemoglobin A1c remains a valuable outcome metric in clinical trials, TIR and other glycemic metrics-especially when measured with continuous glucose monitoring-add value as outcome measures in many studies.","container-title":"Diabetes Care","DOI":"10.2337/dc18-1444","ISSN":"1935-5548","issue":"3","journalAbbreviation":"Diabetes Care","language":"eng","note":"PMID: 30352896\nPMCID: PMC6905478","page":"400-405","source":"PubMed","title":"Validation of Time in Range as an Outcome Measure for Diabetes Clinical Trials","volume":"42","author":[{"family":"Beck","given":"Roy W."},{"family":"Bergenstal","given":"Richard M."},{"family":"Riddlesworth","given":"Tonya D."},{"family":"Kollman","given":"Craig"},{"family":"Li","given":"Zhaomian"},{"family":"Brown","given":"Adam S."},{"family":"Close","given":"Kelly L."}],"issued":{"date-parts":[["2019",3]]}}}],"schema":"https://github.com/citation-style-language/schema/raw/master/csl-citation.json"} </w:instrText>
      </w:r>
      <w:r w:rsidR="008275D1" w:rsidRPr="0035461C">
        <w:rPr>
          <w:rFonts w:ascii="Calibri" w:hAnsi="Calibri" w:cs="Calibri"/>
          <w:color w:val="000000"/>
          <w:shd w:val="clear" w:color="auto" w:fill="FFFFFF"/>
        </w:rPr>
        <w:fldChar w:fldCharType="separate"/>
      </w:r>
      <w:r w:rsidR="001C2617" w:rsidRPr="001C2617">
        <w:rPr>
          <w:rFonts w:ascii="Calibri" w:hAnsi="Calibri" w:cs="Calibri"/>
        </w:rPr>
        <w:t>(45)</w:t>
      </w:r>
      <w:r w:rsidR="008275D1" w:rsidRPr="0035461C">
        <w:rPr>
          <w:rFonts w:ascii="Calibri" w:hAnsi="Calibri" w:cs="Calibri"/>
          <w:color w:val="000000"/>
          <w:shd w:val="clear" w:color="auto" w:fill="FFFFFF"/>
        </w:rPr>
        <w:fldChar w:fldCharType="end"/>
      </w:r>
      <w:r w:rsidR="003723EB" w:rsidRPr="0035461C">
        <w:rPr>
          <w:rFonts w:ascii="Calibri" w:hAnsi="Calibri" w:cs="Calibri"/>
          <w:color w:val="000000"/>
          <w:shd w:val="clear" w:color="auto" w:fill="FFFFFF"/>
        </w:rPr>
        <w:t>.</w:t>
      </w:r>
      <w:r w:rsidR="00B92FA7" w:rsidRPr="0035461C">
        <w:rPr>
          <w:rFonts w:ascii="Calibri" w:hAnsi="Calibri" w:cs="Calibri"/>
        </w:rPr>
        <w:t xml:space="preserve"> </w:t>
      </w:r>
      <w:r w:rsidR="00C51B21">
        <w:rPr>
          <w:rFonts w:ascii="Calibri" w:hAnsi="Calibri" w:cs="Calibri"/>
        </w:rPr>
        <w:t xml:space="preserve">Although </w:t>
      </w:r>
      <w:r w:rsidR="00C51B21" w:rsidRPr="0035461C">
        <w:rPr>
          <w:rFonts w:ascii="Calibri" w:hAnsi="Calibri" w:cs="Calibri"/>
        </w:rPr>
        <w:t>HbA</w:t>
      </w:r>
      <w:r w:rsidR="00C51B21" w:rsidRPr="0035461C">
        <w:rPr>
          <w:rFonts w:ascii="Calibri" w:hAnsi="Calibri" w:cs="Calibri"/>
          <w:vertAlign w:val="subscript"/>
        </w:rPr>
        <w:t>1c</w:t>
      </w:r>
      <w:r w:rsidR="00C51B21" w:rsidRPr="0035461C">
        <w:rPr>
          <w:rFonts w:ascii="Calibri" w:hAnsi="Calibri" w:cs="Calibri"/>
        </w:rPr>
        <w:t xml:space="preserve"> </w:t>
      </w:r>
      <w:r w:rsidR="00C51B21">
        <w:rPr>
          <w:rFonts w:ascii="Calibri" w:hAnsi="Calibri" w:cs="Calibri"/>
        </w:rPr>
        <w:t xml:space="preserve">is the most validated measure associated with chronic complications, GMI and TIR may be more useful for clinical management because they reflect more recent levels of glycaemia and provide more detailed clinical information. </w:t>
      </w:r>
      <w:r w:rsidR="00B92FA7" w:rsidRPr="0035461C">
        <w:rPr>
          <w:rFonts w:ascii="Calibri" w:hAnsi="Calibri" w:cs="Calibri"/>
        </w:rPr>
        <w:t>A typical</w:t>
      </w:r>
      <w:r w:rsidR="00585489" w:rsidRPr="0035461C">
        <w:rPr>
          <w:rFonts w:ascii="Calibri" w:hAnsi="Calibri" w:cs="Calibri"/>
        </w:rPr>
        <w:t xml:space="preserve"> GMI goal </w:t>
      </w:r>
      <w:r w:rsidR="00B92FA7" w:rsidRPr="0035461C">
        <w:rPr>
          <w:rFonts w:ascii="Calibri" w:hAnsi="Calibri" w:cs="Calibri"/>
        </w:rPr>
        <w:t>is</w:t>
      </w:r>
      <w:r w:rsidR="00585489" w:rsidRPr="0035461C">
        <w:rPr>
          <w:rFonts w:ascii="Calibri" w:hAnsi="Calibri" w:cs="Calibri"/>
        </w:rPr>
        <w:t xml:space="preserve"> </w:t>
      </w:r>
      <w:r w:rsidR="00B92FA7" w:rsidRPr="0035461C">
        <w:rPr>
          <w:rFonts w:ascii="Calibri" w:hAnsi="Calibri" w:cs="Calibri"/>
        </w:rPr>
        <w:t>&lt;</w:t>
      </w:r>
      <w:r w:rsidR="00585489" w:rsidRPr="0035461C">
        <w:rPr>
          <w:rFonts w:ascii="Calibri" w:hAnsi="Calibri" w:cs="Calibri"/>
        </w:rPr>
        <w:t>7</w:t>
      </w:r>
      <w:r w:rsidR="00F76DCD" w:rsidRPr="0035461C">
        <w:rPr>
          <w:rFonts w:ascii="Calibri" w:hAnsi="Calibri" w:cs="Calibri"/>
        </w:rPr>
        <w:t>.0</w:t>
      </w:r>
      <w:r w:rsidR="00585489" w:rsidRPr="0035461C">
        <w:rPr>
          <w:rFonts w:ascii="Calibri" w:hAnsi="Calibri" w:cs="Calibri"/>
        </w:rPr>
        <w:t xml:space="preserve">% (53 </w:t>
      </w:r>
      <w:proofErr w:type="spellStart"/>
      <w:r w:rsidR="00585489" w:rsidRPr="0035461C">
        <w:rPr>
          <w:rFonts w:ascii="Calibri" w:hAnsi="Calibri" w:cs="Calibri"/>
        </w:rPr>
        <w:t>mmol</w:t>
      </w:r>
      <w:proofErr w:type="spellEnd"/>
      <w:r w:rsidR="00585489" w:rsidRPr="0035461C">
        <w:rPr>
          <w:rFonts w:ascii="Calibri" w:hAnsi="Calibri" w:cs="Calibri"/>
        </w:rPr>
        <w:t>/</w:t>
      </w:r>
      <w:proofErr w:type="spellStart"/>
      <w:r w:rsidR="00585489" w:rsidRPr="0035461C">
        <w:rPr>
          <w:rFonts w:ascii="Calibri" w:hAnsi="Calibri" w:cs="Calibri"/>
        </w:rPr>
        <w:t>mol</w:t>
      </w:r>
      <w:proofErr w:type="spellEnd"/>
      <w:r w:rsidR="00585489" w:rsidRPr="0035461C">
        <w:rPr>
          <w:rFonts w:ascii="Calibri" w:hAnsi="Calibri" w:cs="Calibri"/>
        </w:rPr>
        <w:t>)</w:t>
      </w:r>
      <w:r w:rsidR="00E842F3" w:rsidRPr="0035461C">
        <w:rPr>
          <w:rFonts w:ascii="Calibri" w:hAnsi="Calibri" w:cs="Calibri"/>
        </w:rPr>
        <w:t>.</w:t>
      </w:r>
      <w:r w:rsidR="00B92FA7" w:rsidRPr="0035461C">
        <w:rPr>
          <w:rFonts w:ascii="Calibri" w:hAnsi="Calibri" w:cs="Calibri"/>
        </w:rPr>
        <w:t xml:space="preserve"> </w:t>
      </w:r>
      <w:r w:rsidR="00E842F3" w:rsidRPr="0035461C">
        <w:rPr>
          <w:rFonts w:ascii="Calibri" w:hAnsi="Calibri" w:cs="Calibri"/>
        </w:rPr>
        <w:t xml:space="preserve">“Time-in-range” (TIR) is </w:t>
      </w:r>
      <w:r w:rsidR="00677EEA">
        <w:rPr>
          <w:rFonts w:ascii="Calibri" w:hAnsi="Calibri" w:cs="Calibri"/>
        </w:rPr>
        <w:t>often taken</w:t>
      </w:r>
      <w:r w:rsidR="00677EEA" w:rsidRPr="0035461C">
        <w:rPr>
          <w:rFonts w:ascii="Calibri" w:hAnsi="Calibri" w:cs="Calibri"/>
        </w:rPr>
        <w:t xml:space="preserve"> </w:t>
      </w:r>
      <w:r w:rsidR="00E842F3" w:rsidRPr="0035461C">
        <w:rPr>
          <w:rFonts w:ascii="Calibri" w:hAnsi="Calibri" w:cs="Calibri"/>
        </w:rPr>
        <w:t>as 70-180 mg/</w:t>
      </w:r>
      <w:proofErr w:type="spellStart"/>
      <w:r w:rsidR="00E842F3" w:rsidRPr="0035461C">
        <w:rPr>
          <w:rFonts w:ascii="Calibri" w:hAnsi="Calibri" w:cs="Calibri"/>
        </w:rPr>
        <w:t>dL</w:t>
      </w:r>
      <w:proofErr w:type="spellEnd"/>
      <w:r w:rsidR="00E842F3" w:rsidRPr="0035461C">
        <w:rPr>
          <w:rFonts w:ascii="Calibri" w:hAnsi="Calibri" w:cs="Calibri"/>
        </w:rPr>
        <w:t xml:space="preserve"> (3.9-10 </w:t>
      </w:r>
      <w:proofErr w:type="spellStart"/>
      <w:r w:rsidR="00E842F3" w:rsidRPr="0035461C">
        <w:rPr>
          <w:rFonts w:ascii="Calibri" w:hAnsi="Calibri" w:cs="Calibri"/>
        </w:rPr>
        <w:t>mmol</w:t>
      </w:r>
      <w:proofErr w:type="spellEnd"/>
      <w:r w:rsidR="00E842F3" w:rsidRPr="0035461C">
        <w:rPr>
          <w:rFonts w:ascii="Calibri" w:hAnsi="Calibri" w:cs="Calibri"/>
        </w:rPr>
        <w:t xml:space="preserve">/l) </w:t>
      </w:r>
      <w:r w:rsidR="000C6473">
        <w:rPr>
          <w:rFonts w:ascii="Calibri" w:hAnsi="Calibri" w:cs="Calibri"/>
        </w:rPr>
        <w:t>for</w:t>
      </w:r>
      <w:r w:rsidR="00E842F3" w:rsidRPr="0035461C">
        <w:rPr>
          <w:rFonts w:ascii="Calibri" w:hAnsi="Calibri" w:cs="Calibri"/>
        </w:rPr>
        <w:t xml:space="preserve"> </w:t>
      </w:r>
      <w:r w:rsidR="008B52B9" w:rsidRPr="0035461C">
        <w:rPr>
          <w:rFonts w:ascii="Calibri" w:hAnsi="Calibri" w:cs="Calibri"/>
        </w:rPr>
        <w:t>most</w:t>
      </w:r>
      <w:r w:rsidR="00E842F3" w:rsidRPr="0035461C">
        <w:rPr>
          <w:rFonts w:ascii="Calibri" w:hAnsi="Calibri" w:cs="Calibri"/>
        </w:rPr>
        <w:t xml:space="preserve"> adult</w:t>
      </w:r>
      <w:r w:rsidR="008B52B9" w:rsidRPr="0035461C">
        <w:rPr>
          <w:rFonts w:ascii="Calibri" w:hAnsi="Calibri" w:cs="Calibri"/>
        </w:rPr>
        <w:t>s</w:t>
      </w:r>
      <w:r w:rsidR="00E842F3" w:rsidRPr="0035461C">
        <w:rPr>
          <w:rFonts w:ascii="Calibri" w:hAnsi="Calibri" w:cs="Calibri"/>
        </w:rPr>
        <w:t xml:space="preserve"> and time below range (TBR) as below 70 mg/</w:t>
      </w:r>
      <w:proofErr w:type="spellStart"/>
      <w:r w:rsidR="00E842F3" w:rsidRPr="0035461C">
        <w:rPr>
          <w:rFonts w:ascii="Calibri" w:hAnsi="Calibri" w:cs="Calibri"/>
        </w:rPr>
        <w:t>dL</w:t>
      </w:r>
      <w:proofErr w:type="spellEnd"/>
      <w:r w:rsidR="00E842F3" w:rsidRPr="0035461C">
        <w:rPr>
          <w:rFonts w:ascii="Calibri" w:hAnsi="Calibri" w:cs="Calibri"/>
        </w:rPr>
        <w:t xml:space="preserve"> (3.9 </w:t>
      </w:r>
      <w:proofErr w:type="spellStart"/>
      <w:r w:rsidR="00E842F3" w:rsidRPr="0035461C">
        <w:rPr>
          <w:rFonts w:ascii="Calibri" w:hAnsi="Calibri" w:cs="Calibri"/>
        </w:rPr>
        <w:t>mmol</w:t>
      </w:r>
      <w:proofErr w:type="spellEnd"/>
      <w:r w:rsidR="00E842F3" w:rsidRPr="0035461C">
        <w:rPr>
          <w:rFonts w:ascii="Calibri" w:hAnsi="Calibri" w:cs="Calibri"/>
        </w:rPr>
        <w:t>/l) (</w:t>
      </w:r>
      <w:r w:rsidR="00677EEA">
        <w:rPr>
          <w:rFonts w:ascii="Calibri" w:hAnsi="Calibri" w:cs="Calibri"/>
        </w:rPr>
        <w:t>risk alert level</w:t>
      </w:r>
      <w:r w:rsidR="00E842F3" w:rsidRPr="0035461C">
        <w:rPr>
          <w:rFonts w:ascii="Calibri" w:hAnsi="Calibri" w:cs="Calibri"/>
        </w:rPr>
        <w:t>) as well as less than 54 mg/</w:t>
      </w:r>
      <w:proofErr w:type="spellStart"/>
      <w:r w:rsidR="00E842F3" w:rsidRPr="0035461C">
        <w:rPr>
          <w:rFonts w:ascii="Calibri" w:hAnsi="Calibri" w:cs="Calibri"/>
        </w:rPr>
        <w:t>dL</w:t>
      </w:r>
      <w:proofErr w:type="spellEnd"/>
      <w:r w:rsidR="00E842F3" w:rsidRPr="0035461C">
        <w:rPr>
          <w:rFonts w:ascii="Calibri" w:hAnsi="Calibri" w:cs="Calibri"/>
        </w:rPr>
        <w:t xml:space="preserve"> (3.0 </w:t>
      </w:r>
      <w:proofErr w:type="spellStart"/>
      <w:r w:rsidR="00E842F3" w:rsidRPr="0035461C">
        <w:rPr>
          <w:rFonts w:ascii="Calibri" w:hAnsi="Calibri" w:cs="Calibri"/>
        </w:rPr>
        <w:t>mmol</w:t>
      </w:r>
      <w:proofErr w:type="spellEnd"/>
      <w:r w:rsidR="00E842F3" w:rsidRPr="0035461C">
        <w:rPr>
          <w:rFonts w:ascii="Calibri" w:hAnsi="Calibri" w:cs="Calibri"/>
        </w:rPr>
        <w:t>/l) (</w:t>
      </w:r>
      <w:r w:rsidR="00677EEA">
        <w:rPr>
          <w:rFonts w:ascii="Calibri" w:hAnsi="Calibri" w:cs="Calibri"/>
        </w:rPr>
        <w:t>clinically significant</w:t>
      </w:r>
      <w:r w:rsidR="00E842F3" w:rsidRPr="0035461C">
        <w:rPr>
          <w:rFonts w:ascii="Calibri" w:hAnsi="Calibri" w:cs="Calibri"/>
        </w:rPr>
        <w:t xml:space="preserve">). Other metrics are also defined (Figure </w:t>
      </w:r>
      <w:r w:rsidR="0078333B" w:rsidRPr="0035461C">
        <w:rPr>
          <w:rFonts w:ascii="Calibri" w:hAnsi="Calibri" w:cs="Calibri"/>
        </w:rPr>
        <w:t>2</w:t>
      </w:r>
      <w:r w:rsidR="00E842F3" w:rsidRPr="0035461C">
        <w:rPr>
          <w:rFonts w:ascii="Calibri" w:hAnsi="Calibri" w:cs="Calibri"/>
        </w:rPr>
        <w:t>). TIR is associated with microvascular complications</w:t>
      </w:r>
      <w:r w:rsidR="00F35F8D" w:rsidRPr="0035461C">
        <w:rPr>
          <w:rFonts w:ascii="Calibri" w:hAnsi="Calibri" w:cs="Calibri"/>
        </w:rPr>
        <w:t xml:space="preserve"> </w:t>
      </w:r>
      <w:r w:rsidR="00F35F8D" w:rsidRPr="0035461C">
        <w:rPr>
          <w:rFonts w:ascii="Calibri" w:hAnsi="Calibri" w:cs="Calibri"/>
        </w:rPr>
        <w:fldChar w:fldCharType="begin"/>
      </w:r>
      <w:r w:rsidR="00076F77">
        <w:rPr>
          <w:rFonts w:ascii="Calibri" w:hAnsi="Calibri" w:cs="Calibri"/>
        </w:rPr>
        <w:instrText xml:space="preserve"> ADDIN ZOTERO_ITEM CSL_CITATION {"citationID":"mj0Zq98h","properties":{"formattedCitation":"(45,46)","plainCitation":"(45,46)","noteIndex":0},"citationItems":[{"id":11018,"uris":["http://zotero.org/groups/369679/items/AF3WJ23J"],"uri":["http://zotero.org/groups/369679/items/AF3WJ23J"],"itemData":{"id":11018,"type":"article-journal","abstract":"OBJECTIVE: This study evaluated the association of time in range (TIR) of 70-180 mg/dL (3.9-10 mmol/L) with the development or progression of retinopathy and development of microalbuminuria using the Diabetes Control and Complications Trial (DCCT) data set in order to validate the use of TIR as an outcome measure for clinical trials.\nRESEARCH DESIGN AND METHODS: In the DCCT, blood glucose concentrations were measured at a central laboratory from seven fingerstick samples (seven-point testing: pre- and 90-min postmeals and at bedtime) collected during 1 day every 3 months. Retinopathy progression was assessed every 6 months and urinary microalbuminuria development every 12 months. Proportional hazards models were used to assess the association of TIR and other glycemic metrics, computed from the seven-point fingerstick data, with the rate of development of microvascular complications.\nRESULTS: Mean TIR of seven-point profiles for the 1,440 participants was 41 ± 16%. The hazard rate of development of retinopathy progression was increased by 64% (95% CI 51-78), and development of the microalbuminuria outcome was increased by 40% (95% CI 25-56), for each 10 percentage points lower TIR (P &lt; 0.001 for each). Results were similar for mean glucose and hyperglycemia metrics.\nCONCLUSIONS: Based on these results, a compelling case can be made that TIR is strongly associated with the risk of microvascular complications and should be an acceptable end point for clinical trials. Although hemoglobin A1c remains a valuable outcome metric in clinical trials, TIR and other glycemic metrics-especially when measured with continuous glucose monitoring-add value as outcome measures in many studies.","container-title":"Diabetes Care","DOI":"10.2337/dc18-1444","ISSN":"1935-5548","issue":"3","journalAbbreviation":"Diabetes Care","language":"eng","note":"PMID: 30352896\nPMCID: PMC6905478","page":"400-405","source":"PubMed","title":"Validation of Time in Range as an Outcome Measure for Diabetes Clinical Trials","volume":"42","author":[{"family":"Beck","given":"Roy W."},{"family":"Bergenstal","given":"Richard M."},{"family":"Riddlesworth","given":"Tonya D."},{"family":"Kollman","given":"Craig"},{"family":"Li","given":"Zhaomian"},{"family":"Brown","given":"Adam S."},{"family":"Close","given":"Kelly L."}],"issued":{"date-parts":[["2019",3]]}}},{"id":11476,"uris":["http://zotero.org/groups/369679/items/RT7F66MB"],"uri":["http://zotero.org/groups/369679/items/RT7F66MB"],"itemData":{"id":11476,"type":"article-journal","abstract":"OBJECTIVE: To investigate the association between treatment-induced change in continuous glucose monitoring (CGM) time in range (TIR) and albuminuria in persons with type 1 diabetes (T1D) treated with sensor-augmented insulin pumps (SAP).\nRESEARCH DESIGN AND METHODS: Twenty-six out of 55 participants with albuminuria and multiple daily injection therapy (25% females; median 51 [interquartile range 46-63] years of age; glycated hemoglobin A1c (HbA1c) 75 [68-88] mmol/mol [9.0% (8.4-10.4%)]; and urinary albumin-to-creatinine ratio (UACR) 89 [37-250] mg/g) were in a randomized controlled trial assigned to SAP therapy for 1 year. Anthropometrics, CGM data, and blood and urine samples were collected every 3 months.\nRESULTS: Mean change (95% CI) in percentage of TIR (%TIR) was 13.2% (6.2; 20.2), in HbA1c was -14.4 (-17.4; -10.5) mmol/mol (-1.3% [-1.6; -1.0]), and in UACR was -15% (-38; 17) (all P &lt; 0.05). UACR decreased by 19% (10; 28) per 10% increase in %TIR (P = 0.04), 18% (1; 30) per 10 mmol/mol decrease in HbA1c (P = 0.07), and 31% per 10-mmHg decrease in mean arterial pressure (P &lt; 0.001).\nCONCLUSIONS: In this longitudinal study, treatment-induced increase in %TIR was significantly associated with decrease in albuminuria in T1D.","container-title":"Diabetes Care","DOI":"10.2337/dc20-0909","ISSN":"1935-5548","issue":"11","journalAbbreviation":"Diabetes Care","language":"eng","note":"PMID: 32887707","page":"2882-2885","source":"PubMed","title":"Improved Time in Range Over 1 Year Is Associated With Reduced Albuminuria in Individuals With Sensor-Augmented Insulin Pump-Treated Type 1 Diabetes","volume":"43","author":[{"family":"Ranjan","given":"Ajenthen G."},{"family":"Rosenlund","given":"Signe V."},{"family":"Hansen","given":"Tine W."},{"family":"Rossing","given":"Peter"},{"family":"Andersen","given":"Steen"},{"family":"Nørgaard","given":"Kirsten"}],"issued":{"date-parts":[["2020",11]]}}}],"schema":"https://github.com/citation-style-language/schema/raw/master/csl-citation.json"} </w:instrText>
      </w:r>
      <w:r w:rsidR="00F35F8D" w:rsidRPr="0035461C">
        <w:rPr>
          <w:rFonts w:ascii="Calibri" w:hAnsi="Calibri" w:cs="Calibri"/>
        </w:rPr>
        <w:fldChar w:fldCharType="separate"/>
      </w:r>
      <w:r w:rsidR="001C2617" w:rsidRPr="001C2617">
        <w:rPr>
          <w:rFonts w:ascii="Calibri" w:hAnsi="Calibri" w:cs="Calibri"/>
        </w:rPr>
        <w:t>(45,46)</w:t>
      </w:r>
      <w:r w:rsidR="00F35F8D" w:rsidRPr="0035461C">
        <w:rPr>
          <w:rFonts w:ascii="Calibri" w:hAnsi="Calibri" w:cs="Calibri"/>
        </w:rPr>
        <w:fldChar w:fldCharType="end"/>
      </w:r>
      <w:r w:rsidR="00E842F3" w:rsidRPr="0035461C">
        <w:rPr>
          <w:rFonts w:ascii="Calibri" w:hAnsi="Calibri" w:cs="Calibri"/>
        </w:rPr>
        <w:t xml:space="preserve"> and a TIR of 70% roughly corresponds to an HbA</w:t>
      </w:r>
      <w:r w:rsidR="00E842F3" w:rsidRPr="0035461C">
        <w:rPr>
          <w:rFonts w:ascii="Calibri" w:hAnsi="Calibri" w:cs="Calibri"/>
          <w:vertAlign w:val="subscript"/>
        </w:rPr>
        <w:t>1c</w:t>
      </w:r>
      <w:r w:rsidR="00E842F3" w:rsidRPr="0035461C">
        <w:rPr>
          <w:rFonts w:ascii="Calibri" w:hAnsi="Calibri" w:cs="Calibri"/>
        </w:rPr>
        <w:t xml:space="preserve"> of 7.0% (53 </w:t>
      </w:r>
      <w:proofErr w:type="spellStart"/>
      <w:r w:rsidR="00E842F3" w:rsidRPr="0035461C">
        <w:rPr>
          <w:rFonts w:ascii="Calibri" w:hAnsi="Calibri" w:cs="Calibri"/>
        </w:rPr>
        <w:t>mmol</w:t>
      </w:r>
      <w:proofErr w:type="spellEnd"/>
      <w:r w:rsidR="00E842F3" w:rsidRPr="0035461C">
        <w:rPr>
          <w:rFonts w:ascii="Calibri" w:hAnsi="Calibri" w:cs="Calibri"/>
        </w:rPr>
        <w:t>/</w:t>
      </w:r>
      <w:proofErr w:type="spellStart"/>
      <w:r w:rsidR="00E842F3" w:rsidRPr="0035461C">
        <w:rPr>
          <w:rFonts w:ascii="Calibri" w:hAnsi="Calibri" w:cs="Calibri"/>
        </w:rPr>
        <w:t>mol</w:t>
      </w:r>
      <w:proofErr w:type="spellEnd"/>
      <w:r w:rsidR="00E842F3" w:rsidRPr="0035461C">
        <w:rPr>
          <w:rFonts w:ascii="Calibri" w:hAnsi="Calibri" w:cs="Calibri"/>
        </w:rPr>
        <w:t xml:space="preserve">). An international consensus conference reported that for most </w:t>
      </w:r>
      <w:r w:rsidR="00B3041A" w:rsidRPr="0035461C">
        <w:rPr>
          <w:rFonts w:ascii="Calibri" w:hAnsi="Calibri" w:cs="Calibri"/>
        </w:rPr>
        <w:t xml:space="preserve">adults </w:t>
      </w:r>
      <w:r w:rsidR="00E842F3" w:rsidRPr="0035461C">
        <w:rPr>
          <w:rFonts w:ascii="Calibri" w:hAnsi="Calibri" w:cs="Calibri"/>
        </w:rPr>
        <w:t>with type 1 diabetes, a target TIR should be above 70%</w:t>
      </w:r>
      <w:r w:rsidR="009D3580" w:rsidRPr="0035461C">
        <w:rPr>
          <w:rFonts w:ascii="Calibri" w:hAnsi="Calibri" w:cs="Calibri"/>
        </w:rPr>
        <w:t xml:space="preserve"> with TBR less than 4%</w:t>
      </w:r>
      <w:r w:rsidR="00233CD8">
        <w:rPr>
          <w:rFonts w:ascii="Calibri" w:hAnsi="Calibri" w:cs="Calibri"/>
        </w:rPr>
        <w:t xml:space="preserve"> and less than 1% for </w:t>
      </w:r>
      <w:r w:rsidR="00B51C49">
        <w:rPr>
          <w:rFonts w:ascii="Calibri" w:hAnsi="Calibri" w:cs="Calibri"/>
        </w:rPr>
        <w:t>clinically significant hypoglycaemia</w:t>
      </w:r>
      <w:r w:rsidR="009D3580" w:rsidRPr="0035461C">
        <w:rPr>
          <w:rFonts w:ascii="Calibri" w:hAnsi="Calibri" w:cs="Calibri"/>
        </w:rPr>
        <w:t>. The primary target for o</w:t>
      </w:r>
      <w:r w:rsidR="00E842F3" w:rsidRPr="0035461C">
        <w:rPr>
          <w:rFonts w:ascii="Calibri" w:hAnsi="Calibri" w:cs="Calibri"/>
        </w:rPr>
        <w:t xml:space="preserve">lder people with long duration of diabetes should </w:t>
      </w:r>
      <w:r w:rsidR="009D3580" w:rsidRPr="0035461C">
        <w:rPr>
          <w:rFonts w:ascii="Calibri" w:hAnsi="Calibri" w:cs="Calibri"/>
        </w:rPr>
        <w:t>be</w:t>
      </w:r>
      <w:r w:rsidR="00E842F3" w:rsidRPr="0035461C">
        <w:rPr>
          <w:rFonts w:ascii="Calibri" w:hAnsi="Calibri" w:cs="Calibri"/>
        </w:rPr>
        <w:t xml:space="preserve"> TBR less than 1%</w:t>
      </w:r>
      <w:r w:rsidR="003723EB" w:rsidRPr="0035461C">
        <w:rPr>
          <w:rFonts w:ascii="Calibri" w:hAnsi="Calibri" w:cs="Calibri"/>
        </w:rPr>
        <w:t xml:space="preserve"> </w:t>
      </w:r>
      <w:r w:rsidR="00F35F8D" w:rsidRPr="0035461C">
        <w:rPr>
          <w:rFonts w:ascii="Calibri" w:hAnsi="Calibri" w:cs="Calibri"/>
        </w:rPr>
        <w:fldChar w:fldCharType="begin"/>
      </w:r>
      <w:r w:rsidR="00076F77">
        <w:rPr>
          <w:rFonts w:ascii="Calibri" w:hAnsi="Calibri" w:cs="Calibri"/>
        </w:rPr>
        <w:instrText xml:space="preserve"> ADDIN ZOTERO_ITEM CSL_CITATION {"citationID":"ETKllNxS","properties":{"formattedCitation":"(47)","plainCitation":"(47)","noteIndex":0},"citationItems":[{"id":4114,"uris":["http://zotero.org/groups/369679/items/2TW35EGW"],"uri":["http://zotero.org/groups/369679/items/2TW35EGW"],"itemData":{"id":4114,"type":"article-journal","abstract":"Improvements in sensor accuracy, greater convenience and ease of use, and expanding reimbursement have led to growing adoption of continuous glucose monitoring (CGM). However, successful utilization of CGM technology in routine clinical practice remains relatively low. This may be due in part to the lack of clear and agreed-upon glycemic targets that both diabetes teams and people with diabetes can work toward. Although unified recommendations for use of key CGM metrics have been established in three separate peer-reviewed articles, formal adoption by diabetes professional organizations and guidance in the practical application of these metrics in clinical practice have been lacking. In February 2019, the Advanced Technologies &amp; Treatments for Diabetes (ATTD) Congress convened an international panel of physicians, researchers, and individuals with diabetes who are expert in CGM technologies to address this issue. This article summarizes the ATTD consensus recommendations for relevant aspects of CGM data utilization and reporting among the various diabetes populations.","container-title":"Diabetes Care","DOI":"10.2337/dci19-0028","ISSN":"0149-5992, 1935-5548","issue":"8","language":"en","note":"PMID: 31177185","page":"1593-1603","source":"care.diabetesjournals.org","title":"Clinical Targets for Continuous Glucose Monitoring Data Interpretation: Recommendations From the International Consensus on Time in Range","title-short":"Clinical Targets for Continuous Glucose Monitoring Data Interpretation","volume":"42","author":[{"family":"Battelino","given":"Tadej"},{"family":"Danne","given":"Thomas"},{"family":"Bergenstal","given":"Richard M."},{"family":"Amiel","given":"Stephanie A."},{"family":"Beck","given":"Roy"},{"family":"Biester","given":"Torben"},{"family":"Bosi","given":"Emanuele"},{"family":"Buckingham","given":"Bruce A."},{"family":"Cefalu","given":"William T."},{"family":"Close","given":"Kelly L."},{"family":"Cobelli","given":"Claudio"},{"family":"Dassau","given":"Eyal"},{"family":"DeVries","given":"J. Hans"},{"family":"Donaghue","given":"Kim C."},{"family":"Dovc","given":"Klemen"},{"family":"Doyle","given":"Francis J."},{"family":"Garg","given":"Satish"},{"family":"Grunberger","given":"George"},{"family":"Heller","given":"Simon"},{"family":"Heinemann","given":"Lutz"},{"family":"Hirsch","given":"Irl B."},{"family":"Hovorka","given":"Roman"},{"family":"Jia","given":"Weiping"},{"family":"Kordonouri","given":"Olga"},{"family":"Kovatchev","given":"Boris"},{"family":"Kowalski","given":"Aaron"},{"family":"Laffel","given":"Lori"},{"family":"Levine","given":"Brian"},{"family":"Mayorov","given":"Alexander"},{"family":"Mathieu","given":"Chantal"},{"family":"Murphy","given":"Helen R."},{"family":"Nimri","given":"Revital"},{"family":"Nørgaard","given":"Kirsten"},{"family":"Parkin","given":"Christopher G."},{"family":"Renard","given":"Eric"},{"family":"Rodbard","given":"David"},{"family":"Saboo","given":"Banshi"},{"family":"Schatz","given":"Desmond"},{"family":"Stoner","given":"Keaton"},{"family":"Urakami","given":"Tatsuiko"},{"family":"Weinzimer","given":"Stuart A."},{"family":"Phillip","given":"Moshe"}],"issued":{"date-parts":[["2019",8,1]]}}}],"schema":"https://github.com/citation-style-language/schema/raw/master/csl-citation.json"} </w:instrText>
      </w:r>
      <w:r w:rsidR="00F35F8D" w:rsidRPr="0035461C">
        <w:rPr>
          <w:rFonts w:ascii="Calibri" w:hAnsi="Calibri" w:cs="Calibri"/>
        </w:rPr>
        <w:fldChar w:fldCharType="separate"/>
      </w:r>
      <w:r w:rsidR="001C2617" w:rsidRPr="001C2617">
        <w:rPr>
          <w:rFonts w:ascii="Calibri" w:hAnsi="Calibri" w:cs="Calibri"/>
        </w:rPr>
        <w:t>(47)</w:t>
      </w:r>
      <w:r w:rsidR="00F35F8D" w:rsidRPr="0035461C">
        <w:rPr>
          <w:rFonts w:ascii="Calibri" w:hAnsi="Calibri" w:cs="Calibri"/>
        </w:rPr>
        <w:fldChar w:fldCharType="end"/>
      </w:r>
      <w:r w:rsidR="003723EB" w:rsidRPr="0035461C">
        <w:rPr>
          <w:rFonts w:ascii="Calibri" w:hAnsi="Calibri" w:cs="Calibri"/>
        </w:rPr>
        <w:t>.</w:t>
      </w:r>
      <w:r w:rsidR="00E842F3" w:rsidRPr="0035461C">
        <w:rPr>
          <w:rFonts w:ascii="Calibri" w:hAnsi="Calibri" w:cs="Calibri"/>
          <w:color w:val="000000"/>
          <w:shd w:val="clear" w:color="auto" w:fill="FFFFFF"/>
        </w:rPr>
        <w:t xml:space="preserve"> </w:t>
      </w:r>
    </w:p>
    <w:p w14:paraId="646005A9" w14:textId="0936C240" w:rsidR="0016212A" w:rsidRDefault="00D859CA" w:rsidP="0016212A">
      <w:pPr>
        <w:autoSpaceDE w:val="0"/>
        <w:autoSpaceDN w:val="0"/>
        <w:adjustRightInd w:val="0"/>
        <w:spacing w:before="120"/>
        <w:jc w:val="both"/>
        <w:rPr>
          <w:rFonts w:ascii="Calibri" w:hAnsi="Calibri" w:cs="Calibri"/>
        </w:rPr>
      </w:pPr>
      <w:r w:rsidRPr="0035461C">
        <w:rPr>
          <w:rFonts w:ascii="Calibri" w:hAnsi="Calibri" w:cs="Calibri"/>
        </w:rPr>
        <w:t xml:space="preserve">The cornerstone of </w:t>
      </w:r>
      <w:r w:rsidR="00DD3879" w:rsidRPr="0035461C">
        <w:rPr>
          <w:rFonts w:ascii="Calibri" w:hAnsi="Calibri" w:cs="Calibri"/>
        </w:rPr>
        <w:t xml:space="preserve">type 1 </w:t>
      </w:r>
      <w:r w:rsidRPr="0035461C">
        <w:rPr>
          <w:rFonts w:ascii="Calibri" w:hAnsi="Calibri" w:cs="Calibri"/>
        </w:rPr>
        <w:t xml:space="preserve">diabetes </w:t>
      </w:r>
      <w:r w:rsidR="0003195B" w:rsidRPr="0035461C">
        <w:rPr>
          <w:rFonts w:ascii="Calibri" w:hAnsi="Calibri" w:cs="Calibri"/>
        </w:rPr>
        <w:t>therapy</w:t>
      </w:r>
      <w:r w:rsidRPr="0035461C">
        <w:rPr>
          <w:rFonts w:ascii="Calibri" w:hAnsi="Calibri" w:cs="Calibri"/>
        </w:rPr>
        <w:t xml:space="preserve"> is insulin replacement. This is challenging because insulin demands vary widely according to meals</w:t>
      </w:r>
      <w:r w:rsidR="000E06D0" w:rsidRPr="0035461C">
        <w:rPr>
          <w:rFonts w:ascii="Calibri" w:hAnsi="Calibri" w:cs="Calibri"/>
        </w:rPr>
        <w:t>,</w:t>
      </w:r>
      <w:r w:rsidRPr="0035461C">
        <w:rPr>
          <w:rFonts w:ascii="Calibri" w:hAnsi="Calibri" w:cs="Calibri"/>
        </w:rPr>
        <w:t xml:space="preserve"> exercise</w:t>
      </w:r>
      <w:r w:rsidR="00BE5873" w:rsidRPr="0035461C">
        <w:rPr>
          <w:rFonts w:ascii="Calibri" w:hAnsi="Calibri" w:cs="Calibri"/>
        </w:rPr>
        <w:t>,</w:t>
      </w:r>
      <w:r w:rsidR="00EA5828" w:rsidRPr="0035461C">
        <w:rPr>
          <w:rFonts w:ascii="Calibri" w:hAnsi="Calibri" w:cs="Calibri"/>
        </w:rPr>
        <w:t xml:space="preserve"> and many other factor</w:t>
      </w:r>
      <w:r w:rsidR="000E06D0" w:rsidRPr="0035461C">
        <w:rPr>
          <w:rFonts w:ascii="Calibri" w:hAnsi="Calibri" w:cs="Calibri"/>
        </w:rPr>
        <w:t>s</w:t>
      </w:r>
      <w:r w:rsidRPr="0035461C">
        <w:rPr>
          <w:rFonts w:ascii="Calibri" w:hAnsi="Calibri" w:cs="Calibri"/>
        </w:rPr>
        <w:t xml:space="preserve">. </w:t>
      </w:r>
      <w:r w:rsidR="00272C57">
        <w:rPr>
          <w:rFonts w:ascii="Calibri" w:hAnsi="Calibri" w:cs="Calibri"/>
        </w:rPr>
        <w:t xml:space="preserve">Furthermore, the </w:t>
      </w:r>
      <w:r w:rsidR="00272C57" w:rsidRPr="0035461C">
        <w:rPr>
          <w:rFonts w:ascii="Calibri" w:hAnsi="Calibri" w:cs="Calibri"/>
        </w:rPr>
        <w:t>insulin</w:t>
      </w:r>
      <w:r w:rsidR="00272C57">
        <w:rPr>
          <w:rFonts w:ascii="Calibri" w:hAnsi="Calibri" w:cs="Calibri"/>
        </w:rPr>
        <w:t xml:space="preserve"> doses needed to prevent hyperglycaemia are associated with a high risk of hypoglycaemia, leaving p</w:t>
      </w:r>
      <w:r w:rsidRPr="0035461C">
        <w:rPr>
          <w:rFonts w:ascii="Calibri" w:hAnsi="Calibri" w:cs="Calibri"/>
        </w:rPr>
        <w:t xml:space="preserve">eople </w:t>
      </w:r>
      <w:r w:rsidR="00F3542B" w:rsidRPr="0035461C">
        <w:rPr>
          <w:rFonts w:ascii="Calibri" w:hAnsi="Calibri" w:cs="Calibri"/>
        </w:rPr>
        <w:t xml:space="preserve">with type 1 diabetes </w:t>
      </w:r>
      <w:r w:rsidRPr="0035461C">
        <w:rPr>
          <w:rFonts w:ascii="Calibri" w:hAnsi="Calibri" w:cs="Calibri"/>
        </w:rPr>
        <w:t>walk</w:t>
      </w:r>
      <w:r w:rsidR="00272C57">
        <w:rPr>
          <w:rFonts w:ascii="Calibri" w:hAnsi="Calibri" w:cs="Calibri"/>
        </w:rPr>
        <w:t>ing</w:t>
      </w:r>
      <w:r w:rsidRPr="0035461C">
        <w:rPr>
          <w:rFonts w:ascii="Calibri" w:hAnsi="Calibri" w:cs="Calibri"/>
        </w:rPr>
        <w:t xml:space="preserve"> a tightrope between high and low glucose levels. Insulin management must be supported by adequate monitoring of glucose and education and training to allow the individual with type 1 diabetes to make the most of their treatment regimen. </w:t>
      </w:r>
    </w:p>
    <w:p w14:paraId="29905965" w14:textId="5A28351B" w:rsidR="0016212A" w:rsidRPr="00D55EA5" w:rsidRDefault="00462DAC" w:rsidP="0016212A">
      <w:pPr>
        <w:autoSpaceDE w:val="0"/>
        <w:autoSpaceDN w:val="0"/>
        <w:adjustRightInd w:val="0"/>
        <w:spacing w:before="120"/>
        <w:jc w:val="both"/>
        <w:rPr>
          <w:rFonts w:asciiTheme="minorHAnsi" w:hAnsiTheme="minorHAnsi" w:cstheme="minorHAnsi"/>
          <w:color w:val="000000"/>
          <w:shd w:val="clear" w:color="auto" w:fill="FFFFFF"/>
        </w:rPr>
      </w:pPr>
      <w:r w:rsidRPr="0016212A">
        <w:rPr>
          <w:rFonts w:asciiTheme="minorHAnsi" w:hAnsiTheme="minorHAnsi" w:cstheme="minorHAnsi"/>
        </w:rPr>
        <w:t>The p</w:t>
      </w:r>
      <w:r w:rsidR="003F5458" w:rsidRPr="0016212A">
        <w:rPr>
          <w:rFonts w:asciiTheme="minorHAnsi" w:hAnsiTheme="minorHAnsi" w:cstheme="minorHAnsi"/>
        </w:rPr>
        <w:t>reventi</w:t>
      </w:r>
      <w:r w:rsidRPr="0016212A">
        <w:rPr>
          <w:rFonts w:asciiTheme="minorHAnsi" w:hAnsiTheme="minorHAnsi" w:cstheme="minorHAnsi"/>
        </w:rPr>
        <w:t>o</w:t>
      </w:r>
      <w:r w:rsidR="003F5458" w:rsidRPr="0016212A">
        <w:rPr>
          <w:rFonts w:asciiTheme="minorHAnsi" w:hAnsiTheme="minorHAnsi" w:cstheme="minorHAnsi"/>
        </w:rPr>
        <w:t>n</w:t>
      </w:r>
      <w:r w:rsidRPr="0016212A">
        <w:rPr>
          <w:rFonts w:asciiTheme="minorHAnsi" w:hAnsiTheme="minorHAnsi" w:cstheme="minorHAnsi"/>
        </w:rPr>
        <w:t xml:space="preserve"> of</w:t>
      </w:r>
      <w:r w:rsidR="003F5458" w:rsidRPr="0016212A">
        <w:rPr>
          <w:rFonts w:asciiTheme="minorHAnsi" w:hAnsiTheme="minorHAnsi" w:cstheme="minorHAnsi"/>
        </w:rPr>
        <w:t xml:space="preserve"> long-term complications of diabetes, particularly cardiovascular disease, </w:t>
      </w:r>
      <w:r w:rsidRPr="0016212A">
        <w:rPr>
          <w:rFonts w:asciiTheme="minorHAnsi" w:hAnsiTheme="minorHAnsi" w:cstheme="minorHAnsi"/>
        </w:rPr>
        <w:t xml:space="preserve">extends beyond glycaemic management to include the </w:t>
      </w:r>
      <w:r w:rsidR="003F5458" w:rsidRPr="0016212A">
        <w:rPr>
          <w:rFonts w:asciiTheme="minorHAnsi" w:hAnsiTheme="minorHAnsi" w:cstheme="minorHAnsi"/>
        </w:rPr>
        <w:t>optimal management of blood pressure</w:t>
      </w:r>
      <w:r w:rsidRPr="0016212A">
        <w:rPr>
          <w:rFonts w:asciiTheme="minorHAnsi" w:hAnsiTheme="minorHAnsi" w:cstheme="minorHAnsi"/>
        </w:rPr>
        <w:t xml:space="preserve"> and use of lip</w:t>
      </w:r>
      <w:r w:rsidRPr="00D55EA5">
        <w:rPr>
          <w:rFonts w:asciiTheme="minorHAnsi" w:hAnsiTheme="minorHAnsi" w:cstheme="minorHAnsi"/>
        </w:rPr>
        <w:t>id</w:t>
      </w:r>
      <w:r w:rsidR="00C51B21">
        <w:rPr>
          <w:rFonts w:asciiTheme="minorHAnsi" w:hAnsiTheme="minorHAnsi" w:cstheme="minorHAnsi"/>
        </w:rPr>
        <w:t>-</w:t>
      </w:r>
      <w:r w:rsidRPr="00D55EA5">
        <w:rPr>
          <w:rFonts w:asciiTheme="minorHAnsi" w:hAnsiTheme="minorHAnsi" w:cstheme="minorHAnsi"/>
        </w:rPr>
        <w:t>lowering medication</w:t>
      </w:r>
      <w:r w:rsidR="0016212A" w:rsidRPr="00D55EA5">
        <w:rPr>
          <w:rFonts w:asciiTheme="minorHAnsi" w:hAnsiTheme="minorHAnsi" w:cstheme="minorHAnsi"/>
        </w:rPr>
        <w:t xml:space="preserve">. </w:t>
      </w:r>
      <w:r w:rsidR="0016212A" w:rsidRPr="00D55EA5">
        <w:rPr>
          <w:rFonts w:asciiTheme="minorHAnsi" w:hAnsiTheme="minorHAnsi" w:cstheme="minorHAnsi"/>
          <w:color w:val="000000"/>
          <w:shd w:val="clear" w:color="auto" w:fill="FFFFFF"/>
        </w:rPr>
        <w:t xml:space="preserve">There is an absence of high-quality data to guide blood pressure targets in type 1 diabetes, but </w:t>
      </w:r>
      <w:r w:rsidR="00293E98">
        <w:rPr>
          <w:rFonts w:asciiTheme="minorHAnsi" w:hAnsiTheme="minorHAnsi" w:cstheme="minorHAnsi"/>
          <w:color w:val="000000"/>
          <w:shd w:val="clear" w:color="auto" w:fill="FFFFFF"/>
        </w:rPr>
        <w:t>RCT</w:t>
      </w:r>
      <w:r w:rsidR="0016212A" w:rsidRPr="00D55EA5">
        <w:rPr>
          <w:rFonts w:asciiTheme="minorHAnsi" w:hAnsiTheme="minorHAnsi" w:cstheme="minorHAnsi"/>
          <w:color w:val="000000"/>
          <w:shd w:val="clear" w:color="auto" w:fill="FFFFFF"/>
        </w:rPr>
        <w:t>s in other populations have demonstrated treatment of hypertension to blood pressure &lt;140/90 mmHg reduces cardiovascular events and microvascular complications.</w:t>
      </w:r>
      <w:r w:rsidR="003F5458" w:rsidRPr="00D55EA5">
        <w:rPr>
          <w:rFonts w:asciiTheme="minorHAnsi" w:hAnsiTheme="minorHAnsi" w:cstheme="minorHAnsi"/>
        </w:rPr>
        <w:t xml:space="preserve"> </w:t>
      </w:r>
      <w:r w:rsidR="000C6473">
        <w:rPr>
          <w:rFonts w:asciiTheme="minorHAnsi" w:hAnsiTheme="minorHAnsi" w:cstheme="minorHAnsi"/>
        </w:rPr>
        <w:t>Blood</w:t>
      </w:r>
      <w:r w:rsidR="0016212A" w:rsidRPr="00D55EA5">
        <w:rPr>
          <w:rFonts w:asciiTheme="minorHAnsi" w:hAnsiTheme="minorHAnsi" w:cstheme="minorHAnsi"/>
          <w:color w:val="000000"/>
          <w:lang w:val="en-GB" w:eastAsia="en-GB"/>
        </w:rPr>
        <w:t xml:space="preserve"> pressure targets should be individualized but a target of &lt;140/90 mmHg is appropriate with those with a lower risk for cardiovascular disease (10-year risk of &lt;15%). A lower target of &lt;130/80 is recommended for those at higher cardiovascular disease risk or with evidence of microvascular complications, particularly renal disease. </w:t>
      </w:r>
      <w:r w:rsidR="0016212A" w:rsidRPr="00D55EA5">
        <w:rPr>
          <w:rFonts w:asciiTheme="minorHAnsi" w:hAnsiTheme="minorHAnsi" w:cstheme="minorHAnsi"/>
          <w:color w:val="000000"/>
          <w:shd w:val="clear" w:color="auto" w:fill="FFFFFF"/>
        </w:rPr>
        <w:t xml:space="preserve">ACE inhibitors or angiotensin receptor blockers are recommended first-line therapy. </w:t>
      </w:r>
    </w:p>
    <w:p w14:paraId="246A83DC" w14:textId="72ACCC3C" w:rsidR="00C51B21" w:rsidRDefault="0016212A" w:rsidP="0016212A">
      <w:pPr>
        <w:autoSpaceDE w:val="0"/>
        <w:autoSpaceDN w:val="0"/>
        <w:adjustRightInd w:val="0"/>
        <w:spacing w:before="120"/>
        <w:jc w:val="both"/>
        <w:rPr>
          <w:rFonts w:asciiTheme="minorHAnsi" w:hAnsiTheme="minorHAnsi" w:cstheme="minorHAnsi"/>
          <w:color w:val="000000"/>
          <w:lang w:val="en-GB" w:eastAsia="en-GB"/>
        </w:rPr>
      </w:pPr>
      <w:r w:rsidRPr="00D55EA5">
        <w:rPr>
          <w:rFonts w:asciiTheme="minorHAnsi" w:hAnsiTheme="minorHAnsi" w:cstheme="minorHAnsi"/>
          <w:color w:val="000000"/>
          <w:shd w:val="clear" w:color="auto" w:fill="FFFFFF"/>
        </w:rPr>
        <w:t>Si</w:t>
      </w:r>
      <w:r w:rsidRPr="006917B9">
        <w:rPr>
          <w:rFonts w:ascii="Calibri" w:hAnsi="Calibri" w:cs="Calibri"/>
          <w:color w:val="000000"/>
          <w:shd w:val="clear" w:color="auto" w:fill="FFFFFF"/>
        </w:rPr>
        <w:t xml:space="preserve">milar to the situation for blood pressure, there is a paucity of trials of </w:t>
      </w:r>
      <w:r w:rsidR="00C51B21">
        <w:rPr>
          <w:rFonts w:ascii="Calibri" w:hAnsi="Calibri" w:cs="Calibri"/>
          <w:color w:val="000000"/>
          <w:shd w:val="clear" w:color="auto" w:fill="FFFFFF"/>
        </w:rPr>
        <w:t>lipid-lowering</w:t>
      </w:r>
      <w:r w:rsidRPr="006917B9">
        <w:rPr>
          <w:rFonts w:ascii="Calibri" w:hAnsi="Calibri" w:cs="Calibri"/>
          <w:color w:val="000000"/>
          <w:shd w:val="clear" w:color="auto" w:fill="FFFFFF"/>
        </w:rPr>
        <w:t xml:space="preserve"> therapy in people with type 1 diabetes, but </w:t>
      </w:r>
      <w:r w:rsidR="006917B9" w:rsidRPr="006917B9">
        <w:rPr>
          <w:rFonts w:ascii="Calibri" w:hAnsi="Calibri" w:cs="Calibri"/>
          <w:color w:val="000000"/>
          <w:shd w:val="clear" w:color="auto" w:fill="FFFFFF"/>
        </w:rPr>
        <w:t>an observational study reported that lipid-lowering therapy is a</w:t>
      </w:r>
      <w:r w:rsidR="006917B9" w:rsidRPr="006917B9">
        <w:rPr>
          <w:rFonts w:ascii="Calibri" w:hAnsi="Calibri" w:cs="Calibri"/>
          <w:color w:val="212121"/>
          <w:shd w:val="clear" w:color="auto" w:fill="FFFFFF"/>
        </w:rPr>
        <w:t>ssociated with a 22-44% reduction in the risk of cardiovascular disease and death among individuals with type 1 diabetes without a prior history of cardiovascular disease</w:t>
      </w:r>
      <w:r w:rsidR="00FF67B2">
        <w:rPr>
          <w:rFonts w:ascii="Calibri" w:hAnsi="Calibri" w:cs="Calibri"/>
          <w:color w:val="212121"/>
          <w:shd w:val="clear" w:color="auto" w:fill="FFFFFF"/>
        </w:rPr>
        <w:t xml:space="preserve"> </w:t>
      </w:r>
      <w:r w:rsidR="00FF67B2">
        <w:rPr>
          <w:rFonts w:ascii="Calibri" w:hAnsi="Calibri" w:cs="Calibri"/>
          <w:color w:val="212121"/>
          <w:shd w:val="clear" w:color="auto" w:fill="FFFFFF"/>
        </w:rPr>
        <w:fldChar w:fldCharType="begin"/>
      </w:r>
      <w:r w:rsidR="00076F77">
        <w:rPr>
          <w:rFonts w:ascii="Calibri" w:hAnsi="Calibri" w:cs="Calibri"/>
          <w:color w:val="212121"/>
          <w:shd w:val="clear" w:color="auto" w:fill="FFFFFF"/>
        </w:rPr>
        <w:instrText xml:space="preserve"> ADDIN ZOTERO_ITEM CSL_CITATION {"citationID":"2oX2zDbA","properties":{"formattedCitation":"(48)","plainCitation":"(48)","noteIndex":0},"citationItems":[{"id":12516,"uris":["http://zotero.org/groups/369679/items/6NFHVAZZ"],"uri":["http://zotero.org/groups/369679/items/6NFHVAZZ"],"itemData":{"id":12516,"type":"article-journal","abstract":"OBJECTIVE: To evaluate the effect of lipid-lowering therapy (LLT) in primary prevention on cardiovascular disease (CVD) and death in type 1 diabetes.\nRESEARCH DESIGN AND METHODS: We used the Swedish National Diabetes Register (NDR) to perform a propensity score-based study. Propensity scores for treatment with LLT were calculated from 32 baseline clinical and socioeconomic variables. The propensity score was used to estimate the effect of LLT in the overall cohort (by stratification). We estimated risk of acute myocardial infarction, stroke, coronary heart disease, and cardiovascular and all-cause mortality in individuals with and without LLT using Cox regression. A total of 24,230 individuals included in 2006-2008 NDR with type 1 diabetes without a history of CVD were followed until 31 December 2012; 18,843 were untreated and 5,387 treated with LLT (97% statins). The mean follow-up was 6.0 years.\nRESULTS: The propensity score allowed balancing of all 32 covariates, with no differences between treated and untreated after accounting for propensity score. Hazard ratios (HRs) for treated versus untreated were as follows: cardiovascular death 0.60 (95% CI 0.50-0.72), all-cause death 0.56 (0.48-0.64), fatal/nonfatal stroke 0.56 (0.46-0.70), fatal/nonfatal acute myocardial infarction 0.78 (0.66-0.92), fatal/nonfatal coronary heart disease 0.85 (0.74-0.97), and fatal/nonfatal CVD 0.77 (0.69-0.87).\nCONCLUSIONS: This observational study shows that LLT is associated with 22-44% reduction in the risk of CVD and cardiovascular death among individuals with type 1 diabetes without history of CVD and underlines the importance of primary prevention with LLT to reduce cardiovascular risk in type 1 diabetes.","container-title":"Diabetes Care","DOI":"10.2337/dc15-2450","ISSN":"1935-5548","issue":"6","journalAbbreviation":"Diabetes Care","language":"eng","note":"PMID: 27208327","page":"996-1003","source":"PubMed","title":"Association Between Use of Lipid-Lowering Therapy and Cardiovascular Diseases and Death in Individuals With Type 1 Diabetes","volume":"39","author":[{"family":"Hero","given":"Christel"},{"family":"Rawshani","given":"Araz"},{"family":"Svensson","given":"Ann-Marie"},{"family":"Franzén","given":"Stefan"},{"family":"Eliasson","given":"Björn"},{"family":"Eeg-Olofsson","given":"Katarina"},{"family":"Gudbjörnsdottir","given":"Soffia"}],"issued":{"date-parts":[["2016",6]]}}}],"schema":"https://github.com/citation-style-language/schema/raw/master/csl-citation.json"} </w:instrText>
      </w:r>
      <w:r w:rsidR="00FF67B2">
        <w:rPr>
          <w:rFonts w:ascii="Calibri" w:hAnsi="Calibri" w:cs="Calibri"/>
          <w:color w:val="212121"/>
          <w:shd w:val="clear" w:color="auto" w:fill="FFFFFF"/>
        </w:rPr>
        <w:fldChar w:fldCharType="separate"/>
      </w:r>
      <w:r w:rsidR="00FF67B2" w:rsidRPr="00FF67B2">
        <w:rPr>
          <w:rFonts w:ascii="Calibri" w:hAnsi="Calibri" w:cs="Calibri"/>
        </w:rPr>
        <w:t>(48)</w:t>
      </w:r>
      <w:r w:rsidR="00FF67B2">
        <w:rPr>
          <w:rFonts w:ascii="Calibri" w:hAnsi="Calibri" w:cs="Calibri"/>
          <w:color w:val="212121"/>
          <w:shd w:val="clear" w:color="auto" w:fill="FFFFFF"/>
        </w:rPr>
        <w:fldChar w:fldCharType="end"/>
      </w:r>
      <w:r w:rsidR="006917B9" w:rsidRPr="006917B9">
        <w:rPr>
          <w:rFonts w:ascii="Calibri" w:hAnsi="Calibri" w:cs="Calibri"/>
          <w:color w:val="212121"/>
          <w:shd w:val="clear" w:color="auto" w:fill="FFFFFF"/>
        </w:rPr>
        <w:t xml:space="preserve">. </w:t>
      </w:r>
      <w:r w:rsidR="00A649C9">
        <w:rPr>
          <w:rFonts w:ascii="Calibri" w:hAnsi="Calibri" w:cs="Calibri"/>
          <w:color w:val="212121"/>
          <w:shd w:val="clear" w:color="auto" w:fill="FFFFFF"/>
        </w:rPr>
        <w:t>Based on type 2 diabetes guidelines, m</w:t>
      </w:r>
      <w:r w:rsidR="004774A3">
        <w:rPr>
          <w:rFonts w:ascii="Calibri" w:hAnsi="Calibri" w:cs="Calibri"/>
          <w:color w:val="212121"/>
          <w:shd w:val="clear" w:color="auto" w:fill="FFFFFF"/>
        </w:rPr>
        <w:t>oderate intensity s</w:t>
      </w:r>
      <w:r w:rsidR="006917B9" w:rsidRPr="006917B9">
        <w:rPr>
          <w:rFonts w:ascii="Calibri" w:hAnsi="Calibri" w:cs="Calibri"/>
          <w:color w:val="212121"/>
          <w:shd w:val="clear" w:color="auto" w:fill="FFFFFF"/>
        </w:rPr>
        <w:t>tatins s</w:t>
      </w:r>
      <w:r w:rsidRPr="006917B9">
        <w:rPr>
          <w:rFonts w:ascii="Calibri" w:hAnsi="Calibri" w:cs="Calibri"/>
          <w:color w:val="000000"/>
          <w:shd w:val="clear" w:color="auto" w:fill="FFFFFF"/>
        </w:rPr>
        <w:t xml:space="preserve">hould be considered for people </w:t>
      </w:r>
      <w:r w:rsidRPr="006917B9">
        <w:rPr>
          <w:rFonts w:ascii="Calibri" w:hAnsi="Calibri" w:cs="Calibri"/>
          <w:color w:val="000000"/>
          <w:lang w:val="en-GB" w:eastAsia="en-GB"/>
        </w:rPr>
        <w:t>aged over 40 years and in those aged between 20-39 years with additional atherosclero</w:t>
      </w:r>
      <w:r w:rsidRPr="00D55EA5">
        <w:rPr>
          <w:rFonts w:asciiTheme="minorHAnsi" w:hAnsiTheme="minorHAnsi" w:cstheme="minorHAnsi"/>
          <w:color w:val="000000"/>
          <w:lang w:val="en-GB" w:eastAsia="en-GB"/>
        </w:rPr>
        <w:t>tic cardiovascular disease risk factors</w:t>
      </w:r>
      <w:r w:rsidR="004774A3">
        <w:rPr>
          <w:rFonts w:asciiTheme="minorHAnsi" w:hAnsiTheme="minorHAnsi" w:cstheme="minorHAnsi"/>
          <w:color w:val="000000"/>
          <w:lang w:val="en-GB" w:eastAsia="en-GB"/>
        </w:rPr>
        <w:t xml:space="preserve"> or</w:t>
      </w:r>
      <w:r w:rsidR="004774A3" w:rsidRPr="004774A3">
        <w:rPr>
          <w:rFonts w:asciiTheme="minorHAnsi" w:hAnsiTheme="minorHAnsi" w:cstheme="minorHAnsi"/>
        </w:rPr>
        <w:t xml:space="preserve"> when the 10 year cardiovascular risk estimated by one of the risk calculators suitable for people with type 1 diabetes exceeds 10%</w:t>
      </w:r>
      <w:r w:rsidR="00181864">
        <w:rPr>
          <w:rFonts w:asciiTheme="minorHAnsi" w:hAnsiTheme="minorHAnsi" w:cstheme="minorHAnsi"/>
        </w:rPr>
        <w:t xml:space="preserve"> </w:t>
      </w:r>
      <w:r w:rsidR="00181864">
        <w:rPr>
          <w:rFonts w:asciiTheme="minorHAnsi" w:hAnsiTheme="minorHAnsi" w:cstheme="minorHAnsi"/>
        </w:rPr>
        <w:fldChar w:fldCharType="begin"/>
      </w:r>
      <w:r w:rsidR="00076F77">
        <w:rPr>
          <w:rFonts w:asciiTheme="minorHAnsi" w:hAnsiTheme="minorHAnsi" w:cstheme="minorHAnsi"/>
        </w:rPr>
        <w:instrText xml:space="preserve"> ADDIN ZOTERO_ITEM CSL_CITATION {"citationID":"iiA6F9Pm","properties":{"formattedCitation":"(49\\uc0\\u8211{}51)","plainCitation":"(49–51)","noteIndex":0},"citationItems":[{"id":12515,"uris":["http://zotero.org/groups/369679/items/C53AZ8L8"],"uri":["http://zotero.org/groups/369679/items/C53AZ8L8"],"itemData":{"id":12515,"type":"article-journal","abstract":"Background—\n              Patients with type 1 diabetes mellitus are at increased risk of developing cardiovascular disease (CVD), but they are currently undertreated. There are no risk scores used on a regular basis in clinical practice for assessing the risk of CVD in type 1 diabetes mellitus.\n            \n            \n              Methods and Results—\n              \n                From 4306 clinically diagnosed adult patients with type 1 diabetes mellitus, we developed a prediction model for estimating the risk of first fatal or nonfatal CVD event (ischemic heart disease, ischemic stroke, heart failure, and peripheral artery disease). Detailed clinical data including lifestyle factors were linked to event data from validated national registers. The risk prediction model was developed by using a 2-stage approach. First, a nonparametric, data-driven approach was used to identify potentially informative risk factors and interactions (random forest and survival tree analysis). Second, based on results from the first step, Poisson regression analysis was used to derive the final model. The final CVD prediction model was externally validated in a different population of 2119 patients with type 1 diabetes mellitus. During a median follow-up of 6.8 years (interquartile range, 2.9–10.9) a total of 793 (18.4%) patients developed CVD. The final prediction model included age, sex, diabetes duration, systolic blood pressure, low-density lipoprotein cholesterol, hemoglobin A\n                1c\n                , albuminuria, glomerular filtration rate, smoking, and exercise. Discrimination was excellent for a 5-year CVD event with a C-statistic of 0.826 (95% confidence interval, 0.807–0.845) in the derivation data and a C-statistic of 0.803 (95% confidence interval, 0.767–0.839) in the validation data. The Hosmer-Lemeshow test showed good calibration (\n                P\n                &gt;0.05) in both cohorts.\n              \n            \n            \n              Conclusions—\n              This high-performing CVD risk model allows for the implementation of decision rules in a clinical setting.","container-title":"Circulation","DOI":"10.1161/CIRCULATIONAHA.115.018844","ISSN":"0009-7322, 1524-4539","issue":"11","journalAbbreviation":"Circulation","language":"en","page":"1058-1066","source":"DOI.org (Crossref)","title":"Prediction of First Cardiovascular Disease Event in Type 1 Diabetes Mellitus: The Steno Type 1 Risk Engine","title-short":"Prediction of First Cardiovascular Disease Event in Type 1 Diabetes Mellitus","volume":"133","author":[{"family":"Vistisen","given":"Dorte"},{"family":"Andersen","given":"Gregers Stig"},{"family":"Hansen","given":"Christian Stevns"},{"family":"Hulman","given":"Adam"},{"family":"Henriksen","given":"Jan Erik"},{"family":"Bech-Nielsen","given":"Henning"},{"family":"Jørgensen","given":"Marit Eika"}],"issued":{"date-parts":[["2016",3,15]]}}},{"id":12514,"uris":["http://zotero.org/groups/369679/items/XU5MS2GR"],"uri":["http://zotero.org/groups/369679/items/XU5MS2GR"],"itemData":{"id":12514,"type":"webpage","title":"QRISK3","URL":"https://qrisk.org/three/index.php","accessed":{"date-parts":[["2021",7,16]]}}},{"id":12513,"uris":["http://zotero.org/groups/369679/items/ALN7NFPL"],"uri":["http://zotero.org/groups/369679/items/ALN7NFPL"],"itemData":{"id":12513,"type":"webpage","title":"CVD Risk Prediction T1D","URL":"https://diabepi.shinyapps.io/cvdrisk/","accessed":{"date-parts":[["2021",7,16]]}}}],"schema":"https://github.com/citation-style-language/schema/raw/master/csl-citation.json"} </w:instrText>
      </w:r>
      <w:r w:rsidR="00181864">
        <w:rPr>
          <w:rFonts w:asciiTheme="minorHAnsi" w:hAnsiTheme="minorHAnsi" w:cstheme="minorHAnsi"/>
        </w:rPr>
        <w:fldChar w:fldCharType="separate"/>
      </w:r>
      <w:r w:rsidR="00181864" w:rsidRPr="00181864">
        <w:rPr>
          <w:rFonts w:ascii="Calibri" w:hAnsi="Calibri" w:cs="Calibri"/>
        </w:rPr>
        <w:t>(49–51)</w:t>
      </w:r>
      <w:r w:rsidR="00181864">
        <w:rPr>
          <w:rFonts w:asciiTheme="minorHAnsi" w:hAnsiTheme="minorHAnsi" w:cstheme="minorHAnsi"/>
        </w:rPr>
        <w:fldChar w:fldCharType="end"/>
      </w:r>
      <w:r w:rsidRPr="00D55EA5">
        <w:rPr>
          <w:rFonts w:asciiTheme="minorHAnsi" w:hAnsiTheme="minorHAnsi" w:cstheme="minorHAnsi"/>
          <w:color w:val="000000"/>
          <w:lang w:val="en-GB" w:eastAsia="en-GB"/>
        </w:rPr>
        <w:t>. Additional agents such as ezetimibe</w:t>
      </w:r>
      <w:r w:rsidR="00D55EA5" w:rsidRPr="00D55EA5">
        <w:rPr>
          <w:rFonts w:asciiTheme="minorHAnsi" w:hAnsiTheme="minorHAnsi" w:cstheme="minorHAnsi"/>
          <w:color w:val="000000"/>
          <w:lang w:val="en-GB" w:eastAsia="en-GB"/>
        </w:rPr>
        <w:t xml:space="preserve"> </w:t>
      </w:r>
      <w:r w:rsidR="00D55EA5" w:rsidRPr="00D55EA5">
        <w:rPr>
          <w:rFonts w:asciiTheme="minorHAnsi" w:hAnsiTheme="minorHAnsi" w:cstheme="minorHAnsi"/>
          <w:color w:val="000000"/>
          <w:shd w:val="clear" w:color="auto" w:fill="FFFFFF"/>
        </w:rPr>
        <w:t>or PCSK9 inhibitors</w:t>
      </w:r>
      <w:r w:rsidRPr="00D55EA5">
        <w:rPr>
          <w:rFonts w:asciiTheme="minorHAnsi" w:hAnsiTheme="minorHAnsi" w:cstheme="minorHAnsi"/>
          <w:color w:val="000000"/>
          <w:lang w:val="en-GB" w:eastAsia="en-GB"/>
        </w:rPr>
        <w:t xml:space="preserve"> may be needed.</w:t>
      </w:r>
    </w:p>
    <w:p w14:paraId="3982D467" w14:textId="4DDE31EA" w:rsidR="00F85AA4" w:rsidRDefault="0016212A" w:rsidP="00F85AA4">
      <w:pPr>
        <w:autoSpaceDE w:val="0"/>
        <w:autoSpaceDN w:val="0"/>
        <w:adjustRightInd w:val="0"/>
        <w:spacing w:before="120"/>
        <w:jc w:val="both"/>
        <w:rPr>
          <w:rFonts w:asciiTheme="minorHAnsi" w:hAnsiTheme="minorHAnsi" w:cstheme="minorHAnsi"/>
          <w:color w:val="000000"/>
          <w:lang w:val="en-GB" w:eastAsia="en-GB"/>
        </w:rPr>
      </w:pPr>
      <w:r w:rsidRPr="00D55EA5">
        <w:rPr>
          <w:rFonts w:asciiTheme="minorHAnsi" w:hAnsiTheme="minorHAnsi" w:cstheme="minorHAnsi"/>
          <w:color w:val="000000"/>
          <w:lang w:val="en-GB" w:eastAsia="en-GB"/>
        </w:rPr>
        <w:t>Antiplatelet agents</w:t>
      </w:r>
      <w:r w:rsidR="00D55EA5" w:rsidRPr="00D55EA5">
        <w:rPr>
          <w:rFonts w:asciiTheme="minorHAnsi" w:hAnsiTheme="minorHAnsi" w:cstheme="minorHAnsi"/>
          <w:color w:val="000000"/>
          <w:lang w:val="en-GB" w:eastAsia="en-GB"/>
        </w:rPr>
        <w:t>, such as aspirin</w:t>
      </w:r>
      <w:r w:rsidRPr="00D55EA5">
        <w:rPr>
          <w:rFonts w:asciiTheme="minorHAnsi" w:hAnsiTheme="minorHAnsi" w:cstheme="minorHAnsi"/>
          <w:color w:val="000000"/>
          <w:lang w:val="en-GB" w:eastAsia="en-GB"/>
        </w:rPr>
        <w:t xml:space="preserve"> should be considered for all people with type 1 diabetes and existing cardiovascular disease</w:t>
      </w:r>
      <w:r w:rsidR="00D55EA5" w:rsidRPr="00D55EA5">
        <w:rPr>
          <w:rFonts w:asciiTheme="minorHAnsi" w:hAnsiTheme="minorHAnsi" w:cstheme="minorHAnsi"/>
          <w:color w:val="000000"/>
          <w:lang w:val="en-GB" w:eastAsia="en-GB"/>
        </w:rPr>
        <w:t>. Antiplatelet agents may be indicated for primary prevention</w:t>
      </w:r>
      <w:r w:rsidR="00D964EE">
        <w:rPr>
          <w:rFonts w:asciiTheme="minorHAnsi" w:hAnsiTheme="minorHAnsi" w:cstheme="minorHAnsi"/>
          <w:color w:val="000000"/>
          <w:lang w:val="en-GB" w:eastAsia="en-GB"/>
        </w:rPr>
        <w:t>,</w:t>
      </w:r>
      <w:r w:rsidR="00D55EA5" w:rsidRPr="00D55EA5">
        <w:rPr>
          <w:rFonts w:asciiTheme="minorHAnsi" w:hAnsiTheme="minorHAnsi" w:cstheme="minorHAnsi"/>
          <w:color w:val="000000"/>
          <w:lang w:val="en-GB" w:eastAsia="en-GB"/>
        </w:rPr>
        <w:t xml:space="preserve"> but the benefit should be balanced with the increased risk of gastrointestinal bleeding</w:t>
      </w:r>
      <w:r w:rsidR="00F85AA4">
        <w:rPr>
          <w:rFonts w:asciiTheme="minorHAnsi" w:hAnsiTheme="minorHAnsi" w:cstheme="minorHAnsi"/>
          <w:color w:val="000000"/>
          <w:lang w:val="en-GB" w:eastAsia="en-GB"/>
        </w:rPr>
        <w:t>.</w:t>
      </w:r>
      <w:r w:rsidR="00D55EA5" w:rsidRPr="00D55EA5">
        <w:rPr>
          <w:rFonts w:asciiTheme="minorHAnsi" w:hAnsiTheme="minorHAnsi" w:cstheme="minorHAnsi"/>
          <w:color w:val="000000"/>
          <w:lang w:val="en-GB" w:eastAsia="en-GB"/>
        </w:rPr>
        <w:t xml:space="preserve"> </w:t>
      </w:r>
    </w:p>
    <w:p w14:paraId="0AB94FD2" w14:textId="7C1D6E2E" w:rsidR="00F85AA4" w:rsidRDefault="00F85AA4" w:rsidP="00F85AA4">
      <w:pPr>
        <w:autoSpaceDE w:val="0"/>
        <w:autoSpaceDN w:val="0"/>
        <w:adjustRightInd w:val="0"/>
        <w:spacing w:before="120"/>
        <w:jc w:val="both"/>
        <w:rPr>
          <w:rFonts w:ascii="Calibri" w:hAnsi="Calibri" w:cs="Calibri"/>
          <w:color w:val="000000"/>
        </w:rPr>
      </w:pPr>
      <w:r w:rsidRPr="00F85AA4">
        <w:rPr>
          <w:rFonts w:ascii="Calibri" w:hAnsi="Calibri" w:cs="Calibri"/>
          <w:color w:val="000000"/>
        </w:rPr>
        <w:t>In asymptomatic people with type 1 diabetes, routine screening for coronary artery disease is not recommended as it does not improve outcomes as long as atherosclerotic cardiovascular disease risk factors are treated. However, investigations for coronary artery disease should be considered if the person has any of the following: atypical cardiac symptoms, signs or symptoms of associated vascular disease or electrocardiogram abnormalities.</w:t>
      </w:r>
    </w:p>
    <w:p w14:paraId="1018D2E6" w14:textId="2F60DB51" w:rsidR="000C6473" w:rsidRPr="000C6473" w:rsidRDefault="000C6473" w:rsidP="00F85AA4">
      <w:pPr>
        <w:autoSpaceDE w:val="0"/>
        <w:autoSpaceDN w:val="0"/>
        <w:adjustRightInd w:val="0"/>
        <w:spacing w:before="120"/>
        <w:jc w:val="both"/>
        <w:rPr>
          <w:rFonts w:ascii="Calibri" w:hAnsi="Calibri" w:cs="Calibri"/>
        </w:rPr>
      </w:pPr>
      <w:r w:rsidRPr="0035461C">
        <w:rPr>
          <w:rFonts w:ascii="Calibri" w:hAnsi="Calibri" w:cs="Calibri"/>
        </w:rPr>
        <w:t xml:space="preserve">Type 1 diabetes is a demanding condition and requires on-going professional medical, educational, and psychosocial support. Care may differ at particular times of life, such as at the point of diagnosis, during concomitant illness or pregnancy, and later in life. </w:t>
      </w:r>
      <w:r w:rsidR="00D16B77">
        <w:rPr>
          <w:rFonts w:ascii="Calibri" w:hAnsi="Calibri" w:cs="Calibri"/>
        </w:rPr>
        <w:t xml:space="preserve">Given the complexity of management, healthcare professionals should have the appropriate skills, training and </w:t>
      </w:r>
      <w:r w:rsidR="00D16B77" w:rsidRPr="00D16B77">
        <w:rPr>
          <w:rFonts w:ascii="Calibri" w:hAnsi="Calibri" w:cs="Calibri"/>
        </w:rPr>
        <w:t xml:space="preserve">resources </w:t>
      </w:r>
      <w:r w:rsidR="00D16B77">
        <w:rPr>
          <w:rFonts w:ascii="Calibri" w:hAnsi="Calibri" w:cs="Calibri"/>
        </w:rPr>
        <w:t>to help</w:t>
      </w:r>
      <w:r w:rsidR="00D16B77" w:rsidRPr="00D16B77">
        <w:rPr>
          <w:rFonts w:ascii="Calibri" w:hAnsi="Calibri" w:cs="Calibri"/>
        </w:rPr>
        <w:t xml:space="preserve"> </w:t>
      </w:r>
      <w:r w:rsidR="00D16B77">
        <w:rPr>
          <w:rFonts w:ascii="Calibri" w:hAnsi="Calibri" w:cs="Calibri"/>
        </w:rPr>
        <w:t>people with type 1 diabetes</w:t>
      </w:r>
      <w:r w:rsidR="00D16B77" w:rsidRPr="00D16B77">
        <w:rPr>
          <w:rFonts w:ascii="Calibri" w:hAnsi="Calibri" w:cs="Calibri"/>
        </w:rPr>
        <w:t xml:space="preserve"> </w:t>
      </w:r>
      <w:r w:rsidR="00D16B77">
        <w:rPr>
          <w:rFonts w:ascii="Calibri" w:hAnsi="Calibri" w:cs="Calibri"/>
        </w:rPr>
        <w:t>access the</w:t>
      </w:r>
      <w:r w:rsidR="00D16B77" w:rsidRPr="00D16B77">
        <w:rPr>
          <w:rFonts w:ascii="Calibri" w:hAnsi="Calibri" w:cs="Calibri"/>
        </w:rPr>
        <w:t xml:space="preserve"> education, technology</w:t>
      </w:r>
      <w:r w:rsidR="00D16B77">
        <w:rPr>
          <w:rFonts w:ascii="Calibri" w:hAnsi="Calibri" w:cs="Calibri"/>
        </w:rPr>
        <w:t>,</w:t>
      </w:r>
      <w:r w:rsidR="00D16B77" w:rsidRPr="00D16B77">
        <w:rPr>
          <w:rFonts w:ascii="Calibri" w:hAnsi="Calibri" w:cs="Calibri"/>
        </w:rPr>
        <w:t xml:space="preserve"> knowledge</w:t>
      </w:r>
      <w:r w:rsidR="00D16B77">
        <w:rPr>
          <w:rFonts w:ascii="Calibri" w:hAnsi="Calibri" w:cs="Calibri"/>
        </w:rPr>
        <w:t xml:space="preserve"> and urgent care they require</w:t>
      </w:r>
      <w:r w:rsidR="00D16B77" w:rsidRPr="00D16B77">
        <w:rPr>
          <w:rFonts w:ascii="Calibri" w:hAnsi="Calibri" w:cs="Calibri"/>
        </w:rPr>
        <w:t>.</w:t>
      </w:r>
      <w:r w:rsidR="00D16B77">
        <w:rPr>
          <w:rFonts w:ascii="Calibri" w:hAnsi="Calibri" w:cs="Calibri"/>
        </w:rPr>
        <w:t xml:space="preserve"> </w:t>
      </w:r>
      <w:r w:rsidRPr="0035461C">
        <w:rPr>
          <w:rFonts w:ascii="Calibri" w:hAnsi="Calibri" w:cs="Calibri"/>
        </w:rPr>
        <w:t>These issues are discussed in greater detail in the sections that follow. Overall approaches for people with newly diagnosed or established type 1 diabetes are shown in figures 3 and 4.</w:t>
      </w:r>
    </w:p>
    <w:p w14:paraId="64A1E40E" w14:textId="77777777" w:rsidR="0016212A" w:rsidRPr="0035461C" w:rsidRDefault="0016212A" w:rsidP="001C5BC0">
      <w:pPr>
        <w:autoSpaceDE w:val="0"/>
        <w:autoSpaceDN w:val="0"/>
        <w:adjustRightInd w:val="0"/>
        <w:spacing w:before="120"/>
        <w:jc w:val="both"/>
        <w:rPr>
          <w:rFonts w:ascii="Calibri" w:hAnsi="Calibri" w:cs="Calibri"/>
        </w:rPr>
      </w:pPr>
    </w:p>
    <w:p w14:paraId="06BCAE5C" w14:textId="56829F68" w:rsidR="00910721" w:rsidRPr="0035461C" w:rsidRDefault="00512AAD" w:rsidP="00122673">
      <w:pPr>
        <w:keepNext/>
        <w:spacing w:before="120"/>
        <w:jc w:val="both"/>
        <w:rPr>
          <w:rFonts w:ascii="Calibri" w:hAnsi="Calibri" w:cs="Calibri"/>
          <w:b/>
          <w:bCs/>
        </w:rPr>
      </w:pPr>
      <w:r w:rsidRPr="0035461C">
        <w:rPr>
          <w:rFonts w:ascii="Calibri" w:hAnsi="Calibri" w:cs="Calibri"/>
          <w:b/>
          <w:bCs/>
        </w:rPr>
        <w:t>Section 4:</w:t>
      </w:r>
      <w:r w:rsidR="00E615B3" w:rsidRPr="0035461C">
        <w:rPr>
          <w:rFonts w:ascii="Calibri" w:hAnsi="Calibri" w:cs="Calibri"/>
          <w:b/>
          <w:bCs/>
        </w:rPr>
        <w:t xml:space="preserve"> </w:t>
      </w:r>
      <w:r w:rsidR="00910721" w:rsidRPr="0035461C">
        <w:rPr>
          <w:rFonts w:ascii="Calibri" w:hAnsi="Calibri" w:cs="Calibri"/>
          <w:b/>
          <w:bCs/>
        </w:rPr>
        <w:t>Schedule of Care</w:t>
      </w:r>
    </w:p>
    <w:p w14:paraId="7C7DEFD9" w14:textId="19412F85" w:rsidR="00B701AF" w:rsidRPr="0035461C" w:rsidRDefault="00567D76" w:rsidP="001C5BC0">
      <w:pPr>
        <w:spacing w:before="120"/>
        <w:jc w:val="both"/>
        <w:rPr>
          <w:rFonts w:ascii="Calibri" w:hAnsi="Calibri" w:cs="Calibri"/>
        </w:rPr>
      </w:pPr>
      <w:r w:rsidRPr="0035461C">
        <w:rPr>
          <w:rFonts w:ascii="Calibri" w:hAnsi="Calibri" w:cs="Calibri"/>
        </w:rPr>
        <w:t xml:space="preserve">A detailed evaluation should be obtained at the initial consultation, and more targeted interval care at follow-up visits with a focus on </w:t>
      </w:r>
      <w:r w:rsidR="003B7FE0" w:rsidRPr="0035461C">
        <w:rPr>
          <w:rFonts w:ascii="Calibri" w:hAnsi="Calibri" w:cs="Calibri"/>
        </w:rPr>
        <w:t>person</w:t>
      </w:r>
      <w:r w:rsidRPr="0035461C">
        <w:rPr>
          <w:rFonts w:ascii="Calibri" w:hAnsi="Calibri" w:cs="Calibri"/>
        </w:rPr>
        <w:t>-centered care</w:t>
      </w:r>
      <w:r w:rsidR="00952F4E" w:rsidRPr="0035461C">
        <w:rPr>
          <w:rFonts w:ascii="Calibri" w:hAnsi="Calibri" w:cs="Calibri"/>
        </w:rPr>
        <w:t xml:space="preserve"> (Table 2)</w:t>
      </w:r>
      <w:r w:rsidR="003723EB" w:rsidRPr="0035461C">
        <w:rPr>
          <w:rFonts w:ascii="Calibri" w:hAnsi="Calibri" w:cs="Calibri"/>
        </w:rPr>
        <w:t xml:space="preserve"> </w:t>
      </w:r>
      <w:r w:rsidR="007E41BD" w:rsidRPr="0035461C">
        <w:rPr>
          <w:rFonts w:ascii="Calibri" w:hAnsi="Calibri" w:cs="Calibri"/>
        </w:rPr>
        <w:fldChar w:fldCharType="begin"/>
      </w:r>
      <w:r w:rsidR="00076F77">
        <w:rPr>
          <w:rFonts w:ascii="Calibri" w:hAnsi="Calibri" w:cs="Calibri"/>
        </w:rPr>
        <w:instrText xml:space="preserve"> ADDIN ZOTERO_ITEM CSL_CITATION {"citationID":"te0PFZhw","properties":{"formattedCitation":"(52,53)","plainCitation":"(52,53)","noteIndex":0},"citationItems":[{"id":11026,"uris":["http://zotero.org/groups/369679/items/7DJ7UQ7G"],"uri":["http://zotero.org/groups/369679/items/7DJ7UQ7G"],"itemData":{"id":11026,"type":"article-journal","abstract":"The American Diabetes Association (ADA) “Standards of Medical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(https://doi.org/10.2337/dc21-SPPC), are responsible for updating the Standards of Care annually, or more frequently as warranted. For a detailed description of ADA standards, statements, and reports, as well as the evidence grading system for ADA's clinical practice recommendations, please refer to the Standards of Care Introduction (https://doi.org/10.2337/dc21-SINT). Readers who wish to comment on the Standards of Care are invited to do so at professional.diabetes.org/SOC.","container-title":"Diabetes Care","DOI":"10.2337/dc21-S004","ISSN":"0149-5992, 1935-5548","issue":"Supplement 1","language":"en","note":"publisher: American Diabetes Association\nsection: Standards of Care\nPMID: 33298415","page":"S40-S52","source":"care.diabetesjournals.org","title":"4. Comprehensive Medical Evaluation and Assessment of Comorbidities: Standards of Medical Care in Diabetes—2021","title-short":"4. Comprehensive Medical Evaluation and Assessment of Comorbidities","volume":"44","author":[{"family":"American Diabetes Association","given":""}],"issued":{"date-parts":[["2021",1,1]]}}},{"id":11523,"uris":["http://zotero.org/groups/369679/items/RY9HE5X3"],"uri":["http://zotero.org/groups/369679/items/RY9HE5X3"],"itemData":{"id":11523,"type":"article-journal","abstract":"The American Diabetes Association (ADA) \"Standards of Medical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(https://doi.org/10.2337/dc21-SPPC), are responsible for updating the Standards of Care annually, or more frequently as warranted. For a detailed description of ADA standards, statements, and reports, as well as the evidence-grading system for ADA's clinical practice recommendations, please refer to the Standards of Care Introduction (https://doi.org/10.2337/dc21-SINT). Readers who wish to comment on the Standards of Care are invited to do so at professional.diabetes.org/SOC.","container-title":"Diabetes Care","DOI":"10.2337/dc21-S007","ISSN":"1935-5548","issue":"Suppl 1","journalAbbreviation":"Diabetes Care","language":"eng","note":"PMID: 33298418","page":"S85-S99","source":"PubMed","title":"7. Diabetes Technology: Standards of Medical Care in Diabetes-2021","title-short":"7. Diabetes Technology","volume":"44","author":[{"literal":"American Diabetes Association"}],"issued":{"date-parts":[["2021",1]]}}}],"schema":"https://github.com/citation-style-language/schema/raw/master/csl-citation.json"} </w:instrText>
      </w:r>
      <w:r w:rsidR="007E41BD" w:rsidRPr="0035461C">
        <w:rPr>
          <w:rFonts w:ascii="Calibri" w:hAnsi="Calibri" w:cs="Calibri"/>
        </w:rPr>
        <w:fldChar w:fldCharType="separate"/>
      </w:r>
      <w:r w:rsidR="00181864" w:rsidRPr="00181864">
        <w:rPr>
          <w:rFonts w:ascii="Calibri" w:hAnsi="Calibri" w:cs="Calibri"/>
        </w:rPr>
        <w:t>(52,53)</w:t>
      </w:r>
      <w:r w:rsidR="007E41BD" w:rsidRPr="0035461C">
        <w:rPr>
          <w:rFonts w:ascii="Calibri" w:hAnsi="Calibri" w:cs="Calibri"/>
        </w:rPr>
        <w:fldChar w:fldCharType="end"/>
      </w:r>
      <w:r w:rsidR="003723EB" w:rsidRPr="0035461C">
        <w:rPr>
          <w:rFonts w:ascii="Calibri" w:hAnsi="Calibri" w:cs="Calibri"/>
        </w:rPr>
        <w:t>.</w:t>
      </w:r>
      <w:r w:rsidR="00C67C50" w:rsidRPr="0035461C">
        <w:rPr>
          <w:rFonts w:ascii="Calibri" w:hAnsi="Calibri" w:cs="Calibri"/>
        </w:rPr>
        <w:t xml:space="preserve"> </w:t>
      </w:r>
      <w:r w:rsidR="000973AE" w:rsidRPr="0035461C">
        <w:rPr>
          <w:rFonts w:ascii="Calibri" w:hAnsi="Calibri" w:cs="Calibri"/>
        </w:rPr>
        <w:t>A personalized approach for visit frequency is recommended</w:t>
      </w:r>
      <w:r w:rsidR="00E5118D">
        <w:rPr>
          <w:rFonts w:ascii="Calibri" w:hAnsi="Calibri" w:cs="Calibri"/>
        </w:rPr>
        <w:t xml:space="preserve"> but visits should occur at least annually</w:t>
      </w:r>
      <w:r w:rsidR="000973AE" w:rsidRPr="0035461C">
        <w:rPr>
          <w:rFonts w:ascii="Calibri" w:hAnsi="Calibri" w:cs="Calibri"/>
        </w:rPr>
        <w:t>.</w:t>
      </w:r>
      <w:r w:rsidR="00E615B3" w:rsidRPr="0035461C">
        <w:rPr>
          <w:rFonts w:ascii="Calibri" w:hAnsi="Calibri" w:cs="Calibri"/>
        </w:rPr>
        <w:t xml:space="preserve"> </w:t>
      </w:r>
      <w:r w:rsidR="00E5118D">
        <w:rPr>
          <w:rFonts w:ascii="Calibri" w:hAnsi="Calibri" w:cs="Calibri"/>
        </w:rPr>
        <w:t>M</w:t>
      </w:r>
      <w:r w:rsidR="00E5118D" w:rsidRPr="0035461C">
        <w:rPr>
          <w:rFonts w:ascii="Calibri" w:hAnsi="Calibri" w:cs="Calibri"/>
        </w:rPr>
        <w:t xml:space="preserve">ore </w:t>
      </w:r>
      <w:r w:rsidR="001B703A" w:rsidRPr="0035461C">
        <w:rPr>
          <w:rFonts w:ascii="Calibri" w:hAnsi="Calibri" w:cs="Calibri"/>
        </w:rPr>
        <w:t>frequent contact</w:t>
      </w:r>
      <w:r w:rsidR="00EC16D9">
        <w:rPr>
          <w:rFonts w:ascii="Calibri" w:hAnsi="Calibri" w:cs="Calibri"/>
        </w:rPr>
        <w:t>, however,</w:t>
      </w:r>
      <w:r w:rsidR="001B703A" w:rsidRPr="0035461C">
        <w:rPr>
          <w:rFonts w:ascii="Calibri" w:hAnsi="Calibri" w:cs="Calibri"/>
        </w:rPr>
        <w:t xml:space="preserve"> is preferred </w:t>
      </w:r>
      <w:r w:rsidRPr="0035461C">
        <w:rPr>
          <w:rFonts w:ascii="Calibri" w:hAnsi="Calibri" w:cs="Calibri"/>
        </w:rPr>
        <w:t xml:space="preserve">for </w:t>
      </w:r>
      <w:r w:rsidR="00EC16D9">
        <w:rPr>
          <w:rFonts w:ascii="Calibri" w:hAnsi="Calibri" w:cs="Calibri"/>
        </w:rPr>
        <w:t>most</w:t>
      </w:r>
      <w:r w:rsidR="00E5118D">
        <w:rPr>
          <w:rFonts w:ascii="Calibri" w:hAnsi="Calibri" w:cs="Calibri"/>
        </w:rPr>
        <w:t xml:space="preserve"> individuals, for example those</w:t>
      </w:r>
      <w:r w:rsidR="00E5118D" w:rsidRPr="0035461C">
        <w:rPr>
          <w:rFonts w:ascii="Calibri" w:hAnsi="Calibri" w:cs="Calibri"/>
        </w:rPr>
        <w:t xml:space="preserve"> </w:t>
      </w:r>
      <w:r w:rsidR="00B51C49">
        <w:rPr>
          <w:rFonts w:ascii="Calibri" w:hAnsi="Calibri" w:cs="Calibri"/>
        </w:rPr>
        <w:t xml:space="preserve">who have been recently diagnosed, those </w:t>
      </w:r>
      <w:r w:rsidR="001B703A" w:rsidRPr="0035461C">
        <w:rPr>
          <w:rFonts w:ascii="Calibri" w:hAnsi="Calibri" w:cs="Calibri"/>
        </w:rPr>
        <w:t xml:space="preserve">who </w:t>
      </w:r>
      <w:r w:rsidR="00064189" w:rsidRPr="0035461C">
        <w:rPr>
          <w:rFonts w:ascii="Calibri" w:hAnsi="Calibri" w:cs="Calibri"/>
        </w:rPr>
        <w:t>are</w:t>
      </w:r>
      <w:r w:rsidR="001B703A" w:rsidRPr="0035461C">
        <w:rPr>
          <w:rFonts w:ascii="Calibri" w:hAnsi="Calibri" w:cs="Calibri"/>
        </w:rPr>
        <w:t xml:space="preserve"> not meeting their</w:t>
      </w:r>
      <w:r w:rsidRPr="0035461C">
        <w:rPr>
          <w:rFonts w:ascii="Calibri" w:hAnsi="Calibri" w:cs="Calibri"/>
        </w:rPr>
        <w:t xml:space="preserve"> diabetes </w:t>
      </w:r>
      <w:r w:rsidR="001B703A" w:rsidRPr="0035461C">
        <w:rPr>
          <w:rFonts w:ascii="Calibri" w:hAnsi="Calibri" w:cs="Calibri"/>
        </w:rPr>
        <w:t>goals</w:t>
      </w:r>
      <w:r w:rsidR="00E5118D">
        <w:rPr>
          <w:rFonts w:ascii="Calibri" w:hAnsi="Calibri" w:cs="Calibri"/>
        </w:rPr>
        <w:t>,</w:t>
      </w:r>
      <w:r w:rsidR="001B703A" w:rsidRPr="0035461C">
        <w:rPr>
          <w:rFonts w:ascii="Calibri" w:hAnsi="Calibri" w:cs="Calibri"/>
        </w:rPr>
        <w:t xml:space="preserve"> </w:t>
      </w:r>
      <w:r w:rsidR="00E5118D">
        <w:rPr>
          <w:rFonts w:ascii="Calibri" w:hAnsi="Calibri" w:cs="Calibri"/>
        </w:rPr>
        <w:t xml:space="preserve">those who require cardiovascular risk management, </w:t>
      </w:r>
      <w:r w:rsidR="001B703A" w:rsidRPr="0035461C">
        <w:rPr>
          <w:rFonts w:ascii="Calibri" w:hAnsi="Calibri" w:cs="Calibri"/>
        </w:rPr>
        <w:t xml:space="preserve">and </w:t>
      </w:r>
      <w:r w:rsidR="00E5118D">
        <w:rPr>
          <w:rFonts w:ascii="Calibri" w:hAnsi="Calibri" w:cs="Calibri"/>
        </w:rPr>
        <w:t xml:space="preserve">those </w:t>
      </w:r>
      <w:r w:rsidRPr="0035461C">
        <w:rPr>
          <w:rFonts w:ascii="Calibri" w:hAnsi="Calibri" w:cs="Calibri"/>
        </w:rPr>
        <w:t xml:space="preserve">who would benefit from additional </w:t>
      </w:r>
      <w:r w:rsidR="00874F88" w:rsidRPr="0035461C">
        <w:rPr>
          <w:rFonts w:ascii="Calibri" w:hAnsi="Calibri" w:cs="Calibri"/>
        </w:rPr>
        <w:t xml:space="preserve">self-management </w:t>
      </w:r>
      <w:r w:rsidRPr="0035461C">
        <w:rPr>
          <w:rFonts w:ascii="Calibri" w:hAnsi="Calibri" w:cs="Calibri"/>
        </w:rPr>
        <w:t xml:space="preserve">education and </w:t>
      </w:r>
      <w:r w:rsidR="00E5118D">
        <w:rPr>
          <w:rFonts w:ascii="Calibri" w:hAnsi="Calibri" w:cs="Calibri"/>
        </w:rPr>
        <w:t xml:space="preserve">psychosocial </w:t>
      </w:r>
      <w:r w:rsidRPr="0035461C">
        <w:rPr>
          <w:rFonts w:ascii="Calibri" w:hAnsi="Calibri" w:cs="Calibri"/>
        </w:rPr>
        <w:t>support</w:t>
      </w:r>
      <w:r w:rsidR="001B703A" w:rsidRPr="0035461C">
        <w:rPr>
          <w:rFonts w:ascii="Calibri" w:hAnsi="Calibri" w:cs="Calibri"/>
        </w:rPr>
        <w:t xml:space="preserve">. </w:t>
      </w:r>
      <w:r w:rsidR="001210CA">
        <w:rPr>
          <w:rFonts w:ascii="Calibri" w:hAnsi="Calibri" w:cs="Calibri"/>
        </w:rPr>
        <w:t>The increased</w:t>
      </w:r>
      <w:r w:rsidR="001B703A" w:rsidRPr="0035461C">
        <w:rPr>
          <w:rFonts w:ascii="Calibri" w:hAnsi="Calibri" w:cs="Calibri"/>
        </w:rPr>
        <w:t xml:space="preserve"> contact will </w:t>
      </w:r>
      <w:r w:rsidR="00D33DA5" w:rsidRPr="0035461C">
        <w:rPr>
          <w:rFonts w:ascii="Calibri" w:hAnsi="Calibri" w:cs="Calibri"/>
        </w:rPr>
        <w:t xml:space="preserve">allow </w:t>
      </w:r>
      <w:r w:rsidR="00B701AF" w:rsidRPr="0035461C">
        <w:rPr>
          <w:rFonts w:ascii="Calibri" w:hAnsi="Calibri" w:cs="Calibri"/>
        </w:rPr>
        <w:t xml:space="preserve">additional review of glucose data and </w:t>
      </w:r>
      <w:r w:rsidR="00722CB8">
        <w:rPr>
          <w:rFonts w:ascii="Calibri" w:hAnsi="Calibri" w:cs="Calibri"/>
        </w:rPr>
        <w:t xml:space="preserve">other </w:t>
      </w:r>
      <w:r w:rsidR="00B701AF" w:rsidRPr="0035461C">
        <w:rPr>
          <w:rFonts w:ascii="Calibri" w:hAnsi="Calibri" w:cs="Calibri"/>
        </w:rPr>
        <w:t>support</w:t>
      </w:r>
      <w:r w:rsidRPr="0035461C">
        <w:rPr>
          <w:rFonts w:ascii="Calibri" w:hAnsi="Calibri" w:cs="Calibri"/>
        </w:rPr>
        <w:t xml:space="preserve">. </w:t>
      </w:r>
      <w:r w:rsidR="001B703A" w:rsidRPr="0035461C">
        <w:rPr>
          <w:rFonts w:ascii="Calibri" w:hAnsi="Calibri" w:cs="Calibri"/>
        </w:rPr>
        <w:t>Additional</w:t>
      </w:r>
      <w:r w:rsidRPr="0035461C">
        <w:rPr>
          <w:rFonts w:ascii="Calibri" w:hAnsi="Calibri" w:cs="Calibri"/>
        </w:rPr>
        <w:t xml:space="preserve"> visits can also be useful when the therapeutic regimen changes, for example</w:t>
      </w:r>
      <w:r w:rsidR="00D33DA5" w:rsidRPr="0035461C">
        <w:rPr>
          <w:rFonts w:ascii="Calibri" w:hAnsi="Calibri" w:cs="Calibri"/>
        </w:rPr>
        <w:t>,</w:t>
      </w:r>
      <w:r w:rsidRPr="0035461C">
        <w:rPr>
          <w:rFonts w:ascii="Calibri" w:hAnsi="Calibri" w:cs="Calibri"/>
        </w:rPr>
        <w:t xml:space="preserve"> when the insulin regimen is modified or </w:t>
      </w:r>
      <w:r w:rsidR="0015331E" w:rsidRPr="0035461C">
        <w:rPr>
          <w:rFonts w:ascii="Calibri" w:hAnsi="Calibri" w:cs="Calibri"/>
        </w:rPr>
        <w:t>when</w:t>
      </w:r>
      <w:r w:rsidRPr="0035461C">
        <w:rPr>
          <w:rFonts w:ascii="Calibri" w:hAnsi="Calibri" w:cs="Calibri"/>
        </w:rPr>
        <w:t xml:space="preserve"> a new device</w:t>
      </w:r>
      <w:r w:rsidR="005B2C8D" w:rsidRPr="0035461C">
        <w:rPr>
          <w:rFonts w:ascii="Calibri" w:hAnsi="Calibri" w:cs="Calibri"/>
        </w:rPr>
        <w:t xml:space="preserve"> </w:t>
      </w:r>
      <w:r w:rsidRPr="0035461C">
        <w:rPr>
          <w:rFonts w:ascii="Calibri" w:hAnsi="Calibri" w:cs="Calibri"/>
        </w:rPr>
        <w:t>is started.</w:t>
      </w:r>
      <w:r w:rsidR="0015331E" w:rsidRPr="0035461C">
        <w:rPr>
          <w:rFonts w:ascii="Calibri" w:hAnsi="Calibri" w:cs="Calibri"/>
        </w:rPr>
        <w:t xml:space="preserve"> </w:t>
      </w:r>
    </w:p>
    <w:p w14:paraId="421FA184" w14:textId="497E2792" w:rsidR="00567D76" w:rsidRPr="0035461C" w:rsidRDefault="00567D76" w:rsidP="001C5BC0">
      <w:pPr>
        <w:spacing w:before="120"/>
        <w:jc w:val="both"/>
        <w:rPr>
          <w:rFonts w:ascii="Calibri" w:hAnsi="Calibri" w:cs="Calibri"/>
        </w:rPr>
      </w:pPr>
      <w:r w:rsidRPr="0035461C">
        <w:rPr>
          <w:rFonts w:ascii="Calibri" w:hAnsi="Calibri" w:cs="Calibri"/>
        </w:rPr>
        <w:t>In the past, initial and follow-up visits were primarily conducted face-to-face</w:t>
      </w:r>
      <w:r w:rsidR="0015331E" w:rsidRPr="0035461C">
        <w:rPr>
          <w:rFonts w:ascii="Calibri" w:hAnsi="Calibri" w:cs="Calibri"/>
        </w:rPr>
        <w:t xml:space="preserve"> and </w:t>
      </w:r>
      <w:r w:rsidRPr="0035461C">
        <w:rPr>
          <w:rFonts w:ascii="Calibri" w:hAnsi="Calibri" w:cs="Calibri"/>
        </w:rPr>
        <w:t xml:space="preserve">telemedicine </w:t>
      </w:r>
      <w:r w:rsidR="0015331E" w:rsidRPr="0035461C">
        <w:rPr>
          <w:rFonts w:ascii="Calibri" w:hAnsi="Calibri" w:cs="Calibri"/>
        </w:rPr>
        <w:t>only</w:t>
      </w:r>
      <w:r w:rsidRPr="0035461C">
        <w:rPr>
          <w:rFonts w:ascii="Calibri" w:hAnsi="Calibri" w:cs="Calibri"/>
        </w:rPr>
        <w:t xml:space="preserve"> used sporadically</w:t>
      </w:r>
      <w:r w:rsidR="0015331E" w:rsidRPr="0035461C">
        <w:rPr>
          <w:rFonts w:ascii="Calibri" w:hAnsi="Calibri" w:cs="Calibri"/>
        </w:rPr>
        <w:t>. W</w:t>
      </w:r>
      <w:r w:rsidRPr="0035461C">
        <w:rPr>
          <w:rFonts w:ascii="Calibri" w:hAnsi="Calibri" w:cs="Calibri"/>
        </w:rPr>
        <w:t xml:space="preserve">ith the onset of the COVID-19 pandemic, </w:t>
      </w:r>
      <w:r w:rsidR="00340343" w:rsidRPr="0035461C">
        <w:rPr>
          <w:rFonts w:ascii="Calibri" w:hAnsi="Calibri" w:cs="Calibri"/>
        </w:rPr>
        <w:t xml:space="preserve">the </w:t>
      </w:r>
      <w:r w:rsidR="0015331E" w:rsidRPr="0035461C">
        <w:rPr>
          <w:rFonts w:ascii="Calibri" w:hAnsi="Calibri" w:cs="Calibri"/>
        </w:rPr>
        <w:t>use of telemedicine became a necessity</w:t>
      </w:r>
      <w:r w:rsidR="00DD3879" w:rsidRPr="0035461C">
        <w:rPr>
          <w:rFonts w:ascii="Calibri" w:hAnsi="Calibri" w:cs="Calibri"/>
        </w:rPr>
        <w:t xml:space="preserve"> and</w:t>
      </w:r>
      <w:r w:rsidR="00F75B5E" w:rsidRPr="0035461C">
        <w:rPr>
          <w:rFonts w:ascii="Calibri" w:hAnsi="Calibri" w:cs="Calibri"/>
        </w:rPr>
        <w:t xml:space="preserve"> </w:t>
      </w:r>
      <w:r w:rsidRPr="0035461C">
        <w:rPr>
          <w:rFonts w:ascii="Calibri" w:hAnsi="Calibri" w:cs="Calibri"/>
        </w:rPr>
        <w:t>there was a</w:t>
      </w:r>
      <w:r w:rsidR="00340343" w:rsidRPr="0035461C">
        <w:rPr>
          <w:rFonts w:ascii="Calibri" w:hAnsi="Calibri" w:cs="Calibri"/>
        </w:rPr>
        <w:t xml:space="preserve">n abrupt widespread adoption of </w:t>
      </w:r>
      <w:r w:rsidRPr="0035461C">
        <w:rPr>
          <w:rFonts w:ascii="Calibri" w:hAnsi="Calibri" w:cs="Calibri"/>
        </w:rPr>
        <w:t>remote visits (video</w:t>
      </w:r>
      <w:r w:rsidR="00776CCA">
        <w:rPr>
          <w:rFonts w:ascii="Calibri" w:hAnsi="Calibri" w:cs="Calibri"/>
        </w:rPr>
        <w:t>conference</w:t>
      </w:r>
      <w:r w:rsidRPr="0035461C">
        <w:rPr>
          <w:rFonts w:ascii="Calibri" w:hAnsi="Calibri" w:cs="Calibri"/>
        </w:rPr>
        <w:t>/</w:t>
      </w:r>
      <w:r w:rsidR="00776CCA">
        <w:rPr>
          <w:rFonts w:ascii="Calibri" w:hAnsi="Calibri" w:cs="Calibri"/>
        </w:rPr>
        <w:t>telephone call</w:t>
      </w:r>
      <w:r w:rsidRPr="0035461C">
        <w:rPr>
          <w:rFonts w:ascii="Calibri" w:hAnsi="Calibri" w:cs="Calibri"/>
        </w:rPr>
        <w:t>) to deliver diabetes care. Pre-COVID-19, results from a limited number of studies</w:t>
      </w:r>
      <w:r w:rsidR="0015331E" w:rsidRPr="0035461C">
        <w:rPr>
          <w:rFonts w:ascii="Calibri" w:hAnsi="Calibri" w:cs="Calibri"/>
        </w:rPr>
        <w:t xml:space="preserve"> using telemedicine</w:t>
      </w:r>
      <w:r w:rsidRPr="0035461C">
        <w:rPr>
          <w:rFonts w:ascii="Calibri" w:hAnsi="Calibri" w:cs="Calibri"/>
        </w:rPr>
        <w:t xml:space="preserve"> in </w:t>
      </w:r>
      <w:r w:rsidR="0015331E" w:rsidRPr="0035461C">
        <w:rPr>
          <w:rFonts w:ascii="Calibri" w:hAnsi="Calibri" w:cs="Calibri"/>
        </w:rPr>
        <w:t xml:space="preserve">different subgroups of people with </w:t>
      </w:r>
      <w:r w:rsidRPr="0035461C">
        <w:rPr>
          <w:rFonts w:ascii="Calibri" w:hAnsi="Calibri" w:cs="Calibri"/>
        </w:rPr>
        <w:t>type 1 diabetes suggested that remote monitoring, education</w:t>
      </w:r>
      <w:r w:rsidR="00926D09" w:rsidRPr="0035461C">
        <w:rPr>
          <w:rFonts w:ascii="Calibri" w:hAnsi="Calibri" w:cs="Calibri"/>
        </w:rPr>
        <w:t>,</w:t>
      </w:r>
      <w:r w:rsidRPr="0035461C">
        <w:rPr>
          <w:rFonts w:ascii="Calibri" w:hAnsi="Calibri" w:cs="Calibri"/>
        </w:rPr>
        <w:t xml:space="preserve"> and provider visits have the potential to improve outcomes</w:t>
      </w:r>
      <w:r w:rsidR="005E6134" w:rsidRPr="0035461C">
        <w:rPr>
          <w:rFonts w:ascii="Calibri" w:hAnsi="Calibri" w:cs="Calibri"/>
        </w:rPr>
        <w:t>, quality of life</w:t>
      </w:r>
      <w:r w:rsidR="006E6E6D" w:rsidRPr="0035461C">
        <w:rPr>
          <w:rFonts w:ascii="Calibri" w:hAnsi="Calibri" w:cs="Calibri"/>
        </w:rPr>
        <w:t>,</w:t>
      </w:r>
      <w:r w:rsidRPr="0035461C">
        <w:rPr>
          <w:rFonts w:ascii="Calibri" w:hAnsi="Calibri" w:cs="Calibri"/>
        </w:rPr>
        <w:t xml:space="preserve"> and self-management</w:t>
      </w:r>
      <w:r w:rsidR="006E6E6D" w:rsidRPr="0035461C">
        <w:rPr>
          <w:rFonts w:ascii="Calibri" w:hAnsi="Calibri" w:cs="Calibri"/>
        </w:rPr>
        <w:t>;</w:t>
      </w:r>
      <w:r w:rsidRPr="0035461C">
        <w:rPr>
          <w:rFonts w:ascii="Calibri" w:hAnsi="Calibri" w:cs="Calibri"/>
        </w:rPr>
        <w:t xml:space="preserve"> increase access to care and reduce costs</w:t>
      </w:r>
      <w:r w:rsidR="006E6E6D" w:rsidRPr="0035461C">
        <w:rPr>
          <w:rFonts w:ascii="Calibri" w:hAnsi="Calibri" w:cs="Calibri"/>
        </w:rPr>
        <w:t>;</w:t>
      </w:r>
      <w:r w:rsidRPr="0035461C">
        <w:rPr>
          <w:rFonts w:ascii="Calibri" w:hAnsi="Calibri" w:cs="Calibri"/>
        </w:rPr>
        <w:t xml:space="preserve"> and are well-accepted</w:t>
      </w:r>
      <w:r w:rsidR="005E6134" w:rsidRPr="0035461C">
        <w:rPr>
          <w:rFonts w:ascii="Calibri" w:hAnsi="Calibri" w:cs="Calibri"/>
        </w:rPr>
        <w:t xml:space="preserve"> with improved treatment satisfaction</w:t>
      </w:r>
      <w:r w:rsidR="004E4AB8" w:rsidRPr="0035461C">
        <w:rPr>
          <w:rFonts w:ascii="Calibri" w:hAnsi="Calibri" w:cs="Calibri"/>
        </w:rPr>
        <w:t xml:space="preserve"> </w:t>
      </w:r>
      <w:r w:rsidR="004E4AB8" w:rsidRPr="0035461C">
        <w:rPr>
          <w:rFonts w:ascii="Calibri" w:hAnsi="Calibri" w:cs="Calibri"/>
        </w:rPr>
        <w:fldChar w:fldCharType="begin"/>
      </w:r>
      <w:r w:rsidR="00076F77">
        <w:rPr>
          <w:rFonts w:ascii="Calibri" w:hAnsi="Calibri" w:cs="Calibri"/>
        </w:rPr>
        <w:instrText xml:space="preserve"> ADDIN ZOTERO_ITEM CSL_CITATION {"citationID":"RDO9CAMf","properties":{"formattedCitation":"(54\\uc0\\u8211{}57)","plainCitation":"(54–57)","noteIndex":0},"citationItems":[{"id":11032,"uris":["http://zotero.org/groups/369679/items/TUDX3GTD"],"uri":["http://zotero.org/groups/369679/items/TUDX3GTD"],"itemData":{"id":11032,"type":"article-journal","abstract":"OBJECTIVE: The objective of this scoping review was to identify peer-reviewed medical literature on the use of telemedicine in patients with Types I or II DM in the United States, assess its impact on self-management processes and clinical outcomes of care, and to delineate research gaps.\nMETHODS: We utilized a structured scoping review protocol to conduct this research. We searched the published medical literature utilizing two databases, PubMed and CINHAL, and we included all original research articles published prior to July 20th, 2018. Using a 4-step systematic approach, we identified, reviewed, extracted and summarized data from all relevant studies.\nRESULTS: We identified 47 articles overall. Telemedicine impact was reported as positive in articles addressing the following components of patient self-management: adherence to blood glucose monitoring, day-to-day decision-making related to self-care, and adherence with medications. The most commonly reported clinical outcome was HbA1c level. Few or no studies evaluated impact on long term clinical outcomes such as blindness, amputation, cardiovascular events, development of chronic kidney disease, or mortality.\nDISCUSSION: This scoping review provides important information about studies conducted in the United States evaluating the impact of telemedicine on patient self-management and on clinical outcomes in patients with DM.\nCONCLUSIONS: Results suggest that telemedicine has a positive impact on self-management processes and on HbA1c levels. However, future evaluative reviews are necessary to confirm and quantitate the impact of telemedicine on self-management processes and primary studies are necessary to evaluate its impact on long term clinical outcomes.","container-title":"Diabetes &amp; Metabolic Syndrome","DOI":"10.1016/j.dsx.2019.02.014","ISSN":"1878-0334","issue":"2","journalAbbreviation":"Diabetes Metab Syndr","language":"eng","note":"PMID: 31336491","page":"1353-1357","source":"PubMed","title":"The impact of telemedicine on patient self-management processes and clinical outcomes for patients with Types I or II Diabetes Mellitus in the United States: A scoping review","title-short":"The impact of telemedicine on patient self-management processes and clinical outcomes for patients with Types I or II Diabetes Mellitus in the United States","volume":"13","author":[{"family":"Borries","given":"Trevor M."},{"family":"Dunbar","given":"Ashley"},{"family":"Bhukhen","given":"Arti"},{"family":"Rismany","given":"Joshua"},{"family":"Kilham","given":"Jessica"},{"family":"Feinn","given":"Richard"},{"family":"Meehan","given":"Thomas P."}],"issued":{"date-parts":[["2019",4]]}}},{"id":11034,"uris":["http://zotero.org/groups/369679/items/97YJH2CF"],"uri":["http://zotero.org/groups/369679/items/97YJH2CF"],"itemData":{"id":11034,"type":"article-journal","abstract":"BACKGROUND: Telemedicine has been utilized increasingly worldwide for diabetes management, due to its potential to improve healthcare access and clinical outcomes. Few studies have assessed the economic benefits of telemedicine, which may contribute to underfunding in potentially important programs. We aim to systematically review the literature on economic evaluations of telemedicine in diabetes care, assess the quality, and summarize the evidence on driver of cost-effectiveness.\nMATERIALS AND METHODS: A literature search was performed in 10 databases from inception until February 2018. All economic evaluations assessing the economic evaluation of telemedicine in diabetes were eligible for inclusion. We subsequently evaluated the study quality in terms of effectiveness measures, cost measure, economic model, as well as time horizon.\nRESULTS: Of the 1877 studies identified, 14 articles were included in our final review. The healthcare providers' fees are a major predictor for total cost. In particular, the use of telemedicine for retinal screening was beneficial and cost-effective for diabetes management, with an incremental cost-effectiveness ratio between $113.48/quality-adjusted life year (QALY) and $3,328.46/QALY (adjusted to 2017 inflation rate). Similarly, the use of telemonitoring and telephone reminders was cost-effective in diabetes management.\nCONCLUSIONS: Among all telemedicine strategies examined, teleophthalmology was the most cost-effective intervention. Future research is needed to provide evidence on the long-term experience of telemedicine and facilitate resource allocation.","container-title":"Diabetes Technology &amp; Therapeutics","DOI":"10.1089/dia.2018.0098","ISSN":"1557-8593","issue":"7","journalAbbreviation":"Diabetes Technol Ther","language":"eng","note":"PMID: 29812965","page":"492-500","source":"PubMed","title":"Telemedicine Cost-Effectiveness for Diabetes Management: A Systematic Review","title-short":"Telemedicine Cost-Effectiveness for Diabetes Management","volume":"20","author":[{"family":"Lee","given":"Jun Yang"},{"family":"Lee","given":"Shaun Wen Huey"}],"issued":{"date-parts":[["2018",7]]}}},{"id":11036,"uris":["http://zotero.org/groups/369679/items/8XAXMD9U"],"uri":["http://zotero.org/groups/369679/items/8XAXMD9U"],"itemData":{"id":11036,"type":"article-journal","abstract":"Background:\n                    Telemedicine is instrumental in improving diabetes patient care, as well as providing significant cost benefits. This meta-analysis was conducted to compare the effectiveness of telemedicine intervention with usual care in diabetes patients.\n                        Methods:\n                    Randomized controlled trials (RCTs) reporting a change in HbA1c after usual care and telemedicine intervention were retrieved from electronic databases.\n                        Results:\n                    Data on 6,170 participants (mean age 13.3 to 71.0 years), with 3,128 randomized to usual care and 3,042 to telemedicine intervention, were retrieved from 42 RCTs. Eight studies used teleconsultation, while 34 used telemonitoring (device based). Nine studies enrolled both type 1 and type 2 diabetes patients, 21 focused on type 2 diabetes patients, and 12 on type 1 diabetes patients. The mean reduction in HbA1c was significantly higher in the telemedicine groups (Hedges' g = -0.37, p &lt; 0.001). Type 2 diabetes patients experienced a higher reduction in HbA1c compared to type 1 diabetes patients (Hedges' g = -0.48, p &lt; 0.001 vs. -0.26, p &lt; 0.05; Q = 1935.75, p &lt; 0.0001). Older patients (41-50 years, Hedges' g = -1.82, p &lt; 0.001; &gt;50 years, Hedges' g = -1.05, p &lt; 0.001) benefited more than their younger counterparts (Hedges' g = -0.84, p = 0.07). Telemedicine programs lasting &gt;6 months produced a significantly greater reduction in HbA1c levels (Hedges' g = -2.24 vs. -0.66, p &lt; 0.001).\n                        Conclusion:\n                    Telemedicine interventions are more effective than usual care in managing diabetes, especially type 2 diabetes. Furthermore, older patients and a longer duration of intervention provide superior results.","container-title":"Telemedicine Journal and E-Health: The Official Journal of the American Telemedicine Association","DOI":"10.1089/tmj.2018.0128","ISSN":"1556-3669","issue":"7","journalAbbreviation":"Telemed J E Health","language":"eng","note":"PMID: 30124394","page":"569-583","source":"PubMed","title":"Clinical Effectiveness of Telemedicine in Diabetes Mellitus: A Meta-Analysis of 42 Randomized Controlled Trials","title-short":"Clinical Effectiveness of Telemedicine in Diabetes Mellitus","volume":"25","author":[{"family":"Tchero","given":"Huidi"},{"family":"Kangambega","given":"Pauline"},{"family":"Briatte","given":"Christine"},{"family":"Brunet-Houdard","given":"Solenne"},{"family":"Retali","given":"Gerald-Reparate"},{"family":"Rusch","given":"Emmanuel"}],"issued":{"date-parts":[["2019",7]]}}},{"id":11038,"uris":["http://zotero.org/groups/369679/items/E4JEACR6"],"uri":["http://zotero.org/groups/369679/items/E4JEACR6"],"itemData":{"id":11038,"type":"article-journal","abstract":"BACKGROUND: Telemedicine is defined by three characteristics: (1) using information and communication technologies, (2) covering a geographical distance, and (3) involving professionals who deliver care directly to a patient or a group of patients. It is said to improve chronic care management and self-management in patients with chronic diseases. However, currently available guidelines for the care of patients with diabetes, hypertension, or dyslipidemia do not include evidence-based guidance on which components of telemedicine are most effective for which patient populations.\nOBJECTIVE: The primary aim of this study was to identify, synthesize, and critically appraise evidence on the effectiveness of telemedicine solutions and their components on clinical outcomes in patients with diabetes, hypertension, or dyslipidemia.\nMETHODS: We conducted an umbrella review of high-level evidence, including systematic reviews and meta-analyses of randomized controlled trials. On the basis of predefined eligibility criteria, extensive automated and manual searches of the databases PubMed, EMBASE, and Cochrane Library were conducted. Two authors independently screened the studies, extracted data, and carried out the quality assessments. Extracted data were presented according to intervention components and patient characteristics using defined thresholds of clinical relevance. Overall certainty of outcomes was assessed using the Grading of Recommendations, Assessment, Development, and Evaluation (GRADE) tool.\nRESULTS: Overall, 3564 references were identified, of which 46 records were included after applying eligibility criteria. The majority of included studies were published after 2015. Significant and clinically relevant reduction rates for glycated hemoglobin (HbA1c; ≤-0.5%) were found in patients with diabetes. Higher reduction rates were found for recently diagnosed patients and those with higher baseline HbA1c (&gt;8%). Telemedicine was not found to have a significant and clinically meaningful impact on blood pressure. Only reviews or meta-analyses reporting lipid outcomes in patients with diabetes were found. GRADE assessment revealed that the overall quality of the evidence was low to very low.\nCONCLUSIONS: The results of this umbrella review indicate that telemedicine has the potential to improve clinical outcomes in patients with diabetes. Although subgroup-specific effectiveness rates favoring certain intervention and population characteristics were found, the low GRADE ratings indicate that evidence can be considered as limited. Future updates of clinical care and practice guidelines should carefully assess the methodological quality of studies and the overall certainty of subgroup-specific outcomes before recommending telemedicine interventions for certain patient populations.","container-title":"Journal of Medical Internet Research","DOI":"10.2196/16791","ISSN":"1438-8871","issue":"3","journalAbbreviation":"J Med Internet Res","language":"eng","note":"PMID: 32186516\nPMCID: PMC7113804","page":"e16791","source":"PubMed","title":"Mapping the Evidence on the Effectiveness of Telemedicine Interventions in Diabetes, Dyslipidemia, and Hypertension: An Umbrella Review of Systematic Reviews and Meta-Analyses","title-short":"Mapping the Evidence on the Effectiveness of Telemedicine Interventions in Diabetes, Dyslipidemia, and Hypertension","volume":"22","author":[{"family":"Timpel","given":"Patrick"},{"family":"Oswald","given":"Sarah"},{"family":"Schwarz","given":"Peter E. H."},{"family":"Harst","given":"Lorenz"}],"issued":{"date-parts":[["2020",3,18]]}}}],"schema":"https://github.com/citation-style-language/schema/raw/master/csl-citation.json"} </w:instrText>
      </w:r>
      <w:r w:rsidR="004E4AB8" w:rsidRPr="0035461C">
        <w:rPr>
          <w:rFonts w:ascii="Calibri" w:hAnsi="Calibri" w:cs="Calibri"/>
        </w:rPr>
        <w:fldChar w:fldCharType="separate"/>
      </w:r>
      <w:r w:rsidR="00181864" w:rsidRPr="00181864">
        <w:rPr>
          <w:rFonts w:ascii="Calibri" w:hAnsi="Calibri" w:cs="Calibri"/>
        </w:rPr>
        <w:t>(54–57)</w:t>
      </w:r>
      <w:r w:rsidR="004E4AB8" w:rsidRPr="0035461C">
        <w:rPr>
          <w:rFonts w:ascii="Calibri" w:hAnsi="Calibri" w:cs="Calibri"/>
        </w:rPr>
        <w:fldChar w:fldCharType="end"/>
      </w:r>
      <w:r w:rsidRPr="0035461C">
        <w:rPr>
          <w:rFonts w:ascii="Calibri" w:hAnsi="Calibri" w:cs="Calibri"/>
        </w:rPr>
        <w:t>.</w:t>
      </w:r>
      <w:r w:rsidR="0015331E" w:rsidRPr="0035461C">
        <w:rPr>
          <w:rFonts w:ascii="Calibri" w:hAnsi="Calibri" w:cs="Calibri"/>
        </w:rPr>
        <w:t xml:space="preserve"> </w:t>
      </w:r>
    </w:p>
    <w:p w14:paraId="52842A7B" w14:textId="0ADDDDFF" w:rsidR="00567D76" w:rsidRPr="0035461C" w:rsidRDefault="00340343" w:rsidP="001C5BC0">
      <w:pPr>
        <w:spacing w:before="120"/>
        <w:jc w:val="both"/>
        <w:rPr>
          <w:rFonts w:ascii="Calibri" w:hAnsi="Calibri" w:cs="Calibri"/>
        </w:rPr>
      </w:pPr>
      <w:r w:rsidRPr="0035461C">
        <w:rPr>
          <w:rFonts w:ascii="Calibri" w:hAnsi="Calibri" w:cs="Calibri"/>
        </w:rPr>
        <w:t>T</w:t>
      </w:r>
      <w:r w:rsidR="00567D76" w:rsidRPr="0035461C">
        <w:rPr>
          <w:rFonts w:ascii="Calibri" w:hAnsi="Calibri" w:cs="Calibri"/>
        </w:rPr>
        <w:t>he use of telemedicine</w:t>
      </w:r>
      <w:r w:rsidRPr="0035461C">
        <w:rPr>
          <w:rFonts w:ascii="Calibri" w:hAnsi="Calibri" w:cs="Calibri"/>
        </w:rPr>
        <w:t>, however</w:t>
      </w:r>
      <w:r w:rsidR="004E4AB8" w:rsidRPr="0035461C">
        <w:rPr>
          <w:rFonts w:ascii="Calibri" w:hAnsi="Calibri" w:cs="Calibri"/>
        </w:rPr>
        <w:t>,</w:t>
      </w:r>
      <w:r w:rsidR="00567D76" w:rsidRPr="0035461C">
        <w:rPr>
          <w:rFonts w:ascii="Calibri" w:hAnsi="Calibri" w:cs="Calibri"/>
        </w:rPr>
        <w:t xml:space="preserve"> should be individualized and will vary depending upon </w:t>
      </w:r>
      <w:r w:rsidR="00A269A9" w:rsidRPr="0035461C">
        <w:rPr>
          <w:rFonts w:ascii="Calibri" w:hAnsi="Calibri" w:cs="Calibri"/>
        </w:rPr>
        <w:t>individual</w:t>
      </w:r>
      <w:r w:rsidR="00567D76" w:rsidRPr="0035461C">
        <w:rPr>
          <w:rFonts w:ascii="Calibri" w:hAnsi="Calibri" w:cs="Calibri"/>
        </w:rPr>
        <w:t xml:space="preserve"> needs</w:t>
      </w:r>
      <w:r w:rsidR="00140843" w:rsidRPr="0035461C">
        <w:rPr>
          <w:rFonts w:ascii="Calibri" w:hAnsi="Calibri" w:cs="Calibri"/>
        </w:rPr>
        <w:t>, computer literacy</w:t>
      </w:r>
      <w:r w:rsidR="00F00BB5" w:rsidRPr="0035461C">
        <w:rPr>
          <w:rFonts w:ascii="Calibri" w:hAnsi="Calibri" w:cs="Calibri"/>
        </w:rPr>
        <w:t>,</w:t>
      </w:r>
      <w:r w:rsidR="00567D76" w:rsidRPr="0035461C">
        <w:rPr>
          <w:rFonts w:ascii="Calibri" w:hAnsi="Calibri" w:cs="Calibri"/>
        </w:rPr>
        <w:t xml:space="preserve"> and access to care</w:t>
      </w:r>
      <w:r w:rsidR="00830ADC" w:rsidRPr="0035461C">
        <w:rPr>
          <w:rFonts w:ascii="Calibri" w:hAnsi="Calibri" w:cs="Calibri"/>
        </w:rPr>
        <w:t xml:space="preserve"> </w:t>
      </w:r>
      <w:r w:rsidR="006178C3" w:rsidRPr="0035461C">
        <w:rPr>
          <w:rFonts w:ascii="Calibri" w:hAnsi="Calibri" w:cs="Calibri"/>
        </w:rPr>
        <w:fldChar w:fldCharType="begin"/>
      </w:r>
      <w:r w:rsidR="00076F77">
        <w:rPr>
          <w:rFonts w:ascii="Calibri" w:hAnsi="Calibri" w:cs="Calibri"/>
        </w:rPr>
        <w:instrText xml:space="preserve"> ADDIN ZOTERO_ITEM CSL_CITATION {"citationID":"BCtECZZ7","properties":{"formattedCitation":"(58)","plainCitation":"(58)","noteIndex":0},"citationItems":[{"id":11478,"uris":["http://zotero.org/groups/369679/items/93X6X5M6"],"uri":["http://zotero.org/groups/369679/items/93X6X5M6"],"itemData":{"id":11478,"type":"article-journal","abstract":"Type 1 diabetes requires intensive self-management to avoid acute and long-term health complications. In the past two decades, substantial advances in technology have enabled more effective and convenient self-management of type 1 diabetes. Although proximal technologies (eg, insulin pumps, continuous glucose monitors, closed-loop and artificial pancreas systems) have been the subject of frequent systematic and narrative reviews, distal technologies have received scant attention. Distal technologies refer to electronic systems designed to provide a service remotely and include heterogeneous systems such as telehealth, mobile health applications, game-based support, social platforms, and patient portals. In this Review, we summarise the empirical literature to provide current information about the effectiveness of available distal technologies to improve type 1 diabetes management. We also discuss privacy, ethics, and regulatory considerations, issues of global adoption, knowledge gaps in distal technology, and recommendations for future directions.","container-title":"The Lancet. Diabetes &amp; Endocrinology","DOI":"10.1016/S2213-8587(17)30260-7","ISSN":"2213-8595","issue":"2","journalAbbreviation":"Lancet Diabetes Endocrinol","language":"eng","note":"PMID: 28867311","page":"143-156","source":"PubMed","title":"Distal technologies and type 1 diabetes management","volume":"6","author":[{"family":"Duke","given":"Danny C."},{"family":"Barry","given":"Samantha"},{"family":"Wagner","given":"David V."},{"family":"Speight","given":"Jane"},{"family":"Choudhary","given":"Pratik"},{"family":"Harris","given":"Michael A."}],"issued":{"date-parts":[["2018",2]]}}}],"schema":"https://github.com/citation-style-language/schema/raw/master/csl-citation.json"} </w:instrText>
      </w:r>
      <w:r w:rsidR="006178C3" w:rsidRPr="0035461C">
        <w:rPr>
          <w:rFonts w:ascii="Calibri" w:hAnsi="Calibri" w:cs="Calibri"/>
        </w:rPr>
        <w:fldChar w:fldCharType="separate"/>
      </w:r>
      <w:r w:rsidR="00181864" w:rsidRPr="00181864">
        <w:rPr>
          <w:rFonts w:ascii="Calibri" w:hAnsi="Calibri" w:cs="Calibri"/>
        </w:rPr>
        <w:t>(58)</w:t>
      </w:r>
      <w:r w:rsidR="006178C3" w:rsidRPr="0035461C">
        <w:rPr>
          <w:rFonts w:ascii="Calibri" w:hAnsi="Calibri" w:cs="Calibri"/>
        </w:rPr>
        <w:fldChar w:fldCharType="end"/>
      </w:r>
      <w:r w:rsidR="00567D76" w:rsidRPr="0035461C">
        <w:rPr>
          <w:rFonts w:ascii="Calibri" w:hAnsi="Calibri" w:cs="Calibri"/>
        </w:rPr>
        <w:t xml:space="preserve">. </w:t>
      </w:r>
      <w:r w:rsidRPr="0035461C">
        <w:rPr>
          <w:rFonts w:ascii="Calibri" w:hAnsi="Calibri" w:cs="Calibri"/>
        </w:rPr>
        <w:t>T</w:t>
      </w:r>
      <w:r w:rsidR="00567D76" w:rsidRPr="0035461C">
        <w:rPr>
          <w:rFonts w:ascii="Calibri" w:hAnsi="Calibri" w:cs="Calibri"/>
        </w:rPr>
        <w:t xml:space="preserve">he </w:t>
      </w:r>
      <w:r w:rsidRPr="0035461C">
        <w:rPr>
          <w:rFonts w:ascii="Calibri" w:hAnsi="Calibri" w:cs="Calibri"/>
        </w:rPr>
        <w:t xml:space="preserve">healthcare </w:t>
      </w:r>
      <w:r w:rsidR="00D33DA5" w:rsidRPr="0035461C">
        <w:rPr>
          <w:rFonts w:ascii="Calibri" w:hAnsi="Calibri" w:cs="Calibri"/>
        </w:rPr>
        <w:t xml:space="preserve">professional </w:t>
      </w:r>
      <w:r w:rsidRPr="0035461C">
        <w:rPr>
          <w:rFonts w:ascii="Calibri" w:hAnsi="Calibri" w:cs="Calibri"/>
        </w:rPr>
        <w:t xml:space="preserve">and person with diabetes </w:t>
      </w:r>
      <w:r w:rsidR="00567D76" w:rsidRPr="0035461C">
        <w:rPr>
          <w:rFonts w:ascii="Calibri" w:hAnsi="Calibri" w:cs="Calibri"/>
        </w:rPr>
        <w:t>should be in a private space</w:t>
      </w:r>
      <w:r w:rsidR="00A406B6" w:rsidRPr="0035461C">
        <w:rPr>
          <w:rFonts w:ascii="Calibri" w:hAnsi="Calibri" w:cs="Calibri"/>
        </w:rPr>
        <w:t>.</w:t>
      </w:r>
      <w:r w:rsidR="00087270" w:rsidRPr="0035461C">
        <w:rPr>
          <w:rFonts w:ascii="Calibri" w:hAnsi="Calibri" w:cs="Calibri"/>
        </w:rPr>
        <w:t xml:space="preserve"> </w:t>
      </w:r>
      <w:r w:rsidR="0015331E" w:rsidRPr="0035461C">
        <w:rPr>
          <w:rFonts w:ascii="Calibri" w:hAnsi="Calibri" w:cs="Calibri"/>
        </w:rPr>
        <w:t>I</w:t>
      </w:r>
      <w:r w:rsidR="00567D76" w:rsidRPr="0035461C">
        <w:rPr>
          <w:rFonts w:ascii="Calibri" w:hAnsi="Calibri" w:cs="Calibri"/>
        </w:rPr>
        <w:t>n advance of the visit</w:t>
      </w:r>
      <w:r w:rsidR="0015331E" w:rsidRPr="0035461C">
        <w:rPr>
          <w:rFonts w:ascii="Calibri" w:hAnsi="Calibri" w:cs="Calibri"/>
        </w:rPr>
        <w:t>, people with diabetes should receive</w:t>
      </w:r>
      <w:r w:rsidR="00567D76" w:rsidRPr="0035461C">
        <w:rPr>
          <w:rFonts w:ascii="Calibri" w:hAnsi="Calibri" w:cs="Calibri"/>
        </w:rPr>
        <w:t xml:space="preserve"> clear instructions on the expectations for the tele-visit, including how to connect to the </w:t>
      </w:r>
      <w:r w:rsidR="0015331E" w:rsidRPr="0035461C">
        <w:rPr>
          <w:rFonts w:ascii="Calibri" w:hAnsi="Calibri" w:cs="Calibri"/>
        </w:rPr>
        <w:t>consultation</w:t>
      </w:r>
      <w:r w:rsidR="00567D76" w:rsidRPr="0035461C">
        <w:rPr>
          <w:rFonts w:ascii="Calibri" w:hAnsi="Calibri" w:cs="Calibri"/>
        </w:rPr>
        <w:t xml:space="preserve"> and how to upload data from their diabetes devices</w:t>
      </w:r>
      <w:r w:rsidRPr="0035461C">
        <w:rPr>
          <w:rFonts w:ascii="Calibri" w:hAnsi="Calibri" w:cs="Calibri"/>
        </w:rPr>
        <w:t xml:space="preserve"> (glucose meters, data collecting apps, CGM devices</w:t>
      </w:r>
      <w:r w:rsidR="00F00BB5" w:rsidRPr="0035461C">
        <w:rPr>
          <w:rFonts w:ascii="Calibri" w:hAnsi="Calibri" w:cs="Calibri"/>
        </w:rPr>
        <w:t>,</w:t>
      </w:r>
      <w:r w:rsidRPr="0035461C">
        <w:rPr>
          <w:rFonts w:ascii="Calibri" w:hAnsi="Calibri" w:cs="Calibri"/>
        </w:rPr>
        <w:t xml:space="preserve"> and insulin pumps) prior to the </w:t>
      </w:r>
      <w:r w:rsidR="00087270" w:rsidRPr="0035461C">
        <w:rPr>
          <w:rFonts w:ascii="Calibri" w:hAnsi="Calibri" w:cs="Calibri"/>
        </w:rPr>
        <w:t>appointment</w:t>
      </w:r>
      <w:r w:rsidR="002332E1" w:rsidRPr="0035461C">
        <w:rPr>
          <w:rFonts w:ascii="Calibri" w:hAnsi="Calibri" w:cs="Calibri"/>
        </w:rPr>
        <w:t xml:space="preserve"> </w:t>
      </w:r>
      <w:r w:rsidR="002332E1" w:rsidRPr="0035461C">
        <w:rPr>
          <w:rFonts w:ascii="Calibri" w:hAnsi="Calibri" w:cs="Calibri"/>
        </w:rPr>
        <w:fldChar w:fldCharType="begin"/>
      </w:r>
      <w:r w:rsidR="00076F77">
        <w:rPr>
          <w:rFonts w:ascii="Calibri" w:hAnsi="Calibri" w:cs="Calibri"/>
        </w:rPr>
        <w:instrText xml:space="preserve"> ADDIN ZOTERO_ITEM CSL_CITATION {"citationID":"MXclJUb3","properties":{"formattedCitation":"(59)","plainCitation":"(59)","noteIndex":0},"citationItems":[{"id":11480,"uris":["http://zotero.org/groups/369679/items/HQTWL8YV"],"uri":["http://zotero.org/groups/369679/items/HQTWL8YV"],"itemData":{"id":11480,"type":"article-journal","abstract":"Diabetes management is well suited to use of telehealth, and recent improvements in both diabetes technology and telehealth policy make this an ideal time for diabetes providers to begin integrating telehealth into their practices. This article provides background information, specific recommendations for effective implementation, and a vision for the future landscape of telehealth within diabetes care to guide interested providers and practices on this topic. Note: This article was written prior to the COVID19 pandemic, and does not include information about recent telehealth policy changes that occurred during or as a result of this public health crisis.","container-title":"Diabetes Technology &amp; Therapeutics","DOI":"10.1089/dia.2020.0042","ISSN":"1557-8593","issue":"12","journalAbbreviation":"Diabetes Technol Ther","language":"eng","note":"PMID: 32191141\nPMCID: PMC7757601","page":"920-928","source":"PubMed","title":"Top 10 Tips for Successfully Implementing a Diabetes Telehealth Program","volume":"22","author":[{"family":"Crossen","given":"Stephanie"},{"family":"Raymond","given":"Jennifer"},{"family":"Neinstein","given":"Aaron"}],"issued":{"date-parts":[["2020",12]]}}}],"schema":"https://github.com/citation-style-language/schema/raw/master/csl-citation.json"} </w:instrText>
      </w:r>
      <w:r w:rsidR="002332E1" w:rsidRPr="0035461C">
        <w:rPr>
          <w:rFonts w:ascii="Calibri" w:hAnsi="Calibri" w:cs="Calibri"/>
        </w:rPr>
        <w:fldChar w:fldCharType="separate"/>
      </w:r>
      <w:r w:rsidR="00181864" w:rsidRPr="00181864">
        <w:rPr>
          <w:rFonts w:ascii="Calibri" w:hAnsi="Calibri" w:cs="Calibri"/>
        </w:rPr>
        <w:t>(59)</w:t>
      </w:r>
      <w:r w:rsidR="002332E1" w:rsidRPr="0035461C">
        <w:rPr>
          <w:rFonts w:ascii="Calibri" w:hAnsi="Calibri" w:cs="Calibri"/>
        </w:rPr>
        <w:fldChar w:fldCharType="end"/>
      </w:r>
      <w:r w:rsidR="00567D76" w:rsidRPr="0035461C">
        <w:rPr>
          <w:rFonts w:ascii="Calibri" w:hAnsi="Calibri" w:cs="Calibri"/>
        </w:rPr>
        <w:t>.</w:t>
      </w:r>
      <w:r w:rsidR="0015331E" w:rsidRPr="0035461C">
        <w:rPr>
          <w:rFonts w:ascii="Calibri" w:hAnsi="Calibri" w:cs="Calibri"/>
        </w:rPr>
        <w:t xml:space="preserve"> </w:t>
      </w:r>
      <w:r w:rsidR="00567D76" w:rsidRPr="0035461C">
        <w:rPr>
          <w:rFonts w:ascii="Calibri" w:hAnsi="Calibri" w:cs="Calibri"/>
        </w:rPr>
        <w:t xml:space="preserve">When </w:t>
      </w:r>
      <w:r w:rsidR="0003195B" w:rsidRPr="0035461C">
        <w:rPr>
          <w:rFonts w:ascii="Calibri" w:hAnsi="Calibri" w:cs="Calibri"/>
        </w:rPr>
        <w:t xml:space="preserve">clinically </w:t>
      </w:r>
      <w:r w:rsidR="00021949" w:rsidRPr="0035461C">
        <w:rPr>
          <w:rFonts w:ascii="Calibri" w:hAnsi="Calibri" w:cs="Calibri"/>
        </w:rPr>
        <w:t xml:space="preserve">indicated and </w:t>
      </w:r>
      <w:r w:rsidR="0003195B" w:rsidRPr="0035461C">
        <w:rPr>
          <w:rFonts w:ascii="Calibri" w:hAnsi="Calibri" w:cs="Calibri"/>
        </w:rPr>
        <w:t>appropriate</w:t>
      </w:r>
      <w:r w:rsidR="00567D76" w:rsidRPr="0035461C">
        <w:rPr>
          <w:rFonts w:ascii="Calibri" w:hAnsi="Calibri" w:cs="Calibri"/>
        </w:rPr>
        <w:t xml:space="preserve">, </w:t>
      </w:r>
      <w:r w:rsidR="005F3AE3" w:rsidRPr="0035461C">
        <w:rPr>
          <w:rFonts w:ascii="Calibri" w:hAnsi="Calibri" w:cs="Calibri"/>
        </w:rPr>
        <w:t>people with diabetes should be</w:t>
      </w:r>
      <w:r w:rsidR="0003195B" w:rsidRPr="0035461C">
        <w:rPr>
          <w:rFonts w:ascii="Calibri" w:hAnsi="Calibri" w:cs="Calibri"/>
        </w:rPr>
        <w:t xml:space="preserve"> asked to weigh themselves</w:t>
      </w:r>
      <w:r w:rsidR="009D3580" w:rsidRPr="0035461C">
        <w:rPr>
          <w:rFonts w:ascii="Calibri" w:hAnsi="Calibri" w:cs="Calibri"/>
        </w:rPr>
        <w:t xml:space="preserve"> and p</w:t>
      </w:r>
      <w:r w:rsidR="00567D76" w:rsidRPr="0035461C">
        <w:rPr>
          <w:rFonts w:ascii="Calibri" w:hAnsi="Calibri" w:cs="Calibri"/>
        </w:rPr>
        <w:t>erform home blood pressure measurement</w:t>
      </w:r>
      <w:r w:rsidR="0003195B" w:rsidRPr="0035461C">
        <w:rPr>
          <w:rFonts w:ascii="Calibri" w:hAnsi="Calibri" w:cs="Calibri"/>
        </w:rPr>
        <w:t>s</w:t>
      </w:r>
      <w:r w:rsidR="001A451F" w:rsidRPr="00DE3CCF">
        <w:rPr>
          <w:rFonts w:ascii="Calibri" w:hAnsi="Calibri" w:cs="Calibri"/>
        </w:rPr>
        <w:t xml:space="preserve"> </w:t>
      </w:r>
      <w:r w:rsidR="005F3AE3" w:rsidRPr="00DE3CCF">
        <w:rPr>
          <w:rFonts w:ascii="Calibri" w:hAnsi="Calibri" w:cs="Calibri"/>
        </w:rPr>
        <w:t>where</w:t>
      </w:r>
      <w:r w:rsidR="001A451F" w:rsidRPr="00DE3CCF">
        <w:rPr>
          <w:rFonts w:ascii="Calibri" w:hAnsi="Calibri" w:cs="Calibri"/>
        </w:rPr>
        <w:t xml:space="preserve"> possible</w:t>
      </w:r>
      <w:r w:rsidRPr="00DE3CCF">
        <w:rPr>
          <w:rFonts w:ascii="Calibri" w:hAnsi="Calibri" w:cs="Calibri"/>
        </w:rPr>
        <w:t>. A list of</w:t>
      </w:r>
      <w:r w:rsidR="00567D76" w:rsidRPr="00DE3CCF">
        <w:rPr>
          <w:rFonts w:ascii="Calibri" w:hAnsi="Calibri" w:cs="Calibri"/>
        </w:rPr>
        <w:t xml:space="preserve"> all medications and relevant medical reports </w:t>
      </w:r>
      <w:r w:rsidRPr="00DE3CCF">
        <w:rPr>
          <w:rFonts w:ascii="Calibri" w:hAnsi="Calibri" w:cs="Calibri"/>
        </w:rPr>
        <w:t>should be available</w:t>
      </w:r>
      <w:r w:rsidR="00567D76" w:rsidRPr="00DE3CCF">
        <w:rPr>
          <w:rFonts w:ascii="Calibri" w:hAnsi="Calibri" w:cs="Calibri"/>
        </w:rPr>
        <w:t>.</w:t>
      </w:r>
      <w:r w:rsidR="00413495" w:rsidRPr="00DE3CCF">
        <w:rPr>
          <w:rFonts w:ascii="Calibri" w:hAnsi="Calibri" w:cs="Calibri"/>
        </w:rPr>
        <w:t xml:space="preserve"> Despite the value of telemedicine, people should have the option to schedule an in person visit</w:t>
      </w:r>
      <w:r w:rsidR="00F368C8">
        <w:rPr>
          <w:rFonts w:ascii="Calibri" w:hAnsi="Calibri" w:cs="Calibri"/>
        </w:rPr>
        <w:t>, where possible</w:t>
      </w:r>
      <w:r w:rsidR="00413495" w:rsidRPr="00DE3CCF">
        <w:rPr>
          <w:rFonts w:ascii="Calibri" w:hAnsi="Calibri" w:cs="Calibri"/>
        </w:rPr>
        <w:t>.</w:t>
      </w:r>
    </w:p>
    <w:p w14:paraId="064F217E" w14:textId="77777777" w:rsidR="00F8396D" w:rsidRDefault="00F8396D" w:rsidP="00264FF0">
      <w:pPr>
        <w:spacing w:before="120"/>
        <w:jc w:val="both"/>
        <w:rPr>
          <w:rFonts w:ascii="Calibri" w:hAnsi="Calibri" w:cs="Calibri"/>
          <w:b/>
        </w:rPr>
      </w:pPr>
    </w:p>
    <w:p w14:paraId="74DACFA7" w14:textId="3F99B204" w:rsidR="00264FF0" w:rsidRPr="0035461C" w:rsidRDefault="00264FF0" w:rsidP="00264FF0">
      <w:pPr>
        <w:spacing w:before="120"/>
        <w:jc w:val="both"/>
        <w:rPr>
          <w:rFonts w:ascii="Calibri" w:hAnsi="Calibri" w:cs="Calibri"/>
          <w:b/>
        </w:rPr>
      </w:pPr>
      <w:r w:rsidRPr="0035461C">
        <w:rPr>
          <w:rFonts w:ascii="Calibri" w:hAnsi="Calibri" w:cs="Calibri"/>
          <w:b/>
        </w:rPr>
        <w:t>Section 5:</w:t>
      </w:r>
      <w:r w:rsidR="00E615B3" w:rsidRPr="0035461C">
        <w:rPr>
          <w:rFonts w:ascii="Calibri" w:hAnsi="Calibri" w:cs="Calibri"/>
          <w:b/>
        </w:rPr>
        <w:t xml:space="preserve"> </w:t>
      </w:r>
      <w:r w:rsidRPr="0035461C">
        <w:rPr>
          <w:rFonts w:ascii="Calibri" w:hAnsi="Calibri" w:cs="Calibri"/>
          <w:b/>
        </w:rPr>
        <w:t>Diabetes self-management education and support</w:t>
      </w:r>
    </w:p>
    <w:p w14:paraId="599E8507" w14:textId="1EF1C395" w:rsidR="00264FF0" w:rsidRDefault="00264FF0" w:rsidP="00264FF0">
      <w:pPr>
        <w:spacing w:before="120"/>
        <w:jc w:val="both"/>
        <w:rPr>
          <w:rFonts w:ascii="Calibri" w:hAnsi="Calibri" w:cs="Calibri"/>
        </w:rPr>
      </w:pPr>
      <w:r w:rsidRPr="0035461C">
        <w:rPr>
          <w:rFonts w:ascii="Calibri" w:hAnsi="Calibri" w:cs="Calibri"/>
        </w:rPr>
        <w:t xml:space="preserve">Diabetes self-management education and support </w:t>
      </w:r>
      <w:r w:rsidR="00D33DA5" w:rsidRPr="0035461C">
        <w:rPr>
          <w:rFonts w:ascii="Calibri" w:hAnsi="Calibri" w:cs="Calibri"/>
        </w:rPr>
        <w:t>(</w:t>
      </w:r>
      <w:r w:rsidRPr="0035461C">
        <w:rPr>
          <w:rFonts w:ascii="Calibri" w:hAnsi="Calibri" w:cs="Calibri"/>
        </w:rPr>
        <w:t>DSMES</w:t>
      </w:r>
      <w:r w:rsidR="00D33DA5" w:rsidRPr="0035461C">
        <w:rPr>
          <w:rFonts w:ascii="Calibri" w:hAnsi="Calibri" w:cs="Calibri"/>
        </w:rPr>
        <w:t>)</w:t>
      </w:r>
      <w:r w:rsidRPr="0035461C">
        <w:rPr>
          <w:rFonts w:ascii="Calibri" w:hAnsi="Calibri" w:cs="Calibri"/>
        </w:rPr>
        <w:t xml:space="preserve"> is an essential component of type 1 diabetes care</w:t>
      </w:r>
      <w:r w:rsidR="0058011A">
        <w:rPr>
          <w:rFonts w:ascii="Calibri" w:hAnsi="Calibri" w:cs="Calibri"/>
        </w:rPr>
        <w:t xml:space="preserve"> </w:t>
      </w:r>
      <w:r w:rsidR="0058011A" w:rsidRPr="0058011A">
        <w:rPr>
          <w:rFonts w:ascii="Calibri" w:eastAsiaTheme="minorEastAsia" w:hAnsi="Calibri" w:cs="Calibri"/>
        </w:rPr>
        <w:t>that allows all other diabetes interventions to work optimally</w:t>
      </w:r>
      <w:r w:rsidRPr="0035461C">
        <w:rPr>
          <w:rFonts w:ascii="Calibri" w:hAnsi="Calibri" w:cs="Calibri"/>
        </w:rPr>
        <w:t xml:space="preserve">. The objective of DSMES is to provide those </w:t>
      </w:r>
      <w:r w:rsidR="00D33DA5" w:rsidRPr="0035461C">
        <w:rPr>
          <w:rFonts w:ascii="Calibri" w:hAnsi="Calibri" w:cs="Calibri"/>
        </w:rPr>
        <w:t>living with</w:t>
      </w:r>
      <w:r w:rsidRPr="0035461C">
        <w:rPr>
          <w:rFonts w:ascii="Calibri" w:hAnsi="Calibri" w:cs="Calibri"/>
        </w:rPr>
        <w:t xml:space="preserve"> type 1 diabetes</w:t>
      </w:r>
      <w:r w:rsidR="009A7B25">
        <w:rPr>
          <w:rFonts w:ascii="Calibri" w:hAnsi="Calibri" w:cs="Calibri"/>
        </w:rPr>
        <w:t xml:space="preserve"> </w:t>
      </w:r>
      <w:r w:rsidR="00F368C8">
        <w:rPr>
          <w:rFonts w:ascii="Calibri" w:hAnsi="Calibri" w:cs="Calibri"/>
        </w:rPr>
        <w:t xml:space="preserve">(and their care-givers </w:t>
      </w:r>
      <w:r w:rsidR="009A7B25">
        <w:rPr>
          <w:rFonts w:ascii="Calibri" w:hAnsi="Calibri" w:cs="Calibri"/>
        </w:rPr>
        <w:t>if applicable)</w:t>
      </w:r>
      <w:r w:rsidRPr="0035461C" w:rsidDel="007C6A63">
        <w:rPr>
          <w:rFonts w:ascii="Calibri" w:hAnsi="Calibri" w:cs="Calibri"/>
        </w:rPr>
        <w:t xml:space="preserve"> </w:t>
      </w:r>
      <w:r w:rsidRPr="0035461C">
        <w:rPr>
          <w:rFonts w:ascii="Calibri" w:hAnsi="Calibri" w:cs="Calibri"/>
        </w:rPr>
        <w:t xml:space="preserve">with the knowledge, skills, and confidence to successfully self-manage the diabetes on a daily basis and thereby reduce the risks of acute and long-term complications while maintaining quality of life </w:t>
      </w:r>
      <w:r w:rsidRPr="0035461C">
        <w:rPr>
          <w:rFonts w:ascii="Calibri" w:hAnsi="Calibri" w:cs="Calibri"/>
        </w:rPr>
        <w:fldChar w:fldCharType="begin"/>
      </w:r>
      <w:r w:rsidR="00076F77">
        <w:rPr>
          <w:rFonts w:ascii="Calibri" w:hAnsi="Calibri" w:cs="Calibri"/>
        </w:rPr>
        <w:instrText xml:space="preserve"> ADDIN ZOTERO_ITEM CSL_CITATION {"citationID":"UHee9HDV","properties":{"formattedCitation":"(60)","plainCitation":"(60)","noteIndex":0},"citationItems":[{"id":2478,"uris":["http://zotero.org/groups/369679/items/AZ7QN4Y9"],"uri":["http://zotero.org/groups/369679/items/AZ7QN4Y9"],"itemData":{"id":2478,"type":"article-journal","container-title":"Diabetes Care","DOI":"10.2337/dci17-0025","ISSN":"0149-5992, 1935-5548","language":"en","note":"PMID: 28754780","page":"dci170025","source":"care.diabetesjournals.org","title":"2017 National Standards for Diabetes Self-Management Education and Support","author":[{"family":"Beck","given":"Joni"},{"family":"Greenwood","given":"Deborah A."},{"family":"Blanton","given":"Lori"},{"family":"Bollinger","given":"Sandra T."},{"family":"Butcher","given":"Marcene K."},{"family":"Condon","given":"Jo Ellen"},{"family":"Cypress","given":"Marjorie"},{"family":"Faulkner","given":"Priscilla"},{"family":"Fischl","given":"Amy Hess"},{"family":"Francis","given":"Theresa"},{"family":"Kolb","given":"Leslie E."},{"family":"Lavin-Tompkins","given":"Jodi M."},{"family":"MacLeod","given":"Janice"},{"family":"Maryniuk","given":"Melinda"},{"family":"Mensing","given":"Carolé"},{"family":"Orzeck","given":"Eric A."},{"family":"Pope","given":"David D."},{"family":"Pulizzi","given":"Jodi L."},{"family":"Reed","given":"Ardis A."},{"family":"Rhinehart","given":"Andrew S."},{"family":"Siminerio","given":"Linda"},{"family":"Wang","given":"Jing"}],"issued":{"date-parts":[["2017",7,27]]}}}],"schema":"https://github.com/citation-style-language/schema/raw/master/csl-citation.json"} </w:instrText>
      </w:r>
      <w:r w:rsidRPr="0035461C">
        <w:rPr>
          <w:rFonts w:ascii="Calibri" w:hAnsi="Calibri" w:cs="Calibri"/>
        </w:rPr>
        <w:fldChar w:fldCharType="separate"/>
      </w:r>
      <w:r w:rsidR="00181864" w:rsidRPr="00181864">
        <w:rPr>
          <w:rFonts w:ascii="Calibri" w:hAnsi="Calibri" w:cs="Calibri"/>
        </w:rPr>
        <w:t>(60)</w:t>
      </w:r>
      <w:r w:rsidRPr="0035461C">
        <w:rPr>
          <w:rFonts w:ascii="Calibri" w:hAnsi="Calibri" w:cs="Calibri"/>
        </w:rPr>
        <w:fldChar w:fldCharType="end"/>
      </w:r>
      <w:r w:rsidRPr="0035461C">
        <w:rPr>
          <w:rFonts w:ascii="Calibri" w:hAnsi="Calibri" w:cs="Calibri"/>
        </w:rPr>
        <w:t>. DSMES aims to empower people with type 1 diabetes, with an emphasis on shared decision-making and active collaboration with the health care team.</w:t>
      </w:r>
      <w:r w:rsidR="0058011A">
        <w:rPr>
          <w:rFonts w:ascii="Calibri" w:hAnsi="Calibri" w:cs="Calibri"/>
        </w:rPr>
        <w:t xml:space="preserve"> </w:t>
      </w:r>
      <w:r w:rsidR="009A7B25">
        <w:rPr>
          <w:rFonts w:ascii="Calibri" w:hAnsi="Calibri" w:cs="Calibri"/>
        </w:rPr>
        <w:t xml:space="preserve"> Where possible, DSMES p</w:t>
      </w:r>
      <w:r w:rsidR="00E5118D">
        <w:rPr>
          <w:rFonts w:ascii="Calibri" w:hAnsi="Calibri" w:cs="Calibri"/>
        </w:rPr>
        <w:t xml:space="preserve">rograms should </w:t>
      </w:r>
      <w:r w:rsidR="009A7B25">
        <w:rPr>
          <w:rFonts w:ascii="Calibri" w:hAnsi="Calibri" w:cs="Calibri"/>
        </w:rPr>
        <w:t>be</w:t>
      </w:r>
      <w:r w:rsidR="00E5118D">
        <w:rPr>
          <w:rFonts w:ascii="Calibri" w:hAnsi="Calibri" w:cs="Calibri"/>
        </w:rPr>
        <w:t xml:space="preserve"> evidence-based</w:t>
      </w:r>
      <w:r w:rsidR="009A7B25">
        <w:rPr>
          <w:rFonts w:ascii="Calibri" w:hAnsi="Calibri" w:cs="Calibri"/>
        </w:rPr>
        <w:t xml:space="preserve"> and conform to local and national standards to demonstrate effectiveness.</w:t>
      </w:r>
    </w:p>
    <w:p w14:paraId="25A9D161" w14:textId="77777777" w:rsidR="00F368C8" w:rsidRPr="0035461C" w:rsidRDefault="00F368C8" w:rsidP="00264FF0">
      <w:pPr>
        <w:spacing w:before="120"/>
        <w:jc w:val="both"/>
        <w:rPr>
          <w:rFonts w:ascii="Calibri" w:hAnsi="Calibri" w:cs="Calibri"/>
          <w:i/>
          <w:u w:val="single"/>
        </w:rPr>
      </w:pPr>
    </w:p>
    <w:p w14:paraId="316252E2" w14:textId="77777777" w:rsidR="00264FF0" w:rsidRPr="0035461C" w:rsidRDefault="00264FF0" w:rsidP="00264FF0">
      <w:pPr>
        <w:spacing w:before="120"/>
        <w:jc w:val="both"/>
        <w:rPr>
          <w:rFonts w:ascii="Calibri" w:hAnsi="Calibri" w:cs="Calibri"/>
          <w:i/>
          <w:u w:val="single"/>
        </w:rPr>
      </w:pPr>
      <w:r w:rsidRPr="0035461C">
        <w:rPr>
          <w:rFonts w:ascii="Calibri" w:hAnsi="Calibri" w:cs="Calibri"/>
          <w:i/>
          <w:u w:val="single"/>
        </w:rPr>
        <w:t xml:space="preserve">Levels and content of diabetes self-management education and support </w:t>
      </w:r>
    </w:p>
    <w:p w14:paraId="24126CD0" w14:textId="50EA43EF" w:rsidR="00264FF0" w:rsidRPr="0035461C" w:rsidRDefault="00264FF0" w:rsidP="00264FF0">
      <w:pPr>
        <w:spacing w:before="120"/>
        <w:jc w:val="both"/>
        <w:rPr>
          <w:rFonts w:ascii="Calibri" w:hAnsi="Calibri" w:cs="Calibri"/>
        </w:rPr>
      </w:pPr>
      <w:r w:rsidRPr="0035461C">
        <w:rPr>
          <w:rFonts w:ascii="Calibri" w:hAnsi="Calibri" w:cs="Calibri"/>
        </w:rPr>
        <w:t>Three levels of DSMES can be distinguished. Level 3 DSMES refers to structured education that meets nationally-agreed criteria, including an evidence-based curriculum, quality assurance of teaching standards and regular audit. These programs are guided by learning and behaviour change theories.</w:t>
      </w:r>
      <w:r w:rsidR="00E615B3" w:rsidRPr="0035461C">
        <w:rPr>
          <w:rFonts w:ascii="Calibri" w:hAnsi="Calibri" w:cs="Calibri"/>
        </w:rPr>
        <w:t xml:space="preserve"> </w:t>
      </w:r>
      <w:r w:rsidRPr="0035461C">
        <w:rPr>
          <w:rFonts w:ascii="Calibri" w:hAnsi="Calibri" w:cs="Calibri"/>
        </w:rPr>
        <w:t xml:space="preserve">Level 2 refers to ongoing learning that may be informal, perhaps through a peer group, while </w:t>
      </w:r>
      <w:r w:rsidR="00F368C8">
        <w:rPr>
          <w:rFonts w:ascii="Calibri" w:hAnsi="Calibri" w:cs="Calibri"/>
        </w:rPr>
        <w:t>L</w:t>
      </w:r>
      <w:r w:rsidRPr="0035461C">
        <w:rPr>
          <w:rFonts w:ascii="Calibri" w:hAnsi="Calibri" w:cs="Calibri"/>
        </w:rPr>
        <w:t>evel 1 comprises information and one-to-one advice.</w:t>
      </w:r>
    </w:p>
    <w:p w14:paraId="71E530B1" w14:textId="64BB6335" w:rsidR="00264FF0" w:rsidRPr="0035461C" w:rsidRDefault="00264FF0" w:rsidP="00264FF0">
      <w:pPr>
        <w:spacing w:before="120"/>
        <w:jc w:val="both"/>
        <w:rPr>
          <w:rFonts w:ascii="Calibri" w:hAnsi="Calibri" w:cs="Calibri"/>
        </w:rPr>
      </w:pPr>
      <w:r w:rsidRPr="0035461C">
        <w:rPr>
          <w:rFonts w:ascii="Calibri" w:hAnsi="Calibri" w:cs="Calibri"/>
        </w:rPr>
        <w:t xml:space="preserve">Several </w:t>
      </w:r>
      <w:r w:rsidR="00F368C8">
        <w:rPr>
          <w:rFonts w:ascii="Calibri" w:hAnsi="Calibri" w:cs="Calibri"/>
        </w:rPr>
        <w:t>L</w:t>
      </w:r>
      <w:r w:rsidRPr="0035461C">
        <w:rPr>
          <w:rFonts w:ascii="Calibri" w:hAnsi="Calibri" w:cs="Calibri"/>
        </w:rPr>
        <w:t xml:space="preserve">evel 3 programs have been developed for adults with type 1 diabetes and have proven to be effective both in terms of improved glycaemic and psychosocial outcomes </w:t>
      </w:r>
      <w:r w:rsidRPr="0035461C">
        <w:rPr>
          <w:rFonts w:ascii="Calibri" w:hAnsi="Calibri" w:cs="Calibri"/>
        </w:rPr>
        <w:fldChar w:fldCharType="begin"/>
      </w:r>
      <w:r w:rsidR="00076F77">
        <w:rPr>
          <w:rFonts w:ascii="Calibri" w:hAnsi="Calibri" w:cs="Calibri"/>
        </w:rPr>
        <w:instrText xml:space="preserve"> ADDIN ZOTERO_ITEM CSL_CITATION {"citationID":"ftqSJ83g","properties":{"formattedCitation":"(61)","plainCitation":"(61)","noteIndex":0},"citationItems":[{"id":11206,"uris":["http://zotero.org/groups/369679/items/RA23DV49"],"uri":["http://zotero.org/groups/369679/items/RA23DV49"],"itemData":{"id":11206,"type":"webpage","container-title":"Diabetes UK","language":"en","title":"Diabetes self-management education","URL":"https://www.diabetes.org.uk/professionals/resources/resources-to-improve-your-clinical-practice/diabetes-self-management-education","accessed":{"date-parts":[["2021",2,11]]}}}],"schema":"https://github.com/citation-style-language/schema/raw/master/csl-citation.json"} </w:instrText>
      </w:r>
      <w:r w:rsidRPr="0035461C">
        <w:rPr>
          <w:rFonts w:ascii="Calibri" w:hAnsi="Calibri" w:cs="Calibri"/>
        </w:rPr>
        <w:fldChar w:fldCharType="separate"/>
      </w:r>
      <w:r w:rsidR="00181864" w:rsidRPr="00181864">
        <w:rPr>
          <w:rFonts w:ascii="Calibri" w:hAnsi="Calibri" w:cs="Calibri"/>
        </w:rPr>
        <w:t>(61)</w:t>
      </w:r>
      <w:r w:rsidRPr="0035461C">
        <w:rPr>
          <w:rFonts w:ascii="Calibri" w:hAnsi="Calibri" w:cs="Calibri"/>
        </w:rPr>
        <w:fldChar w:fldCharType="end"/>
      </w:r>
      <w:r w:rsidRPr="0035461C">
        <w:rPr>
          <w:rFonts w:ascii="Calibri" w:hAnsi="Calibri" w:cs="Calibri"/>
        </w:rPr>
        <w:t xml:space="preserve">. Most programs use a group format, increasingly supplemented with digital support, including text messaging and cloud-based solutions and telemedicine </w:t>
      </w:r>
      <w:r w:rsidRPr="0035461C">
        <w:rPr>
          <w:rFonts w:ascii="Calibri" w:hAnsi="Calibri" w:cs="Calibri"/>
        </w:rPr>
        <w:fldChar w:fldCharType="begin"/>
      </w:r>
      <w:r w:rsidR="00076F77">
        <w:rPr>
          <w:rFonts w:ascii="Calibri" w:hAnsi="Calibri" w:cs="Calibri"/>
        </w:rPr>
        <w:instrText xml:space="preserve"> ADDIN ZOTERO_ITEM CSL_CITATION {"citationID":"yOC2MYrC","properties":{"formattedCitation":"(62)","plainCitation":"(62)","noteIndex":0},"citationItems":[{"id":11210,"uris":["http://zotero.org/groups/369679/items/VCNJ89Z6"],"uri":["http://zotero.org/groups/369679/items/VCNJ89Z6"],"itemData":{"id":11210,"type":"article-journal","abstract":"Benefits of telemedicine have been proven in the field of diabetes. Among a number of technical solutions, Diabeo® has been studied in both type 1 and type 2 diabetes with intensive insulin therapy. This digital therapeutic system contains a self-monitoring glucose logbook and offers automated insulin dose recommendations thanks to a fully customizable algorithm. In addition, the cloud-based dedicated software also has features to facilitate remote monitoring, including a platform for diabetes nurses who perform coaching and treatment adjustment. A detailed description of this telemedicine system is provided, as well as results of completed clinical studies. In particular, TeleDiab 1's positive results on HbA1c in type 1 diabetes are detailed. We conclude with a discussion of the role of this telemedicine system within the landscape of mobile apps for diabetes.","container-title":"Journal of Diabetes Science and Technology","DOI":"10.1177/1932296819834054","ISSN":"1932-2968","issue":"6","journalAbbreviation":"J Diabetes Sci Technol","language":"eng","note":"PMID: 30862245\nPMCID: PMC6835183","page":"1161-1168","source":"PubMed","title":"Remote Monitoring of Diabetes: A Cloud-Connected Digital System for Individuals With Diabetes and Their Health Care Providers","title-short":"Remote Monitoring of Diabetes","volume":"13","author":[{"family":"Joubert","given":"Michael"},{"family":"Benhamou","given":"Pierre-Yves"},{"family":"Schaepelynck","given":"Pauline"},{"family":"Hanaire","given":"Hélène"},{"family":"Catargi","given":"Bogdan"},{"family":"Farret","given":"Anne"},{"family":"Fontaine","given":"Pierre"},{"family":"Guerci","given":"Bruno"},{"family":"Reznik","given":"Yves"},{"family":"Jeandidier","given":"Nathalie"},{"family":"Penfornis","given":"Alfred"},{"family":"Borot","given":"Sophie"},{"family":"Chaillous","given":"Lucy"},{"family":"Franc","given":"Sylvia"},{"family":"Serusclat","given":"Pierre"},{"family":"Kherbachi","given":"Yacine"},{"family":"Bavière","given":"Eric"},{"family":"Detournay","given":"Bruno"},{"family":"Simon","given":"Pierre"},{"family":"Charpentier","given":"Guillaume"}],"issued":{"date-parts":[["2019",11]]}}}],"schema":"https://github.com/citation-style-language/schema/raw/master/csl-citation.json"} </w:instrText>
      </w:r>
      <w:r w:rsidRPr="0035461C">
        <w:rPr>
          <w:rFonts w:ascii="Calibri" w:hAnsi="Calibri" w:cs="Calibri"/>
        </w:rPr>
        <w:fldChar w:fldCharType="separate"/>
      </w:r>
      <w:r w:rsidR="00181864" w:rsidRPr="00181864">
        <w:rPr>
          <w:rFonts w:ascii="Calibri" w:hAnsi="Calibri" w:cs="Calibri"/>
        </w:rPr>
        <w:t>(62)</w:t>
      </w:r>
      <w:r w:rsidRPr="0035461C">
        <w:rPr>
          <w:rFonts w:ascii="Calibri" w:hAnsi="Calibri" w:cs="Calibri"/>
        </w:rPr>
        <w:fldChar w:fldCharType="end"/>
      </w:r>
      <w:r w:rsidRPr="0035461C">
        <w:rPr>
          <w:rFonts w:ascii="Calibri" w:hAnsi="Calibri" w:cs="Calibri"/>
        </w:rPr>
        <w:t xml:space="preserve">. Structured DSMES programs most often include multiple components and cover a broad range of topics from pathophysiology to medical technology and healthy coping (Table </w:t>
      </w:r>
      <w:r w:rsidR="00D71EDB" w:rsidRPr="0035461C">
        <w:rPr>
          <w:rFonts w:ascii="Calibri" w:hAnsi="Calibri" w:cs="Calibri"/>
        </w:rPr>
        <w:t>3</w:t>
      </w:r>
      <w:r w:rsidRPr="0035461C">
        <w:rPr>
          <w:rFonts w:ascii="Calibri" w:hAnsi="Calibri" w:cs="Calibri"/>
        </w:rPr>
        <w:t xml:space="preserve">). </w:t>
      </w:r>
    </w:p>
    <w:p w14:paraId="0089DAEF" w14:textId="4D044A84" w:rsidR="00264FF0" w:rsidRDefault="00264FF0" w:rsidP="00264FF0">
      <w:pPr>
        <w:spacing w:before="120"/>
        <w:jc w:val="both"/>
        <w:rPr>
          <w:rFonts w:ascii="Calibri" w:hAnsi="Calibri" w:cs="Calibri"/>
        </w:rPr>
      </w:pPr>
      <w:r w:rsidRPr="00413495">
        <w:rPr>
          <w:rFonts w:ascii="Calibri" w:hAnsi="Calibri" w:cs="Calibri"/>
        </w:rPr>
        <w:t>Specific DSMES should not be confined to one particular moment</w:t>
      </w:r>
      <w:r w:rsidR="00F368C8">
        <w:rPr>
          <w:rFonts w:ascii="Calibri" w:hAnsi="Calibri" w:cs="Calibri"/>
        </w:rPr>
        <w:t>,</w:t>
      </w:r>
      <w:r w:rsidRPr="00413495">
        <w:rPr>
          <w:rFonts w:ascii="Calibri" w:hAnsi="Calibri" w:cs="Calibri"/>
        </w:rPr>
        <w:t xml:space="preserve"> but offered on a continuous basis and tailored to the ever-evolving individual’s educational needs. </w:t>
      </w:r>
      <w:r w:rsidR="00422497" w:rsidRPr="00413495">
        <w:rPr>
          <w:rFonts w:ascii="Calibri" w:hAnsi="Calibri" w:cs="Calibri"/>
        </w:rPr>
        <w:t>People</w:t>
      </w:r>
      <w:r w:rsidRPr="00413495">
        <w:rPr>
          <w:rFonts w:ascii="Calibri" w:hAnsi="Calibri" w:cs="Calibri"/>
        </w:rPr>
        <w:t xml:space="preserve"> with type 1 diabetes may be diagnosed at a young age or during adulthood, and many l</w:t>
      </w:r>
      <w:r w:rsidRPr="00FD7F47">
        <w:rPr>
          <w:rFonts w:ascii="Calibri" w:hAnsi="Calibri" w:cs="Calibri"/>
        </w:rPr>
        <w:t xml:space="preserve">ive with </w:t>
      </w:r>
      <w:r w:rsidR="00D219E5" w:rsidRPr="00FD7F47">
        <w:rPr>
          <w:rFonts w:ascii="Calibri" w:hAnsi="Calibri" w:cs="Calibri"/>
        </w:rPr>
        <w:t>type 1 diabetes</w:t>
      </w:r>
      <w:r w:rsidRPr="00FD7F47">
        <w:rPr>
          <w:rFonts w:ascii="Calibri" w:hAnsi="Calibri" w:cs="Calibri"/>
        </w:rPr>
        <w:t xml:space="preserve"> throughout different life stages. </w:t>
      </w:r>
      <w:r w:rsidR="00F368C8">
        <w:rPr>
          <w:rFonts w:ascii="Calibri" w:hAnsi="Calibri" w:cs="Calibri"/>
        </w:rPr>
        <w:t>F</w:t>
      </w:r>
      <w:r w:rsidRPr="00FD7F47">
        <w:rPr>
          <w:rFonts w:ascii="Calibri" w:hAnsi="Calibri" w:cs="Calibri"/>
        </w:rPr>
        <w:t>our critical times can be distinguished</w:t>
      </w:r>
      <w:r w:rsidR="00F368C8">
        <w:rPr>
          <w:rFonts w:ascii="Calibri" w:hAnsi="Calibri" w:cs="Calibri"/>
        </w:rPr>
        <w:t>, where DSMES is particularly needed</w:t>
      </w:r>
      <w:r w:rsidR="00422497" w:rsidRPr="00597B6C">
        <w:rPr>
          <w:rFonts w:ascii="Calibri" w:hAnsi="Calibri" w:cs="Calibri"/>
        </w:rPr>
        <w:t xml:space="preserve">: </w:t>
      </w:r>
      <w:r w:rsidRPr="00413495">
        <w:rPr>
          <w:rFonts w:ascii="Calibri" w:hAnsi="Calibri" w:cs="Calibri"/>
        </w:rPr>
        <w:t>at diagnosis, when not m</w:t>
      </w:r>
      <w:r w:rsidRPr="00D217F6">
        <w:rPr>
          <w:rFonts w:ascii="Calibri" w:hAnsi="Calibri" w:cs="Calibri"/>
        </w:rPr>
        <w:t>eeting targets, when transitions occur, and when complications develop (Figure</w:t>
      </w:r>
      <w:r w:rsidR="00D71EDB" w:rsidRPr="00D217F6">
        <w:rPr>
          <w:rFonts w:ascii="Calibri" w:hAnsi="Calibri" w:cs="Calibri"/>
        </w:rPr>
        <w:t xml:space="preserve"> 5</w:t>
      </w:r>
      <w:r w:rsidRPr="00D217F6">
        <w:rPr>
          <w:rFonts w:ascii="Calibri" w:hAnsi="Calibri" w:cs="Calibri"/>
        </w:rPr>
        <w:t xml:space="preserve">) </w:t>
      </w:r>
      <w:r w:rsidRPr="00D217F6">
        <w:rPr>
          <w:rFonts w:ascii="Calibri" w:hAnsi="Calibri" w:cs="Calibri"/>
        </w:rPr>
        <w:fldChar w:fldCharType="begin"/>
      </w:r>
      <w:r w:rsidR="00076F77">
        <w:rPr>
          <w:rFonts w:ascii="Calibri" w:hAnsi="Calibri" w:cs="Calibri"/>
        </w:rPr>
        <w:instrText xml:space="preserve"> ADDIN ZOTERO_ITEM CSL_CITATION {"citationID":"bZwAF0cD","properties":{"formattedCitation":"(63)","plainCitation":"(63)","noteIndex":0},"citationItems":[{"id":11213,"uris":["http://zotero.org/groups/369679/items/8H7VEGHP"],"uri":["http://zotero.org/groups/369679/items/8H7VEGHP"],"itemData":{"id":11213,"type":"article-journal","container-title":"Diabetes Care","DOI":"10.2337/dci20-0023","ISSN":"1935-5548","issue":"7","journalAbbreviation":"Diabetes Care","language":"eng","note":"PMID: 32513817","page":"1636-1649","source":"PubMed","title":"Diabetes Self-management Education and Support in Adults With Type 2 Diabetes: A Consensus Report of the American Diabetes Association, the Association of Diabetes Care &amp; Education Specialists, the Academy of Nutrition and Dietetics, the American Academy of Family Physicians, the American Academy of PAs, the American Association of Nurse Practitioners, and the American Pharmacists Association","title-short":"Diabetes Self-management Education and Support in Adults With Type 2 Diabetes","volume":"43","author":[{"family":"Powers","given":"Margaret A."},{"family":"Bardsley","given":"Joan K."},{"family":"Cypress","given":"Marjorie"},{"family":"Funnell","given":"Martha M."},{"family":"Harms","given":"Dixie"},{"family":"Hess-Fischl","given":"Amy"},{"family":"Hooks","given":"Beulette"},{"family":"Isaacs","given":"Diana"},{"family":"Mandel","given":"Ellen D."},{"family":"Maryniuk","given":"Melinda D."},{"family":"Norton","given":"Anna"},{"family":"Rinker","given":"Joanne"},{"family":"Siminerio","given":"Linda M."},{"family":"Uelmen","given":"Sacha"}],"issued":{"date-parts":[["2020",7]]}}}],"schema":"https://github.com/citation-style-language/schema/raw/master/csl-citation.json"} </w:instrText>
      </w:r>
      <w:r w:rsidRPr="00D217F6">
        <w:rPr>
          <w:rFonts w:ascii="Calibri" w:hAnsi="Calibri" w:cs="Calibri"/>
        </w:rPr>
        <w:fldChar w:fldCharType="separate"/>
      </w:r>
      <w:r w:rsidR="00181864" w:rsidRPr="00181864">
        <w:rPr>
          <w:rFonts w:ascii="Calibri" w:hAnsi="Calibri" w:cs="Calibri"/>
        </w:rPr>
        <w:t>(63)</w:t>
      </w:r>
      <w:r w:rsidRPr="00D217F6">
        <w:rPr>
          <w:rFonts w:ascii="Calibri" w:hAnsi="Calibri" w:cs="Calibri"/>
        </w:rPr>
        <w:fldChar w:fldCharType="end"/>
      </w:r>
      <w:r w:rsidRPr="00D217F6">
        <w:rPr>
          <w:rFonts w:ascii="Calibri" w:hAnsi="Calibri" w:cs="Calibri"/>
        </w:rPr>
        <w:t xml:space="preserve">. </w:t>
      </w:r>
      <w:r w:rsidR="00EF0E45">
        <w:rPr>
          <w:rFonts w:ascii="Calibri" w:hAnsi="Calibri" w:cs="Calibri"/>
        </w:rPr>
        <w:t xml:space="preserve">DSMES should be re-visited when a child transitions to an adult diabetes services, as there may be significant knowledge gaps in someone diagnosed early in life when education at the time was directed to the parents and caregivers. </w:t>
      </w:r>
      <w:r w:rsidRPr="00D217F6">
        <w:rPr>
          <w:rFonts w:ascii="Calibri" w:hAnsi="Calibri" w:cs="Calibri"/>
        </w:rPr>
        <w:t>DSMES should</w:t>
      </w:r>
      <w:r w:rsidR="000614C5" w:rsidRPr="00D217F6">
        <w:rPr>
          <w:rFonts w:ascii="Calibri" w:hAnsi="Calibri" w:cs="Calibri"/>
        </w:rPr>
        <w:t xml:space="preserve"> be tailored towards individual</w:t>
      </w:r>
      <w:r w:rsidRPr="00D217F6">
        <w:rPr>
          <w:rFonts w:ascii="Calibri" w:hAnsi="Calibri" w:cs="Calibri"/>
        </w:rPr>
        <w:t>s</w:t>
      </w:r>
      <w:r w:rsidR="000614C5" w:rsidRPr="00D217F6">
        <w:rPr>
          <w:rFonts w:ascii="Calibri" w:hAnsi="Calibri" w:cs="Calibri"/>
        </w:rPr>
        <w:t>’</w:t>
      </w:r>
      <w:r w:rsidRPr="00D217F6">
        <w:rPr>
          <w:rFonts w:ascii="Calibri" w:hAnsi="Calibri" w:cs="Calibri"/>
        </w:rPr>
        <w:t xml:space="preserve"> needs, taking into account </w:t>
      </w:r>
      <w:r w:rsidR="002B0F6C" w:rsidRPr="00D217F6">
        <w:rPr>
          <w:rFonts w:ascii="Calibri" w:hAnsi="Calibri" w:cs="Calibri"/>
        </w:rPr>
        <w:t xml:space="preserve">cognitive function and </w:t>
      </w:r>
      <w:r w:rsidRPr="00D217F6">
        <w:rPr>
          <w:rFonts w:ascii="Calibri" w:hAnsi="Calibri" w:cs="Calibri"/>
        </w:rPr>
        <w:t>literacy</w:t>
      </w:r>
      <w:r w:rsidR="00D217F6" w:rsidRPr="00D217F6">
        <w:rPr>
          <w:rFonts w:ascii="Calibri" w:hAnsi="Calibri" w:cs="Calibri"/>
        </w:rPr>
        <w:t>, family history and co-morbidities</w:t>
      </w:r>
      <w:r w:rsidRPr="00D217F6">
        <w:rPr>
          <w:rFonts w:ascii="Calibri" w:hAnsi="Calibri" w:cs="Calibri"/>
        </w:rPr>
        <w:t xml:space="preserve">, </w:t>
      </w:r>
      <w:r w:rsidR="002B0F6C" w:rsidRPr="00D217F6">
        <w:rPr>
          <w:rFonts w:ascii="Calibri" w:hAnsi="Calibri" w:cs="Calibri"/>
        </w:rPr>
        <w:t xml:space="preserve">as well as </w:t>
      </w:r>
      <w:r w:rsidRPr="00D217F6">
        <w:rPr>
          <w:rFonts w:ascii="Calibri" w:hAnsi="Calibri" w:cs="Calibri"/>
        </w:rPr>
        <w:t>ethnic, socio-cultural, financial</w:t>
      </w:r>
      <w:r w:rsidR="002B0F6C" w:rsidRPr="00D217F6">
        <w:rPr>
          <w:rFonts w:ascii="Calibri" w:hAnsi="Calibri" w:cs="Calibri"/>
        </w:rPr>
        <w:t>,</w:t>
      </w:r>
      <w:r w:rsidR="00D217F6" w:rsidRPr="00D217F6">
        <w:rPr>
          <w:rFonts w:ascii="Calibri" w:hAnsi="Calibri" w:cs="Calibri"/>
        </w:rPr>
        <w:t xml:space="preserve"> </w:t>
      </w:r>
      <w:r w:rsidRPr="00D217F6">
        <w:rPr>
          <w:rFonts w:ascii="Calibri" w:hAnsi="Calibri" w:cs="Calibri"/>
        </w:rPr>
        <w:t xml:space="preserve">geographical </w:t>
      </w:r>
      <w:r w:rsidR="00413495" w:rsidRPr="00D217F6">
        <w:rPr>
          <w:rFonts w:ascii="Calibri" w:hAnsi="Calibri" w:cs="Calibri"/>
        </w:rPr>
        <w:t>and lifestyle</w:t>
      </w:r>
      <w:r w:rsidR="002B0F6C" w:rsidRPr="00D217F6">
        <w:rPr>
          <w:rFonts w:ascii="Calibri" w:hAnsi="Calibri" w:cs="Calibri"/>
        </w:rPr>
        <w:t xml:space="preserve"> factors</w:t>
      </w:r>
      <w:r w:rsidRPr="00D217F6">
        <w:rPr>
          <w:rFonts w:ascii="Calibri" w:hAnsi="Calibri" w:cs="Calibri"/>
        </w:rPr>
        <w:t xml:space="preserve"> </w:t>
      </w:r>
      <w:r w:rsidRPr="00D217F6">
        <w:rPr>
          <w:rFonts w:ascii="Calibri" w:hAnsi="Calibri" w:cs="Calibri"/>
        </w:rPr>
        <w:fldChar w:fldCharType="begin"/>
      </w:r>
      <w:r w:rsidR="00076F77">
        <w:rPr>
          <w:rFonts w:ascii="Calibri" w:hAnsi="Calibri" w:cs="Calibri"/>
        </w:rPr>
        <w:instrText xml:space="preserve"> ADDIN ZOTERO_ITEM CSL_CITATION {"citationID":"m3EdeZWK","properties":{"formattedCitation":"(64)","plainCitation":"(64)","noteIndex":0},"citationItems":[{"id":3260,"uris":["http://zotero.org/groups/369679/items/4U2C2NNN"],"uri":["http://zotero.org/groups/369679/items/4U2C2NNN"],"itemData":{"id":3260,"type":"article-journal","abstract":"Both type 1 and type 2 diabetes are associated with long-term complications that can be prevented or delayed by intensive glycaemic management. People who are empowered and skilled to self-manage their diabetes have improved health outcomes. Over the past 20 years, diabetes self-management education programmes have been shown to be efficacious and cost-effective in promotion and facilitation of self-management, with improvements in patients' knowledge, skills, and motivation leading to improved biomedical, behavioural, and psychosocial outcomes. Diabetes self-management education programmes, developed robustly with an evidence-based structured curriculum, vary in their method of delivery, content, and use of technology, person-centred philosophy, and specific aims. They are delivered by trained educators, and monitored for quality by independent assessors and routine audit. Self-management education should be tailored to specific populations, taking into consideration the type of diabetes, and ethnic, social, cognitive, literacy, and cultural factors. Ways to improve access to and uptake of diabetes self-management programmes are needed globally.","container-title":"The Lancet. Diabetes &amp; Endocrinology","DOI":"10.1016/S2213-8587(17)30239-5","ISSN":"2213-8595","issue":"2","journalAbbreviation":"Lancet Diabetes Endocrinol","language":"eng","note":"PMID: 28970034","page":"130-142","source":"PubMed","title":"Diabetes structured self-management education programmes: a narrative review and current innovations","title-short":"Diabetes structured self-management education programmes","volume":"6","author":[{"family":"Chatterjee","given":"Sudesna"},{"family":"Davies","given":"Melanie J."},{"family":"Heller","given":"Simon"},{"family":"Speight","given":"Jane"},{"family":"Snoek","given":"Frank J."},{"family":"Khunti","given":"Kamlesh"}],"issued":{"date-parts":[["2018"]]}}}],"schema":"https://github.com/citation-style-language/schema/raw/master/csl-citation.json"} </w:instrText>
      </w:r>
      <w:r w:rsidRPr="00D217F6">
        <w:rPr>
          <w:rFonts w:ascii="Calibri" w:hAnsi="Calibri" w:cs="Calibri"/>
        </w:rPr>
        <w:fldChar w:fldCharType="separate"/>
      </w:r>
      <w:r w:rsidR="00181864" w:rsidRPr="00181864">
        <w:rPr>
          <w:rFonts w:ascii="Calibri" w:hAnsi="Calibri" w:cs="Calibri"/>
        </w:rPr>
        <w:t>(64)</w:t>
      </w:r>
      <w:r w:rsidRPr="00D217F6">
        <w:rPr>
          <w:rFonts w:ascii="Calibri" w:hAnsi="Calibri" w:cs="Calibri"/>
        </w:rPr>
        <w:fldChar w:fldCharType="end"/>
      </w:r>
      <w:r w:rsidRPr="00D217F6">
        <w:rPr>
          <w:rFonts w:ascii="Calibri" w:hAnsi="Calibri" w:cs="Calibri"/>
        </w:rPr>
        <w:t>. A structured, periodic assessment of educationa</w:t>
      </w:r>
      <w:r w:rsidRPr="00413495">
        <w:rPr>
          <w:rFonts w:ascii="Calibri" w:hAnsi="Calibri" w:cs="Calibri"/>
        </w:rPr>
        <w:t xml:space="preserve">l needs and barriers should be an integral part of ongoing diabetes care (Table </w:t>
      </w:r>
      <w:r w:rsidR="00D71EDB" w:rsidRPr="00413495">
        <w:rPr>
          <w:rFonts w:ascii="Calibri" w:hAnsi="Calibri" w:cs="Calibri"/>
        </w:rPr>
        <w:t>4</w:t>
      </w:r>
      <w:r w:rsidRPr="00413495">
        <w:rPr>
          <w:rFonts w:ascii="Calibri" w:hAnsi="Calibri" w:cs="Calibri"/>
        </w:rPr>
        <w:t>).</w:t>
      </w:r>
    </w:p>
    <w:p w14:paraId="58E58FBC" w14:textId="796822BA" w:rsidR="00F8396D" w:rsidRPr="00211201" w:rsidRDefault="00F8396D" w:rsidP="00F8396D">
      <w:pPr>
        <w:spacing w:before="120"/>
        <w:jc w:val="both"/>
        <w:rPr>
          <w:rFonts w:asciiTheme="minorHAnsi" w:hAnsiTheme="minorHAnsi" w:cstheme="minorHAnsi"/>
        </w:rPr>
      </w:pPr>
      <w:r>
        <w:rPr>
          <w:rFonts w:ascii="Calibri" w:hAnsi="Calibri" w:cs="Calibri"/>
        </w:rPr>
        <w:t xml:space="preserve">There are numerous smart phone and web-based apps that aim to help people with type 1 diabetes navigate the challenges of self-management. </w:t>
      </w:r>
      <w:r w:rsidRPr="00211201">
        <w:rPr>
          <w:rFonts w:asciiTheme="minorHAnsi" w:hAnsiTheme="minorHAnsi" w:cstheme="minorHAnsi"/>
        </w:rPr>
        <w:t xml:space="preserve">Although widely used, </w:t>
      </w:r>
      <w:r w:rsidR="00211201" w:rsidRPr="00211201">
        <w:rPr>
          <w:rFonts w:asciiTheme="minorHAnsi" w:hAnsiTheme="minorHAnsi" w:cstheme="minorHAnsi"/>
        </w:rPr>
        <w:t>t</w:t>
      </w:r>
      <w:r w:rsidR="00211201" w:rsidRPr="00211201">
        <w:rPr>
          <w:rFonts w:asciiTheme="minorHAnsi" w:hAnsiTheme="minorHAnsi" w:cstheme="minorHAnsi"/>
          <w:color w:val="212121"/>
          <w:shd w:val="clear" w:color="auto" w:fill="FFFFFF"/>
        </w:rPr>
        <w:t>he available evidence on the safety and effectiveness of diabetes health apps remains limited</w:t>
      </w:r>
      <w:r w:rsidR="00211201">
        <w:rPr>
          <w:rFonts w:asciiTheme="minorHAnsi" w:hAnsiTheme="minorHAnsi" w:cstheme="minorHAnsi"/>
          <w:color w:val="212121"/>
          <w:shd w:val="clear" w:color="auto" w:fill="FFFFFF"/>
        </w:rPr>
        <w:t xml:space="preserve">, </w:t>
      </w:r>
      <w:r w:rsidR="00211201" w:rsidRPr="00211201">
        <w:rPr>
          <w:rFonts w:asciiTheme="minorHAnsi" w:hAnsiTheme="minorHAnsi" w:cstheme="minorHAnsi"/>
          <w:color w:val="212121"/>
          <w:shd w:val="clear" w:color="auto" w:fill="FFFFFF"/>
        </w:rPr>
        <w:t>with iss</w:t>
      </w:r>
      <w:r w:rsidR="00211201" w:rsidRPr="001B3190">
        <w:rPr>
          <w:rFonts w:asciiTheme="minorHAnsi" w:hAnsiTheme="minorHAnsi" w:cstheme="minorHAnsi"/>
          <w:color w:val="212121"/>
          <w:shd w:val="clear" w:color="auto" w:fill="FFFFFF"/>
        </w:rPr>
        <w:t xml:space="preserve">ues </w:t>
      </w:r>
      <w:r w:rsidR="00211201" w:rsidRPr="00211201">
        <w:rPr>
          <w:rFonts w:asciiTheme="minorHAnsi" w:hAnsiTheme="minorHAnsi" w:cstheme="minorHAnsi"/>
          <w:color w:val="212121"/>
          <w:shd w:val="clear" w:color="auto" w:fill="FFFFFF"/>
        </w:rPr>
        <w:t>rang</w:t>
      </w:r>
      <w:r w:rsidR="00211201">
        <w:rPr>
          <w:rFonts w:asciiTheme="minorHAnsi" w:hAnsiTheme="minorHAnsi" w:cstheme="minorHAnsi"/>
          <w:color w:val="212121"/>
          <w:shd w:val="clear" w:color="auto" w:fill="FFFFFF"/>
        </w:rPr>
        <w:t>ing</w:t>
      </w:r>
      <w:r w:rsidR="00211201" w:rsidRPr="00211201">
        <w:rPr>
          <w:rFonts w:asciiTheme="minorHAnsi" w:hAnsiTheme="minorHAnsi" w:cstheme="minorHAnsi"/>
          <w:color w:val="212121"/>
          <w:shd w:val="clear" w:color="auto" w:fill="FFFFFF"/>
        </w:rPr>
        <w:t xml:space="preserve"> from inadequate evidence on app accuracy and clinical validity to lack of training provision, poor interoperability and standardization, and insufficient data security</w:t>
      </w:r>
      <w:r w:rsidR="00076F77">
        <w:rPr>
          <w:rFonts w:asciiTheme="minorHAnsi" w:hAnsiTheme="minorHAnsi" w:cstheme="minorHAnsi"/>
          <w:color w:val="212121"/>
          <w:shd w:val="clear" w:color="auto" w:fill="FFFFFF"/>
        </w:rPr>
        <w:t xml:space="preserve"> </w:t>
      </w:r>
      <w:r w:rsidR="00076F77">
        <w:rPr>
          <w:rFonts w:asciiTheme="minorHAnsi" w:hAnsiTheme="minorHAnsi" w:cstheme="minorHAnsi"/>
          <w:color w:val="212121"/>
          <w:shd w:val="clear" w:color="auto" w:fill="FFFFFF"/>
        </w:rPr>
        <w:fldChar w:fldCharType="begin"/>
      </w:r>
      <w:r w:rsidR="00076F77">
        <w:rPr>
          <w:rFonts w:asciiTheme="minorHAnsi" w:hAnsiTheme="minorHAnsi" w:cstheme="minorHAnsi"/>
          <w:color w:val="212121"/>
          <w:shd w:val="clear" w:color="auto" w:fill="FFFFFF"/>
        </w:rPr>
        <w:instrText xml:space="preserve"> ADDIN ZOTERO_ITEM CSL_CITATION {"citationID":"a2o0ae59609","properties":{"formattedCitation":"(65)","plainCitation":"(65)","noteIndex":0},"citationItems":[{"id":4336,"uris":["http://zotero.org/groups/369679/items/BGHJ7BPI"],"uri":["http://zotero.org/groups/369679/items/BGHJ7BPI"],"itemData":{"id":4336,"type":"article-journal","abstract":"Digital health technology, especially digital and health applications (\"apps\"), have been developing rapidly to help people manage their diabetes. Numerous health-related apps provided on smartphones and other wireless devices are available to support people with diabetes who need to adopt either lifestyle interventions or medication adjustments in response to glucose-monitoring data. However, regulations and guidelines have not caught up with the burgeoning field to standardize how mobile health apps are reviewed and monitored for patient safety and clinical validity. The available evidence on the safety and effectiveness of mobile health apps, especially for diabetes, remains limited. The European Association for the Study of Diabetes (EASD) and the American Diabetes Association (ADA) have therefore conducted a joint review of the current landscape of available diabetes digital health technology (only stand-alone diabetes apps, as opposed to those that are integral to a regulated medical device, such as insulin pumps, continuous glucose monitoring systems, and automated insulin delivery systems) and practices of regulatory authorities and organizations. We found that, across the U.S. and Europe, mobile apps intended to manage health and wellness are largely unregulated unless they meet the definition of medical devices for therapeutic and/or diagnostic purposes. International organizations, including the International Medical Device Regulators Forum and the World Health Organization, have made strides in classifying different types of digital health technology and integrating digital health technology into the field of medical devices. As the diabetes digital health field continues to develop and become more fully integrated into everyday life, we wish to ensure that it is based on the best evidence for safety and efficacy. As a result, we bring to light several issues that the diabetes community, including regulatory authorities, policy makers, professional organizations, researchers, people with diabetes, and health care professionals, needs to address to ensure that diabetes health technology can meet its full potential. These issues range from inadequate evidence on app accuracy and clinical validity to lack of training provision, poor interoperability and standardization, and insufficient data security. We conclude with a series of recommended actions to resolve some of these shortcomings.","container-title":"Diabetes Care","DOI":"10.2337/dci19-0062","ISSN":"1935-5548","issue":"1","journalAbbreviation":"Diabetes Care","language":"eng","note":"PMID: 31806649","page":"250-260","source":"PubMed","title":"Diabetes Digital App Technology: Benefits, Challenges, and Recommendations. A Consensus Report by the European Association for the Study of Diabetes (EASD) and the American Diabetes Association (ADA) Diabetes Technology Working Group","title-short":"Diabetes Digital App Technology","volume":"43","author":[{"family":"Fleming","given":"G. Alexander"},{"family":"Petrie","given":"John R."},{"family":"Bergenstal","given":"Richard M."},{"family":"Holl","given":"Reinhard W."},{"family":"Peters","given":"Anne L."},{"family":"Heinemann","given":"Lutz"}],"issued":{"date-parts":[["2020"]]}}}],"schema":"https://github.com/citation-style-language/schema/raw/master/csl-citation.json"} </w:instrText>
      </w:r>
      <w:r w:rsidR="00076F77">
        <w:rPr>
          <w:rFonts w:asciiTheme="minorHAnsi" w:hAnsiTheme="minorHAnsi" w:cstheme="minorHAnsi"/>
          <w:color w:val="212121"/>
          <w:shd w:val="clear" w:color="auto" w:fill="FFFFFF"/>
        </w:rPr>
        <w:fldChar w:fldCharType="separate"/>
      </w:r>
      <w:r w:rsidR="00076F77" w:rsidRPr="00076F77">
        <w:rPr>
          <w:rFonts w:ascii="Calibri" w:hAnsi="Calibri" w:cs="Calibri"/>
        </w:rPr>
        <w:t>(65)</w:t>
      </w:r>
      <w:r w:rsidR="00076F77">
        <w:rPr>
          <w:rFonts w:asciiTheme="minorHAnsi" w:hAnsiTheme="minorHAnsi" w:cstheme="minorHAnsi"/>
          <w:color w:val="212121"/>
          <w:shd w:val="clear" w:color="auto" w:fill="FFFFFF"/>
        </w:rPr>
        <w:fldChar w:fldCharType="end"/>
      </w:r>
      <w:r w:rsidR="00211201" w:rsidRPr="00211201">
        <w:rPr>
          <w:rFonts w:asciiTheme="minorHAnsi" w:hAnsiTheme="minorHAnsi" w:cstheme="minorHAnsi"/>
        </w:rPr>
        <w:t xml:space="preserve">. </w:t>
      </w:r>
    </w:p>
    <w:p w14:paraId="6BFB947C" w14:textId="77777777" w:rsidR="00264FF0" w:rsidRPr="0035461C" w:rsidRDefault="00264FF0" w:rsidP="001C5BC0">
      <w:pPr>
        <w:spacing w:before="120"/>
        <w:jc w:val="both"/>
        <w:rPr>
          <w:rFonts w:ascii="Calibri" w:hAnsi="Calibri" w:cs="Calibri"/>
          <w:b/>
          <w:bCs/>
        </w:rPr>
      </w:pPr>
    </w:p>
    <w:p w14:paraId="055B05AC" w14:textId="641A7E0C" w:rsidR="00340343" w:rsidRPr="0035461C" w:rsidRDefault="00512AAD" w:rsidP="00D71EDB">
      <w:pPr>
        <w:keepNext/>
        <w:spacing w:before="120"/>
        <w:jc w:val="both"/>
        <w:rPr>
          <w:rFonts w:ascii="Calibri" w:hAnsi="Calibri" w:cs="Calibri"/>
          <w:b/>
          <w:bCs/>
        </w:rPr>
      </w:pPr>
      <w:r w:rsidRPr="0035461C">
        <w:rPr>
          <w:rFonts w:ascii="Calibri" w:hAnsi="Calibri" w:cs="Calibri"/>
          <w:b/>
          <w:bCs/>
        </w:rPr>
        <w:t xml:space="preserve">Section </w:t>
      </w:r>
      <w:r w:rsidR="00264FF0" w:rsidRPr="0035461C">
        <w:rPr>
          <w:rFonts w:ascii="Calibri" w:hAnsi="Calibri" w:cs="Calibri"/>
          <w:b/>
          <w:bCs/>
        </w:rPr>
        <w:t>6</w:t>
      </w:r>
      <w:r w:rsidRPr="0035461C">
        <w:rPr>
          <w:rFonts w:ascii="Calibri" w:hAnsi="Calibri" w:cs="Calibri"/>
          <w:b/>
          <w:bCs/>
        </w:rPr>
        <w:t>:</w:t>
      </w:r>
      <w:r w:rsidR="00E615B3" w:rsidRPr="0035461C">
        <w:rPr>
          <w:rFonts w:ascii="Calibri" w:hAnsi="Calibri" w:cs="Calibri"/>
          <w:b/>
          <w:bCs/>
        </w:rPr>
        <w:t xml:space="preserve"> </w:t>
      </w:r>
      <w:r w:rsidR="00910721" w:rsidRPr="0035461C">
        <w:rPr>
          <w:rFonts w:ascii="Calibri" w:hAnsi="Calibri" w:cs="Calibri"/>
          <w:b/>
          <w:bCs/>
        </w:rPr>
        <w:t>Monitoring</w:t>
      </w:r>
      <w:r w:rsidR="0000741A" w:rsidRPr="0035461C">
        <w:rPr>
          <w:rFonts w:ascii="Calibri" w:hAnsi="Calibri" w:cs="Calibri"/>
          <w:b/>
          <w:bCs/>
        </w:rPr>
        <w:t xml:space="preserve"> of glycaemi</w:t>
      </w:r>
      <w:r w:rsidR="00D54634" w:rsidRPr="0035461C">
        <w:rPr>
          <w:rFonts w:ascii="Calibri" w:hAnsi="Calibri" w:cs="Calibri"/>
          <w:b/>
          <w:bCs/>
        </w:rPr>
        <w:t>a</w:t>
      </w:r>
    </w:p>
    <w:p w14:paraId="4BCC0CC9" w14:textId="4AC2F9D0" w:rsidR="00340343" w:rsidRPr="0035461C" w:rsidRDefault="00340343" w:rsidP="00340343">
      <w:pPr>
        <w:autoSpaceDE w:val="0"/>
        <w:autoSpaceDN w:val="0"/>
        <w:adjustRightInd w:val="0"/>
        <w:spacing w:before="120"/>
        <w:jc w:val="both"/>
        <w:rPr>
          <w:rFonts w:ascii="Calibri" w:hAnsi="Calibri" w:cs="Calibri"/>
        </w:rPr>
      </w:pPr>
      <w:r w:rsidRPr="0035461C">
        <w:rPr>
          <w:rFonts w:ascii="Calibri" w:hAnsi="Calibri" w:cs="Calibri"/>
        </w:rPr>
        <w:t>People with type 1 diabetes should have an assessment of their glycaemi</w:t>
      </w:r>
      <w:r w:rsidR="00D54634" w:rsidRPr="0035461C">
        <w:rPr>
          <w:rFonts w:ascii="Calibri" w:hAnsi="Calibri" w:cs="Calibri"/>
        </w:rPr>
        <w:t>a</w:t>
      </w:r>
      <w:r w:rsidRPr="0035461C">
        <w:rPr>
          <w:rFonts w:ascii="Calibri" w:hAnsi="Calibri" w:cs="Calibri"/>
        </w:rPr>
        <w:t xml:space="preserve"> with their healthcare pro</w:t>
      </w:r>
      <w:r w:rsidR="001A451F" w:rsidRPr="0035461C">
        <w:rPr>
          <w:rFonts w:ascii="Calibri" w:hAnsi="Calibri" w:cs="Calibri"/>
        </w:rPr>
        <w:t>fessional as often as is clinically indicated but at least annually.</w:t>
      </w:r>
      <w:r w:rsidR="00E615B3" w:rsidRPr="0035461C">
        <w:rPr>
          <w:rFonts w:ascii="Calibri" w:hAnsi="Calibri" w:cs="Calibri"/>
        </w:rPr>
        <w:t xml:space="preserve"> </w:t>
      </w:r>
      <w:r w:rsidRPr="0035461C">
        <w:rPr>
          <w:rFonts w:ascii="Calibri" w:hAnsi="Calibri" w:cs="Calibri"/>
        </w:rPr>
        <w:t xml:space="preserve">Glycaemic status should be assessed at </w:t>
      </w:r>
      <w:r w:rsidR="001A451F" w:rsidRPr="0035461C">
        <w:rPr>
          <w:rFonts w:ascii="Calibri" w:hAnsi="Calibri" w:cs="Calibri"/>
        </w:rPr>
        <w:t>least every three months</w:t>
      </w:r>
      <w:r w:rsidRPr="0035461C">
        <w:rPr>
          <w:rFonts w:ascii="Calibri" w:hAnsi="Calibri" w:cs="Calibri"/>
        </w:rPr>
        <w:t xml:space="preserve"> in those whose therapy has changed or who are not meeting glycaemic goals.</w:t>
      </w:r>
    </w:p>
    <w:p w14:paraId="5E61A252" w14:textId="77777777" w:rsidR="00C34EDB" w:rsidRDefault="00C34EDB" w:rsidP="001C5BC0">
      <w:pPr>
        <w:spacing w:before="120"/>
        <w:jc w:val="both"/>
        <w:rPr>
          <w:rFonts w:ascii="Calibri" w:hAnsi="Calibri" w:cs="Calibri"/>
          <w:i/>
          <w:iCs/>
          <w:u w:val="single"/>
        </w:rPr>
      </w:pPr>
    </w:p>
    <w:p w14:paraId="2AE44FF3" w14:textId="550C929E" w:rsidR="00D54634" w:rsidRPr="0035461C" w:rsidRDefault="00387A17" w:rsidP="001C5BC0">
      <w:pPr>
        <w:spacing w:before="120"/>
        <w:jc w:val="both"/>
        <w:rPr>
          <w:rFonts w:ascii="Calibri" w:hAnsi="Calibri" w:cs="Calibri"/>
          <w:i/>
          <w:iCs/>
          <w:u w:val="single"/>
        </w:rPr>
      </w:pPr>
      <w:r w:rsidRPr="0035461C">
        <w:rPr>
          <w:rFonts w:ascii="Calibri" w:hAnsi="Calibri" w:cs="Calibri"/>
          <w:i/>
          <w:iCs/>
          <w:u w:val="single"/>
        </w:rPr>
        <w:t xml:space="preserve">Glycated </w:t>
      </w:r>
      <w:proofErr w:type="spellStart"/>
      <w:r w:rsidRPr="0035461C">
        <w:rPr>
          <w:rFonts w:ascii="Calibri" w:hAnsi="Calibri" w:cs="Calibri"/>
          <w:i/>
          <w:iCs/>
          <w:u w:val="single"/>
        </w:rPr>
        <w:t>haemoglobin</w:t>
      </w:r>
      <w:proofErr w:type="spellEnd"/>
      <w:r w:rsidRPr="0035461C">
        <w:rPr>
          <w:rFonts w:ascii="Calibri" w:hAnsi="Calibri" w:cs="Calibri"/>
          <w:i/>
          <w:iCs/>
          <w:u w:val="single"/>
        </w:rPr>
        <w:t xml:space="preserve"> (HbA</w:t>
      </w:r>
      <w:r w:rsidRPr="0035461C">
        <w:rPr>
          <w:rFonts w:ascii="Calibri" w:hAnsi="Calibri" w:cs="Calibri"/>
          <w:i/>
          <w:iCs/>
          <w:u w:val="single"/>
          <w:vertAlign w:val="subscript"/>
        </w:rPr>
        <w:t>1c</w:t>
      </w:r>
      <w:r w:rsidRPr="0035461C">
        <w:rPr>
          <w:rFonts w:ascii="Calibri" w:hAnsi="Calibri" w:cs="Calibri"/>
          <w:i/>
          <w:iCs/>
          <w:u w:val="single"/>
        </w:rPr>
        <w:t>)</w:t>
      </w:r>
    </w:p>
    <w:p w14:paraId="1E76D524" w14:textId="35EA7BCB" w:rsidR="000C13C9" w:rsidRPr="0035461C" w:rsidRDefault="00D54634" w:rsidP="001C5BC0">
      <w:pPr>
        <w:spacing w:before="120"/>
        <w:jc w:val="both"/>
        <w:rPr>
          <w:rFonts w:ascii="Calibri" w:hAnsi="Calibri" w:cs="Calibri"/>
        </w:rPr>
      </w:pPr>
      <w:r w:rsidRPr="0035461C">
        <w:rPr>
          <w:rFonts w:ascii="Calibri" w:hAnsi="Calibri" w:cs="Calibri"/>
        </w:rPr>
        <w:t>Monitoring of g</w:t>
      </w:r>
      <w:r w:rsidR="00951800" w:rsidRPr="0035461C">
        <w:rPr>
          <w:rFonts w:ascii="Calibri" w:hAnsi="Calibri" w:cs="Calibri"/>
        </w:rPr>
        <w:t>lycaemi</w:t>
      </w:r>
      <w:r w:rsidRPr="0035461C">
        <w:rPr>
          <w:rFonts w:ascii="Calibri" w:hAnsi="Calibri" w:cs="Calibri"/>
        </w:rPr>
        <w:t>a</w:t>
      </w:r>
      <w:r w:rsidR="00951800" w:rsidRPr="0035461C">
        <w:rPr>
          <w:rFonts w:ascii="Calibri" w:hAnsi="Calibri" w:cs="Calibri"/>
        </w:rPr>
        <w:t xml:space="preserve"> has traditionally been by HbA</w:t>
      </w:r>
      <w:r w:rsidR="00951800" w:rsidRPr="0035461C">
        <w:rPr>
          <w:rFonts w:ascii="Calibri" w:hAnsi="Calibri" w:cs="Calibri"/>
          <w:vertAlign w:val="subscript"/>
        </w:rPr>
        <w:t>1c</w:t>
      </w:r>
      <w:r w:rsidR="00951800" w:rsidRPr="0035461C">
        <w:rPr>
          <w:rFonts w:ascii="Calibri" w:hAnsi="Calibri" w:cs="Calibri"/>
        </w:rPr>
        <w:t>, which has been used in most studies demonstrating the effects of lowering glucose on the development and progression of diabetes complications</w:t>
      </w:r>
      <w:r w:rsidR="004E4AB8" w:rsidRPr="0035461C">
        <w:rPr>
          <w:rFonts w:ascii="Calibri" w:hAnsi="Calibri" w:cs="Calibri"/>
        </w:rPr>
        <w:t xml:space="preserve"> </w:t>
      </w:r>
      <w:r w:rsidR="00791089" w:rsidRPr="0035461C">
        <w:rPr>
          <w:rFonts w:ascii="Calibri" w:hAnsi="Calibri" w:cs="Calibri"/>
        </w:rPr>
        <w:fldChar w:fldCharType="begin"/>
      </w:r>
      <w:r w:rsidR="00076F77">
        <w:rPr>
          <w:rFonts w:ascii="Calibri" w:hAnsi="Calibri" w:cs="Calibri"/>
        </w:rPr>
        <w:instrText xml:space="preserve"> ADDIN ZOTERO_ITEM CSL_CITATION {"citationID":"V3iy1fwb","properties":{"formattedCitation":"(39)","plainCitation":"(39)","noteIndex":0},"citationItems":[{"id":3865,"uris":["http://zotero.org/groups/369679/items/GDLTZHA3"],"uri":["http://zotero.org/groups/369679/items/GDLTZHA3"],"itemData":{"id":3865,"type":"article-journal","abstract":"BACKGROUND: Long-term microvascular and neurologic complications cause major morbidity and mortality in patients with insulin-dependent diabetes mellitus (IDDM). We examined whether intensive treatment with the goal of maintaining blood glucose concentrations close to the normal range could decrease the frequency and severity of these complications.\nMETHODS: A total of 1441 patients with IDDM--726 with no retinopathy at base line (the primary-prevention cohort) and 715 with mild retinopathy (the secondary-intervention cohort) were randomly assigned to intensive therapy administered either with an external insulin pump or by three or more daily insulin injections and guided by frequent blood glucose monitoring or to conventional therapy with one or two daily insulin injections. The patients were followed for a mean of 6.5 years, and the appearance and progression of retinopathy and other complications were assessed regularly.\nRESULTS: In the primary-prevention cohort, intensive therapy reduced the adjusted mean risk for the development of retinopathy by 76 percent (95 percent confidence interval, 62 to 85 percent), as compared with conventional therapy. In the secondary-intervention cohort, intensive therapy slowed the progression of retinopathy by 54 percent (95 percent confidence interval, 39 to 66 percent) and reduced the development of proliferative or severe nonproliferative retinopathy by 47 percent (95 percent confidence interval, 14 to 67 percent). In the two cohorts combined, intensive therapy reduced the occurrence of microalbuminuria (urinary albumin excretion of &gt; or = 40 mg per 24 hours) by 39 percent (95 percent confidence interval, 21 to 52 percent), that of albuminuria (urinary albumin excretion of &gt; or = 300 mg per 24 hours) by 54 percent (95 percent confidence interval 19 to 74 percent), and that of clinical neuropathy by 60 percent (95 percent confidence interval, 38 to 74 percent). The chief adverse event associated with intensive therapy was a two-to-threefold increase in severe hypoglycemia.\nCONCLUSIONS: Intensive therapy effectively delays the onset and slows the progression of diabetic retinopathy, nephropathy, and neuropathy in patients with IDDM.","container-title":"The New England Journal of Medicine","DOI":"10.1056/NEJM199309303291401","ISSN":"0028-4793","issue":"14","journalAbbreviation":"N. Engl. J. Med.","language":"eng","note":"PMID: 8366922","page":"977-986","source":"PubMed","title":"The effect of intensive treatment of diabetes on the development and progression of long-term complications in insulin-dependent diabetes mellitus","volume":"329","author":[{"literal":"Diabetes Control and Complications Trial Research Group"},{"family":"Nathan","given":"D. M."},{"family":"Genuth","given":"S."},{"family":"Lachin","given":"J."},{"family":"Cleary","given":"P."},{"family":"Crofford","given":"O."},{"family":"Davis","given":"M."},{"family":"Rand","given":"L."},{"family":"Siebert","given":"C."}],"issued":{"date-parts":[["1993"]],"season":"30"}}}],"schema":"https://github.com/citation-style-language/schema/raw/master/csl-citation.json"} </w:instrText>
      </w:r>
      <w:r w:rsidR="00791089" w:rsidRPr="0035461C">
        <w:rPr>
          <w:rFonts w:ascii="Calibri" w:hAnsi="Calibri" w:cs="Calibri"/>
        </w:rPr>
        <w:fldChar w:fldCharType="separate"/>
      </w:r>
      <w:r w:rsidR="001C2617" w:rsidRPr="001C2617">
        <w:rPr>
          <w:rFonts w:ascii="Calibri" w:hAnsi="Calibri" w:cs="Calibri"/>
        </w:rPr>
        <w:t>(39)</w:t>
      </w:r>
      <w:r w:rsidR="00791089" w:rsidRPr="0035461C">
        <w:rPr>
          <w:rFonts w:ascii="Calibri" w:hAnsi="Calibri" w:cs="Calibri"/>
        </w:rPr>
        <w:fldChar w:fldCharType="end"/>
      </w:r>
      <w:r w:rsidR="004E4AB8" w:rsidRPr="0035461C">
        <w:rPr>
          <w:rFonts w:ascii="Calibri" w:hAnsi="Calibri" w:cs="Calibri"/>
        </w:rPr>
        <w:t>.</w:t>
      </w:r>
      <w:r w:rsidR="00951800" w:rsidRPr="0035461C">
        <w:rPr>
          <w:rFonts w:ascii="Calibri" w:hAnsi="Calibri" w:cs="Calibri"/>
        </w:rPr>
        <w:t xml:space="preserve"> </w:t>
      </w:r>
      <w:r w:rsidR="00C34EDB">
        <w:rPr>
          <w:rFonts w:ascii="Calibri" w:hAnsi="Calibri" w:cs="Calibri"/>
        </w:rPr>
        <w:t>There is a</w:t>
      </w:r>
      <w:r w:rsidR="00951800" w:rsidRPr="0035461C">
        <w:rPr>
          <w:rFonts w:ascii="Calibri" w:hAnsi="Calibri" w:cs="Calibri"/>
        </w:rPr>
        <w:t xml:space="preserve"> strong correlation (</w:t>
      </w:r>
      <w:r w:rsidR="001A451F" w:rsidRPr="0035461C">
        <w:rPr>
          <w:rFonts w:ascii="Calibri" w:hAnsi="Calibri" w:cs="Calibri"/>
        </w:rPr>
        <w:t>r</w:t>
      </w:r>
      <w:r w:rsidR="00951800" w:rsidRPr="0035461C">
        <w:rPr>
          <w:rFonts w:ascii="Calibri" w:hAnsi="Calibri" w:cs="Calibri"/>
        </w:rPr>
        <w:t>&gt;0.9) between HbA</w:t>
      </w:r>
      <w:r w:rsidR="00951800" w:rsidRPr="0035461C">
        <w:rPr>
          <w:rFonts w:ascii="Calibri" w:hAnsi="Calibri" w:cs="Calibri"/>
          <w:vertAlign w:val="subscript"/>
        </w:rPr>
        <w:t>1c</w:t>
      </w:r>
      <w:r w:rsidR="00951800" w:rsidRPr="0035461C">
        <w:rPr>
          <w:rFonts w:ascii="Calibri" w:hAnsi="Calibri" w:cs="Calibri"/>
        </w:rPr>
        <w:t xml:space="preserve"> and average blood glucose during the preceding 3 months </w:t>
      </w:r>
      <w:r w:rsidR="00952F4E" w:rsidRPr="0035461C">
        <w:rPr>
          <w:rFonts w:ascii="Calibri" w:hAnsi="Calibri" w:cs="Calibri"/>
        </w:rPr>
        <w:t>where</w:t>
      </w:r>
      <w:r w:rsidR="00951800" w:rsidRPr="0035461C">
        <w:rPr>
          <w:rFonts w:ascii="Calibri" w:hAnsi="Calibri" w:cs="Calibri"/>
        </w:rPr>
        <w:t xml:space="preserve"> glucose levels</w:t>
      </w:r>
      <w:r w:rsidR="00952F4E" w:rsidRPr="0035461C">
        <w:rPr>
          <w:rFonts w:ascii="Calibri" w:hAnsi="Calibri" w:cs="Calibri"/>
        </w:rPr>
        <w:t xml:space="preserve"> are stable</w:t>
      </w:r>
      <w:r w:rsidR="004E4AB8" w:rsidRPr="0035461C">
        <w:rPr>
          <w:rFonts w:ascii="Calibri" w:hAnsi="Calibri" w:cs="Calibri"/>
        </w:rPr>
        <w:t xml:space="preserve"> </w:t>
      </w:r>
      <w:r w:rsidR="00B2283F" w:rsidRPr="0035461C">
        <w:rPr>
          <w:rFonts w:ascii="Calibri" w:hAnsi="Calibri" w:cs="Calibri"/>
        </w:rPr>
        <w:fldChar w:fldCharType="begin"/>
      </w:r>
      <w:r w:rsidR="00076F77">
        <w:rPr>
          <w:rFonts w:ascii="Calibri" w:hAnsi="Calibri" w:cs="Calibri"/>
        </w:rPr>
        <w:instrText xml:space="preserve"> ADDIN ZOTERO_ITEM CSL_CITATION {"citationID":"cQ0hfGKV","properties":{"formattedCitation":"(66)","plainCitation":"(66)","noteIndex":0},"citationItems":[{"id":1347,"uris":["http://zotero.org/groups/369679/items/T6IHA8PV"],"uri":["http://zotero.org/groups/369679/items/T6IHA8PV"],"itemData":{"id":1347,"type":"article-journal","abstract":"OBJECTIVE: The A1C assay, expressed as the percent of hemoglobin that is glycated, measures chronic glycemia and is widely used to judge the adequacy of diabetes treatment and adjust therapy. Day-to-day management is guided by self-monitoring of capillary glucose concentrations (milligrams per deciliter or millimoles per liter). We sought to define the mathematical relationship between A1C and average glucose (AG) levels and determine whether A1C could be expressed and reported as AG in the same units as used in self-monitoring.\nRESEARCH DESIGN AND METHODS: A total of 507 subjects, including 268 patients with type 1 diabetes, 159 with type 2 diabetes, and 80 nondiabetic subjects from 10 international centers, was included in the analyses. A1C levels obtained at the end of 3 months and measured in a central laboratory were compared with the AG levels during the previous 3 months. AG was calculated by combining weighted results from at least 2 days of continuous glucose monitoring performed four times, with seven-point daily self-monitoring of capillary (fingerstick) glucose performed at least 3 days per week.\nRESULTS: Approximately 2,700 glucose values were obtained by each subject during 3 months. Linear regression analysis between the A1C and AG values provided the tightest correlations (AG(mg/dl) = 28.7 x A1C - 46.7, R(2) = 0.84, P &lt; 0.0001), allowing calculation of an estimated average glucose (eAG) for A1C values. The linear regression equations did not differ significantly across subgroups based on age, sex, diabetes type, race/ethnicity, or smoking status.\nCONCLUSIONS: A1C levels can be expressed as eAG for most patients with type 1 and type 2 diabetes.","container-title":"Diabetes care","DOI":"10.2337/dc08-0545","ISSN":"1935-5548","issue":"8","journalAbbreviation":"Diabetes Care","language":"eng","note":"PMID: 18540046 \nPMCID: PMC2742903","page":"1473-1478","source":"NCBI PubMed","title":"Translating the A1C assay into estimated average glucose values","volume":"31","author":[{"family":"Nathan","given":"David M"},{"family":"Kuenen","given":"Judith"},{"family":"Borg","given":"Rikke"},{"family":"Zheng","given":"Hui"},{"family":"Schoenfeld","given":"David"},{"family":"Heine","given":"Robert J"},{"literal":"A1c-Derived Average Glucose Study Group"}],"issued":{"date-parts":[["2008",8]]}}}],"schema":"https://github.com/citation-style-language/schema/raw/master/csl-citation.json"} </w:instrText>
      </w:r>
      <w:r w:rsidR="00B2283F" w:rsidRPr="0035461C">
        <w:rPr>
          <w:rFonts w:ascii="Calibri" w:hAnsi="Calibri" w:cs="Calibri"/>
        </w:rPr>
        <w:fldChar w:fldCharType="separate"/>
      </w:r>
      <w:r w:rsidR="00076F77" w:rsidRPr="00076F77">
        <w:rPr>
          <w:rFonts w:ascii="Calibri" w:hAnsi="Calibri" w:cs="Calibri"/>
        </w:rPr>
        <w:t>(66)</w:t>
      </w:r>
      <w:r w:rsidR="00B2283F" w:rsidRPr="0035461C">
        <w:rPr>
          <w:rFonts w:ascii="Calibri" w:hAnsi="Calibri" w:cs="Calibri"/>
        </w:rPr>
        <w:fldChar w:fldCharType="end"/>
      </w:r>
      <w:r w:rsidR="004E4AB8" w:rsidRPr="0035461C">
        <w:rPr>
          <w:rFonts w:ascii="Calibri" w:hAnsi="Calibri" w:cs="Calibri"/>
        </w:rPr>
        <w:t>.</w:t>
      </w:r>
      <w:r w:rsidR="00951800" w:rsidRPr="0035461C">
        <w:rPr>
          <w:rFonts w:ascii="Calibri" w:hAnsi="Calibri" w:cs="Calibri"/>
        </w:rPr>
        <w:t xml:space="preserve"> In several conditions, however, HbA</w:t>
      </w:r>
      <w:r w:rsidR="00951800" w:rsidRPr="0035461C">
        <w:rPr>
          <w:rFonts w:ascii="Calibri" w:hAnsi="Calibri" w:cs="Calibri"/>
          <w:vertAlign w:val="subscript"/>
        </w:rPr>
        <w:t>1c</w:t>
      </w:r>
      <w:r w:rsidR="00951800" w:rsidRPr="0035461C">
        <w:rPr>
          <w:rFonts w:ascii="Calibri" w:hAnsi="Calibri" w:cs="Calibri"/>
        </w:rPr>
        <w:t xml:space="preserve"> does not </w:t>
      </w:r>
      <w:r w:rsidR="00EA5828" w:rsidRPr="0035461C">
        <w:rPr>
          <w:rFonts w:ascii="Calibri" w:hAnsi="Calibri" w:cs="Calibri"/>
        </w:rPr>
        <w:t xml:space="preserve">reflect </w:t>
      </w:r>
      <w:r w:rsidR="00951800" w:rsidRPr="0035461C">
        <w:rPr>
          <w:rFonts w:ascii="Calibri" w:hAnsi="Calibri" w:cs="Calibri"/>
        </w:rPr>
        <w:t xml:space="preserve">mean glucose; these are mainly situations where red blood cell turnover is </w:t>
      </w:r>
      <w:r w:rsidR="009D2D8D" w:rsidRPr="0035461C">
        <w:rPr>
          <w:rFonts w:ascii="Calibri" w:hAnsi="Calibri" w:cs="Calibri"/>
        </w:rPr>
        <w:t xml:space="preserve">altered </w:t>
      </w:r>
      <w:r w:rsidR="00951800" w:rsidRPr="0035461C">
        <w:rPr>
          <w:rFonts w:ascii="Calibri" w:hAnsi="Calibri" w:cs="Calibri"/>
        </w:rPr>
        <w:t xml:space="preserve">or in </w:t>
      </w:r>
      <w:r w:rsidR="009D2D8D" w:rsidRPr="0035461C">
        <w:rPr>
          <w:rFonts w:ascii="Calibri" w:hAnsi="Calibri" w:cs="Calibri"/>
        </w:rPr>
        <w:t>the presence of</w:t>
      </w:r>
      <w:r w:rsidR="00951800" w:rsidRPr="0035461C">
        <w:rPr>
          <w:rFonts w:ascii="Calibri" w:hAnsi="Calibri" w:cs="Calibri"/>
        </w:rPr>
        <w:t xml:space="preserve"> </w:t>
      </w:r>
      <w:proofErr w:type="spellStart"/>
      <w:r w:rsidR="00951800" w:rsidRPr="0035461C">
        <w:rPr>
          <w:rFonts w:ascii="Calibri" w:hAnsi="Calibri" w:cs="Calibri"/>
        </w:rPr>
        <w:t>h</w:t>
      </w:r>
      <w:r w:rsidR="00952F4E" w:rsidRPr="0035461C">
        <w:rPr>
          <w:rFonts w:ascii="Calibri" w:hAnsi="Calibri" w:cs="Calibri"/>
        </w:rPr>
        <w:t>a</w:t>
      </w:r>
      <w:r w:rsidR="00951800" w:rsidRPr="0035461C">
        <w:rPr>
          <w:rFonts w:ascii="Calibri" w:hAnsi="Calibri" w:cs="Calibri"/>
        </w:rPr>
        <w:t>emoglobinopathies</w:t>
      </w:r>
      <w:proofErr w:type="spellEnd"/>
      <w:r w:rsidR="00952F4E" w:rsidRPr="0035461C">
        <w:rPr>
          <w:rFonts w:ascii="Calibri" w:hAnsi="Calibri" w:cs="Calibri"/>
        </w:rPr>
        <w:t xml:space="preserve"> (Table </w:t>
      </w:r>
      <w:r w:rsidR="00632367" w:rsidRPr="0035461C">
        <w:rPr>
          <w:rFonts w:ascii="Calibri" w:hAnsi="Calibri" w:cs="Calibri"/>
        </w:rPr>
        <w:t>5</w:t>
      </w:r>
      <w:r w:rsidR="00952F4E" w:rsidRPr="0035461C">
        <w:rPr>
          <w:rFonts w:ascii="Calibri" w:hAnsi="Calibri" w:cs="Calibri"/>
        </w:rPr>
        <w:t>)</w:t>
      </w:r>
      <w:r w:rsidR="00C6504B" w:rsidRPr="0035461C">
        <w:rPr>
          <w:rFonts w:ascii="Calibri" w:hAnsi="Calibri" w:cs="Calibri"/>
        </w:rPr>
        <w:t xml:space="preserve"> </w:t>
      </w:r>
      <w:r w:rsidR="00F41BE5" w:rsidRPr="0035461C">
        <w:rPr>
          <w:rFonts w:ascii="Calibri" w:hAnsi="Calibri" w:cs="Calibri"/>
        </w:rPr>
        <w:fldChar w:fldCharType="begin"/>
      </w:r>
      <w:r w:rsidR="00076F77">
        <w:rPr>
          <w:rFonts w:ascii="Calibri" w:hAnsi="Calibri" w:cs="Calibri"/>
        </w:rPr>
        <w:instrText xml:space="preserve"> ADDIN ZOTERO_ITEM CSL_CITATION {"citationID":"dTADhCUS","properties":{"formattedCitation":"(67)","plainCitation":"(67)","noteIndex":0},"citationItems":[{"id":11040,"uris":["http://zotero.org/groups/369679/items/BMLWY3UZ"],"uri":["http://zotero.org/groups/369679/items/BMLWY3UZ"],"itemData":{"id":11040,"type":"article-journal","abstract":"Since the beginning of clinical use in the 1970s, hemoglobin A1c (A1c) has become the standard tool for monitoring glycemic control in patients with diabetes. The role of the A1c test was broadened in 2010, when the American Diabetes Association added A1c as a diagnostic criterion for diabetes. Because of hemoglobin A1c's integral role in diagnosis and treatment, it is important to recognize clinical scenarios and interfering factors that yield false results. The purpose of this review is to describe the A1c measurement, outline clinical scenarios or factors that may yield false results, and describe alternative laboratory biomarkers.","container-title":"Journal of General Internal Medicine","DOI":"10.1007/s11606-013-2595-x","ISSN":"1525-1497","issue":"2","journalAbbreviation":"J Gen Intern Med","language":"eng","note":"PMID: 24002631\nPMCID: PMC3912281","page":"388-394","source":"PubMed","title":"Pitfalls in hemoglobin A1c measurement: when results may be misleading","title-short":"Pitfalls in hemoglobin A1c measurement","volume":"29","author":[{"family":"Radin","given":"Michael S."}],"issued":{"date-parts":[["2014",2]]}}}],"schema":"https://github.com/citation-style-language/schema/raw/master/csl-citation.json"} </w:instrText>
      </w:r>
      <w:r w:rsidR="00F41BE5" w:rsidRPr="0035461C">
        <w:rPr>
          <w:rFonts w:ascii="Calibri" w:hAnsi="Calibri" w:cs="Calibri"/>
        </w:rPr>
        <w:fldChar w:fldCharType="separate"/>
      </w:r>
      <w:r w:rsidR="00076F77" w:rsidRPr="00076F77">
        <w:rPr>
          <w:rFonts w:ascii="Calibri" w:hAnsi="Calibri" w:cs="Calibri"/>
        </w:rPr>
        <w:t>(67)</w:t>
      </w:r>
      <w:r w:rsidR="00F41BE5" w:rsidRPr="0035461C">
        <w:rPr>
          <w:rFonts w:ascii="Calibri" w:hAnsi="Calibri" w:cs="Calibri"/>
        </w:rPr>
        <w:fldChar w:fldCharType="end"/>
      </w:r>
      <w:r w:rsidR="00951800" w:rsidRPr="0035461C">
        <w:rPr>
          <w:rFonts w:ascii="Calibri" w:hAnsi="Calibri" w:cs="Calibri"/>
        </w:rPr>
        <w:t>. Variability exists between individuals, but the HbA</w:t>
      </w:r>
      <w:r w:rsidR="00951800" w:rsidRPr="0035461C">
        <w:rPr>
          <w:rFonts w:ascii="Calibri" w:hAnsi="Calibri" w:cs="Calibri"/>
          <w:vertAlign w:val="subscript"/>
        </w:rPr>
        <w:t>1c</w:t>
      </w:r>
      <w:r w:rsidR="00951800" w:rsidRPr="0035461C">
        <w:rPr>
          <w:rFonts w:ascii="Calibri" w:hAnsi="Calibri" w:cs="Calibri"/>
        </w:rPr>
        <w:t xml:space="preserve"> and blood glucose within an individual correlate over time</w:t>
      </w:r>
      <w:r w:rsidR="004E4AB8" w:rsidRPr="0035461C">
        <w:rPr>
          <w:rFonts w:ascii="Calibri" w:hAnsi="Calibri" w:cs="Calibri"/>
        </w:rPr>
        <w:t xml:space="preserve"> </w:t>
      </w:r>
      <w:r w:rsidR="00B175A2" w:rsidRPr="0035461C">
        <w:rPr>
          <w:rFonts w:ascii="Calibri" w:hAnsi="Calibri" w:cs="Calibri"/>
        </w:rPr>
        <w:fldChar w:fldCharType="begin"/>
      </w:r>
      <w:r w:rsidR="00076F77">
        <w:rPr>
          <w:rFonts w:ascii="Calibri" w:hAnsi="Calibri" w:cs="Calibri"/>
        </w:rPr>
        <w:instrText xml:space="preserve"> ADDIN ZOTERO_ITEM CSL_CITATION {"citationID":"7TwQ74u7","properties":{"formattedCitation":"(68)","plainCitation":"(68)","noteIndex":0},"citationItems":[{"id":365,"uris":["http://zotero.org/groups/369679/items/YI9FNMHW"],"uri":["http://zotero.org/groups/369679/items/YI9FNMHW"],"itemData":{"id":365,"type":"article-journal","abstract":"HbA1c is a valuable metric for comparing treatment groups in a randomized trial, for assessing glycemic trends in a population over time, or for cross-sectional comparisons of glycemic control in different populations. However, what is not widely appreciated is that HbA1c may not be a good indicator of an individual patient's glycemic control because of the wide range of mean glucose concentrations and glucose profiles that can be associated with a given HbA1c level. To illustrate this point, we plotted mean glucose measured with continuous glucose monitoring (CGM) versus central laboratory-measured HbA1c in 387 participants in three randomized trials, showing that not infrequently HbA1c may underestimate or overestimate mean glucose, sometimes substantially. Thus, if HbA1c is to be used to assess glycemic control, it is imperative to know the patient's actual mean glucose to understand how well HbA1c is an indicator of the patient's glycemic control. With knowledge of the mean glucose, an estimated HbA1c (eA1C) can be calculated with the formula provided in this article to compare with the measured HbA1c. Estimating glycemic control from HbA1c alone is in essence applying a population average to an individual, which can be misleading. Thus, a patient's CGM glucose profile has considerable value for optimizing his or her diabetes management. In this era of personalized, precision medicine, there are few better examples with respect to the fallacy of applying a population average to a specific patient rather than using specific information about the patient to determine the optimal approach to treatment.","container-title":"Diabetes Care","DOI":"10.2337/dc17-0636","ISSN":"1935-5548","issue":"8","journalAbbreviation":"Diabetes Care","language":"eng","note":"PMID: 28733374\nPMCID: PMC5521971","page":"994-999","source":"PubMed","title":"The Fallacy of Average: How Using HbA1c Alone to Assess Glycemic Control Can Be Misleading","title-short":"The Fallacy of Average","volume":"40","author":[{"family":"Beck","given":"Roy W."},{"family":"Connor","given":"Crystal G."},{"family":"Mullen","given":"Deborah M."},{"family":"Wesley","given":"David M."},{"family":"Bergenstal","given":"Richard M."}],"issued":{"date-parts":[["2017",8]]}}}],"schema":"https://github.com/citation-style-language/schema/raw/master/csl-citation.json"} </w:instrText>
      </w:r>
      <w:r w:rsidR="00B175A2" w:rsidRPr="0035461C">
        <w:rPr>
          <w:rFonts w:ascii="Calibri" w:hAnsi="Calibri" w:cs="Calibri"/>
        </w:rPr>
        <w:fldChar w:fldCharType="separate"/>
      </w:r>
      <w:r w:rsidR="00076F77" w:rsidRPr="00076F77">
        <w:rPr>
          <w:rFonts w:ascii="Calibri" w:hAnsi="Calibri" w:cs="Calibri"/>
        </w:rPr>
        <w:t>(68)</w:t>
      </w:r>
      <w:r w:rsidR="00B175A2" w:rsidRPr="0035461C">
        <w:rPr>
          <w:rFonts w:ascii="Calibri" w:hAnsi="Calibri" w:cs="Calibri"/>
        </w:rPr>
        <w:fldChar w:fldCharType="end"/>
      </w:r>
      <w:r w:rsidR="004E4AB8" w:rsidRPr="0035461C">
        <w:rPr>
          <w:rFonts w:ascii="Calibri" w:hAnsi="Calibri" w:cs="Calibri"/>
        </w:rPr>
        <w:t>.</w:t>
      </w:r>
      <w:r w:rsidR="00951800" w:rsidRPr="0035461C">
        <w:rPr>
          <w:rFonts w:ascii="Calibri" w:hAnsi="Calibri" w:cs="Calibri"/>
        </w:rPr>
        <w:t xml:space="preserve"> </w:t>
      </w:r>
      <w:r w:rsidR="009D2D8D" w:rsidRPr="0035461C">
        <w:rPr>
          <w:rFonts w:ascii="Calibri" w:hAnsi="Calibri" w:cs="Calibri"/>
        </w:rPr>
        <w:t xml:space="preserve">Although </w:t>
      </w:r>
      <w:r w:rsidR="00951800" w:rsidRPr="0035461C">
        <w:rPr>
          <w:rFonts w:ascii="Calibri" w:hAnsi="Calibri" w:cs="Calibri"/>
        </w:rPr>
        <w:t>HbA</w:t>
      </w:r>
      <w:r w:rsidR="00951800" w:rsidRPr="0035461C">
        <w:rPr>
          <w:rFonts w:ascii="Calibri" w:hAnsi="Calibri" w:cs="Calibri"/>
          <w:vertAlign w:val="subscript"/>
        </w:rPr>
        <w:t>1c</w:t>
      </w:r>
      <w:r w:rsidR="00951800" w:rsidRPr="0035461C">
        <w:rPr>
          <w:rFonts w:ascii="Calibri" w:hAnsi="Calibri" w:cs="Calibri"/>
        </w:rPr>
        <w:t xml:space="preserve"> is an indicator of mean glucose, it does not inform glyc</w:t>
      </w:r>
      <w:r w:rsidR="009D2D8D" w:rsidRPr="0035461C">
        <w:rPr>
          <w:rFonts w:ascii="Calibri" w:hAnsi="Calibri" w:cs="Calibri"/>
        </w:rPr>
        <w:t>a</w:t>
      </w:r>
      <w:r w:rsidR="00951800" w:rsidRPr="0035461C">
        <w:rPr>
          <w:rFonts w:ascii="Calibri" w:hAnsi="Calibri" w:cs="Calibri"/>
        </w:rPr>
        <w:t>emic variability and hypoglyc</w:t>
      </w:r>
      <w:r w:rsidR="009D2D8D" w:rsidRPr="0035461C">
        <w:rPr>
          <w:rFonts w:ascii="Calibri" w:hAnsi="Calibri" w:cs="Calibri"/>
        </w:rPr>
        <w:t>a</w:t>
      </w:r>
      <w:r w:rsidR="00951800" w:rsidRPr="0035461C">
        <w:rPr>
          <w:rFonts w:ascii="Calibri" w:hAnsi="Calibri" w:cs="Calibri"/>
        </w:rPr>
        <w:t>emia and therefore is inappropriate as the only method of glucose evaluation in type 1 diabetes</w:t>
      </w:r>
      <w:r w:rsidR="00B141CD" w:rsidRPr="0035461C">
        <w:rPr>
          <w:rFonts w:ascii="Calibri" w:hAnsi="Calibri" w:cs="Calibri"/>
        </w:rPr>
        <w:t xml:space="preserve"> </w:t>
      </w:r>
      <w:r w:rsidR="00B141CD" w:rsidRPr="0035461C">
        <w:rPr>
          <w:rFonts w:ascii="Calibri" w:hAnsi="Calibri" w:cs="Calibri"/>
        </w:rPr>
        <w:fldChar w:fldCharType="begin"/>
      </w:r>
      <w:r w:rsidR="00076F77">
        <w:rPr>
          <w:rFonts w:ascii="Calibri" w:hAnsi="Calibri" w:cs="Calibri"/>
        </w:rPr>
        <w:instrText xml:space="preserve"> ADDIN ZOTERO_ITEM CSL_CITATION {"citationID":"SyibiUoB","properties":{"formattedCitation":"(68,69)","plainCitation":"(68,69)","noteIndex":0},"citationItems":[{"id":365,"uris":["http://zotero.org/groups/369679/items/YI9FNMHW"],"uri":["http://zotero.org/groups/369679/items/YI9FNMHW"],"itemData":{"id":365,"type":"article-journal","abstract":"HbA1c is a valuable metric for comparing treatment groups in a randomized trial, for assessing glycemic trends in a population over time, or for cross-sectional comparisons of glycemic control in different populations. However, what is not widely appreciated is that HbA1c may not be a good indicator of an individual patient's glycemic control because of the wide range of mean glucose concentrations and glucose profiles that can be associated with a given HbA1c level. To illustrate this point, we plotted mean glucose measured with continuous glucose monitoring (CGM) versus central laboratory-measured HbA1c in 387 participants in three randomized trials, showing that not infrequently HbA1c may underestimate or overestimate mean glucose, sometimes substantially. Thus, if HbA1c is to be used to assess glycemic control, it is imperative to know the patient's actual mean glucose to understand how well HbA1c is an indicator of the patient's glycemic control. With knowledge of the mean glucose, an estimated HbA1c (eA1C) can be calculated with the formula provided in this article to compare with the measured HbA1c. Estimating glycemic control from HbA1c alone is in essence applying a population average to an individual, which can be misleading. Thus, a patient's CGM glucose profile has considerable value for optimizing his or her diabetes management. In this era of personalized, precision medicine, there are few better examples with respect to the fallacy of applying a population average to a specific patient rather than using specific information about the patient to determine the optimal approach to treatment.","container-title":"Diabetes Care","DOI":"10.2337/dc17-0636","ISSN":"1935-5548","issue":"8","journalAbbreviation":"Diabetes Care","language":"eng","note":"PMID: 28733374\nPMCID: PMC5521971","page":"994-999","source":"PubMed","title":"The Fallacy of Average: How Using HbA1c Alone to Assess Glycemic Control Can Be Misleading","title-short":"The Fallacy of Average","volume":"40","author":[{"family":"Beck","given":"Roy W."},{"family":"Connor","given":"Crystal G."},{"family":"Mullen","given":"Deborah M."},{"family":"Wesley","given":"David M."},{"family":"Bergenstal","given":"Richard M."}],"issued":{"date-parts":[["2017",8]]}}},{"id":4112,"uris":["http://zotero.org/groups/369679/items/A2IE2ZF3"],"uri":["http://zotero.org/groups/369679/items/A2IE2ZF3"],"itemData":{"id":4112,"type":"article-journal","abstract":"BACKGROUND: As the use of continuous glucose monitoring (CGM) increases, there is a need to better understand key metrics of time in range 70-180 mg/dL (TIR70-180) and hyperglycemia and how they relate to hemoglobin A1c (A1C).\nMETHODS: Analyses were conducted utilizing datasets from four randomized trials encompassing 545 adults with type 1 diabetes (T1D) who had central-laboratory measurements of A1C. CGM metrics were calculated and compared with each other and A1C cross-sectionally and longitudinally.\nRESULTS: Correlations among CGM metrics (TIR70-180, time &gt;180 mg/dL, time &gt;250 mg/dL, mean glucose, area under the curve above 180 mg/dL, high blood glucose index, and time in range 70-140 mg/dL) were typically 0.90 or greater. Correlations of each metric with A1C were lower (absolute values 0.66-0.71 at baseline and 0.73-0.78 at month 6). For a given TIR70-180 percentage, there was a wide range of possible A1C levels that could be associated with that TIR70-180 level. On average, a TIR70-180 of 70% and 50% corresponded with an A1C of approximately 7% and 8%, respectively. There also was considerable spread of change in A1C for a given change in TIR70-180, and vice versa. An increase in TIR70-180 of 10% (2.4 hours per day) corresponded to a decrease in A1C of 0.6%, on average.\nCONCLUSIONS: In T1D, CGM measures reflecting hyperglycemia (including TIR and mean glucose) are highly correlated with each other but only moderately correlated with A1C. For a given TIR or change in TIR there is a wide range of possible corresponding A1C values.","container-title":"Journal of Diabetes Science and Technology","DOI":"10.1177/1932296818822496","ISSN":"1932-2968","issue":"4","journalAbbreviation":"J Diabetes Sci Technol","language":"eng","note":"PMID: 30636519\nPMCID: PMC6610606","page":"614-626","source":"PubMed","title":"The Relationships Between Time in Range, Hyperglycemia Metrics, and HbA1c","volume":"13","author":[{"family":"Beck","given":"Roy W."},{"family":"Bergenstal","given":"Richard M."},{"family":"Cheng","given":"Peiyao"},{"family":"Kollman","given":"Craig"},{"family":"Carlson","given":"Anders L."},{"family":"Johnson","given":"Mary L."},{"family":"Rodbard","given":"David"}],"issued":{"date-parts":[["2019",7]]}}}],"schema":"https://github.com/citation-style-language/schema/raw/master/csl-citation.json"} </w:instrText>
      </w:r>
      <w:r w:rsidR="00B141CD" w:rsidRPr="0035461C">
        <w:rPr>
          <w:rFonts w:ascii="Calibri" w:hAnsi="Calibri" w:cs="Calibri"/>
        </w:rPr>
        <w:fldChar w:fldCharType="separate"/>
      </w:r>
      <w:r w:rsidR="00076F77" w:rsidRPr="00076F77">
        <w:rPr>
          <w:rFonts w:ascii="Calibri" w:hAnsi="Calibri" w:cs="Calibri"/>
        </w:rPr>
        <w:t>(68,69)</w:t>
      </w:r>
      <w:r w:rsidR="00B141CD" w:rsidRPr="0035461C">
        <w:rPr>
          <w:rFonts w:ascii="Calibri" w:hAnsi="Calibri" w:cs="Calibri"/>
        </w:rPr>
        <w:fldChar w:fldCharType="end"/>
      </w:r>
      <w:r w:rsidR="004E4AB8" w:rsidRPr="0035461C">
        <w:rPr>
          <w:rFonts w:ascii="Calibri" w:hAnsi="Calibri" w:cs="Calibri"/>
        </w:rPr>
        <w:t>.</w:t>
      </w:r>
      <w:r w:rsidR="00951800" w:rsidRPr="0035461C">
        <w:rPr>
          <w:rFonts w:ascii="Calibri" w:hAnsi="Calibri" w:cs="Calibri"/>
        </w:rPr>
        <w:t xml:space="preserve"> </w:t>
      </w:r>
    </w:p>
    <w:p w14:paraId="32D64DD2" w14:textId="3C7D381A" w:rsidR="00951800" w:rsidRPr="0035461C" w:rsidRDefault="00951800" w:rsidP="001C5BC0">
      <w:pPr>
        <w:spacing w:before="120"/>
        <w:jc w:val="both"/>
        <w:rPr>
          <w:rFonts w:ascii="Calibri" w:hAnsi="Calibri" w:cs="Calibri"/>
        </w:rPr>
      </w:pPr>
      <w:r w:rsidRPr="0035461C">
        <w:rPr>
          <w:rFonts w:ascii="Calibri" w:hAnsi="Calibri" w:cs="Calibri"/>
        </w:rPr>
        <w:t>Other biomarkers</w:t>
      </w:r>
      <w:r w:rsidR="009D2D8D" w:rsidRPr="0035461C">
        <w:rPr>
          <w:rFonts w:ascii="Calibri" w:hAnsi="Calibri" w:cs="Calibri"/>
        </w:rPr>
        <w:t>,</w:t>
      </w:r>
      <w:r w:rsidRPr="0035461C">
        <w:rPr>
          <w:rFonts w:ascii="Calibri" w:hAnsi="Calibri" w:cs="Calibri"/>
        </w:rPr>
        <w:t xml:space="preserve"> such as </w:t>
      </w:r>
      <w:proofErr w:type="spellStart"/>
      <w:r w:rsidRPr="0035461C">
        <w:rPr>
          <w:rFonts w:ascii="Calibri" w:hAnsi="Calibri" w:cs="Calibri"/>
        </w:rPr>
        <w:t>fructosamine</w:t>
      </w:r>
      <w:proofErr w:type="spellEnd"/>
      <w:r w:rsidR="00373D1F" w:rsidRPr="0035461C">
        <w:rPr>
          <w:rFonts w:ascii="Calibri" w:hAnsi="Calibri" w:cs="Calibri"/>
        </w:rPr>
        <w:t>,</w:t>
      </w:r>
      <w:r w:rsidRPr="0035461C">
        <w:rPr>
          <w:rFonts w:ascii="Calibri" w:hAnsi="Calibri" w:cs="Calibri"/>
        </w:rPr>
        <w:t xml:space="preserve"> 1</w:t>
      </w:r>
      <w:proofErr w:type="gramStart"/>
      <w:r w:rsidRPr="0035461C">
        <w:rPr>
          <w:rFonts w:ascii="Calibri" w:hAnsi="Calibri" w:cs="Calibri"/>
        </w:rPr>
        <w:t>,5</w:t>
      </w:r>
      <w:proofErr w:type="gramEnd"/>
      <w:r w:rsidRPr="0035461C">
        <w:rPr>
          <w:rFonts w:ascii="Calibri" w:hAnsi="Calibri" w:cs="Calibri"/>
        </w:rPr>
        <w:t xml:space="preserve"> </w:t>
      </w:r>
      <w:proofErr w:type="spellStart"/>
      <w:r w:rsidRPr="0035461C">
        <w:rPr>
          <w:rFonts w:ascii="Calibri" w:hAnsi="Calibri" w:cs="Calibri"/>
        </w:rPr>
        <w:t>anhydroglucitol</w:t>
      </w:r>
      <w:proofErr w:type="spellEnd"/>
      <w:r w:rsidR="00373D1F" w:rsidRPr="0035461C">
        <w:rPr>
          <w:rFonts w:ascii="Calibri" w:hAnsi="Calibri" w:cs="Calibri"/>
        </w:rPr>
        <w:t>,</w:t>
      </w:r>
      <w:r w:rsidRPr="0035461C">
        <w:rPr>
          <w:rFonts w:ascii="Calibri" w:hAnsi="Calibri" w:cs="Calibri"/>
        </w:rPr>
        <w:t xml:space="preserve"> and glycated albumin</w:t>
      </w:r>
      <w:r w:rsidR="009D2D8D" w:rsidRPr="0035461C">
        <w:rPr>
          <w:rFonts w:ascii="Calibri" w:hAnsi="Calibri" w:cs="Calibri"/>
        </w:rPr>
        <w:t xml:space="preserve"> provide measure</w:t>
      </w:r>
      <w:r w:rsidR="004E4AB8" w:rsidRPr="0035461C">
        <w:rPr>
          <w:rFonts w:ascii="Calibri" w:hAnsi="Calibri" w:cs="Calibri"/>
        </w:rPr>
        <w:t>s</w:t>
      </w:r>
      <w:r w:rsidR="009D2D8D" w:rsidRPr="0035461C">
        <w:rPr>
          <w:rFonts w:ascii="Calibri" w:hAnsi="Calibri" w:cs="Calibri"/>
        </w:rPr>
        <w:t xml:space="preserve"> of mean glucose albeit with</w:t>
      </w:r>
      <w:r w:rsidRPr="0035461C">
        <w:rPr>
          <w:rFonts w:ascii="Calibri" w:hAnsi="Calibri" w:cs="Calibri"/>
        </w:rPr>
        <w:t xml:space="preserve"> shorter durations than HbA</w:t>
      </w:r>
      <w:r w:rsidRPr="0035461C">
        <w:rPr>
          <w:rFonts w:ascii="Calibri" w:hAnsi="Calibri" w:cs="Calibri"/>
          <w:vertAlign w:val="subscript"/>
        </w:rPr>
        <w:t>1c</w:t>
      </w:r>
      <w:r w:rsidRPr="0035461C">
        <w:rPr>
          <w:rFonts w:ascii="Calibri" w:hAnsi="Calibri" w:cs="Calibri"/>
        </w:rPr>
        <w:t>. None of these are as well associated with diabetes complications as HbA</w:t>
      </w:r>
      <w:r w:rsidRPr="0035461C">
        <w:rPr>
          <w:rFonts w:ascii="Calibri" w:hAnsi="Calibri" w:cs="Calibri"/>
          <w:vertAlign w:val="subscript"/>
        </w:rPr>
        <w:t>1c</w:t>
      </w:r>
      <w:r w:rsidR="00363024" w:rsidRPr="0035461C">
        <w:rPr>
          <w:rFonts w:ascii="Calibri" w:hAnsi="Calibri" w:cs="Calibri"/>
          <w:vertAlign w:val="subscript"/>
        </w:rPr>
        <w:t xml:space="preserve"> </w:t>
      </w:r>
      <w:r w:rsidR="00363024" w:rsidRPr="0035461C">
        <w:rPr>
          <w:rFonts w:ascii="Calibri" w:hAnsi="Calibri" w:cs="Calibri"/>
        </w:rPr>
        <w:fldChar w:fldCharType="begin"/>
      </w:r>
      <w:r w:rsidR="00076F77">
        <w:rPr>
          <w:rFonts w:ascii="Calibri" w:hAnsi="Calibri" w:cs="Calibri"/>
        </w:rPr>
        <w:instrText xml:space="preserve"> ADDIN ZOTERO_ITEM CSL_CITATION {"citationID":"2DRssG8n","properties":{"formattedCitation":"(70)","plainCitation":"(70)","noteIndex":0},"citationItems":[{"id":11043,"uris":["http://zotero.org/groups/369679/items/69DPIDX4"],"uri":["http://zotero.org/groups/369679/items/69DPIDX4"],"itemData":{"id":11043,"type":"article-journal","abstract":"Attaining and maintaining good glycemic control is a cornerstone of diabetes care. The monitoring of glycemic control is currently based on the self-monitoring of blood glucose (SMBG) and laboratory testing for hemoglobin A1c (HbA1c), which is a surrogate biochemical marker of the average glycemia level over the previous 2-3 mo period. Although hyperglycemia is a key biochemical feature of diabetes, both the level of and exposure to high glucose, as well as glycemic variability, contribute to the pathogenesis of diabetic complications and follow different patterns in type 1 and type 2 diabetes. HbA1c provides a valuable, standardized and evidence-based parameter that is relevant for clinical decision making, but several biological and analytical confounders limit its accuracy in reflecting true glycemia. It has become apparent in recent years that other glycated proteins such as fructosamine, glycated albumin, and the nutritional monosaccharide 1,5-anhydroglucitol, as well as integrated measures from direct glucose testing by an SMBG/continuous glucose monitoring system, may provide valuable complementary data, particularly in circumstances when HbA1c results may be unreliable or are insufficient to assess the risk of adverse outcomes. Long-term associations of these alternative biomarkers of glycemia with the risk of complications need to be investigated in order to provide clinically relevant cut-off values and to validate their utility in diverse populations of diabetes patients.","container-title":"World Journal of Diabetes","DOI":"10.4239/wjd.v10.i1.1","ISSN":"1948-9358","issue":"1","journalAbbreviation":"World J Diabetes","language":"eng","note":"PMID: 30697366\nPMCID: PMC6347654","page":"1-15","source":"PubMed","title":"Update on biomarkers of glycemic control","volume":"10","author":[{"family":"Krhač","given":"Maja"},{"family":"Lovrenčić","given":"Marijana Vučić"}],"issued":{"date-parts":[["2019",1,15]]}}}],"schema":"https://github.com/citation-style-language/schema/raw/master/csl-citation.json"} </w:instrText>
      </w:r>
      <w:r w:rsidR="00363024" w:rsidRPr="0035461C">
        <w:rPr>
          <w:rFonts w:ascii="Calibri" w:hAnsi="Calibri" w:cs="Calibri"/>
        </w:rPr>
        <w:fldChar w:fldCharType="separate"/>
      </w:r>
      <w:r w:rsidR="00076F77" w:rsidRPr="00076F77">
        <w:rPr>
          <w:rFonts w:ascii="Calibri" w:hAnsi="Calibri" w:cs="Calibri"/>
        </w:rPr>
        <w:t>(70)</w:t>
      </w:r>
      <w:r w:rsidR="00363024" w:rsidRPr="0035461C">
        <w:rPr>
          <w:rFonts w:ascii="Calibri" w:hAnsi="Calibri" w:cs="Calibri"/>
        </w:rPr>
        <w:fldChar w:fldCharType="end"/>
      </w:r>
      <w:r w:rsidR="00D735E8" w:rsidRPr="0035461C">
        <w:rPr>
          <w:rFonts w:ascii="Calibri" w:hAnsi="Calibri" w:cs="Calibri"/>
        </w:rPr>
        <w:t>.</w:t>
      </w:r>
    </w:p>
    <w:p w14:paraId="6FFE84B4" w14:textId="46BDE97E" w:rsidR="00951800" w:rsidRPr="0035461C" w:rsidRDefault="00340343" w:rsidP="001C5BC0">
      <w:pPr>
        <w:spacing w:before="120"/>
        <w:jc w:val="both"/>
        <w:rPr>
          <w:rFonts w:ascii="Calibri" w:hAnsi="Calibri" w:cs="Calibri"/>
          <w:i/>
          <w:iCs/>
          <w:u w:val="single"/>
        </w:rPr>
      </w:pPr>
      <w:r w:rsidRPr="0035461C">
        <w:rPr>
          <w:rFonts w:ascii="Calibri" w:hAnsi="Calibri" w:cs="Calibri"/>
          <w:i/>
          <w:iCs/>
          <w:u w:val="single"/>
        </w:rPr>
        <w:t xml:space="preserve">Capillary </w:t>
      </w:r>
      <w:r w:rsidR="00951800" w:rsidRPr="0035461C">
        <w:rPr>
          <w:rFonts w:ascii="Calibri" w:hAnsi="Calibri" w:cs="Calibri"/>
          <w:i/>
          <w:iCs/>
          <w:u w:val="single"/>
        </w:rPr>
        <w:t>blood glucose</w:t>
      </w:r>
      <w:r w:rsidRPr="0035461C">
        <w:rPr>
          <w:rFonts w:ascii="Calibri" w:hAnsi="Calibri" w:cs="Calibri"/>
          <w:i/>
          <w:iCs/>
          <w:u w:val="single"/>
        </w:rPr>
        <w:t xml:space="preserve"> monitoring</w:t>
      </w:r>
    </w:p>
    <w:p w14:paraId="79C623F5" w14:textId="192ED7CB" w:rsidR="000F418E" w:rsidRDefault="00340343" w:rsidP="00D54634">
      <w:pPr>
        <w:spacing w:before="120"/>
        <w:jc w:val="both"/>
        <w:rPr>
          <w:rFonts w:ascii="Calibri" w:hAnsi="Calibri" w:cs="Calibri"/>
        </w:rPr>
      </w:pPr>
      <w:r w:rsidRPr="0035461C">
        <w:rPr>
          <w:rFonts w:ascii="Calibri" w:hAnsi="Calibri" w:cs="Calibri"/>
        </w:rPr>
        <w:t xml:space="preserve">Capillary blood glucose </w:t>
      </w:r>
      <w:r w:rsidR="00A7370E" w:rsidRPr="0035461C">
        <w:rPr>
          <w:rFonts w:ascii="Calibri" w:hAnsi="Calibri" w:cs="Calibri"/>
        </w:rPr>
        <w:t xml:space="preserve">monitoring </w:t>
      </w:r>
      <w:r w:rsidRPr="0035461C">
        <w:rPr>
          <w:rFonts w:ascii="Calibri" w:hAnsi="Calibri" w:cs="Calibri"/>
        </w:rPr>
        <w:t>(</w:t>
      </w:r>
      <w:r w:rsidR="009D2D8D" w:rsidRPr="0035461C">
        <w:rPr>
          <w:rFonts w:ascii="Calibri" w:hAnsi="Calibri" w:cs="Calibri"/>
        </w:rPr>
        <w:t>BG</w:t>
      </w:r>
      <w:r w:rsidRPr="0035461C">
        <w:rPr>
          <w:rFonts w:ascii="Calibri" w:hAnsi="Calibri" w:cs="Calibri"/>
        </w:rPr>
        <w:t>M</w:t>
      </w:r>
      <w:r w:rsidR="009D2D8D" w:rsidRPr="0035461C">
        <w:rPr>
          <w:rFonts w:ascii="Calibri" w:hAnsi="Calibri" w:cs="Calibri"/>
        </w:rPr>
        <w:t xml:space="preserve">) </w:t>
      </w:r>
      <w:r w:rsidR="00951800" w:rsidRPr="0035461C">
        <w:rPr>
          <w:rFonts w:ascii="Calibri" w:hAnsi="Calibri" w:cs="Calibri"/>
        </w:rPr>
        <w:t xml:space="preserve">involves the use of a handheld meter and </w:t>
      </w:r>
      <w:r w:rsidR="00952C3A">
        <w:rPr>
          <w:rFonts w:ascii="Calibri" w:hAnsi="Calibri" w:cs="Calibri"/>
        </w:rPr>
        <w:t>provides a</w:t>
      </w:r>
      <w:r w:rsidR="00951800" w:rsidRPr="0035461C">
        <w:rPr>
          <w:rFonts w:ascii="Calibri" w:hAnsi="Calibri" w:cs="Calibri"/>
        </w:rPr>
        <w:t xml:space="preserve"> measurement of capillary </w:t>
      </w:r>
      <w:r w:rsidR="00952C3A">
        <w:rPr>
          <w:rFonts w:ascii="Calibri" w:hAnsi="Calibri" w:cs="Calibri"/>
        </w:rPr>
        <w:t>plasma</w:t>
      </w:r>
      <w:r w:rsidR="00951800" w:rsidRPr="0035461C">
        <w:rPr>
          <w:rFonts w:ascii="Calibri" w:hAnsi="Calibri" w:cs="Calibri"/>
        </w:rPr>
        <w:t xml:space="preserve"> glucose. Frequent </w:t>
      </w:r>
      <w:r w:rsidRPr="0035461C">
        <w:rPr>
          <w:rFonts w:ascii="Calibri" w:hAnsi="Calibri" w:cs="Calibri"/>
        </w:rPr>
        <w:t xml:space="preserve">BGM </w:t>
      </w:r>
      <w:r w:rsidR="00951800" w:rsidRPr="0035461C">
        <w:rPr>
          <w:rFonts w:ascii="Calibri" w:hAnsi="Calibri" w:cs="Calibri"/>
        </w:rPr>
        <w:t>measurements are important as an integrated part of diabetes management to guide insulin dosage, food intake</w:t>
      </w:r>
      <w:r w:rsidR="00F81DD8" w:rsidRPr="0035461C">
        <w:rPr>
          <w:rFonts w:ascii="Calibri" w:hAnsi="Calibri" w:cs="Calibri"/>
        </w:rPr>
        <w:t>,</w:t>
      </w:r>
      <w:r w:rsidR="00951800" w:rsidRPr="0035461C">
        <w:rPr>
          <w:rFonts w:ascii="Calibri" w:hAnsi="Calibri" w:cs="Calibri"/>
        </w:rPr>
        <w:t xml:space="preserve"> and prevention of hypoglyc</w:t>
      </w:r>
      <w:r w:rsidR="009D2D8D" w:rsidRPr="0035461C">
        <w:rPr>
          <w:rFonts w:ascii="Calibri" w:hAnsi="Calibri" w:cs="Calibri"/>
        </w:rPr>
        <w:t>a</w:t>
      </w:r>
      <w:r w:rsidR="00951800" w:rsidRPr="0035461C">
        <w:rPr>
          <w:rFonts w:ascii="Calibri" w:hAnsi="Calibri" w:cs="Calibri"/>
        </w:rPr>
        <w:t xml:space="preserve">emia with exercise. </w:t>
      </w:r>
      <w:r w:rsidR="000F418E">
        <w:rPr>
          <w:rFonts w:ascii="Calibri" w:hAnsi="Calibri" w:cs="Calibri"/>
        </w:rPr>
        <w:t xml:space="preserve">Every person with type 1 diabetes should have the equipment to undertake BGM, regardless of whether they are using continuous glucose monitoring. </w:t>
      </w:r>
    </w:p>
    <w:p w14:paraId="52E81C90" w14:textId="33E629D1" w:rsidR="00951800" w:rsidRPr="0035461C" w:rsidRDefault="00340343" w:rsidP="00D54634">
      <w:pPr>
        <w:spacing w:before="120"/>
        <w:jc w:val="both"/>
        <w:rPr>
          <w:rFonts w:ascii="Calibri" w:hAnsi="Calibri" w:cs="Calibri"/>
        </w:rPr>
      </w:pPr>
      <w:r w:rsidRPr="0035461C">
        <w:rPr>
          <w:rFonts w:ascii="Calibri" w:hAnsi="Calibri" w:cs="Calibri"/>
        </w:rPr>
        <w:t>BGM</w:t>
      </w:r>
      <w:r w:rsidR="00951800" w:rsidRPr="0035461C">
        <w:rPr>
          <w:rFonts w:ascii="Calibri" w:hAnsi="Calibri" w:cs="Calibri"/>
        </w:rPr>
        <w:t xml:space="preserve"> is needed </w:t>
      </w:r>
      <w:r w:rsidR="00632367" w:rsidRPr="0035461C">
        <w:rPr>
          <w:rFonts w:ascii="Calibri" w:hAnsi="Calibri" w:cs="Calibri"/>
        </w:rPr>
        <w:t>before meals</w:t>
      </w:r>
      <w:r w:rsidR="00951800" w:rsidRPr="0035461C">
        <w:rPr>
          <w:rFonts w:ascii="Calibri" w:hAnsi="Calibri" w:cs="Calibri"/>
        </w:rPr>
        <w:t xml:space="preserve"> </w:t>
      </w:r>
      <w:r w:rsidR="0088079A">
        <w:rPr>
          <w:rFonts w:ascii="Calibri" w:hAnsi="Calibri" w:cs="Calibri"/>
        </w:rPr>
        <w:t xml:space="preserve">to </w:t>
      </w:r>
      <w:r w:rsidR="0088079A" w:rsidRPr="0088079A">
        <w:rPr>
          <w:rFonts w:ascii="Calibri" w:hAnsi="Calibri" w:cs="Calibri"/>
        </w:rPr>
        <w:t xml:space="preserve">give the user </w:t>
      </w:r>
      <w:r w:rsidR="00952C3A">
        <w:rPr>
          <w:rFonts w:ascii="Calibri" w:hAnsi="Calibri" w:cs="Calibri"/>
        </w:rPr>
        <w:t>the</w:t>
      </w:r>
      <w:r w:rsidR="0088079A" w:rsidRPr="0088079A">
        <w:rPr>
          <w:rFonts w:ascii="Calibri" w:hAnsi="Calibri" w:cs="Calibri"/>
        </w:rPr>
        <w:t xml:space="preserve"> chance to adjust the meal insulin dose if the pre-meal glucose is out of range at the time</w:t>
      </w:r>
      <w:r w:rsidR="00677EEA">
        <w:rPr>
          <w:rFonts w:ascii="Calibri" w:hAnsi="Calibri" w:cs="Calibri"/>
        </w:rPr>
        <w:t>,</w:t>
      </w:r>
      <w:r w:rsidR="0088079A" w:rsidRPr="0088079A">
        <w:rPr>
          <w:rFonts w:ascii="Calibri" w:hAnsi="Calibri" w:cs="Calibri"/>
        </w:rPr>
        <w:t xml:space="preserve"> </w:t>
      </w:r>
      <w:r w:rsidR="0088079A">
        <w:rPr>
          <w:rFonts w:ascii="Calibri" w:hAnsi="Calibri" w:cs="Calibri"/>
        </w:rPr>
        <w:t>while</w:t>
      </w:r>
      <w:r w:rsidR="0088079A" w:rsidRPr="0088079A">
        <w:rPr>
          <w:rFonts w:ascii="Calibri" w:hAnsi="Calibri" w:cs="Calibri"/>
        </w:rPr>
        <w:t xml:space="preserve"> measurements over a few days will show whether the doses active before that meal require adjustment.</w:t>
      </w:r>
      <w:r w:rsidR="0088079A">
        <w:rPr>
          <w:rFonts w:ascii="Calibri" w:hAnsi="Calibri" w:cs="Calibri"/>
        </w:rPr>
        <w:t xml:space="preserve"> </w:t>
      </w:r>
      <w:r w:rsidR="00951800" w:rsidRPr="0035461C">
        <w:rPr>
          <w:rFonts w:ascii="Calibri" w:hAnsi="Calibri" w:cs="Calibri"/>
        </w:rPr>
        <w:t xml:space="preserve">Additionally, </w:t>
      </w:r>
      <w:r w:rsidRPr="0035461C">
        <w:rPr>
          <w:rFonts w:ascii="Calibri" w:hAnsi="Calibri" w:cs="Calibri"/>
        </w:rPr>
        <w:t>BGM</w:t>
      </w:r>
      <w:r w:rsidR="00951800" w:rsidRPr="0035461C">
        <w:rPr>
          <w:rFonts w:ascii="Calibri" w:hAnsi="Calibri" w:cs="Calibri"/>
        </w:rPr>
        <w:t xml:space="preserve"> is needed to prevent and detect hypoglyc</w:t>
      </w:r>
      <w:r w:rsidR="009D2D8D" w:rsidRPr="0035461C">
        <w:rPr>
          <w:rFonts w:ascii="Calibri" w:hAnsi="Calibri" w:cs="Calibri"/>
        </w:rPr>
        <w:t>a</w:t>
      </w:r>
      <w:r w:rsidR="00951800" w:rsidRPr="0035461C">
        <w:rPr>
          <w:rFonts w:ascii="Calibri" w:hAnsi="Calibri" w:cs="Calibri"/>
        </w:rPr>
        <w:t>emia in several situations</w:t>
      </w:r>
      <w:r w:rsidR="00952C3A">
        <w:rPr>
          <w:rFonts w:ascii="Calibri" w:hAnsi="Calibri" w:cs="Calibri"/>
        </w:rPr>
        <w:t>,</w:t>
      </w:r>
      <w:r w:rsidR="00951800" w:rsidRPr="0035461C">
        <w:rPr>
          <w:rFonts w:ascii="Calibri" w:hAnsi="Calibri" w:cs="Calibri"/>
        </w:rPr>
        <w:t xml:space="preserve"> </w:t>
      </w:r>
      <w:r w:rsidR="009C6060" w:rsidRPr="0035461C">
        <w:rPr>
          <w:rFonts w:ascii="Calibri" w:hAnsi="Calibri" w:cs="Calibri"/>
        </w:rPr>
        <w:t xml:space="preserve">such </w:t>
      </w:r>
      <w:r w:rsidR="00951800" w:rsidRPr="0035461C">
        <w:rPr>
          <w:rFonts w:ascii="Calibri" w:hAnsi="Calibri" w:cs="Calibri"/>
        </w:rPr>
        <w:t>as before bedtime</w:t>
      </w:r>
      <w:r w:rsidR="00F81DD8" w:rsidRPr="0035461C">
        <w:rPr>
          <w:rFonts w:ascii="Calibri" w:hAnsi="Calibri" w:cs="Calibri"/>
        </w:rPr>
        <w:t>;</w:t>
      </w:r>
      <w:r w:rsidR="00951800" w:rsidRPr="0035461C">
        <w:rPr>
          <w:rFonts w:ascii="Calibri" w:hAnsi="Calibri" w:cs="Calibri"/>
        </w:rPr>
        <w:t xml:space="preserve"> before driving</w:t>
      </w:r>
      <w:r w:rsidR="00F81DD8" w:rsidRPr="0035461C">
        <w:rPr>
          <w:rFonts w:ascii="Calibri" w:hAnsi="Calibri" w:cs="Calibri"/>
        </w:rPr>
        <w:t>;</w:t>
      </w:r>
      <w:r w:rsidR="00951800" w:rsidRPr="0035461C">
        <w:rPr>
          <w:rFonts w:ascii="Calibri" w:hAnsi="Calibri" w:cs="Calibri"/>
        </w:rPr>
        <w:t xml:space="preserve"> before, during</w:t>
      </w:r>
      <w:r w:rsidR="00F81DD8" w:rsidRPr="0035461C">
        <w:rPr>
          <w:rFonts w:ascii="Calibri" w:hAnsi="Calibri" w:cs="Calibri"/>
        </w:rPr>
        <w:t>,</w:t>
      </w:r>
      <w:r w:rsidR="00951800" w:rsidRPr="0035461C">
        <w:rPr>
          <w:rFonts w:ascii="Calibri" w:hAnsi="Calibri" w:cs="Calibri"/>
        </w:rPr>
        <w:t xml:space="preserve"> and after exercise</w:t>
      </w:r>
      <w:r w:rsidR="00AF2745" w:rsidRPr="0035461C">
        <w:rPr>
          <w:rFonts w:ascii="Calibri" w:hAnsi="Calibri" w:cs="Calibri"/>
        </w:rPr>
        <w:t>;</w:t>
      </w:r>
      <w:r w:rsidR="00951800" w:rsidRPr="0035461C">
        <w:rPr>
          <w:rFonts w:ascii="Calibri" w:hAnsi="Calibri" w:cs="Calibri"/>
        </w:rPr>
        <w:t xml:space="preserve"> and when hypoglyc</w:t>
      </w:r>
      <w:r w:rsidR="009D2D8D" w:rsidRPr="0035461C">
        <w:rPr>
          <w:rFonts w:ascii="Calibri" w:hAnsi="Calibri" w:cs="Calibri"/>
        </w:rPr>
        <w:t>a</w:t>
      </w:r>
      <w:r w:rsidR="00951800" w:rsidRPr="0035461C">
        <w:rPr>
          <w:rFonts w:ascii="Calibri" w:hAnsi="Calibri" w:cs="Calibri"/>
        </w:rPr>
        <w:t>emi</w:t>
      </w:r>
      <w:r w:rsidR="00D735E8" w:rsidRPr="0035461C">
        <w:rPr>
          <w:rFonts w:ascii="Calibri" w:hAnsi="Calibri" w:cs="Calibri"/>
        </w:rPr>
        <w:t>c</w:t>
      </w:r>
      <w:r w:rsidR="00951800" w:rsidRPr="0035461C">
        <w:rPr>
          <w:rFonts w:ascii="Calibri" w:hAnsi="Calibri" w:cs="Calibri"/>
        </w:rPr>
        <w:t xml:space="preserve"> </w:t>
      </w:r>
      <w:r w:rsidR="00D735E8" w:rsidRPr="0035461C">
        <w:rPr>
          <w:rFonts w:ascii="Calibri" w:hAnsi="Calibri" w:cs="Calibri"/>
        </w:rPr>
        <w:t xml:space="preserve">symptoms </w:t>
      </w:r>
      <w:r w:rsidR="00951800" w:rsidRPr="0035461C">
        <w:rPr>
          <w:rFonts w:ascii="Calibri" w:hAnsi="Calibri" w:cs="Calibri"/>
        </w:rPr>
        <w:t xml:space="preserve">occur. The evidence for the optimal number of </w:t>
      </w:r>
      <w:r w:rsidR="009D2D8D" w:rsidRPr="0035461C">
        <w:rPr>
          <w:rFonts w:ascii="Calibri" w:hAnsi="Calibri" w:cs="Calibri"/>
        </w:rPr>
        <w:t xml:space="preserve">daily </w:t>
      </w:r>
      <w:r w:rsidRPr="0035461C">
        <w:rPr>
          <w:rFonts w:ascii="Calibri" w:hAnsi="Calibri" w:cs="Calibri"/>
        </w:rPr>
        <w:t xml:space="preserve">BGM </w:t>
      </w:r>
      <w:r w:rsidR="00951800" w:rsidRPr="0035461C">
        <w:rPr>
          <w:rFonts w:ascii="Calibri" w:hAnsi="Calibri" w:cs="Calibri"/>
        </w:rPr>
        <w:t xml:space="preserve">is lacking and may depend on variation in the person’s lifestyle. </w:t>
      </w:r>
      <w:r w:rsidR="009C6060" w:rsidRPr="0035461C">
        <w:rPr>
          <w:rFonts w:ascii="Calibri" w:hAnsi="Calibri" w:cs="Calibri"/>
        </w:rPr>
        <w:t>In registry studies</w:t>
      </w:r>
      <w:r w:rsidR="00951800" w:rsidRPr="0035461C">
        <w:rPr>
          <w:rFonts w:ascii="Calibri" w:hAnsi="Calibri" w:cs="Calibri"/>
        </w:rPr>
        <w:t>, increased testing frequency is associated with lower HbA</w:t>
      </w:r>
      <w:r w:rsidR="00951800" w:rsidRPr="0035461C">
        <w:rPr>
          <w:rFonts w:ascii="Calibri" w:hAnsi="Calibri" w:cs="Calibri"/>
          <w:vertAlign w:val="subscript"/>
        </w:rPr>
        <w:t>1c</w:t>
      </w:r>
      <w:r w:rsidR="00396156" w:rsidRPr="0035461C">
        <w:rPr>
          <w:rFonts w:ascii="Calibri" w:hAnsi="Calibri" w:cs="Calibri"/>
          <w:vertAlign w:val="subscript"/>
        </w:rPr>
        <w:t xml:space="preserve"> </w:t>
      </w:r>
      <w:r w:rsidR="006771D3" w:rsidRPr="0035461C">
        <w:rPr>
          <w:rFonts w:ascii="Calibri" w:hAnsi="Calibri" w:cs="Calibri"/>
        </w:rPr>
        <w:fldChar w:fldCharType="begin"/>
      </w:r>
      <w:r w:rsidR="00076F77">
        <w:rPr>
          <w:rFonts w:ascii="Calibri" w:hAnsi="Calibri" w:cs="Calibri"/>
        </w:rPr>
        <w:instrText xml:space="preserve"> ADDIN ZOTERO_ITEM CSL_CITATION {"citationID":"mZlWZOLZ","properties":{"formattedCitation":"(71)","plainCitation":"(71)","noteIndex":0},"citationItems":[{"id":1305,"uris":["http://zotero.org/groups/369679/items/BZ8WAGZE"],"uri":["http://zotero.org/groups/369679/items/BZ8WAGZE"],"itemData":{"id":1305,"type":"article-journal","abstract":"OBJECTIVE: Despite substantial evidence of the benefit of frequent self-monitoring of blood glucose (SMBG) in type 1 diabetes, certain insurers limit the number of test strips that they will provide. The large database of the T1D Exchange clinic registry provided an opportunity to evaluate the relationship between the number of SMBG measurements per day and HbA1c levels across a wide age range of children and adults.\nRESEARCH DESIGN AND METHODS: The analysis included 20,555 participants in the T1D Exchange clinic registry with type 1 diabetes ≥1 year and not using a continuous glucose monitor (11,641 younger than age 18 years and 8,914 18 years old or older). General linear models were used to assess the association between the number of SMBG measurements and HbA1c levels after adjusting for potential confounding variables.\nRESULTS: A higher number of SMBG measurements per day were associated with non-Hispanic white race, insurance coverage, higher household income, and use of an insulin pump for insulin delivery (P &lt; 0.001 for each factor). After adjusting for these factors, a higher number of SMBG measurements per day was strongly associated with a lower HbA1c level (adjusted P &lt; 0.001), with the association being present in all age-groups and in both insulin pump and injection users.\nCONCLUSIONS: There is a strong association between higher SMBG frequency and lower HbA1c levels. It is important for insurers to consider that reducing restrictions on the number of test strips provided per month may lead to improved glycemic control for some patients with type 1 diabetes.","container-title":"Diabetes care","DOI":"10.2337/dc12-1770","ISSN":"1935-5548","issue":"7","journalAbbreviation":"Diabetes Care","language":"eng","note":"PMID: 23378621 \nPMCID: PMC3687326","page":"2009-2014","source":"NCBI PubMed","title":"Evidence of a strong association between frequency of self-monitoring of blood glucose and hemoglobin A1c levels in T1D exchange clinic registry participants","volume":"36","author":[{"family":"Miller","given":"Kellee M"},{"family":"Beck","given":"Roy W"},{"family":"Bergenstal","given":"Richard M"},{"family":"Goland","given":"Robin S"},{"family":"Haller","given":"Michael J"},{"family":"McGill","given":"Janet B"},{"family":"Rodriguez","given":"Henry"},{"family":"Simmons","given":"Jill H"},{"family":"Hirsch","given":"Irl B"},{"literal":"T1D Exchange Clinic Network"}],"issued":{"date-parts":[["2013",7]]}}}],"schema":"https://github.com/citation-style-language/schema/raw/master/csl-citation.json"} </w:instrText>
      </w:r>
      <w:r w:rsidR="006771D3" w:rsidRPr="0035461C">
        <w:rPr>
          <w:rFonts w:ascii="Calibri" w:hAnsi="Calibri" w:cs="Calibri"/>
        </w:rPr>
        <w:fldChar w:fldCharType="separate"/>
      </w:r>
      <w:r w:rsidR="00076F77" w:rsidRPr="00076F77">
        <w:rPr>
          <w:rFonts w:ascii="Calibri" w:hAnsi="Calibri" w:cs="Calibri"/>
        </w:rPr>
        <w:t>(71)</w:t>
      </w:r>
      <w:r w:rsidR="006771D3" w:rsidRPr="0035461C">
        <w:rPr>
          <w:rFonts w:ascii="Calibri" w:hAnsi="Calibri" w:cs="Calibri"/>
        </w:rPr>
        <w:fldChar w:fldCharType="end"/>
      </w:r>
      <w:r w:rsidR="00396156" w:rsidRPr="0035461C">
        <w:rPr>
          <w:rFonts w:ascii="Calibri" w:hAnsi="Calibri" w:cs="Calibri"/>
        </w:rPr>
        <w:t>.</w:t>
      </w:r>
      <w:r w:rsidR="00951800" w:rsidRPr="0035461C">
        <w:rPr>
          <w:rFonts w:ascii="Calibri" w:hAnsi="Calibri" w:cs="Calibri"/>
        </w:rPr>
        <w:t xml:space="preserve"> However, even with frequent </w:t>
      </w:r>
      <w:r w:rsidRPr="0035461C">
        <w:rPr>
          <w:rFonts w:ascii="Calibri" w:hAnsi="Calibri" w:cs="Calibri"/>
        </w:rPr>
        <w:t>BGM</w:t>
      </w:r>
      <w:r w:rsidR="00B4402C" w:rsidRPr="0035461C">
        <w:rPr>
          <w:rFonts w:ascii="Calibri" w:hAnsi="Calibri" w:cs="Calibri"/>
        </w:rPr>
        <w:t>,</w:t>
      </w:r>
      <w:r w:rsidR="00951800" w:rsidRPr="0035461C">
        <w:rPr>
          <w:rFonts w:ascii="Calibri" w:hAnsi="Calibri" w:cs="Calibri"/>
        </w:rPr>
        <w:t xml:space="preserve"> most people with type 1 diabetes will have undetected and an unacceptable high frequency of hyper- and hypoglyc</w:t>
      </w:r>
      <w:r w:rsidR="00B4402C" w:rsidRPr="0035461C">
        <w:rPr>
          <w:rFonts w:ascii="Calibri" w:hAnsi="Calibri" w:cs="Calibri"/>
        </w:rPr>
        <w:t>a</w:t>
      </w:r>
      <w:r w:rsidR="00951800" w:rsidRPr="0035461C">
        <w:rPr>
          <w:rFonts w:ascii="Calibri" w:hAnsi="Calibri" w:cs="Calibri"/>
        </w:rPr>
        <w:t>emia</w:t>
      </w:r>
      <w:r w:rsidR="00396156" w:rsidRPr="0035461C">
        <w:rPr>
          <w:rFonts w:ascii="Calibri" w:hAnsi="Calibri" w:cs="Calibri"/>
        </w:rPr>
        <w:t xml:space="preserve"> </w:t>
      </w:r>
      <w:r w:rsidR="00EB3DFF" w:rsidRPr="0035461C">
        <w:rPr>
          <w:rFonts w:ascii="Calibri" w:hAnsi="Calibri" w:cs="Calibri"/>
        </w:rPr>
        <w:fldChar w:fldCharType="begin"/>
      </w:r>
      <w:r w:rsidR="00076F77">
        <w:rPr>
          <w:rFonts w:ascii="Calibri" w:hAnsi="Calibri" w:cs="Calibri"/>
        </w:rPr>
        <w:instrText xml:space="preserve"> ADDIN ZOTERO_ITEM CSL_CITATION {"citationID":"JE076qg7","properties":{"formattedCitation":"(72)","plainCitation":"(72)","noteIndex":0},"citationItems":[{"id":11046,"uris":["http://zotero.org/groups/369679/items/HET62BQ4"],"uri":["http://zotero.org/groups/369679/items/HET62BQ4"],"itemData":{"id":11046,"type":"article-journal","abstract":"OBJECTIVE: The purpose of this study was to generate normative values for periods of euglycemia as well as for daily patterns of glycemic excursions in patients with type 1 and type 2 diabetes monitored continuously for a maximum period of 21 days and blinded to glucose levels.\nRESEARCH DESIGN AND METHODS: This was a multicenter, prospective observational study in which 101 consecutive patients with type 1 (n = 60) or type 2 (n = 41) diabetes underwent blinded continuous glucose monitoring. Serial glucose measurements were divided into periods of euglycemia (70-180 mg/dl), hyperglycemia (&gt;180 mg/dl), and hypoglycemia (&lt;70 mg/dl). The proportions of time patients were hypoglycemic, euglycemic, and hyperglycemic and the total areas under the curves (AUCs) were determined.\nRESULTS: During the observation period the 101 subjects contributed an average 287 +/- 132 h of continuous glucose values. Subjects remained in the euglycemic range for approximately 63% of the total day, were hypoglycemic 8%, and were hyperglycemic 29%. Hypoglycemia was more prevalent nocturnally (11 vs. 7%) and hyperglycemia diurnally (31 vs. 25%). Compared with subjects with type 2 diabetes, type 1 diabetic subjects had more frequent hypoglycemic episodes per day (2.1 vs. 1.0; P &lt; 0.001) that were of longer duration (1.1 vs. 0.7 h; P &lt; 0.0001), reflecting a greater number of hours per day in the hypoglycemic range (2.3 vs. 1.0 h; P &lt; 0.0001). The mean hypoglycemic AUC values were &gt;150% higher for type 1 compared with type 2 diabetic subjects (41 vs. 16, respectively; P &lt; 0.0001).\nCONCLUSIONS: These normative data will assist in study and sample size planning for future investigations of continuous glucose monitoring and allow for qualitative comparisons with trials of therapeutic interventions aimed at reducing the occurrence of glycemic excursions.","container-title":"Diabetes Care","DOI":"10.2337/diacare.28.10.2361","ISSN":"0149-5992","issue":"10","journalAbbreviation":"Diabetes Care","language":"eng","note":"PMID: 16186263","page":"2361-2366","source":"PubMed","title":"Glycemic characteristics in continuously monitored patients with type 1 and type 2 diabetes: normative values","title-short":"Glycemic characteristics in continuously monitored patients with type 1 and type 2 diabetes","volume":"28","author":[{"family":"Bode","given":"Bruce W."},{"family":"Schwartz","given":"Sherwyn"},{"family":"Stubbs","given":"Harrison A."},{"family":"Block","given":"Jon E."}],"issued":{"date-parts":[["2005",10]]}}}],"schema":"https://github.com/citation-style-language/schema/raw/master/csl-citation.json"} </w:instrText>
      </w:r>
      <w:r w:rsidR="00EB3DFF" w:rsidRPr="0035461C">
        <w:rPr>
          <w:rFonts w:ascii="Calibri" w:hAnsi="Calibri" w:cs="Calibri"/>
        </w:rPr>
        <w:fldChar w:fldCharType="separate"/>
      </w:r>
      <w:r w:rsidR="00076F77" w:rsidRPr="00076F77">
        <w:rPr>
          <w:rFonts w:ascii="Calibri" w:hAnsi="Calibri" w:cs="Calibri"/>
        </w:rPr>
        <w:t>(72)</w:t>
      </w:r>
      <w:r w:rsidR="00EB3DFF" w:rsidRPr="0035461C">
        <w:rPr>
          <w:rFonts w:ascii="Calibri" w:hAnsi="Calibri" w:cs="Calibri"/>
        </w:rPr>
        <w:fldChar w:fldCharType="end"/>
      </w:r>
      <w:r w:rsidR="00396156" w:rsidRPr="0035461C">
        <w:rPr>
          <w:rFonts w:ascii="Calibri" w:hAnsi="Calibri" w:cs="Calibri"/>
        </w:rPr>
        <w:t>.</w:t>
      </w:r>
      <w:r w:rsidR="00951800" w:rsidRPr="0035461C">
        <w:rPr>
          <w:rFonts w:ascii="Calibri" w:hAnsi="Calibri" w:cs="Calibri"/>
        </w:rPr>
        <w:t xml:space="preserve"> </w:t>
      </w:r>
      <w:r w:rsidRPr="0035461C">
        <w:rPr>
          <w:rFonts w:ascii="Calibri" w:hAnsi="Calibri" w:cs="Calibri"/>
        </w:rPr>
        <w:t>F</w:t>
      </w:r>
      <w:r w:rsidR="00B32D72" w:rsidRPr="0035461C">
        <w:rPr>
          <w:rFonts w:ascii="Calibri" w:hAnsi="Calibri" w:cs="Calibri"/>
        </w:rPr>
        <w:t>requent</w:t>
      </w:r>
      <w:r w:rsidR="00951800" w:rsidRPr="0035461C">
        <w:rPr>
          <w:rFonts w:ascii="Calibri" w:hAnsi="Calibri" w:cs="Calibri"/>
        </w:rPr>
        <w:t xml:space="preserve"> measurements are </w:t>
      </w:r>
      <w:r w:rsidR="00600D65" w:rsidRPr="0035461C">
        <w:rPr>
          <w:rFonts w:ascii="Calibri" w:hAnsi="Calibri" w:cs="Calibri"/>
        </w:rPr>
        <w:t xml:space="preserve">often </w:t>
      </w:r>
      <w:r w:rsidR="00951800" w:rsidRPr="0035461C">
        <w:rPr>
          <w:rFonts w:ascii="Calibri" w:hAnsi="Calibri" w:cs="Calibri"/>
        </w:rPr>
        <w:t>not</w:t>
      </w:r>
      <w:r w:rsidRPr="0035461C">
        <w:rPr>
          <w:rFonts w:ascii="Calibri" w:hAnsi="Calibri" w:cs="Calibri"/>
        </w:rPr>
        <w:t xml:space="preserve"> </w:t>
      </w:r>
      <w:r w:rsidR="00951800" w:rsidRPr="0035461C">
        <w:rPr>
          <w:rFonts w:ascii="Calibri" w:hAnsi="Calibri" w:cs="Calibri"/>
        </w:rPr>
        <w:t>feasible</w:t>
      </w:r>
      <w:r w:rsidR="00600D65" w:rsidRPr="0035461C">
        <w:rPr>
          <w:rFonts w:ascii="Calibri" w:hAnsi="Calibri" w:cs="Calibri"/>
        </w:rPr>
        <w:t xml:space="preserve"> </w:t>
      </w:r>
      <w:r w:rsidR="00147D51" w:rsidRPr="0035461C">
        <w:rPr>
          <w:rFonts w:ascii="Calibri" w:hAnsi="Calibri" w:cs="Calibri"/>
        </w:rPr>
        <w:t>and can be distressing. Seeing high or low glucose values can evoke feelings of frustration, anxiety and guilt</w:t>
      </w:r>
      <w:r w:rsidR="00600D65" w:rsidRPr="0035461C">
        <w:rPr>
          <w:rFonts w:ascii="Calibri" w:hAnsi="Calibri" w:cs="Calibri"/>
        </w:rPr>
        <w:t>,</w:t>
      </w:r>
      <w:r w:rsidRPr="0035461C">
        <w:rPr>
          <w:rFonts w:ascii="Calibri" w:hAnsi="Calibri" w:cs="Calibri"/>
        </w:rPr>
        <w:t xml:space="preserve"> </w:t>
      </w:r>
      <w:r w:rsidR="00B32D72" w:rsidRPr="0035461C">
        <w:rPr>
          <w:rFonts w:ascii="Calibri" w:hAnsi="Calibri" w:cs="Calibri"/>
        </w:rPr>
        <w:t>leading many peo</w:t>
      </w:r>
      <w:r w:rsidR="00B32D72" w:rsidRPr="000F418E">
        <w:rPr>
          <w:rFonts w:ascii="Calibri" w:hAnsi="Calibri" w:cs="Calibri"/>
        </w:rPr>
        <w:t xml:space="preserve">ple with type 1 diabetes to </w:t>
      </w:r>
      <w:r w:rsidR="00951800" w:rsidRPr="000F418E">
        <w:rPr>
          <w:rFonts w:ascii="Calibri" w:hAnsi="Calibri" w:cs="Calibri"/>
        </w:rPr>
        <w:t xml:space="preserve">measure less </w:t>
      </w:r>
      <w:r w:rsidR="00396156" w:rsidRPr="000F418E">
        <w:rPr>
          <w:rFonts w:ascii="Calibri" w:hAnsi="Calibri" w:cs="Calibri"/>
        </w:rPr>
        <w:t xml:space="preserve">often </w:t>
      </w:r>
      <w:r w:rsidR="00951800" w:rsidRPr="000F418E">
        <w:rPr>
          <w:rFonts w:ascii="Calibri" w:hAnsi="Calibri" w:cs="Calibri"/>
        </w:rPr>
        <w:t>than needed</w:t>
      </w:r>
      <w:r w:rsidR="00E51762" w:rsidRPr="000F418E">
        <w:rPr>
          <w:rFonts w:ascii="Calibri" w:hAnsi="Calibri" w:cs="Calibri"/>
        </w:rPr>
        <w:t xml:space="preserve"> </w:t>
      </w:r>
      <w:r w:rsidR="00E51762" w:rsidRPr="000F418E">
        <w:rPr>
          <w:rFonts w:ascii="Calibri" w:hAnsi="Calibri" w:cs="Calibri"/>
        </w:rPr>
        <w:fldChar w:fldCharType="begin"/>
      </w:r>
      <w:r w:rsidR="00076F77">
        <w:rPr>
          <w:rFonts w:ascii="Calibri" w:hAnsi="Calibri" w:cs="Calibri"/>
        </w:rPr>
        <w:instrText xml:space="preserve"> ADDIN ZOTERO_ITEM CSL_CITATION {"citationID":"2KUS5F6m","properties":{"formattedCitation":"(73)","plainCitation":"(73)","noteIndex":0},"citationItems":[{"id":11483,"uris":["http://zotero.org/groups/369679/items/RNRFMEET"],"uri":["http://zotero.org/groups/369679/items/RNRFMEET"],"itemData":{"id":11483,"type":"article-journal","abstract":"BACKGROUND: Frequent blood glucose (BG) monitoring is a critical component of diabetes management, yet many barriers exist to consistent monitoring.\nMETHODS: In this randomized controlled trial, we sought to determine if an educational manual, the Blood Sugar Monitoring Owner's Manual (BGMOM), could increase adherence to BG monitoring by helping patients form realistic expectations and responses to BG monitoring results. The 199 participants were recruited from a multidisciplinary diabetes clinic and had high-risk diabetes (hemoglobin A(1C) &gt;or=8.0%); 35% had type 1 diabetes mellitus. Participants were randomized to 1 of 3 groups: BGMOM intervention (BGM+), attention control (BG meter only [MT]), or standard care (SC). The BGM+ and MT groups received BG meters and meter education; the BGM+ group also received BGMOM booklets. The SC group received usual care. Data gathered during 6 months of follow-up included BG monitoring frequency and hemoglobin A(1C) measurement.\nRESULTS: Monitoring frequency increased significantly in the BGM+ group (1.9 +/- 1.3 to 2.8 +/- 1.5 times daily, P&lt;.001) but only slightly in the MT group (1.7 +/- 1.3 to 2.0 +/- 1.3 times daily). The BGM+ group experienced the greatest improvement in hemoglobin A(1C) level (BGM+: -0.13 +/- 1.28; MT: -0.04 +/- 1.31; SC: 0.04 +/- 1.10). Further, a higher percentage of those in the BGM+ group (61%) improved their glycemic control compared with the other groups (44%; P = .05). Finally, the BGM+ group displayed the most knowledge about the definition of hemoglobin A(1C) (P = .04) and reported the least amount of negative affect about out-of-range BG monitoring results (P = .03).\nCONCLUSION: As an adjunct to standard diabetes education and support, a manual such as the BGMOM can help optimize BG monitoring and glycemic control.","container-title":"Archives of Internal Medicine","DOI":"10.1001/archinte.166.6.689","ISSN":"0003-9926","issue":"6","journalAbbreviation":"Arch Intern Med","language":"eng","note":"PMID: 16567610","page":"689-695","source":"PubMed","title":"Use of a blood glucose monitoring manual to enhance monitoring adherence in adults with diabetes: a randomized controlled trial","title-short":"Use of a blood glucose monitoring manual to enhance monitoring adherence in adults with diabetes","volume":"166","author":[{"family":"Moreland","given":"Elaine C."},{"family":"Volkening","given":"Lisa K."},{"family":"Lawlor","given":"Margaret T."},{"family":"Chalmers","given":"Karen A."},{"family":"Anderson","given":"Barbara J."},{"family":"Laffel","given":"Lori M. B."}],"issued":{"date-parts":[["2006",3,27]]}}}],"schema":"https://github.com/citation-style-language/schema/raw/master/csl-citation.json"} </w:instrText>
      </w:r>
      <w:r w:rsidR="00E51762" w:rsidRPr="000F418E">
        <w:rPr>
          <w:rFonts w:ascii="Calibri" w:hAnsi="Calibri" w:cs="Calibri"/>
        </w:rPr>
        <w:fldChar w:fldCharType="separate"/>
      </w:r>
      <w:r w:rsidR="00076F77" w:rsidRPr="00076F77">
        <w:rPr>
          <w:rFonts w:ascii="Calibri" w:hAnsi="Calibri" w:cs="Calibri"/>
        </w:rPr>
        <w:t>(73)</w:t>
      </w:r>
      <w:r w:rsidR="00E51762" w:rsidRPr="000F418E">
        <w:rPr>
          <w:rFonts w:ascii="Calibri" w:hAnsi="Calibri" w:cs="Calibri"/>
        </w:rPr>
        <w:fldChar w:fldCharType="end"/>
      </w:r>
      <w:r w:rsidR="00951800" w:rsidRPr="000F418E">
        <w:rPr>
          <w:rFonts w:ascii="Calibri" w:hAnsi="Calibri" w:cs="Calibri"/>
        </w:rPr>
        <w:t>. Downloading memory</w:t>
      </w:r>
      <w:r w:rsidR="00632367" w:rsidRPr="000F418E">
        <w:rPr>
          <w:rFonts w:ascii="Calibri" w:hAnsi="Calibri" w:cs="Calibri"/>
        </w:rPr>
        <w:t>-</w:t>
      </w:r>
      <w:r w:rsidR="00395E55" w:rsidRPr="000F418E">
        <w:rPr>
          <w:rFonts w:ascii="Calibri" w:hAnsi="Calibri" w:cs="Calibri"/>
        </w:rPr>
        <w:t>capable</w:t>
      </w:r>
      <w:r w:rsidR="00951800" w:rsidRPr="000F418E">
        <w:rPr>
          <w:rFonts w:ascii="Calibri" w:hAnsi="Calibri" w:cs="Calibri"/>
        </w:rPr>
        <w:t xml:space="preserve"> glucose meters can be helpful in observing patterns of hyper</w:t>
      </w:r>
      <w:r w:rsidR="00B32D72" w:rsidRPr="000F418E">
        <w:rPr>
          <w:rFonts w:ascii="Calibri" w:hAnsi="Calibri" w:cs="Calibri"/>
        </w:rPr>
        <w:t>-</w:t>
      </w:r>
      <w:r w:rsidR="00951800" w:rsidRPr="000F418E">
        <w:rPr>
          <w:rFonts w:ascii="Calibri" w:hAnsi="Calibri" w:cs="Calibri"/>
        </w:rPr>
        <w:t xml:space="preserve"> or hypoglyc</w:t>
      </w:r>
      <w:r w:rsidR="00B32D72" w:rsidRPr="000F418E">
        <w:rPr>
          <w:rFonts w:ascii="Calibri" w:hAnsi="Calibri" w:cs="Calibri"/>
        </w:rPr>
        <w:t>a</w:t>
      </w:r>
      <w:r w:rsidR="00951800" w:rsidRPr="000F418E">
        <w:rPr>
          <w:rFonts w:ascii="Calibri" w:hAnsi="Calibri" w:cs="Calibri"/>
        </w:rPr>
        <w:t>emia</w:t>
      </w:r>
      <w:r w:rsidR="00E5118D" w:rsidRPr="000F418E">
        <w:rPr>
          <w:rFonts w:ascii="Calibri" w:hAnsi="Calibri" w:cs="Calibri"/>
        </w:rPr>
        <w:t xml:space="preserve"> and allowing the person with diabetes to reflect on insulin dose adjustment</w:t>
      </w:r>
      <w:r w:rsidR="00396156" w:rsidRPr="000F418E">
        <w:rPr>
          <w:rFonts w:ascii="Calibri" w:hAnsi="Calibri" w:cs="Calibri"/>
        </w:rPr>
        <w:t xml:space="preserve"> </w:t>
      </w:r>
      <w:r w:rsidR="00A56154" w:rsidRPr="000F418E">
        <w:rPr>
          <w:rFonts w:ascii="Calibri" w:hAnsi="Calibri" w:cs="Calibri"/>
        </w:rPr>
        <w:fldChar w:fldCharType="begin"/>
      </w:r>
      <w:r w:rsidR="00076F77">
        <w:rPr>
          <w:rFonts w:ascii="Calibri" w:hAnsi="Calibri" w:cs="Calibri"/>
        </w:rPr>
        <w:instrText xml:space="preserve"> ADDIN ZOTERO_ITEM CSL_CITATION {"citationID":"FXfK8RT9","properties":{"formattedCitation":"(74)","plainCitation":"(74)","noteIndex":0},"citationItems":[{"id":11049,"uris":["http://zotero.org/groups/369679/items/REPCX6UY"],"uri":["http://zotero.org/groups/369679/items/REPCX6UY"],"itemData":{"id":11049,"type":"webpage","abstract":"The purchase of this book directly from the ADA entitles you the opportunity to receive 6 CME credits! Diabetes-related technology is progressing. Diabetes Technology addresses the clinical science of new and advancing technologies.","container-title":"ShopDiabetes.org | Store from the American Diabetes Association®","language":"en","title":"Diabetes Technology: Science and Practice","title-short":"Diabetes Technology","URL":"https://shopdiabetes.org/products/diabetes-technology-science-and-practice","accessed":{"date-parts":[["2021",2,9]]}}}],"schema":"https://github.com/citation-style-language/schema/raw/master/csl-citation.json"} </w:instrText>
      </w:r>
      <w:r w:rsidR="00A56154" w:rsidRPr="000F418E">
        <w:rPr>
          <w:rFonts w:ascii="Calibri" w:hAnsi="Calibri" w:cs="Calibri"/>
        </w:rPr>
        <w:fldChar w:fldCharType="separate"/>
      </w:r>
      <w:r w:rsidR="00076F77" w:rsidRPr="00076F77">
        <w:rPr>
          <w:rFonts w:ascii="Calibri" w:hAnsi="Calibri" w:cs="Calibri"/>
        </w:rPr>
        <w:t>(74)</w:t>
      </w:r>
      <w:r w:rsidR="00A56154" w:rsidRPr="000F418E">
        <w:rPr>
          <w:rFonts w:ascii="Calibri" w:hAnsi="Calibri" w:cs="Calibri"/>
        </w:rPr>
        <w:fldChar w:fldCharType="end"/>
      </w:r>
      <w:r w:rsidR="00396156" w:rsidRPr="000F418E">
        <w:rPr>
          <w:rFonts w:ascii="Calibri" w:hAnsi="Calibri" w:cs="Calibri"/>
        </w:rPr>
        <w:t>.</w:t>
      </w:r>
      <w:r w:rsidR="00E5118D" w:rsidRPr="000F418E">
        <w:rPr>
          <w:rFonts w:ascii="Calibri" w:hAnsi="Calibri" w:cs="Calibri"/>
        </w:rPr>
        <w:t xml:space="preserve"> </w:t>
      </w:r>
      <w:r w:rsidR="00951800" w:rsidRPr="000F418E">
        <w:rPr>
          <w:rFonts w:ascii="Calibri" w:eastAsia="ScalaLancetPro" w:hAnsi="Calibri" w:cs="Calibri"/>
        </w:rPr>
        <w:t xml:space="preserve">Most meters meet the accuracy standards established by the International Organization for Standardization </w:t>
      </w:r>
      <w:r w:rsidR="00146490" w:rsidRPr="000F418E">
        <w:rPr>
          <w:rFonts w:ascii="Calibri" w:eastAsia="ScalaLancetPro" w:hAnsi="Calibri" w:cs="Calibri"/>
        </w:rPr>
        <w:t>and manufacture</w:t>
      </w:r>
      <w:r w:rsidR="00952C3A">
        <w:rPr>
          <w:rFonts w:ascii="Calibri" w:eastAsia="ScalaLancetPro" w:hAnsi="Calibri" w:cs="Calibri"/>
        </w:rPr>
        <w:t>r</w:t>
      </w:r>
      <w:r w:rsidR="00146490" w:rsidRPr="000F418E">
        <w:rPr>
          <w:rFonts w:ascii="Calibri" w:eastAsia="ScalaLancetPro" w:hAnsi="Calibri" w:cs="Calibri"/>
        </w:rPr>
        <w:t xml:space="preserve">s need to evaluate each product’s clinical performance in a broad population of users </w:t>
      </w:r>
      <w:r w:rsidR="00146490" w:rsidRPr="000F418E">
        <w:rPr>
          <w:rFonts w:ascii="Calibri" w:hAnsi="Calibri" w:cs="Calibri"/>
          <w:color w:val="000000"/>
          <w:lang w:val="en-GB"/>
        </w:rPr>
        <w:t>over time to ensure that their products continue to meet standards of clinical accuracy</w:t>
      </w:r>
      <w:r w:rsidR="00396156" w:rsidRPr="000F418E">
        <w:rPr>
          <w:rFonts w:ascii="Calibri" w:eastAsia="ScalaLancetPro" w:hAnsi="Calibri" w:cs="Calibri"/>
        </w:rPr>
        <w:t xml:space="preserve"> </w:t>
      </w:r>
      <w:r w:rsidR="00736086" w:rsidRPr="000F418E">
        <w:rPr>
          <w:rFonts w:ascii="Calibri" w:eastAsia="ScalaLancetPro" w:hAnsi="Calibri" w:cs="Calibri"/>
        </w:rPr>
        <w:fldChar w:fldCharType="begin"/>
      </w:r>
      <w:r w:rsidR="00076F77">
        <w:rPr>
          <w:rFonts w:ascii="Calibri" w:eastAsia="ScalaLancetPro" w:hAnsi="Calibri" w:cs="Calibri"/>
        </w:rPr>
        <w:instrText xml:space="preserve"> ADDIN ZOTERO_ITEM CSL_CITATION {"citationID":"eyu6fQzZ","properties":{"formattedCitation":"(75)","plainCitation":"(75)","noteIndex":0},"citationItems":[{"id":3661,"uris":["http://zotero.org/groups/369679/items/FDW84K3Z"],"uri":["http://zotero.org/groups/369679/items/FDW84K3Z"],"itemData":{"id":3661,"type":"article-journal","abstract":"OBJECTIVE Cleared blood glucose monitors (BGMs) for personal use may not always deliver levels of accuracy currently specified by international and U.S. regulatory bodies. This study’s objective was to assess the accuracy of 18 such systems cleared by the U.S. Food and Drug Administration representing approximately 90% of commercially available systems used from 2013 to 2015.\nRESEARCH DESIGN AND METHODS A total of 1,035 subjects were recruited to have a capillary blood glucose (BG) level measured on six different systems and a reference capillary sample prepared for plasma testing at a reference laboratory. Products were obtained from consumer outlets and tested in three triple-blinded studies. Each of the three participating clinical sites tested a different set of six systems for each of the three studies in a round-robin. In each study, on average, a BGM was tested on 115 subjects. A compliant BG result was defined as within 15% of a reference plasma value (for BG ≥100 mg/dL [5.55 mmol/L]) or within 15 mg/dL (0.83 mmol/L) (for BG &lt;100 mg/dL [5.55 mmol/L]). The proportion of compliant readings in each study was compared against a predetermined accuracy standard similar to, but more lenient than, current regulatory standards. Other metrics of accuracy included the overall compliance proportion; the proportion of extreme outlier readings differing from the reference value by &gt;20%; modified Bland-Altman analysis including average bias, coefficient of variation, and 95% limits of agreement; and proportion of readings with no clinical risk as determined by the Surveillance Error Grid.\nRESULTS The different accuracy metrics produced almost identical BGM rankings. Six of the 18 systems met the predetermined accuracy standard in all three studies, 5 systems met it in two studies, and 3 met it in one study. Four BGMs did not meet the accuracy standard in any of the three studies.\nCONCLUSIONS Cleared BGMs do not always meet the level of analytical accuracy currently required for regulatory clearance. This information could assist patients, professionals, and payers in choosing products and regulators in evaluating postclearance performance.","container-title":"Diabetes Care","DOI":"10.2337/dc17-1960","ISSN":"0149-5992, 1935-5548","issue":"8","language":"en","note":"PMID: 29898901","page":"1681-1688","source":"care.diabetesjournals.org","title":"Investigation of the Accuracy of 18 Marketed Blood Glucose Monitors","volume":"41","author":[{"family":"Klonoff","given":"David C."},{"family":"Parkes","given":"Joan Lee"},{"family":"Kovatchev","given":"Boris P."},{"family":"Kerr","given":"David"},{"family":"Bevier","given":"Wendy C."},{"family":"Brazg","given":"Ronald L."},{"family":"Christiansen","given":"Mark"},{"family":"Bailey","given":"Timothy S."},{"family":"Nichols","given":"James H."},{"family":"Kohn","given":"Michael A."}],"issued":{"date-parts":[["2018",8,1]]}}}],"schema":"https://github.com/citation-style-language/schema/raw/master/csl-citation.json"} </w:instrText>
      </w:r>
      <w:r w:rsidR="00736086" w:rsidRPr="000F418E">
        <w:rPr>
          <w:rFonts w:ascii="Calibri" w:eastAsia="ScalaLancetPro" w:hAnsi="Calibri" w:cs="Calibri"/>
        </w:rPr>
        <w:fldChar w:fldCharType="separate"/>
      </w:r>
      <w:r w:rsidR="00076F77" w:rsidRPr="00076F77">
        <w:rPr>
          <w:rFonts w:ascii="Calibri" w:eastAsia="ScalaLancetPro" w:hAnsi="Calibri" w:cs="Calibri"/>
        </w:rPr>
        <w:t>(75)</w:t>
      </w:r>
      <w:r w:rsidR="00736086" w:rsidRPr="000F418E">
        <w:rPr>
          <w:rFonts w:ascii="Calibri" w:eastAsia="ScalaLancetPro" w:hAnsi="Calibri" w:cs="Calibri"/>
        </w:rPr>
        <w:fldChar w:fldCharType="end"/>
      </w:r>
      <w:r w:rsidR="00396156" w:rsidRPr="000F418E">
        <w:rPr>
          <w:rFonts w:ascii="Calibri" w:eastAsia="ScalaLancetPro" w:hAnsi="Calibri" w:cs="Calibri"/>
        </w:rPr>
        <w:t>.</w:t>
      </w:r>
      <w:r w:rsidR="00D54634" w:rsidRPr="000F418E">
        <w:rPr>
          <w:rFonts w:ascii="Calibri" w:hAnsi="Calibri" w:cs="Calibri"/>
        </w:rPr>
        <w:t xml:space="preserve"> </w:t>
      </w:r>
    </w:p>
    <w:p w14:paraId="42ABEAF3" w14:textId="0CBACAC3" w:rsidR="00951800" w:rsidRPr="0035461C" w:rsidRDefault="00951800" w:rsidP="001C5BC0">
      <w:pPr>
        <w:spacing w:before="120"/>
        <w:jc w:val="both"/>
        <w:rPr>
          <w:rFonts w:ascii="Calibri" w:hAnsi="Calibri" w:cs="Calibri"/>
          <w:i/>
          <w:iCs/>
          <w:u w:val="single"/>
        </w:rPr>
      </w:pPr>
      <w:r w:rsidRPr="0035461C">
        <w:rPr>
          <w:rFonts w:ascii="Calibri" w:hAnsi="Calibri" w:cs="Calibri"/>
          <w:i/>
          <w:iCs/>
          <w:u w:val="single"/>
        </w:rPr>
        <w:t>Continuous Glucose Monitoring</w:t>
      </w:r>
    </w:p>
    <w:p w14:paraId="6844ADCA" w14:textId="45FB1D44" w:rsidR="00211B9A" w:rsidRPr="0035461C" w:rsidRDefault="00340343" w:rsidP="001C5BC0">
      <w:pPr>
        <w:spacing w:before="120"/>
        <w:jc w:val="both"/>
        <w:rPr>
          <w:rFonts w:ascii="Calibri" w:hAnsi="Calibri" w:cs="Calibri"/>
        </w:rPr>
      </w:pPr>
      <w:r w:rsidRPr="0035461C">
        <w:rPr>
          <w:rFonts w:ascii="Calibri" w:hAnsi="Calibri" w:cs="Calibri"/>
        </w:rPr>
        <w:t>C</w:t>
      </w:r>
      <w:r w:rsidR="00E67DD0" w:rsidRPr="0035461C">
        <w:rPr>
          <w:rFonts w:ascii="Calibri" w:hAnsi="Calibri" w:cs="Calibri"/>
        </w:rPr>
        <w:t>ontinuous glucose monitor</w:t>
      </w:r>
      <w:r w:rsidR="00395E55" w:rsidRPr="0035461C">
        <w:rPr>
          <w:rFonts w:ascii="Calibri" w:hAnsi="Calibri" w:cs="Calibri"/>
        </w:rPr>
        <w:t xml:space="preserve">ing (CGM) </w:t>
      </w:r>
      <w:r w:rsidR="00211B9A" w:rsidRPr="0035461C">
        <w:rPr>
          <w:rFonts w:ascii="Calibri" w:hAnsi="Calibri" w:cs="Calibri"/>
        </w:rPr>
        <w:t xml:space="preserve">is the standard for glucose monitoring </w:t>
      </w:r>
      <w:r w:rsidR="00211B9A">
        <w:rPr>
          <w:rFonts w:ascii="Calibri" w:hAnsi="Calibri" w:cs="Calibri"/>
        </w:rPr>
        <w:t>for most</w:t>
      </w:r>
      <w:r w:rsidR="00211B9A" w:rsidRPr="0035461C">
        <w:rPr>
          <w:rFonts w:ascii="Calibri" w:hAnsi="Calibri" w:cs="Calibri"/>
        </w:rPr>
        <w:t xml:space="preserve"> adults with type 1 diabetes</w:t>
      </w:r>
      <w:r w:rsidR="00211B9A">
        <w:rPr>
          <w:rFonts w:ascii="Calibri" w:hAnsi="Calibri" w:cs="Calibri"/>
        </w:rPr>
        <w:t>. CGM</w:t>
      </w:r>
      <w:r w:rsidR="00211B9A" w:rsidRPr="0035461C">
        <w:rPr>
          <w:rFonts w:ascii="Calibri" w:hAnsi="Calibri" w:cs="Calibri"/>
        </w:rPr>
        <w:t xml:space="preserve"> </w:t>
      </w:r>
      <w:r w:rsidR="00395E55" w:rsidRPr="0035461C">
        <w:rPr>
          <w:rFonts w:ascii="Calibri" w:hAnsi="Calibri" w:cs="Calibri"/>
        </w:rPr>
        <w:t>devices</w:t>
      </w:r>
      <w:r w:rsidR="00952C3A">
        <w:rPr>
          <w:rFonts w:ascii="Calibri" w:hAnsi="Calibri" w:cs="Calibri"/>
        </w:rPr>
        <w:t xml:space="preserve">, which </w:t>
      </w:r>
      <w:r w:rsidR="00952C3A" w:rsidRPr="0035461C">
        <w:rPr>
          <w:rFonts w:ascii="Calibri" w:hAnsi="Calibri" w:cs="Calibri"/>
        </w:rPr>
        <w:t>have been available commercially since 2006</w:t>
      </w:r>
      <w:r w:rsidR="00952C3A">
        <w:rPr>
          <w:rFonts w:ascii="Calibri" w:hAnsi="Calibri" w:cs="Calibri"/>
        </w:rPr>
        <w:t xml:space="preserve">, </w:t>
      </w:r>
      <w:r w:rsidRPr="0035461C">
        <w:rPr>
          <w:rFonts w:ascii="Calibri" w:hAnsi="Calibri" w:cs="Calibri"/>
        </w:rPr>
        <w:t xml:space="preserve">measure interstitial glucose </w:t>
      </w:r>
      <w:r w:rsidR="00952C3A">
        <w:rPr>
          <w:rFonts w:ascii="Calibri" w:hAnsi="Calibri" w:cs="Calibri"/>
        </w:rPr>
        <w:t>to provide an estimate of plasma glucose</w:t>
      </w:r>
      <w:r w:rsidR="00951800" w:rsidRPr="0035461C">
        <w:rPr>
          <w:rFonts w:ascii="Calibri" w:hAnsi="Calibri" w:cs="Calibri"/>
        </w:rPr>
        <w:t xml:space="preserve">. </w:t>
      </w:r>
      <w:r w:rsidRPr="0035461C">
        <w:rPr>
          <w:rFonts w:ascii="Calibri" w:hAnsi="Calibri" w:cs="Calibri"/>
        </w:rPr>
        <w:t>CGM</w:t>
      </w:r>
      <w:r w:rsidR="00951800" w:rsidRPr="0035461C">
        <w:rPr>
          <w:rFonts w:ascii="Calibri" w:hAnsi="Calibri" w:cs="Calibri"/>
        </w:rPr>
        <w:t xml:space="preserve"> devices have evolved and improved enough in accuracy</w:t>
      </w:r>
      <w:r w:rsidRPr="0035461C">
        <w:rPr>
          <w:rFonts w:ascii="Calibri" w:hAnsi="Calibri" w:cs="Calibri"/>
        </w:rPr>
        <w:t xml:space="preserve"> to the point where </w:t>
      </w:r>
      <w:r w:rsidR="00C06A2C" w:rsidRPr="0035461C">
        <w:rPr>
          <w:rFonts w:ascii="Calibri" w:hAnsi="Calibri" w:cs="Calibri"/>
        </w:rPr>
        <w:t xml:space="preserve">most </w:t>
      </w:r>
      <w:r w:rsidRPr="0035461C">
        <w:rPr>
          <w:rFonts w:ascii="Calibri" w:hAnsi="Calibri" w:cs="Calibri"/>
        </w:rPr>
        <w:t>currently available</w:t>
      </w:r>
      <w:r w:rsidR="00951800" w:rsidRPr="0035461C">
        <w:rPr>
          <w:rFonts w:ascii="Calibri" w:hAnsi="Calibri" w:cs="Calibri"/>
        </w:rPr>
        <w:t xml:space="preserve"> sensors are “non-adjunctive” meaning </w:t>
      </w:r>
      <w:r w:rsidR="00B87C09" w:rsidRPr="0035461C">
        <w:rPr>
          <w:rFonts w:ascii="Calibri" w:hAnsi="Calibri" w:cs="Calibri"/>
        </w:rPr>
        <w:t xml:space="preserve">that a check </w:t>
      </w:r>
      <w:r w:rsidR="00951800" w:rsidRPr="0035461C">
        <w:rPr>
          <w:rFonts w:ascii="Calibri" w:hAnsi="Calibri" w:cs="Calibri"/>
        </w:rPr>
        <w:t xml:space="preserve">with </w:t>
      </w:r>
      <w:r w:rsidR="00E67DD0" w:rsidRPr="0035461C">
        <w:rPr>
          <w:rFonts w:ascii="Calibri" w:hAnsi="Calibri" w:cs="Calibri"/>
        </w:rPr>
        <w:t xml:space="preserve">capillary </w:t>
      </w:r>
      <w:r w:rsidR="000614C5" w:rsidRPr="0035461C">
        <w:rPr>
          <w:rFonts w:ascii="Calibri" w:hAnsi="Calibri" w:cs="Calibri"/>
        </w:rPr>
        <w:t>BGM</w:t>
      </w:r>
      <w:r w:rsidR="00951800" w:rsidRPr="0035461C">
        <w:rPr>
          <w:rFonts w:ascii="Calibri" w:hAnsi="Calibri" w:cs="Calibri"/>
        </w:rPr>
        <w:t xml:space="preserve"> </w:t>
      </w:r>
      <w:r w:rsidR="00B87C09" w:rsidRPr="0035461C">
        <w:rPr>
          <w:rFonts w:ascii="Calibri" w:hAnsi="Calibri" w:cs="Calibri"/>
        </w:rPr>
        <w:t xml:space="preserve">before a </w:t>
      </w:r>
      <w:r w:rsidR="00395E55" w:rsidRPr="0035461C">
        <w:rPr>
          <w:rFonts w:ascii="Calibri" w:hAnsi="Calibri" w:cs="Calibri"/>
        </w:rPr>
        <w:t xml:space="preserve">treatment </w:t>
      </w:r>
      <w:r w:rsidR="00B87C09" w:rsidRPr="0035461C">
        <w:rPr>
          <w:rFonts w:ascii="Calibri" w:hAnsi="Calibri" w:cs="Calibri"/>
        </w:rPr>
        <w:t xml:space="preserve">decision is taken </w:t>
      </w:r>
      <w:r w:rsidR="00951800" w:rsidRPr="0035461C">
        <w:rPr>
          <w:rFonts w:ascii="Calibri" w:hAnsi="Calibri" w:cs="Calibri"/>
        </w:rPr>
        <w:t>is not required.</w:t>
      </w:r>
      <w:r w:rsidR="00211B9A">
        <w:rPr>
          <w:rFonts w:ascii="Calibri" w:hAnsi="Calibri" w:cs="Calibri"/>
        </w:rPr>
        <w:t xml:space="preserve"> However, BGM may still be required if there are concerns that the CGM readings do not reflect the </w:t>
      </w:r>
      <w:r w:rsidR="00952C3A">
        <w:rPr>
          <w:rFonts w:ascii="Calibri" w:hAnsi="Calibri" w:cs="Calibri"/>
        </w:rPr>
        <w:t>plasma</w:t>
      </w:r>
      <w:r w:rsidR="00211B9A">
        <w:rPr>
          <w:rFonts w:ascii="Calibri" w:hAnsi="Calibri" w:cs="Calibri"/>
        </w:rPr>
        <w:t xml:space="preserve"> glucose.</w:t>
      </w:r>
      <w:r w:rsidR="00211B9A" w:rsidRPr="0035461C">
        <w:rPr>
          <w:rFonts w:ascii="Calibri" w:hAnsi="Calibri" w:cs="Calibri"/>
        </w:rPr>
        <w:t xml:space="preserve"> </w:t>
      </w:r>
    </w:p>
    <w:p w14:paraId="28F3A5BE" w14:textId="51C9DE3F" w:rsidR="00951800" w:rsidRPr="0035461C" w:rsidRDefault="00951800" w:rsidP="001C5BC0">
      <w:pPr>
        <w:spacing w:before="120"/>
        <w:jc w:val="both"/>
        <w:rPr>
          <w:rFonts w:ascii="Calibri" w:hAnsi="Calibri" w:cs="Calibri"/>
        </w:rPr>
      </w:pPr>
      <w:r w:rsidRPr="0035461C">
        <w:rPr>
          <w:rFonts w:ascii="Calibri" w:hAnsi="Calibri" w:cs="Calibri"/>
        </w:rPr>
        <w:t>Currently there are two types of CGM</w:t>
      </w:r>
      <w:r w:rsidR="00395E55" w:rsidRPr="0035461C">
        <w:rPr>
          <w:rFonts w:ascii="Calibri" w:hAnsi="Calibri" w:cs="Calibri"/>
        </w:rPr>
        <w:t xml:space="preserve"> devices</w:t>
      </w:r>
      <w:r w:rsidRPr="0035461C">
        <w:rPr>
          <w:rFonts w:ascii="Calibri" w:hAnsi="Calibri" w:cs="Calibri"/>
        </w:rPr>
        <w:t>. One provides a continu</w:t>
      </w:r>
      <w:r w:rsidR="005006A4" w:rsidRPr="0035461C">
        <w:rPr>
          <w:rFonts w:ascii="Calibri" w:hAnsi="Calibri" w:cs="Calibri"/>
        </w:rPr>
        <w:t>ous</w:t>
      </w:r>
      <w:r w:rsidRPr="0035461C">
        <w:rPr>
          <w:rFonts w:ascii="Calibri" w:hAnsi="Calibri" w:cs="Calibri"/>
        </w:rPr>
        <w:t xml:space="preserve"> </w:t>
      </w:r>
      <w:r w:rsidR="003F5241" w:rsidRPr="0035461C">
        <w:rPr>
          <w:rFonts w:ascii="Calibri" w:hAnsi="Calibri" w:cs="Calibri"/>
        </w:rPr>
        <w:t xml:space="preserve">value </w:t>
      </w:r>
      <w:r w:rsidR="00C06A2C" w:rsidRPr="0035461C">
        <w:rPr>
          <w:rFonts w:ascii="Calibri" w:hAnsi="Calibri" w:cs="Calibri"/>
        </w:rPr>
        <w:t xml:space="preserve">of current glucose and trends </w:t>
      </w:r>
      <w:r w:rsidRPr="0035461C">
        <w:rPr>
          <w:rFonts w:ascii="Calibri" w:hAnsi="Calibri" w:cs="Calibri"/>
        </w:rPr>
        <w:t xml:space="preserve">to a receiver, </w:t>
      </w:r>
      <w:r w:rsidR="002D6362" w:rsidRPr="0035461C">
        <w:rPr>
          <w:rFonts w:ascii="Calibri" w:hAnsi="Calibri" w:cs="Calibri"/>
        </w:rPr>
        <w:t xml:space="preserve">mobile </w:t>
      </w:r>
      <w:r w:rsidRPr="0035461C">
        <w:rPr>
          <w:rFonts w:ascii="Calibri" w:hAnsi="Calibri" w:cs="Calibri"/>
        </w:rPr>
        <w:t>app, smartwatch, or pump (</w:t>
      </w:r>
      <w:r w:rsidR="005431A2" w:rsidRPr="0035461C">
        <w:rPr>
          <w:rFonts w:ascii="Calibri" w:hAnsi="Calibri" w:cs="Calibri"/>
        </w:rPr>
        <w:t>designate</w:t>
      </w:r>
      <w:r w:rsidR="005006A4" w:rsidRPr="0035461C">
        <w:rPr>
          <w:rFonts w:ascii="Calibri" w:hAnsi="Calibri" w:cs="Calibri"/>
        </w:rPr>
        <w:t>d as</w:t>
      </w:r>
      <w:r w:rsidR="005431A2" w:rsidRPr="0035461C">
        <w:rPr>
          <w:rFonts w:ascii="Calibri" w:hAnsi="Calibri" w:cs="Calibri"/>
        </w:rPr>
        <w:t xml:space="preserve"> real-time </w:t>
      </w:r>
      <w:r w:rsidR="008E56C6" w:rsidRPr="0035461C">
        <w:rPr>
          <w:rFonts w:ascii="Calibri" w:hAnsi="Calibri" w:cs="Calibri"/>
        </w:rPr>
        <w:t>[</w:t>
      </w:r>
      <w:proofErr w:type="spellStart"/>
      <w:r w:rsidR="009E2746" w:rsidRPr="0035461C">
        <w:rPr>
          <w:rFonts w:ascii="Calibri" w:hAnsi="Calibri" w:cs="Calibri"/>
        </w:rPr>
        <w:t>rt</w:t>
      </w:r>
      <w:proofErr w:type="spellEnd"/>
      <w:r w:rsidR="008E56C6" w:rsidRPr="0035461C">
        <w:rPr>
          <w:rFonts w:ascii="Calibri" w:hAnsi="Calibri" w:cs="Calibri"/>
        </w:rPr>
        <w:t>]</w:t>
      </w:r>
      <w:r w:rsidR="005431A2" w:rsidRPr="0035461C">
        <w:rPr>
          <w:rFonts w:ascii="Calibri" w:hAnsi="Calibri" w:cs="Calibri"/>
        </w:rPr>
        <w:t xml:space="preserve"> CGM</w:t>
      </w:r>
      <w:r w:rsidRPr="0035461C">
        <w:rPr>
          <w:rFonts w:ascii="Calibri" w:hAnsi="Calibri" w:cs="Calibri"/>
        </w:rPr>
        <w:t>) while the other</w:t>
      </w:r>
      <w:r w:rsidR="00E67DD0" w:rsidRPr="0035461C">
        <w:rPr>
          <w:rFonts w:ascii="Calibri" w:hAnsi="Calibri" w:cs="Calibri"/>
        </w:rPr>
        <w:t xml:space="preserve"> requires</w:t>
      </w:r>
      <w:r w:rsidRPr="0035461C">
        <w:rPr>
          <w:rFonts w:ascii="Calibri" w:hAnsi="Calibri" w:cs="Calibri"/>
        </w:rPr>
        <w:t xml:space="preserve"> the glucose level </w:t>
      </w:r>
      <w:r w:rsidR="00E67DD0" w:rsidRPr="0035461C">
        <w:rPr>
          <w:rFonts w:ascii="Calibri" w:hAnsi="Calibri" w:cs="Calibri"/>
        </w:rPr>
        <w:t>to</w:t>
      </w:r>
      <w:r w:rsidRPr="0035461C">
        <w:rPr>
          <w:rFonts w:ascii="Calibri" w:hAnsi="Calibri" w:cs="Calibri"/>
        </w:rPr>
        <w:t xml:space="preserve"> be determined by scanning a small reader or </w:t>
      </w:r>
      <w:r w:rsidR="00C06A2C" w:rsidRPr="0035461C">
        <w:rPr>
          <w:rFonts w:ascii="Calibri" w:hAnsi="Calibri" w:cs="Calibri"/>
        </w:rPr>
        <w:t>smart</w:t>
      </w:r>
      <w:r w:rsidRPr="0035461C">
        <w:rPr>
          <w:rFonts w:ascii="Calibri" w:hAnsi="Calibri" w:cs="Calibri"/>
        </w:rPr>
        <w:t>phone across the transmitter (</w:t>
      </w:r>
      <w:r w:rsidR="00600B86" w:rsidRPr="0035461C">
        <w:rPr>
          <w:rFonts w:ascii="Calibri" w:hAnsi="Calibri" w:cs="Calibri"/>
        </w:rPr>
        <w:t xml:space="preserve">intermittently scanned </w:t>
      </w:r>
      <w:r w:rsidR="00512AAD" w:rsidRPr="0035461C">
        <w:rPr>
          <w:rFonts w:ascii="Calibri" w:hAnsi="Calibri" w:cs="Calibri"/>
        </w:rPr>
        <w:t>[</w:t>
      </w:r>
      <w:r w:rsidR="00600B86" w:rsidRPr="0035461C">
        <w:rPr>
          <w:rFonts w:ascii="Calibri" w:hAnsi="Calibri" w:cs="Calibri"/>
        </w:rPr>
        <w:t>is</w:t>
      </w:r>
      <w:proofErr w:type="gramStart"/>
      <w:r w:rsidR="00512AAD" w:rsidRPr="0035461C">
        <w:rPr>
          <w:rFonts w:ascii="Calibri" w:hAnsi="Calibri" w:cs="Calibri"/>
        </w:rPr>
        <w:t>]</w:t>
      </w:r>
      <w:r w:rsidR="00600B86" w:rsidRPr="0035461C">
        <w:rPr>
          <w:rFonts w:ascii="Calibri" w:hAnsi="Calibri" w:cs="Calibri"/>
        </w:rPr>
        <w:t>CGM</w:t>
      </w:r>
      <w:proofErr w:type="gramEnd"/>
      <w:r w:rsidR="00B92FA7" w:rsidRPr="0035461C">
        <w:rPr>
          <w:rFonts w:ascii="Calibri" w:hAnsi="Calibri" w:cs="Calibri"/>
        </w:rPr>
        <w:t xml:space="preserve">). </w:t>
      </w:r>
      <w:r w:rsidR="00A7370E" w:rsidRPr="0035461C">
        <w:rPr>
          <w:rFonts w:ascii="Calibri" w:hAnsi="Calibri" w:cs="Calibri"/>
        </w:rPr>
        <w:t>Historically</w:t>
      </w:r>
      <w:r w:rsidR="009454FA" w:rsidRPr="0035461C">
        <w:rPr>
          <w:rFonts w:ascii="Calibri" w:hAnsi="Calibri" w:cs="Calibri"/>
        </w:rPr>
        <w:t>,</w:t>
      </w:r>
      <w:r w:rsidR="00A7370E" w:rsidRPr="0035461C">
        <w:rPr>
          <w:rFonts w:ascii="Calibri" w:hAnsi="Calibri" w:cs="Calibri"/>
        </w:rPr>
        <w:t xml:space="preserve"> </w:t>
      </w:r>
      <w:proofErr w:type="spellStart"/>
      <w:r w:rsidR="009E2746" w:rsidRPr="0035461C">
        <w:rPr>
          <w:rFonts w:ascii="Calibri" w:hAnsi="Calibri" w:cs="Calibri"/>
        </w:rPr>
        <w:t>rt</w:t>
      </w:r>
      <w:proofErr w:type="spellEnd"/>
      <w:r w:rsidR="00A7370E" w:rsidRPr="0035461C">
        <w:rPr>
          <w:rFonts w:ascii="Calibri" w:hAnsi="Calibri" w:cs="Calibri"/>
        </w:rPr>
        <w:t>-CGM has offered a variety of alerts, both in terms of</w:t>
      </w:r>
      <w:r w:rsidR="00836A64" w:rsidRPr="0035461C">
        <w:rPr>
          <w:rFonts w:ascii="Calibri" w:hAnsi="Calibri" w:cs="Calibri"/>
        </w:rPr>
        <w:t xml:space="preserve"> </w:t>
      </w:r>
      <w:r w:rsidR="00146552" w:rsidRPr="0035461C">
        <w:rPr>
          <w:rFonts w:ascii="Calibri" w:hAnsi="Calibri" w:cs="Calibri"/>
        </w:rPr>
        <w:t>indicating</w:t>
      </w:r>
      <w:r w:rsidR="00836A64" w:rsidRPr="0035461C">
        <w:rPr>
          <w:rFonts w:ascii="Calibri" w:hAnsi="Calibri" w:cs="Calibri"/>
        </w:rPr>
        <w:t xml:space="preserve"> when a specific glucose level is reached as well as for trends in glucose levels. </w:t>
      </w:r>
      <w:r w:rsidR="00293E98">
        <w:rPr>
          <w:rFonts w:ascii="Calibri" w:hAnsi="Calibri" w:cs="Calibri"/>
        </w:rPr>
        <w:t>IS-</w:t>
      </w:r>
      <w:r w:rsidR="00836A64" w:rsidRPr="0035461C">
        <w:rPr>
          <w:rFonts w:ascii="Calibri" w:hAnsi="Calibri" w:cs="Calibri"/>
        </w:rPr>
        <w:t>CGM did not have these alerts but increasingly includes them.</w:t>
      </w:r>
      <w:r w:rsidR="00E615B3" w:rsidRPr="0035461C">
        <w:rPr>
          <w:rFonts w:ascii="Calibri" w:hAnsi="Calibri" w:cs="Calibri"/>
        </w:rPr>
        <w:t xml:space="preserve"> </w:t>
      </w:r>
      <w:r w:rsidR="00B92FA7" w:rsidRPr="0035461C">
        <w:rPr>
          <w:rFonts w:ascii="Calibri" w:hAnsi="Calibri" w:cs="Calibri"/>
        </w:rPr>
        <w:t>I</w:t>
      </w:r>
      <w:r w:rsidRPr="0035461C">
        <w:rPr>
          <w:rFonts w:ascii="Calibri" w:hAnsi="Calibri" w:cs="Calibri"/>
        </w:rPr>
        <w:t>n the near future</w:t>
      </w:r>
      <w:r w:rsidR="007526C2" w:rsidRPr="0035461C">
        <w:rPr>
          <w:rFonts w:ascii="Calibri" w:hAnsi="Calibri" w:cs="Calibri"/>
        </w:rPr>
        <w:t>,</w:t>
      </w:r>
      <w:r w:rsidRPr="0035461C">
        <w:rPr>
          <w:rFonts w:ascii="Calibri" w:hAnsi="Calibri" w:cs="Calibri"/>
        </w:rPr>
        <w:t xml:space="preserve"> these sensors and others in development will </w:t>
      </w:r>
      <w:r w:rsidR="00B65AB9" w:rsidRPr="0035461C">
        <w:rPr>
          <w:rFonts w:ascii="Calibri" w:hAnsi="Calibri" w:cs="Calibri"/>
        </w:rPr>
        <w:t xml:space="preserve">increasingly </w:t>
      </w:r>
      <w:r w:rsidRPr="0035461C">
        <w:rPr>
          <w:rFonts w:ascii="Calibri" w:hAnsi="Calibri" w:cs="Calibri"/>
        </w:rPr>
        <w:t xml:space="preserve">connect to </w:t>
      </w:r>
      <w:r w:rsidR="00396156" w:rsidRPr="0035461C">
        <w:rPr>
          <w:rFonts w:ascii="Calibri" w:hAnsi="Calibri" w:cs="Calibri"/>
        </w:rPr>
        <w:t>other</w:t>
      </w:r>
      <w:r w:rsidRPr="0035461C">
        <w:rPr>
          <w:rFonts w:ascii="Calibri" w:hAnsi="Calibri" w:cs="Calibri"/>
        </w:rPr>
        <w:t xml:space="preserve"> devices, including </w:t>
      </w:r>
      <w:r w:rsidR="005041CD">
        <w:rPr>
          <w:rFonts w:ascii="Calibri" w:hAnsi="Calibri" w:cs="Calibri"/>
        </w:rPr>
        <w:t>connected insulin</w:t>
      </w:r>
      <w:r w:rsidRPr="0035461C">
        <w:rPr>
          <w:rFonts w:ascii="Calibri" w:hAnsi="Calibri" w:cs="Calibri"/>
        </w:rPr>
        <w:t xml:space="preserve"> pens</w:t>
      </w:r>
      <w:r w:rsidR="007526C2" w:rsidRPr="0035461C">
        <w:rPr>
          <w:rFonts w:ascii="Calibri" w:hAnsi="Calibri" w:cs="Calibri"/>
        </w:rPr>
        <w:t>.</w:t>
      </w:r>
      <w:r w:rsidRPr="0035461C">
        <w:rPr>
          <w:rFonts w:ascii="Calibri" w:hAnsi="Calibri" w:cs="Calibri"/>
        </w:rPr>
        <w:t xml:space="preserve"> </w:t>
      </w:r>
      <w:r w:rsidR="00340343" w:rsidRPr="0035461C">
        <w:rPr>
          <w:rFonts w:ascii="Calibri" w:hAnsi="Calibri" w:cs="Calibri"/>
        </w:rPr>
        <w:t>A</w:t>
      </w:r>
      <w:r w:rsidRPr="0035461C">
        <w:rPr>
          <w:rFonts w:ascii="Calibri" w:hAnsi="Calibri" w:cs="Calibri"/>
        </w:rPr>
        <w:t xml:space="preserve">ll </w:t>
      </w:r>
      <w:r w:rsidR="00340343" w:rsidRPr="0035461C">
        <w:rPr>
          <w:rFonts w:ascii="Calibri" w:hAnsi="Calibri" w:cs="Calibri"/>
        </w:rPr>
        <w:t xml:space="preserve">currently available </w:t>
      </w:r>
      <w:r w:rsidRPr="0035461C">
        <w:rPr>
          <w:rFonts w:ascii="Calibri" w:hAnsi="Calibri" w:cs="Calibri"/>
        </w:rPr>
        <w:t xml:space="preserve">devices can be uploaded to </w:t>
      </w:r>
      <w:r w:rsidR="00E67DD0" w:rsidRPr="0035461C">
        <w:rPr>
          <w:rFonts w:ascii="Calibri" w:hAnsi="Calibri" w:cs="Calibri"/>
        </w:rPr>
        <w:t>an internet</w:t>
      </w:r>
      <w:r w:rsidRPr="0035461C">
        <w:rPr>
          <w:rFonts w:ascii="Calibri" w:hAnsi="Calibri" w:cs="Calibri"/>
        </w:rPr>
        <w:t xml:space="preserve"> cloud </w:t>
      </w:r>
      <w:r w:rsidR="00E67DD0" w:rsidRPr="0035461C">
        <w:rPr>
          <w:rFonts w:ascii="Calibri" w:hAnsi="Calibri" w:cs="Calibri"/>
        </w:rPr>
        <w:t>to allow</w:t>
      </w:r>
      <w:r w:rsidRPr="0035461C">
        <w:rPr>
          <w:rFonts w:ascii="Calibri" w:hAnsi="Calibri" w:cs="Calibri"/>
        </w:rPr>
        <w:t xml:space="preserve"> </w:t>
      </w:r>
      <w:r w:rsidR="00B87C09" w:rsidRPr="0035461C">
        <w:rPr>
          <w:rFonts w:ascii="Calibri" w:hAnsi="Calibri" w:cs="Calibri"/>
        </w:rPr>
        <w:t xml:space="preserve">people with diabetes and </w:t>
      </w:r>
      <w:r w:rsidR="00396156" w:rsidRPr="0035461C">
        <w:rPr>
          <w:rFonts w:ascii="Calibri" w:hAnsi="Calibri" w:cs="Calibri"/>
        </w:rPr>
        <w:t>health</w:t>
      </w:r>
      <w:r w:rsidRPr="0035461C">
        <w:rPr>
          <w:rFonts w:ascii="Calibri" w:hAnsi="Calibri" w:cs="Calibri"/>
        </w:rPr>
        <w:t xml:space="preserve">care professionals </w:t>
      </w:r>
      <w:r w:rsidR="00E67DD0" w:rsidRPr="0035461C">
        <w:rPr>
          <w:rFonts w:ascii="Calibri" w:hAnsi="Calibri" w:cs="Calibri"/>
        </w:rPr>
        <w:t>to</w:t>
      </w:r>
      <w:r w:rsidRPr="0035461C">
        <w:rPr>
          <w:rFonts w:ascii="Calibri" w:hAnsi="Calibri" w:cs="Calibri"/>
        </w:rPr>
        <w:t xml:space="preserve"> easily view the data at or </w:t>
      </w:r>
      <w:r w:rsidR="00B92FA7" w:rsidRPr="0035461C">
        <w:rPr>
          <w:rFonts w:ascii="Calibri" w:hAnsi="Calibri" w:cs="Calibri"/>
        </w:rPr>
        <w:t>between clinic visits. CGMs r</w:t>
      </w:r>
      <w:r w:rsidRPr="0035461C">
        <w:rPr>
          <w:rFonts w:ascii="Calibri" w:hAnsi="Calibri" w:cs="Calibri"/>
        </w:rPr>
        <w:t xml:space="preserve">eport a reading every </w:t>
      </w:r>
      <w:r w:rsidR="00B92FA7" w:rsidRPr="0035461C">
        <w:rPr>
          <w:rFonts w:ascii="Calibri" w:hAnsi="Calibri" w:cs="Calibri"/>
        </w:rPr>
        <w:t>1 to</w:t>
      </w:r>
      <w:r w:rsidRPr="0035461C">
        <w:rPr>
          <w:rFonts w:ascii="Calibri" w:hAnsi="Calibri" w:cs="Calibri"/>
        </w:rPr>
        <w:t xml:space="preserve"> 15 minutes. </w:t>
      </w:r>
    </w:p>
    <w:p w14:paraId="381D5CD3" w14:textId="4F1603D8" w:rsidR="00211B9A" w:rsidRDefault="00293E98" w:rsidP="00211B9A">
      <w:pPr>
        <w:spacing w:before="120"/>
        <w:jc w:val="both"/>
        <w:rPr>
          <w:rFonts w:ascii="Calibri" w:hAnsi="Calibri" w:cs="Calibri"/>
        </w:rPr>
      </w:pPr>
      <w:r>
        <w:rPr>
          <w:rFonts w:ascii="Calibri" w:hAnsi="Calibri" w:cs="Calibri"/>
        </w:rPr>
        <w:t>RT</w:t>
      </w:r>
      <w:r w:rsidR="008E56C6" w:rsidRPr="0035461C">
        <w:rPr>
          <w:rFonts w:ascii="Calibri" w:hAnsi="Calibri" w:cs="Calibri"/>
        </w:rPr>
        <w:t>-C</w:t>
      </w:r>
      <w:r w:rsidR="00951800" w:rsidRPr="0035461C">
        <w:rPr>
          <w:rFonts w:ascii="Calibri" w:hAnsi="Calibri" w:cs="Calibri"/>
        </w:rPr>
        <w:t xml:space="preserve">GM </w:t>
      </w:r>
      <w:r w:rsidR="00600B86" w:rsidRPr="0035461C">
        <w:rPr>
          <w:rFonts w:ascii="Calibri" w:hAnsi="Calibri" w:cs="Calibri"/>
        </w:rPr>
        <w:t>is</w:t>
      </w:r>
      <w:r w:rsidR="00951800" w:rsidRPr="0035461C">
        <w:rPr>
          <w:rFonts w:ascii="Calibri" w:hAnsi="Calibri" w:cs="Calibri"/>
        </w:rPr>
        <w:t xml:space="preserve"> effective for adults with type 1 diabetes in improving HbA</w:t>
      </w:r>
      <w:r w:rsidR="00951800" w:rsidRPr="0035461C">
        <w:rPr>
          <w:rFonts w:ascii="Calibri" w:hAnsi="Calibri" w:cs="Calibri"/>
          <w:vertAlign w:val="subscript"/>
        </w:rPr>
        <w:t>1c</w:t>
      </w:r>
      <w:r w:rsidR="00951800" w:rsidRPr="0035461C">
        <w:rPr>
          <w:rFonts w:ascii="Calibri" w:hAnsi="Calibri" w:cs="Calibri"/>
        </w:rPr>
        <w:t xml:space="preserve"> (particularly when high) and reducing hypoglyc</w:t>
      </w:r>
      <w:r w:rsidR="00B92FA7" w:rsidRPr="0035461C">
        <w:rPr>
          <w:rFonts w:ascii="Calibri" w:hAnsi="Calibri" w:cs="Calibri"/>
        </w:rPr>
        <w:t>a</w:t>
      </w:r>
      <w:r w:rsidR="00951800" w:rsidRPr="0035461C">
        <w:rPr>
          <w:rFonts w:ascii="Calibri" w:hAnsi="Calibri" w:cs="Calibri"/>
        </w:rPr>
        <w:t>emia for both those using insulin pumps or multiple</w:t>
      </w:r>
      <w:r w:rsidR="000614C5" w:rsidRPr="0035461C">
        <w:rPr>
          <w:rFonts w:ascii="Calibri" w:hAnsi="Calibri" w:cs="Calibri"/>
        </w:rPr>
        <w:t xml:space="preserve"> daily</w:t>
      </w:r>
      <w:r w:rsidR="00951800" w:rsidRPr="0035461C">
        <w:rPr>
          <w:rFonts w:ascii="Calibri" w:hAnsi="Calibri" w:cs="Calibri"/>
        </w:rPr>
        <w:t xml:space="preserve"> injections</w:t>
      </w:r>
      <w:r w:rsidR="00876526" w:rsidRPr="0035461C">
        <w:rPr>
          <w:rFonts w:ascii="Calibri" w:hAnsi="Calibri" w:cs="Calibri"/>
        </w:rPr>
        <w:t xml:space="preserve"> </w:t>
      </w:r>
      <w:r w:rsidR="000D5BEA" w:rsidRPr="0035461C">
        <w:rPr>
          <w:rFonts w:ascii="Calibri" w:hAnsi="Calibri" w:cs="Calibri"/>
        </w:rPr>
        <w:fldChar w:fldCharType="begin"/>
      </w:r>
      <w:r w:rsidR="00076F77">
        <w:rPr>
          <w:rFonts w:ascii="Calibri" w:hAnsi="Calibri" w:cs="Calibri"/>
        </w:rPr>
        <w:instrText xml:space="preserve"> ADDIN ZOTERO_ITEM CSL_CITATION {"citationID":"6Jb09VKi","properties":{"formattedCitation":"(42\\uc0\\u8211{}44,76)","plainCitation":"(42–44,76)","noteIndex":0},"citationItems":[{"id":1179,"uris":["http://zotero.org/groups/369679/items/TM8MXG3A"],"uri":["http://zotero.org/groups/369679/items/TM8MXG3A"],"itemData":{"id":1179,"type":"article-journal","abstract":"BACKGROUND: The value of continuous glucose monitoring in the management of type 1 diabetes mellitus has not been determined.\nMETHODS: In a multicenter clinical trial, we randomly assigned 322 adults and children who were already receiving intensive therapy for type 1 diabetes to a group with continuous glucose monitoring or to a control group performing home monitoring with a blood glucose meter. All the patients were stratified into three groups according to age and had a glycated hemoglobin level of 7.0 to 10.0%. The primary outcome was the change in the glycated hemoglobin level at 26 weeks.\nRESULTS: The changes in glycated hemoglobin levels in the two study groups varied markedly according to age group (P=0.003), with a significant difference among patients 25 years of age or older that favored the continuous-monitoring group (mean difference in change, -0.53%; 95% confidence interval [CI], -0.71 to -0.35; P&lt;0.001). The between-group difference was not significant among those who were 15 to 24 years of age (mean difference, 0.08; 95% CI, -0.17 to 0.33; P=0.52) or among those who were 8 to 14 years of age (mean difference, -0.13; 95% CI, -0.38 to 0.11; P=0.29). Secondary glycated hemoglobin outcomes were better in the continuous-monitoring group than in the control group among the oldest and youngest patients but not among those who were 15 to 24 years of age. The use of continuous glucose monitoring averaged 6.0 or more days per week for 83% of patients 25 years of age or older, 30% of those 15 to 24 years of age, and 50% of those 8 to 14 years of age. The rate of severe hypoglycemia was low and did not differ between the two study groups; however, the trial was not powered to detect such a difference.\nCONCLUSIONS: Continuous glucose monitoring can be associated with improved glycemic control in adults with type 1 diabetes. Further work is needed to identify barriers to effectiveness of continuous monitoring in children and adolescents. (ClinicalTrials.gov number, NCT00406133.)","container-title":"The New England journal of medicine","DOI":"10.1056/NEJMoa0805017","ISSN":"1533-4406","issue":"14","journalAbbreviation":"N. Engl. J. Med.","language":"eng","note":"PMID: 18779236","page":"1464-1476","source":"NCBI PubMed","title":"Continuous glucose monitoring and intensive treatment of type 1 diabetes","volume":"359","author":[{"literal":"Juvenile Diabetes Research Foundation Continuous Glucose Monitoring Study Group"},{"family":"Tamborlane","given":"William V"},{"family":"Beck","given":"Roy W"},{"family":"Bode","given":"Bruce W"},{"family":"Buckingham","given":"Bruce"},{"family":"Chase","given":"H Peter"},{"family":"Clemons","given":"Robert"},{"family":"Fiallo-Scharer","given":"Rosanna"},{"family":"Fox","given":"Larry A"},{"family":"Gilliam","given":"Lisa K"},{"family":"Hirsch","given":"Irl B"},{"family":"Huang","given":"Elbert S"},{"family":"Kollman","given":"Craig"},{"family":"Kowalski","given":"Aaron J"},{"family":"Laffel","given":"Lori"},{"family":"Lawrence","given":"Jean M"},{"family":"Lee","given":"Joyce"},{"family":"Mauras","given":"Nelly"},{"family":"O'Grady","given":"Michael"},{"family":"Ruedy","given":"Katrina J"},{"family":"Tansey","given":"Michael"},{"family":"Tsalikian","given":"Eva"},{"family":"Weinzimer","given":"Stuart"},{"family":"Wilson","given":"Darrell M"},{"family":"Wolpert","given":"Howard"},{"family":"Wysocki","given":"Tim"},{"family":"Xing","given":"Dongyuan"}],"issued":{"date-parts":[["2008",10,2]]}}},{"id":327,"uris":["http://zotero.org/groups/369679/items/3PRCJV9V"],"uri":["http://zotero.org/groups/369679/items/3PRCJV9V"],"itemData":{"id":327,"type":"article-journal","abstract":"BACKGROUND: Tight control of blood glucose in type 1 diabetes delays onset of macrovascular and microvascular diabetic complications; however, glucose levels need to be closely monitored to prevent hypoglycaemia. We aimed to assess whether a factory-calibrated, sensor-based, flash glucose-monitoring system compared with self-monitored glucose testing reduced exposure to hypoglycaemia in patients with type 1 diabetes.\nMETHOD: In this multicentre, prospective, non-masked, randomised controlled trial, we enrolled adult patients with well controlled type 1 diabetes (HbA1c ≤58 mmol/mol [7·5%]) from 23 European diabetes centres. After 2 weeks of all participants wearing the blinded sensor, those with readings for at least 50% of the period were randomly assigned (1:1) to flash sensor-based glucose monitoring (intervention group) or to self-monitoring of blood glucose with capillary strips (control group). Randomisation was done centrally using the biased-coin minimisation method dependent on study centre and type of insulin administration. Participants, investigators, and study staff were not masked to group allocation. The primary outcome was change in time in hypoglycaemia (&lt;3·9 mmol/L [70 mg/dL]) between baseline and 6 months in the full analysis set (all participants randomised; excluding those who had a positive pregnancy test during the study). This trial was registered with ClinicalTrials.gov, number NCT02232698.\nFINDINGS: Between Sept 4, 2014, and Feb 12, 2015, we enrolled 328 participants. After the screening and baseline phase, 120 participants were randomly assigned to the intervention group and 121 to the control group, with outcomes being evaluated in 119 and 120, respectively. Mean time in hypoglycaemia changed from 3·38 h/day at baseline to 2·03 h/day at 6 months (baseline adjusted mean change -1·39) in the intervention group, and from 3·44 h/day to 3·27 h/day in the control group (-0·14); with the between-group difference of -1·24 (SE 0·239; p&lt;0·0001), equating to a 38% reduction in time in hypoglycaemia in the intervention group. No device-related hypoglycaemia or safety issues were reported. 13 adverse events were reported by ten participants related to the sensor-four of allergy events (one severe, three moderate); one itching (mild); one rash (mild); four insertion-site symptom (severe); two erythema (one severe, one mild); and one oedema (moderate). There were ten serious adverse events (five in each group) reported by nine participants; none were related to the device.\nINTERPRETATION: Novel flash glucose testing reduced the time adults with well controlled type 1 diabetes spent in hypoglycaemia. Future studies are needed to assess the effectiveness of this technology in patients with less well controlled diabetes and in younger age groups.\nFUNDING: Abbott Diabetes Care.","container-title":"Lancet (London, England)","DOI":"10.1016/S0140-6736(16)31535-5","ISSN":"1474-547X","issue":"10057","journalAbbreviation":"Lancet","language":"eng","note":"PMID: 27634581","page":"2254-2263","source":"PubMed","title":"Novel glucose-sensing technology and hypoglycaemia in type 1 diabetes: a multicentre, non-masked, randomised controlled trial","title-short":"Novel glucose-sensing technology and hypoglycaemia in type 1 diabetes","volume":"388","author":[{"family":"Bolinder","given":"Jan"},{"family":"Antuna","given":"Ramiro"},{"family":"Geelhoed-Duijvestijn","given":"Petronella"},{"family":"Kröger","given":"Jens"},{"family":"Weitgasser","given":"Raimund"}],"issued":{"date-parts":[["2016"]],"season":"05"}}},{"id":3716,"uris":["http://zotero.org/groups/369679/items/LVQW5IZV"],"uri":["http://zotero.org/groups/369679/items/LVQW5IZV"],"itemData":{"id":3716,"type":"article-journal","abstract":"BACKGROUND: Patients with type 1 diabetes who have impaired awareness of hypoglycaemia have a three to six times increased risk of severe hypoglycaemia. We aimed to assess whether continuous glucose monitoring (CGM) improves glycaemia and prevents severe hypoglycaemia compared with self-monitoring of blood glucose (SMBG) in this high-risk population.\nMETHODS: We did a randomised, open-label, crossover trial (IN CONTROL) at two medical centres in the Netherlands. Eligible participants were patients diagnosed with type 1 diabetes according to American Diabetes Association criteria, aged 18-75 years, with impaired awareness of hypoglycaemia as confirmed by a Gold score of at least 4, and treated with either continuous subcutaneous insulin infusion or multiple daily insulin injections and doing at least three SMBG measurements per day. After screening, re-education about diabetes management, and a 6-week run-in phase (to obtain baseline CGM data), we randomly assigned patients (1:1) with a computer-generated allocation sequence (block size of four) to either 16 weeks of CGM followed by 12 weeks of washout and 16 weeks of SMBG, or 16 weeks of SMBG followed by 12 weeks of washout and 16 weeks of CGM (where the SMBG phase was the control). During the CGM phase, patients used a real-time CGM system consisting of a Paradigm Veo system with a MiniLink transmitter and an Enlite glucose sensor (Medtronic, CA, USA). During the SMBG phase, patients were equipped with a masked CGM device, consisting of an iPro 2 continuous glucose monitor and an Enlite glucose sensor, which does not display real-time glucose values. The number of SMBG measurements per day and SMBG systems were not standardised between patients, to mimic real-life conditions. During both intervention periods, patients attended follow-up visits at the centres each month and had telephone consultations 2 weeks after each visit inquiring about adverse events, episodes of hypoglycaemia, etc. The primary endpoint was the mean difference in percentage of time spent in normoglycaemia (4-10 mmol/L) over the total intervention periods, analysed on an intention-to-treat basis. Severe hypoglycaemia (requiring third party assistance) was a secondary endpoint. This trial is registered with ClinicalTrials.gov, number NCT01787903.\nFINDINGS: Between March 4, 2013, and Feb 9, 2015, we recruited and randomly assigned 52 patients to either the CGM-SMBG sequence (n=26) or the SMBG-CGM sequence (n=26). The last patient visit was on March 21, 2016. Time spent in normoglycaemia was higher during CGM than during SMBG: 65·0% (95% CI 62·8-67·3) versus 55·4% (53·1-57·7; mean difference 9·6%, 95% CI 8·0-11·2; p&lt;0·0001), with reductions in both time spent in hypoglycaemia (ie, blood glucose ≤3·9 mmol/L [6·8% vs 11·4%, mean difference 4·7%, 3·4-5·9; p&lt;0·0001]) and time spent in hyperglycaemia (ie, blood glucose &gt;10 mmol/L [28·2% vs 33·2%, mean difference 5·0%, 3·1-6·9; p&lt;0·0001]). During CGM, the number of severe hypoglycaemic events was lower (14 events vs 34 events, p=0·033). Five serious adverse events other than severe hypoglycaemia occurred during the trial, but all were deemed unrelated to the trial intervention. Additionally, no mild to moderate adverse events were related to the trial intervention.\nINTERPRETATION: CGM increased time spent in normoglycaemia and reduced severe hypoglycaemia in patients with type 1 diabetes and impaired awareness of hypoglycaemia, compared with SMBG. Our results support the concept of using CGM in this high-risk population.\nFUNDING: Eli Lilly and Sanofi.","container-title":"The Lancet. Diabetes &amp; Endocrinology","DOI":"10.1016/S2213-8587(16)30193-0","ISSN":"2213-8595","issue":"11","journalAbbreviation":"Lancet Diabetes Endocrinol","language":"eng","note":"PMID: 27641781","page":"893-902","source":"PubMed","title":"Continuous glucose monitoring for patients with type 1 diabetes and impaired awareness of hypoglycaemia (IN CONTROL): a randomised, open-label, crossover trial","title-short":"Continuous glucose monitoring for patients with type 1 diabetes and impaired awareness of hypoglycaemia (IN CONTROL)","volume":"4","author":[{"family":"Beers","given":"Cornelis A. J.","non-dropping-particle":"van"},{"family":"DeVries","given":"J. Hans"},{"family":"Kleijer","given":"Susanne J."},{"family":"Smits","given":"Mark M."},{"family":"Geelhoed-Duijvestijn","given":"Petronella H."},{"family":"Kramer","given":"Mark H. H."},{"family":"Diamant","given":"Michaela"},{"family":"Snoek","given":"Frank J."},{"family":"Serné","given":"Erik H."}],"issued":{"date-parts":[["2016"]]}}},{"id":2649,"uris":["http://zotero.org/groups/369679/items/RLZQIN7C"],"uri":["http://zotero.org/groups/369679/items/RLZQIN7C"],"itemData":{"id":2649,"type":"article-journal","abstract":"Importance: Previous clinical trials showing the benefit of continuous glucose monitoring (CGM) in the management of type 1 diabetes predominantly have included adults using insulin pumps, even though the majority of adults with type 1 diabetes administer insulin by injection.\nObjective: To determine the effectiveness of CGM in adults with type 1 diabetes treated with insulin injections.\nDesign, Setting, and Participants: Randomized clinical trial conducted between October 2014 and May 2016 at 24 endocrinology practices in the United States that included 158 adults with type 1 diabetes who were using multiple daily insulin injections and had hemoglobin A1c (HbA1c) levels of 7.5% to 9.9%.\nInterventions: Random assignment 2:1 to CGM (n = 105) or usual care (control group; n = 53).\nMain Outcomes and Measures: Primary outcome measure was the difference in change in central-laboratory-measured HbA1c level from baseline to 24 weeks. There were 18 secondary or exploratory end points, of which 15 are reported in this article, including duration of hypoglycemia at less than 70 mg/dL, measured with CGM for 7 days at 12 and 24 weeks.\nResults: Among the 158 randomized participants (mean age, 48 years [SD, 13]; 44% women; mean baseline HbA1c level, 8.6% [SD, 0.6%]; and median diabetes duration, 19 years [interquartile range, 10-31 years]), 155 (98%) completed the study. In the CGM group, 93% used CGM 6 d/wk or more in month 6. Mean HbA1c reduction from baseline was 1.1% at 12 weeks and 1.0% at 24 weeks in the CGM group and 0.5% and 0.4%, respectively, in the control group (repeated-measures model P &lt; .001). At 24 weeks, the adjusted treatment-group difference in mean change in HbA1c level from baseline was -0.6% (95% CI, -0.8% to -0.3%; P &lt; .001). Median duration of hypoglycemia at less than &lt;70 mg/dL was 43 min/d (IQR, 27-69) in the CGM group vs 80 min/d (IQR, 36-111) in the control group (P = .002). Severe hypoglycemia events occurred in 2 participants in each group.\nConclusions and Relevance: Among adults with type 1 diabetes who used multiple daily insulin injections, the use of CGM compared with usual care resulted in a greater decrease in HbA1c level during 24 weeks. Further research is needed to assess longer-term effectiveness, as well as clinical outcomes and adverse effects.\nTrial Registration: clinicaltrials.gov Identifier: NCT02282397.","container-title":"JAMA","DOI":"10.1001/jama.2016.19975","ISSN":"1538-3598","issue":"4","journalAbbreviation":"JAMA","language":"eng","note":"PMID: 28118453","page":"371-378","source":"PubMed","title":"Effect of Continuous Glucose Monitoring on Glycemic Control in Adults With Type 1 Diabetes Using Insulin Injections: The DIAMOND Randomized Clinical Trial","title-short":"Effect of Continuous Glucose Monitoring on Glycemic Control in Adults With Type 1 Diabetes Using Insulin Injections","volume":"317","author":[{"family":"Beck","given":"Roy W."},{"family":"Riddlesworth","given":"Tonya"},{"family":"Ruedy","given":"Katrina"},{"family":"Ahmann","given":"Andrew"},{"family":"Bergenstal","given":"Richard"},{"family":"Haller","given":"Stacie"},{"family":"Kollman","given":"Craig"},{"family":"Kruger","given":"Davida"},{"family":"McGill","given":"Janet B."},{"family":"Polonsky","given":"William"},{"family":"Toschi","given":"Elena"},{"family":"Wolpert","given":"Howard"},{"family":"Price","given":"David"},{"literal":"DIAMOND Study Group"}],"issued":{"date-parts":[["2017"]],"season":"24"}}}],"schema":"https://github.com/citation-style-language/schema/raw/master/csl-citation.json"} </w:instrText>
      </w:r>
      <w:r w:rsidR="000D5BEA" w:rsidRPr="0035461C">
        <w:rPr>
          <w:rFonts w:ascii="Calibri" w:hAnsi="Calibri" w:cs="Calibri"/>
        </w:rPr>
        <w:fldChar w:fldCharType="separate"/>
      </w:r>
      <w:r w:rsidR="00076F77" w:rsidRPr="00076F77">
        <w:rPr>
          <w:rFonts w:ascii="Calibri" w:hAnsi="Calibri" w:cs="Calibri"/>
        </w:rPr>
        <w:t>(42–44,76)</w:t>
      </w:r>
      <w:r w:rsidR="000D5BEA" w:rsidRPr="0035461C">
        <w:rPr>
          <w:rFonts w:ascii="Calibri" w:hAnsi="Calibri" w:cs="Calibri"/>
        </w:rPr>
        <w:fldChar w:fldCharType="end"/>
      </w:r>
      <w:r w:rsidR="008E56C6" w:rsidRPr="0035461C">
        <w:rPr>
          <w:rFonts w:ascii="Calibri" w:hAnsi="Calibri" w:cs="Calibri"/>
        </w:rPr>
        <w:t xml:space="preserve">; </w:t>
      </w:r>
      <w:r w:rsidR="00B92FA7" w:rsidRPr="0035461C">
        <w:rPr>
          <w:rFonts w:ascii="Calibri" w:hAnsi="Calibri" w:cs="Calibri"/>
        </w:rPr>
        <w:t xml:space="preserve">RCTs of the original </w:t>
      </w:r>
      <w:proofErr w:type="spellStart"/>
      <w:r w:rsidR="008E56C6" w:rsidRPr="0035461C">
        <w:rPr>
          <w:rFonts w:ascii="Calibri" w:hAnsi="Calibri" w:cs="Calibri"/>
        </w:rPr>
        <w:t>isCGM</w:t>
      </w:r>
      <w:proofErr w:type="spellEnd"/>
      <w:r w:rsidR="008E56C6" w:rsidRPr="0035461C">
        <w:rPr>
          <w:rFonts w:ascii="Calibri" w:hAnsi="Calibri" w:cs="Calibri"/>
        </w:rPr>
        <w:t xml:space="preserve"> </w:t>
      </w:r>
      <w:r w:rsidR="00B92FA7" w:rsidRPr="0035461C">
        <w:rPr>
          <w:rFonts w:ascii="Calibri" w:hAnsi="Calibri" w:cs="Calibri"/>
        </w:rPr>
        <w:t>devices</w:t>
      </w:r>
      <w:r w:rsidR="008E56C6" w:rsidRPr="0035461C">
        <w:rPr>
          <w:rFonts w:ascii="Calibri" w:hAnsi="Calibri" w:cs="Calibri"/>
        </w:rPr>
        <w:t xml:space="preserve"> are more mixed</w:t>
      </w:r>
      <w:r w:rsidR="00D54634" w:rsidRPr="0035461C">
        <w:rPr>
          <w:rFonts w:ascii="Calibri" w:hAnsi="Calibri" w:cs="Calibri"/>
        </w:rPr>
        <w:t xml:space="preserve"> </w:t>
      </w:r>
      <w:r w:rsidR="008E56C6" w:rsidRPr="0035461C">
        <w:rPr>
          <w:rFonts w:ascii="Calibri" w:hAnsi="Calibri" w:cs="Calibri"/>
        </w:rPr>
        <w:t xml:space="preserve">but observational data </w:t>
      </w:r>
      <w:r w:rsidR="0019450E" w:rsidRPr="0035461C">
        <w:rPr>
          <w:rFonts w:ascii="Calibri" w:hAnsi="Calibri" w:cs="Calibri"/>
        </w:rPr>
        <w:t>are</w:t>
      </w:r>
      <w:r w:rsidR="008E56C6" w:rsidRPr="0035461C">
        <w:rPr>
          <w:rFonts w:ascii="Calibri" w:hAnsi="Calibri" w:cs="Calibri"/>
        </w:rPr>
        <w:t xml:space="preserve"> supportive of </w:t>
      </w:r>
      <w:r w:rsidR="00B92FA7" w:rsidRPr="0035461C">
        <w:rPr>
          <w:rFonts w:ascii="Calibri" w:hAnsi="Calibri" w:cs="Calibri"/>
        </w:rPr>
        <w:t>their</w:t>
      </w:r>
      <w:r w:rsidR="008E56C6" w:rsidRPr="0035461C">
        <w:rPr>
          <w:rFonts w:ascii="Calibri" w:hAnsi="Calibri" w:cs="Calibri"/>
        </w:rPr>
        <w:t xml:space="preserve"> use. </w:t>
      </w:r>
      <w:r w:rsidR="00146490">
        <w:rPr>
          <w:rFonts w:ascii="Calibri" w:hAnsi="Calibri" w:cs="Calibri"/>
        </w:rPr>
        <w:t xml:space="preserve">However, switching from is-CGM without alarms to </w:t>
      </w:r>
      <w:proofErr w:type="spellStart"/>
      <w:r w:rsidR="00146490">
        <w:rPr>
          <w:rFonts w:ascii="Calibri" w:hAnsi="Calibri" w:cs="Calibri"/>
        </w:rPr>
        <w:t>rt</w:t>
      </w:r>
      <w:proofErr w:type="spellEnd"/>
      <w:r w:rsidR="00146490">
        <w:rPr>
          <w:rFonts w:ascii="Calibri" w:hAnsi="Calibri" w:cs="Calibri"/>
        </w:rPr>
        <w:t>-CGM improved time-in-range, HbA</w:t>
      </w:r>
      <w:r w:rsidR="00146490" w:rsidRPr="00146490">
        <w:rPr>
          <w:rFonts w:ascii="Calibri" w:hAnsi="Calibri" w:cs="Calibri"/>
          <w:vertAlign w:val="subscript"/>
        </w:rPr>
        <w:t>1c</w:t>
      </w:r>
      <w:r w:rsidR="00146490">
        <w:rPr>
          <w:rFonts w:ascii="Calibri" w:hAnsi="Calibri" w:cs="Calibri"/>
        </w:rPr>
        <w:t xml:space="preserve"> and reduced </w:t>
      </w:r>
      <w:r w:rsidR="00A765E6">
        <w:rPr>
          <w:rFonts w:ascii="Calibri" w:hAnsi="Calibri" w:cs="Calibri"/>
        </w:rPr>
        <w:t>level 3</w:t>
      </w:r>
      <w:r w:rsidR="002516DF">
        <w:rPr>
          <w:rFonts w:ascii="Calibri" w:hAnsi="Calibri" w:cs="Calibri"/>
        </w:rPr>
        <w:t xml:space="preserve"> hypo</w:t>
      </w:r>
      <w:r w:rsidR="00146490">
        <w:rPr>
          <w:rFonts w:ascii="Calibri" w:hAnsi="Calibri" w:cs="Calibri"/>
        </w:rPr>
        <w:t>glycaemia</w:t>
      </w:r>
      <w:r w:rsidR="004B7936">
        <w:rPr>
          <w:rFonts w:ascii="Calibri" w:hAnsi="Calibri" w:cs="Calibri"/>
        </w:rPr>
        <w:t xml:space="preserve"> </w:t>
      </w:r>
      <w:r w:rsidR="004B7936">
        <w:rPr>
          <w:rFonts w:ascii="Calibri" w:hAnsi="Calibri" w:cs="Calibri"/>
        </w:rPr>
        <w:fldChar w:fldCharType="begin"/>
      </w:r>
      <w:r w:rsidR="00076F77">
        <w:rPr>
          <w:rFonts w:ascii="Calibri" w:hAnsi="Calibri" w:cs="Calibri"/>
        </w:rPr>
        <w:instrText xml:space="preserve"> ADDIN ZOTERO_ITEM CSL_CITATION {"citationID":"xShrivCd","properties":{"formattedCitation":"(77)","plainCitation":"(77)","noteIndex":0},"citationItems":[{"id":12512,"uris":["http://zotero.org/groups/369679/items/8THL8ULN"],"uri":["http://zotero.org/groups/369679/items/8THL8ULN"],"itemData":{"id":12512,"type":"article-journal","abstract":"BACKGROUND: People with type 1 diabetes can continuously monitor their glucose levels on demand (intermittently scanned continuous glucose monitoring [isCGM]), or in real time (real-time continuous glucose monitoring [rtCGM]). However, it is unclear whether switching from isCGM to rtCGM with alert functionality offers additional benefits. Therefore, we did a trial comparing rtCGM and isCGM in adults with type 1 diabetes (ALERTT1).\nMETHODS: We did a prospective, double-arm, parallel-group, multicentre, randomised controlled trial in six hospitals in Belgium. Adults with type 1 diabetes who previously used isCGM were randomly assigned (1:1) to rtCGM (intervention) or isCGM (control). Randomisation was done centrally using minimisation dependent on study centre, age, gender, glycated haemoglobin (HbA1c), time in range (sensor glucose 3·9-10·0 mmol/L), insulin administration method, and hypoglycaemia awareness. Participants, investigators, and study teams were not masked to group allocation. Primary endpoint was mean between-group difference in time in range after 6 months assessed in the intention-to-treat sample. This trial is registered with ClinicalTrials.gov, NCT03772600.\nFINDINGS: Between Jan 29 and Jul 30, 2019, 269 participants were recruited, of whom 254 were randomly assigned to rtCGM (n=127) or isCGM (n=127); 124 and 122 participants completed the study, respectively. After 6 months, time in range was higher with rtCGM than with isCGM (59·6% vs 51·9%; mean difference 6·85 percentage points [95% CI 4·36-9·34]; p&lt;0·0001). After 6 months HbA1c was lower (7·1% vs 7·4%; p&lt;0·0001), as was time &lt;3·0 mmol/L (0·47% vs 0·84%; p=0·0070), and Hypoglycaemia Fear Survey version II worry subscale score (15·4 vs 18·0; p=0·0071). Fewer participants on rtCGM experienced severe hypoglycaemia (n=3 vs n=13; p=0·0082). Skin reaction was more frequently observed with isCGM and bleeding after sensor insertion was more frequently reported by rtCGM users.\nINTERPRETATION: In an unselected adult type 1 diabetes population, switching from isCGM to rtCGM significantly improved time in range after 6 months of treatment, implying that clinicians should consider rtCGM instead of isCGM to improve the health and quality of life of people with type 1 diabetes.\nFUNDING: Dexcom.","container-title":"Lancet (London, England)","DOI":"10.1016/S0140-6736(21)00789-3","ISSN":"1474-547X","issue":"10291","journalAbbreviation":"Lancet","language":"eng","note":"PMID: 34089660","page":"2275-2283","source":"PubMed","title":"Comparing real-time and intermittently scanned continuous glucose monitoring in adults with type 1 diabetes (ALERTT1): a 6-month, prospective, multicentre, randomised controlled trial","title-short":"Comparing real-time and intermittently scanned continuous glucose monitoring in adults with type 1 diabetes (ALERTT1)","volume":"397","author":[{"family":"Visser","given":"Margaretha M."},{"family":"Charleer","given":"Sara"},{"family":"Fieuws","given":"Steffen"},{"family":"De Block","given":"Christophe"},{"family":"Hilbrands","given":"Robert"},{"family":"Van Huffel","given":"Liesbeth"},{"family":"Maes","given":"Toon"},{"family":"Vanhaverbeke","given":"Gerd"},{"family":"Dirinck","given":"Eveline"},{"family":"Myngheer","given":"Nele"},{"family":"Vercammen","given":"Chris"},{"family":"Nobels","given":"Frank"},{"family":"Keymeulen","given":"Bart"},{"family":"Mathieu","given":"Chantal"},{"family":"Gillard","given":"Pieter"}],"issued":{"date-parts":[["2021",6,12]]}}}],"schema":"https://github.com/citation-style-language/schema/raw/master/csl-citation.json"} </w:instrText>
      </w:r>
      <w:r w:rsidR="004B7936">
        <w:rPr>
          <w:rFonts w:ascii="Calibri" w:hAnsi="Calibri" w:cs="Calibri"/>
        </w:rPr>
        <w:fldChar w:fldCharType="separate"/>
      </w:r>
      <w:r w:rsidR="00076F77" w:rsidRPr="00076F77">
        <w:rPr>
          <w:rFonts w:ascii="Calibri" w:hAnsi="Calibri" w:cs="Calibri"/>
        </w:rPr>
        <w:t>(77)</w:t>
      </w:r>
      <w:r w:rsidR="004B7936">
        <w:rPr>
          <w:rFonts w:ascii="Calibri" w:hAnsi="Calibri" w:cs="Calibri"/>
        </w:rPr>
        <w:fldChar w:fldCharType="end"/>
      </w:r>
      <w:r w:rsidR="00146490">
        <w:rPr>
          <w:rFonts w:ascii="Calibri" w:hAnsi="Calibri" w:cs="Calibri"/>
        </w:rPr>
        <w:t>. RT</w:t>
      </w:r>
      <w:r w:rsidR="008E56C6" w:rsidRPr="0035461C">
        <w:rPr>
          <w:rFonts w:ascii="Calibri" w:hAnsi="Calibri" w:cs="Calibri"/>
        </w:rPr>
        <w:t>-</w:t>
      </w:r>
      <w:r w:rsidR="00951800" w:rsidRPr="0035461C">
        <w:rPr>
          <w:rFonts w:ascii="Calibri" w:hAnsi="Calibri" w:cs="Calibri"/>
        </w:rPr>
        <w:t xml:space="preserve">CGM </w:t>
      </w:r>
      <w:r>
        <w:rPr>
          <w:rFonts w:ascii="Calibri" w:hAnsi="Calibri" w:cs="Calibri"/>
        </w:rPr>
        <w:t>is</w:t>
      </w:r>
      <w:r w:rsidR="00951800" w:rsidRPr="0035461C">
        <w:rPr>
          <w:rFonts w:ascii="Calibri" w:hAnsi="Calibri" w:cs="Calibri"/>
        </w:rPr>
        <w:t xml:space="preserve"> beneficial in reducing </w:t>
      </w:r>
      <w:r w:rsidR="00632367" w:rsidRPr="0035461C">
        <w:rPr>
          <w:rFonts w:ascii="Calibri" w:hAnsi="Calibri" w:cs="Calibri"/>
        </w:rPr>
        <w:t xml:space="preserve">the burden of </w:t>
      </w:r>
      <w:r w:rsidR="00951800" w:rsidRPr="0035461C">
        <w:rPr>
          <w:rFonts w:ascii="Calibri" w:hAnsi="Calibri" w:cs="Calibri"/>
        </w:rPr>
        <w:t>hypoglyc</w:t>
      </w:r>
      <w:r w:rsidR="00B92FA7" w:rsidRPr="0035461C">
        <w:rPr>
          <w:rFonts w:ascii="Calibri" w:hAnsi="Calibri" w:cs="Calibri"/>
        </w:rPr>
        <w:t>a</w:t>
      </w:r>
      <w:r w:rsidR="00951800" w:rsidRPr="0035461C">
        <w:rPr>
          <w:rFonts w:ascii="Calibri" w:hAnsi="Calibri" w:cs="Calibri"/>
        </w:rPr>
        <w:t>emia in older adults with type 1 diabetes</w:t>
      </w:r>
      <w:r w:rsidR="00AE1415" w:rsidRPr="0035461C">
        <w:rPr>
          <w:rFonts w:ascii="Calibri" w:hAnsi="Calibri" w:cs="Calibri"/>
        </w:rPr>
        <w:t xml:space="preserve"> </w:t>
      </w:r>
      <w:r w:rsidR="00AE1415" w:rsidRPr="0035461C">
        <w:rPr>
          <w:rFonts w:ascii="Calibri" w:hAnsi="Calibri" w:cs="Calibri"/>
        </w:rPr>
        <w:fldChar w:fldCharType="begin"/>
      </w:r>
      <w:r w:rsidR="00076F77">
        <w:rPr>
          <w:rFonts w:ascii="Calibri" w:hAnsi="Calibri" w:cs="Calibri"/>
        </w:rPr>
        <w:instrText xml:space="preserve"> ADDIN ZOTERO_ITEM CSL_CITATION {"citationID":"KIEdHPd0","properties":{"formattedCitation":"(78)","plainCitation":"(78)","noteIndex":0},"citationItems":[{"id":10737,"uris":["http://zotero.org/groups/369679/items/CVCMVLDC"],"uri":["http://zotero.org/groups/369679/items/CVCMVLDC"],"itemData":{"id":10737,"type":"article-journal","abstract":"Importance: Continuous glucose monitoring (CGM) provides real-time assessment of glucose levels and may be beneficial in reducing hypoglycemia in older adults with type 1 diabetes.\nObjective: To determine whether CGM is effective in reducing hypoglycemia compared with standard blood glucose monitoring (BGM) in older adults with type 1 diabetes.\nDesign, Setting, and Participants: Randomized clinical trial conducted at 22 endocrinology practices in the United States among 203 adults at least 60 years of age with type 1 diabetes.\nInterventions: Participants were randomly assigned in a 1:1 ratio to use CGM (n = 103) or standard BGM (n = 100).\nMain Outcomes and Measures: The primary outcome was CGM-measured percentage of time that sensor glucose values were less than 70 mg/dL during 6 months of follow-up. There were 31 prespecified secondary outcomes, including additional CGM metrics for hypoglycemia, hyperglycemia, and glucose control; hemoglobin A1c (HbA1c); and cognition and patient-reported outcomes, with adjustment for multiple comparisons to control for false-discovery rate.\nResults: Of the 203 participants (median age, 68 [interquartile range {IQR}, 65-71] years; median type 1 diabetes duration, 36 [IQR, 25-48] years; 52% female; 53% insulin pump use; mean HbA1c, 7.5% [SD, 0.9%]), 83% used CGM at least 6 days per week during month 6. Median time with glucose levels less than 70 mg/dL was 5.1% (73 minutes per day) at baseline and 2.7% (39 minutes per day) during follow-up in the CGM group vs 4.7% (68 minutes per day) and 4.9% (70 minutes per day), respectively, in the standard BGM group (adjusted treatment difference, -1.9% (-27 minutes per day); 95% CI, -2.8% to -1.1% [-40 to -16 minutes per day]; P &lt;.001). Of the 31 prespecified secondary end points, there were statistically significant differences for all 9 CGM metrics, 6 of 7 HbA1c outcomes, and none of the 15 cognitive and patient-reported outcomes. Mean HbA1c decreased in the CGM group compared with the standard BGM group (adjusted group difference, -0.3%; 95% CI, -0.4% to -0.1%; P &lt;.001). The most commonly reported adverse events using CGM and standard BGM, respectively, were severe hypoglycemia (1 and 10), fractures (5 and 1), falls (4 and 3), and emergency department visits (6 and 8).\nConclusions and Relevance: Among adults aged 60 years or older with type 1 diabetes, continuous glucose monitoring compared with standard blood glucose monitoring resulted in a small but statistically significant improvement in hypoglycemia over 6 months. Further research is needed to understand the long-term clinical benefit.\nTrial Registration: ClinicalTrials.gov Identifier: NCT03240432.","container-title":"JAMA","DOI":"10.1001/jama.2020.6928","ISSN":"1538-3598","issue":"23","journalAbbreviation":"JAMA","language":"eng","note":"PMID: 32543682\nPMCID: PMC7298607","page":"2397-2406","source":"PubMed","title":"Effect of Continuous Glucose Monitoring on Hypoglycemia in Older Adults With Type 1 Diabetes: A Randomized Clinical Trial","title-short":"Effect of Continuous Glucose Monitoring on Hypoglycemia in Older Adults With Type 1 Diabetes","volume":"323","author":[{"family":"Pratley","given":"Richard E."},{"family":"Kanapka","given":"Lauren G."},{"family":"Rickels","given":"Michael R."},{"family":"Ahmann","given":"Andrew"},{"family":"Aleppo","given":"Grazia"},{"family":"Beck","given":"Roy"},{"family":"Bhargava","given":"Anuj"},{"family":"Bode","given":"Bruce W."},{"family":"Carlson","given":"Anders"},{"family":"Chaytor","given":"Naomi S."},{"family":"Fox","given":"D. Steven"},{"family":"Goland","given":"Robin"},{"family":"Hirsch","given":"Irl B."},{"family":"Kruger","given":"Davida"},{"family":"Kudva","given":"Yogish C."},{"family":"Levy","given":"Carol"},{"family":"McGill","given":"Janet B."},{"family":"Peters","given":"Anne"},{"family":"Philipson","given":"Louis"},{"family":"Philis-Tsimikas","given":"Athena"},{"family":"Pop-Busui","given":"Rodica"},{"family":"Shah","given":"Viral N."},{"family":"Thompson","given":"Michael"},{"family":"Vendrame","given":"Francesco"},{"family":"Verdejo","given":"Alandra"},{"family":"Weinstock","given":"Ruth S."},{"family":"Young","given":"Laura"},{"family":"Miller","given":"Kellee M."},{"literal":"Wireless Innovation for Seniors With Diabetes Mellitus (WISDM) Study Group"}],"issued":{"date-parts":[["2020"]],"season":"16"}}}],"schema":"https://github.com/citation-style-language/schema/raw/master/csl-citation.json"} </w:instrText>
      </w:r>
      <w:r w:rsidR="00AE1415" w:rsidRPr="0035461C">
        <w:rPr>
          <w:rFonts w:ascii="Calibri" w:hAnsi="Calibri" w:cs="Calibri"/>
        </w:rPr>
        <w:fldChar w:fldCharType="separate"/>
      </w:r>
      <w:r w:rsidR="00076F77" w:rsidRPr="00076F77">
        <w:rPr>
          <w:rFonts w:ascii="Calibri" w:hAnsi="Calibri" w:cs="Calibri"/>
        </w:rPr>
        <w:t>(78)</w:t>
      </w:r>
      <w:r w:rsidR="00AE1415" w:rsidRPr="0035461C">
        <w:rPr>
          <w:rFonts w:ascii="Calibri" w:hAnsi="Calibri" w:cs="Calibri"/>
        </w:rPr>
        <w:fldChar w:fldCharType="end"/>
      </w:r>
      <w:r w:rsidR="00B92FA7" w:rsidRPr="0035461C">
        <w:rPr>
          <w:rFonts w:ascii="Calibri" w:hAnsi="Calibri" w:cs="Calibri"/>
        </w:rPr>
        <w:t xml:space="preserve"> and those with impaired awareness of hypoglycaemia</w:t>
      </w:r>
      <w:r w:rsidR="00396156" w:rsidRPr="0035461C">
        <w:rPr>
          <w:rFonts w:ascii="Calibri" w:hAnsi="Calibri" w:cs="Calibri"/>
        </w:rPr>
        <w:t xml:space="preserve"> </w:t>
      </w:r>
      <w:r w:rsidR="006F0B22" w:rsidRPr="0035461C">
        <w:rPr>
          <w:rFonts w:ascii="Calibri" w:hAnsi="Calibri" w:cs="Calibri"/>
        </w:rPr>
        <w:fldChar w:fldCharType="begin"/>
      </w:r>
      <w:r w:rsidR="00076F77">
        <w:rPr>
          <w:rFonts w:ascii="Calibri" w:hAnsi="Calibri" w:cs="Calibri"/>
        </w:rPr>
        <w:instrText xml:space="preserve"> ADDIN ZOTERO_ITEM CSL_CITATION {"citationID":"a4q3bjBx","properties":{"formattedCitation":"(44)","plainCitation":"(44)","noteIndex":0},"citationItems":[{"id":3716,"uris":["http://zotero.org/groups/369679/items/LVQW5IZV"],"uri":["http://zotero.org/groups/369679/items/LVQW5IZV"],"itemData":{"id":3716,"type":"article-journal","abstract":"BACKGROUND: Patients with type 1 diabetes who have impaired awareness of hypoglycaemia have a three to six times increased risk of severe hypoglycaemia. We aimed to assess whether continuous glucose monitoring (CGM) improves glycaemia and prevents severe hypoglycaemia compared with self-monitoring of blood glucose (SMBG) in this high-risk population.\nMETHODS: We did a randomised, open-label, crossover trial (IN CONTROL) at two medical centres in the Netherlands. Eligible participants were patients diagnosed with type 1 diabetes according to American Diabetes Association criteria, aged 18-75 years, with impaired awareness of hypoglycaemia as confirmed by a Gold score of at least 4, and treated with either continuous subcutaneous insulin infusion or multiple daily insulin injections and doing at least three SMBG measurements per day. After screening, re-education about diabetes management, and a 6-week run-in phase (to obtain baseline CGM data), we randomly assigned patients (1:1) with a computer-generated allocation sequence (block size of four) to either 16 weeks of CGM followed by 12 weeks of washout and 16 weeks of SMBG, or 16 weeks of SMBG followed by 12 weeks of washout and 16 weeks of CGM (where the SMBG phase was the control). During the CGM phase, patients used a real-time CGM system consisting of a Paradigm Veo system with a MiniLink transmitter and an Enlite glucose sensor (Medtronic, CA, USA). During the SMBG phase, patients were equipped with a masked CGM device, consisting of an iPro 2 continuous glucose monitor and an Enlite glucose sensor, which does not display real-time glucose values. The number of SMBG measurements per day and SMBG systems were not standardised between patients, to mimic real-life conditions. During both intervention periods, patients attended follow-up visits at the centres each month and had telephone consultations 2 weeks after each visit inquiring about adverse events, episodes of hypoglycaemia, etc. The primary endpoint was the mean difference in percentage of time spent in normoglycaemia (4-10 mmol/L) over the total intervention periods, analysed on an intention-to-treat basis. Severe hypoglycaemia (requiring third party assistance) was a secondary endpoint. This trial is registered with ClinicalTrials.gov, number NCT01787903.\nFINDINGS: Between March 4, 2013, and Feb 9, 2015, we recruited and randomly assigned 52 patients to either the CGM-SMBG sequence (n=26) or the SMBG-CGM sequence (n=26). The last patient visit was on March 21, 2016. Time spent in normoglycaemia was higher during CGM than during SMBG: 65·0% (95% CI 62·8-67·3) versus 55·4% (53·1-57·7; mean difference 9·6%, 95% CI 8·0-11·2; p&lt;0·0001), with reductions in both time spent in hypoglycaemia (ie, blood glucose ≤3·9 mmol/L [6·8% vs 11·4%, mean difference 4·7%, 3·4-5·9; p&lt;0·0001]) and time spent in hyperglycaemia (ie, blood glucose &gt;10 mmol/L [28·2% vs 33·2%, mean difference 5·0%, 3·1-6·9; p&lt;0·0001]). During CGM, the number of severe hypoglycaemic events was lower (14 events vs 34 events, p=0·033). Five serious adverse events other than severe hypoglycaemia occurred during the trial, but all were deemed unrelated to the trial intervention. Additionally, no mild to moderate adverse events were related to the trial intervention.\nINTERPRETATION: CGM increased time spent in normoglycaemia and reduced severe hypoglycaemia in patients with type 1 diabetes and impaired awareness of hypoglycaemia, compared with SMBG. Our results support the concept of using CGM in this high-risk population.\nFUNDING: Eli Lilly and Sanofi.","container-title":"The Lancet. Diabetes &amp; Endocrinology","DOI":"10.1016/S2213-8587(16)30193-0","ISSN":"2213-8595","issue":"11","journalAbbreviation":"Lancet Diabetes Endocrinol","language":"eng","note":"PMID: 27641781","page":"893-902","source":"PubMed","title":"Continuous glucose monitoring for patients with type 1 diabetes and impaired awareness of hypoglycaemia (IN CONTROL): a randomised, open-label, crossover trial","title-short":"Continuous glucose monitoring for patients with type 1 diabetes and impaired awareness of hypoglycaemia (IN CONTROL)","volume":"4","author":[{"family":"Beers","given":"Cornelis A. J.","non-dropping-particle":"van"},{"family":"DeVries","given":"J. Hans"},{"family":"Kleijer","given":"Susanne J."},{"family":"Smits","given":"Mark M."},{"family":"Geelhoed-Duijvestijn","given":"Petronella H."},{"family":"Kramer","given":"Mark H. H."},{"family":"Diamant","given":"Michaela"},{"family":"Snoek","given":"Frank J."},{"family":"Serné","given":"Erik H."}],"issued":{"date-parts":[["2016"]]}}}],"schema":"https://github.com/citation-style-language/schema/raw/master/csl-citation.json"} </w:instrText>
      </w:r>
      <w:r w:rsidR="006F0B22" w:rsidRPr="0035461C">
        <w:rPr>
          <w:rFonts w:ascii="Calibri" w:hAnsi="Calibri" w:cs="Calibri"/>
        </w:rPr>
        <w:fldChar w:fldCharType="separate"/>
      </w:r>
      <w:r w:rsidR="001C2617" w:rsidRPr="001C2617">
        <w:rPr>
          <w:rFonts w:ascii="Calibri" w:hAnsi="Calibri" w:cs="Calibri"/>
        </w:rPr>
        <w:t>(44)</w:t>
      </w:r>
      <w:r w:rsidR="006F0B22" w:rsidRPr="0035461C">
        <w:rPr>
          <w:rFonts w:ascii="Calibri" w:hAnsi="Calibri" w:cs="Calibri"/>
        </w:rPr>
        <w:fldChar w:fldCharType="end"/>
      </w:r>
      <w:r w:rsidR="00396156" w:rsidRPr="0035461C">
        <w:rPr>
          <w:rFonts w:ascii="Calibri" w:hAnsi="Calibri" w:cs="Calibri"/>
        </w:rPr>
        <w:t>.</w:t>
      </w:r>
      <w:r w:rsidR="00951800" w:rsidRPr="0035461C">
        <w:rPr>
          <w:rFonts w:ascii="Calibri" w:hAnsi="Calibri" w:cs="Calibri"/>
        </w:rPr>
        <w:t xml:space="preserve"> </w:t>
      </w:r>
      <w:r w:rsidR="00671412" w:rsidRPr="0035461C">
        <w:rPr>
          <w:rFonts w:ascii="Calibri" w:hAnsi="Calibri" w:cs="Calibri"/>
        </w:rPr>
        <w:t xml:space="preserve">Most people with type 1 diabetes can benefit from this technology with appropriate initial and ongoing education, including frequent observation of the glucose trends. </w:t>
      </w:r>
      <w:r w:rsidR="00211B9A">
        <w:rPr>
          <w:rFonts w:ascii="Calibri" w:hAnsi="Calibri" w:cs="Calibri"/>
        </w:rPr>
        <w:t>T</w:t>
      </w:r>
      <w:r w:rsidR="00211B9A" w:rsidRPr="0035461C">
        <w:rPr>
          <w:rFonts w:ascii="Calibri" w:hAnsi="Calibri" w:cs="Calibri"/>
        </w:rPr>
        <w:t xml:space="preserve">he choice of the device should be based on individual preferences and </w:t>
      </w:r>
      <w:r w:rsidR="00211B9A">
        <w:rPr>
          <w:rFonts w:ascii="Calibri" w:hAnsi="Calibri" w:cs="Calibri"/>
        </w:rPr>
        <w:t>circumstances</w:t>
      </w:r>
      <w:r w:rsidR="00211B9A" w:rsidRPr="0035461C">
        <w:rPr>
          <w:rFonts w:ascii="Calibri" w:hAnsi="Calibri" w:cs="Calibri"/>
        </w:rPr>
        <w:t>.</w:t>
      </w:r>
    </w:p>
    <w:p w14:paraId="58226706" w14:textId="13840525" w:rsidR="00600B86" w:rsidRPr="0035461C" w:rsidRDefault="00671412" w:rsidP="001C5BC0">
      <w:pPr>
        <w:spacing w:before="120"/>
        <w:jc w:val="both"/>
        <w:rPr>
          <w:rFonts w:ascii="Calibri" w:hAnsi="Calibri" w:cs="Calibri"/>
        </w:rPr>
      </w:pPr>
      <w:r w:rsidRPr="0035461C">
        <w:rPr>
          <w:rFonts w:ascii="Calibri" w:hAnsi="Calibri" w:cs="Calibri"/>
        </w:rPr>
        <w:t xml:space="preserve">Some people may not find CGM valuable as they may feel that they do not require it or find it stressful because they dislike being ‘attached to a device’ or constantly reminded of their diabetes or feeling exhausted by alarms (alarm fatigue). </w:t>
      </w:r>
      <w:r w:rsidR="00632367" w:rsidRPr="0035461C">
        <w:rPr>
          <w:rFonts w:ascii="Calibri" w:hAnsi="Calibri" w:cs="Calibri"/>
        </w:rPr>
        <w:t>C</w:t>
      </w:r>
      <w:r w:rsidRPr="0035461C">
        <w:rPr>
          <w:rFonts w:ascii="Calibri" w:hAnsi="Calibri" w:cs="Calibri"/>
        </w:rPr>
        <w:t xml:space="preserve">ost considerations can </w:t>
      </w:r>
      <w:r w:rsidR="00632367" w:rsidRPr="0035461C">
        <w:rPr>
          <w:rFonts w:ascii="Calibri" w:hAnsi="Calibri" w:cs="Calibri"/>
        </w:rPr>
        <w:t xml:space="preserve">also </w:t>
      </w:r>
      <w:r w:rsidRPr="0035461C">
        <w:rPr>
          <w:rFonts w:ascii="Calibri" w:hAnsi="Calibri" w:cs="Calibri"/>
        </w:rPr>
        <w:t>play a role.</w:t>
      </w:r>
      <w:r w:rsidR="00E615B3" w:rsidRPr="0035461C">
        <w:rPr>
          <w:rFonts w:ascii="Calibri" w:hAnsi="Calibri" w:cs="Calibri"/>
        </w:rPr>
        <w:t xml:space="preserve"> </w:t>
      </w:r>
    </w:p>
    <w:p w14:paraId="6FB1F302" w14:textId="74401623" w:rsidR="00585489" w:rsidRPr="0035461C" w:rsidRDefault="00951800" w:rsidP="001C5BC0">
      <w:pPr>
        <w:autoSpaceDE w:val="0"/>
        <w:autoSpaceDN w:val="0"/>
        <w:adjustRightInd w:val="0"/>
        <w:spacing w:before="120"/>
        <w:jc w:val="both"/>
        <w:rPr>
          <w:rFonts w:ascii="Calibri" w:hAnsi="Calibri" w:cs="Calibri"/>
        </w:rPr>
      </w:pPr>
      <w:r w:rsidRPr="0035461C">
        <w:rPr>
          <w:rFonts w:ascii="Calibri" w:hAnsi="Calibri" w:cs="Calibri"/>
        </w:rPr>
        <w:t xml:space="preserve">Retrospective analysis of CGM data </w:t>
      </w:r>
      <w:r w:rsidR="00B92FA7" w:rsidRPr="0035461C">
        <w:rPr>
          <w:rFonts w:ascii="Calibri" w:hAnsi="Calibri" w:cs="Calibri"/>
        </w:rPr>
        <w:t xml:space="preserve">can </w:t>
      </w:r>
      <w:r w:rsidRPr="0035461C">
        <w:rPr>
          <w:rFonts w:ascii="Calibri" w:hAnsi="Calibri" w:cs="Calibri"/>
        </w:rPr>
        <w:t>guide</w:t>
      </w:r>
      <w:r w:rsidR="00B92FA7" w:rsidRPr="0035461C">
        <w:rPr>
          <w:rFonts w:ascii="Calibri" w:hAnsi="Calibri" w:cs="Calibri"/>
        </w:rPr>
        <w:t xml:space="preserve"> and enhance</w:t>
      </w:r>
      <w:r w:rsidRPr="0035461C">
        <w:rPr>
          <w:rFonts w:ascii="Calibri" w:hAnsi="Calibri" w:cs="Calibri"/>
        </w:rPr>
        <w:t xml:space="preserve"> therapeutic decision-making</w:t>
      </w:r>
      <w:r w:rsidR="00396156" w:rsidRPr="0035461C">
        <w:rPr>
          <w:rFonts w:ascii="Calibri" w:hAnsi="Calibri" w:cs="Calibri"/>
        </w:rPr>
        <w:t>,</w:t>
      </w:r>
      <w:r w:rsidRPr="0035461C">
        <w:rPr>
          <w:rFonts w:ascii="Calibri" w:hAnsi="Calibri" w:cs="Calibri"/>
        </w:rPr>
        <w:t xml:space="preserve"> patient understanding</w:t>
      </w:r>
      <w:r w:rsidR="00A14A64" w:rsidRPr="0035461C">
        <w:rPr>
          <w:rFonts w:ascii="Calibri" w:hAnsi="Calibri" w:cs="Calibri"/>
        </w:rPr>
        <w:t>,</w:t>
      </w:r>
      <w:r w:rsidRPr="0035461C">
        <w:rPr>
          <w:rFonts w:ascii="Calibri" w:hAnsi="Calibri" w:cs="Calibri"/>
        </w:rPr>
        <w:t xml:space="preserve"> and engagement in adjusting behavio</w:t>
      </w:r>
      <w:r w:rsidR="00396156" w:rsidRPr="0035461C">
        <w:rPr>
          <w:rFonts w:ascii="Calibri" w:hAnsi="Calibri" w:cs="Calibri"/>
        </w:rPr>
        <w:t>u</w:t>
      </w:r>
      <w:r w:rsidRPr="0035461C">
        <w:rPr>
          <w:rFonts w:ascii="Calibri" w:hAnsi="Calibri" w:cs="Calibri"/>
        </w:rPr>
        <w:t xml:space="preserve">rs. </w:t>
      </w:r>
      <w:r w:rsidR="009C6443" w:rsidRPr="0035461C">
        <w:rPr>
          <w:rFonts w:ascii="Calibri" w:hAnsi="Calibri" w:cs="Calibri"/>
          <w:shd w:val="clear" w:color="auto" w:fill="FFFFFF"/>
        </w:rPr>
        <w:t>Standardized</w:t>
      </w:r>
      <w:r w:rsidR="00585489" w:rsidRPr="0035461C">
        <w:rPr>
          <w:rFonts w:ascii="Calibri" w:hAnsi="Calibri" w:cs="Calibri"/>
          <w:shd w:val="clear" w:color="auto" w:fill="FFFFFF"/>
        </w:rPr>
        <w:t xml:space="preserve"> glucose reports with visual cues</w:t>
      </w:r>
      <w:r w:rsidR="00B92FA7" w:rsidRPr="0035461C">
        <w:rPr>
          <w:rFonts w:ascii="Calibri" w:hAnsi="Calibri" w:cs="Calibri"/>
          <w:shd w:val="clear" w:color="auto" w:fill="FFFFFF"/>
        </w:rPr>
        <w:t>,</w:t>
      </w:r>
      <w:r w:rsidR="00585489" w:rsidRPr="0035461C">
        <w:rPr>
          <w:rFonts w:ascii="Calibri" w:hAnsi="Calibri" w:cs="Calibri"/>
          <w:shd w:val="clear" w:color="auto" w:fill="FFFFFF"/>
        </w:rPr>
        <w:t xml:space="preserve"> such as the Ambulatory Glucose Profile (AGP) </w:t>
      </w:r>
      <w:r w:rsidR="00B92FA7" w:rsidRPr="0035461C">
        <w:rPr>
          <w:rFonts w:ascii="Calibri" w:hAnsi="Calibri" w:cs="Calibri"/>
          <w:shd w:val="clear" w:color="auto" w:fill="FFFFFF"/>
        </w:rPr>
        <w:t>and daily trac</w:t>
      </w:r>
      <w:r w:rsidR="00B02C53" w:rsidRPr="0035461C">
        <w:rPr>
          <w:rFonts w:ascii="Calibri" w:hAnsi="Calibri" w:cs="Calibri"/>
          <w:shd w:val="clear" w:color="auto" w:fill="FFFFFF"/>
        </w:rPr>
        <w:t>ing</w:t>
      </w:r>
      <w:r w:rsidR="00B92FA7" w:rsidRPr="0035461C">
        <w:rPr>
          <w:rFonts w:ascii="Calibri" w:hAnsi="Calibri" w:cs="Calibri"/>
          <w:shd w:val="clear" w:color="auto" w:fill="FFFFFF"/>
        </w:rPr>
        <w:t xml:space="preserve">s, </w:t>
      </w:r>
      <w:r w:rsidR="00585489" w:rsidRPr="0035461C">
        <w:rPr>
          <w:rFonts w:ascii="Calibri" w:hAnsi="Calibri" w:cs="Calibri"/>
          <w:shd w:val="clear" w:color="auto" w:fill="FFFFFF"/>
        </w:rPr>
        <w:t xml:space="preserve">should be </w:t>
      </w:r>
      <w:r w:rsidR="00D54634" w:rsidRPr="0035461C">
        <w:rPr>
          <w:rFonts w:ascii="Calibri" w:hAnsi="Calibri" w:cs="Calibri"/>
          <w:shd w:val="clear" w:color="auto" w:fill="FFFFFF"/>
        </w:rPr>
        <w:t>available</w:t>
      </w:r>
      <w:r w:rsidR="00585489" w:rsidRPr="0035461C">
        <w:rPr>
          <w:rFonts w:ascii="Calibri" w:hAnsi="Calibri" w:cs="Calibri"/>
          <w:shd w:val="clear" w:color="auto" w:fill="FFFFFF"/>
        </w:rPr>
        <w:t xml:space="preserve"> for all CGM devices</w:t>
      </w:r>
      <w:r w:rsidR="00D54634" w:rsidRPr="0035461C">
        <w:rPr>
          <w:rFonts w:ascii="Calibri" w:hAnsi="Calibri" w:cs="Calibri"/>
          <w:shd w:val="clear" w:color="auto" w:fill="FFFFFF"/>
        </w:rPr>
        <w:t xml:space="preserve"> </w:t>
      </w:r>
      <w:r w:rsidR="00585489" w:rsidRPr="0035461C">
        <w:rPr>
          <w:rFonts w:ascii="Calibri" w:hAnsi="Calibri" w:cs="Calibri"/>
        </w:rPr>
        <w:t>(</w:t>
      </w:r>
      <w:r w:rsidR="005135A5" w:rsidRPr="0035461C">
        <w:rPr>
          <w:rFonts w:ascii="Calibri" w:hAnsi="Calibri" w:cs="Calibri"/>
        </w:rPr>
        <w:t xml:space="preserve">table </w:t>
      </w:r>
      <w:r w:rsidR="004832BE" w:rsidRPr="0035461C">
        <w:rPr>
          <w:rFonts w:ascii="Calibri" w:hAnsi="Calibri" w:cs="Calibri"/>
        </w:rPr>
        <w:t>6</w:t>
      </w:r>
      <w:r w:rsidR="005135A5" w:rsidRPr="0035461C">
        <w:rPr>
          <w:rFonts w:ascii="Calibri" w:hAnsi="Calibri" w:cs="Calibri"/>
        </w:rPr>
        <w:t xml:space="preserve">; </w:t>
      </w:r>
      <w:r w:rsidR="00585489" w:rsidRPr="0035461C">
        <w:rPr>
          <w:rFonts w:ascii="Calibri" w:hAnsi="Calibri" w:cs="Calibri"/>
        </w:rPr>
        <w:t xml:space="preserve">Figure </w:t>
      </w:r>
      <w:r w:rsidR="006C4779" w:rsidRPr="0035461C">
        <w:rPr>
          <w:rFonts w:ascii="Calibri" w:hAnsi="Calibri" w:cs="Calibri"/>
        </w:rPr>
        <w:t>2</w:t>
      </w:r>
      <w:r w:rsidR="00585489" w:rsidRPr="0035461C">
        <w:rPr>
          <w:rFonts w:ascii="Calibri" w:hAnsi="Calibri" w:cs="Calibri"/>
        </w:rPr>
        <w:t>)</w:t>
      </w:r>
      <w:r w:rsidR="00585489" w:rsidRPr="0035461C">
        <w:rPr>
          <w:rFonts w:ascii="Calibri" w:hAnsi="Calibri" w:cs="Calibri"/>
          <w:shd w:val="clear" w:color="auto" w:fill="FFFFFF"/>
        </w:rPr>
        <w:t>.</w:t>
      </w:r>
    </w:p>
    <w:p w14:paraId="1F56CD8B" w14:textId="20364A13" w:rsidR="00651D79" w:rsidRPr="0035461C" w:rsidRDefault="00585489" w:rsidP="00651D79">
      <w:pPr>
        <w:autoSpaceDE w:val="0"/>
        <w:autoSpaceDN w:val="0"/>
        <w:adjustRightInd w:val="0"/>
        <w:spacing w:before="120"/>
        <w:jc w:val="both"/>
        <w:rPr>
          <w:rFonts w:ascii="Calibri" w:hAnsi="Calibri" w:cs="Calibri"/>
        </w:rPr>
      </w:pPr>
      <w:r w:rsidRPr="0035461C">
        <w:rPr>
          <w:rFonts w:ascii="Calibri" w:hAnsi="Calibri" w:cs="Calibri"/>
        </w:rPr>
        <w:t xml:space="preserve">Although healthcare professionals should regularly </w:t>
      </w:r>
      <w:r w:rsidR="00E729B2">
        <w:rPr>
          <w:rFonts w:ascii="Calibri" w:hAnsi="Calibri" w:cs="Calibri"/>
        </w:rPr>
        <w:t xml:space="preserve">access and </w:t>
      </w:r>
      <w:r w:rsidRPr="0035461C">
        <w:rPr>
          <w:rFonts w:ascii="Calibri" w:hAnsi="Calibri" w:cs="Calibri"/>
        </w:rPr>
        <w:t>review CGM data</w:t>
      </w:r>
      <w:r w:rsidR="00B92FA7" w:rsidRPr="0035461C">
        <w:rPr>
          <w:rFonts w:ascii="Calibri" w:hAnsi="Calibri" w:cs="Calibri"/>
        </w:rPr>
        <w:t xml:space="preserve"> </w:t>
      </w:r>
      <w:r w:rsidR="00E729B2">
        <w:rPr>
          <w:rFonts w:ascii="Calibri" w:hAnsi="Calibri" w:cs="Calibri"/>
        </w:rPr>
        <w:t>as part of clinical management</w:t>
      </w:r>
      <w:r w:rsidRPr="0035461C">
        <w:rPr>
          <w:rFonts w:ascii="Calibri" w:hAnsi="Calibri" w:cs="Calibri"/>
        </w:rPr>
        <w:t>, people with type 1 diabetes should be encouraged</w:t>
      </w:r>
      <w:r w:rsidRPr="0035461C" w:rsidDel="001F60EE">
        <w:rPr>
          <w:rFonts w:ascii="Calibri" w:hAnsi="Calibri" w:cs="Calibri"/>
        </w:rPr>
        <w:t xml:space="preserve"> </w:t>
      </w:r>
      <w:r w:rsidRPr="0035461C">
        <w:rPr>
          <w:rFonts w:ascii="Calibri" w:hAnsi="Calibri" w:cs="Calibri"/>
        </w:rPr>
        <w:t xml:space="preserve">to review their own </w:t>
      </w:r>
      <w:r w:rsidR="00B92FA7" w:rsidRPr="0035461C">
        <w:rPr>
          <w:rFonts w:ascii="Calibri" w:hAnsi="Calibri" w:cs="Calibri"/>
        </w:rPr>
        <w:t>reports</w:t>
      </w:r>
      <w:r w:rsidRPr="0035461C">
        <w:rPr>
          <w:rFonts w:ascii="Calibri" w:hAnsi="Calibri" w:cs="Calibri"/>
        </w:rPr>
        <w:t xml:space="preserve"> </w:t>
      </w:r>
      <w:r w:rsidR="00037764" w:rsidRPr="0035461C">
        <w:rPr>
          <w:rFonts w:ascii="Calibri" w:hAnsi="Calibri" w:cs="Calibri"/>
        </w:rPr>
        <w:t>regularly</w:t>
      </w:r>
      <w:r w:rsidRPr="0035461C">
        <w:rPr>
          <w:rFonts w:ascii="Calibri" w:hAnsi="Calibri" w:cs="Calibri"/>
        </w:rPr>
        <w:t xml:space="preserve"> and follow their progress over</w:t>
      </w:r>
      <w:r w:rsidR="000614C5" w:rsidRPr="0035461C">
        <w:rPr>
          <w:rFonts w:ascii="Calibri" w:hAnsi="Calibri" w:cs="Calibri"/>
        </w:rPr>
        <w:t xml:space="preserve"> </w:t>
      </w:r>
      <w:r w:rsidRPr="0035461C">
        <w:rPr>
          <w:rFonts w:ascii="Calibri" w:hAnsi="Calibri" w:cs="Calibri"/>
        </w:rPr>
        <w:t xml:space="preserve">time, </w:t>
      </w:r>
      <w:r w:rsidR="000614C5" w:rsidRPr="0035461C">
        <w:rPr>
          <w:rFonts w:ascii="Calibri" w:hAnsi="Calibri" w:cs="Calibri"/>
        </w:rPr>
        <w:t>contacting</w:t>
      </w:r>
      <w:r w:rsidRPr="0035461C">
        <w:rPr>
          <w:rFonts w:ascii="Calibri" w:hAnsi="Calibri" w:cs="Calibri"/>
        </w:rPr>
        <w:t xml:space="preserve"> their healthcare </w:t>
      </w:r>
      <w:r w:rsidR="000614C5" w:rsidRPr="0035461C">
        <w:rPr>
          <w:rFonts w:ascii="Calibri" w:hAnsi="Calibri" w:cs="Calibri"/>
        </w:rPr>
        <w:t>professional</w:t>
      </w:r>
      <w:r w:rsidRPr="0035461C">
        <w:rPr>
          <w:rFonts w:ascii="Calibri" w:hAnsi="Calibri" w:cs="Calibri"/>
        </w:rPr>
        <w:t xml:space="preserve"> as needed for worsening or changing </w:t>
      </w:r>
      <w:r w:rsidR="00C06A2C" w:rsidRPr="0035461C">
        <w:rPr>
          <w:rFonts w:ascii="Calibri" w:hAnsi="Calibri" w:cs="Calibri"/>
        </w:rPr>
        <w:t>trends</w:t>
      </w:r>
      <w:r w:rsidRPr="0035461C">
        <w:rPr>
          <w:rFonts w:ascii="Calibri" w:hAnsi="Calibri" w:cs="Calibri"/>
        </w:rPr>
        <w:t>.</w:t>
      </w:r>
    </w:p>
    <w:p w14:paraId="71CBC9AD" w14:textId="1360D95F" w:rsidR="00C51194" w:rsidRPr="00123F73" w:rsidRDefault="00651D79" w:rsidP="00C51194">
      <w:pPr>
        <w:autoSpaceDE w:val="0"/>
        <w:autoSpaceDN w:val="0"/>
        <w:adjustRightInd w:val="0"/>
        <w:spacing w:before="120"/>
        <w:jc w:val="both"/>
        <w:rPr>
          <w:rStyle w:val="Emphasis"/>
          <w:rFonts w:ascii="Calibri" w:hAnsi="Calibri" w:cs="Calibri"/>
          <w:i w:val="0"/>
        </w:rPr>
      </w:pPr>
      <w:r w:rsidRPr="0035461C">
        <w:rPr>
          <w:rStyle w:val="Emphasis"/>
          <w:rFonts w:ascii="Calibri" w:hAnsi="Calibri" w:cs="Calibri"/>
          <w:i w:val="0"/>
        </w:rPr>
        <w:t>People with type 1 diabetes should be warned that contact dermatitis (both irritant and allergic) may occur with all CGM devices that attach to the skin</w:t>
      </w:r>
      <w:r w:rsidR="00396156" w:rsidRPr="0035461C">
        <w:rPr>
          <w:rStyle w:val="Emphasis"/>
          <w:rFonts w:ascii="Calibri" w:hAnsi="Calibri" w:cs="Calibri"/>
          <w:i w:val="0"/>
        </w:rPr>
        <w:t xml:space="preserve"> </w:t>
      </w:r>
      <w:r w:rsidR="00BD5018" w:rsidRPr="0035461C">
        <w:rPr>
          <w:rStyle w:val="Emphasis"/>
          <w:rFonts w:ascii="Calibri" w:hAnsi="Calibri" w:cs="Calibri"/>
          <w:i w:val="0"/>
        </w:rPr>
        <w:fldChar w:fldCharType="begin"/>
      </w:r>
      <w:r w:rsidR="00076F77">
        <w:rPr>
          <w:rStyle w:val="Emphasis"/>
          <w:rFonts w:ascii="Calibri" w:hAnsi="Calibri" w:cs="Calibri"/>
          <w:i w:val="0"/>
        </w:rPr>
        <w:instrText xml:space="preserve"> ADDIN ZOTERO_ITEM CSL_CITATION {"citationID":"Yj77Y116","properties":{"formattedCitation":"(79\\uc0\\u8211{}81)","plainCitation":"(79–81)","noteIndex":0},"citationItems":[{"id":4158,"uris":["http://zotero.org/groups/369679/items/R7MIMMZG"],"uri":["http://zotero.org/groups/369679/items/R7MIMMZG"],"itemData":{"id":4158,"type":"article-journal","abstract":"Background:\n                     The average wear time of continuous glucose monitoring (CGM) systems steadily increased over the last years. Increased wear times are likely achieved by using adhesives with a longer adherence time, which may have a more pronounced effect on the skin than adhesives with shorter adherence time. \n                        Methods:\n                     In this project, a structured literature search was performed to assess how potential skin-related issues with CGM usage have been reported in scientific literature in the last 5 years. The literature search was performed with four search terms in the PubMed database. \n                        Results:\n                     In sum, 279 articles were analyzed. Skin-related issues were mentioned in 19.0% of articles (53 out of 279). With respect to articles mentioning skin-related issues, CGM performance or efficacy was the study's main topic of most of these studies, whereas the minority used CGM as \"add-on\" to assess other objectives. There was a varying degree in how detailed skin-related issues were described and no uniform structured documentation was given. While some articles only described findings, other articles already documented final diagnoses, such as contact dermatitis. Furthermore, inconsistent wordings for comparable issues were used. The most frequent issues were pain, itching, erythema, bleeding, bruising, and allergic reactions. \n                        Conclusion:\n                     To draw possible conclusions about the occurrence of skin-related issues during CGM use, more reports about skin-related issues in scientific literature are needed. A more detailed and uniformly structured documentation, possibly facilitated by a generally accepted guideline for structured descriptions, of skin-related issues could be helpful to enable clear differentiations between the described skin reactions.","container-title":"Diabetes Technology &amp; Therapeutics","DOI":"10.1089/dia.2019.0171","ISSN":"1557-8593","issue":"10","journalAbbreviation":"Diabetes Technol. Ther.","language":"eng","note":"PMID: 31335203","page":"538-545","source":"PubMed","title":"Documentation of Skin-Related Issues Associated with Continuous Glucose Monitoring Use in the Scientific Literature","volume":"21","author":[{"family":"Pleus","given":"Stefan"},{"family":"Ulbrich","given":"Sina"},{"family":"Zschornack","given":"Eva"},{"family":"Kamann","given":"Stefanie"},{"family":"Haug","given":"Cornelia"},{"family":"Freckmann","given":"Guido"}],"issued":{"date-parts":[["2019",10]]}}},{"id":4353,"uris":["http://zotero.org/groups/369679/items/VMBSXFSB"],"uri":["http://zotero.org/groups/369679/items/VMBSXFSB"],"itemData":{"id":4353,"type":"article-journal","abstract":"Background Adverse cutaneous reactions to diabetes medical devices (glucose sensors and insulin pumps) are described, notably allergic contact dermatitis (ACD) with isobornyl acrylate (IBOA) and N,N dimethylacrylamide (DMAA) as the main allergen. Objectives To determine if all cases of adverse cutaneous reactions observed with diabetes medical devices (ie FreeStyle Libre, Enlite sensors or insulin pumps), referred to our department with suspected allergies are confirmed as ACD. Patients and methods Fifty-two patients who presented skin reactions to diabetes medical devices were patch tested with the European baseline series, a plastic and glues series, a (meth) acrylates series, a piece of the adhesive part of the device, as well as IBOA 0.1% and DMAA 0.1% pet. Results Seventeen patients had no positive reaction to IBOA nor to the adhesive part of the device; 11 of these also tested with DMAA with negative result. No other relevant allergen was identified. Conclusion Some cutaneous reactions, otherwise very similar to those of patients sensitized to IBOA, can be explained either by the presence of an untested allergen not yet discovered, or by irritant contact dermatitis. Therefore, European legislation on the full labelling of ingredients by manufacturers, in order to facilitate the identification of allergens and irritants, is imperative.","container-title":"Contact Dermatitis","DOI":"10.1111/cod.13529","ISSN":"1600-0536","issue":"1","language":"en","note":"_eprint: https://onlinelibrary.wiley.com/doi/pdf/10.1111/cod.13529","page":"25-30","source":"Wiley Online Library","title":"Adverse cutaneous reaction to diabetic glucose sensors and insulin pumps: Irritant contact dermatitis or allergic contact dermatitis?","title-short":"Adverse cutaneous reaction to diabetic glucose sensors and insulin pumps","volume":"83","author":[{"family":"Herman","given":"Anne"},{"family":"Montjoye","given":"Laurence","dropping-particle":"de"},{"family":"Baeck","given":"Marie"}],"issued":{"date-parts":[["2020"]]}}},{"id":4352,"uris":["http://zotero.org/groups/369679/items/PF7P64FF"],"uri":["http://zotero.org/groups/369679/items/PF7P64FF"],"itemData":{"id":4352,"type":"article-journal","abstract":"BACKGROUND: Continuous glucose monitoring (CGM) and continuous subcutaneous insulin infusion (CSII) are the standard of care for type 1 diabetes in children. There is little reported on device-related skin complications and treatment options. This study documents cutaneous reactions to CGM and CSII devices in children and young adults with type 1 diabetes.\nMETHODS: One hundred and twenty-one subjects (3-25 years) with type 1 diabetes and CGM and/or CSII use were recruited over a three-month period from the Naomi Berrie Diabetes Center at Columbia University Irving Medical Center. A five-question survey was completed for each subject detailing demographic data, diabetes management, and device-related skin complications.\nRESULTS: Sixty percent of subjects reported skin complications related to CGM and/or CSII use. Terms most frequently used to describe cutaneous reactions were \"red,\" \"itchy,\" \"painful,\" and \"rash.\" Subjects who used both CGM and CSII were more likely to report skin problems than those who used only CSII (odds ratio 2.9, [95% confidence interval: 1.2-6.7]; P = .015). There were no associations between skin complications and sex or race/ethnicity. Twenty-two percent of subjects with adverse skin event(s) discontinued use of a device due to their skin problem. Seven percent were evaluated by a dermatologist. Eighty-one percent used a range of products to treat their symptoms, with variable perceived clinical outcomes.\nCONCLUSIONS: Skin complications related to CSII or CGM devices are commonly reported in pediatric patients with type 1 diabetes and may lead to interruption or discontinuation of device use. Future studies are needed to elucidate the causes of these reactions and determine the best methods for prevention.","container-title":"Journal of Diabetes Science and Technology","DOI":"10.1177/1932296820918894","ISSN":"1932-2968","journalAbbreviation":"J Diabetes Sci Technol","language":"eng","note":"PMID: 32389062","page":"1932296820918894","source":"PubMed","title":"Cutaneous Reactions to Continuous Glucose Monitoring and Continuous Subcutaneous Insulin Infusion Devices in Type 1 Diabetes Mellitus","author":[{"family":"Rigo","given":"Rachel S."},{"family":"Levin","given":"Laura E."},{"family":"Belsito","given":"Donald V."},{"family":"Garzon","given":"Maria C."},{"family":"Gandica","given":"Rachelle"},{"family":"Williams","given":"Kristen M."}],"issued":{"date-parts":[["2020",5,9]]}}}],"schema":"https://github.com/citation-style-language/schema/raw/master/csl-citation.json"} </w:instrText>
      </w:r>
      <w:r w:rsidR="00BD5018" w:rsidRPr="0035461C">
        <w:rPr>
          <w:rStyle w:val="Emphasis"/>
          <w:rFonts w:ascii="Calibri" w:hAnsi="Calibri" w:cs="Calibri"/>
          <w:i w:val="0"/>
        </w:rPr>
        <w:fldChar w:fldCharType="separate"/>
      </w:r>
      <w:r w:rsidR="00076F77" w:rsidRPr="00076F77">
        <w:rPr>
          <w:rFonts w:ascii="Calibri" w:hAnsi="Calibri" w:cs="Calibri"/>
        </w:rPr>
        <w:t>(79–81)</w:t>
      </w:r>
      <w:r w:rsidR="00BD5018" w:rsidRPr="0035461C">
        <w:rPr>
          <w:rStyle w:val="Emphasis"/>
          <w:rFonts w:ascii="Calibri" w:hAnsi="Calibri" w:cs="Calibri"/>
          <w:i w:val="0"/>
        </w:rPr>
        <w:fldChar w:fldCharType="end"/>
      </w:r>
      <w:r w:rsidR="00396156" w:rsidRPr="0035461C">
        <w:rPr>
          <w:rStyle w:val="Emphasis"/>
          <w:rFonts w:ascii="Calibri" w:hAnsi="Calibri" w:cs="Calibri"/>
          <w:i w:val="0"/>
        </w:rPr>
        <w:t>.</w:t>
      </w:r>
      <w:r w:rsidRPr="0035461C">
        <w:rPr>
          <w:rStyle w:val="Emphasis"/>
          <w:rFonts w:ascii="Calibri" w:hAnsi="Calibri" w:cs="Calibri"/>
          <w:i w:val="0"/>
        </w:rPr>
        <w:t xml:space="preserve"> In some instances, </w:t>
      </w:r>
      <w:r w:rsidR="00396156" w:rsidRPr="0035461C">
        <w:rPr>
          <w:rStyle w:val="Emphasis"/>
          <w:rFonts w:ascii="Calibri" w:hAnsi="Calibri" w:cs="Calibri"/>
          <w:i w:val="0"/>
        </w:rPr>
        <w:t xml:space="preserve">the </w:t>
      </w:r>
      <w:r w:rsidRPr="0035461C">
        <w:rPr>
          <w:rStyle w:val="Emphasis"/>
          <w:rFonts w:ascii="Calibri" w:hAnsi="Calibri" w:cs="Calibri"/>
          <w:i w:val="0"/>
        </w:rPr>
        <w:t xml:space="preserve">use of an implanted sensor can help avoid skin reactions in those who are sensitive to </w:t>
      </w:r>
      <w:r w:rsidRPr="00123F73">
        <w:rPr>
          <w:rStyle w:val="Emphasis"/>
          <w:rFonts w:ascii="Calibri" w:hAnsi="Calibri" w:cs="Calibri"/>
          <w:i w:val="0"/>
        </w:rPr>
        <w:t>tape</w:t>
      </w:r>
      <w:r w:rsidR="00396156" w:rsidRPr="00123F73">
        <w:rPr>
          <w:rStyle w:val="Emphasis"/>
          <w:rFonts w:ascii="Calibri" w:hAnsi="Calibri" w:cs="Calibri"/>
          <w:i w:val="0"/>
        </w:rPr>
        <w:t xml:space="preserve"> </w:t>
      </w:r>
      <w:r w:rsidR="0096750A" w:rsidRPr="00123F73">
        <w:rPr>
          <w:rStyle w:val="Emphasis"/>
          <w:rFonts w:ascii="Calibri" w:hAnsi="Calibri" w:cs="Calibri"/>
          <w:i w:val="0"/>
        </w:rPr>
        <w:fldChar w:fldCharType="begin"/>
      </w:r>
      <w:r w:rsidR="00076F77">
        <w:rPr>
          <w:rStyle w:val="Emphasis"/>
          <w:rFonts w:ascii="Calibri" w:hAnsi="Calibri" w:cs="Calibri"/>
          <w:i w:val="0"/>
        </w:rPr>
        <w:instrText xml:space="preserve"> ADDIN ZOTERO_ITEM CSL_CITATION {"citationID":"RBUSIlGw","properties":{"formattedCitation":"(82,83)","plainCitation":"(82,83)","noteIndex":0},"citationItems":[{"id":10707,"uris":["http://zotero.org/groups/369679/items/33DNNBD5"],"uri":["http://zotero.org/groups/369679/items/33DNNBD5"],"itemData":{"id":10707,"type":"article-journal","abstract":"Previously, the safety and accuracy of the Eversense continuous glucose monitoring (CGM) system were characterized in three pivotal trials among individuals with type 1 diabetes (T1D) and type 2 diabetes (T2D) with a single 90- or 180-day sensor insertion-removal cycle. The Post-Market Clinical Follow-up (PMCF) registry is a prospective study evaluating the long-term safety and performance of the Eversense CGM system over multiple sensor insertion-removal cycles among adults with T1D and T2D. All patients who had a sensor subcutaneously implanted across 534 participating centers in Europe and South Africa from June 2016 to August 2018 were enrolled. Adverse events (AEs) were recorded at each visit and patients were instructed to inform their clinic if they experienced any AEs between visits. AEs were adjudicated for relatedness to the device, procedure, or drug (dexamethasone acetate). The primary safety endpoint was the rate of related serious adverse events (SAEs) through four sensor insertion-removal cycles. The registry enrolled 3023 patients. As of last follow-up, 5417 sensors had been inserted with a total of 1260 patient-years (PYs) of follow-up: 969 patients had used the system for at least 6 months and 173 patients had used the system for at least 1 year. No related SAEs were reported. The most frequently reported related AEs were sensor location site infection (0.96%; 2.46 events per 100 PYs), inability to remove the sensor upon first attempt (0.76%; 1.90 events per 100 PYs), and adhesive patch location site irritation (0.66%; 1.59 events per 100 PYs). One nonserious allergic reaction to lidocaine was reported, which resolved with administration of an antihistamine. The full intended sensor life was achieved by 91% of 90-day sensors and 75% of 180-day sensors. The PMCF registry provides real-world evidence that the Eversense CGM system is safe over multiple cycles of use.","container-title":"Diabetes Technology &amp; Therapeutics","DOI":"10.1089/dia.2019.0159","ISSN":"1557-8593","issue":"1","journalAbbreviation":"Diabetes Technol. Ther.","language":"eng","note":"PMID: 31418587\nPMCID: PMC6945795","page":"48-52","source":"PubMed","title":"Real-World Safety of an Implantable Continuous Glucose Sensor Over Multiple Cycles of Use: A Post-Market Registry Study","title-short":"Real-World Safety of an Implantable Continuous Glucose Sensor Over Multiple Cycles of Use","volume":"22","author":[{"family":"Deiss","given":"Dorothee"},{"family":"Irace","given":"Concetta"},{"family":"Carlson","given":"Grace"},{"family":"Tweden","given":"Katherine S."},{"family":"Kaufman","given":"Francine R."}],"issued":{"date-parts":[["2020"]]}}},{"id":10715,"uris":["http://zotero.org/groups/369679/items/LXSSRQJ9"],"uri":["http://zotero.org/groups/369679/items/LXSSRQJ9"],"itemData":{"id":10715,"type":"article-journal","abstract":"Background:\n                     The Eversense® Continuous Glucose Monitoring (CGM) System, with the first 90-day implantable sensor, received FDA (Food and Drug Administration) approval in June 2018. No real-world experience has been published. \n                        Methods:\n                     Deidentified sensor glucose (SG) data from August 1, 2018 to May 11, 2019 in the Eversense Data Management System (DMS) were analyzed for the first 205 patients who reached a 90-day wear period on the Eversense CGM system. The mean SG, standard deviation (SD), median interquartile range, coefficient of variation (CV), glucose measurement index (GMI), and percent and time in minutes across glucose ranges were computed for the 24-h time period, the nighttime (00:00-06:00), and by 30-day wear periods. Sensor accuracy, sensor reinsertion rate, transmitter wear time, and safety data were assessed. \n                        Results:\n                     Of the 205 patients, 129 identified as type 1, 18 as type 2, and 58 were unreported. Fifty were CGM naive, 112 had prior CGM experience, and 43 were unreported. The mean SG was 161.8 mg/dL, SD was 57.4 mg/dL, CV was 0.35, and GMI was 7.18%. Percent SG at &lt;54 mg/dL was 1.2% (18 min), &lt;70 mg/dL was 4.1% (59.7 min), time in range (≥70-180 mg/dL) was 62.3% (897.7 min), &gt;180-250 mg/dL was 21.9% (315.8 min), and &gt;250 mg/dL was 11.6% (166.7 min). Nighttime values were similar. The glucometric values were similar over 30-day time periods of the sensor wear. The mean absolute relative difference (SD) using 27,708 calibration paired points against home blood glucose meters was 11.2% (11.3%). The sensor reinsertion rate was 78.5%. The median transmitter wear time was 83.6%. There were no related serious adverse events. \n                        Conclusion:\n                     The Eversense real-world data showed promising glycemic results, sensor accuracy, and safety. These data suggest that the Eversense CGM system is a valuable tool for diabetes management.","container-title":"Diabetes Technology &amp; Therapeutics","DOI":"10.1089/dia.2019.0234","ISSN":"1557-8593","issue":"12","journalAbbreviation":"Diabetes Technol. Ther.","language":"eng","note":"PMID: 31385732","page":"677-681","source":"PubMed","title":"Real-World Data from the First U.S. Commercial Users of an Implantable Continuous Glucose Sensor","volume":"21","author":[{"family":"Sanchez","given":"Patricia"},{"family":"Ghosh-Dastidar","given":"Samanwoy"},{"family":"Tweden","given":"Katherine S."},{"family":"Kaufman","given":"Francine R."}],"issued":{"date-parts":[["2019"]]}}}],"schema":"https://github.com/citation-style-language/schema/raw/master/csl-citation.json"} </w:instrText>
      </w:r>
      <w:r w:rsidR="0096750A" w:rsidRPr="00123F73">
        <w:rPr>
          <w:rStyle w:val="Emphasis"/>
          <w:rFonts w:ascii="Calibri" w:hAnsi="Calibri" w:cs="Calibri"/>
          <w:i w:val="0"/>
        </w:rPr>
        <w:fldChar w:fldCharType="separate"/>
      </w:r>
      <w:r w:rsidR="00076F77" w:rsidRPr="00076F77">
        <w:rPr>
          <w:rFonts w:ascii="Calibri" w:hAnsi="Calibri" w:cs="Calibri"/>
        </w:rPr>
        <w:t>(82,83)</w:t>
      </w:r>
      <w:r w:rsidR="0096750A" w:rsidRPr="00123F73">
        <w:rPr>
          <w:rStyle w:val="Emphasis"/>
          <w:rFonts w:ascii="Calibri" w:hAnsi="Calibri" w:cs="Calibri"/>
          <w:i w:val="0"/>
        </w:rPr>
        <w:fldChar w:fldCharType="end"/>
      </w:r>
      <w:r w:rsidR="00396156" w:rsidRPr="00123F73">
        <w:rPr>
          <w:rStyle w:val="Emphasis"/>
          <w:rFonts w:ascii="Calibri" w:hAnsi="Calibri" w:cs="Calibri"/>
          <w:i w:val="0"/>
        </w:rPr>
        <w:t>.</w:t>
      </w:r>
      <w:r w:rsidRPr="00123F73">
        <w:rPr>
          <w:rStyle w:val="Emphasis"/>
          <w:rFonts w:ascii="Calibri" w:hAnsi="Calibri" w:cs="Calibri"/>
          <w:i w:val="0"/>
        </w:rPr>
        <w:t xml:space="preserve"> </w:t>
      </w:r>
    </w:p>
    <w:p w14:paraId="2A601134" w14:textId="34094979" w:rsidR="00293E98" w:rsidRPr="00123F73" w:rsidRDefault="00293E98" w:rsidP="00293E98">
      <w:pPr>
        <w:spacing w:before="120"/>
        <w:jc w:val="both"/>
        <w:rPr>
          <w:rFonts w:ascii="Calibri" w:hAnsi="Calibri" w:cs="Calibri"/>
          <w:i/>
          <w:iCs/>
          <w:u w:val="single"/>
        </w:rPr>
      </w:pPr>
      <w:r w:rsidRPr="00123F73">
        <w:rPr>
          <w:rFonts w:ascii="Calibri" w:hAnsi="Calibri" w:cs="Calibri"/>
          <w:i/>
          <w:iCs/>
          <w:u w:val="single"/>
        </w:rPr>
        <w:t>Ketone measurement</w:t>
      </w:r>
    </w:p>
    <w:p w14:paraId="6823AC8A" w14:textId="7B78977F" w:rsidR="00A82DBC" w:rsidRPr="00123F73" w:rsidRDefault="00A82DBC" w:rsidP="00C51194">
      <w:pPr>
        <w:autoSpaceDE w:val="0"/>
        <w:autoSpaceDN w:val="0"/>
        <w:adjustRightInd w:val="0"/>
        <w:spacing w:before="120"/>
        <w:jc w:val="both"/>
        <w:rPr>
          <w:rFonts w:ascii="Calibri" w:hAnsi="Calibri" w:cs="Calibri"/>
        </w:rPr>
      </w:pPr>
      <w:r w:rsidRPr="00123F73">
        <w:rPr>
          <w:rFonts w:ascii="Calibri" w:hAnsi="Calibri" w:cs="Calibri"/>
        </w:rPr>
        <w:t>Ketone</w:t>
      </w:r>
      <w:r w:rsidR="00177058" w:rsidRPr="00123F73">
        <w:rPr>
          <w:rFonts w:ascii="Calibri" w:hAnsi="Calibri" w:cs="Calibri"/>
        </w:rPr>
        <w:t xml:space="preserve"> bodies</w:t>
      </w:r>
      <w:r w:rsidRPr="00123F73">
        <w:rPr>
          <w:rFonts w:ascii="Calibri" w:hAnsi="Calibri" w:cs="Calibri"/>
        </w:rPr>
        <w:t xml:space="preserve"> are produced</w:t>
      </w:r>
      <w:r w:rsidR="003B7569" w:rsidRPr="00123F73">
        <w:rPr>
          <w:rFonts w:ascii="Calibri" w:hAnsi="Calibri" w:cs="Calibri"/>
        </w:rPr>
        <w:t xml:space="preserve"> when insulin concentrations are too low to prevent lipolysis.</w:t>
      </w:r>
      <w:r w:rsidRPr="00123F73">
        <w:rPr>
          <w:rFonts w:ascii="Calibri" w:hAnsi="Calibri" w:cs="Calibri"/>
        </w:rPr>
        <w:t xml:space="preserve"> </w:t>
      </w:r>
      <w:r w:rsidR="003B7569" w:rsidRPr="00123F73">
        <w:rPr>
          <w:rFonts w:ascii="Calibri" w:hAnsi="Calibri" w:cs="Calibri"/>
        </w:rPr>
        <w:t>I</w:t>
      </w:r>
      <w:r w:rsidRPr="00123F73">
        <w:rPr>
          <w:rFonts w:ascii="Calibri" w:hAnsi="Calibri" w:cs="Calibri"/>
          <w:color w:val="0E0E0E"/>
          <w:shd w:val="clear" w:color="auto" w:fill="FAFAFB"/>
        </w:rPr>
        <w:t xml:space="preserve">f </w:t>
      </w:r>
      <w:r w:rsidR="003B7569" w:rsidRPr="00123F73">
        <w:rPr>
          <w:rFonts w:ascii="Calibri" w:hAnsi="Calibri" w:cs="Calibri"/>
          <w:color w:val="0E0E0E"/>
          <w:shd w:val="clear" w:color="auto" w:fill="FAFAFB"/>
        </w:rPr>
        <w:t xml:space="preserve">left </w:t>
      </w:r>
      <w:r w:rsidRPr="00123F73">
        <w:rPr>
          <w:rFonts w:ascii="Calibri" w:hAnsi="Calibri" w:cs="Calibri"/>
          <w:color w:val="0E0E0E"/>
          <w:shd w:val="clear" w:color="auto" w:fill="FAFAFB"/>
        </w:rPr>
        <w:t xml:space="preserve">untreated, </w:t>
      </w:r>
      <w:r w:rsidR="003B7569" w:rsidRPr="00123F73">
        <w:rPr>
          <w:rFonts w:ascii="Calibri" w:hAnsi="Calibri" w:cs="Calibri"/>
          <w:color w:val="0E0E0E"/>
          <w:shd w:val="clear" w:color="auto" w:fill="FAFAFB"/>
        </w:rPr>
        <w:t xml:space="preserve">ketosis </w:t>
      </w:r>
      <w:r w:rsidRPr="00123F73">
        <w:rPr>
          <w:rFonts w:ascii="Calibri" w:hAnsi="Calibri" w:cs="Calibri"/>
          <w:color w:val="0E0E0E"/>
          <w:shd w:val="clear" w:color="auto" w:fill="FAFAFB"/>
        </w:rPr>
        <w:t xml:space="preserve">can lead to progressive dehydration and </w:t>
      </w:r>
      <w:r w:rsidR="00D151BB">
        <w:rPr>
          <w:rFonts w:ascii="Calibri" w:hAnsi="Calibri" w:cs="Calibri"/>
          <w:color w:val="0E0E0E"/>
          <w:shd w:val="clear" w:color="auto" w:fill="FAFAFB"/>
        </w:rPr>
        <w:t>diabetic ketoacidosis</w:t>
      </w:r>
      <w:r w:rsidRPr="00123F73">
        <w:rPr>
          <w:rFonts w:ascii="Calibri" w:hAnsi="Calibri" w:cs="Calibri"/>
          <w:color w:val="0E0E0E"/>
          <w:shd w:val="clear" w:color="auto" w:fill="FAFAFB"/>
        </w:rPr>
        <w:t>. </w:t>
      </w:r>
      <w:r w:rsidR="00293E98" w:rsidRPr="00123F73">
        <w:rPr>
          <w:rFonts w:ascii="Calibri" w:hAnsi="Calibri" w:cs="Calibri"/>
        </w:rPr>
        <w:t>Measurement of ketones</w:t>
      </w:r>
      <w:r w:rsidR="00D27492" w:rsidRPr="00123F73">
        <w:rPr>
          <w:rFonts w:ascii="Calibri" w:hAnsi="Calibri" w:cs="Calibri"/>
        </w:rPr>
        <w:t xml:space="preserve"> is</w:t>
      </w:r>
      <w:r w:rsidR="00293E98" w:rsidRPr="00123F73">
        <w:rPr>
          <w:rFonts w:ascii="Calibri" w:hAnsi="Calibri" w:cs="Calibri"/>
        </w:rPr>
        <w:t xml:space="preserve"> important </w:t>
      </w:r>
      <w:r w:rsidRPr="00123F73">
        <w:rPr>
          <w:rFonts w:ascii="Calibri" w:hAnsi="Calibri" w:cs="Calibri"/>
        </w:rPr>
        <w:t>during periods of illness</w:t>
      </w:r>
      <w:r w:rsidR="00BC4685">
        <w:rPr>
          <w:rFonts w:ascii="Calibri" w:hAnsi="Calibri" w:cs="Calibri"/>
        </w:rPr>
        <w:t xml:space="preserve"> or hyperglycaemia</w:t>
      </w:r>
      <w:r w:rsidR="00293E98" w:rsidRPr="00123F73">
        <w:rPr>
          <w:rFonts w:ascii="Calibri" w:hAnsi="Calibri" w:cs="Calibri"/>
        </w:rPr>
        <w:t xml:space="preserve">, to facilitate </w:t>
      </w:r>
      <w:r w:rsidR="004520AD">
        <w:rPr>
          <w:rFonts w:ascii="Calibri" w:hAnsi="Calibri" w:cs="Calibri"/>
        </w:rPr>
        <w:t xml:space="preserve">the </w:t>
      </w:r>
      <w:r w:rsidR="00293E98" w:rsidRPr="00123F73">
        <w:rPr>
          <w:rFonts w:ascii="Calibri" w:hAnsi="Calibri" w:cs="Calibri"/>
        </w:rPr>
        <w:t xml:space="preserve">management of </w:t>
      </w:r>
      <w:r w:rsidR="00BC4685">
        <w:rPr>
          <w:rFonts w:ascii="Calibri" w:hAnsi="Calibri" w:cs="Calibri"/>
        </w:rPr>
        <w:t>the</w:t>
      </w:r>
      <w:r w:rsidR="00293E98" w:rsidRPr="00123F73">
        <w:rPr>
          <w:rFonts w:ascii="Calibri" w:hAnsi="Calibri" w:cs="Calibri"/>
        </w:rPr>
        <w:t xml:space="preserve"> hyperglycaemia</w:t>
      </w:r>
      <w:r w:rsidRPr="00123F73">
        <w:rPr>
          <w:rFonts w:ascii="Calibri" w:hAnsi="Calibri" w:cs="Calibri"/>
        </w:rPr>
        <w:t xml:space="preserve"> and prevent</w:t>
      </w:r>
      <w:r w:rsidR="00BC4685">
        <w:rPr>
          <w:rFonts w:ascii="Calibri" w:hAnsi="Calibri" w:cs="Calibri"/>
        </w:rPr>
        <w:t xml:space="preserve"> and/or </w:t>
      </w:r>
      <w:r w:rsidR="00D151BB">
        <w:rPr>
          <w:rFonts w:ascii="Calibri" w:hAnsi="Calibri" w:cs="Calibri"/>
        </w:rPr>
        <w:t>treat</w:t>
      </w:r>
      <w:r w:rsidRPr="00123F73">
        <w:rPr>
          <w:rFonts w:ascii="Calibri" w:hAnsi="Calibri" w:cs="Calibri"/>
        </w:rPr>
        <w:t xml:space="preserve"> </w:t>
      </w:r>
      <w:r w:rsidR="00EE2A0A" w:rsidRPr="00123F73">
        <w:rPr>
          <w:rFonts w:ascii="Calibri" w:hAnsi="Calibri" w:cs="Calibri"/>
        </w:rPr>
        <w:t>DKA</w:t>
      </w:r>
      <w:r w:rsidRPr="00123F73">
        <w:rPr>
          <w:rFonts w:ascii="Calibri" w:hAnsi="Calibri" w:cs="Calibri"/>
        </w:rPr>
        <w:t>.</w:t>
      </w:r>
      <w:r w:rsidR="000A1747" w:rsidRPr="00123F73">
        <w:rPr>
          <w:rFonts w:ascii="Calibri" w:hAnsi="Calibri" w:cs="Calibri"/>
        </w:rPr>
        <w:t xml:space="preserve"> </w:t>
      </w:r>
    </w:p>
    <w:p w14:paraId="2379069E" w14:textId="19FB3057" w:rsidR="00293E98" w:rsidRPr="00D151BB" w:rsidRDefault="003B7569" w:rsidP="00D27492">
      <w:pPr>
        <w:autoSpaceDE w:val="0"/>
        <w:autoSpaceDN w:val="0"/>
        <w:adjustRightInd w:val="0"/>
        <w:spacing w:before="120"/>
        <w:jc w:val="both"/>
        <w:rPr>
          <w:rFonts w:asciiTheme="minorHAnsi" w:hAnsiTheme="minorHAnsi" w:cstheme="minorHAnsi"/>
        </w:rPr>
      </w:pPr>
      <w:r w:rsidRPr="00123F73">
        <w:rPr>
          <w:rFonts w:ascii="Calibri" w:hAnsi="Calibri" w:cs="Calibri"/>
        </w:rPr>
        <w:t>Ketone</w:t>
      </w:r>
      <w:r w:rsidR="00177058" w:rsidRPr="00123F73">
        <w:rPr>
          <w:rFonts w:ascii="Calibri" w:hAnsi="Calibri" w:cs="Calibri"/>
        </w:rPr>
        <w:t xml:space="preserve"> bodie</w:t>
      </w:r>
      <w:r w:rsidRPr="00123F73">
        <w:rPr>
          <w:rFonts w:ascii="Calibri" w:hAnsi="Calibri" w:cs="Calibri"/>
        </w:rPr>
        <w:t xml:space="preserve">s may be measured in blood or urine. </w:t>
      </w:r>
      <w:r w:rsidR="000A1747" w:rsidRPr="00123F73">
        <w:rPr>
          <w:rFonts w:ascii="Calibri" w:hAnsi="Calibri" w:cs="Calibri"/>
        </w:rPr>
        <w:t>U</w:t>
      </w:r>
      <w:r w:rsidRPr="00123F73">
        <w:rPr>
          <w:rFonts w:ascii="Calibri" w:hAnsi="Calibri" w:cs="Calibri"/>
        </w:rPr>
        <w:t>rine testing</w:t>
      </w:r>
      <w:r w:rsidR="000A1747" w:rsidRPr="00123F73">
        <w:rPr>
          <w:rFonts w:ascii="Calibri" w:hAnsi="Calibri" w:cs="Calibri"/>
        </w:rPr>
        <w:t>, the traditional method,</w:t>
      </w:r>
      <w:r w:rsidRPr="00123F73">
        <w:rPr>
          <w:rFonts w:ascii="Calibri" w:hAnsi="Calibri" w:cs="Calibri"/>
        </w:rPr>
        <w:t xml:space="preserve"> detects acetoacetate</w:t>
      </w:r>
      <w:r w:rsidR="000A1747" w:rsidRPr="00123F73">
        <w:rPr>
          <w:rFonts w:ascii="Calibri" w:hAnsi="Calibri" w:cs="Calibri"/>
        </w:rPr>
        <w:t>, but not β-</w:t>
      </w:r>
      <w:proofErr w:type="spellStart"/>
      <w:r w:rsidR="000A1747" w:rsidRPr="00123F73">
        <w:rPr>
          <w:rFonts w:ascii="Calibri" w:hAnsi="Calibri" w:cs="Calibri"/>
        </w:rPr>
        <w:t>hydroxybutyrate</w:t>
      </w:r>
      <w:proofErr w:type="spellEnd"/>
      <w:r w:rsidR="000A1747" w:rsidRPr="00123F73">
        <w:rPr>
          <w:rFonts w:ascii="Calibri" w:hAnsi="Calibri" w:cs="Calibri"/>
        </w:rPr>
        <w:t>, which is measured in blood testing</w:t>
      </w:r>
      <w:r w:rsidRPr="00123F73">
        <w:rPr>
          <w:rFonts w:ascii="Calibri" w:hAnsi="Calibri" w:cs="Calibri"/>
        </w:rPr>
        <w:t>.</w:t>
      </w:r>
      <w:r w:rsidR="000A1747" w:rsidRPr="00123F73">
        <w:rPr>
          <w:rFonts w:ascii="Calibri" w:hAnsi="Calibri" w:cs="Calibri"/>
        </w:rPr>
        <w:t xml:space="preserve"> This means that urine testing may give a </w:t>
      </w:r>
      <w:r w:rsidRPr="00123F73">
        <w:rPr>
          <w:rFonts w:ascii="Calibri" w:hAnsi="Calibri" w:cs="Calibri"/>
        </w:rPr>
        <w:t>falsely low estimate of ketosis. Furthermore, after an episode of ketoacidosis, measurement of blood ketones provide</w:t>
      </w:r>
      <w:r w:rsidR="000A1747" w:rsidRPr="00123F73">
        <w:rPr>
          <w:rFonts w:ascii="Calibri" w:hAnsi="Calibri" w:cs="Calibri"/>
        </w:rPr>
        <w:t>s</w:t>
      </w:r>
      <w:r w:rsidRPr="00123F73">
        <w:rPr>
          <w:rFonts w:ascii="Calibri" w:hAnsi="Calibri" w:cs="Calibri"/>
        </w:rPr>
        <w:t xml:space="preserve"> a more accurate assessment of </w:t>
      </w:r>
      <w:r w:rsidR="000A1747" w:rsidRPr="00123F73">
        <w:rPr>
          <w:rFonts w:ascii="Calibri" w:hAnsi="Calibri" w:cs="Calibri"/>
        </w:rPr>
        <w:t>adequate treatment as</w:t>
      </w:r>
      <w:r w:rsidRPr="00123F73">
        <w:rPr>
          <w:rFonts w:ascii="Calibri" w:hAnsi="Calibri" w:cs="Calibri"/>
        </w:rPr>
        <w:t xml:space="preserve"> urine tests</w:t>
      </w:r>
      <w:r w:rsidR="000A1747" w:rsidRPr="00123F73">
        <w:rPr>
          <w:rFonts w:ascii="Calibri" w:hAnsi="Calibri" w:cs="Calibri"/>
        </w:rPr>
        <w:t xml:space="preserve"> </w:t>
      </w:r>
      <w:r w:rsidRPr="00123F73">
        <w:rPr>
          <w:rFonts w:ascii="Calibri" w:hAnsi="Calibri" w:cs="Calibri"/>
        </w:rPr>
        <w:t xml:space="preserve">may continue </w:t>
      </w:r>
      <w:r w:rsidR="000A1747" w:rsidRPr="00123F73">
        <w:rPr>
          <w:rFonts w:ascii="Calibri" w:hAnsi="Calibri" w:cs="Calibri"/>
        </w:rPr>
        <w:t xml:space="preserve">to be </w:t>
      </w:r>
      <w:r w:rsidRPr="00123F73">
        <w:rPr>
          <w:rFonts w:ascii="Calibri" w:hAnsi="Calibri" w:cs="Calibri"/>
        </w:rPr>
        <w:t xml:space="preserve">positive </w:t>
      </w:r>
      <w:r w:rsidRPr="00123F73">
        <w:rPr>
          <w:rFonts w:asciiTheme="minorHAnsi" w:hAnsiTheme="minorHAnsi" w:cstheme="minorHAnsi"/>
        </w:rPr>
        <w:t xml:space="preserve">for 48 hours as acetone leaks from fat tissue </w:t>
      </w:r>
      <w:r w:rsidR="000A1747" w:rsidRPr="00123F73">
        <w:rPr>
          <w:rFonts w:asciiTheme="minorHAnsi" w:hAnsiTheme="minorHAnsi" w:cstheme="minorHAnsi"/>
        </w:rPr>
        <w:t>after</w:t>
      </w:r>
      <w:r w:rsidRPr="00123F73">
        <w:rPr>
          <w:rFonts w:asciiTheme="minorHAnsi" w:hAnsiTheme="minorHAnsi" w:cstheme="minorHAnsi"/>
        </w:rPr>
        <w:t xml:space="preserve"> </w:t>
      </w:r>
      <w:proofErr w:type="spellStart"/>
      <w:r w:rsidRPr="00123F73">
        <w:rPr>
          <w:rFonts w:asciiTheme="minorHAnsi" w:hAnsiTheme="minorHAnsi" w:cstheme="minorHAnsi"/>
        </w:rPr>
        <w:t>ketogenesis</w:t>
      </w:r>
      <w:proofErr w:type="spellEnd"/>
      <w:r w:rsidRPr="00123F73">
        <w:rPr>
          <w:rFonts w:asciiTheme="minorHAnsi" w:hAnsiTheme="minorHAnsi" w:cstheme="minorHAnsi"/>
        </w:rPr>
        <w:t xml:space="preserve"> and lipolysis have stopped. </w:t>
      </w:r>
      <w:r w:rsidR="00D27492" w:rsidRPr="00123F73">
        <w:rPr>
          <w:rFonts w:asciiTheme="minorHAnsi" w:hAnsiTheme="minorHAnsi" w:cstheme="minorHAnsi"/>
        </w:rPr>
        <w:t>M</w:t>
      </w:r>
      <w:r w:rsidR="000A1747" w:rsidRPr="00123F73">
        <w:rPr>
          <w:rFonts w:asciiTheme="minorHAnsi" w:hAnsiTheme="minorHAnsi" w:cstheme="minorHAnsi"/>
        </w:rPr>
        <w:t xml:space="preserve">odern </w:t>
      </w:r>
      <w:r w:rsidRPr="00123F73">
        <w:rPr>
          <w:rFonts w:asciiTheme="minorHAnsi" w:hAnsiTheme="minorHAnsi" w:cstheme="minorHAnsi"/>
        </w:rPr>
        <w:t xml:space="preserve">technology </w:t>
      </w:r>
      <w:r w:rsidR="000A1747" w:rsidRPr="00123F73">
        <w:rPr>
          <w:rFonts w:asciiTheme="minorHAnsi" w:hAnsiTheme="minorHAnsi" w:cstheme="minorHAnsi"/>
        </w:rPr>
        <w:t>allow</w:t>
      </w:r>
      <w:r w:rsidR="00D27492" w:rsidRPr="00123F73">
        <w:rPr>
          <w:rFonts w:asciiTheme="minorHAnsi" w:hAnsiTheme="minorHAnsi" w:cstheme="minorHAnsi"/>
        </w:rPr>
        <w:t>s</w:t>
      </w:r>
      <w:r w:rsidR="000A1747" w:rsidRPr="00123F73">
        <w:rPr>
          <w:rFonts w:asciiTheme="minorHAnsi" w:hAnsiTheme="minorHAnsi" w:cstheme="minorHAnsi"/>
        </w:rPr>
        <w:t xml:space="preserve"> the rapid and </w:t>
      </w:r>
      <w:r w:rsidRPr="00123F73">
        <w:rPr>
          <w:rFonts w:asciiTheme="minorHAnsi" w:hAnsiTheme="minorHAnsi" w:cstheme="minorHAnsi"/>
        </w:rPr>
        <w:t xml:space="preserve">accurate </w:t>
      </w:r>
      <w:r w:rsidR="000A1747" w:rsidRPr="00123F73">
        <w:rPr>
          <w:rFonts w:asciiTheme="minorHAnsi" w:hAnsiTheme="minorHAnsi" w:cstheme="minorHAnsi"/>
        </w:rPr>
        <w:t xml:space="preserve">measurement of </w:t>
      </w:r>
      <w:r w:rsidRPr="00123F73">
        <w:rPr>
          <w:rFonts w:asciiTheme="minorHAnsi" w:hAnsiTheme="minorHAnsi" w:cstheme="minorHAnsi"/>
        </w:rPr>
        <w:t>ketones</w:t>
      </w:r>
      <w:r w:rsidR="000A1747" w:rsidRPr="00123F73">
        <w:rPr>
          <w:rFonts w:asciiTheme="minorHAnsi" w:hAnsiTheme="minorHAnsi" w:cstheme="minorHAnsi"/>
        </w:rPr>
        <w:t xml:space="preserve"> using a</w:t>
      </w:r>
      <w:r w:rsidRPr="00123F73">
        <w:rPr>
          <w:rFonts w:asciiTheme="minorHAnsi" w:hAnsiTheme="minorHAnsi" w:cstheme="minorHAnsi"/>
        </w:rPr>
        <w:t xml:space="preserve"> strip and meter from a finger prick blood sample. </w:t>
      </w:r>
      <w:r w:rsidR="00D27492" w:rsidRPr="00123F73">
        <w:rPr>
          <w:rFonts w:asciiTheme="minorHAnsi" w:hAnsiTheme="minorHAnsi" w:cstheme="minorHAnsi"/>
        </w:rPr>
        <w:t>Blood ketone measurement is the method of choice and so adults with type 1 diabetes should be offered blood ke</w:t>
      </w:r>
      <w:r w:rsidR="00BC4685">
        <w:rPr>
          <w:rFonts w:asciiTheme="minorHAnsi" w:hAnsiTheme="minorHAnsi" w:cstheme="minorHAnsi"/>
        </w:rPr>
        <w:t>tone testing strips and a meter</w:t>
      </w:r>
      <w:r w:rsidR="004562EA" w:rsidRPr="00123F73">
        <w:rPr>
          <w:rFonts w:asciiTheme="minorHAnsi" w:hAnsiTheme="minorHAnsi" w:cstheme="minorHAnsi"/>
        </w:rPr>
        <w:t xml:space="preserve"> </w:t>
      </w:r>
      <w:r w:rsidR="004562EA" w:rsidRPr="00123F73">
        <w:rPr>
          <w:rFonts w:ascii="Calibri" w:hAnsi="Calibri" w:cs="Calibri"/>
        </w:rPr>
        <w:fldChar w:fldCharType="begin"/>
      </w:r>
      <w:r w:rsidR="00076F77">
        <w:rPr>
          <w:rFonts w:ascii="Calibri" w:hAnsi="Calibri" w:cs="Calibri"/>
        </w:rPr>
        <w:instrText xml:space="preserve"> ADDIN ZOTERO_ITEM CSL_CITATION {"citationID":"sWoZ8JY2","properties":{"formattedCitation":"(84)","plainCitation":"(84)","noteIndex":0},"citationItems":[{"id":11492,"uris":["http://zotero.org/groups/369679/items/P3DNUAY9"],"uri":["http://zotero.org/groups/369679/items/P3DNUAY9"],"itemData":{"id":11492,"type":"webpage","language":"eng","note":"publisher: NICE","title":"Overview | Type 1 diabetes in adults: diagnosis and management | Guidance | NICE","title-short":"Overview | Type 1 diabetes in adults","URL":"https://www.nice.org.uk/guidance/ng17","accessed":{"date-parts":[["2021",6,10]]}}}],"schema":"https://github.com/citation-style-language/schema/raw/master/csl-citation.json"} </w:instrText>
      </w:r>
      <w:r w:rsidR="004562EA" w:rsidRPr="00123F73">
        <w:rPr>
          <w:rFonts w:ascii="Calibri" w:hAnsi="Calibri" w:cs="Calibri"/>
        </w:rPr>
        <w:fldChar w:fldCharType="separate"/>
      </w:r>
      <w:r w:rsidR="00076F77" w:rsidRPr="00076F77">
        <w:rPr>
          <w:rFonts w:ascii="Calibri" w:hAnsi="Calibri" w:cs="Calibri"/>
        </w:rPr>
        <w:t>(84)</w:t>
      </w:r>
      <w:r w:rsidR="004562EA" w:rsidRPr="00123F73">
        <w:rPr>
          <w:rFonts w:ascii="Calibri" w:hAnsi="Calibri" w:cs="Calibri"/>
        </w:rPr>
        <w:fldChar w:fldCharType="end"/>
      </w:r>
      <w:r w:rsidR="00D27492" w:rsidRPr="00123F73">
        <w:rPr>
          <w:rFonts w:asciiTheme="minorHAnsi" w:hAnsiTheme="minorHAnsi" w:cstheme="minorHAnsi"/>
        </w:rPr>
        <w:t xml:space="preserve">. Blood </w:t>
      </w:r>
      <w:r w:rsidR="00123F73">
        <w:rPr>
          <w:rFonts w:asciiTheme="minorHAnsi" w:hAnsiTheme="minorHAnsi" w:cstheme="minorHAnsi"/>
        </w:rPr>
        <w:t xml:space="preserve">and urine </w:t>
      </w:r>
      <w:r w:rsidR="00D27492" w:rsidRPr="00123F73">
        <w:rPr>
          <w:rFonts w:asciiTheme="minorHAnsi" w:hAnsiTheme="minorHAnsi" w:cstheme="minorHAnsi"/>
        </w:rPr>
        <w:t xml:space="preserve">ketone testing </w:t>
      </w:r>
      <w:r w:rsidR="00BC4685">
        <w:rPr>
          <w:rFonts w:asciiTheme="minorHAnsi" w:hAnsiTheme="minorHAnsi" w:cstheme="minorHAnsi"/>
        </w:rPr>
        <w:t>is</w:t>
      </w:r>
      <w:r w:rsidR="00D27492" w:rsidRPr="00123F73">
        <w:rPr>
          <w:rFonts w:asciiTheme="minorHAnsi" w:hAnsiTheme="minorHAnsi" w:cstheme="minorHAnsi"/>
        </w:rPr>
        <w:t xml:space="preserve"> not available in all countries and settings.</w:t>
      </w:r>
    </w:p>
    <w:p w14:paraId="1C4128AF" w14:textId="77777777" w:rsidR="000614C5" w:rsidRPr="0035461C" w:rsidRDefault="000614C5" w:rsidP="001C5BC0">
      <w:pPr>
        <w:spacing w:before="120"/>
        <w:jc w:val="both"/>
        <w:rPr>
          <w:rFonts w:ascii="Calibri" w:hAnsi="Calibri" w:cs="Calibri"/>
          <w:b/>
          <w:bCs/>
        </w:rPr>
      </w:pPr>
    </w:p>
    <w:p w14:paraId="236BCACA" w14:textId="57095650" w:rsidR="00567D76" w:rsidRPr="0035461C" w:rsidRDefault="005431A2" w:rsidP="001C5BC0">
      <w:pPr>
        <w:spacing w:before="120"/>
        <w:jc w:val="both"/>
        <w:rPr>
          <w:rFonts w:ascii="Calibri" w:hAnsi="Calibri" w:cs="Calibri"/>
          <w:b/>
          <w:bCs/>
        </w:rPr>
      </w:pPr>
      <w:r w:rsidRPr="0035461C">
        <w:rPr>
          <w:rFonts w:ascii="Calibri" w:hAnsi="Calibri" w:cs="Calibri"/>
          <w:b/>
          <w:bCs/>
        </w:rPr>
        <w:t xml:space="preserve">Section </w:t>
      </w:r>
      <w:r w:rsidR="00264FF0" w:rsidRPr="0035461C">
        <w:rPr>
          <w:rFonts w:ascii="Calibri" w:hAnsi="Calibri" w:cs="Calibri"/>
          <w:b/>
          <w:bCs/>
        </w:rPr>
        <w:t>7</w:t>
      </w:r>
      <w:r w:rsidRPr="0035461C">
        <w:rPr>
          <w:rFonts w:ascii="Calibri" w:hAnsi="Calibri" w:cs="Calibri"/>
          <w:b/>
          <w:bCs/>
        </w:rPr>
        <w:t>:</w:t>
      </w:r>
      <w:r w:rsidR="00E615B3" w:rsidRPr="0035461C">
        <w:rPr>
          <w:rFonts w:ascii="Calibri" w:hAnsi="Calibri" w:cs="Calibri"/>
          <w:b/>
          <w:bCs/>
        </w:rPr>
        <w:t xml:space="preserve"> </w:t>
      </w:r>
      <w:r w:rsidR="00910721" w:rsidRPr="0035461C">
        <w:rPr>
          <w:rFonts w:ascii="Calibri" w:hAnsi="Calibri" w:cs="Calibri"/>
          <w:b/>
          <w:bCs/>
        </w:rPr>
        <w:t>Insulin therapy</w:t>
      </w:r>
    </w:p>
    <w:p w14:paraId="794F5A1B" w14:textId="58972330" w:rsidR="00567D76" w:rsidRPr="0035461C" w:rsidRDefault="00567D76" w:rsidP="001C5BC0">
      <w:pPr>
        <w:spacing w:before="120"/>
        <w:jc w:val="both"/>
        <w:rPr>
          <w:rFonts w:ascii="Calibri" w:hAnsi="Calibri" w:cs="Calibri"/>
        </w:rPr>
      </w:pPr>
      <w:r w:rsidRPr="0035461C">
        <w:rPr>
          <w:rFonts w:ascii="Calibri" w:hAnsi="Calibri" w:cs="Calibri"/>
        </w:rPr>
        <w:t xml:space="preserve">The ideal regimen of insulin replacement maintains blood glucose in </w:t>
      </w:r>
      <w:r w:rsidR="00746BD9">
        <w:rPr>
          <w:rFonts w:ascii="Calibri" w:hAnsi="Calibri" w:cs="Calibri"/>
        </w:rPr>
        <w:t>the</w:t>
      </w:r>
      <w:r w:rsidRPr="0035461C">
        <w:rPr>
          <w:rFonts w:ascii="Calibri" w:hAnsi="Calibri" w:cs="Calibri"/>
        </w:rPr>
        <w:t xml:space="preserve"> normal </w:t>
      </w:r>
      <w:r w:rsidR="00746BD9">
        <w:rPr>
          <w:rFonts w:ascii="Calibri" w:hAnsi="Calibri" w:cs="Calibri"/>
        </w:rPr>
        <w:t>physiological range</w:t>
      </w:r>
      <w:r w:rsidRPr="0035461C">
        <w:rPr>
          <w:rFonts w:ascii="Calibri" w:hAnsi="Calibri" w:cs="Calibri"/>
        </w:rPr>
        <w:t xml:space="preserve">, </w:t>
      </w:r>
      <w:r w:rsidR="00A7339F" w:rsidRPr="00A7339F">
        <w:rPr>
          <w:rFonts w:ascii="Calibri" w:hAnsi="Calibri" w:cs="Calibri"/>
        </w:rPr>
        <w:t>as far as possible</w:t>
      </w:r>
      <w:r w:rsidR="00A7339F">
        <w:rPr>
          <w:rFonts w:ascii="Calibri" w:hAnsi="Calibri" w:cs="Calibri"/>
        </w:rPr>
        <w:t xml:space="preserve">, </w:t>
      </w:r>
      <w:r w:rsidRPr="0035461C">
        <w:rPr>
          <w:rFonts w:ascii="Calibri" w:hAnsi="Calibri" w:cs="Calibri"/>
        </w:rPr>
        <w:t xml:space="preserve">while allowing flexibility in terms of mealtimes and activity levels. Typical insulin replacement regimens incorporate several components: basal insulin to restrain gluconeogenesis and </w:t>
      </w:r>
      <w:proofErr w:type="spellStart"/>
      <w:r w:rsidRPr="0035461C">
        <w:rPr>
          <w:rFonts w:ascii="Calibri" w:hAnsi="Calibri" w:cs="Calibri"/>
        </w:rPr>
        <w:t>ketogenesis</w:t>
      </w:r>
      <w:proofErr w:type="spellEnd"/>
      <w:r w:rsidRPr="0035461C">
        <w:rPr>
          <w:rFonts w:ascii="Calibri" w:hAnsi="Calibri" w:cs="Calibri"/>
        </w:rPr>
        <w:t xml:space="preserve"> in the pre-prandial state, mealtime insulin to cover </w:t>
      </w:r>
      <w:r w:rsidR="003C4EB9" w:rsidRPr="0035461C">
        <w:rPr>
          <w:rFonts w:ascii="Calibri" w:hAnsi="Calibri" w:cs="Calibri"/>
        </w:rPr>
        <w:t xml:space="preserve">the </w:t>
      </w:r>
      <w:r w:rsidRPr="0035461C">
        <w:rPr>
          <w:rFonts w:ascii="Calibri" w:hAnsi="Calibri" w:cs="Calibri"/>
        </w:rPr>
        <w:t>intake of carbohydrate and other macronutrients, and correction insulin to treat hyperglyc</w:t>
      </w:r>
      <w:r w:rsidR="003C4EB9" w:rsidRPr="0035461C">
        <w:rPr>
          <w:rFonts w:ascii="Calibri" w:hAnsi="Calibri" w:cs="Calibri"/>
        </w:rPr>
        <w:t>a</w:t>
      </w:r>
      <w:r w:rsidRPr="0035461C">
        <w:rPr>
          <w:rFonts w:ascii="Calibri" w:hAnsi="Calibri" w:cs="Calibri"/>
        </w:rPr>
        <w:t>emia.</w:t>
      </w:r>
    </w:p>
    <w:p w14:paraId="6F71E401" w14:textId="5A7F7342" w:rsidR="00F34619" w:rsidRPr="0035461C" w:rsidRDefault="00F34619" w:rsidP="001C5BC0">
      <w:pPr>
        <w:spacing w:before="120"/>
        <w:jc w:val="both"/>
        <w:rPr>
          <w:rFonts w:ascii="Calibri" w:hAnsi="Calibri" w:cs="Calibri"/>
          <w:i/>
          <w:iCs/>
          <w:u w:val="single"/>
        </w:rPr>
      </w:pPr>
      <w:r w:rsidRPr="0035461C">
        <w:rPr>
          <w:rFonts w:ascii="Calibri" w:hAnsi="Calibri" w:cs="Calibri"/>
          <w:i/>
          <w:iCs/>
          <w:u w:val="single"/>
        </w:rPr>
        <w:t>Choice of regimen</w:t>
      </w:r>
    </w:p>
    <w:p w14:paraId="18FCE5DD" w14:textId="26062503" w:rsidR="0055019C" w:rsidRPr="0035461C" w:rsidRDefault="00567D76" w:rsidP="001C5BC0">
      <w:pPr>
        <w:spacing w:before="120"/>
        <w:jc w:val="both"/>
        <w:rPr>
          <w:rFonts w:ascii="Calibri" w:hAnsi="Calibri" w:cs="Calibri"/>
        </w:rPr>
      </w:pPr>
      <w:r w:rsidRPr="0035461C">
        <w:rPr>
          <w:rFonts w:ascii="Calibri" w:hAnsi="Calibri" w:cs="Calibri"/>
        </w:rPr>
        <w:t xml:space="preserve">Most people with type 1 diabetes should </w:t>
      </w:r>
      <w:r w:rsidR="003C4EB9" w:rsidRPr="0035461C">
        <w:rPr>
          <w:rFonts w:ascii="Calibri" w:hAnsi="Calibri" w:cs="Calibri"/>
        </w:rPr>
        <w:t>use</w:t>
      </w:r>
      <w:r w:rsidRPr="0035461C">
        <w:rPr>
          <w:rFonts w:ascii="Calibri" w:hAnsi="Calibri" w:cs="Calibri"/>
        </w:rPr>
        <w:t xml:space="preserve"> regimens that mimic physiology as closely as possible</w:t>
      </w:r>
      <w:r w:rsidR="00D27E0B" w:rsidRPr="0035461C">
        <w:rPr>
          <w:rFonts w:ascii="Calibri" w:hAnsi="Calibri" w:cs="Calibri"/>
        </w:rPr>
        <w:t>, irrespective of the presentation</w:t>
      </w:r>
      <w:r w:rsidR="003C4EB9" w:rsidRPr="0035461C">
        <w:rPr>
          <w:rFonts w:ascii="Calibri" w:hAnsi="Calibri" w:cs="Calibri"/>
        </w:rPr>
        <w:t xml:space="preserve">. This is </w:t>
      </w:r>
      <w:r w:rsidR="00EE4A76" w:rsidRPr="0035461C">
        <w:rPr>
          <w:rFonts w:ascii="Calibri" w:hAnsi="Calibri" w:cs="Calibri"/>
        </w:rPr>
        <w:t xml:space="preserve">best </w:t>
      </w:r>
      <w:r w:rsidR="003C4EB9" w:rsidRPr="0035461C">
        <w:rPr>
          <w:rFonts w:ascii="Calibri" w:hAnsi="Calibri" w:cs="Calibri"/>
        </w:rPr>
        <w:t>achieved with</w:t>
      </w:r>
      <w:r w:rsidRPr="0035461C">
        <w:rPr>
          <w:rFonts w:ascii="Calibri" w:hAnsi="Calibri" w:cs="Calibri"/>
        </w:rPr>
        <w:t xml:space="preserve"> either multiple daily injections (MDI) of subcutaneous basal </w:t>
      </w:r>
      <w:r w:rsidR="00EE4A76" w:rsidRPr="0035461C">
        <w:rPr>
          <w:rFonts w:ascii="Calibri" w:hAnsi="Calibri" w:cs="Calibri"/>
        </w:rPr>
        <w:t xml:space="preserve">insulin analogues </w:t>
      </w:r>
      <w:r w:rsidRPr="0035461C">
        <w:rPr>
          <w:rFonts w:ascii="Calibri" w:hAnsi="Calibri" w:cs="Calibri"/>
        </w:rPr>
        <w:t xml:space="preserve">and mealtime rapid-acting </w:t>
      </w:r>
      <w:r w:rsidR="00A73BEA">
        <w:rPr>
          <w:rFonts w:ascii="Calibri" w:hAnsi="Calibri" w:cs="Calibri"/>
        </w:rPr>
        <w:t xml:space="preserve">or ultra-rapid acting </w:t>
      </w:r>
      <w:r w:rsidRPr="0035461C">
        <w:rPr>
          <w:rFonts w:ascii="Calibri" w:hAnsi="Calibri" w:cs="Calibri"/>
        </w:rPr>
        <w:t>insulin</w:t>
      </w:r>
      <w:r w:rsidR="00EE4A76" w:rsidRPr="0035461C">
        <w:rPr>
          <w:rFonts w:ascii="Calibri" w:hAnsi="Calibri" w:cs="Calibri"/>
        </w:rPr>
        <w:t xml:space="preserve"> analogues</w:t>
      </w:r>
      <w:r w:rsidRPr="0035461C">
        <w:rPr>
          <w:rFonts w:ascii="Calibri" w:hAnsi="Calibri" w:cs="Calibri"/>
        </w:rPr>
        <w:t xml:space="preserve"> or with continuous subcutaneous insulin infusion of a rapid-acting </w:t>
      </w:r>
      <w:r w:rsidR="00B92FA7" w:rsidRPr="0035461C">
        <w:rPr>
          <w:rFonts w:ascii="Calibri" w:hAnsi="Calibri" w:cs="Calibri"/>
        </w:rPr>
        <w:t>insulin</w:t>
      </w:r>
      <w:r w:rsidR="00EE4A76" w:rsidRPr="0035461C">
        <w:rPr>
          <w:rFonts w:ascii="Calibri" w:hAnsi="Calibri" w:cs="Calibri"/>
        </w:rPr>
        <w:t xml:space="preserve"> analogue</w:t>
      </w:r>
      <w:r w:rsidR="00F55755" w:rsidRPr="0035461C">
        <w:rPr>
          <w:rFonts w:ascii="Calibri" w:hAnsi="Calibri" w:cs="Calibri"/>
        </w:rPr>
        <w:t xml:space="preserve"> via a pump</w:t>
      </w:r>
      <w:r w:rsidRPr="0035461C">
        <w:rPr>
          <w:rFonts w:ascii="Calibri" w:hAnsi="Calibri" w:cs="Calibri"/>
        </w:rPr>
        <w:t xml:space="preserve">, delivered as continuous basal insulin combined with </w:t>
      </w:r>
      <w:r w:rsidR="00F55755" w:rsidRPr="0035461C">
        <w:rPr>
          <w:rFonts w:ascii="Calibri" w:hAnsi="Calibri" w:cs="Calibri"/>
        </w:rPr>
        <w:t xml:space="preserve">manual </w:t>
      </w:r>
      <w:r w:rsidRPr="0035461C">
        <w:rPr>
          <w:rFonts w:ascii="Calibri" w:hAnsi="Calibri" w:cs="Calibri"/>
        </w:rPr>
        <w:t>mealtime boluses.</w:t>
      </w:r>
      <w:r w:rsidR="00A73BEA">
        <w:rPr>
          <w:rFonts w:ascii="Calibri" w:hAnsi="Calibri" w:cs="Calibri"/>
        </w:rPr>
        <w:t xml:space="preserve"> </w:t>
      </w:r>
      <w:r w:rsidR="00A73BEA" w:rsidRPr="0035461C">
        <w:rPr>
          <w:rFonts w:ascii="Calibri" w:hAnsi="Calibri" w:cs="Calibri"/>
        </w:rPr>
        <w:t>In</w:t>
      </w:r>
      <w:r w:rsidR="00A73BEA">
        <w:rPr>
          <w:rFonts w:ascii="Calibri" w:hAnsi="Calibri" w:cs="Calibri"/>
        </w:rPr>
        <w:t xml:space="preserve"> the U.S., in</w:t>
      </w:r>
      <w:r w:rsidR="00A73BEA" w:rsidRPr="0035461C">
        <w:rPr>
          <w:rFonts w:ascii="Calibri" w:hAnsi="Calibri" w:cs="Calibri"/>
        </w:rPr>
        <w:t>haled human insulin</w:t>
      </w:r>
      <w:r w:rsidR="00A73BEA">
        <w:rPr>
          <w:rFonts w:ascii="Calibri" w:hAnsi="Calibri" w:cs="Calibri"/>
        </w:rPr>
        <w:t xml:space="preserve"> is an alternative </w:t>
      </w:r>
      <w:r w:rsidR="00A73BEA" w:rsidRPr="0035461C">
        <w:rPr>
          <w:rFonts w:ascii="Calibri" w:hAnsi="Calibri" w:cs="Calibri"/>
        </w:rPr>
        <w:t xml:space="preserve">to subcutaneous rapid-acting analogues </w:t>
      </w:r>
      <w:r w:rsidR="00A73BEA" w:rsidRPr="0035461C">
        <w:rPr>
          <w:rFonts w:ascii="Calibri" w:hAnsi="Calibri" w:cs="Calibri"/>
        </w:rPr>
        <w:fldChar w:fldCharType="begin"/>
      </w:r>
      <w:r w:rsidR="00076F77">
        <w:rPr>
          <w:rFonts w:ascii="Calibri" w:hAnsi="Calibri" w:cs="Calibri"/>
        </w:rPr>
        <w:instrText xml:space="preserve"> ADDIN ZOTERO_ITEM CSL_CITATION {"citationID":"eUkomJCk","properties":{"formattedCitation":"(3)","plainCitation":"(3)","noteIndex":0},"citationItems":[{"id":10939,"uris":["http://zotero.org/groups/369679/items/JEDVKV5I"],"uri":["http://zotero.org/groups/369679/items/JEDVKV5I"],"itemData":{"id":10939,"type":"article-journal","abstract":"Insulin has been available for the treatment of diabetes for almost a century, and the variety of insulin choices today represents many years of discovery and innovation. Insulin has gone from poorly defined extracts of animal pancreata to pure and precisely controlled formulations that can be prescribed and administered with high accuracy and predictability of action. Modifications of the insulin formulation and of the insulin molecule itself have made it possible to approximate the natural endogenous insulin response. Insulin and insulin formulations had to be designed to produce either a constant low basal level of insulin or the spikes of insulin released in response to meals. We discuss how the biochemical properties of endogenous insulin were exploited to either shorten or extend the time-action profiles of injectable insulins by varying the pharmacokinetics (time for appearance of insulin in the blood after injection) and pharmacodynamics (time-dependent changes in blood sugar after injection). This has resulted in rapid-acting, short-acting, intermediate-acting, and long-acting insulins, as well as mixtures and concentrated formulations. An understanding of how various insulins and formulations were designed to solve the challenges of insulin replacement will assist clinicians in meeting the needs of their individual patients.","container-title":"Endocrine Reviews","DOI":"10.1210/endrev/bnaa015","ISSN":"1945-7189","issue":"5","journalAbbreviation":"Endocr Rev","language":"eng","note":"PMID: 32396624\nPMCID: PMC7366348","source":"PubMed","title":"The Evolution of Insulin and How it Informs Therapy and Treatment Choices","volume":"41","author":[{"family":"Hirsch","given":"Irl B."},{"family":"Juneja","given":"Rattan"},{"family":"Beals","given":"John M."},{"family":"Antalis","given":"Caryl J."},{"family":"Wright","given":"Eugene E."}],"issued":{"date-parts":[["2020"]],"season":"01"}}}],"schema":"https://github.com/citation-style-language/schema/raw/master/csl-citation.json"} </w:instrText>
      </w:r>
      <w:r w:rsidR="00A73BEA" w:rsidRPr="0035461C">
        <w:rPr>
          <w:rFonts w:ascii="Calibri" w:hAnsi="Calibri" w:cs="Calibri"/>
        </w:rPr>
        <w:fldChar w:fldCharType="separate"/>
      </w:r>
      <w:r w:rsidR="00643FF1" w:rsidRPr="00643FF1">
        <w:rPr>
          <w:rFonts w:ascii="Calibri" w:hAnsi="Calibri" w:cs="Calibri"/>
        </w:rPr>
        <w:t>(3)</w:t>
      </w:r>
      <w:r w:rsidR="00A73BEA" w:rsidRPr="0035461C">
        <w:rPr>
          <w:rFonts w:ascii="Calibri" w:hAnsi="Calibri" w:cs="Calibri"/>
        </w:rPr>
        <w:fldChar w:fldCharType="end"/>
      </w:r>
      <w:r w:rsidR="00A73BEA" w:rsidRPr="0035461C">
        <w:rPr>
          <w:rFonts w:ascii="Calibri" w:hAnsi="Calibri" w:cs="Calibri"/>
        </w:rPr>
        <w:t>.</w:t>
      </w:r>
      <w:r w:rsidRPr="0035461C">
        <w:rPr>
          <w:rFonts w:ascii="Calibri" w:hAnsi="Calibri" w:cs="Calibri"/>
        </w:rPr>
        <w:t xml:space="preserve"> </w:t>
      </w:r>
      <w:r w:rsidR="00920529">
        <w:rPr>
          <w:rFonts w:ascii="Calibri" w:hAnsi="Calibri" w:cs="Calibri"/>
        </w:rPr>
        <w:t>Although f</w:t>
      </w:r>
      <w:r w:rsidR="00920529" w:rsidRPr="0035461C">
        <w:rPr>
          <w:rFonts w:ascii="Calibri" w:hAnsi="Calibri" w:cs="Calibri"/>
        </w:rPr>
        <w:t>irst-generation basal analogues and NPH insulin</w:t>
      </w:r>
      <w:r w:rsidR="00920529">
        <w:rPr>
          <w:rFonts w:ascii="Calibri" w:hAnsi="Calibri" w:cs="Calibri"/>
        </w:rPr>
        <w:t xml:space="preserve"> are frequently administered once a day, greater flexibility </w:t>
      </w:r>
      <w:r w:rsidR="00677EEA">
        <w:rPr>
          <w:rFonts w:ascii="Calibri" w:hAnsi="Calibri" w:cs="Calibri"/>
        </w:rPr>
        <w:t xml:space="preserve">and better coverage of basal insulin needs </w:t>
      </w:r>
      <w:r w:rsidR="00920529">
        <w:rPr>
          <w:rFonts w:ascii="Calibri" w:hAnsi="Calibri" w:cs="Calibri"/>
        </w:rPr>
        <w:t>may be obtained if they are administered twice daily.</w:t>
      </w:r>
      <w:r w:rsidR="00920529" w:rsidRPr="0035461C">
        <w:rPr>
          <w:rFonts w:ascii="Calibri" w:hAnsi="Calibri" w:cs="Calibri"/>
        </w:rPr>
        <w:t xml:space="preserve"> </w:t>
      </w:r>
      <w:r w:rsidR="00B92FA7" w:rsidRPr="0035461C">
        <w:rPr>
          <w:rFonts w:ascii="Calibri" w:hAnsi="Calibri" w:cs="Calibri"/>
        </w:rPr>
        <w:t xml:space="preserve">Trials have demonstrated that the latest basal analogues may </w:t>
      </w:r>
      <w:r w:rsidR="00A7339F">
        <w:rPr>
          <w:rFonts w:ascii="Calibri" w:hAnsi="Calibri" w:cs="Calibri"/>
        </w:rPr>
        <w:t>cause less</w:t>
      </w:r>
      <w:r w:rsidR="00B92FA7" w:rsidRPr="0035461C">
        <w:rPr>
          <w:rFonts w:ascii="Calibri" w:hAnsi="Calibri" w:cs="Calibri"/>
        </w:rPr>
        <w:t xml:space="preserve"> hypoglycaemia </w:t>
      </w:r>
      <w:r w:rsidR="00A7339F">
        <w:rPr>
          <w:rFonts w:ascii="Calibri" w:hAnsi="Calibri" w:cs="Calibri"/>
        </w:rPr>
        <w:t>than</w:t>
      </w:r>
      <w:r w:rsidR="00B92FA7" w:rsidRPr="0035461C">
        <w:rPr>
          <w:rFonts w:ascii="Calibri" w:hAnsi="Calibri" w:cs="Calibri"/>
        </w:rPr>
        <w:t xml:space="preserve"> first-generation basal analogues</w:t>
      </w:r>
      <w:r w:rsidR="00396156" w:rsidRPr="0035461C">
        <w:rPr>
          <w:rFonts w:ascii="Calibri" w:hAnsi="Calibri" w:cs="Calibri"/>
        </w:rPr>
        <w:t xml:space="preserve"> </w:t>
      </w:r>
      <w:r w:rsidR="00B92FA7" w:rsidRPr="0035461C">
        <w:rPr>
          <w:rFonts w:ascii="Calibri" w:hAnsi="Calibri" w:cs="Calibri"/>
        </w:rPr>
        <w:t>and NPH insulin while rapid-acting analogues achieve better mealtime coverage and less post-meal hypoglycaemia than regular human insulin</w:t>
      </w:r>
      <w:r w:rsidR="00396156" w:rsidRPr="0035461C">
        <w:rPr>
          <w:rFonts w:ascii="Calibri" w:hAnsi="Calibri" w:cs="Calibri"/>
        </w:rPr>
        <w:t xml:space="preserve"> </w:t>
      </w:r>
      <w:r w:rsidR="00396156" w:rsidRPr="0035461C">
        <w:rPr>
          <w:rFonts w:ascii="Calibri" w:hAnsi="Calibri" w:cs="Calibri"/>
        </w:rPr>
        <w:fldChar w:fldCharType="begin"/>
      </w:r>
      <w:r w:rsidR="00076F77">
        <w:rPr>
          <w:rFonts w:ascii="Calibri" w:hAnsi="Calibri" w:cs="Calibri"/>
        </w:rPr>
        <w:instrText xml:space="preserve"> ADDIN ZOTERO_ITEM CSL_CITATION {"citationID":"GdP8B1Lm","properties":{"formattedCitation":"(85,86)","plainCitation":"(85,86)","noteIndex":0},"citationItems":[{"id":11051,"uris":["http://zotero.org/groups/369679/items/4YZD64D8"],"uri":["http://zotero.org/groups/369679/items/4YZD64D8"],"itemData":{"id":11051,"type":"article-journal","abstract":"Severe hypoglycaemia (SH) remains a challenge to people with type 1 diabetes (T1DM), and new-generation basal insulins may improve patient outcomes. This post hoc meta-analysis explored the risk of SH with insulin glargine 300 U/mL (Gla-300) versus glargine 100 U/mL (Gla-100) in a pooled population with T1DM from three randomized, multicentre, 6-month similarly designed phase 3 trials: EDITION 4, EDITION JP 1 and EDITION JUNIOR. Endpoints included incidence and time to first occurrence of SH. Among 629 and 626 participants randomized to Gla-300 and Gla-100, respectively, glycated haemoglobin reductions were similar. Fewer participants experienced ≥1 SH event with Gla-300 (6.2%) than with Gla-100 (9.3%). From baseline to month 6, the risk of a first SH event was lower with Gla-300: hazard ratio 0.65 [95% confidence interval (CI) 0.44-0.98; stratified log-rank test P = 0.038]. SH event rates were numerically lower with Gla-300 versus Gla-100 from baseline to month 6 [relative risk (RR) 0.80 (95% CI 0.49-1.29); P = 0.356] and baseline to week 8 [RR 0.73 (95% CI 0.37-1.44); P = 0.369]. Thus, Gla-300 demonstrated similar glycaemic control with lower risk of SH versus Gla-100, particularly during the titration period.","container-title":"Diabetes, Obesity &amp; Metabolism","DOI":"10.1111/dom.14109","ISSN":"1463-1326","issue":"10","journalAbbreviation":"Diabetes Obes Metab","language":"eng","note":"PMID: 32515543\nPMCID: PMC7540568","page":"1880-1885","source":"PubMed","title":"Lower risk of severe hypoglycaemia with insulin glargine 300 U/mL versus glargine 100 U/mL in participants with type 1 diabetes: A meta-analysis of 6-month phase 3 clinical trials","title-short":"Lower risk of severe hypoglycaemia with insulin glargine 300 U/mL versus glargine 100 U/mL in participants with type 1 diabetes","volume":"22","author":[{"family":"Danne","given":"Thomas"},{"family":"Matsuhisa","given":"Munehide"},{"family":"Sussebach","given":"Christian"},{"family":"Goyeau","given":"Harmonie"},{"family":"Lauand","given":"Felipe"},{"family":"Niemoeller","given":"Elisabeth"},{"family":"Bolli","given":"Geremia B."}],"issued":{"date-parts":[["2020",10]]}}},{"id":2491,"uris":["http://zotero.org/groups/369679/items/CJDF7NPJ"],"uri":["http://zotero.org/groups/369679/items/CJDF7NPJ"],"itemData":{"id":2491,"type":"article-journal","abstract":"Importance: Hypoglycemia, common in patients with type 1 diabetes, is a major barrier to achieving good glycemic control. Severe hypoglycemia can lead to coma or death.\nObjective: To determine whether insulin degludec is noninferior or superior to insulin glargine U100 in reducing the rate of symptomatic hypoglycemic episodes.\nDesign, Setting, and Participants: Double-blind, randomized, crossover noninferiority trial involving 501 adults with at least 1 hypoglycemia risk factor treated at 84 US and 6 Polish centers (January 2014-January 12, 2016) for two 32-week treatment periods, each with a 16-week titration and a 16-week maintenance period.\nInterventions: Patients were randomized 1:1 to receive once-daily insulin degludec followed by insulin glargine U100 (n = 249) or to receive insulin glargine U100 followed by insulin degludec (n = 252) and randomized 1:1 to morning or evening dosing within each treatment sequence.\nMain Outcomes and Measures: The primary end point was the rate of overall severe or blood glucose-confirmed (&lt;56 mg/dL) symptomatic hypoglycemic episodes during the maintenance period. Secondary end points included the rate of nocturnal symptomatic hypoglycemic episodes and proportion of patients with severe hypoglycemia during the maintenance period. The noninferiority criterion for the primary end point and for the secondary end point of nocturnal hypoglycemia was defined as an upper limit of the 2-sided 95% CI for a rate ratio of 1.10 or lower; if noninferiority was established, 2-sided statistical testing for superiority was conducted.\nResults: Of the 501 patients randomized (mean age, 45.9 years; 53.7% men), 395 (78.8%) completed the trial. During the maintenance period, the rates of overall symptomatic hypoglycemia were 2200.9 episodes per 100 person-years' exposure (PYE) in the insulin degludec group vs 2462.7 episodes per 100 PYE in the insulin glargine U100 group for a rate ratio (RR) of 0.89 (95% CI, 0.85-0.94; P &lt; .001 for noninferiority; P &lt; .001 for superiority; rate difference, -130.31 episodes per 100 PYE; 95% CI, -193.5 to -67.16). The rates of nocturnal symptomatic hypoglycemia were 277.1 per 100 PYE in the insulin degludec group vs 428.6 episodes per 100 PYE in the insulin glargine U100 group, for an RR of 0.64 (95% CI, 0.56-0.73; P &lt; .001 for noninferiority; P &lt; .001 for superiority; rate difference, -61.94 episodes per 100 PYE; 95% CI, -83.85 to -40.03). A lower proportion of patients in the insulin degludec than in the insulin glargine U100 group experienced severe hypoglycemia during the maintenance period (10.3%, 95% CI, 7.3%-13.3% vs 17.1%, 95% CI, 13.4%-20.8%, respectively; McNemar P = .002; risk difference, -6.8%; 95% CI, -10.8% to -2.7%).\nConclusions and Relevance: Among patients with type 1 diabetes and at least 1 risk factor for hypoglycemia, 32 weeks' treatment with insulin degludec vs insulin glargine U100 resulted in a reduced rate of overall symptomatic hypoglycemic episodes.\nTrial Registration: clinicaltrials.gov Identifier: NCT02034513.","container-title":"JAMA","DOI":"10.1001/jama.2017.7115","ISSN":"1538-3598","issue":"1","journalAbbreviation":"JAMA","language":"eng","note":"PMID: 28672316","page":"33-44","source":"PubMed","title":"Effect of Insulin Degludec vs Insulin Glargine U100 on Hypoglycemia in Patients With Type 1 Diabetes: The SWITCH 1 Randomized Clinical Trial","title-short":"Effect of Insulin Degludec vs Insulin Glargine U100 on Hypoglycemia in Patients With Type 1 Diabetes","volume":"318","author":[{"family":"Lane","given":"Wendy"},{"family":"Bailey","given":"Timothy S."},{"family":"Gerety","given":"Gregg"},{"family":"Gumprecht","given":"Janusz"},{"family":"Philis-Tsimikas","given":"Athena"},{"family":"Hansen","given":"Charlotte Thim"},{"family":"Nielsen","given":"Thor S. S."},{"family":"Warren","given":"Mark"},{"literal":"Group Information"},{"literal":"SWITCH 1"}],"issued":{"date-parts":[["2017",7,4]]}}}],"schema":"https://github.com/citation-style-language/schema/raw/master/csl-citation.json"} </w:instrText>
      </w:r>
      <w:r w:rsidR="00396156" w:rsidRPr="0035461C">
        <w:rPr>
          <w:rFonts w:ascii="Calibri" w:hAnsi="Calibri" w:cs="Calibri"/>
        </w:rPr>
        <w:fldChar w:fldCharType="separate"/>
      </w:r>
      <w:r w:rsidR="00076F77" w:rsidRPr="00076F77">
        <w:rPr>
          <w:rFonts w:ascii="Calibri" w:hAnsi="Calibri" w:cs="Calibri"/>
        </w:rPr>
        <w:t>(85,86)</w:t>
      </w:r>
      <w:r w:rsidR="00396156" w:rsidRPr="0035461C">
        <w:rPr>
          <w:rFonts w:ascii="Calibri" w:hAnsi="Calibri" w:cs="Calibri"/>
        </w:rPr>
        <w:fldChar w:fldCharType="end"/>
      </w:r>
      <w:r w:rsidR="00B92FA7" w:rsidRPr="0035461C">
        <w:rPr>
          <w:rFonts w:ascii="Calibri" w:hAnsi="Calibri" w:cs="Calibri"/>
        </w:rPr>
        <w:t>. Insulin analogues are therefore considered the insulin</w:t>
      </w:r>
      <w:r w:rsidR="00FE0D77" w:rsidRPr="0035461C">
        <w:rPr>
          <w:rFonts w:ascii="Calibri" w:hAnsi="Calibri" w:cs="Calibri"/>
        </w:rPr>
        <w:t>s</w:t>
      </w:r>
      <w:r w:rsidR="00B92FA7" w:rsidRPr="0035461C">
        <w:rPr>
          <w:rFonts w:ascii="Calibri" w:hAnsi="Calibri" w:cs="Calibri"/>
        </w:rPr>
        <w:t xml:space="preserve"> of choice. </w:t>
      </w:r>
    </w:p>
    <w:p w14:paraId="098052C6" w14:textId="2A39B220" w:rsidR="00F34619" w:rsidRPr="0035461C" w:rsidRDefault="00396156" w:rsidP="001C5BC0">
      <w:pPr>
        <w:spacing w:before="120"/>
        <w:jc w:val="both"/>
        <w:rPr>
          <w:rFonts w:ascii="Calibri" w:hAnsi="Calibri" w:cs="Calibri"/>
        </w:rPr>
      </w:pPr>
      <w:r w:rsidRPr="0035461C">
        <w:rPr>
          <w:rFonts w:ascii="Calibri" w:hAnsi="Calibri" w:cs="Calibri"/>
        </w:rPr>
        <w:t>U</w:t>
      </w:r>
      <w:r w:rsidR="00B92FA7" w:rsidRPr="0035461C">
        <w:rPr>
          <w:rFonts w:ascii="Calibri" w:hAnsi="Calibri" w:cs="Calibri"/>
        </w:rPr>
        <w:t>ltra-rapid analogues have a slightly earlier time of onset and peak action than rapid-acting analogues. These insulins reduce post-prandial hypergl</w:t>
      </w:r>
      <w:r w:rsidR="008E0C17" w:rsidRPr="0035461C">
        <w:rPr>
          <w:rFonts w:ascii="Calibri" w:hAnsi="Calibri" w:cs="Calibri"/>
        </w:rPr>
        <w:t>ycaemi</w:t>
      </w:r>
      <w:r w:rsidR="00B92FA7" w:rsidRPr="0035461C">
        <w:rPr>
          <w:rFonts w:ascii="Calibri" w:hAnsi="Calibri" w:cs="Calibri"/>
        </w:rPr>
        <w:t>a but have otherwise not been shown to reduce HbA</w:t>
      </w:r>
      <w:r w:rsidR="00B92FA7" w:rsidRPr="0035461C">
        <w:rPr>
          <w:rFonts w:ascii="Calibri" w:hAnsi="Calibri" w:cs="Calibri"/>
          <w:vertAlign w:val="subscript"/>
        </w:rPr>
        <w:t>1c</w:t>
      </w:r>
      <w:r w:rsidR="00B92FA7" w:rsidRPr="0035461C">
        <w:rPr>
          <w:rFonts w:ascii="Calibri" w:hAnsi="Calibri" w:cs="Calibri"/>
        </w:rPr>
        <w:t xml:space="preserve"> or hypoglycaemia </w:t>
      </w:r>
      <w:r w:rsidR="00395E55" w:rsidRPr="0035461C">
        <w:rPr>
          <w:rFonts w:ascii="Calibri" w:hAnsi="Calibri" w:cs="Calibri"/>
        </w:rPr>
        <w:t>to a greater extent than</w:t>
      </w:r>
      <w:r w:rsidR="00B92FA7" w:rsidRPr="0035461C">
        <w:rPr>
          <w:rFonts w:ascii="Calibri" w:hAnsi="Calibri" w:cs="Calibri"/>
        </w:rPr>
        <w:t xml:space="preserve"> rapid-acting analogues</w:t>
      </w:r>
      <w:r w:rsidRPr="0035461C">
        <w:rPr>
          <w:rFonts w:ascii="Calibri" w:hAnsi="Calibri" w:cs="Calibri"/>
        </w:rPr>
        <w:t xml:space="preserve"> </w:t>
      </w:r>
      <w:r w:rsidR="003C57A2" w:rsidRPr="0035461C">
        <w:rPr>
          <w:rFonts w:ascii="Calibri" w:hAnsi="Calibri" w:cs="Calibri"/>
        </w:rPr>
        <w:fldChar w:fldCharType="begin"/>
      </w:r>
      <w:r w:rsidR="00076F77">
        <w:rPr>
          <w:rFonts w:ascii="Calibri" w:hAnsi="Calibri" w:cs="Calibri"/>
        </w:rPr>
        <w:instrText xml:space="preserve"> ADDIN ZOTERO_ITEM CSL_CITATION {"citationID":"axkQBLjT","properties":{"formattedCitation":"(3)","plainCitation":"(3)","noteIndex":0},"citationItems":[{"id":10939,"uris":["http://zotero.org/groups/369679/items/JEDVKV5I"],"uri":["http://zotero.org/groups/369679/items/JEDVKV5I"],"itemData":{"id":10939,"type":"article-journal","abstract":"Insulin has been available for the treatment of diabetes for almost a century, and the variety of insulin choices today represents many years of discovery and innovation. Insulin has gone from poorly defined extracts of animal pancreata to pure and precisely controlled formulations that can be prescribed and administered with high accuracy and predictability of action. Modifications of the insulin formulation and of the insulin molecule itself have made it possible to approximate the natural endogenous insulin response. Insulin and insulin formulations had to be designed to produce either a constant low basal level of insulin or the spikes of insulin released in response to meals. We discuss how the biochemical properties of endogenous insulin were exploited to either shorten or extend the time-action profiles of injectable insulins by varying the pharmacokinetics (time for appearance of insulin in the blood after injection) and pharmacodynamics (time-dependent changes in blood sugar after injection). This has resulted in rapid-acting, short-acting, intermediate-acting, and long-acting insulins, as well as mixtures and concentrated formulations. An understanding of how various insulins and formulations were designed to solve the challenges of insulin replacement will assist clinicians in meeting the needs of their individual patients.","container-title":"Endocrine Reviews","DOI":"10.1210/endrev/bnaa015","ISSN":"1945-7189","issue":"5","journalAbbreviation":"Endocr Rev","language":"eng","note":"PMID: 32396624\nPMCID: PMC7366348","source":"PubMed","title":"The Evolution of Insulin and How it Informs Therapy and Treatment Choices","volume":"41","author":[{"family":"Hirsch","given":"Irl B."},{"family":"Juneja","given":"Rattan"},{"family":"Beals","given":"John M."},{"family":"Antalis","given":"Caryl J."},{"family":"Wright","given":"Eugene E."}],"issued":{"date-parts":[["2020"]],"season":"01"}}}],"schema":"https://github.com/citation-style-language/schema/raw/master/csl-citation.json"} </w:instrText>
      </w:r>
      <w:r w:rsidR="003C57A2" w:rsidRPr="0035461C">
        <w:rPr>
          <w:rFonts w:ascii="Calibri" w:hAnsi="Calibri" w:cs="Calibri"/>
        </w:rPr>
        <w:fldChar w:fldCharType="separate"/>
      </w:r>
      <w:r w:rsidR="00643FF1" w:rsidRPr="00643FF1">
        <w:rPr>
          <w:rFonts w:ascii="Calibri" w:hAnsi="Calibri" w:cs="Calibri"/>
        </w:rPr>
        <w:t>(3)</w:t>
      </w:r>
      <w:r w:rsidR="003C57A2" w:rsidRPr="0035461C">
        <w:rPr>
          <w:rFonts w:ascii="Calibri" w:hAnsi="Calibri" w:cs="Calibri"/>
        </w:rPr>
        <w:fldChar w:fldCharType="end"/>
      </w:r>
      <w:r w:rsidRPr="0035461C">
        <w:rPr>
          <w:rFonts w:ascii="Calibri" w:hAnsi="Calibri" w:cs="Calibri"/>
        </w:rPr>
        <w:t>.</w:t>
      </w:r>
      <w:r w:rsidR="00B92FA7" w:rsidRPr="0035461C">
        <w:rPr>
          <w:rFonts w:ascii="Calibri" w:hAnsi="Calibri" w:cs="Calibri"/>
        </w:rPr>
        <w:t xml:space="preserve"> Currently, recombinant human insulin or analogues of human insulin account for the vast majority of insulin used worldwide.</w:t>
      </w:r>
    </w:p>
    <w:p w14:paraId="30136B51" w14:textId="7E599069" w:rsidR="00F34619" w:rsidRPr="0035461C" w:rsidRDefault="00567D76" w:rsidP="001C5BC0">
      <w:pPr>
        <w:spacing w:before="120"/>
        <w:jc w:val="both"/>
        <w:rPr>
          <w:rFonts w:ascii="Calibri" w:hAnsi="Calibri" w:cs="Calibri"/>
        </w:rPr>
      </w:pPr>
      <w:r w:rsidRPr="0035461C">
        <w:rPr>
          <w:rFonts w:ascii="Calibri" w:hAnsi="Calibri" w:cs="Calibri"/>
        </w:rPr>
        <w:t>HbA</w:t>
      </w:r>
      <w:r w:rsidRPr="0035461C">
        <w:rPr>
          <w:rFonts w:ascii="Calibri" w:hAnsi="Calibri" w:cs="Calibri"/>
          <w:vertAlign w:val="subscript"/>
        </w:rPr>
        <w:t>1c</w:t>
      </w:r>
      <w:r w:rsidRPr="0035461C">
        <w:rPr>
          <w:rFonts w:ascii="Calibri" w:hAnsi="Calibri" w:cs="Calibri"/>
        </w:rPr>
        <w:t>,</w:t>
      </w:r>
      <w:r w:rsidR="00B92FA7" w:rsidRPr="0035461C">
        <w:rPr>
          <w:rFonts w:ascii="Calibri" w:hAnsi="Calibri" w:cs="Calibri"/>
        </w:rPr>
        <w:t xml:space="preserve"> time in range</w:t>
      </w:r>
      <w:r w:rsidR="002927A8" w:rsidRPr="0035461C">
        <w:rPr>
          <w:rFonts w:ascii="Calibri" w:hAnsi="Calibri" w:cs="Calibri"/>
        </w:rPr>
        <w:t>,</w:t>
      </w:r>
      <w:r w:rsidR="00B92FA7" w:rsidRPr="0035461C">
        <w:rPr>
          <w:rFonts w:ascii="Calibri" w:hAnsi="Calibri" w:cs="Calibri"/>
        </w:rPr>
        <w:t xml:space="preserve"> and time below range</w:t>
      </w:r>
      <w:r w:rsidRPr="0035461C">
        <w:rPr>
          <w:rFonts w:ascii="Calibri" w:hAnsi="Calibri" w:cs="Calibri"/>
        </w:rPr>
        <w:t xml:space="preserve"> are improved further when </w:t>
      </w:r>
      <w:r w:rsidR="00EE4A76" w:rsidRPr="0035461C">
        <w:rPr>
          <w:rFonts w:ascii="Calibri" w:hAnsi="Calibri" w:cs="Calibri"/>
        </w:rPr>
        <w:t xml:space="preserve">physiological MDI or pump </w:t>
      </w:r>
      <w:r w:rsidRPr="0035461C">
        <w:rPr>
          <w:rFonts w:ascii="Calibri" w:hAnsi="Calibri" w:cs="Calibri"/>
        </w:rPr>
        <w:t>regimens are augmented with CGM usage</w:t>
      </w:r>
      <w:r w:rsidR="00396156" w:rsidRPr="0035461C">
        <w:rPr>
          <w:rFonts w:ascii="Calibri" w:hAnsi="Calibri" w:cs="Calibri"/>
        </w:rPr>
        <w:t xml:space="preserve"> </w:t>
      </w:r>
      <w:r w:rsidR="00AC10BD" w:rsidRPr="0035461C">
        <w:rPr>
          <w:rFonts w:ascii="Calibri" w:hAnsi="Calibri" w:cs="Calibri"/>
        </w:rPr>
        <w:fldChar w:fldCharType="begin"/>
      </w:r>
      <w:r w:rsidR="00076F77">
        <w:rPr>
          <w:rFonts w:ascii="Calibri" w:hAnsi="Calibri" w:cs="Calibri"/>
        </w:rPr>
        <w:instrText xml:space="preserve"> ADDIN ZOTERO_ITEM CSL_CITATION {"citationID":"Xt6i90PU","properties":{"formattedCitation":"(87)","plainCitation":"(87)","noteIndex":0},"citationItems":[{"id":11054,"uris":["http://zotero.org/groups/369679/items/6J296WVJ"],"uri":["http://zotero.org/groups/369679/items/6J296WVJ"],"itemData":{"id":11054,"type":"article-journal","abstract":"OBJECTIVE: This study assessed the clinical impact of four treatment strategies in adults with type 1 diabetes (T1D): real-time continuous glucose monitoring (rtCGM) with multiple daily insulin injections (rtCGM+MDI), rtCGM with continuous subcutaneous insulin infusion (rtCGM+CSII), self-monitoring of blood glucose with MDI (SMBG+MDI), and SMBG with CSII (SMBG+CSII).\nRESEARCH DESIGN AND METHODS: This 3-year, nonrandomized, prospective, real-world, clinical trial followed 94 participants with T1D (rtCGM+MDI, n = 22; rtCGM+CSII, n = 26; SMBG+MDI, n = 21; SMBG+CSII, n = 25). The main end points were changes in A1C, time in range (70-180 mg/dL [3.9-10 mmol/L]), time below range (&lt;70 mg/dL [&lt;3.9 mmol/L]), glycemic variability, and incidence of hypoglycemia.\nRESULTS: At 3 years, the rtCGM groups (rtCGM+MDI and rtCGM+CSII) had significantly lower A1C (7.0% [53 mmol/mol], P = 0.0002, and 6.9% [52 mmol/mol], P &lt; 0.0001, respectively), compared with the SMBG+CSII and SMBG+MDI groups (7.7% [61 mmol/mol], P = 0.3574, and 8.0% [64 mmol/mol], P = 1.000, respectively), with no significant difference between the rtCGM groups. Significant improvements in percentage of time in range were observed in the rtCGM subgroups (rtCGM+MDI, 48.7-69.0%, P &lt; 0.0001; and rtCGM+CSII, 50.9-72.3%, P &lt; 0.0001) and in the SMBG+CSII group (50.6-57.8%, P = 0.0114). Significant reductions in time below range were found only in the rtCGM subgroups (rtCGM+MDI, 9.4-5.5%, P = 0.0387; and rtCGM+CSII, 9.0-5.3%, P = 0.0235). Seven severe hypoglycemia episodes occurred: SMBG groups, n = 5; sensor-augmented insulin regimen groups, n = 2.\nCONCLUSIONS: rtCGM was superior to SMBG in reducing A1C, hypoglycemia, and other end points in individuals with T1D regardless of their insulin delivery method. rtCGM+MDI can be considered an equivalent but lower-cost alternative to sensor-augmented insulin pump therapy and superior to treatment with SMBG+MDI or SMBG+CSII therapy.","container-title":"Diabetes Care","DOI":"10.2337/dc19-0888","ISSN":"1935-5548","issue":"1","journalAbbreviation":"Diabetes Care","language":"eng","note":"PMID: 31530663","page":"37-43","source":"PubMed","title":"Glycemic Outcomes in Adults With T1D Are Impacted More by Continuous Glucose Monitoring Than by Insulin Delivery Method: 3 Years of Follow-Up From the COMISAIR Study","title-short":"Glycemic Outcomes in Adults With T1D Are Impacted More by Continuous Glucose Monitoring Than by Insulin Delivery Method","volume":"43","author":[{"family":"Šoupal","given":"Jan"},{"family":"Petruželková","given":"Lenka"},{"family":"Grunberger","given":"George"},{"family":"Hásková","given":"Aneta"},{"family":"Flekač","given":"Milan"},{"family":"Matoulek","given":"Martin"},{"family":"Mikeš","given":"Ondřej"},{"family":"Pelcl","given":"Tomáš"},{"family":"Škrha","given":"Jan"},{"family":"Horová","given":"Eva"},{"family":"Škrha","given":"Jan"},{"family":"Parkin","given":"Christopher G."},{"family":"Svačina","given":"Štěpán"},{"family":"Prázný","given":"Martin"}],"issued":{"date-parts":[["2020",1]]}}}],"schema":"https://github.com/citation-style-language/schema/raw/master/csl-citation.json"} </w:instrText>
      </w:r>
      <w:r w:rsidR="00AC10BD" w:rsidRPr="0035461C">
        <w:rPr>
          <w:rFonts w:ascii="Calibri" w:hAnsi="Calibri" w:cs="Calibri"/>
        </w:rPr>
        <w:fldChar w:fldCharType="separate"/>
      </w:r>
      <w:r w:rsidR="00076F77" w:rsidRPr="00076F77">
        <w:rPr>
          <w:rFonts w:ascii="Calibri" w:hAnsi="Calibri" w:cs="Calibri"/>
        </w:rPr>
        <w:t>(87)</w:t>
      </w:r>
      <w:r w:rsidR="00AC10BD" w:rsidRPr="0035461C">
        <w:rPr>
          <w:rFonts w:ascii="Calibri" w:hAnsi="Calibri" w:cs="Calibri"/>
        </w:rPr>
        <w:fldChar w:fldCharType="end"/>
      </w:r>
      <w:r w:rsidR="00396156" w:rsidRPr="0035461C">
        <w:rPr>
          <w:rFonts w:ascii="Calibri" w:hAnsi="Calibri" w:cs="Calibri"/>
        </w:rPr>
        <w:t>,</w:t>
      </w:r>
      <w:r w:rsidRPr="0035461C">
        <w:rPr>
          <w:rFonts w:ascii="Calibri" w:hAnsi="Calibri" w:cs="Calibri"/>
        </w:rPr>
        <w:t xml:space="preserve"> with the greatest benefits seen with algorithm-driven automated basal (and in some systems correction) insulin delivery, </w:t>
      </w:r>
      <w:r w:rsidR="00620FA8" w:rsidRPr="0035461C">
        <w:rPr>
          <w:rFonts w:ascii="Calibri" w:hAnsi="Calibri" w:cs="Calibri"/>
        </w:rPr>
        <w:t>which is commonly called</w:t>
      </w:r>
      <w:r w:rsidRPr="0035461C">
        <w:rPr>
          <w:rFonts w:ascii="Calibri" w:hAnsi="Calibri" w:cs="Calibri"/>
        </w:rPr>
        <w:t xml:space="preserve"> hybrid-closed loop therapy</w:t>
      </w:r>
      <w:r w:rsidR="00396156" w:rsidRPr="0035461C">
        <w:rPr>
          <w:rFonts w:ascii="Calibri" w:hAnsi="Calibri" w:cs="Calibri"/>
        </w:rPr>
        <w:t xml:space="preserve"> </w:t>
      </w:r>
      <w:r w:rsidR="002C3691" w:rsidRPr="0035461C">
        <w:rPr>
          <w:rFonts w:ascii="Calibri" w:hAnsi="Calibri" w:cs="Calibri"/>
        </w:rPr>
        <w:fldChar w:fldCharType="begin"/>
      </w:r>
      <w:r w:rsidR="00076F77">
        <w:rPr>
          <w:rFonts w:ascii="Calibri" w:hAnsi="Calibri" w:cs="Calibri"/>
        </w:rPr>
        <w:instrText xml:space="preserve"> ADDIN ZOTERO_ITEM CSL_CITATION {"citationID":"5JNaMJbB","properties":{"formattedCitation":"(88,89)","plainCitation":"(88,89)","noteIndex":0},"citationItems":[{"id":2232,"uris":["http://zotero.org/groups/369679/items/LW3GA6KX"],"uri":["http://zotero.org/groups/369679/items/LW3GA6KX"],"itemData":{"id":2232,"type":"article-journal","container-title":"JAMA","DOI":"10.1001/jama.2016.11708","ISSN":"1538-3598","issue":"13","journalAbbreviation":"JAMA","language":"ENG","note":"PMID: 27629148","page":"1407-1408","source":"PubMed","title":"Safety of a Hybrid Closed-Loop Insulin Delivery System in Patients With Type 1 Diabetes","volume":"316","author":[{"family":"Bergenstal","given":"Richard M."},{"family":"Garg","given":"Satish"},{"family":"Weinzimer","given":"Stuart A."},{"family":"Buckingham","given":"Bruce A."},{"family":"Bode","given":"Bruce W."},{"family":"Tamborlane","given":"William V."},{"family":"Kaufman","given":"Francine R."}],"issued":{"date-parts":[["2016",10,4]]}}},{"id":4535,"uris":["http://zotero.org/groups/369679/items/XNY4YFM3"],"uri":["http://zotero.org/groups/369679/items/XNY4YFM3"],"itemData":{"id":4535,"type":"article-journal","abstract":"BACKGROUND: Closed-loop systems that automate insulin delivery may improve glycemic outcomes in patients with type 1 diabetes.\nMETHODS: In this 6-month randomized, multicenter trial, patients with type 1 diabetes were assigned in a 2:1 ratio to receive treatment with a closed-loop system (closed-loop group) or a sensor-augmented pump (control group). The primary outcome was the percentage of time that the blood glucose level was within the target range of 70 to 180 mg per deciliter (3.9 to 10.0 mmol per liter), as measured by continuous glucose monitoring.\nRESULTS: A total of 168 patients underwent randomization; 112 were assigned to the closed-loop group, and 56 were assigned to the control group. The age range of the patients was 14 to 71 years, and the glycated hemoglobin level ranged from 5.4 to 10.6%. All 168 patients completed the trial. The mean (±SD) percentage of time that the glucose level was within the target range increased in the closed-loop group from 61±17% at baseline to 71±12% during the 6 months and remained unchanged at 59±14% in the control group (mean adjusted difference, 11 percentage points; 95% confidence interval [CI], 9 to 14; P&lt;0.001). The results with regard to the main secondary outcomes (percentage of time that the glucose level was &gt;180 mg per deciliter, mean glucose level, glycated hemoglobin level, and percentage of time that the glucose level was &lt;70 mg per deciliter or &lt;54 mg per deciliter [3.0 mmol per liter]) all met the prespecified hierarchical criterion for significance, favoring the closed-loop system. The mean difference (closed loop minus control) in the percentage of time that the blood glucose level was lower than 70 mg per deciliter was -0.88 percentage points (95% CI, -1.19 to -0.57; P&lt;0.001). The mean adjusted difference in glycated hemoglobin level after 6 months was -0.33 percentage points (95% CI, -0.53 to -0.13; P = 0.001). In the closed-loop group, the median percentage of time that the system was in closed-loop mode was 90% over 6 months. No serious hypoglycemic events occurred in either group; one episode of diabetic ketoacidosis occurred in the closed-loop group.\nCONCLUSIONS: In this 6-month trial involving patients with type 1 diabetes, the use of a closed-loop system was associated with a greater percentage of time spent in a target glycemic range than the use of a sensor-augmented insulin pump. (Funded by the National Institute of Diabetes and Digestive and Kidney Diseases; iDCL ClinicalTrials.gov number, NCT03563313.).","container-title":"The New England Journal of Medicine","DOI":"10.1056/NEJMoa1907863","ISSN":"1533-4406","issue":"18","journalAbbreviation":"N. Engl. J. Med.","language":"eng","note":"PMID: 31618560\nPMCID: PMC7076915","page":"1707-1717","source":"PubMed","title":"Six-Month Randomized, Multicenter Trial of Closed-Loop Control in Type 1 Diabetes","volume":"381","author":[{"family":"Brown","given":"Sue A."},{"family":"Kovatchev","given":"Boris P."},{"family":"Raghinaru","given":"Dan"},{"family":"Lum","given":"John W."},{"family":"Buckingham","given":"Bruce A."},{"family":"Kudva","given":"Yogish C."},{"family":"Laffel","given":"Lori M."},{"family":"Levy","given":"Carol J."},{"family":"Pinsker","given":"Jordan E."},{"family":"Wadwa","given":"R. Paul"},{"family":"Dassau","given":"Eyal"},{"family":"Doyle","given":"Francis J."},{"family":"Anderson","given":"Stacey M."},{"family":"Church","given":"Mei Mei"},{"family":"Dadlani","given":"Vikash"},{"family":"Ekhlaspour","given":"Laya"},{"family":"Forlenza","given":"Gregory P."},{"family":"Isganaitis","given":"Elvira"},{"family":"Lam","given":"David W."},{"family":"Kollman","given":"Craig"},{"family":"Beck","given":"Roy W."},{"literal":"iDCL Trial Research Group"}],"issued":{"date-parts":[["2019"]],"season":"31"}}}],"schema":"https://github.com/citation-style-language/schema/raw/master/csl-citation.json"} </w:instrText>
      </w:r>
      <w:r w:rsidR="002C3691" w:rsidRPr="0035461C">
        <w:rPr>
          <w:rFonts w:ascii="Calibri" w:hAnsi="Calibri" w:cs="Calibri"/>
        </w:rPr>
        <w:fldChar w:fldCharType="separate"/>
      </w:r>
      <w:r w:rsidR="00076F77" w:rsidRPr="00076F77">
        <w:rPr>
          <w:rFonts w:ascii="Calibri" w:hAnsi="Calibri" w:cs="Calibri"/>
        </w:rPr>
        <w:t>(88,89)</w:t>
      </w:r>
      <w:r w:rsidR="002C3691" w:rsidRPr="0035461C">
        <w:rPr>
          <w:rFonts w:ascii="Calibri" w:hAnsi="Calibri" w:cs="Calibri"/>
        </w:rPr>
        <w:fldChar w:fldCharType="end"/>
      </w:r>
      <w:r w:rsidR="00396156" w:rsidRPr="0035461C">
        <w:rPr>
          <w:rFonts w:ascii="Calibri" w:hAnsi="Calibri" w:cs="Calibri"/>
        </w:rPr>
        <w:t>.</w:t>
      </w:r>
    </w:p>
    <w:p w14:paraId="460EBFF2" w14:textId="3D712F61" w:rsidR="00567D76" w:rsidRPr="0035461C" w:rsidRDefault="00567D76" w:rsidP="001C5BC0">
      <w:pPr>
        <w:spacing w:before="120"/>
        <w:jc w:val="both"/>
        <w:rPr>
          <w:rFonts w:ascii="Calibri" w:hAnsi="Calibri" w:cs="Calibri"/>
        </w:rPr>
      </w:pPr>
      <w:r w:rsidRPr="0035461C">
        <w:rPr>
          <w:rFonts w:ascii="Calibri" w:hAnsi="Calibri" w:cs="Calibri"/>
        </w:rPr>
        <w:t xml:space="preserve">Despite these advantages, the costs of insulin analogues and CGM or pump therapy are barriers for some people, while others </w:t>
      </w:r>
      <w:r w:rsidR="00075600" w:rsidRPr="0035461C">
        <w:rPr>
          <w:rFonts w:ascii="Calibri" w:hAnsi="Calibri" w:cs="Calibri"/>
        </w:rPr>
        <w:t xml:space="preserve">do not wish </w:t>
      </w:r>
      <w:r w:rsidRPr="0035461C">
        <w:rPr>
          <w:rFonts w:ascii="Calibri" w:hAnsi="Calibri" w:cs="Calibri"/>
        </w:rPr>
        <w:t>to wear a device or inject multiple times per day. In these cases, subcutaneous regimens of human regular and NPH insulin</w:t>
      </w:r>
      <w:r w:rsidR="00F34619" w:rsidRPr="0035461C">
        <w:rPr>
          <w:rFonts w:ascii="Calibri" w:hAnsi="Calibri" w:cs="Calibri"/>
        </w:rPr>
        <w:t xml:space="preserve"> or pre-mixed insulin</w:t>
      </w:r>
      <w:r w:rsidRPr="0035461C">
        <w:rPr>
          <w:rFonts w:ascii="Calibri" w:hAnsi="Calibri" w:cs="Calibri"/>
        </w:rPr>
        <w:t xml:space="preserve">, with </w:t>
      </w:r>
      <w:r w:rsidR="00B92FA7" w:rsidRPr="0035461C">
        <w:rPr>
          <w:rFonts w:ascii="Calibri" w:hAnsi="Calibri" w:cs="Calibri"/>
        </w:rPr>
        <w:t>BGM</w:t>
      </w:r>
      <w:r w:rsidRPr="0035461C">
        <w:rPr>
          <w:rFonts w:ascii="Calibri" w:hAnsi="Calibri" w:cs="Calibri"/>
        </w:rPr>
        <w:t xml:space="preserve"> as frequently as feasible, may be used at a cost of higher glucose variability with higher risk of hypoglyc</w:t>
      </w:r>
      <w:r w:rsidR="00F34619" w:rsidRPr="0035461C">
        <w:rPr>
          <w:rFonts w:ascii="Calibri" w:hAnsi="Calibri" w:cs="Calibri"/>
        </w:rPr>
        <w:t>a</w:t>
      </w:r>
      <w:r w:rsidRPr="0035461C">
        <w:rPr>
          <w:rFonts w:ascii="Calibri" w:hAnsi="Calibri" w:cs="Calibri"/>
        </w:rPr>
        <w:t>emia and less flexibility of lifestyle. Figure</w:t>
      </w:r>
      <w:r w:rsidR="006C4779" w:rsidRPr="0035461C">
        <w:rPr>
          <w:rFonts w:ascii="Calibri" w:hAnsi="Calibri" w:cs="Calibri"/>
        </w:rPr>
        <w:t xml:space="preserve"> </w:t>
      </w:r>
      <w:r w:rsidR="00226CAE" w:rsidRPr="0035461C">
        <w:rPr>
          <w:rFonts w:ascii="Calibri" w:hAnsi="Calibri" w:cs="Calibri"/>
        </w:rPr>
        <w:t xml:space="preserve">6 </w:t>
      </w:r>
      <w:r w:rsidRPr="0035461C">
        <w:rPr>
          <w:rFonts w:ascii="Calibri" w:hAnsi="Calibri" w:cs="Calibri"/>
        </w:rPr>
        <w:t>shows advantages and disadvantages of more- or less-physiologic</w:t>
      </w:r>
      <w:r w:rsidR="006C4779" w:rsidRPr="0035461C">
        <w:rPr>
          <w:rFonts w:ascii="Calibri" w:hAnsi="Calibri" w:cs="Calibri"/>
        </w:rPr>
        <w:t>al</w:t>
      </w:r>
      <w:r w:rsidRPr="0035461C">
        <w:rPr>
          <w:rFonts w:ascii="Calibri" w:hAnsi="Calibri" w:cs="Calibri"/>
        </w:rPr>
        <w:t xml:space="preserve"> insulin replacement regimens, while Table</w:t>
      </w:r>
      <w:r w:rsidR="008E0C17" w:rsidRPr="0035461C">
        <w:rPr>
          <w:rFonts w:ascii="Calibri" w:hAnsi="Calibri" w:cs="Calibri"/>
        </w:rPr>
        <w:t xml:space="preserve"> </w:t>
      </w:r>
      <w:r w:rsidR="004832BE" w:rsidRPr="0035461C">
        <w:rPr>
          <w:rFonts w:ascii="Calibri" w:hAnsi="Calibri" w:cs="Calibri"/>
        </w:rPr>
        <w:t xml:space="preserve">7 </w:t>
      </w:r>
      <w:r w:rsidRPr="0035461C">
        <w:rPr>
          <w:rFonts w:ascii="Calibri" w:hAnsi="Calibri" w:cs="Calibri"/>
        </w:rPr>
        <w:t xml:space="preserve">provides details on various regimens that might be employed. </w:t>
      </w:r>
    </w:p>
    <w:p w14:paraId="42B8401C" w14:textId="2AC0917C" w:rsidR="00F34619" w:rsidRPr="0035461C" w:rsidRDefault="00F34619" w:rsidP="001C5BC0">
      <w:pPr>
        <w:spacing w:before="120"/>
        <w:jc w:val="both"/>
        <w:rPr>
          <w:rFonts w:ascii="Calibri" w:hAnsi="Calibri" w:cs="Calibri"/>
          <w:i/>
          <w:iCs/>
          <w:u w:val="single"/>
        </w:rPr>
      </w:pPr>
      <w:r w:rsidRPr="0035461C">
        <w:rPr>
          <w:rFonts w:ascii="Calibri" w:hAnsi="Calibri" w:cs="Calibri"/>
          <w:i/>
          <w:iCs/>
          <w:u w:val="single"/>
        </w:rPr>
        <w:t>Mode of delivery</w:t>
      </w:r>
    </w:p>
    <w:p w14:paraId="66307DEC" w14:textId="7C7ED974" w:rsidR="00136C4F" w:rsidRDefault="00136C4F" w:rsidP="001C5BC0">
      <w:pPr>
        <w:spacing w:before="120"/>
        <w:jc w:val="both"/>
        <w:rPr>
          <w:rFonts w:ascii="Calibri" w:hAnsi="Calibri" w:cs="Calibri"/>
        </w:rPr>
      </w:pPr>
      <w:r>
        <w:rPr>
          <w:rFonts w:ascii="Calibri" w:hAnsi="Calibri" w:cs="Calibri"/>
        </w:rPr>
        <w:t xml:space="preserve">There are several options for the mode of insulin delivery and the choice of device should be individualized. </w:t>
      </w:r>
      <w:r w:rsidR="00177058">
        <w:rPr>
          <w:rFonts w:ascii="Calibri" w:hAnsi="Calibri" w:cs="Calibri"/>
        </w:rPr>
        <w:t>H</w:t>
      </w:r>
      <w:r w:rsidR="00701E91" w:rsidRPr="0035461C">
        <w:rPr>
          <w:rFonts w:ascii="Calibri" w:hAnsi="Calibri" w:cs="Calibri"/>
        </w:rPr>
        <w:t xml:space="preserve">ybrid closed-loop </w:t>
      </w:r>
      <w:r w:rsidR="00701E91">
        <w:rPr>
          <w:rFonts w:ascii="Calibri" w:hAnsi="Calibri" w:cs="Calibri"/>
        </w:rPr>
        <w:t>systems</w:t>
      </w:r>
      <w:r w:rsidR="00701E91" w:rsidRPr="0035461C">
        <w:rPr>
          <w:rFonts w:ascii="Calibri" w:hAnsi="Calibri" w:cs="Calibri"/>
        </w:rPr>
        <w:t xml:space="preserve"> </w:t>
      </w:r>
      <w:r w:rsidR="00701E91">
        <w:rPr>
          <w:rFonts w:ascii="Calibri" w:hAnsi="Calibri" w:cs="Calibri"/>
        </w:rPr>
        <w:t>are the most effective means of maintaining glucose in the normal range in people with type 1 diabetes</w:t>
      </w:r>
      <w:r w:rsidR="00701E91" w:rsidRPr="0035461C">
        <w:rPr>
          <w:rFonts w:ascii="Calibri" w:hAnsi="Calibri" w:cs="Calibri"/>
        </w:rPr>
        <w:t xml:space="preserve"> </w:t>
      </w:r>
      <w:r w:rsidR="00701E91" w:rsidRPr="0035461C">
        <w:rPr>
          <w:rFonts w:ascii="Calibri" w:hAnsi="Calibri" w:cs="Calibri"/>
        </w:rPr>
        <w:fldChar w:fldCharType="begin"/>
      </w:r>
      <w:r w:rsidR="00076F77">
        <w:rPr>
          <w:rFonts w:ascii="Calibri" w:hAnsi="Calibri" w:cs="Calibri"/>
        </w:rPr>
        <w:instrText xml:space="preserve"> ADDIN ZOTERO_ITEM CSL_CITATION {"citationID":"FF6IlDtY","properties":{"formattedCitation":"(88,89)","plainCitation":"(88,89)","noteIndex":0},"citationItems":[{"id":2232,"uris":["http://zotero.org/groups/369679/items/LW3GA6KX"],"uri":["http://zotero.org/groups/369679/items/LW3GA6KX"],"itemData":{"id":2232,"type":"article-journal","container-title":"JAMA","DOI":"10.1001/jama.2016.11708","ISSN":"1538-3598","issue":"13","journalAbbreviation":"JAMA","language":"ENG","note":"PMID: 27629148","page":"1407-1408","source":"PubMed","title":"Safety of a Hybrid Closed-Loop Insulin Delivery System in Patients With Type 1 Diabetes","volume":"316","author":[{"family":"Bergenstal","given":"Richard M."},{"family":"Garg","given":"Satish"},{"family":"Weinzimer","given":"Stuart A."},{"family":"Buckingham","given":"Bruce A."},{"family":"Bode","given":"Bruce W."},{"family":"Tamborlane","given":"William V."},{"family":"Kaufman","given":"Francine R."}],"issued":{"date-parts":[["2016",10,4]]}}},{"id":4535,"uris":["http://zotero.org/groups/369679/items/XNY4YFM3"],"uri":["http://zotero.org/groups/369679/items/XNY4YFM3"],"itemData":{"id":4535,"type":"article-journal","abstract":"BACKGROUND: Closed-loop systems that automate insulin delivery may improve glycemic outcomes in patients with type 1 diabetes.\nMETHODS: In this 6-month randomized, multicenter trial, patients with type 1 diabetes were assigned in a 2:1 ratio to receive treatment with a closed-loop system (closed-loop group) or a sensor-augmented pump (control group). The primary outcome was the percentage of time that the blood glucose level was within the target range of 70 to 180 mg per deciliter (3.9 to 10.0 mmol per liter), as measured by continuous glucose monitoring.\nRESULTS: A total of 168 patients underwent randomization; 112 were assigned to the closed-loop group, and 56 were assigned to the control group. The age range of the patients was 14 to 71 years, and the glycated hemoglobin level ranged from 5.4 to 10.6%. All 168 patients completed the trial. The mean (±SD) percentage of time that the glucose level was within the target range increased in the closed-loop group from 61±17% at baseline to 71±12% during the 6 months and remained unchanged at 59±14% in the control group (mean adjusted difference, 11 percentage points; 95% confidence interval [CI], 9 to 14; P&lt;0.001). The results with regard to the main secondary outcomes (percentage of time that the glucose level was &gt;180 mg per deciliter, mean glucose level, glycated hemoglobin level, and percentage of time that the glucose level was &lt;70 mg per deciliter or &lt;54 mg per deciliter [3.0 mmol per liter]) all met the prespecified hierarchical criterion for significance, favoring the closed-loop system. The mean difference (closed loop minus control) in the percentage of time that the blood glucose level was lower than 70 mg per deciliter was -0.88 percentage points (95% CI, -1.19 to -0.57; P&lt;0.001). The mean adjusted difference in glycated hemoglobin level after 6 months was -0.33 percentage points (95% CI, -0.53 to -0.13; P = 0.001). In the closed-loop group, the median percentage of time that the system was in closed-loop mode was 90% over 6 months. No serious hypoglycemic events occurred in either group; one episode of diabetic ketoacidosis occurred in the closed-loop group.\nCONCLUSIONS: In this 6-month trial involving patients with type 1 diabetes, the use of a closed-loop system was associated with a greater percentage of time spent in a target glycemic range than the use of a sensor-augmented insulin pump. (Funded by the National Institute of Diabetes and Digestive and Kidney Diseases; iDCL ClinicalTrials.gov number, NCT03563313.).","container-title":"The New England Journal of Medicine","DOI":"10.1056/NEJMoa1907863","ISSN":"1533-4406","issue":"18","journalAbbreviation":"N. Engl. J. Med.","language":"eng","note":"PMID: 31618560\nPMCID: PMC7076915","page":"1707-1717","source":"PubMed","title":"Six-Month Randomized, Multicenter Trial of Closed-Loop Control in Type 1 Diabetes","volume":"381","author":[{"family":"Brown","given":"Sue A."},{"family":"Kovatchev","given":"Boris P."},{"family":"Raghinaru","given":"Dan"},{"family":"Lum","given":"John W."},{"family":"Buckingham","given":"Bruce A."},{"family":"Kudva","given":"Yogish C."},{"family":"Laffel","given":"Lori M."},{"family":"Levy","given":"Carol J."},{"family":"Pinsker","given":"Jordan E."},{"family":"Wadwa","given":"R. Paul"},{"family":"Dassau","given":"Eyal"},{"family":"Doyle","given":"Francis J."},{"family":"Anderson","given":"Stacey M."},{"family":"Church","given":"Mei Mei"},{"family":"Dadlani","given":"Vikash"},{"family":"Ekhlaspour","given":"Laya"},{"family":"Forlenza","given":"Gregory P."},{"family":"Isganaitis","given":"Elvira"},{"family":"Lam","given":"David W."},{"family":"Kollman","given":"Craig"},{"family":"Beck","given":"Roy W."},{"literal":"iDCL Trial Research Group"}],"issued":{"date-parts":[["2019"]],"season":"31"}}}],"schema":"https://github.com/citation-style-language/schema/raw/master/csl-citation.json"} </w:instrText>
      </w:r>
      <w:r w:rsidR="00701E91" w:rsidRPr="0035461C">
        <w:rPr>
          <w:rFonts w:ascii="Calibri" w:hAnsi="Calibri" w:cs="Calibri"/>
        </w:rPr>
        <w:fldChar w:fldCharType="separate"/>
      </w:r>
      <w:r w:rsidR="00076F77" w:rsidRPr="00076F77">
        <w:rPr>
          <w:rFonts w:ascii="Calibri" w:hAnsi="Calibri" w:cs="Calibri"/>
        </w:rPr>
        <w:t>(88,89)</w:t>
      </w:r>
      <w:r w:rsidR="00701E91" w:rsidRPr="0035461C">
        <w:rPr>
          <w:rFonts w:ascii="Calibri" w:hAnsi="Calibri" w:cs="Calibri"/>
        </w:rPr>
        <w:fldChar w:fldCharType="end"/>
      </w:r>
      <w:r w:rsidR="00701E91" w:rsidRPr="0035461C">
        <w:rPr>
          <w:rFonts w:ascii="Calibri" w:hAnsi="Calibri" w:cs="Calibri"/>
        </w:rPr>
        <w:t>.</w:t>
      </w:r>
    </w:p>
    <w:p w14:paraId="05B9E17D" w14:textId="658A356A" w:rsidR="00450028" w:rsidRPr="0035461C" w:rsidRDefault="00567D76" w:rsidP="001C5BC0">
      <w:pPr>
        <w:spacing w:before="120"/>
        <w:jc w:val="both"/>
        <w:rPr>
          <w:rFonts w:ascii="Calibri" w:hAnsi="Calibri" w:cs="Calibri"/>
        </w:rPr>
      </w:pPr>
      <w:r w:rsidRPr="0035461C">
        <w:rPr>
          <w:rFonts w:ascii="Calibri" w:hAnsi="Calibri" w:cs="Calibri"/>
        </w:rPr>
        <w:t>MDI therapy can be administered using vials and insulin syringes or insulin pens, with the latter providing more convenience</w:t>
      </w:r>
      <w:r w:rsidR="00F34619" w:rsidRPr="0035461C">
        <w:rPr>
          <w:rFonts w:ascii="Calibri" w:hAnsi="Calibri" w:cs="Calibri"/>
        </w:rPr>
        <w:t xml:space="preserve"> of dosing</w:t>
      </w:r>
      <w:r w:rsidR="00177058">
        <w:rPr>
          <w:rFonts w:ascii="Calibri" w:hAnsi="Calibri" w:cs="Calibri"/>
        </w:rPr>
        <w:t>,</w:t>
      </w:r>
      <w:r w:rsidRPr="0035461C">
        <w:rPr>
          <w:rFonts w:ascii="Calibri" w:hAnsi="Calibri" w:cs="Calibri"/>
        </w:rPr>
        <w:t xml:space="preserve"> </w:t>
      </w:r>
      <w:r w:rsidR="003019EF" w:rsidRPr="0035461C">
        <w:rPr>
          <w:rFonts w:ascii="Calibri" w:hAnsi="Calibri" w:cs="Calibri"/>
        </w:rPr>
        <w:t xml:space="preserve">but may be </w:t>
      </w:r>
      <w:r w:rsidRPr="0035461C">
        <w:rPr>
          <w:rFonts w:ascii="Calibri" w:hAnsi="Calibri" w:cs="Calibri"/>
        </w:rPr>
        <w:t>at higher cost. Smaller gauge and shorter needles provide almost painless injections. Contrary to common wisdom, skin thickness is not significantly increased with overweight or obesity</w:t>
      </w:r>
      <w:r w:rsidR="005E2F80" w:rsidRPr="0035461C">
        <w:rPr>
          <w:rFonts w:ascii="Calibri" w:hAnsi="Calibri" w:cs="Calibri"/>
        </w:rPr>
        <w:t>. N</w:t>
      </w:r>
      <w:r w:rsidRPr="0035461C">
        <w:rPr>
          <w:rFonts w:ascii="Calibri" w:hAnsi="Calibri" w:cs="Calibri"/>
        </w:rPr>
        <w:t>eedles as short as 4 mm, injected at a 90</w:t>
      </w:r>
      <w:r w:rsidR="00F34619" w:rsidRPr="0035461C">
        <w:rPr>
          <w:rFonts w:ascii="Calibri" w:hAnsi="Calibri" w:cs="Calibri"/>
        </w:rPr>
        <w:t>-</w:t>
      </w:r>
      <w:r w:rsidRPr="0035461C">
        <w:rPr>
          <w:rFonts w:ascii="Calibri" w:hAnsi="Calibri" w:cs="Calibri"/>
        </w:rPr>
        <w:t>degree angle, enter the subcutaneous space with minimal risk of intramuscular injection in most adults</w:t>
      </w:r>
      <w:r w:rsidR="00FC396D" w:rsidRPr="0035461C">
        <w:rPr>
          <w:rFonts w:ascii="Calibri" w:hAnsi="Calibri" w:cs="Calibri"/>
        </w:rPr>
        <w:t xml:space="preserve"> </w:t>
      </w:r>
      <w:r w:rsidR="00530ABB" w:rsidRPr="0035461C">
        <w:rPr>
          <w:rFonts w:ascii="Calibri" w:hAnsi="Calibri" w:cs="Calibri"/>
        </w:rPr>
        <w:fldChar w:fldCharType="begin"/>
      </w:r>
      <w:r w:rsidR="00076F77">
        <w:rPr>
          <w:rFonts w:ascii="Calibri" w:hAnsi="Calibri" w:cs="Calibri"/>
        </w:rPr>
        <w:instrText xml:space="preserve"> ADDIN ZOTERO_ITEM CSL_CITATION {"citationID":"gKrDR3vG","properties":{"formattedCitation":"(90)","plainCitation":"(90)","noteIndex":0},"citationItems":[{"id":3363,"uris":["http://zotero.org/groups/369679/items/NESDEHHJ"],"uri":["http://zotero.org/groups/369679/items/NESDEHHJ"],"itemData":{"id":3363,"type":"article-journal","abstract":"OBJECTIVE: During subcutaneous insulin therapy, inadvertent intramuscular (IM) injections may increase pain and/or adversely affect glucose control. The most appropriate needle length for patients depends on skin thickness (ST) and the distance to muscle fascia. ST and subcutaneous adipose layer thickness (SCT) were measured in adults with diabetes.\nRESEARCH DESIGN AND METHODS: A total of 388 US adults with diabetes (in three BMI subgroups: &lt;25, 25-29.9, and &gt;or=30 kg/m(2)) with diverse demographic features were evaluated. Each subject had ultrasound measurements of ST and SCT at four injection sites.\nRESULTS: Subjects had BMI 19.4-64.5 kg/m(2), age 18-85 years; 40% Caucasian, 25% Asian, 16% Black, 14% Hispanic; 28% type 1 diabetes. Mean ST (+/-95% CI) was: arm 2.2 mm (2.2, 2.3), thigh 1.9 mm (1.8, 1.9), abdomen 2.2 mm (2.1, 2.2) and buttocks 2.4 mm (2.4, 2.5). Multivariate analyses showed body site, gender, BMI, and race are statistically significant factors for ST but effects were small. Thigh ST was &lt;0.6 mm thinner than the buttocks. Differences of 10 kg/m(2) account for 0.2 mm ST variation. Mean SCT was: arm 10.8 mm (10.2, 11.3), thigh 10.4 mm (9.8, 10.9), abdomen 13.9 mm (13.2, 17.7) and buttocks 15.4 mm (14.7, 16.2). Females had 5.1 mm greater SCT. Differences of 10 kg/m(2) account for 4 mm SCT variation.\nADVERSE EVENTS: A few mild hypo- or hyperglycemia events, unrelated to study procedure, were detected and treated before subject discharge from study visits.\nLIMITATIONS: Only adults in the US were studied; some measurements could not be obtained on every subject, at every injection site.\nCONCLUSIONS: Injection site ST does not differ by clinically significant degrees in demographically diverse adults with diabetes; SCT has a wider range. Needles &gt;or=8 mm, inserted perpendicularly, may frequently enter muscle in limbs of males and those with BMI &lt;25 kg/m(2). With 90 degrees insertion, needles 4-5 mm enter the subcutaneous tissue with minimal risk of IM injection in virtually all adults. These data will assist recommending appropriate length needles for subcutaneous insulin injections in adults.","container-title":"Current Medical Research and Opinion","DOI":"10.1185/03007995.2010.481203","ISSN":"1473-4877","issue":"6","journalAbbreviation":"Curr Med Res Opin","language":"eng","note":"PMID: 20429833","page":"1519-1530","source":"PubMed","title":"Skin and subcutaneous adipose layer thickness in adults with diabetes at sites used for insulin injections: implications for needle length recommendations","title-short":"Skin and subcutaneous adipose layer thickness in adults with diabetes at sites used for insulin injections","volume":"26","author":[{"family":"Gibney","given":"Michael A."},{"family":"Arce","given":"Christina H."},{"family":"Byron","given":"Karen J."},{"family":"Hirsch","given":"Laurence J."}],"issued":{"date-parts":[["2010",6]]}}}],"schema":"https://github.com/citation-style-language/schema/raw/master/csl-citation.json"} </w:instrText>
      </w:r>
      <w:r w:rsidR="00530ABB" w:rsidRPr="0035461C">
        <w:rPr>
          <w:rFonts w:ascii="Calibri" w:hAnsi="Calibri" w:cs="Calibri"/>
        </w:rPr>
        <w:fldChar w:fldCharType="separate"/>
      </w:r>
      <w:r w:rsidR="00076F77" w:rsidRPr="00076F77">
        <w:rPr>
          <w:rFonts w:ascii="Calibri" w:hAnsi="Calibri" w:cs="Calibri"/>
        </w:rPr>
        <w:t>(90)</w:t>
      </w:r>
      <w:r w:rsidR="00530ABB" w:rsidRPr="0035461C">
        <w:rPr>
          <w:rFonts w:ascii="Calibri" w:hAnsi="Calibri" w:cs="Calibri"/>
        </w:rPr>
        <w:fldChar w:fldCharType="end"/>
      </w:r>
      <w:r w:rsidR="00FC396D" w:rsidRPr="0035461C">
        <w:rPr>
          <w:rFonts w:ascii="Calibri" w:hAnsi="Calibri" w:cs="Calibri"/>
        </w:rPr>
        <w:t>.</w:t>
      </w:r>
      <w:r w:rsidRPr="0035461C">
        <w:rPr>
          <w:rFonts w:ascii="Calibri" w:hAnsi="Calibri" w:cs="Calibri"/>
        </w:rPr>
        <w:t xml:space="preserve"> </w:t>
      </w:r>
      <w:r w:rsidR="00F34619" w:rsidRPr="0035461C">
        <w:rPr>
          <w:rFonts w:ascii="Calibri" w:hAnsi="Calibri" w:cs="Calibri"/>
        </w:rPr>
        <w:t xml:space="preserve">The use of longer needles increases the risk of intra-muscular injection. </w:t>
      </w:r>
      <w:r w:rsidRPr="0035461C">
        <w:rPr>
          <w:rFonts w:ascii="Calibri" w:hAnsi="Calibri" w:cs="Calibri"/>
        </w:rPr>
        <w:t xml:space="preserve">MDI regimens may be enhanced with emerging technology such as bolus calculators and </w:t>
      </w:r>
      <w:r w:rsidR="00D27E0B" w:rsidRPr="0035461C">
        <w:rPr>
          <w:rFonts w:ascii="Calibri" w:hAnsi="Calibri" w:cs="Calibri"/>
        </w:rPr>
        <w:t xml:space="preserve">memory-enabled </w:t>
      </w:r>
      <w:r w:rsidRPr="0035461C">
        <w:rPr>
          <w:rFonts w:ascii="Calibri" w:hAnsi="Calibri" w:cs="Calibri"/>
        </w:rPr>
        <w:t>pens that keep track of insulin doses.</w:t>
      </w:r>
      <w:r w:rsidR="00EA0F98" w:rsidRPr="0035461C">
        <w:rPr>
          <w:rFonts w:ascii="Calibri" w:hAnsi="Calibri" w:cs="Calibri"/>
        </w:rPr>
        <w:t xml:space="preserve"> </w:t>
      </w:r>
    </w:p>
    <w:p w14:paraId="148B89B5" w14:textId="0BC53573" w:rsidR="00701E91" w:rsidRDefault="00701E91" w:rsidP="001C5BC0">
      <w:pPr>
        <w:spacing w:before="120"/>
        <w:jc w:val="both"/>
        <w:rPr>
          <w:rFonts w:ascii="Calibri" w:hAnsi="Calibri" w:cs="Calibri"/>
        </w:rPr>
      </w:pPr>
      <w:r>
        <w:rPr>
          <w:rFonts w:ascii="Calibri" w:hAnsi="Calibri" w:cs="Calibri"/>
        </w:rPr>
        <w:t>Different</w:t>
      </w:r>
      <w:r w:rsidR="00F34619" w:rsidRPr="0035461C">
        <w:rPr>
          <w:rFonts w:ascii="Calibri" w:hAnsi="Calibri" w:cs="Calibri"/>
        </w:rPr>
        <w:t xml:space="preserve"> </w:t>
      </w:r>
      <w:r w:rsidR="00567D76" w:rsidRPr="0035461C">
        <w:rPr>
          <w:rFonts w:ascii="Calibri" w:hAnsi="Calibri" w:cs="Calibri"/>
        </w:rPr>
        <w:t xml:space="preserve">insulin pumps for subcutaneous insulin delivery are available in </w:t>
      </w:r>
      <w:r w:rsidR="00F34619" w:rsidRPr="0035461C">
        <w:rPr>
          <w:rFonts w:ascii="Calibri" w:hAnsi="Calibri" w:cs="Calibri"/>
        </w:rPr>
        <w:t>many</w:t>
      </w:r>
      <w:r w:rsidR="00567D76" w:rsidRPr="0035461C">
        <w:rPr>
          <w:rFonts w:ascii="Calibri" w:hAnsi="Calibri" w:cs="Calibri"/>
        </w:rPr>
        <w:t xml:space="preserve"> countries. The primary mechanical differences between pumps are whether they utilize </w:t>
      </w:r>
      <w:r w:rsidR="0051214C" w:rsidRPr="0035461C">
        <w:rPr>
          <w:rFonts w:ascii="Calibri" w:hAnsi="Calibri" w:cs="Calibri"/>
        </w:rPr>
        <w:t xml:space="preserve">external </w:t>
      </w:r>
      <w:r w:rsidR="00567D76" w:rsidRPr="0035461C">
        <w:rPr>
          <w:rFonts w:ascii="Calibri" w:hAnsi="Calibri" w:cs="Calibri"/>
        </w:rPr>
        <w:t xml:space="preserve">tubing to connect to an infusion set or a pod directly applied to the skin and controlled via </w:t>
      </w:r>
      <w:r w:rsidR="00F34619" w:rsidRPr="0035461C">
        <w:rPr>
          <w:rFonts w:ascii="Calibri" w:hAnsi="Calibri" w:cs="Calibri"/>
        </w:rPr>
        <w:t xml:space="preserve">a </w:t>
      </w:r>
      <w:r w:rsidR="00567D76" w:rsidRPr="0035461C">
        <w:rPr>
          <w:rFonts w:ascii="Calibri" w:hAnsi="Calibri" w:cs="Calibri"/>
        </w:rPr>
        <w:t xml:space="preserve">wireless connection to a controller. Current pumps include bolus calculators programmed with </w:t>
      </w:r>
      <w:r w:rsidR="0051214C" w:rsidRPr="0035461C">
        <w:rPr>
          <w:rFonts w:ascii="Calibri" w:hAnsi="Calibri" w:cs="Calibri"/>
        </w:rPr>
        <w:t>personalized</w:t>
      </w:r>
      <w:r w:rsidR="00567D76" w:rsidRPr="0035461C">
        <w:rPr>
          <w:rFonts w:ascii="Calibri" w:hAnsi="Calibri" w:cs="Calibri"/>
        </w:rPr>
        <w:t xml:space="preserve"> insulin-to-carbohydrate ratio and correction factors. </w:t>
      </w:r>
    </w:p>
    <w:p w14:paraId="7CFB522C" w14:textId="49D7256C" w:rsidR="00701E91" w:rsidRDefault="00701E91" w:rsidP="001C5BC0">
      <w:pPr>
        <w:spacing w:before="120"/>
        <w:jc w:val="both"/>
        <w:rPr>
          <w:rFonts w:ascii="Calibri" w:hAnsi="Calibri" w:cs="Calibri"/>
        </w:rPr>
      </w:pPr>
      <w:r>
        <w:rPr>
          <w:rFonts w:ascii="Calibri" w:hAnsi="Calibri" w:cs="Calibri"/>
        </w:rPr>
        <w:t>H</w:t>
      </w:r>
      <w:r w:rsidR="00567D76" w:rsidRPr="0035461C">
        <w:rPr>
          <w:rFonts w:ascii="Calibri" w:hAnsi="Calibri" w:cs="Calibri"/>
        </w:rPr>
        <w:t xml:space="preserve">ybrid closed-loop </w:t>
      </w:r>
      <w:r>
        <w:rPr>
          <w:rFonts w:ascii="Calibri" w:hAnsi="Calibri" w:cs="Calibri"/>
        </w:rPr>
        <w:t>systems comprise an insulin pump, continuous glucose sensor and a control algorithm. The</w:t>
      </w:r>
      <w:r w:rsidR="00567D76" w:rsidRPr="0035461C">
        <w:rPr>
          <w:rFonts w:ascii="Calibri" w:hAnsi="Calibri" w:cs="Calibri"/>
        </w:rPr>
        <w:t xml:space="preserve"> algorithm controls basal insulin delivery</w:t>
      </w:r>
      <w:r w:rsidR="005E2F80" w:rsidRPr="0035461C">
        <w:rPr>
          <w:rFonts w:ascii="Calibri" w:hAnsi="Calibri" w:cs="Calibri"/>
        </w:rPr>
        <w:t xml:space="preserve">, </w:t>
      </w:r>
      <w:r w:rsidR="00567D76" w:rsidRPr="0035461C">
        <w:rPr>
          <w:rFonts w:ascii="Calibri" w:hAnsi="Calibri" w:cs="Calibri"/>
        </w:rPr>
        <w:t>and in some cases correction boluses</w:t>
      </w:r>
      <w:r w:rsidR="005E2F80" w:rsidRPr="0035461C">
        <w:rPr>
          <w:rFonts w:ascii="Calibri" w:hAnsi="Calibri" w:cs="Calibri"/>
        </w:rPr>
        <w:t>,</w:t>
      </w:r>
      <w:r w:rsidR="00567D76" w:rsidRPr="0035461C">
        <w:rPr>
          <w:rFonts w:ascii="Calibri" w:hAnsi="Calibri" w:cs="Calibri"/>
        </w:rPr>
        <w:t xml:space="preserve"> based on CGM </w:t>
      </w:r>
      <w:r>
        <w:rPr>
          <w:rFonts w:ascii="Calibri" w:hAnsi="Calibri" w:cs="Calibri"/>
        </w:rPr>
        <w:t>data</w:t>
      </w:r>
      <w:r w:rsidR="00567D76" w:rsidRPr="0035461C">
        <w:rPr>
          <w:rFonts w:ascii="Calibri" w:hAnsi="Calibri" w:cs="Calibri"/>
        </w:rPr>
        <w:t>, while the user still boluses manually</w:t>
      </w:r>
      <w:r>
        <w:rPr>
          <w:rFonts w:ascii="Calibri" w:hAnsi="Calibri" w:cs="Calibri"/>
        </w:rPr>
        <w:t xml:space="preserve"> for meals</w:t>
      </w:r>
      <w:r w:rsidR="00FC396D" w:rsidRPr="0035461C">
        <w:rPr>
          <w:rFonts w:ascii="Calibri" w:hAnsi="Calibri" w:cs="Calibri"/>
        </w:rPr>
        <w:t xml:space="preserve"> </w:t>
      </w:r>
      <w:r w:rsidR="00242E37" w:rsidRPr="0035461C">
        <w:rPr>
          <w:rFonts w:ascii="Calibri" w:hAnsi="Calibri" w:cs="Calibri"/>
        </w:rPr>
        <w:fldChar w:fldCharType="begin"/>
      </w:r>
      <w:r w:rsidR="00076F77">
        <w:rPr>
          <w:rFonts w:ascii="Calibri" w:hAnsi="Calibri" w:cs="Calibri"/>
        </w:rPr>
        <w:instrText xml:space="preserve"> ADDIN ZOTERO_ITEM CSL_CITATION {"citationID":"xOmLkBpc","properties":{"formattedCitation":"(88,89)","plainCitation":"(88,89)","noteIndex":0},"citationItems":[{"id":2232,"uris":["http://zotero.org/groups/369679/items/LW3GA6KX"],"uri":["http://zotero.org/groups/369679/items/LW3GA6KX"],"itemData":{"id":2232,"type":"article-journal","container-title":"JAMA","DOI":"10.1001/jama.2016.11708","ISSN":"1538-3598","issue":"13","journalAbbreviation":"JAMA","language":"ENG","note":"PMID: 27629148","page":"1407-1408","source":"PubMed","title":"Safety of a Hybrid Closed-Loop Insulin Delivery System in Patients With Type 1 Diabetes","volume":"316","author":[{"family":"Bergenstal","given":"Richard M."},{"family":"Garg","given":"Satish"},{"family":"Weinzimer","given":"Stuart A."},{"family":"Buckingham","given":"Bruce A."},{"family":"Bode","given":"Bruce W."},{"family":"Tamborlane","given":"William V."},{"family":"Kaufman","given":"Francine R."}],"issued":{"date-parts":[["2016",10,4]]}}},{"id":4535,"uris":["http://zotero.org/groups/369679/items/XNY4YFM3"],"uri":["http://zotero.org/groups/369679/items/XNY4YFM3"],"itemData":{"id":4535,"type":"article-journal","abstract":"BACKGROUND: Closed-loop systems that automate insulin delivery may improve glycemic outcomes in patients with type 1 diabetes.\nMETHODS: In this 6-month randomized, multicenter trial, patients with type 1 diabetes were assigned in a 2:1 ratio to receive treatment with a closed-loop system (closed-loop group) or a sensor-augmented pump (control group). The primary outcome was the percentage of time that the blood glucose level was within the target range of 70 to 180 mg per deciliter (3.9 to 10.0 mmol per liter), as measured by continuous glucose monitoring.\nRESULTS: A total of 168 patients underwent randomization; 112 were assigned to the closed-loop group, and 56 were assigned to the control group. The age range of the patients was 14 to 71 years, and the glycated hemoglobin level ranged from 5.4 to 10.6%. All 168 patients completed the trial. The mean (±SD) percentage of time that the glucose level was within the target range increased in the closed-loop group from 61±17% at baseline to 71±12% during the 6 months and remained unchanged at 59±14% in the control group (mean adjusted difference, 11 percentage points; 95% confidence interval [CI], 9 to 14; P&lt;0.001). The results with regard to the main secondary outcomes (percentage of time that the glucose level was &gt;180 mg per deciliter, mean glucose level, glycated hemoglobin level, and percentage of time that the glucose level was &lt;70 mg per deciliter or &lt;54 mg per deciliter [3.0 mmol per liter]) all met the prespecified hierarchical criterion for significance, favoring the closed-loop system. The mean difference (closed loop minus control) in the percentage of time that the blood glucose level was lower than 70 mg per deciliter was -0.88 percentage points (95% CI, -1.19 to -0.57; P&lt;0.001). The mean adjusted difference in glycated hemoglobin level after 6 months was -0.33 percentage points (95% CI, -0.53 to -0.13; P = 0.001). In the closed-loop group, the median percentage of time that the system was in closed-loop mode was 90% over 6 months. No serious hypoglycemic events occurred in either group; one episode of diabetic ketoacidosis occurred in the closed-loop group.\nCONCLUSIONS: In this 6-month trial involving patients with type 1 diabetes, the use of a closed-loop system was associated with a greater percentage of time spent in a target glycemic range than the use of a sensor-augmented insulin pump. (Funded by the National Institute of Diabetes and Digestive and Kidney Diseases; iDCL ClinicalTrials.gov number, NCT03563313.).","container-title":"The New England Journal of Medicine","DOI":"10.1056/NEJMoa1907863","ISSN":"1533-4406","issue":"18","journalAbbreviation":"N. Engl. J. Med.","language":"eng","note":"PMID: 31618560\nPMCID: PMC7076915","page":"1707-1717","source":"PubMed","title":"Six-Month Randomized, Multicenter Trial of Closed-Loop Control in Type 1 Diabetes","volume":"381","author":[{"family":"Brown","given":"Sue A."},{"family":"Kovatchev","given":"Boris P."},{"family":"Raghinaru","given":"Dan"},{"family":"Lum","given":"John W."},{"family":"Buckingham","given":"Bruce A."},{"family":"Kudva","given":"Yogish C."},{"family":"Laffel","given":"Lori M."},{"family":"Levy","given":"Carol J."},{"family":"Pinsker","given":"Jordan E."},{"family":"Wadwa","given":"R. Paul"},{"family":"Dassau","given":"Eyal"},{"family":"Doyle","given":"Francis J."},{"family":"Anderson","given":"Stacey M."},{"family":"Church","given":"Mei Mei"},{"family":"Dadlani","given":"Vikash"},{"family":"Ekhlaspour","given":"Laya"},{"family":"Forlenza","given":"Gregory P."},{"family":"Isganaitis","given":"Elvira"},{"family":"Lam","given":"David W."},{"family":"Kollman","given":"Craig"},{"family":"Beck","given":"Roy W."},{"literal":"iDCL Trial Research Group"}],"issued":{"date-parts":[["2019"]],"season":"31"}}}],"schema":"https://github.com/citation-style-language/schema/raw/master/csl-citation.json"} </w:instrText>
      </w:r>
      <w:r w:rsidR="00242E37" w:rsidRPr="0035461C">
        <w:rPr>
          <w:rFonts w:ascii="Calibri" w:hAnsi="Calibri" w:cs="Calibri"/>
        </w:rPr>
        <w:fldChar w:fldCharType="separate"/>
      </w:r>
      <w:r w:rsidR="00076F77" w:rsidRPr="00076F77">
        <w:rPr>
          <w:rFonts w:ascii="Calibri" w:hAnsi="Calibri" w:cs="Calibri"/>
        </w:rPr>
        <w:t>(88,89)</w:t>
      </w:r>
      <w:r w:rsidR="00242E37" w:rsidRPr="0035461C">
        <w:rPr>
          <w:rFonts w:ascii="Calibri" w:hAnsi="Calibri" w:cs="Calibri"/>
        </w:rPr>
        <w:fldChar w:fldCharType="end"/>
      </w:r>
      <w:r w:rsidR="00FC396D" w:rsidRPr="0035461C">
        <w:rPr>
          <w:rFonts w:ascii="Calibri" w:hAnsi="Calibri" w:cs="Calibri"/>
        </w:rPr>
        <w:t>.</w:t>
      </w:r>
      <w:r w:rsidR="00567D76" w:rsidRPr="0035461C">
        <w:rPr>
          <w:rFonts w:ascii="Calibri" w:hAnsi="Calibri" w:cs="Calibri"/>
        </w:rPr>
        <w:t xml:space="preserve"> </w:t>
      </w:r>
    </w:p>
    <w:p w14:paraId="2A5F4F60" w14:textId="35D33EA9" w:rsidR="00567D76" w:rsidRPr="0035461C" w:rsidRDefault="00567D76" w:rsidP="001C5BC0">
      <w:pPr>
        <w:spacing w:before="120"/>
        <w:jc w:val="both"/>
        <w:rPr>
          <w:rFonts w:ascii="Calibri" w:hAnsi="Calibri" w:cs="Calibri"/>
        </w:rPr>
      </w:pPr>
      <w:r w:rsidRPr="0035461C">
        <w:rPr>
          <w:rFonts w:ascii="Calibri" w:hAnsi="Calibri" w:cs="Calibri"/>
        </w:rPr>
        <w:t>S</w:t>
      </w:r>
      <w:r w:rsidR="004D4362">
        <w:rPr>
          <w:rFonts w:ascii="Calibri" w:hAnsi="Calibri" w:cs="Calibri"/>
        </w:rPr>
        <w:t>ome</w:t>
      </w:r>
      <w:r w:rsidR="00BF7A92" w:rsidRPr="0035461C">
        <w:rPr>
          <w:rFonts w:ascii="Calibri" w:hAnsi="Calibri" w:cs="Calibri"/>
        </w:rPr>
        <w:t xml:space="preserve"> </w:t>
      </w:r>
      <w:r w:rsidRPr="0035461C">
        <w:rPr>
          <w:rFonts w:ascii="Calibri" w:hAnsi="Calibri" w:cs="Calibri"/>
        </w:rPr>
        <w:t xml:space="preserve">people with type 1 diabetes </w:t>
      </w:r>
      <w:r w:rsidR="004D4362">
        <w:rPr>
          <w:rFonts w:ascii="Calibri" w:hAnsi="Calibri" w:cs="Calibri"/>
        </w:rPr>
        <w:t xml:space="preserve">are </w:t>
      </w:r>
      <w:r w:rsidRPr="0035461C">
        <w:rPr>
          <w:rFonts w:ascii="Calibri" w:hAnsi="Calibri" w:cs="Calibri"/>
        </w:rPr>
        <w:t>us</w:t>
      </w:r>
      <w:r w:rsidR="00BF7A92" w:rsidRPr="0035461C">
        <w:rPr>
          <w:rFonts w:ascii="Calibri" w:hAnsi="Calibri" w:cs="Calibri"/>
        </w:rPr>
        <w:t>ing</w:t>
      </w:r>
      <w:r w:rsidRPr="0035461C">
        <w:rPr>
          <w:rFonts w:ascii="Calibri" w:hAnsi="Calibri" w:cs="Calibri"/>
        </w:rPr>
        <w:t xml:space="preserve"> “do</w:t>
      </w:r>
      <w:r w:rsidR="005E2F80" w:rsidRPr="0035461C">
        <w:rPr>
          <w:rFonts w:ascii="Calibri" w:hAnsi="Calibri" w:cs="Calibri"/>
        </w:rPr>
        <w:t>-</w:t>
      </w:r>
      <w:r w:rsidRPr="0035461C">
        <w:rPr>
          <w:rFonts w:ascii="Calibri" w:hAnsi="Calibri" w:cs="Calibri"/>
        </w:rPr>
        <w:t>it</w:t>
      </w:r>
      <w:r w:rsidR="005E2F80" w:rsidRPr="0035461C">
        <w:rPr>
          <w:rFonts w:ascii="Calibri" w:hAnsi="Calibri" w:cs="Calibri"/>
        </w:rPr>
        <w:t>-</w:t>
      </w:r>
      <w:r w:rsidRPr="0035461C">
        <w:rPr>
          <w:rFonts w:ascii="Calibri" w:hAnsi="Calibri" w:cs="Calibri"/>
        </w:rPr>
        <w:t>yourself”</w:t>
      </w:r>
      <w:r w:rsidR="004D4362">
        <w:rPr>
          <w:rFonts w:ascii="Calibri" w:hAnsi="Calibri" w:cs="Calibri"/>
        </w:rPr>
        <w:t xml:space="preserve"> </w:t>
      </w:r>
      <w:r w:rsidR="00A7339F">
        <w:rPr>
          <w:rFonts w:ascii="Calibri" w:hAnsi="Calibri" w:cs="Calibri"/>
        </w:rPr>
        <w:t>user-driven open-source artificial insulin delivery</w:t>
      </w:r>
      <w:r w:rsidRPr="0035461C">
        <w:rPr>
          <w:rFonts w:ascii="Calibri" w:hAnsi="Calibri" w:cs="Calibri"/>
        </w:rPr>
        <w:t xml:space="preserve"> systems</w:t>
      </w:r>
      <w:r w:rsidR="00D27E0B" w:rsidRPr="0035461C">
        <w:rPr>
          <w:rFonts w:ascii="Calibri" w:hAnsi="Calibri" w:cs="Calibri"/>
        </w:rPr>
        <w:t xml:space="preserve">, which use commercially available CGM systems and pumps, with software algorithms that communicate with both and can reverse-engineer the pump control of basal and corrective doses </w:t>
      </w:r>
      <w:r w:rsidR="00A7691E" w:rsidRPr="0035461C">
        <w:rPr>
          <w:rFonts w:ascii="Calibri" w:hAnsi="Calibri" w:cs="Calibri"/>
        </w:rPr>
        <w:fldChar w:fldCharType="begin"/>
      </w:r>
      <w:r w:rsidR="00076F77">
        <w:rPr>
          <w:rFonts w:ascii="Calibri" w:hAnsi="Calibri" w:cs="Calibri"/>
        </w:rPr>
        <w:instrText xml:space="preserve"> ADDIN ZOTERO_ITEM CSL_CITATION {"citationID":"Eob6fZPl","properties":{"formattedCitation":"(91)","plainCitation":"(91)","noteIndex":0},"citationItems":[{"id":4333,"uris":["http://zotero.org/groups/369679/items/2ZYJPNL4"],"uri":["http://zotero.org/groups/369679/items/2ZYJPNL4"],"itemData":{"id":4333,"type":"article-journal","abstract":"Diabetes technology (DT) has accomplished tremendous progress in the past decades, aiming to convert these technologies as viable treatment options for the benefit of patients with diabetes (PWD). Despite the advances, PWD face multiple challenges with the efficient management of type 1 diabetes. Most of the promising and innovative technological developments are not accessible to a larger proportion of PWD. The slow pace of development and commercialization, overpricing, and lack of peer support are few such factors leading to inequitable access to the innovations in DT. Highly motivated and tech-savvy members of the diabetes community have therefore come up with the #WeAreNotWaiting movement and started developing their own do-it-yourself artificial pancreas systems (DIYAPS) integrating continuous glucose monitoring (CGM), insulin pumps, and smartphone technology to run openly shared algorithms to achieve appreciable glycemic control and quality of life (QoL). These systems use tailor-made interventions to achieve automated insulin delivery (AID) and are not commercialized or regulated. Online social network megatrends such as GitHub, CGM in the Cloud, and Twitter have been providing platforms to share these open source technologies and user experiences. Observational studies, anecdotal evidence, and real-world patient stories revealed significant improvements in time in range (TIR), time in hypoglycemia (TIHypo), HbA1c levels, and QoL after the initiation of DIYAPS. But this unregulated do-it-yourself (DIY) approach is perceived with great circumspection by healthcare professionals (HCP), regulatory bodies, and device manufacturers, making users the ultimate risk-bearers. The use of the regularized CGM and insulin pump with unauthorized algorithms makes them off-label and has been a matter of great concern. Besides these, lack of safety data, funding or insurance coverage, ethical, and legal issues are roadblocks to the unanimous acceptance of these systems among patients with type 1 diabetes (T1D). A multi-agency approach is necessary to evaluate the risks, and to delineate the incumbency and liability of clinicians, regulatory bodies, and manufacturers associated with the use of DIYAPS. Understanding the potential of DIYAPS as the need of the present time, many regional and international agencies have come with strategies to appraise its safety as well as to support education and training on its use. Here we provide a comprehensive description of the DIYAPS-including their origin, existing literature, advantages, and disadvantages that can help the industry leaders, clinicians, and PWD to make the best use of these systems.","container-title":"Diabetes Therapy: Research, Treatment and Education of Diabetes and Related Disorders","DOI":"10.1007/s13300-020-00823-z","ISSN":"1869-6953","issue":"6","journalAbbreviation":"Diabetes Ther","language":"eng","note":"PMID: 32356245\nPMCID: PMC7261300","page":"1217-1235","source":"PubMed","title":"The Do-It-Yourself Artificial Pancreas: A Comprehensive Review","title-short":"The Do-It-Yourself Artificial Pancreas","volume":"11","author":[{"family":"Kesavadev","given":"Jothydev"},{"family":"Srinivasan","given":"Seshadhri"},{"family":"Saboo","given":"Banshi"},{"family":"Krishna B","given":"Meera"},{"family":"Krishnan","given":"Gopika"}],"issued":{"date-parts":[["2020",6]]}}}],"schema":"https://github.com/citation-style-language/schema/raw/master/csl-citation.json"} </w:instrText>
      </w:r>
      <w:r w:rsidR="00A7691E" w:rsidRPr="0035461C">
        <w:rPr>
          <w:rFonts w:ascii="Calibri" w:hAnsi="Calibri" w:cs="Calibri"/>
        </w:rPr>
        <w:fldChar w:fldCharType="separate"/>
      </w:r>
      <w:r w:rsidR="00076F77" w:rsidRPr="00076F77">
        <w:rPr>
          <w:rFonts w:ascii="Calibri" w:hAnsi="Calibri" w:cs="Calibri"/>
        </w:rPr>
        <w:t>(91)</w:t>
      </w:r>
      <w:r w:rsidR="00A7691E" w:rsidRPr="0035461C">
        <w:rPr>
          <w:rFonts w:ascii="Calibri" w:hAnsi="Calibri" w:cs="Calibri"/>
        </w:rPr>
        <w:fldChar w:fldCharType="end"/>
      </w:r>
      <w:r w:rsidR="00FC396D" w:rsidRPr="0035461C">
        <w:rPr>
          <w:rFonts w:ascii="Calibri" w:hAnsi="Calibri" w:cs="Calibri"/>
        </w:rPr>
        <w:t>.</w:t>
      </w:r>
      <w:r w:rsidR="00BF7A92" w:rsidRPr="0035461C">
        <w:rPr>
          <w:rFonts w:ascii="Calibri" w:hAnsi="Calibri" w:cs="Calibri"/>
        </w:rPr>
        <w:t xml:space="preserve"> </w:t>
      </w:r>
      <w:r w:rsidR="00900CE3">
        <w:rPr>
          <w:rFonts w:ascii="Calibri" w:hAnsi="Calibri" w:cs="Calibri"/>
        </w:rPr>
        <w:t>Regulatory bodies do not allow h</w:t>
      </w:r>
      <w:r w:rsidR="00BF7A92" w:rsidRPr="0035461C">
        <w:rPr>
          <w:rFonts w:ascii="Calibri" w:hAnsi="Calibri" w:cs="Calibri"/>
        </w:rPr>
        <w:t xml:space="preserve">ealthcare professionals </w:t>
      </w:r>
      <w:r w:rsidR="00900CE3">
        <w:rPr>
          <w:rFonts w:ascii="Calibri" w:hAnsi="Calibri" w:cs="Calibri"/>
        </w:rPr>
        <w:t>to prescribe</w:t>
      </w:r>
      <w:r w:rsidR="00BF7A92" w:rsidRPr="0035461C">
        <w:rPr>
          <w:rFonts w:ascii="Calibri" w:hAnsi="Calibri" w:cs="Calibri"/>
        </w:rPr>
        <w:t xml:space="preserve"> these systems</w:t>
      </w:r>
      <w:r w:rsidR="00695C0A" w:rsidRPr="0035461C">
        <w:rPr>
          <w:rFonts w:ascii="Calibri" w:hAnsi="Calibri" w:cs="Calibri"/>
        </w:rPr>
        <w:t>,</w:t>
      </w:r>
      <w:r w:rsidR="00BF7A92" w:rsidRPr="0035461C">
        <w:rPr>
          <w:rFonts w:ascii="Calibri" w:hAnsi="Calibri" w:cs="Calibri"/>
        </w:rPr>
        <w:t xml:space="preserve"> but </w:t>
      </w:r>
      <w:r w:rsidR="00900CE3">
        <w:rPr>
          <w:rFonts w:ascii="Calibri" w:hAnsi="Calibri" w:cs="Calibri"/>
        </w:rPr>
        <w:t>h</w:t>
      </w:r>
      <w:r w:rsidR="00900CE3" w:rsidRPr="0035461C">
        <w:rPr>
          <w:rFonts w:ascii="Calibri" w:hAnsi="Calibri" w:cs="Calibri"/>
        </w:rPr>
        <w:t xml:space="preserve">ealthcare professionals </w:t>
      </w:r>
      <w:r w:rsidR="00BF7A92" w:rsidRPr="0035461C">
        <w:rPr>
          <w:rFonts w:ascii="Calibri" w:hAnsi="Calibri" w:cs="Calibri"/>
        </w:rPr>
        <w:t>should respect an individual’s right to make informed choices about their care and continue to</w:t>
      </w:r>
      <w:r w:rsidR="004821AF" w:rsidRPr="0035461C">
        <w:rPr>
          <w:rFonts w:ascii="Calibri" w:hAnsi="Calibri" w:cs="Calibri"/>
        </w:rPr>
        <w:t xml:space="preserve"> offer</w:t>
      </w:r>
      <w:r w:rsidR="00BF7A92" w:rsidRPr="0035461C">
        <w:rPr>
          <w:rFonts w:ascii="Calibri" w:hAnsi="Calibri" w:cs="Calibri"/>
        </w:rPr>
        <w:t xml:space="preserve"> support </w:t>
      </w:r>
      <w:r w:rsidR="004821AF" w:rsidRPr="0035461C">
        <w:rPr>
          <w:rFonts w:ascii="Calibri" w:hAnsi="Calibri" w:cs="Calibri"/>
        </w:rPr>
        <w:t xml:space="preserve">to </w:t>
      </w:r>
      <w:r w:rsidR="00BF7A92" w:rsidRPr="0035461C">
        <w:rPr>
          <w:rFonts w:ascii="Calibri" w:hAnsi="Calibri" w:cs="Calibri"/>
        </w:rPr>
        <w:t>the</w:t>
      </w:r>
      <w:r w:rsidR="00695C0A" w:rsidRPr="0035461C">
        <w:rPr>
          <w:rFonts w:ascii="Calibri" w:hAnsi="Calibri" w:cs="Calibri"/>
        </w:rPr>
        <w:t xml:space="preserve"> </w:t>
      </w:r>
      <w:r w:rsidR="00FE0D77" w:rsidRPr="0035461C">
        <w:rPr>
          <w:rFonts w:ascii="Calibri" w:hAnsi="Calibri" w:cs="Calibri"/>
        </w:rPr>
        <w:t>people using these systems</w:t>
      </w:r>
      <w:r w:rsidR="00695C0A" w:rsidRPr="0035461C">
        <w:rPr>
          <w:rFonts w:ascii="Calibri" w:hAnsi="Calibri" w:cs="Calibri"/>
        </w:rPr>
        <w:t>.</w:t>
      </w:r>
      <w:r w:rsidR="00900CE3">
        <w:rPr>
          <w:rFonts w:ascii="Calibri" w:hAnsi="Calibri" w:cs="Calibri"/>
        </w:rPr>
        <w:t xml:space="preserve"> </w:t>
      </w:r>
    </w:p>
    <w:p w14:paraId="5D9A900E" w14:textId="512756B9" w:rsidR="00620751" w:rsidRPr="0035461C" w:rsidRDefault="00620751" w:rsidP="00620751">
      <w:pPr>
        <w:spacing w:before="120"/>
        <w:jc w:val="both"/>
        <w:rPr>
          <w:rFonts w:ascii="Calibri" w:hAnsi="Calibri" w:cs="Calibri"/>
        </w:rPr>
      </w:pPr>
      <w:r w:rsidRPr="0035461C">
        <w:rPr>
          <w:rFonts w:ascii="Calibri" w:hAnsi="Calibri" w:cs="Calibri"/>
        </w:rPr>
        <w:t>Fully closed loop automated insulin delivery systems are currently being evaluated in clinical trials being conducted by several collaborative groups in both North America and Europe</w:t>
      </w:r>
      <w:r w:rsidR="00FC396D" w:rsidRPr="0035461C">
        <w:rPr>
          <w:rFonts w:ascii="Calibri" w:hAnsi="Calibri" w:cs="Calibri"/>
        </w:rPr>
        <w:t xml:space="preserve"> </w:t>
      </w:r>
      <w:r w:rsidR="007F21B6" w:rsidRPr="0035461C">
        <w:rPr>
          <w:rFonts w:ascii="Calibri" w:hAnsi="Calibri" w:cs="Calibri"/>
        </w:rPr>
        <w:fldChar w:fldCharType="begin"/>
      </w:r>
      <w:r w:rsidR="00076F77">
        <w:rPr>
          <w:rFonts w:ascii="Calibri" w:hAnsi="Calibri" w:cs="Calibri"/>
        </w:rPr>
        <w:instrText xml:space="preserve"> ADDIN ZOTERO_ITEM CSL_CITATION {"citationID":"ttYZ7mBI","properties":{"formattedCitation":"(92)","plainCitation":"(92)","noteIndex":0},"citationItems":[{"id":11057,"uris":["http://zotero.org/groups/369679/items/2ANRGLMF"],"uri":["http://zotero.org/groups/369679/items/2ANRGLMF"],"itemData":{"id":11057,"type":"article-journal","abstract":"PURPOSE OF REVIEW: Advances in diabetes technologies have enabled the development of artificial pancreas (closed-loop) systems for people with diabetes. We review the key studies which have led to the adoption of the artificial pancreas in clinical practice and consider ongoing challenges and areas for future enhancements.\nRECENT FINDINGS: Studies have demonstrated safety and efficacy of closed-loop insulin delivery systems in free-living settings over periods of up to 6 months for children and adults with type 1 diabetes. Since 2017, four hybrid closed-loop systems have been approved by regulatory bodies worldwide, but these systems are not entirely automated, requiring user interaction to deliver mealtime insulin boluses. Improving usability of these devices in the real-world setting is an important challenge.\nSUMMARY: The artificial pancreas has become the gold standard for the treatment of type 1 diabetes. First-generation systems are increasingly being adopted in clinical practice, however further work is required, developing advanced systems and faster acting insulin analogues to allow complete automation and further reduce the burden of type 1 diabetes.","container-title":"Current Opinion in Organ Transplantation","DOI":"10.1097/MOT.0000000000000786","ISSN":"1531-7013","issue":"4","journalAbbreviation":"Curr Opin Organ Transplant","language":"eng","note":"PMID: 32618719","page":"336-342","source":"PubMed","title":"The artificial pancreas","volume":"25","author":[{"family":"Boughton","given":"Charlotte K."},{"family":"Hovorka","given":"Roman"}],"issued":{"date-parts":[["2020",8]]}}}],"schema":"https://github.com/citation-style-language/schema/raw/master/csl-citation.json"} </w:instrText>
      </w:r>
      <w:r w:rsidR="007F21B6" w:rsidRPr="0035461C">
        <w:rPr>
          <w:rFonts w:ascii="Calibri" w:hAnsi="Calibri" w:cs="Calibri"/>
        </w:rPr>
        <w:fldChar w:fldCharType="separate"/>
      </w:r>
      <w:r w:rsidR="00076F77" w:rsidRPr="00076F77">
        <w:rPr>
          <w:rFonts w:ascii="Calibri" w:hAnsi="Calibri" w:cs="Calibri"/>
        </w:rPr>
        <w:t>(92)</w:t>
      </w:r>
      <w:r w:rsidR="007F21B6" w:rsidRPr="0035461C">
        <w:rPr>
          <w:rFonts w:ascii="Calibri" w:hAnsi="Calibri" w:cs="Calibri"/>
        </w:rPr>
        <w:fldChar w:fldCharType="end"/>
      </w:r>
      <w:r w:rsidR="00FC396D" w:rsidRPr="0035461C">
        <w:rPr>
          <w:rFonts w:ascii="Calibri" w:hAnsi="Calibri" w:cs="Calibri"/>
        </w:rPr>
        <w:t>.</w:t>
      </w:r>
      <w:r w:rsidRPr="0035461C">
        <w:rPr>
          <w:rFonts w:ascii="Calibri" w:hAnsi="Calibri" w:cs="Calibri"/>
        </w:rPr>
        <w:t xml:space="preserve"> The expectation is that some of these will receive regulatory approval in the next </w:t>
      </w:r>
      <w:r w:rsidR="00390832" w:rsidRPr="0035461C">
        <w:rPr>
          <w:rFonts w:ascii="Calibri" w:hAnsi="Calibri" w:cs="Calibri"/>
        </w:rPr>
        <w:t>few years</w:t>
      </w:r>
      <w:r w:rsidRPr="0035461C">
        <w:rPr>
          <w:rFonts w:ascii="Calibri" w:hAnsi="Calibri" w:cs="Calibri"/>
        </w:rPr>
        <w:t>. This should allow people with type 1 diabetes to achieve better gl</w:t>
      </w:r>
      <w:r w:rsidR="008E0C17" w:rsidRPr="0035461C">
        <w:rPr>
          <w:rFonts w:ascii="Calibri" w:hAnsi="Calibri" w:cs="Calibri"/>
        </w:rPr>
        <w:t>ycaemi</w:t>
      </w:r>
      <w:r w:rsidRPr="0035461C">
        <w:rPr>
          <w:rFonts w:ascii="Calibri" w:hAnsi="Calibri" w:cs="Calibri"/>
        </w:rPr>
        <w:t xml:space="preserve">c </w:t>
      </w:r>
      <w:r w:rsidR="00FC396D" w:rsidRPr="0035461C">
        <w:rPr>
          <w:rFonts w:ascii="Calibri" w:hAnsi="Calibri" w:cs="Calibri"/>
        </w:rPr>
        <w:t>levels</w:t>
      </w:r>
      <w:r w:rsidRPr="0035461C">
        <w:rPr>
          <w:rFonts w:ascii="Calibri" w:hAnsi="Calibri" w:cs="Calibri"/>
        </w:rPr>
        <w:t xml:space="preserve"> with minimal risk of hypogl</w:t>
      </w:r>
      <w:r w:rsidR="008E0C17" w:rsidRPr="0035461C">
        <w:rPr>
          <w:rFonts w:ascii="Calibri" w:hAnsi="Calibri" w:cs="Calibri"/>
        </w:rPr>
        <w:t>ycaemi</w:t>
      </w:r>
      <w:r w:rsidRPr="0035461C">
        <w:rPr>
          <w:rFonts w:ascii="Calibri" w:hAnsi="Calibri" w:cs="Calibri"/>
        </w:rPr>
        <w:t xml:space="preserve">a. </w:t>
      </w:r>
      <w:r w:rsidR="00677EEA">
        <w:rPr>
          <w:rFonts w:ascii="Calibri" w:hAnsi="Calibri" w:cs="Calibri"/>
        </w:rPr>
        <w:t xml:space="preserve">Bi-hormonal (insulin and glucagon) automated insulin delivery systems are under investigation and could also contribute to the optimization of glucose management. </w:t>
      </w:r>
      <w:r w:rsidRPr="0035461C">
        <w:rPr>
          <w:rFonts w:ascii="Calibri" w:hAnsi="Calibri" w:cs="Calibri"/>
        </w:rPr>
        <w:t>This is a rapidly evolving area, and readers may wish to keep abreast by referring to the Technology section of the ADA Standards of Care which is a living document updated frequently</w:t>
      </w:r>
      <w:r w:rsidR="00450028" w:rsidRPr="0035461C">
        <w:rPr>
          <w:rFonts w:ascii="Calibri" w:hAnsi="Calibri" w:cs="Calibri"/>
        </w:rPr>
        <w:t xml:space="preserve"> </w:t>
      </w:r>
      <w:r w:rsidR="00DD3E9E" w:rsidRPr="0035461C">
        <w:rPr>
          <w:rFonts w:ascii="Calibri" w:hAnsi="Calibri" w:cs="Calibri"/>
        </w:rPr>
        <w:fldChar w:fldCharType="begin"/>
      </w:r>
      <w:r w:rsidR="00076F77">
        <w:rPr>
          <w:rFonts w:ascii="Calibri" w:hAnsi="Calibri" w:cs="Calibri"/>
        </w:rPr>
        <w:instrText xml:space="preserve"> ADDIN ZOTERO_ITEM CSL_CITATION {"citationID":"gBD0k1e8","properties":{"formattedCitation":"(93)","plainCitation":"(93)","noteIndex":0},"citationItems":[{"id":11419,"uris":["http://zotero.org/groups/369679/items/7PQZ2GT4"],"uri":["http://zotero.org/groups/369679/items/7PQZ2GT4"],"itemData":{"id":11419,"type":"webpage","title":"7. Diabetes Technology: Standards of Medical Care in Diabetes—2021 | Diabetes Care","URL":"https://care.diabetesjournals.org/content/44/Supplement_1/S85","accessed":{"date-parts":[["2021",2,19]]}}}],"schema":"https://github.com/citation-style-language/schema/raw/master/csl-citation.json"} </w:instrText>
      </w:r>
      <w:r w:rsidR="00DD3E9E" w:rsidRPr="0035461C">
        <w:rPr>
          <w:rFonts w:ascii="Calibri" w:hAnsi="Calibri" w:cs="Calibri"/>
        </w:rPr>
        <w:fldChar w:fldCharType="separate"/>
      </w:r>
      <w:r w:rsidR="00076F77" w:rsidRPr="00076F77">
        <w:rPr>
          <w:rFonts w:ascii="Calibri" w:hAnsi="Calibri" w:cs="Calibri"/>
        </w:rPr>
        <w:t>(93)</w:t>
      </w:r>
      <w:r w:rsidR="00DD3E9E" w:rsidRPr="0035461C">
        <w:rPr>
          <w:rFonts w:ascii="Calibri" w:hAnsi="Calibri" w:cs="Calibri"/>
        </w:rPr>
        <w:fldChar w:fldCharType="end"/>
      </w:r>
      <w:r w:rsidRPr="0035461C">
        <w:rPr>
          <w:rFonts w:ascii="Calibri" w:hAnsi="Calibri" w:cs="Calibri"/>
        </w:rPr>
        <w:t>.</w:t>
      </w:r>
    </w:p>
    <w:p w14:paraId="166C8E44" w14:textId="77777777" w:rsidR="00620751" w:rsidRPr="0035461C" w:rsidRDefault="00620751" w:rsidP="001C5BC0">
      <w:pPr>
        <w:spacing w:before="120"/>
        <w:jc w:val="both"/>
        <w:rPr>
          <w:rFonts w:ascii="Calibri" w:hAnsi="Calibri" w:cs="Calibri"/>
        </w:rPr>
      </w:pPr>
    </w:p>
    <w:p w14:paraId="67CF9CE6" w14:textId="4DFD0D3F" w:rsidR="00695C0A" w:rsidRPr="0035461C" w:rsidRDefault="00695C0A" w:rsidP="001C5BC0">
      <w:pPr>
        <w:spacing w:before="120"/>
        <w:jc w:val="both"/>
        <w:rPr>
          <w:rFonts w:ascii="Calibri" w:hAnsi="Calibri" w:cs="Calibri"/>
          <w:i/>
          <w:iCs/>
          <w:u w:val="single"/>
        </w:rPr>
      </w:pPr>
      <w:r w:rsidRPr="0035461C">
        <w:rPr>
          <w:rFonts w:ascii="Calibri" w:hAnsi="Calibri" w:cs="Calibri"/>
          <w:i/>
          <w:iCs/>
          <w:u w:val="single"/>
        </w:rPr>
        <w:t xml:space="preserve">Adverse </w:t>
      </w:r>
      <w:r w:rsidR="0093697E" w:rsidRPr="0035461C">
        <w:rPr>
          <w:rFonts w:ascii="Calibri" w:hAnsi="Calibri" w:cs="Calibri"/>
          <w:i/>
          <w:iCs/>
          <w:u w:val="single"/>
        </w:rPr>
        <w:t>Effects</w:t>
      </w:r>
    </w:p>
    <w:p w14:paraId="5EDDF6B3" w14:textId="77777777" w:rsidR="00FD7F47" w:rsidRDefault="00695C0A" w:rsidP="00FD7F47">
      <w:pPr>
        <w:spacing w:before="120"/>
        <w:jc w:val="both"/>
        <w:rPr>
          <w:rFonts w:ascii="Calibri" w:hAnsi="Calibri" w:cs="Calibri"/>
        </w:rPr>
      </w:pPr>
      <w:r w:rsidRPr="0035461C">
        <w:rPr>
          <w:rFonts w:ascii="Calibri" w:hAnsi="Calibri" w:cs="Calibri"/>
        </w:rPr>
        <w:t xml:space="preserve">The main adverse effect associated with insulin therapy is hypoglycaemia which is discussed in the next section. </w:t>
      </w:r>
      <w:r w:rsidR="00FE0D77" w:rsidRPr="0035461C">
        <w:rPr>
          <w:rFonts w:ascii="Calibri" w:hAnsi="Calibri" w:cs="Calibri"/>
        </w:rPr>
        <w:t>T</w:t>
      </w:r>
      <w:r w:rsidR="00C57784" w:rsidRPr="0035461C">
        <w:rPr>
          <w:rFonts w:ascii="Calibri" w:hAnsi="Calibri" w:cs="Calibri"/>
        </w:rPr>
        <w:t>he safety and efficacy of insulin therapy is closely related to glucose mo</w:t>
      </w:r>
      <w:r w:rsidR="00FC396D" w:rsidRPr="0035461C">
        <w:rPr>
          <w:rFonts w:ascii="Calibri" w:hAnsi="Calibri" w:cs="Calibri"/>
        </w:rPr>
        <w:t xml:space="preserve">nitoring </w:t>
      </w:r>
      <w:r w:rsidR="00C57784" w:rsidRPr="0035461C">
        <w:rPr>
          <w:rFonts w:ascii="Calibri" w:hAnsi="Calibri" w:cs="Calibri"/>
        </w:rPr>
        <w:t>and insulin dose adjustments made by the individual with diabetes, or more recently, automatically through control algorithms. Therefore, education in the manageme</w:t>
      </w:r>
      <w:r w:rsidR="00FC396D" w:rsidRPr="0035461C">
        <w:rPr>
          <w:rFonts w:ascii="Calibri" w:hAnsi="Calibri" w:cs="Calibri"/>
        </w:rPr>
        <w:t xml:space="preserve">nt of insulin doses </w:t>
      </w:r>
      <w:r w:rsidR="00C57784" w:rsidRPr="0035461C">
        <w:rPr>
          <w:rFonts w:ascii="Calibri" w:hAnsi="Calibri" w:cs="Calibri"/>
        </w:rPr>
        <w:t xml:space="preserve">is a crucial component of this therapy, both at initiation and during follow-up. This education includes rescue strategies in case of </w:t>
      </w:r>
      <w:proofErr w:type="spellStart"/>
      <w:r w:rsidR="00C57784" w:rsidRPr="0035461C">
        <w:rPr>
          <w:rFonts w:ascii="Calibri" w:hAnsi="Calibri" w:cs="Calibri"/>
        </w:rPr>
        <w:t>hyperglycaemic</w:t>
      </w:r>
      <w:proofErr w:type="spellEnd"/>
      <w:r w:rsidR="00C57784" w:rsidRPr="0035461C">
        <w:rPr>
          <w:rFonts w:ascii="Calibri" w:hAnsi="Calibri" w:cs="Calibri"/>
        </w:rPr>
        <w:t xml:space="preserve"> or hypoglycaemic deviation</w:t>
      </w:r>
      <w:r w:rsidR="00C57784" w:rsidRPr="00FD7F47">
        <w:rPr>
          <w:rFonts w:ascii="Calibri" w:hAnsi="Calibri" w:cs="Calibri"/>
        </w:rPr>
        <w:t>s, including the measurement of urine or blood ketone bodies or the prescription of carbohydrate intake</w:t>
      </w:r>
      <w:r w:rsidR="00B92FA7" w:rsidRPr="00FD7F47">
        <w:rPr>
          <w:rFonts w:ascii="Calibri" w:hAnsi="Calibri" w:cs="Calibri"/>
        </w:rPr>
        <w:t xml:space="preserve"> and glucagon</w:t>
      </w:r>
      <w:r w:rsidR="00C57784" w:rsidRPr="00FD7F47">
        <w:rPr>
          <w:rFonts w:ascii="Calibri" w:hAnsi="Calibri" w:cs="Calibri"/>
        </w:rPr>
        <w:t>, respectively.</w:t>
      </w:r>
    </w:p>
    <w:p w14:paraId="4C653F3A" w14:textId="7BE8A5A6" w:rsidR="00C96A36" w:rsidRDefault="00FD7F47" w:rsidP="00C96A36">
      <w:pPr>
        <w:spacing w:before="120"/>
        <w:jc w:val="both"/>
        <w:rPr>
          <w:rFonts w:ascii="Calibri" w:hAnsi="Calibri" w:cs="Calibri"/>
        </w:rPr>
      </w:pPr>
      <w:r w:rsidRPr="00FD7F47">
        <w:rPr>
          <w:rFonts w:ascii="Calibri" w:eastAsiaTheme="minorHAnsi" w:hAnsi="Calibri" w:cs="Calibri"/>
          <w:color w:val="000000"/>
          <w:lang w:val="en-GB"/>
        </w:rPr>
        <w:t xml:space="preserve">Insulin </w:t>
      </w:r>
      <w:r w:rsidR="00776CCA">
        <w:rPr>
          <w:rFonts w:ascii="Calibri" w:eastAsiaTheme="minorHAnsi" w:hAnsi="Calibri" w:cs="Calibri"/>
          <w:color w:val="000000"/>
          <w:lang w:val="en-GB"/>
        </w:rPr>
        <w:t>causes</w:t>
      </w:r>
      <w:r w:rsidRPr="00FD7F47">
        <w:rPr>
          <w:rFonts w:ascii="Calibri" w:eastAsiaTheme="minorHAnsi" w:hAnsi="Calibri" w:cs="Calibri"/>
          <w:color w:val="000000"/>
          <w:lang w:val="en-GB"/>
        </w:rPr>
        <w:t xml:space="preserve"> body weight gain</w:t>
      </w:r>
      <w:r>
        <w:rPr>
          <w:rFonts w:ascii="Calibri" w:eastAsiaTheme="minorHAnsi" w:hAnsi="Calibri" w:cs="Calibri"/>
          <w:color w:val="000000"/>
          <w:lang w:val="en-GB"/>
        </w:rPr>
        <w:t xml:space="preserve"> and can lead some people with type 1 diabetes to reduce their insulin dose</w:t>
      </w:r>
      <w:r w:rsidR="004D4362">
        <w:rPr>
          <w:rFonts w:ascii="Calibri" w:eastAsiaTheme="minorHAnsi" w:hAnsi="Calibri" w:cs="Calibri"/>
          <w:color w:val="000000"/>
          <w:lang w:val="en-GB"/>
        </w:rPr>
        <w:t>s</w:t>
      </w:r>
      <w:r w:rsidRPr="00FD7F47">
        <w:rPr>
          <w:rFonts w:ascii="Calibri" w:eastAsiaTheme="minorHAnsi" w:hAnsi="Calibri" w:cs="Calibri"/>
          <w:color w:val="000000"/>
          <w:lang w:val="en-GB"/>
        </w:rPr>
        <w:t xml:space="preserve">. </w:t>
      </w:r>
      <w:r w:rsidR="00C96A36" w:rsidRPr="00C96A36">
        <w:rPr>
          <w:rFonts w:asciiTheme="minorHAnsi" w:hAnsiTheme="minorHAnsi" w:cstheme="minorHAnsi"/>
        </w:rPr>
        <w:t>Clinicians should review such weight concerns related to insulin and discuss strategies to avoid undesirable weight gain.</w:t>
      </w:r>
    </w:p>
    <w:p w14:paraId="6C2DEC01" w14:textId="484C6057" w:rsidR="000F7959" w:rsidRDefault="00567D76" w:rsidP="001C5BC0">
      <w:pPr>
        <w:spacing w:before="120"/>
        <w:jc w:val="both"/>
        <w:rPr>
          <w:rFonts w:ascii="Calibri" w:hAnsi="Calibri" w:cs="Calibri"/>
        </w:rPr>
      </w:pPr>
      <w:r w:rsidRPr="00FD7F47">
        <w:rPr>
          <w:rFonts w:ascii="Calibri" w:hAnsi="Calibri" w:cs="Calibri"/>
        </w:rPr>
        <w:t xml:space="preserve">Skin reactions to subcutaneous insulin therapy include local inflammation (often due to the pH of or additives to the insulin), insulin-induced lipoatrophy, </w:t>
      </w:r>
      <w:r w:rsidR="00FE0D77" w:rsidRPr="00FD7F47">
        <w:rPr>
          <w:rFonts w:ascii="Calibri" w:hAnsi="Calibri" w:cs="Calibri"/>
        </w:rPr>
        <w:t>and insulin-induced</w:t>
      </w:r>
      <w:r w:rsidRPr="00FD7F47">
        <w:rPr>
          <w:rFonts w:ascii="Calibri" w:hAnsi="Calibri" w:cs="Calibri"/>
        </w:rPr>
        <w:t xml:space="preserve"> </w:t>
      </w:r>
      <w:proofErr w:type="spellStart"/>
      <w:r w:rsidRPr="00FD7F47">
        <w:rPr>
          <w:rFonts w:ascii="Calibri" w:hAnsi="Calibri" w:cs="Calibri"/>
        </w:rPr>
        <w:t>lipohypertrophy</w:t>
      </w:r>
      <w:proofErr w:type="spellEnd"/>
      <w:r w:rsidRPr="00FD7F47">
        <w:rPr>
          <w:rFonts w:ascii="Calibri" w:hAnsi="Calibri" w:cs="Calibri"/>
        </w:rPr>
        <w:t xml:space="preserve">. Lipoatrophy has become rare </w:t>
      </w:r>
      <w:r w:rsidR="00695C0A" w:rsidRPr="00FD7F47">
        <w:rPr>
          <w:rFonts w:ascii="Calibri" w:hAnsi="Calibri" w:cs="Calibri"/>
        </w:rPr>
        <w:t>as the purity of manufacture of human and analogue insulin has improved</w:t>
      </w:r>
      <w:r w:rsidRPr="00FD7F47">
        <w:rPr>
          <w:rFonts w:ascii="Calibri" w:hAnsi="Calibri" w:cs="Calibri"/>
        </w:rPr>
        <w:t xml:space="preserve">. </w:t>
      </w:r>
      <w:proofErr w:type="spellStart"/>
      <w:r w:rsidRPr="00FD7F47">
        <w:rPr>
          <w:rFonts w:ascii="Calibri" w:hAnsi="Calibri" w:cs="Calibri"/>
        </w:rPr>
        <w:t>Lipohypertrophy</w:t>
      </w:r>
      <w:proofErr w:type="spellEnd"/>
      <w:r w:rsidR="001B2709" w:rsidRPr="00FD7F47">
        <w:rPr>
          <w:rFonts w:ascii="Calibri" w:hAnsi="Calibri" w:cs="Calibri"/>
        </w:rPr>
        <w:t xml:space="preserve"> is </w:t>
      </w:r>
      <w:r w:rsidR="000F7959">
        <w:rPr>
          <w:rFonts w:ascii="Calibri" w:hAnsi="Calibri" w:cs="Calibri"/>
        </w:rPr>
        <w:t>common</w:t>
      </w:r>
      <w:r w:rsidR="001B2709" w:rsidRPr="00FD7F47">
        <w:rPr>
          <w:rFonts w:ascii="Calibri" w:hAnsi="Calibri" w:cs="Calibri"/>
        </w:rPr>
        <w:t xml:space="preserve"> and</w:t>
      </w:r>
      <w:r w:rsidRPr="00FD7F47">
        <w:rPr>
          <w:rFonts w:ascii="Calibri" w:hAnsi="Calibri" w:cs="Calibri"/>
        </w:rPr>
        <w:t xml:space="preserve"> typically occurs when the same sites are repeatedly used for injections or pump sites</w:t>
      </w:r>
      <w:r w:rsidR="001B2709" w:rsidRPr="00FD7F47">
        <w:rPr>
          <w:rFonts w:ascii="Calibri" w:hAnsi="Calibri" w:cs="Calibri"/>
        </w:rPr>
        <w:t>. It</w:t>
      </w:r>
      <w:r w:rsidRPr="00FD7F47">
        <w:rPr>
          <w:rFonts w:ascii="Calibri" w:hAnsi="Calibri" w:cs="Calibri"/>
        </w:rPr>
        <w:t xml:space="preserve"> </w:t>
      </w:r>
      <w:r w:rsidR="001B2709" w:rsidRPr="00FD7F47">
        <w:rPr>
          <w:rFonts w:ascii="Calibri" w:hAnsi="Calibri" w:cs="Calibri"/>
        </w:rPr>
        <w:t xml:space="preserve">leads to use of higher insulin doses </w:t>
      </w:r>
      <w:r w:rsidRPr="00FD7F47">
        <w:rPr>
          <w:rFonts w:ascii="Calibri" w:hAnsi="Calibri" w:cs="Calibri"/>
        </w:rPr>
        <w:t>and is a cause of glyc</w:t>
      </w:r>
      <w:r w:rsidR="00695C0A" w:rsidRPr="00FD7F47">
        <w:rPr>
          <w:rFonts w:ascii="Calibri" w:hAnsi="Calibri" w:cs="Calibri"/>
        </w:rPr>
        <w:t>a</w:t>
      </w:r>
      <w:r w:rsidRPr="00FD7F47">
        <w:rPr>
          <w:rFonts w:ascii="Calibri" w:hAnsi="Calibri" w:cs="Calibri"/>
        </w:rPr>
        <w:t>emic variability</w:t>
      </w:r>
      <w:r w:rsidR="000D7C51">
        <w:rPr>
          <w:rFonts w:ascii="Calibri" w:hAnsi="Calibri" w:cs="Calibri"/>
        </w:rPr>
        <w:t xml:space="preserve"> </w:t>
      </w:r>
      <w:r w:rsidR="007F182D">
        <w:rPr>
          <w:rFonts w:ascii="Calibri" w:hAnsi="Calibri" w:cs="Calibri"/>
        </w:rPr>
        <w:t>leading to both hyper- and</w:t>
      </w:r>
      <w:r w:rsidR="000D7C51">
        <w:rPr>
          <w:rFonts w:ascii="Calibri" w:hAnsi="Calibri" w:cs="Calibri"/>
        </w:rPr>
        <w:t xml:space="preserve"> hypoglycaemia</w:t>
      </w:r>
      <w:r w:rsidR="00FC396D" w:rsidRPr="00FD7F47">
        <w:rPr>
          <w:rFonts w:ascii="Calibri" w:hAnsi="Calibri" w:cs="Calibri"/>
        </w:rPr>
        <w:t xml:space="preserve"> </w:t>
      </w:r>
      <w:r w:rsidR="00891435" w:rsidRPr="00FD7F47">
        <w:rPr>
          <w:rFonts w:ascii="Calibri" w:hAnsi="Calibri" w:cs="Calibri"/>
        </w:rPr>
        <w:fldChar w:fldCharType="begin"/>
      </w:r>
      <w:r w:rsidR="00076F77">
        <w:rPr>
          <w:rFonts w:ascii="Calibri" w:hAnsi="Calibri" w:cs="Calibri"/>
        </w:rPr>
        <w:instrText xml:space="preserve"> ADDIN ZOTERO_ITEM CSL_CITATION {"citationID":"IblCoV8R","properties":{"formattedCitation":"(94,95)","plainCitation":"(94,95)","noteIndex":0},"citationItems":[{"id":3358,"uris":["http://zotero.org/groups/369679/items/6Z4EHGZG"],"uri":["http://zotero.org/groups/369679/items/6Z4EHGZG"],"itemData":{"id":3358,"type":"article-journal","abstract":"OBJECTIVE: Lipohypertrophy (LHT) is common in insulin-treated patients but its exact impact on insulin absorption and action is unclear.\nRESEARCH DESIGN AND METHODS: In this crossover study, 13 patients with type 1 diabetes received subcutaneous abdominal injections of 0.15 units/kg insulin lispro into LHT (confirmed by examination and ultrasound) and normal adipose tissue (NAT). On one day, a euglycemic clamp was performed with two injections each into LHT and NAT, and on another day one injection per region was given before a standardized mixed meal (75 g carbohydrates), all in randomized order.\nRESULTS: Compared with NAT, LHT reduced insulin absorption (mean area under the insulin concentration curve [AUCINS0-4h] 131 vs. 165 h * mU/L [LHT vs. NAT]; Cmax 61 vs. 79 mU/L, P &lt; 0.02, respectively) and effect (areas under glucose infusion rate [GIR] curves [AUCGIR0-4h 625 vs. 775 mg/kg, P &lt; 0.05]) but increased intrasubject variability ([coefficient of variation] AUCINS0-4h 52 vs. 11%, Cmax 55 vs. 15%, AUCGIR0-4h 57 vs. 23%, all P &lt; 0.01). Postprandial blood glucose (BG) concentrations were ≥26% higher with LHT (AUCBG0-5h 731 vs. 513 mg * h/dL, BGmax 199 vs. 157 mg/dL, 2-h BG 150 vs. 104 mg/dL, 5-h BG 145 vs. 81 mg/dL, all P &lt; 0.05) and maximum concentrations occurred later. Hypoglycemia (BG ≤50 mg/dL) occurred numerically less frequently with LHT injection (two vs. six patients), whereas profound hyperglycemia (BG ≥300 mg/dL) only occurred with LHT injection (two patients). Tmax-INS did not differ between LHT and NAT in either study.\nCONCLUSIONS: Insulin absorption and action are blunted and considerably more variable with LHT injection, leading to profound deterioration in postprandial glucose control.","container-title":"Diabetes Care","DOI":"10.2337/dc16-0610","ISSN":"1935-5548","issue":"9","journalAbbreviation":"Diabetes Care","language":"eng","note":"PMID: 27411698","page":"1486-1492","source":"PubMed","title":"Insulin Injection Into Lipohypertrophic Tissue: Blunted and More Variable Insulin Absorption and Action and Impaired Postprandial Glucose Control","title-short":"Insulin Injection Into Lipohypertrophic Tissue","volume":"39","author":[{"family":"Famulla","given":"Susanne"},{"family":"Hövelmann","given":"Ulrike"},{"family":"Fischer","given":"Annelie"},{"family":"Coester","given":"Hans-Veit"},{"family":"Hermanski","given":"Lidia"},{"family":"Kaltheuner","given":"Matthias"},{"family":"Kaltheuner","given":"Lars"},{"family":"Heinemann","given":"Lutz"},{"family":"Heise","given":"Tim"},{"family":"Hirsch","given":"Laurence"}],"issued":{"date-parts":[["2016"]]}}},{"id":12511,"uris":["http://zotero.org/groups/369679/items/PDJPPVLH"],"uri":["http://zotero.org/groups/369679/items/PDJPPVLH"],"itemData":{"id":12511,"type":"article-journal","abstract":"INTRODUCTION: Our objective was to assess the frequency of lipohypertrophy (LH) and its relationship to site rotation, needle reuse, glucose variability, hypoglycaemia and use of insulin.\nMETHODS: The study included 430 outpatients injecting insulin who filled out a wide-ranging questionnaire regarding their injection technique. Then, a diabetes nurse examined their injection sites for the presence of LH.\nRESULTS: Nearly two-thirds (64.4%) of patients had LH. There was a strong relationship between the presence of LH and non-rotation of sites, with correct rotation technique having the strongest protective value against LH. Of the patients who correctly rotated sites, only 5% had LH while, of the patients with LH, 98% either did not rotate sites or rotated incorrectly. Also, 39.1% of patients with LH had unexplained hypoglycaemia and 49.1% had glycaemic variability compared with only 5.9% and 6.5%, respectively, in those without LH. LH was also related to needle reuse, with risk increasing significantly when needles were used &gt; 5 times. Total daily insulin doses for patients with and without LH averaged 56 and 41 IU/day, respectively. This 15 IU difference equates to a total annual cost to the Spanish healthcare system of &gt; €122 million. This was also the first study in which the use of ultrasound allowed the description of an \"echo signature\" for LH.\nCONCLUSION: Correct injection site rotation appears to be the critical factor in preventing LH, which is associated with reduced glucose variability, hypoglycaemia, insulin consumption and costs.","container-title":"Diabetes &amp; Metabolism","DOI":"10.1016/j.diabet.2013.05.006","ISSN":"1878-1780","issue":"5","journalAbbreviation":"Diabetes Metab","language":"eng","note":"PMID: 23886784","page":"445-453","source":"PubMed","title":"Prevalence and risk factors of lipohypertrophy in insulin-injecting patients with diabetes","volume":"39","author":[{"family":"Blanco","given":"M."},{"family":"Hernández","given":"M. T."},{"family":"Strauss","given":"K. W."},{"family":"Amaya","given":"M."}],"issued":{"date-parts":[["2013",10]]}}}],"schema":"https://github.com/citation-style-language/schema/raw/master/csl-citation.json"} </w:instrText>
      </w:r>
      <w:r w:rsidR="00891435" w:rsidRPr="00FD7F47">
        <w:rPr>
          <w:rFonts w:ascii="Calibri" w:hAnsi="Calibri" w:cs="Calibri"/>
        </w:rPr>
        <w:fldChar w:fldCharType="separate"/>
      </w:r>
      <w:r w:rsidR="00076F77" w:rsidRPr="00076F77">
        <w:rPr>
          <w:rFonts w:ascii="Calibri" w:hAnsi="Calibri" w:cs="Calibri"/>
        </w:rPr>
        <w:t>(94,95)</w:t>
      </w:r>
      <w:r w:rsidR="00891435" w:rsidRPr="00FD7F47">
        <w:rPr>
          <w:rFonts w:ascii="Calibri" w:hAnsi="Calibri" w:cs="Calibri"/>
        </w:rPr>
        <w:fldChar w:fldCharType="end"/>
      </w:r>
      <w:r w:rsidR="00FC396D" w:rsidRPr="00FD7F47">
        <w:rPr>
          <w:rFonts w:ascii="Calibri" w:hAnsi="Calibri" w:cs="Calibri"/>
        </w:rPr>
        <w:t>.</w:t>
      </w:r>
      <w:r w:rsidRPr="00FD7F47">
        <w:rPr>
          <w:rFonts w:ascii="Calibri" w:hAnsi="Calibri" w:cs="Calibri"/>
        </w:rPr>
        <w:t xml:space="preserve"> People with type 1 diabetes should </w:t>
      </w:r>
      <w:r w:rsidR="00B92FA7" w:rsidRPr="00FD7F47">
        <w:rPr>
          <w:rFonts w:ascii="Calibri" w:hAnsi="Calibri" w:cs="Calibri"/>
        </w:rPr>
        <w:t>receive instructions about</w:t>
      </w:r>
      <w:r w:rsidRPr="00FD7F47">
        <w:rPr>
          <w:rFonts w:ascii="Calibri" w:hAnsi="Calibri" w:cs="Calibri"/>
        </w:rPr>
        <w:t xml:space="preserve"> proper injection technique, including regular site rotation</w:t>
      </w:r>
      <w:r w:rsidR="00857CFC">
        <w:rPr>
          <w:rFonts w:ascii="Calibri" w:hAnsi="Calibri" w:cs="Calibri"/>
        </w:rPr>
        <w:t xml:space="preserve"> and skin examination</w:t>
      </w:r>
      <w:r w:rsidRPr="00FD7F47">
        <w:rPr>
          <w:rFonts w:ascii="Calibri" w:hAnsi="Calibri" w:cs="Calibri"/>
        </w:rPr>
        <w:t>, at the time of insulin initiation with periodic reminders thereafter.</w:t>
      </w:r>
      <w:r w:rsidR="001B2709" w:rsidRPr="00FD7F47">
        <w:rPr>
          <w:rFonts w:ascii="Calibri" w:hAnsi="Calibri" w:cs="Calibri"/>
        </w:rPr>
        <w:t xml:space="preserve"> Clinicians should inspect and palpate injection and infusion sites at least annually.</w:t>
      </w:r>
    </w:p>
    <w:p w14:paraId="2574E048" w14:textId="4FA44668" w:rsidR="00567D76" w:rsidRPr="0035461C" w:rsidRDefault="00651D79" w:rsidP="001C5BC0">
      <w:pPr>
        <w:spacing w:before="120"/>
        <w:jc w:val="both"/>
        <w:rPr>
          <w:rFonts w:ascii="Calibri" w:hAnsi="Calibri" w:cs="Calibri"/>
        </w:rPr>
      </w:pPr>
      <w:r w:rsidRPr="0035461C">
        <w:rPr>
          <w:rFonts w:ascii="Calibri" w:hAnsi="Calibri" w:cs="Calibri"/>
        </w:rPr>
        <w:t>As described above for CGM devices,</w:t>
      </w:r>
      <w:r w:rsidR="00B92FA7" w:rsidRPr="0035461C">
        <w:rPr>
          <w:rFonts w:ascii="Calibri" w:hAnsi="Calibri" w:cs="Calibri"/>
        </w:rPr>
        <w:t xml:space="preserve"> </w:t>
      </w:r>
      <w:r w:rsidRPr="0035461C">
        <w:rPr>
          <w:rFonts w:ascii="Calibri" w:hAnsi="Calibri" w:cs="Calibri"/>
        </w:rPr>
        <w:t>i</w:t>
      </w:r>
      <w:r w:rsidR="00B92FA7" w:rsidRPr="0035461C">
        <w:rPr>
          <w:rFonts w:ascii="Calibri" w:hAnsi="Calibri" w:cs="Calibri"/>
        </w:rPr>
        <w:t>ndividuals should be warned about possible skin reactions to pump adhesives.</w:t>
      </w:r>
    </w:p>
    <w:p w14:paraId="2769D0ED" w14:textId="363D2CDB" w:rsidR="00695C0A" w:rsidRPr="0035461C" w:rsidRDefault="00695C0A" w:rsidP="001C5BC0">
      <w:pPr>
        <w:spacing w:before="120"/>
        <w:jc w:val="both"/>
        <w:rPr>
          <w:rFonts w:ascii="Calibri" w:hAnsi="Calibri" w:cs="Calibri"/>
          <w:i/>
          <w:iCs/>
          <w:u w:val="single"/>
        </w:rPr>
      </w:pPr>
      <w:r w:rsidRPr="0035461C">
        <w:rPr>
          <w:rFonts w:ascii="Calibri" w:hAnsi="Calibri" w:cs="Calibri"/>
          <w:i/>
          <w:iCs/>
          <w:u w:val="single"/>
        </w:rPr>
        <w:t>Alternative routes of administration</w:t>
      </w:r>
    </w:p>
    <w:p w14:paraId="19585911" w14:textId="37AC9959" w:rsidR="00695C0A" w:rsidRPr="0035461C" w:rsidRDefault="00567D76" w:rsidP="001C5BC0">
      <w:pPr>
        <w:spacing w:before="120"/>
        <w:jc w:val="both"/>
        <w:rPr>
          <w:rFonts w:ascii="Calibri" w:hAnsi="Calibri" w:cs="Calibri"/>
        </w:rPr>
      </w:pPr>
      <w:r w:rsidRPr="0035461C">
        <w:rPr>
          <w:rFonts w:ascii="Calibri" w:hAnsi="Calibri" w:cs="Calibri"/>
        </w:rPr>
        <w:t>Although subcutaneous insulin therapy has been the mainstay of treatment for almost a century, this mode does not mimic physiologic</w:t>
      </w:r>
      <w:r w:rsidR="00695C0A" w:rsidRPr="0035461C">
        <w:rPr>
          <w:rFonts w:ascii="Calibri" w:hAnsi="Calibri" w:cs="Calibri"/>
        </w:rPr>
        <w:t>al</w:t>
      </w:r>
      <w:r w:rsidRPr="0035461C">
        <w:rPr>
          <w:rFonts w:ascii="Calibri" w:hAnsi="Calibri" w:cs="Calibri"/>
        </w:rPr>
        <w:t xml:space="preserve"> insulin secretion well. </w:t>
      </w:r>
      <w:r w:rsidR="00695C0A" w:rsidRPr="0035461C">
        <w:rPr>
          <w:rFonts w:ascii="Calibri" w:hAnsi="Calibri" w:cs="Calibri"/>
        </w:rPr>
        <w:t>Healthy</w:t>
      </w:r>
      <w:r w:rsidRPr="0035461C">
        <w:rPr>
          <w:rFonts w:ascii="Calibri" w:hAnsi="Calibri" w:cs="Calibri"/>
        </w:rPr>
        <w:t xml:space="preserve"> β</w:t>
      </w:r>
      <w:r w:rsidR="005E2F80" w:rsidRPr="0035461C">
        <w:rPr>
          <w:rFonts w:ascii="Calibri" w:hAnsi="Calibri" w:cs="Calibri"/>
        </w:rPr>
        <w:t xml:space="preserve"> </w:t>
      </w:r>
      <w:r w:rsidRPr="0035461C">
        <w:rPr>
          <w:rFonts w:ascii="Calibri" w:hAnsi="Calibri" w:cs="Calibri"/>
        </w:rPr>
        <w:t xml:space="preserve">cells secrete a burst of insulin into the portal circulation at the onset of glucose intake, with approximately </w:t>
      </w:r>
      <w:r w:rsidR="0059435A">
        <w:rPr>
          <w:rFonts w:ascii="Calibri" w:hAnsi="Calibri" w:cs="Calibri"/>
        </w:rPr>
        <w:t>70% of</w:t>
      </w:r>
      <w:r w:rsidR="0059435A" w:rsidRPr="0035461C">
        <w:rPr>
          <w:rFonts w:ascii="Calibri" w:hAnsi="Calibri" w:cs="Calibri"/>
        </w:rPr>
        <w:t xml:space="preserve"> </w:t>
      </w:r>
      <w:r w:rsidRPr="0035461C">
        <w:rPr>
          <w:rFonts w:ascii="Calibri" w:hAnsi="Calibri" w:cs="Calibri"/>
        </w:rPr>
        <w:t xml:space="preserve">the insulin </w:t>
      </w:r>
      <w:r w:rsidR="00695C0A" w:rsidRPr="0035461C">
        <w:rPr>
          <w:rFonts w:ascii="Calibri" w:hAnsi="Calibri" w:cs="Calibri"/>
        </w:rPr>
        <w:t>cleared by</w:t>
      </w:r>
      <w:r w:rsidRPr="0035461C">
        <w:rPr>
          <w:rFonts w:ascii="Calibri" w:hAnsi="Calibri" w:cs="Calibri"/>
        </w:rPr>
        <w:t xml:space="preserve"> the liver and not entering the systemic circulation, whereas subcutaneous insulin enters the systemic circulation with some delay and is </w:t>
      </w:r>
      <w:r w:rsidR="00695C0A" w:rsidRPr="0035461C">
        <w:rPr>
          <w:rFonts w:ascii="Calibri" w:hAnsi="Calibri" w:cs="Calibri"/>
        </w:rPr>
        <w:t>removed</w:t>
      </w:r>
      <w:r w:rsidRPr="0035461C">
        <w:rPr>
          <w:rFonts w:ascii="Calibri" w:hAnsi="Calibri" w:cs="Calibri"/>
        </w:rPr>
        <w:t xml:space="preserve"> relatively slowly. Inhaled human insulin, available only in the U.S., has a very rapid onset of action and short duration compared to subcutaneous rapid-acting analogues</w:t>
      </w:r>
      <w:r w:rsidR="00FC396D" w:rsidRPr="0035461C">
        <w:rPr>
          <w:rFonts w:ascii="Calibri" w:hAnsi="Calibri" w:cs="Calibri"/>
        </w:rPr>
        <w:t xml:space="preserve"> </w:t>
      </w:r>
      <w:r w:rsidR="00652E42" w:rsidRPr="0035461C">
        <w:rPr>
          <w:rFonts w:ascii="Calibri" w:hAnsi="Calibri" w:cs="Calibri"/>
        </w:rPr>
        <w:fldChar w:fldCharType="begin"/>
      </w:r>
      <w:r w:rsidR="00076F77">
        <w:rPr>
          <w:rFonts w:ascii="Calibri" w:hAnsi="Calibri" w:cs="Calibri"/>
        </w:rPr>
        <w:instrText xml:space="preserve"> ADDIN ZOTERO_ITEM CSL_CITATION {"citationID":"1xlDLKih","properties":{"formattedCitation":"(3)","plainCitation":"(3)","noteIndex":0},"citationItems":[{"id":10939,"uris":["http://zotero.org/groups/369679/items/JEDVKV5I"],"uri":["http://zotero.org/groups/369679/items/JEDVKV5I"],"itemData":{"id":10939,"type":"article-journal","abstract":"Insulin has been available for the treatment of diabetes for almost a century, and the variety of insulin choices today represents many years of discovery and innovation. Insulin has gone from poorly defined extracts of animal pancreata to pure and precisely controlled formulations that can be prescribed and administered with high accuracy and predictability of action. Modifications of the insulin formulation and of the insulin molecule itself have made it possible to approximate the natural endogenous insulin response. Insulin and insulin formulations had to be designed to produce either a constant low basal level of insulin or the spikes of insulin released in response to meals. We discuss how the biochemical properties of endogenous insulin were exploited to either shorten or extend the time-action profiles of injectable insulins by varying the pharmacokinetics (time for appearance of insulin in the blood after injection) and pharmacodynamics (time-dependent changes in blood sugar after injection). This has resulted in rapid-acting, short-acting, intermediate-acting, and long-acting insulins, as well as mixtures and concentrated formulations. An understanding of how various insulins and formulations were designed to solve the challenges of insulin replacement will assist clinicians in meeting the needs of their individual patients.","container-title":"Endocrine Reviews","DOI":"10.1210/endrev/bnaa015","ISSN":"1945-7189","issue":"5","journalAbbreviation":"Endocr Rev","language":"eng","note":"PMID: 32396624\nPMCID: PMC7366348","source":"PubMed","title":"The Evolution of Insulin and How it Informs Therapy and Treatment Choices","volume":"41","author":[{"family":"Hirsch","given":"Irl B."},{"family":"Juneja","given":"Rattan"},{"family":"Beals","given":"John M."},{"family":"Antalis","given":"Caryl J."},{"family":"Wright","given":"Eugene E."}],"issued":{"date-parts":[["2020"]],"season":"01"}}}],"schema":"https://github.com/citation-style-language/schema/raw/master/csl-citation.json"} </w:instrText>
      </w:r>
      <w:r w:rsidR="00652E42" w:rsidRPr="0035461C">
        <w:rPr>
          <w:rFonts w:ascii="Calibri" w:hAnsi="Calibri" w:cs="Calibri"/>
        </w:rPr>
        <w:fldChar w:fldCharType="separate"/>
      </w:r>
      <w:r w:rsidR="00643FF1" w:rsidRPr="00643FF1">
        <w:rPr>
          <w:rFonts w:ascii="Calibri" w:hAnsi="Calibri" w:cs="Calibri"/>
        </w:rPr>
        <w:t>(3)</w:t>
      </w:r>
      <w:r w:rsidR="00652E42" w:rsidRPr="0035461C">
        <w:rPr>
          <w:rFonts w:ascii="Calibri" w:hAnsi="Calibri" w:cs="Calibri"/>
        </w:rPr>
        <w:fldChar w:fldCharType="end"/>
      </w:r>
      <w:r w:rsidR="00FC396D" w:rsidRPr="0035461C">
        <w:rPr>
          <w:rFonts w:ascii="Calibri" w:hAnsi="Calibri" w:cs="Calibri"/>
        </w:rPr>
        <w:t>.</w:t>
      </w:r>
      <w:r w:rsidRPr="0035461C">
        <w:rPr>
          <w:rFonts w:ascii="Calibri" w:hAnsi="Calibri" w:cs="Calibri"/>
        </w:rPr>
        <w:t xml:space="preserve"> Inhaled insulin ameliorates early post-prandial hypergl</w:t>
      </w:r>
      <w:r w:rsidR="008E0C17" w:rsidRPr="0035461C">
        <w:rPr>
          <w:rFonts w:ascii="Calibri" w:hAnsi="Calibri" w:cs="Calibri"/>
        </w:rPr>
        <w:t>ycaemi</w:t>
      </w:r>
      <w:r w:rsidRPr="0035461C">
        <w:rPr>
          <w:rFonts w:ascii="Calibri" w:hAnsi="Calibri" w:cs="Calibri"/>
        </w:rPr>
        <w:t>a well, but its short duration of action results in less control of later post-prandial hyperglyc</w:t>
      </w:r>
      <w:r w:rsidR="00695C0A" w:rsidRPr="0035461C">
        <w:rPr>
          <w:rFonts w:ascii="Calibri" w:hAnsi="Calibri" w:cs="Calibri"/>
        </w:rPr>
        <w:t>a</w:t>
      </w:r>
      <w:r w:rsidRPr="0035461C">
        <w:rPr>
          <w:rFonts w:ascii="Calibri" w:hAnsi="Calibri" w:cs="Calibri"/>
        </w:rPr>
        <w:t>emia. Additionally, inhaled insulin can cause cough or sore throat, and therapy must be monitored with periodic spirometry</w:t>
      </w:r>
      <w:r w:rsidR="00D5083B" w:rsidRPr="0035461C">
        <w:rPr>
          <w:rFonts w:ascii="Calibri" w:hAnsi="Calibri" w:cs="Calibri"/>
        </w:rPr>
        <w:t xml:space="preserve"> because of possible effects on lung function</w:t>
      </w:r>
      <w:r w:rsidR="00C500E9">
        <w:rPr>
          <w:rFonts w:ascii="Calibri" w:hAnsi="Calibri" w:cs="Calibri"/>
        </w:rPr>
        <w:t xml:space="preserve"> </w:t>
      </w:r>
      <w:r w:rsidR="00C500E9">
        <w:rPr>
          <w:rFonts w:ascii="Calibri" w:hAnsi="Calibri" w:cs="Calibri"/>
        </w:rPr>
        <w:fldChar w:fldCharType="begin"/>
      </w:r>
      <w:r w:rsidR="00076F77">
        <w:rPr>
          <w:rFonts w:ascii="Calibri" w:hAnsi="Calibri" w:cs="Calibri"/>
        </w:rPr>
        <w:instrText xml:space="preserve"> ADDIN ZOTERO_ITEM CSL_CITATION {"citationID":"a1raah3sp98","properties":{"formattedCitation":"(96)","plainCitation":"(96)","noteIndex":0},"citationItems":[{"id":12510,"uris":["http://zotero.org/groups/369679/items/HE67RWQR"],"uri":["http://zotero.org/groups/369679/items/HE67RWQR"],"itemData":{"id":12510,"type":"article-journal","abstract":"BACKGROUND AND OBJECTIVE: Technosphere® Insulin (TI), a human insulin powder for inhalation (Afrezza®; MannKind Corporation, Westlake Village, CA, USA), is an ultra-rapid-acting inhaled insulin indicated to improve postprandial glycemic control in patients with type 1 or type 2 diabetes mellitus (T1DM or T2DM). Because TI is absorbed across the alveolar membrane, the objective of this analysis was to characterize its pulmonary safety.\nMETHODS: Pooled data from 13 phase 2/3 clinical studies in 5505 patients with T1DM or T2DM treated with TI, Technosphere inhalation powder without insulin (TP; placebo), or active-comparator treatment were analyzed for incidences of respiratory treatment-emergent adverse events (TEAEs), changes in pulmonary function, and lung malignancies. Radiographic changes in the lungs were monitored in a subset of 229 patients.\nRESULTS: Among 3017 patients receiving TI, the median duration of TI exposure was 168 days; median active-comparator and TP exposure durations were 363 and 149 days for 2198 and 290 patients, respectively. Respiratory TEAEs were comparable across treatments, except for a higher incidence of mild cough with TI in active-comparator studies (28.0% vs. 5.2%). Slight reversible declines in pulmonary function from baseline were observed for TI versus TP and active-comparator treatments, including in a subpopulation of patients with retrospectively identified lung dysfunction. Lung malignancies were reported in two patients on active TI therapy with a smoking history. No clinically significant changes from baseline were observed in radiographic images.\nCONCLUSIONS: Pulmonary safety assessment of the TI inhalation system did not identify any safety issues in individuals with either T1DM or T2DM.","container-title":"Clinical Drug Investigation","DOI":"10.1007/s40261-020-00958-8","ISSN":"1179-1918","issue":"10","journalAbbreviation":"Clin Drug Investig","language":"eng","note":"PMID: 32720187\nPMCID: PMC7511468","page":"973-983","source":"PubMed","title":"Comprehensive Pulmonary Safety Review of Inhaled Technosphere® Insulin in Patients with Diabetes Mellitus","volume":"40","author":[{"family":"McGill","given":"Janet B."},{"family":"Peters","given":"Anne"},{"family":"Buse","given":"John B."},{"family":"Steiner","given":"Susanne"},{"family":"Tran","given":"Tiffany"},{"family":"Pompilio","given":"Frank M."},{"family":"Kendall","given":"David M."}],"issued":{"date-parts":[["2020",10]]}}}],"schema":"https://github.com/citation-style-language/schema/raw/master/csl-citation.json"} </w:instrText>
      </w:r>
      <w:r w:rsidR="00C500E9">
        <w:rPr>
          <w:rFonts w:ascii="Calibri" w:hAnsi="Calibri" w:cs="Calibri"/>
        </w:rPr>
        <w:fldChar w:fldCharType="separate"/>
      </w:r>
      <w:r w:rsidR="00076F77" w:rsidRPr="00076F77">
        <w:rPr>
          <w:rFonts w:ascii="Calibri" w:hAnsi="Calibri" w:cs="Calibri"/>
        </w:rPr>
        <w:t>(96)</w:t>
      </w:r>
      <w:r w:rsidR="00C500E9">
        <w:rPr>
          <w:rFonts w:ascii="Calibri" w:hAnsi="Calibri" w:cs="Calibri"/>
        </w:rPr>
        <w:fldChar w:fldCharType="end"/>
      </w:r>
      <w:r w:rsidRPr="0035461C">
        <w:rPr>
          <w:rFonts w:ascii="Calibri" w:hAnsi="Calibri" w:cs="Calibri"/>
        </w:rPr>
        <w:t xml:space="preserve">. </w:t>
      </w:r>
    </w:p>
    <w:p w14:paraId="0FCCEBCC" w14:textId="1C92D9A7" w:rsidR="00567D76" w:rsidRPr="0035461C" w:rsidRDefault="00567D76" w:rsidP="001C5BC0">
      <w:pPr>
        <w:spacing w:before="120"/>
        <w:jc w:val="both"/>
        <w:rPr>
          <w:rFonts w:ascii="Calibri" w:hAnsi="Calibri" w:cs="Calibri"/>
        </w:rPr>
      </w:pPr>
      <w:r w:rsidRPr="0035461C">
        <w:rPr>
          <w:rFonts w:ascii="Calibri" w:hAnsi="Calibri" w:cs="Calibri"/>
        </w:rPr>
        <w:t>Peritoneal delivery of human regular insulin, with rapid transit to the portal system, can be accomplished with implantable insulin pumps or through a port connected to an intra-peritoneal catheter (available only in some countries in Europe</w:t>
      </w:r>
      <w:r w:rsidR="00B92FA7" w:rsidRPr="0035461C">
        <w:rPr>
          <w:rFonts w:ascii="Calibri" w:hAnsi="Calibri" w:cs="Calibri"/>
        </w:rPr>
        <w:t xml:space="preserve"> </w:t>
      </w:r>
      <w:r w:rsidR="00A0321E" w:rsidRPr="0035461C">
        <w:rPr>
          <w:rFonts w:ascii="Calibri" w:hAnsi="Calibri" w:cs="Calibri"/>
        </w:rPr>
        <w:t>at considerable cost</w:t>
      </w:r>
      <w:r w:rsidRPr="0035461C">
        <w:rPr>
          <w:rFonts w:ascii="Calibri" w:hAnsi="Calibri" w:cs="Calibri"/>
        </w:rPr>
        <w:t>). Compared to subcutaneous insulin regimens, intra-peritoneal insulin infusion reduce</w:t>
      </w:r>
      <w:r w:rsidR="005E2F80" w:rsidRPr="0035461C">
        <w:rPr>
          <w:rFonts w:ascii="Calibri" w:hAnsi="Calibri" w:cs="Calibri"/>
        </w:rPr>
        <w:t>s</w:t>
      </w:r>
      <w:r w:rsidRPr="0035461C">
        <w:rPr>
          <w:rFonts w:ascii="Calibri" w:hAnsi="Calibri" w:cs="Calibri"/>
        </w:rPr>
        <w:t xml:space="preserve"> HbA</w:t>
      </w:r>
      <w:r w:rsidRPr="0035461C">
        <w:rPr>
          <w:rFonts w:ascii="Calibri" w:hAnsi="Calibri" w:cs="Calibri"/>
          <w:vertAlign w:val="subscript"/>
        </w:rPr>
        <w:t>1c</w:t>
      </w:r>
      <w:r w:rsidRPr="0035461C">
        <w:rPr>
          <w:rFonts w:ascii="Calibri" w:hAnsi="Calibri" w:cs="Calibri"/>
        </w:rPr>
        <w:t>, glyc</w:t>
      </w:r>
      <w:r w:rsidR="00695C0A" w:rsidRPr="0035461C">
        <w:rPr>
          <w:rFonts w:ascii="Calibri" w:hAnsi="Calibri" w:cs="Calibri"/>
        </w:rPr>
        <w:t>a</w:t>
      </w:r>
      <w:r w:rsidRPr="0035461C">
        <w:rPr>
          <w:rFonts w:ascii="Calibri" w:hAnsi="Calibri" w:cs="Calibri"/>
        </w:rPr>
        <w:t>emic variability, and hypoglyc</w:t>
      </w:r>
      <w:r w:rsidR="00695C0A" w:rsidRPr="0035461C">
        <w:rPr>
          <w:rFonts w:ascii="Calibri" w:hAnsi="Calibri" w:cs="Calibri"/>
        </w:rPr>
        <w:t>a</w:t>
      </w:r>
      <w:r w:rsidRPr="0035461C">
        <w:rPr>
          <w:rFonts w:ascii="Calibri" w:hAnsi="Calibri" w:cs="Calibri"/>
        </w:rPr>
        <w:t>emia</w:t>
      </w:r>
      <w:r w:rsidR="00FC396D" w:rsidRPr="0035461C">
        <w:rPr>
          <w:rFonts w:ascii="Calibri" w:hAnsi="Calibri" w:cs="Calibri"/>
        </w:rPr>
        <w:t xml:space="preserve"> </w:t>
      </w:r>
      <w:r w:rsidR="00510267" w:rsidRPr="0035461C">
        <w:rPr>
          <w:rFonts w:ascii="Calibri" w:hAnsi="Calibri" w:cs="Calibri"/>
        </w:rPr>
        <w:fldChar w:fldCharType="begin"/>
      </w:r>
      <w:r w:rsidR="00076F77">
        <w:rPr>
          <w:rFonts w:ascii="Calibri" w:hAnsi="Calibri" w:cs="Calibri"/>
        </w:rPr>
        <w:instrText xml:space="preserve"> ADDIN ZOTERO_ITEM CSL_CITATION {"citationID":"h5waHqdc","properties":{"formattedCitation":"(97,98)","plainCitation":"(97,98)","noteIndex":0},"citationItems":[{"id":11061,"uris":["http://zotero.org/groups/369679/items/QQYWDCFH"],"uri":["http://zotero.org/groups/369679/items/QQYWDCFH"],"itemData":{"id":11061,"type":"article-journal","abstract":"Continuous intraperitoneal insulin infusion (CIPII) with implantable insulin pumps (IIPs) is a treatment option for diabetes, which is not widely utilized nor freely accessible in clinical practice. The aim of this study was to summarize available evidence on use of IIPs for CIPII for diabetes treatment, since its introduction to clinical use on the following outcomes: HbA1c, hypoglycaemic events, and complications of treatment.\nSECONDARY OUTCOMES: complications of diabetes and treatment satisfaction. Following the procedure for a systematic review this paper may contribute to a balanced evaluation of the need and effectiveness of IIPs. A pre-specified, registered protocol (CRD42012002150) was followed. Studies investigating all diabetes populations and types of IIPs were considered eligible. The sensitive search strategy was developed in collaboration with a clinical librarian and contents experts. PUBMED, MEDLINE, CENTRAL EMBASE, trial registries, and other databases were searched. References were screened independently by two authors, and decisions on study selection were recorded. Of the 1,703 references screened, 362 were assessed as potentially eligible. Ninety-four were identified as studies using IIPs. Fifteen papers, together reporting on four-randomized trials, and eight cohorts were included. Narrative analysis is provided, and data tables are available. CIPII by way of IIPs is effective in lowering HbA1c levels and reducing hypoglycaemic events. Superiority of IIP treatment is likely related to patient characteristics, one subgroup being patients unable to acquire satisfactory glycaemic control with subcutaneous insulin treatment. Higher treatment satisfaction was also reported for this subgroup. For these patients, risk of morbidity may be considered acceptable. Patients' perspectives, influence on quality of life, and possible other outcomes should also be considered important factors in weighing individual benefits and risks. A more uniform method of reporting would help strengthen the evidence base.","container-title":"Acta Diabetologica","DOI":"10.1007/s00592-014-0557-3","ISSN":"1432-5233","issue":"3","journalAbbreviation":"Acta Diabetol","language":"eng","note":"PMID: 24595518","page":"339-351","source":"PubMed","title":"Systematic review: continuous intraperitoneal insulin infusion with implantable insulin pumps for diabetes mellitus","title-short":"Systematic review","volume":"51","author":[{"family":"Spaan","given":"Nienke"},{"family":"Teplova","given":"Alina"},{"family":"Stam","given":"Gerrit"},{"family":"Spaan","given":"Jos"},{"family":"Lucas","given":"Cees"}],"issued":{"date-parts":[["2014"]]}}},{"id":11063,"uris":["http://zotero.org/groups/369679/items/LTS3KB8Q"],"uri":["http://zotero.org/groups/369679/items/LTS3KB8Q"],"itemData":{"id":11063,"type":"article-journal","abstract":"AIM: To review clinical use of implantable insulin pumps and to suggest indications for this therapy.\nMETHODS: The EVADIAC group performed a review of published reports on implantable insulin pumps for the last 15 years and analyzed its own centralized database. From this update, a position statement on indications of this therapy is drawn.\nRESULTS: Published papers mostly report safety and effectiveness data from observational cumulated experiences of 15-350 patient-years. While HbA(1c) reduction does not reach statistical significance in all reported studies, improvement of blood glucose stability and reduction of severe hypoglycaemia appear as constant characteristics of this therapy. When compared to subcutaneous insulin therapy in randomized controlled studies, implantable pumps allow significantly reduced blood glucose fluctuations and improved quality of life in both type 1 and type 2 diabetic patients, and a significant weight decrease in type 2 diabetic patients. While the EVADIAC registry shows the reduced occurrence of pump-pocket complications thanks to preventive measures and a lower incidence of catheter obstructions following improvements of catheter design, underdelivery due to insulin aggregation in pumps remains a recurrent although reversible issue. Determinants of increased anti-insulin antibody production in some patients remain elusive but impact on blood glucose control is limited in most cases.\nCONCLUSION: From analyzed data, the EVADIAC group states that implantable pumps can be safely indicated and provide metabolic improvements in type 1 diabetic patients who remain far from targeted HbA(1c) below 7% and/or experience large fluctuations of blood glucose including recurrent severe hypoglycaemia, in spite of intensive follow-up and education when treated by subcutaneous insulin.","container-title":"Diabetes &amp; Metabolism","DOI":"10.1016/j.diabet.2006.10.004","ISSN":"1262-3636","issue":"2","journalAbbreviation":"Diabetes Metab","language":"eng","note":"PMID: 17300973","page":"158-166","source":"PubMed","title":"Implantable insulin pumps. A position statement about their clinical use","volume":"33","author":[{"family":"Renard","given":"E."},{"family":"Schaepelynck-Bélicar","given":"P."},{"literal":"EVADIAC Group"}],"issued":{"date-parts":[["2007",4]]}}}],"schema":"https://github.com/citation-style-language/schema/raw/master/csl-citation.json"} </w:instrText>
      </w:r>
      <w:r w:rsidR="00510267" w:rsidRPr="0035461C">
        <w:rPr>
          <w:rFonts w:ascii="Calibri" w:hAnsi="Calibri" w:cs="Calibri"/>
        </w:rPr>
        <w:fldChar w:fldCharType="separate"/>
      </w:r>
      <w:r w:rsidR="00076F77" w:rsidRPr="00076F77">
        <w:rPr>
          <w:rFonts w:ascii="Calibri" w:hAnsi="Calibri" w:cs="Calibri"/>
        </w:rPr>
        <w:t>(97,98)</w:t>
      </w:r>
      <w:r w:rsidR="00510267" w:rsidRPr="0035461C">
        <w:rPr>
          <w:rFonts w:ascii="Calibri" w:hAnsi="Calibri" w:cs="Calibri"/>
        </w:rPr>
        <w:fldChar w:fldCharType="end"/>
      </w:r>
      <w:r w:rsidR="00FC396D" w:rsidRPr="0035461C">
        <w:rPr>
          <w:rFonts w:ascii="Calibri" w:hAnsi="Calibri" w:cs="Calibri"/>
        </w:rPr>
        <w:t>.</w:t>
      </w:r>
      <w:r w:rsidRPr="0035461C">
        <w:rPr>
          <w:rFonts w:ascii="Calibri" w:hAnsi="Calibri" w:cs="Calibri"/>
        </w:rPr>
        <w:t xml:space="preserve"> Insulin aggregation, local infections and catheter occlusions are reported complications of the devices used for this route of insulin delivery.</w:t>
      </w:r>
      <w:r w:rsidR="00677EEA">
        <w:rPr>
          <w:rFonts w:ascii="Calibri" w:hAnsi="Calibri" w:cs="Calibri"/>
        </w:rPr>
        <w:t xml:space="preserve"> In some individuals, an increased production of anti-insulin antibodies has been observed while using this route of insulin delivery. The effect on glucose levels </w:t>
      </w:r>
      <w:r w:rsidR="00217F16">
        <w:rPr>
          <w:rFonts w:ascii="Calibri" w:hAnsi="Calibri" w:cs="Calibri"/>
        </w:rPr>
        <w:t>is</w:t>
      </w:r>
      <w:r w:rsidR="00677EEA">
        <w:rPr>
          <w:rFonts w:ascii="Calibri" w:hAnsi="Calibri" w:cs="Calibri"/>
        </w:rPr>
        <w:t xml:space="preserve"> variable, rang</w:t>
      </w:r>
      <w:r w:rsidR="00217F16">
        <w:rPr>
          <w:rFonts w:ascii="Calibri" w:hAnsi="Calibri" w:cs="Calibri"/>
        </w:rPr>
        <w:t>ing</w:t>
      </w:r>
      <w:r w:rsidR="00677EEA">
        <w:rPr>
          <w:rFonts w:ascii="Calibri" w:hAnsi="Calibri" w:cs="Calibri"/>
        </w:rPr>
        <w:t xml:space="preserve"> from no effect to marked glucose swings according to the binding affinity of the antibodies to insulin.</w:t>
      </w:r>
    </w:p>
    <w:p w14:paraId="0B1B714D" w14:textId="77777777" w:rsidR="00450028" w:rsidRPr="0035461C" w:rsidRDefault="00450028" w:rsidP="001C5BC0">
      <w:pPr>
        <w:spacing w:before="120"/>
        <w:rPr>
          <w:rFonts w:ascii="Calibri" w:hAnsi="Calibri" w:cs="Calibri"/>
          <w:b/>
          <w:bCs/>
        </w:rPr>
      </w:pPr>
    </w:p>
    <w:p w14:paraId="4425E2B6" w14:textId="59D5883A" w:rsidR="00770EE2" w:rsidRPr="0035461C" w:rsidRDefault="005431A2" w:rsidP="001C5BC0">
      <w:pPr>
        <w:spacing w:before="120"/>
        <w:rPr>
          <w:rFonts w:ascii="Calibri" w:hAnsi="Calibri" w:cs="Calibri"/>
          <w:b/>
        </w:rPr>
      </w:pPr>
      <w:r w:rsidRPr="0035461C">
        <w:rPr>
          <w:rFonts w:ascii="Calibri" w:hAnsi="Calibri" w:cs="Calibri"/>
          <w:b/>
          <w:bCs/>
        </w:rPr>
        <w:t xml:space="preserve">Section </w:t>
      </w:r>
      <w:r w:rsidR="00264FF0" w:rsidRPr="0035461C">
        <w:rPr>
          <w:rFonts w:ascii="Calibri" w:hAnsi="Calibri" w:cs="Calibri"/>
          <w:b/>
          <w:bCs/>
        </w:rPr>
        <w:t>8</w:t>
      </w:r>
      <w:r w:rsidRPr="0035461C">
        <w:rPr>
          <w:rFonts w:ascii="Calibri" w:hAnsi="Calibri" w:cs="Calibri"/>
          <w:b/>
          <w:bCs/>
        </w:rPr>
        <w:t>:</w:t>
      </w:r>
      <w:r w:rsidR="00E615B3" w:rsidRPr="0035461C">
        <w:rPr>
          <w:rFonts w:ascii="Calibri" w:hAnsi="Calibri" w:cs="Calibri"/>
          <w:b/>
          <w:bCs/>
        </w:rPr>
        <w:t xml:space="preserve"> </w:t>
      </w:r>
      <w:r w:rsidR="00B92FA7" w:rsidRPr="0035461C">
        <w:rPr>
          <w:rFonts w:ascii="Calibri" w:hAnsi="Calibri" w:cs="Calibri"/>
          <w:b/>
        </w:rPr>
        <w:t>H</w:t>
      </w:r>
      <w:r w:rsidR="00770EE2" w:rsidRPr="0035461C">
        <w:rPr>
          <w:rFonts w:ascii="Calibri" w:hAnsi="Calibri" w:cs="Calibri"/>
          <w:b/>
        </w:rPr>
        <w:t xml:space="preserve">ypoglycaemia </w:t>
      </w:r>
    </w:p>
    <w:p w14:paraId="12148621" w14:textId="0D4A2C48" w:rsidR="00B92FA7" w:rsidRPr="0035461C" w:rsidRDefault="00567D76" w:rsidP="00B92FA7">
      <w:pPr>
        <w:pStyle w:val="CommentText"/>
        <w:jc w:val="both"/>
        <w:rPr>
          <w:rFonts w:ascii="Calibri" w:hAnsi="Calibri" w:cs="Calibri"/>
          <w:sz w:val="24"/>
          <w:szCs w:val="24"/>
        </w:rPr>
      </w:pPr>
      <w:r w:rsidRPr="0035461C">
        <w:rPr>
          <w:rFonts w:ascii="Calibri" w:hAnsi="Calibri" w:cs="Calibri"/>
          <w:sz w:val="24"/>
          <w:szCs w:val="24"/>
        </w:rPr>
        <w:t>Hypogl</w:t>
      </w:r>
      <w:r w:rsidR="008E0C17" w:rsidRPr="0035461C">
        <w:rPr>
          <w:rFonts w:ascii="Calibri" w:hAnsi="Calibri" w:cs="Calibri"/>
          <w:sz w:val="24"/>
          <w:szCs w:val="24"/>
        </w:rPr>
        <w:t>ycaemi</w:t>
      </w:r>
      <w:r w:rsidRPr="0035461C">
        <w:rPr>
          <w:rFonts w:ascii="Calibri" w:hAnsi="Calibri" w:cs="Calibri"/>
          <w:sz w:val="24"/>
          <w:szCs w:val="24"/>
        </w:rPr>
        <w:t>a is the</w:t>
      </w:r>
      <w:r w:rsidR="008965FB" w:rsidRPr="0035461C">
        <w:rPr>
          <w:rFonts w:ascii="Calibri" w:hAnsi="Calibri" w:cs="Calibri"/>
          <w:sz w:val="24"/>
          <w:szCs w:val="24"/>
        </w:rPr>
        <w:t xml:space="preserve"> main</w:t>
      </w:r>
      <w:r w:rsidRPr="0035461C">
        <w:rPr>
          <w:rFonts w:ascii="Calibri" w:hAnsi="Calibri" w:cs="Calibri"/>
          <w:sz w:val="24"/>
          <w:szCs w:val="24"/>
        </w:rPr>
        <w:t xml:space="preserve"> limiting factor in the glyc</w:t>
      </w:r>
      <w:r w:rsidR="00933D7B" w:rsidRPr="0035461C">
        <w:rPr>
          <w:rFonts w:ascii="Calibri" w:hAnsi="Calibri" w:cs="Calibri"/>
          <w:sz w:val="24"/>
          <w:szCs w:val="24"/>
        </w:rPr>
        <w:t>a</w:t>
      </w:r>
      <w:r w:rsidRPr="0035461C">
        <w:rPr>
          <w:rFonts w:ascii="Calibri" w:hAnsi="Calibri" w:cs="Calibri"/>
          <w:sz w:val="24"/>
          <w:szCs w:val="24"/>
        </w:rPr>
        <w:t xml:space="preserve">emic management of type 1 diabetes. </w:t>
      </w:r>
      <w:r w:rsidR="008965FB" w:rsidRPr="0035461C">
        <w:rPr>
          <w:rFonts w:ascii="Calibri" w:hAnsi="Calibri" w:cs="Calibri"/>
          <w:sz w:val="24"/>
          <w:szCs w:val="24"/>
        </w:rPr>
        <w:t>H</w:t>
      </w:r>
      <w:r w:rsidRPr="0035461C">
        <w:rPr>
          <w:rFonts w:ascii="Calibri" w:hAnsi="Calibri" w:cs="Calibri"/>
          <w:sz w:val="24"/>
          <w:szCs w:val="24"/>
        </w:rPr>
        <w:t>ypoglyc</w:t>
      </w:r>
      <w:r w:rsidR="00933D7B" w:rsidRPr="0035461C">
        <w:rPr>
          <w:rFonts w:ascii="Calibri" w:hAnsi="Calibri" w:cs="Calibri"/>
          <w:sz w:val="24"/>
          <w:szCs w:val="24"/>
        </w:rPr>
        <w:t>a</w:t>
      </w:r>
      <w:r w:rsidRPr="0035461C">
        <w:rPr>
          <w:rFonts w:ascii="Calibri" w:hAnsi="Calibri" w:cs="Calibri"/>
          <w:sz w:val="24"/>
          <w:szCs w:val="24"/>
        </w:rPr>
        <w:t>emia</w:t>
      </w:r>
      <w:r w:rsidR="008965FB" w:rsidRPr="0035461C">
        <w:rPr>
          <w:rFonts w:ascii="Calibri" w:hAnsi="Calibri" w:cs="Calibri"/>
          <w:sz w:val="24"/>
          <w:szCs w:val="24"/>
        </w:rPr>
        <w:t xml:space="preserve"> is classified into three levels</w:t>
      </w:r>
      <w:r w:rsidR="009957B3" w:rsidRPr="0035461C">
        <w:rPr>
          <w:rFonts w:ascii="Calibri" w:hAnsi="Calibri" w:cs="Calibri"/>
          <w:sz w:val="24"/>
          <w:szCs w:val="24"/>
        </w:rPr>
        <w:t>.</w:t>
      </w:r>
      <w:r w:rsidR="00B92FA7" w:rsidRPr="0035461C">
        <w:rPr>
          <w:rFonts w:ascii="Calibri" w:hAnsi="Calibri" w:cs="Calibri"/>
          <w:sz w:val="24"/>
          <w:szCs w:val="24"/>
        </w:rPr>
        <w:t xml:space="preserve"> Although these were originally developed for clinical trials reporting, they are useful clinical constructs.</w:t>
      </w:r>
      <w:r w:rsidR="00E615B3" w:rsidRPr="0035461C">
        <w:rPr>
          <w:rFonts w:ascii="Calibri" w:hAnsi="Calibri" w:cs="Calibri"/>
          <w:sz w:val="24"/>
          <w:szCs w:val="24"/>
        </w:rPr>
        <w:t xml:space="preserve"> </w:t>
      </w:r>
      <w:r w:rsidRPr="0035461C">
        <w:rPr>
          <w:rFonts w:ascii="Calibri" w:hAnsi="Calibri" w:cs="Calibri"/>
          <w:sz w:val="24"/>
          <w:szCs w:val="24"/>
        </w:rPr>
        <w:t>Level 1 corresponds to a glucose value below 70 mg/</w:t>
      </w:r>
      <w:proofErr w:type="spellStart"/>
      <w:r w:rsidRPr="0035461C">
        <w:rPr>
          <w:rFonts w:ascii="Calibri" w:hAnsi="Calibri" w:cs="Calibri"/>
          <w:sz w:val="24"/>
          <w:szCs w:val="24"/>
        </w:rPr>
        <w:t>dL</w:t>
      </w:r>
      <w:proofErr w:type="spellEnd"/>
      <w:r w:rsidR="00933D7B" w:rsidRPr="0035461C">
        <w:rPr>
          <w:rFonts w:ascii="Calibri" w:hAnsi="Calibri" w:cs="Calibri"/>
          <w:sz w:val="24"/>
          <w:szCs w:val="24"/>
        </w:rPr>
        <w:t xml:space="preserve"> (3.9 </w:t>
      </w:r>
      <w:proofErr w:type="spellStart"/>
      <w:r w:rsidR="00933D7B" w:rsidRPr="0035461C">
        <w:rPr>
          <w:rFonts w:ascii="Calibri" w:hAnsi="Calibri" w:cs="Calibri"/>
          <w:sz w:val="24"/>
          <w:szCs w:val="24"/>
        </w:rPr>
        <w:t>mmol</w:t>
      </w:r>
      <w:proofErr w:type="spellEnd"/>
      <w:r w:rsidR="00933D7B" w:rsidRPr="0035461C">
        <w:rPr>
          <w:rFonts w:ascii="Calibri" w:hAnsi="Calibri" w:cs="Calibri"/>
          <w:sz w:val="24"/>
          <w:szCs w:val="24"/>
        </w:rPr>
        <w:t>/l)</w:t>
      </w:r>
      <w:r w:rsidR="0058033D" w:rsidRPr="0035461C">
        <w:rPr>
          <w:rFonts w:ascii="Calibri" w:hAnsi="Calibri" w:cs="Calibri"/>
          <w:sz w:val="24"/>
          <w:szCs w:val="24"/>
        </w:rPr>
        <w:t xml:space="preserve"> and </w:t>
      </w:r>
      <w:r w:rsidR="009D2D0B" w:rsidRPr="0035461C">
        <w:rPr>
          <w:rFonts w:ascii="Calibri" w:hAnsi="Calibri" w:cs="Calibri"/>
          <w:sz w:val="24"/>
          <w:szCs w:val="24"/>
        </w:rPr>
        <w:t xml:space="preserve">greater than or equal to </w:t>
      </w:r>
      <w:r w:rsidR="0058033D" w:rsidRPr="0035461C">
        <w:rPr>
          <w:rFonts w:ascii="Calibri" w:hAnsi="Calibri" w:cs="Calibri"/>
          <w:sz w:val="24"/>
          <w:szCs w:val="24"/>
        </w:rPr>
        <w:t>54 mg/dl</w:t>
      </w:r>
      <w:r w:rsidRPr="0035461C">
        <w:rPr>
          <w:rFonts w:ascii="Calibri" w:hAnsi="Calibri" w:cs="Calibri"/>
          <w:sz w:val="24"/>
          <w:szCs w:val="24"/>
        </w:rPr>
        <w:t xml:space="preserve"> </w:t>
      </w:r>
      <w:r w:rsidR="0019450E" w:rsidRPr="0035461C">
        <w:rPr>
          <w:rFonts w:ascii="Calibri" w:hAnsi="Calibri" w:cs="Calibri"/>
          <w:sz w:val="24"/>
          <w:szCs w:val="24"/>
        </w:rPr>
        <w:t xml:space="preserve">(3.0 </w:t>
      </w:r>
      <w:proofErr w:type="spellStart"/>
      <w:r w:rsidR="0019450E" w:rsidRPr="0035461C">
        <w:rPr>
          <w:rFonts w:ascii="Calibri" w:hAnsi="Calibri" w:cs="Calibri"/>
          <w:sz w:val="24"/>
          <w:szCs w:val="24"/>
        </w:rPr>
        <w:t>mmol</w:t>
      </w:r>
      <w:proofErr w:type="spellEnd"/>
      <w:r w:rsidR="0019450E" w:rsidRPr="0035461C">
        <w:rPr>
          <w:rFonts w:ascii="Calibri" w:hAnsi="Calibri" w:cs="Calibri"/>
          <w:sz w:val="24"/>
          <w:szCs w:val="24"/>
        </w:rPr>
        <w:t xml:space="preserve">/l) </w:t>
      </w:r>
      <w:r w:rsidRPr="0035461C">
        <w:rPr>
          <w:rFonts w:ascii="Calibri" w:hAnsi="Calibri" w:cs="Calibri"/>
          <w:sz w:val="24"/>
          <w:szCs w:val="24"/>
        </w:rPr>
        <w:t>and is named as an alert value. Level 2 is for glucose values below 54 mg/</w:t>
      </w:r>
      <w:proofErr w:type="spellStart"/>
      <w:r w:rsidRPr="0035461C">
        <w:rPr>
          <w:rFonts w:ascii="Calibri" w:hAnsi="Calibri" w:cs="Calibri"/>
          <w:sz w:val="24"/>
          <w:szCs w:val="24"/>
        </w:rPr>
        <w:t>dL</w:t>
      </w:r>
      <w:proofErr w:type="spellEnd"/>
      <w:r w:rsidR="00933D7B" w:rsidRPr="0035461C">
        <w:rPr>
          <w:rFonts w:ascii="Calibri" w:hAnsi="Calibri" w:cs="Calibri"/>
          <w:sz w:val="24"/>
          <w:szCs w:val="24"/>
        </w:rPr>
        <w:t xml:space="preserve"> (3.0 </w:t>
      </w:r>
      <w:proofErr w:type="spellStart"/>
      <w:r w:rsidR="00933D7B" w:rsidRPr="0035461C">
        <w:rPr>
          <w:rFonts w:ascii="Calibri" w:hAnsi="Calibri" w:cs="Calibri"/>
          <w:sz w:val="24"/>
          <w:szCs w:val="24"/>
        </w:rPr>
        <w:t>mmol</w:t>
      </w:r>
      <w:proofErr w:type="spellEnd"/>
      <w:r w:rsidR="00933D7B" w:rsidRPr="0035461C">
        <w:rPr>
          <w:rFonts w:ascii="Calibri" w:hAnsi="Calibri" w:cs="Calibri"/>
          <w:sz w:val="24"/>
          <w:szCs w:val="24"/>
        </w:rPr>
        <w:t>/l)</w:t>
      </w:r>
      <w:r w:rsidRPr="0035461C">
        <w:rPr>
          <w:rFonts w:ascii="Calibri" w:hAnsi="Calibri" w:cs="Calibri"/>
          <w:sz w:val="24"/>
          <w:szCs w:val="24"/>
        </w:rPr>
        <w:t xml:space="preserve"> and considered clinically-important hypogl</w:t>
      </w:r>
      <w:r w:rsidR="008E0C17" w:rsidRPr="0035461C">
        <w:rPr>
          <w:rFonts w:ascii="Calibri" w:hAnsi="Calibri" w:cs="Calibri"/>
          <w:sz w:val="24"/>
          <w:szCs w:val="24"/>
        </w:rPr>
        <w:t>ycaemi</w:t>
      </w:r>
      <w:r w:rsidRPr="0035461C">
        <w:rPr>
          <w:rFonts w:ascii="Calibri" w:hAnsi="Calibri" w:cs="Calibri"/>
          <w:sz w:val="24"/>
          <w:szCs w:val="24"/>
        </w:rPr>
        <w:t xml:space="preserve">a. </w:t>
      </w:r>
      <w:r w:rsidR="009D2D0B" w:rsidRPr="0035461C">
        <w:rPr>
          <w:rFonts w:ascii="Calibri" w:hAnsi="Calibri" w:cs="Calibri"/>
          <w:sz w:val="24"/>
          <w:szCs w:val="24"/>
        </w:rPr>
        <w:t>Level 3 designates any hypoglycaemia characterized by altered mental state and/or physical status needing the intervention of a third party for recovery</w:t>
      </w:r>
      <w:r w:rsidR="008965FB" w:rsidRPr="0035461C">
        <w:rPr>
          <w:rFonts w:ascii="Calibri" w:hAnsi="Calibri" w:cs="Calibri"/>
          <w:sz w:val="24"/>
          <w:szCs w:val="24"/>
        </w:rPr>
        <w:t xml:space="preserve"> </w:t>
      </w:r>
      <w:r w:rsidR="00654F65" w:rsidRPr="0035461C">
        <w:rPr>
          <w:rFonts w:ascii="Calibri" w:hAnsi="Calibri" w:cs="Calibri"/>
          <w:sz w:val="24"/>
          <w:szCs w:val="24"/>
        </w:rPr>
        <w:fldChar w:fldCharType="begin"/>
      </w:r>
      <w:r w:rsidR="00076F77">
        <w:rPr>
          <w:rFonts w:ascii="Calibri" w:hAnsi="Calibri" w:cs="Calibri"/>
          <w:sz w:val="24"/>
          <w:szCs w:val="24"/>
        </w:rPr>
        <w:instrText xml:space="preserve"> ADDIN ZOTERO_ITEM CSL_CITATION {"citationID":"tnyhgAZO","properties":{"formattedCitation":"(99)","plainCitation":"(99)","noteIndex":0},"citationItems":[{"id":2650,"uris":["http://zotero.org/groups/369679/items/TMYLY63K"],"uri":["http://zotero.org/groups/369679/items/TMYLY63K"],"itemData":{"id":2650,"type":"article-journal","container-title":"Diabetes Care","DOI":"10.2337/dc16-2215","ISSN":"1935-5548","issue":"1","journalAbbreviation":"Diabetes Care","language":"eng","note":"PMID: 27872155","page":"155-157","source":"PubMed","title":"Glucose Concentrations of Less Than 3.0 mmol/L (54 mg/dL) Should Be Reported in Clinical Trials: A Joint Position Statement of the American Diabetes Association and the European Association for the Study of Diabetes","title-short":"Glucose Concentrations of Less Than 3.0 mmol/L (54 mg/dL) Should Be Reported in Clinical Trials","volume":"40","author":[{"literal":"International Hypoglycaemia Study Group"}],"issued":{"date-parts":[["2017",1]]}}}],"schema":"https://github.com/citation-style-language/schema/raw/master/csl-citation.json"} </w:instrText>
      </w:r>
      <w:r w:rsidR="00654F65" w:rsidRPr="0035461C">
        <w:rPr>
          <w:rFonts w:ascii="Calibri" w:hAnsi="Calibri" w:cs="Calibri"/>
          <w:sz w:val="24"/>
          <w:szCs w:val="24"/>
        </w:rPr>
        <w:fldChar w:fldCharType="separate"/>
      </w:r>
      <w:r w:rsidR="00076F77" w:rsidRPr="00076F77">
        <w:rPr>
          <w:rFonts w:ascii="Calibri" w:hAnsi="Calibri" w:cs="Calibri"/>
          <w:sz w:val="24"/>
        </w:rPr>
        <w:t>(99)</w:t>
      </w:r>
      <w:r w:rsidR="00654F65" w:rsidRPr="0035461C">
        <w:rPr>
          <w:rFonts w:ascii="Calibri" w:hAnsi="Calibri" w:cs="Calibri"/>
          <w:sz w:val="24"/>
          <w:szCs w:val="24"/>
        </w:rPr>
        <w:fldChar w:fldCharType="end"/>
      </w:r>
      <w:r w:rsidR="008965FB" w:rsidRPr="0035461C">
        <w:rPr>
          <w:rFonts w:ascii="Calibri" w:hAnsi="Calibri" w:cs="Calibri"/>
          <w:sz w:val="24"/>
          <w:szCs w:val="24"/>
        </w:rPr>
        <w:t>.</w:t>
      </w:r>
      <w:r w:rsidRPr="0035461C">
        <w:rPr>
          <w:rFonts w:ascii="Calibri" w:hAnsi="Calibri" w:cs="Calibri"/>
          <w:sz w:val="24"/>
          <w:szCs w:val="24"/>
        </w:rPr>
        <w:t xml:space="preserve"> </w:t>
      </w:r>
      <w:r w:rsidR="00B92FA7" w:rsidRPr="0035461C">
        <w:rPr>
          <w:rFonts w:ascii="Calibri" w:hAnsi="Calibri" w:cs="Calibri"/>
          <w:sz w:val="24"/>
          <w:szCs w:val="24"/>
        </w:rPr>
        <w:t>Particular attention should be made to prevent level 2 and 3 hypoglycaemia.</w:t>
      </w:r>
    </w:p>
    <w:p w14:paraId="53BBFFA9" w14:textId="38096DF1" w:rsidR="00567D76" w:rsidRPr="0035461C" w:rsidRDefault="00837318" w:rsidP="00837318">
      <w:pPr>
        <w:pStyle w:val="CommentText"/>
        <w:jc w:val="both"/>
        <w:rPr>
          <w:rFonts w:ascii="Calibri" w:hAnsi="Calibri" w:cs="Calibri"/>
          <w:sz w:val="24"/>
          <w:szCs w:val="24"/>
        </w:rPr>
      </w:pPr>
      <w:r w:rsidRPr="0035461C">
        <w:rPr>
          <w:rFonts w:ascii="Calibri" w:hAnsi="Calibri" w:cs="Calibri"/>
          <w:sz w:val="24"/>
          <w:szCs w:val="24"/>
        </w:rPr>
        <w:t>Level 1 hypoglycaemia is common, with most people with type 1 diabetes experiencing several episodes per week. Hypoglycaemia with glucose levels below 54 mg/</w:t>
      </w:r>
      <w:proofErr w:type="spellStart"/>
      <w:r w:rsidRPr="0035461C">
        <w:rPr>
          <w:rFonts w:ascii="Calibri" w:hAnsi="Calibri" w:cs="Calibri"/>
          <w:sz w:val="24"/>
          <w:szCs w:val="24"/>
        </w:rPr>
        <w:t>dL</w:t>
      </w:r>
      <w:proofErr w:type="spellEnd"/>
      <w:r w:rsidRPr="0035461C">
        <w:rPr>
          <w:rFonts w:ascii="Calibri" w:hAnsi="Calibri" w:cs="Calibri"/>
          <w:sz w:val="24"/>
          <w:szCs w:val="24"/>
        </w:rPr>
        <w:t xml:space="preserve"> (3.0 </w:t>
      </w:r>
      <w:proofErr w:type="spellStart"/>
      <w:r w:rsidRPr="0035461C">
        <w:rPr>
          <w:rFonts w:ascii="Calibri" w:hAnsi="Calibri" w:cs="Calibri"/>
          <w:sz w:val="24"/>
          <w:szCs w:val="24"/>
        </w:rPr>
        <w:t>mmol</w:t>
      </w:r>
      <w:proofErr w:type="spellEnd"/>
      <w:r w:rsidRPr="0035461C">
        <w:rPr>
          <w:rFonts w:ascii="Calibri" w:hAnsi="Calibri" w:cs="Calibri"/>
          <w:sz w:val="24"/>
          <w:szCs w:val="24"/>
        </w:rPr>
        <w:t xml:space="preserve">/l) occurs much more often than previously appreciated </w:t>
      </w:r>
      <w:r w:rsidR="004C40D4" w:rsidRPr="0035461C">
        <w:rPr>
          <w:rFonts w:ascii="Calibri" w:hAnsi="Calibri" w:cs="Calibri"/>
          <w:sz w:val="24"/>
          <w:szCs w:val="24"/>
        </w:rPr>
        <w:fldChar w:fldCharType="begin"/>
      </w:r>
      <w:r w:rsidR="00076F77">
        <w:rPr>
          <w:rFonts w:ascii="Calibri" w:hAnsi="Calibri" w:cs="Calibri"/>
          <w:sz w:val="24"/>
          <w:szCs w:val="24"/>
        </w:rPr>
        <w:instrText xml:space="preserve"> ADDIN ZOTERO_ITEM CSL_CITATION {"citationID":"ROpDxvJJ","properties":{"formattedCitation":"(46,100)","plainCitation":"(46,100)","noteIndex":0},"citationItems":[{"id":11476,"uris":["http://zotero.org/groups/369679/items/RT7F66MB"],"uri":["http://zotero.org/groups/369679/items/RT7F66MB"],"itemData":{"id":11476,"type":"article-journal","abstract":"OBJECTIVE: To investigate the association between treatment-induced change in continuous glucose monitoring (CGM) time in range (TIR) and albuminuria in persons with type 1 diabetes (T1D) treated with sensor-augmented insulin pumps (SAP).\nRESEARCH DESIGN AND METHODS: Twenty-six out of 55 participants with albuminuria and multiple daily injection therapy (25% females; median 51 [interquartile range 46-63] years of age; glycated hemoglobin A1c (HbA1c) 75 [68-88] mmol/mol [9.0% (8.4-10.4%)]; and urinary albumin-to-creatinine ratio (UACR) 89 [37-250] mg/g) were in a randomized controlled trial assigned to SAP therapy for 1 year. Anthropometrics, CGM data, and blood and urine samples were collected every 3 months.\nRESULTS: Mean change (95% CI) in percentage of TIR (%TIR) was 13.2% (6.2; 20.2), in HbA1c was -14.4 (-17.4; -10.5) mmol/mol (-1.3% [-1.6; -1.0]), and in UACR was -15% (-38; 17) (all P &lt; 0.05). UACR decreased by 19% (10; 28) per 10% increase in %TIR (P = 0.04), 18% (1; 30) per 10 mmol/mol decrease in HbA1c (P = 0.07), and 31% per 10-mmHg decrease in mean arterial pressure (P &lt; 0.001).\nCONCLUSIONS: In this longitudinal study, treatment-induced increase in %TIR was significantly associated with decrease in albuminuria in T1D.","container-title":"Diabetes Care","DOI":"10.2337/dc20-0909","ISSN":"1935-5548","issue":"11","journalAbbreviation":"Diabetes Care","language":"eng","note":"PMID: 32887707","page":"2882-2885","source":"PubMed","title":"Improved Time in Range Over 1 Year Is Associated With Reduced Albuminuria in Individuals With Sensor-Augmented Insulin Pump-Treated Type 1 Diabetes","volume":"43","author":[{"family":"Ranjan","given":"Ajenthen G."},{"family":"Rosenlund","given":"Signe V."},{"family":"Hansen","given":"Tine W."},{"family":"Rossing","given":"Peter"},{"family":"Andersen","given":"Steen"},{"family":"Nørgaard","given":"Kirsten"}],"issued":{"date-parts":[["2020",11]]}}},{"id":3714,"uris":["http://zotero.org/groups/369679/items/A872AUAJ"],"uri":["http://zotero.org/groups/369679/items/A872AUAJ"],"itemData":{"id":3714,"type":"article-journal","abstract":"BACKGROUND: The effectiveness of real-time continuous glucose monitoring (rtCGM) in avoidance of hypoglycaemia among high-risk individuals with type 1 diabetes treated with multiple daily insulin injections (MDI) is unknown. We aimed to ascertain whether the incidence and severity of hypoglycaemia can be reduced through use of rtCGM in these individuals.\nMETHODS: The HypoDE study was a 6-month, multicentre, open-label, parallel, randomised controlled trial done at 12 diabetes practices in Germany. Eligible participants had type 1 diabetes and a history of impaired hypoglycaemia awareness or severe hypoglycaemia during the previous year. All participants wore a masked rtCGM system for 28 days and were then randomly assigned to 26 weeks of unmasked rtCGM (Dexcom G5 Mobile system) or to the control group (continuing with self-monitoring of blood glucose). Block randomisation with 1:1 allocation was done centrally, with the study site as the stratifying variable. Masking of participants and study sites was not possible. Control participants wore a masked rtCGM system during the follow-up phase (weeks 22-26). The primary outcome was the baseline-adjusted number of hypoglycaemic events (defined as glucose ≤3·0 mmol/L for ≥20 min) during the follow-up phase. The full dataset analysis comprised participants who wore the rtCGM system during the baseline and follow-up phases. The intention-to-treat analysis comprised all randomised participants. This trial is registered with ClinicalTrials.gov, number NCT02671968.\nFINDINGS: Between March 4, 2016, and Jan 12, 2017, 149 participants were randomly assigned (n=74 to the control group; n=75 to the rtCGM group) and 141 completed the follow-up phase (n=66 in the control group, n=75 in the rtCGM group). The mean number of hypoglycaemic events per 28 days among participants in the rtCGM group was reduced from 10·8 (SD 10·0) to 3·5 (4·7); reductions among control participants were negligible (from 14·4 [12·4] to 13·7 [11·6]). Incidence of hypoglycaemic events decreased by 72% for participants in the rtCGM group (incidence rate ratio 0·28 [95% CI 0·20-0·39], p&lt;0·0001). 18 serious adverse events were reported: seven in the control group, ten in the rtCGM group, and one before randomisation. No event was considered to be related to the investigational device.\nINTERPRETATION: Usage of rtCGM reduced the number of hypoglycaemic events in individuals with type 1 diabetes treated by MDI and with impaired hypoglycaemia awareness or severe hypoglycaemia.\nFUNDING: Dexcom Inc.","container-title":"Lancet (London, England)","DOI":"10.1016/S0140-6736(18)30297-6","ISSN":"1474-547X","issue":"10128","journalAbbreviation":"Lancet","language":"eng","note":"PMID: 29459019","page":"1367-1377","source":"PubMed","title":"Real-time continuous glucose monitoring in adults with type 1 diabetes and impaired hypoglycaemia awareness or severe hypoglycaemia treated with multiple daily insulin injections (HypoDE): a multicentre, randomised controlled trial","title-short":"Real-time continuous glucose monitoring in adults with type 1 diabetes and impaired hypoglycaemia awareness or severe hypoglycaemia treated with multiple daily insulin injections (HypoDE)","volume":"391","author":[{"family":"Heinemann","given":"Lutz"},{"family":"Freckmann","given":"Guido"},{"family":"Ehrmann","given":"Dominic"},{"family":"Faber-Heinemann","given":"Gabriele"},{"family":"Guerra","given":"Stefania"},{"family":"Waldenmaier","given":"Delia"},{"family":"Hermanns","given":"Norbert"}],"issued":{"date-parts":[["2018"]],"season":"07"}}}],"schema":"https://github.com/citation-style-language/schema/raw/master/csl-citation.json"} </w:instrText>
      </w:r>
      <w:r w:rsidR="004C40D4" w:rsidRPr="0035461C">
        <w:rPr>
          <w:rFonts w:ascii="Calibri" w:hAnsi="Calibri" w:cs="Calibri"/>
          <w:sz w:val="24"/>
          <w:szCs w:val="24"/>
        </w:rPr>
        <w:fldChar w:fldCharType="separate"/>
      </w:r>
      <w:r w:rsidR="00076F77" w:rsidRPr="00076F77">
        <w:rPr>
          <w:rFonts w:ascii="Calibri" w:hAnsi="Calibri" w:cs="Calibri"/>
          <w:sz w:val="24"/>
        </w:rPr>
        <w:t>(46,100)</w:t>
      </w:r>
      <w:r w:rsidR="004C40D4" w:rsidRPr="0035461C">
        <w:rPr>
          <w:rFonts w:ascii="Calibri" w:hAnsi="Calibri" w:cs="Calibri"/>
          <w:sz w:val="24"/>
          <w:szCs w:val="24"/>
        </w:rPr>
        <w:fldChar w:fldCharType="end"/>
      </w:r>
      <w:r w:rsidR="008965FB" w:rsidRPr="0035461C">
        <w:rPr>
          <w:rFonts w:ascii="Calibri" w:hAnsi="Calibri" w:cs="Calibri"/>
          <w:sz w:val="24"/>
          <w:szCs w:val="24"/>
        </w:rPr>
        <w:t>.</w:t>
      </w:r>
      <w:r w:rsidRPr="0035461C">
        <w:rPr>
          <w:rFonts w:ascii="Calibri" w:hAnsi="Calibri" w:cs="Calibri"/>
          <w:sz w:val="24"/>
          <w:szCs w:val="24"/>
        </w:rPr>
        <w:t xml:space="preserve"> </w:t>
      </w:r>
      <w:r w:rsidR="00A765E6">
        <w:rPr>
          <w:rFonts w:ascii="Calibri" w:hAnsi="Calibri" w:cs="Calibri"/>
          <w:sz w:val="24"/>
          <w:szCs w:val="24"/>
        </w:rPr>
        <w:t>Level 3 hypo</w:t>
      </w:r>
      <w:r w:rsidRPr="0035461C">
        <w:rPr>
          <w:rFonts w:ascii="Calibri" w:hAnsi="Calibri" w:cs="Calibri"/>
          <w:sz w:val="24"/>
          <w:szCs w:val="24"/>
        </w:rPr>
        <w:t xml:space="preserve">glycaemia is less common but </w:t>
      </w:r>
      <w:r w:rsidR="00CD3EB1" w:rsidRPr="0035461C">
        <w:rPr>
          <w:sz w:val="24"/>
          <w:szCs w:val="24"/>
        </w:rPr>
        <w:t>occurred in 12% of adults with type 1 diabetes over a 6-month period in a recent global observational analysis</w:t>
      </w:r>
      <w:r w:rsidR="00DB665E" w:rsidRPr="0035461C">
        <w:rPr>
          <w:sz w:val="24"/>
          <w:szCs w:val="24"/>
        </w:rPr>
        <w:t xml:space="preserve"> </w:t>
      </w:r>
      <w:r w:rsidR="00DB665E" w:rsidRPr="0035461C">
        <w:rPr>
          <w:sz w:val="24"/>
          <w:szCs w:val="24"/>
        </w:rPr>
        <w:fldChar w:fldCharType="begin"/>
      </w:r>
      <w:r w:rsidR="00076F77">
        <w:rPr>
          <w:sz w:val="24"/>
          <w:szCs w:val="24"/>
        </w:rPr>
        <w:instrText xml:space="preserve"> ADDIN ZOTERO_ITEM CSL_CITATION {"citationID":"X7rJ22IV","properties":{"formattedCitation":"(101)","plainCitation":"(101)","noteIndex":0},"citationItems":[{"id":11486,"uris":["http://zotero.org/groups/369679/items/29CD8EG9"],"uri":["http://zotero.org/groups/369679/items/29CD8EG9"],"itemData":{"id":11486,"type":"article-journal","abstract":"AIMS: To describe glycaemic control and diabetes management in adults with type 1 diabetes (T1DM), in a real-life global setting.\nMATERIALS AND METHODS: Study of Adults' GlycEmia (SAGE) was a multinational, multicentre, single visit, noninterventional, cross-sectional study in adult patients with T1DM. Data were collected at a single visit, analysed according to predefined age groups (26-44, 45-64 and ≥65 years) and reported across different regions. The primary endpoint was the proportion of participants achieving HbA1c  less than 7.0 % in each age group. Secondary endpoints included incidence of hypoglycaemia, severe hypoglycaemia and severe hyperglycaemia leading to diabetic ketoacidosis (DKA) and therapeutic management of T1DM.\nRESULTS: Of 3903 included participants, 3858 (98.8%) were eligible for the study. Overall, 24.3% (95% confidence interval [CI]: 22.9-25.6) of participants achieved the glycaemic target of HbA1c  less than 7.0 %, with more participants achieving this target in the 26-44 years group (27.6% [95% CI: 25.5-29.8]). Target achievement was highest in Eastern and Western Europe, and lowest in the Middle East. The incidence of hypoglycaemia and of severe hyperglycaemia leading to DKA tended to decrease with age, and varied across regions. Age and regional differences were observed in therapeutic management, including types of device/insulin usage, frequency of insulin dose adjustment and technology usage.\nCONCLUSIONS: Glycaemic control remains poor in adults with T1DM globally. Several areas of treatment may be optimised to improve outcomes, including supporting patient self-management of insulin therapy, increasing use of technologies such as CGM, and greater provision of healthcare support.","container-title":"Diabetes/Metabolism Research and Reviews","DOI":"10.1002/dmrr.3430","ISSN":"1520-7560","journalAbbreviation":"Diabetes Metab Res Rev","language":"eng","note":"PMID: 33369842","page":"e3430","source":"PubMed","title":"The SAGE study: Global observational analysis of glycaemic control, hypoglycaemia and diabetes management in T1DM","title-short":"The SAGE study","author":[{"family":"Renard","given":"Eric"},{"family":"Ikegami","given":"Hiroshi"},{"family":"Daher Vianna","given":"André Gustavo"},{"family":"Pozzilli","given":"Paolo"},{"family":"Brette","given":"Sandrine"},{"family":"Bosnyak","given":"Zsolt"},{"family":"Lauand","given":"Felipe"},{"family":"Peters","given":"Anne"},{"family":"Pilorget","given":"Valerie"},{"family":"Jurišić-Eržen","given":"Dubravka"},{"family":"Kesavadev","given":"Jothydev"},{"family":"Seufert","given":"Jochen"},{"family":"Wilmot","given":"Emma G."}],"issued":{"date-parts":[["2020",12,28]]}}}],"schema":"https://github.com/citation-style-language/schema/raw/master/csl-citation.json"} </w:instrText>
      </w:r>
      <w:r w:rsidR="00DB665E" w:rsidRPr="0035461C">
        <w:rPr>
          <w:sz w:val="24"/>
          <w:szCs w:val="24"/>
        </w:rPr>
        <w:fldChar w:fldCharType="separate"/>
      </w:r>
      <w:r w:rsidR="00076F77" w:rsidRPr="00076F77">
        <w:rPr>
          <w:rFonts w:ascii="Calibri" w:hAnsi="Calibri" w:cs="Calibri"/>
          <w:sz w:val="24"/>
        </w:rPr>
        <w:t>(101)</w:t>
      </w:r>
      <w:r w:rsidR="00DB665E" w:rsidRPr="0035461C">
        <w:rPr>
          <w:sz w:val="24"/>
          <w:szCs w:val="24"/>
        </w:rPr>
        <w:fldChar w:fldCharType="end"/>
      </w:r>
      <w:r w:rsidR="00CD3EB1" w:rsidRPr="0035461C">
        <w:rPr>
          <w:sz w:val="24"/>
          <w:szCs w:val="24"/>
        </w:rPr>
        <w:t>.</w:t>
      </w:r>
      <w:r w:rsidR="00CD3EB1" w:rsidRPr="0035461C">
        <w:rPr>
          <w:rFonts w:ascii="Calibri" w:hAnsi="Calibri" w:cs="Calibri"/>
          <w:sz w:val="24"/>
          <w:szCs w:val="24"/>
        </w:rPr>
        <w:t xml:space="preserve"> </w:t>
      </w:r>
      <w:r w:rsidRPr="0035461C">
        <w:rPr>
          <w:rFonts w:ascii="Calibri" w:hAnsi="Calibri" w:cs="Calibri"/>
          <w:sz w:val="24"/>
          <w:szCs w:val="24"/>
        </w:rPr>
        <w:t>Several studies have shown that rates of hypogl</w:t>
      </w:r>
      <w:r w:rsidR="008E0C17" w:rsidRPr="0035461C">
        <w:rPr>
          <w:rFonts w:ascii="Calibri" w:hAnsi="Calibri" w:cs="Calibri"/>
          <w:sz w:val="24"/>
          <w:szCs w:val="24"/>
        </w:rPr>
        <w:t>ycaemi</w:t>
      </w:r>
      <w:r w:rsidRPr="0035461C">
        <w:rPr>
          <w:rFonts w:ascii="Calibri" w:hAnsi="Calibri" w:cs="Calibri"/>
          <w:sz w:val="24"/>
          <w:szCs w:val="24"/>
        </w:rPr>
        <w:t xml:space="preserve">a have not declined even with more widespread use of insulin analogues and CGM, while other studies have shown </w:t>
      </w:r>
      <w:r w:rsidR="002B4076" w:rsidRPr="0035461C">
        <w:rPr>
          <w:rFonts w:ascii="Calibri" w:hAnsi="Calibri" w:cs="Calibri"/>
          <w:sz w:val="24"/>
          <w:szCs w:val="24"/>
        </w:rPr>
        <w:t>benefit</w:t>
      </w:r>
      <w:r w:rsidR="008965FB" w:rsidRPr="0035461C">
        <w:rPr>
          <w:rFonts w:ascii="Calibri" w:hAnsi="Calibri" w:cs="Calibri"/>
          <w:sz w:val="24"/>
          <w:szCs w:val="24"/>
        </w:rPr>
        <w:t xml:space="preserve"> with these therapeutic advances </w:t>
      </w:r>
      <w:r w:rsidR="007112F7" w:rsidRPr="0035461C">
        <w:rPr>
          <w:rFonts w:ascii="Calibri" w:hAnsi="Calibri" w:cs="Calibri"/>
          <w:sz w:val="24"/>
          <w:szCs w:val="24"/>
        </w:rPr>
        <w:fldChar w:fldCharType="begin"/>
      </w:r>
      <w:r w:rsidR="00076F77">
        <w:rPr>
          <w:rFonts w:ascii="Calibri" w:hAnsi="Calibri" w:cs="Calibri"/>
          <w:sz w:val="24"/>
          <w:szCs w:val="24"/>
        </w:rPr>
        <w:instrText xml:space="preserve"> ADDIN ZOTERO_ITEM CSL_CITATION {"citationID":"PyWh9z2N","properties":{"formattedCitation":"(41)","plainCitation":"(41)","noteIndex":0},"citationItems":[{"id":11012,"uris":["http://zotero.org/groups/369679/items/4WPLFB37"],"uri":["http://zotero.org/groups/369679/items/4WPLFB37"],"itemData":{"id":11012,"type":"article-journal","abstract":"CONTEXT: Few studies have assessed factors associated with severe hypoglycemia (SH) and diabetic ketoacidosis (DKA) in adults with type 1 diabetes (T1D).\nOBJECTIVE: Our objective was to determine frequency of and factors associated with the occurrence of SH and DKA in adults with T1D.\nDESIGN AND SETTING: We conducted a cross-sectional analysis from the T1D Exchange clinic registry at 70 U.S. endocrinology centers.\nPATIENTS: Analysis included 7012 participants in the T1D Exchange clinic registry aged 26 to 93 years old with T1D for ≥2 years.\nRESULTS: Higher frequencies of SH and DKA were associated with lower socioeconomic status (P &lt; .001). SH was strongly associated with diabetes duration (P &lt; .001), with 18.6% of those with diabetes ≥40 years having an event in the past 12 months. SH frequency was lowest in those with hemoglobin A1c (HbA1c) levels of 7.0% (53 mmol/mol) to 7.5% (58 mmol/mol), being higher in those with HbA1c levels &lt;7.0% (&lt;53 mmol/mol) or &gt;7.5% (&gt;58 mmol/mol). DKA frequency increased with higher HbA1c levels (P &lt; .001), with 21.0% of those with HbA1c ≥10.0% (≥86 mmol/mol) having an event in the past 12 months.\nCONCLUSIONS: SH and DKA are more common in those with lower socioeconomic status. DKA, most common in those with HbA1c ≥10.0% (≥86 mmol/mol), should be largely preventable. In contrast, SH, most frequent with diabetes ≥40 years duration, cannot be abolished given the limitation of current therapies. To reduce SH in adults with longstanding diabetes, consideration should be given to modifying HbA1c goals, particularly in patients with very low HbA1c levels.","container-title":"The Journal of Clinical Endocrinology and Metabolism","DOI":"10.1210/jc.2013-1589","ISSN":"1945-7197","issue":"8","journalAbbreviation":"J Clin Endocrinol Metab","language":"eng","note":"PMID: 23760624","page":"3411-3419","source":"PubMed","title":"Severe hypoglycemia and diabetic ketoacidosis in adults with type 1 diabetes: results from the T1D Exchange clinic registry","title-short":"Severe hypoglycemia and diabetic ketoacidosis in adults with type 1 diabetes","volume":"98","author":[{"family":"Weinstock","given":"Ruth S."},{"family":"Xing","given":"Dongyuan"},{"family":"Maahs","given":"David M."},{"family":"Michels","given":"Aaron"},{"family":"Rickels","given":"Michael R."},{"family":"Peters","given":"Anne L."},{"family":"Bergenstal","given":"Richard M."},{"family":"Harris","given":"Breanne"},{"family":"Dubose","given":"Stephanie N."},{"family":"Miller","given":"Kellee M."},{"family":"Beck","given":"Roy W."},{"literal":"T1D Exchange Clinic Network"}],"issued":{"date-parts":[["2013",8]]}}}],"schema":"https://github.com/citation-style-language/schema/raw/master/csl-citation.json"} </w:instrText>
      </w:r>
      <w:r w:rsidR="007112F7" w:rsidRPr="0035461C">
        <w:rPr>
          <w:rFonts w:ascii="Calibri" w:hAnsi="Calibri" w:cs="Calibri"/>
          <w:sz w:val="24"/>
          <w:szCs w:val="24"/>
        </w:rPr>
        <w:fldChar w:fldCharType="separate"/>
      </w:r>
      <w:r w:rsidR="001C2617" w:rsidRPr="001C2617">
        <w:rPr>
          <w:rFonts w:ascii="Calibri" w:hAnsi="Calibri" w:cs="Calibri"/>
          <w:sz w:val="24"/>
        </w:rPr>
        <w:t>(41)</w:t>
      </w:r>
      <w:r w:rsidR="007112F7" w:rsidRPr="0035461C">
        <w:rPr>
          <w:rFonts w:ascii="Calibri" w:hAnsi="Calibri" w:cs="Calibri"/>
          <w:sz w:val="24"/>
          <w:szCs w:val="24"/>
        </w:rPr>
        <w:fldChar w:fldCharType="end"/>
      </w:r>
      <w:r w:rsidR="008965FB" w:rsidRPr="0035461C">
        <w:rPr>
          <w:rFonts w:ascii="Calibri" w:hAnsi="Calibri" w:cs="Calibri"/>
          <w:sz w:val="24"/>
          <w:szCs w:val="24"/>
        </w:rPr>
        <w:t>.</w:t>
      </w:r>
      <w:r w:rsidRPr="0035461C">
        <w:rPr>
          <w:rFonts w:ascii="Calibri" w:hAnsi="Calibri" w:cs="Calibri"/>
          <w:sz w:val="24"/>
          <w:szCs w:val="24"/>
        </w:rPr>
        <w:t xml:space="preserve"> </w:t>
      </w:r>
    </w:p>
    <w:p w14:paraId="6A6F06CC" w14:textId="7F5D878F" w:rsidR="002B4076" w:rsidRPr="0035461C" w:rsidRDefault="00567D76" w:rsidP="001C5BC0">
      <w:pPr>
        <w:spacing w:before="120"/>
        <w:jc w:val="both"/>
        <w:rPr>
          <w:rFonts w:ascii="Calibri" w:hAnsi="Calibri" w:cs="Calibri"/>
          <w:color w:val="232323"/>
          <w:shd w:val="clear" w:color="auto" w:fill="FFFFFF"/>
        </w:rPr>
      </w:pPr>
      <w:r w:rsidRPr="0035461C">
        <w:rPr>
          <w:rFonts w:ascii="Calibri" w:hAnsi="Calibri" w:cs="Calibri"/>
        </w:rPr>
        <w:t>Risks for hypogl</w:t>
      </w:r>
      <w:r w:rsidR="008E0C17" w:rsidRPr="0035461C">
        <w:rPr>
          <w:rFonts w:ascii="Calibri" w:hAnsi="Calibri" w:cs="Calibri"/>
        </w:rPr>
        <w:t>ycaemi</w:t>
      </w:r>
      <w:r w:rsidRPr="0035461C">
        <w:rPr>
          <w:rFonts w:ascii="Calibri" w:hAnsi="Calibri" w:cs="Calibri"/>
        </w:rPr>
        <w:t xml:space="preserve">a, particularly </w:t>
      </w:r>
      <w:r w:rsidR="00A765E6">
        <w:rPr>
          <w:rFonts w:ascii="Calibri" w:hAnsi="Calibri" w:cs="Calibri"/>
        </w:rPr>
        <w:t>level 3 hypo</w:t>
      </w:r>
      <w:r w:rsidRPr="0035461C">
        <w:rPr>
          <w:rFonts w:ascii="Calibri" w:hAnsi="Calibri" w:cs="Calibri"/>
        </w:rPr>
        <w:t>glyc</w:t>
      </w:r>
      <w:r w:rsidR="00CA08BF" w:rsidRPr="0035461C">
        <w:rPr>
          <w:rFonts w:ascii="Calibri" w:hAnsi="Calibri" w:cs="Calibri"/>
        </w:rPr>
        <w:t>a</w:t>
      </w:r>
      <w:r w:rsidRPr="0035461C">
        <w:rPr>
          <w:rFonts w:ascii="Calibri" w:hAnsi="Calibri" w:cs="Calibri"/>
        </w:rPr>
        <w:t xml:space="preserve">emia, include longer duration of diabetes, older age, history of recent </w:t>
      </w:r>
      <w:r w:rsidR="00A765E6">
        <w:rPr>
          <w:rFonts w:ascii="Calibri" w:hAnsi="Calibri" w:cs="Calibri"/>
        </w:rPr>
        <w:t>level 3 hypo</w:t>
      </w:r>
      <w:r w:rsidRPr="0035461C">
        <w:rPr>
          <w:rFonts w:ascii="Calibri" w:hAnsi="Calibri" w:cs="Calibri"/>
        </w:rPr>
        <w:t>gl</w:t>
      </w:r>
      <w:r w:rsidR="008E0C17" w:rsidRPr="0035461C">
        <w:rPr>
          <w:rFonts w:ascii="Calibri" w:hAnsi="Calibri" w:cs="Calibri"/>
        </w:rPr>
        <w:t>ycaemi</w:t>
      </w:r>
      <w:r w:rsidRPr="0035461C">
        <w:rPr>
          <w:rFonts w:ascii="Calibri" w:hAnsi="Calibri" w:cs="Calibri"/>
        </w:rPr>
        <w:t xml:space="preserve">a, alcohol ingestion, exercise, </w:t>
      </w:r>
      <w:r w:rsidR="00B92FA7" w:rsidRPr="0035461C">
        <w:rPr>
          <w:rFonts w:ascii="Calibri" w:hAnsi="Calibri" w:cs="Calibri"/>
          <w:color w:val="232323"/>
          <w:shd w:val="clear" w:color="auto" w:fill="FFFFFF"/>
        </w:rPr>
        <w:t>lower education levels, lower household incomes</w:t>
      </w:r>
      <w:r w:rsidR="007112F7" w:rsidRPr="0035461C">
        <w:rPr>
          <w:rFonts w:ascii="Calibri" w:hAnsi="Calibri" w:cs="Calibri"/>
          <w:color w:val="232323"/>
          <w:shd w:val="clear" w:color="auto" w:fill="FFFFFF"/>
        </w:rPr>
        <w:t xml:space="preserve"> </w:t>
      </w:r>
      <w:r w:rsidR="007112F7" w:rsidRPr="0035461C">
        <w:rPr>
          <w:rFonts w:ascii="Calibri" w:hAnsi="Calibri" w:cs="Calibri"/>
          <w:color w:val="232323"/>
          <w:shd w:val="clear" w:color="auto" w:fill="FFFFFF"/>
        </w:rPr>
        <w:fldChar w:fldCharType="begin"/>
      </w:r>
      <w:r w:rsidR="00076F77">
        <w:rPr>
          <w:rFonts w:ascii="Calibri" w:hAnsi="Calibri" w:cs="Calibri"/>
          <w:color w:val="232323"/>
          <w:shd w:val="clear" w:color="auto" w:fill="FFFFFF"/>
        </w:rPr>
        <w:instrText xml:space="preserve"> ADDIN ZOTERO_ITEM CSL_CITATION {"citationID":"rYetUfaP","properties":{"formattedCitation":"(41)","plainCitation":"(41)","noteIndex":0},"citationItems":[{"id":11012,"uris":["http://zotero.org/groups/369679/items/4WPLFB37"],"uri":["http://zotero.org/groups/369679/items/4WPLFB37"],"itemData":{"id":11012,"type":"article-journal","abstract":"CONTEXT: Few studies have assessed factors associated with severe hypoglycemia (SH) and diabetic ketoacidosis (DKA) in adults with type 1 diabetes (T1D).\nOBJECTIVE: Our objective was to determine frequency of and factors associated with the occurrence of SH and DKA in adults with T1D.\nDESIGN AND SETTING: We conducted a cross-sectional analysis from the T1D Exchange clinic registry at 70 U.S. endocrinology centers.\nPATIENTS: Analysis included 7012 participants in the T1D Exchange clinic registry aged 26 to 93 years old with T1D for ≥2 years.\nRESULTS: Higher frequencies of SH and DKA were associated with lower socioeconomic status (P &lt; .001). SH was strongly associated with diabetes duration (P &lt; .001), with 18.6% of those with diabetes ≥40 years having an event in the past 12 months. SH frequency was lowest in those with hemoglobin A1c (HbA1c) levels of 7.0% (53 mmol/mol) to 7.5% (58 mmol/mol), being higher in those with HbA1c levels &lt;7.0% (&lt;53 mmol/mol) or &gt;7.5% (&gt;58 mmol/mol). DKA frequency increased with higher HbA1c levels (P &lt; .001), with 21.0% of those with HbA1c ≥10.0% (≥86 mmol/mol) having an event in the past 12 months.\nCONCLUSIONS: SH and DKA are more common in those with lower socioeconomic status. DKA, most common in those with HbA1c ≥10.0% (≥86 mmol/mol), should be largely preventable. In contrast, SH, most frequent with diabetes ≥40 years duration, cannot be abolished given the limitation of current therapies. To reduce SH in adults with longstanding diabetes, consideration should be given to modifying HbA1c goals, particularly in patients with very low HbA1c levels.","container-title":"The Journal of Clinical Endocrinology and Metabolism","DOI":"10.1210/jc.2013-1589","ISSN":"1945-7197","issue":"8","journalAbbreviation":"J Clin Endocrinol Metab","language":"eng","note":"PMID: 23760624","page":"3411-3419","source":"PubMed","title":"Severe hypoglycemia and diabetic ketoacidosis in adults with type 1 diabetes: results from the T1D Exchange clinic registry","title-short":"Severe hypoglycemia and diabetic ketoacidosis in adults with type 1 diabetes","volume":"98","author":[{"family":"Weinstock","given":"Ruth S."},{"family":"Xing","given":"Dongyuan"},{"family":"Maahs","given":"David M."},{"family":"Michels","given":"Aaron"},{"family":"Rickels","given":"Michael R."},{"family":"Peters","given":"Anne L."},{"family":"Bergenstal","given":"Richard M."},{"family":"Harris","given":"Breanne"},{"family":"Dubose","given":"Stephanie N."},{"family":"Miller","given":"Kellee M."},{"family":"Beck","given":"Roy W."},{"literal":"T1D Exchange Clinic Network"}],"issued":{"date-parts":[["2013",8]]}}}],"schema":"https://github.com/citation-style-language/schema/raw/master/csl-citation.json"} </w:instrText>
      </w:r>
      <w:r w:rsidR="007112F7" w:rsidRPr="0035461C">
        <w:rPr>
          <w:rFonts w:ascii="Calibri" w:hAnsi="Calibri" w:cs="Calibri"/>
          <w:color w:val="232323"/>
          <w:shd w:val="clear" w:color="auto" w:fill="FFFFFF"/>
        </w:rPr>
        <w:fldChar w:fldCharType="separate"/>
      </w:r>
      <w:r w:rsidR="001C2617" w:rsidRPr="001C2617">
        <w:rPr>
          <w:rFonts w:ascii="Calibri" w:hAnsi="Calibri" w:cs="Calibri"/>
        </w:rPr>
        <w:t>(41)</w:t>
      </w:r>
      <w:r w:rsidR="007112F7" w:rsidRPr="0035461C">
        <w:rPr>
          <w:rFonts w:ascii="Calibri" w:hAnsi="Calibri" w:cs="Calibri"/>
          <w:color w:val="232323"/>
          <w:shd w:val="clear" w:color="auto" w:fill="FFFFFF"/>
        </w:rPr>
        <w:fldChar w:fldCharType="end"/>
      </w:r>
      <w:r w:rsidR="00B92FA7" w:rsidRPr="0035461C">
        <w:rPr>
          <w:rFonts w:ascii="Calibri" w:hAnsi="Calibri" w:cs="Calibri"/>
          <w:color w:val="232323"/>
          <w:shd w:val="clear" w:color="auto" w:fill="FFFFFF"/>
        </w:rPr>
        <w:t xml:space="preserve">, </w:t>
      </w:r>
      <w:r w:rsidRPr="0035461C">
        <w:rPr>
          <w:rFonts w:ascii="Calibri" w:hAnsi="Calibri" w:cs="Calibri"/>
        </w:rPr>
        <w:t xml:space="preserve">chronic kidney disease, and </w:t>
      </w:r>
      <w:r w:rsidR="00B92FA7" w:rsidRPr="0035461C">
        <w:rPr>
          <w:rFonts w:ascii="Calibri" w:hAnsi="Calibri" w:cs="Calibri"/>
        </w:rPr>
        <w:t>impaired awareness</w:t>
      </w:r>
      <w:r w:rsidR="00B92FA7" w:rsidRPr="00CF7AB6">
        <w:rPr>
          <w:rFonts w:asciiTheme="minorHAnsi" w:hAnsiTheme="minorHAnsi" w:cstheme="minorHAnsi"/>
        </w:rPr>
        <w:t xml:space="preserve"> of hypoglycaemia</w:t>
      </w:r>
      <w:r w:rsidR="008965FB" w:rsidRPr="00CF7AB6">
        <w:rPr>
          <w:rFonts w:asciiTheme="minorHAnsi" w:hAnsiTheme="minorHAnsi" w:cstheme="minorHAnsi"/>
        </w:rPr>
        <w:t xml:space="preserve"> </w:t>
      </w:r>
      <w:r w:rsidR="00E34262" w:rsidRPr="00CF7AB6">
        <w:rPr>
          <w:rFonts w:asciiTheme="minorHAnsi" w:hAnsiTheme="minorHAnsi" w:cstheme="minorHAnsi"/>
        </w:rPr>
        <w:fldChar w:fldCharType="begin"/>
      </w:r>
      <w:r w:rsidR="00076F77">
        <w:rPr>
          <w:rFonts w:asciiTheme="minorHAnsi" w:hAnsiTheme="minorHAnsi" w:cstheme="minorHAnsi"/>
        </w:rPr>
        <w:instrText xml:space="preserve"> ADDIN ZOTERO_ITEM CSL_CITATION {"citationID":"FHcQfEtf","properties":{"formattedCitation":"(102\\uc0\\u8211{}104)","plainCitation":"(102–104)","noteIndex":0},"citationItems":[{"id":875,"uris":["http://zotero.org/groups/369679/items/SJP33XCB"],"uri":["http://zotero.org/groups/369679/items/SJP33XCB"],"itemData":{"id":875,"type":"article-journal","abstract":"OBJECTIVE To review the evidence about the impact of hypoglycemia on patients with diabetes that has become available since the past reviews of this subject by the American Diabetes Association and The Endocrine Society and to provide guidance about how this new information should be incorporated into clinical practice.\nPARTICIPANTS Five members of the American Diabetes Association and five members of The Endocrine Society with expertise in different aspects of hypoglycemia were invited by the Chair, who is a member of both, to participate in a planning conference call and a 2-day meeting that was also attended by staff from both organizations. Subsequent communications took place via e-mail and phone calls. The writing group consisted of those invitees who participated in the writing of the manuscript. The workgroup meeting was supported by educational grants to the American Diabetes Association from Lilly USA, LLC and Novo Nordisk and sponsorship to the American Diabetes Association from Sanofi. The sponsors had no input into the development of or content of the report.\nEVIDENCE The writing group considered data from recent clinical trials and other studies to update the prior workgroup report. Unpublished data were not used. Expert opinion was used to develop some conclusions.\nCONSENSUS PROCESS Consensus was achieved by group discussion during conference calls and face-to-face meetings, as well as by iterative revisions of the written document. The document was reviewed and approved by the American Diabetes Association’s Professional Practice Committee in October 2012 and approved by the Executive Committee of the Board of Directors in November 2012 and was reviewed and approved by The Endocrine Society’s Clinical Affairs Core Committee in October 2012 and by Council in November 2012.\nCONCLUSIONS The workgroup reconfirmed the previous definitions of hypoglycemia in diabetes, reviewed the implications of hypoglycemia on both short- and long-term outcomes, considered the implications of hypoglycemia on treatment outcomes, presented strategies to prevent hypoglycemia, and identified knowledge gaps that should be addressed by future research. In addition, tools for patients to report hypoglycemia at each visit and for clinicians to document counseling are provided.","container-title":"Diabetes Care","DOI":"10.2337/dc12-2480","ISSN":"0149-5992, 1935-5548","issue":"5","journalAbbreviation":"Dia Care","language":"en","note":"PMID: 23589542","page":"1384-1395","source":"care.diabetesjournals.org","title":"Hypoglycemia and Diabetes: A Report of a Workgroup of the American Diabetes Association and The Endocrine Society","title-short":"Hypoglycemia and Diabetes","volume":"36","author":[{"family":"Seaquist","given":"Elizabeth R."},{"family":"Anderson","given":"John"},{"family":"Childs","given":"Belinda"},{"family":"Cryer","given":"Philip"},{"family":"Dagogo-Jack","given":"Samuel"},{"family":"Fish","given":"Lisa"},{"family":"Heller","given":"Simon R."},{"family":"Rodriguez","given":"Henry"},{"family":"Rosenzweig","given":"James"},{"family":"Vigersky","given":"Robert"}],"issued":{"date-parts":[["2013",5,1]]}}},{"id":11068,"uris":["http://zotero.org/groups/369679/items/6HYCPDGJ"],"uri":["http://zotero.org/groups/369679/items/6HYCPDGJ"],"itemData":{"id":11068,"type":"article-journal","container-title":"The New England Journal of Medicine","DOI":"10.1056/NEJMra1215228","ISSN":"1533-4406","issue":"4","journalAbbreviation":"N Engl J Med","language":"eng","note":"PMID: 23883381","page":"362-372","source":"PubMed","title":"Mechanisms of hypoglycemia-associated autonomic failure in diabetes","volume":"369","author":[{"family":"Cryer","given":"Philip E."}],"issued":{"date-parts":[["2013",7,25]]}}},{"id":11071,"uris":["http://zotero.org/groups/369679/items/S5YJ35IZ"],"uri":["http://zotero.org/groups/369679/items/S5YJ35IZ"],"itemData":{"id":11071,"type":"article-journal","abstract":"Context: Recurrent hypoglycemia promotes impaired awareness, resulting in an increased risk for asymptomatic hypoglycemia. However, there are no firm data on the frequency of hypoglycemia in daily life needed to initiate this vicious cycle or the role of asymptomatic hypoglycemia.\nObjective: To explore the association between hypoglycemic exposure and proportion of asymptomatic hypoglycemia and relation to risk for severe hypoglycemia.\nDesign: Prospective observational trial.\nSetting: Outpatient clinic.\nPatients: One hundred fifty-three unselected patients with type 1 diabetes mellitus (T1D).\nIntervention: Six days of blinded continuous glucose monitoring and recording of hypoglycemia symptoms.\nMain Outcome Measure: Proportion of asymptomatic hypoglycemic events (glucose level ≤70 mg/dL).\nResults: Patients were grouped by the number of hypoglycemic events during the recording period (group 1: one event; group 2: two to three events; group 3: four to six events; group 4: seven or more events), and fractions of asymptomatic events were calculated. Across the four groups, the fraction of asymptomatic hypoglycemia increased: 57% in group 1, 61% in group 2, 65% in group 3, and 80% in group 4 (P &lt; 0.001). Higher fraction of asymptomatic hypoglycemia was positively associated with risk for severe hypoglycemia (incidence rate ratio, 1.3; 95% confidence interval, 1.1 to 1.5; P = 0.003). Group 4 consisted of patients characterized by classic risk factors of severe hypoglycemia (longer duration of diabetes, lower hemoglobin A1c, and more frequent impaired awareness of hypoglycemia).\nConclusions: Patients with T1D with hypoglycemic rates corresponding to daily exposure had an increased fraction of asymptomatic events, which was positively associated with risk for severe hypoglycemia; therefore, such patients deserve particular attention in clinical practice.","container-title":"The Journal of Clinical Endocrinology and Metabolism","DOI":"10.1210/jc.2018-00142","ISSN":"1945-7197","issue":"6","journalAbbreviation":"J Clin Endocrinol Metab","language":"eng","note":"PMID: 29618010","page":"2329-2335","source":"PubMed","title":"Hypoglycemic Exposure and Risk of Asymptomatic Hypoglycemia in Type 1 Diabetes Assessed by Continuous Glucose Monitoring","volume":"103","author":[{"family":"Henriksen","given":"Marie Moth"},{"family":"Andersen","given":"Henrik Ullits"},{"family":"Thorsteinsson","given":"Birger"},{"family":"Pedersen-Bjergaard","given":"Ulrik"}],"issued":{"date-parts":[["2018",6,1]]}}}],"schema":"https://github.com/citation-style-language/schema/raw/master/csl-citation.json"} </w:instrText>
      </w:r>
      <w:r w:rsidR="00E34262" w:rsidRPr="00CF7AB6">
        <w:rPr>
          <w:rFonts w:asciiTheme="minorHAnsi" w:hAnsiTheme="minorHAnsi" w:cstheme="minorHAnsi"/>
        </w:rPr>
        <w:fldChar w:fldCharType="separate"/>
      </w:r>
      <w:r w:rsidR="00076F77" w:rsidRPr="00076F77">
        <w:rPr>
          <w:rFonts w:ascii="Calibri" w:hAnsi="Calibri" w:cs="Calibri"/>
        </w:rPr>
        <w:t>(102–104)</w:t>
      </w:r>
      <w:r w:rsidR="00E34262" w:rsidRPr="00CF7AB6">
        <w:rPr>
          <w:rFonts w:asciiTheme="minorHAnsi" w:hAnsiTheme="minorHAnsi" w:cstheme="minorHAnsi"/>
        </w:rPr>
        <w:fldChar w:fldCharType="end"/>
      </w:r>
      <w:r w:rsidR="008965FB" w:rsidRPr="00CF7AB6">
        <w:rPr>
          <w:rFonts w:asciiTheme="minorHAnsi" w:hAnsiTheme="minorHAnsi" w:cstheme="minorHAnsi"/>
        </w:rPr>
        <w:t>.</w:t>
      </w:r>
      <w:r w:rsidRPr="00CF7AB6">
        <w:rPr>
          <w:rFonts w:asciiTheme="minorHAnsi" w:hAnsiTheme="minorHAnsi" w:cstheme="minorHAnsi"/>
        </w:rPr>
        <w:t xml:space="preserve"> </w:t>
      </w:r>
      <w:r w:rsidR="00CF7AB6" w:rsidRPr="00CF7AB6">
        <w:rPr>
          <w:rFonts w:asciiTheme="minorHAnsi" w:hAnsiTheme="minorHAnsi" w:cstheme="minorHAnsi"/>
        </w:rPr>
        <w:t xml:space="preserve">Endocrine conditions, such as hypothyroidism, adrenal and growth hormone deficiency, and coeliac disease may precipitate hypoglycaemia. </w:t>
      </w:r>
      <w:r w:rsidR="00B92FA7" w:rsidRPr="00CF7AB6">
        <w:rPr>
          <w:rFonts w:asciiTheme="minorHAnsi" w:hAnsiTheme="minorHAnsi" w:cstheme="minorHAnsi"/>
        </w:rPr>
        <w:t>Old</w:t>
      </w:r>
      <w:r w:rsidR="00B92FA7" w:rsidRPr="0035461C">
        <w:rPr>
          <w:rFonts w:ascii="Calibri" w:hAnsi="Calibri" w:cs="Calibri"/>
        </w:rPr>
        <w:t>er d</w:t>
      </w:r>
      <w:r w:rsidRPr="0035461C">
        <w:rPr>
          <w:rFonts w:ascii="Calibri" w:hAnsi="Calibri" w:cs="Calibri"/>
          <w:color w:val="232323"/>
          <w:shd w:val="clear" w:color="auto" w:fill="FFFFFF"/>
        </w:rPr>
        <w:t xml:space="preserve">iabetes databases consistently documented that </w:t>
      </w:r>
      <w:r w:rsidR="00CA08BF" w:rsidRPr="0035461C">
        <w:rPr>
          <w:rFonts w:ascii="Calibri" w:hAnsi="Calibri" w:cs="Calibri"/>
          <w:color w:val="232323"/>
          <w:shd w:val="clear" w:color="auto" w:fill="FFFFFF"/>
        </w:rPr>
        <w:t>people</w:t>
      </w:r>
      <w:r w:rsidRPr="0035461C">
        <w:rPr>
          <w:rFonts w:ascii="Calibri" w:hAnsi="Calibri" w:cs="Calibri"/>
          <w:color w:val="232323"/>
          <w:shd w:val="clear" w:color="auto" w:fill="FFFFFF"/>
        </w:rPr>
        <w:t xml:space="preserve"> </w:t>
      </w:r>
      <w:r w:rsidR="00CA08BF" w:rsidRPr="0035461C">
        <w:rPr>
          <w:rFonts w:ascii="Calibri" w:hAnsi="Calibri" w:cs="Calibri"/>
          <w:color w:val="232323"/>
          <w:shd w:val="clear" w:color="auto" w:fill="FFFFFF"/>
        </w:rPr>
        <w:t>with</w:t>
      </w:r>
      <w:r w:rsidRPr="0035461C">
        <w:rPr>
          <w:rFonts w:ascii="Calibri" w:hAnsi="Calibri" w:cs="Calibri"/>
          <w:color w:val="232323"/>
          <w:shd w:val="clear" w:color="auto" w:fill="FFFFFF"/>
        </w:rPr>
        <w:t xml:space="preserve"> lower </w:t>
      </w:r>
      <w:r w:rsidR="00CA08BF" w:rsidRPr="0035461C">
        <w:rPr>
          <w:rFonts w:ascii="Calibri" w:hAnsi="Calibri" w:cs="Calibri"/>
          <w:color w:val="232323"/>
          <w:shd w:val="clear" w:color="auto" w:fill="FFFFFF"/>
        </w:rPr>
        <w:t>HbA</w:t>
      </w:r>
      <w:r w:rsidR="00CA08BF" w:rsidRPr="0035461C">
        <w:rPr>
          <w:rFonts w:ascii="Calibri" w:hAnsi="Calibri" w:cs="Calibri"/>
          <w:color w:val="232323"/>
          <w:shd w:val="clear" w:color="auto" w:fill="FFFFFF"/>
          <w:vertAlign w:val="subscript"/>
        </w:rPr>
        <w:t>1c</w:t>
      </w:r>
      <w:r w:rsidRPr="0035461C">
        <w:rPr>
          <w:rFonts w:ascii="Calibri" w:hAnsi="Calibri" w:cs="Calibri"/>
          <w:color w:val="232323"/>
          <w:shd w:val="clear" w:color="auto" w:fill="FFFFFF"/>
        </w:rPr>
        <w:t xml:space="preserve"> levels </w:t>
      </w:r>
      <w:r w:rsidR="00B92FA7" w:rsidRPr="0035461C">
        <w:rPr>
          <w:rFonts w:ascii="Calibri" w:hAnsi="Calibri" w:cs="Calibri"/>
          <w:color w:val="232323"/>
          <w:shd w:val="clear" w:color="auto" w:fill="FFFFFF"/>
        </w:rPr>
        <w:t>had</w:t>
      </w:r>
      <w:r w:rsidRPr="0035461C">
        <w:rPr>
          <w:rFonts w:ascii="Calibri" w:hAnsi="Calibri" w:cs="Calibri"/>
          <w:color w:val="232323"/>
          <w:shd w:val="clear" w:color="auto" w:fill="FFFFFF"/>
        </w:rPr>
        <w:t xml:space="preserve"> </w:t>
      </w:r>
      <w:r w:rsidR="00217F16">
        <w:rPr>
          <w:rFonts w:ascii="Calibri" w:hAnsi="Calibri" w:cs="Calibri"/>
          <w:color w:val="232323"/>
          <w:shd w:val="clear" w:color="auto" w:fill="FFFFFF"/>
        </w:rPr>
        <w:t>2-3-</w:t>
      </w:r>
      <w:r w:rsidRPr="0035461C">
        <w:rPr>
          <w:rFonts w:ascii="Calibri" w:hAnsi="Calibri" w:cs="Calibri"/>
          <w:color w:val="232323"/>
          <w:shd w:val="clear" w:color="auto" w:fill="FFFFFF"/>
        </w:rPr>
        <w:t xml:space="preserve">fold higher rates of </w:t>
      </w:r>
      <w:r w:rsidR="00A765E6">
        <w:rPr>
          <w:rFonts w:ascii="Calibri" w:hAnsi="Calibri" w:cs="Calibri"/>
          <w:color w:val="232323"/>
          <w:shd w:val="clear" w:color="auto" w:fill="FFFFFF"/>
        </w:rPr>
        <w:t>level 3 hypo</w:t>
      </w:r>
      <w:r w:rsidRPr="0035461C">
        <w:rPr>
          <w:rFonts w:ascii="Calibri" w:hAnsi="Calibri" w:cs="Calibri"/>
          <w:color w:val="232323"/>
          <w:shd w:val="clear" w:color="auto" w:fill="FFFFFF"/>
        </w:rPr>
        <w:t>glyc</w:t>
      </w:r>
      <w:r w:rsidR="00B92FA7" w:rsidRPr="0035461C">
        <w:rPr>
          <w:rFonts w:ascii="Calibri" w:hAnsi="Calibri" w:cs="Calibri"/>
          <w:color w:val="232323"/>
          <w:shd w:val="clear" w:color="auto" w:fill="FFFFFF"/>
        </w:rPr>
        <w:t>a</w:t>
      </w:r>
      <w:r w:rsidRPr="0035461C">
        <w:rPr>
          <w:rFonts w:ascii="Calibri" w:hAnsi="Calibri" w:cs="Calibri"/>
          <w:color w:val="232323"/>
          <w:shd w:val="clear" w:color="auto" w:fill="FFFFFF"/>
        </w:rPr>
        <w:t>emia</w:t>
      </w:r>
      <w:r w:rsidR="00641912" w:rsidRPr="0035461C">
        <w:rPr>
          <w:rFonts w:ascii="Calibri" w:hAnsi="Calibri" w:cs="Calibri"/>
          <w:color w:val="232323"/>
          <w:shd w:val="clear" w:color="auto" w:fill="FFFFFF"/>
        </w:rPr>
        <w:t>. H</w:t>
      </w:r>
      <w:r w:rsidR="00B92FA7" w:rsidRPr="0035461C">
        <w:rPr>
          <w:rFonts w:ascii="Calibri" w:hAnsi="Calibri" w:cs="Calibri"/>
          <w:color w:val="232323"/>
          <w:shd w:val="clear" w:color="auto" w:fill="FFFFFF"/>
        </w:rPr>
        <w:t xml:space="preserve">owever, in </w:t>
      </w:r>
      <w:r w:rsidRPr="0035461C">
        <w:rPr>
          <w:rFonts w:ascii="Calibri" w:hAnsi="Calibri" w:cs="Calibri"/>
          <w:color w:val="232323"/>
          <w:shd w:val="clear" w:color="auto" w:fill="FFFFFF"/>
        </w:rPr>
        <w:t xml:space="preserve">the Type 1 Diabetes Exchange Clinic Registry, the risk of </w:t>
      </w:r>
      <w:r w:rsidR="00A765E6">
        <w:rPr>
          <w:rFonts w:ascii="Calibri" w:hAnsi="Calibri" w:cs="Calibri"/>
          <w:color w:val="232323"/>
          <w:shd w:val="clear" w:color="auto" w:fill="FFFFFF"/>
        </w:rPr>
        <w:t>level 3 hypo</w:t>
      </w:r>
      <w:r w:rsidRPr="0035461C">
        <w:rPr>
          <w:rFonts w:ascii="Calibri" w:hAnsi="Calibri" w:cs="Calibri"/>
          <w:color w:val="232323"/>
          <w:shd w:val="clear" w:color="auto" w:fill="FFFFFF"/>
        </w:rPr>
        <w:t>glyc</w:t>
      </w:r>
      <w:r w:rsidR="00B92FA7" w:rsidRPr="0035461C">
        <w:rPr>
          <w:rFonts w:ascii="Calibri" w:hAnsi="Calibri" w:cs="Calibri"/>
          <w:color w:val="232323"/>
          <w:shd w:val="clear" w:color="auto" w:fill="FFFFFF"/>
        </w:rPr>
        <w:t>a</w:t>
      </w:r>
      <w:r w:rsidRPr="0035461C">
        <w:rPr>
          <w:rFonts w:ascii="Calibri" w:hAnsi="Calibri" w:cs="Calibri"/>
          <w:color w:val="232323"/>
          <w:shd w:val="clear" w:color="auto" w:fill="FFFFFF"/>
        </w:rPr>
        <w:t xml:space="preserve">emia was </w:t>
      </w:r>
      <w:r w:rsidR="00B92FA7" w:rsidRPr="0035461C">
        <w:rPr>
          <w:rFonts w:ascii="Calibri" w:hAnsi="Calibri" w:cs="Calibri"/>
          <w:color w:val="232323"/>
          <w:shd w:val="clear" w:color="auto" w:fill="FFFFFF"/>
        </w:rPr>
        <w:t>increased not only in those whose HbA</w:t>
      </w:r>
      <w:r w:rsidR="00B92FA7" w:rsidRPr="0035461C">
        <w:rPr>
          <w:rFonts w:ascii="Calibri" w:hAnsi="Calibri" w:cs="Calibri"/>
          <w:color w:val="232323"/>
          <w:shd w:val="clear" w:color="auto" w:fill="FFFFFF"/>
          <w:vertAlign w:val="subscript"/>
        </w:rPr>
        <w:t>1c</w:t>
      </w:r>
      <w:r w:rsidR="00B92FA7" w:rsidRPr="0035461C">
        <w:rPr>
          <w:rFonts w:ascii="Calibri" w:hAnsi="Calibri" w:cs="Calibri"/>
          <w:color w:val="232323"/>
          <w:shd w:val="clear" w:color="auto" w:fill="FFFFFF"/>
        </w:rPr>
        <w:t xml:space="preserve"> was below 7.0% (53 </w:t>
      </w:r>
      <w:proofErr w:type="spellStart"/>
      <w:r w:rsidR="00B92FA7" w:rsidRPr="0035461C">
        <w:rPr>
          <w:rFonts w:ascii="Calibri" w:hAnsi="Calibri" w:cs="Calibri"/>
          <w:color w:val="232323"/>
          <w:shd w:val="clear" w:color="auto" w:fill="FFFFFF"/>
        </w:rPr>
        <w:t>mmol</w:t>
      </w:r>
      <w:proofErr w:type="spellEnd"/>
      <w:r w:rsidR="00B92FA7" w:rsidRPr="0035461C">
        <w:rPr>
          <w:rFonts w:ascii="Calibri" w:hAnsi="Calibri" w:cs="Calibri"/>
          <w:color w:val="232323"/>
          <w:shd w:val="clear" w:color="auto" w:fill="FFFFFF"/>
        </w:rPr>
        <w:t>/</w:t>
      </w:r>
      <w:proofErr w:type="spellStart"/>
      <w:r w:rsidR="00B92FA7" w:rsidRPr="0035461C">
        <w:rPr>
          <w:rFonts w:ascii="Calibri" w:hAnsi="Calibri" w:cs="Calibri"/>
          <w:color w:val="232323"/>
          <w:shd w:val="clear" w:color="auto" w:fill="FFFFFF"/>
        </w:rPr>
        <w:t>mol</w:t>
      </w:r>
      <w:proofErr w:type="spellEnd"/>
      <w:r w:rsidR="00B92FA7" w:rsidRPr="0035461C">
        <w:rPr>
          <w:rFonts w:ascii="Calibri" w:hAnsi="Calibri" w:cs="Calibri"/>
          <w:color w:val="232323"/>
          <w:shd w:val="clear" w:color="auto" w:fill="FFFFFF"/>
        </w:rPr>
        <w:t>)</w:t>
      </w:r>
      <w:r w:rsidR="00217F16">
        <w:rPr>
          <w:rFonts w:ascii="Calibri" w:hAnsi="Calibri" w:cs="Calibri"/>
          <w:color w:val="232323"/>
          <w:shd w:val="clear" w:color="auto" w:fill="FFFFFF"/>
        </w:rPr>
        <w:t>,</w:t>
      </w:r>
      <w:r w:rsidR="00B92FA7" w:rsidRPr="0035461C">
        <w:rPr>
          <w:rFonts w:ascii="Calibri" w:hAnsi="Calibri" w:cs="Calibri"/>
          <w:color w:val="232323"/>
          <w:shd w:val="clear" w:color="auto" w:fill="FFFFFF"/>
        </w:rPr>
        <w:t xml:space="preserve"> but also in people with an HbA</w:t>
      </w:r>
      <w:r w:rsidR="00B92FA7" w:rsidRPr="0035461C">
        <w:rPr>
          <w:rFonts w:ascii="Calibri" w:hAnsi="Calibri" w:cs="Calibri"/>
          <w:color w:val="232323"/>
          <w:shd w:val="clear" w:color="auto" w:fill="FFFFFF"/>
          <w:vertAlign w:val="subscript"/>
        </w:rPr>
        <w:t>1c</w:t>
      </w:r>
      <w:r w:rsidR="00B92FA7" w:rsidRPr="0035461C">
        <w:rPr>
          <w:rFonts w:ascii="Calibri" w:hAnsi="Calibri" w:cs="Calibri"/>
          <w:color w:val="232323"/>
          <w:shd w:val="clear" w:color="auto" w:fill="FFFFFF"/>
        </w:rPr>
        <w:t xml:space="preserve"> above 7.5% (58 </w:t>
      </w:r>
      <w:proofErr w:type="spellStart"/>
      <w:r w:rsidR="00B92FA7" w:rsidRPr="0035461C">
        <w:rPr>
          <w:rFonts w:ascii="Calibri" w:hAnsi="Calibri" w:cs="Calibri"/>
          <w:color w:val="232323"/>
          <w:shd w:val="clear" w:color="auto" w:fill="FFFFFF"/>
        </w:rPr>
        <w:t>mmol</w:t>
      </w:r>
      <w:proofErr w:type="spellEnd"/>
      <w:r w:rsidR="00B92FA7" w:rsidRPr="0035461C">
        <w:rPr>
          <w:rFonts w:ascii="Calibri" w:hAnsi="Calibri" w:cs="Calibri"/>
          <w:color w:val="232323"/>
          <w:shd w:val="clear" w:color="auto" w:fill="FFFFFF"/>
        </w:rPr>
        <w:t>/</w:t>
      </w:r>
      <w:proofErr w:type="spellStart"/>
      <w:r w:rsidR="00B92FA7" w:rsidRPr="0035461C">
        <w:rPr>
          <w:rFonts w:ascii="Calibri" w:hAnsi="Calibri" w:cs="Calibri"/>
          <w:color w:val="232323"/>
          <w:shd w:val="clear" w:color="auto" w:fill="FFFFFF"/>
        </w:rPr>
        <w:t>mol</w:t>
      </w:r>
      <w:proofErr w:type="spellEnd"/>
      <w:r w:rsidR="00B92FA7" w:rsidRPr="0035461C">
        <w:rPr>
          <w:rFonts w:ascii="Calibri" w:hAnsi="Calibri" w:cs="Calibri"/>
          <w:color w:val="232323"/>
          <w:shd w:val="clear" w:color="auto" w:fill="FFFFFF"/>
        </w:rPr>
        <w:t>)</w:t>
      </w:r>
      <w:r w:rsidR="00CE14E7" w:rsidRPr="0035461C">
        <w:rPr>
          <w:rFonts w:ascii="Calibri" w:hAnsi="Calibri" w:cs="Calibri"/>
          <w:color w:val="232323"/>
          <w:shd w:val="clear" w:color="auto" w:fill="FFFFFF"/>
        </w:rPr>
        <w:t xml:space="preserve"> </w:t>
      </w:r>
      <w:r w:rsidR="00CE14E7" w:rsidRPr="0035461C">
        <w:rPr>
          <w:rFonts w:ascii="Calibri" w:hAnsi="Calibri" w:cs="Calibri"/>
          <w:color w:val="232323"/>
          <w:shd w:val="clear" w:color="auto" w:fill="FFFFFF"/>
        </w:rPr>
        <w:fldChar w:fldCharType="begin"/>
      </w:r>
      <w:r w:rsidR="00076F77">
        <w:rPr>
          <w:rFonts w:ascii="Calibri" w:hAnsi="Calibri" w:cs="Calibri"/>
          <w:color w:val="232323"/>
          <w:shd w:val="clear" w:color="auto" w:fill="FFFFFF"/>
        </w:rPr>
        <w:instrText xml:space="preserve"> ADDIN ZOTERO_ITEM CSL_CITATION {"citationID":"VLD5AnHK","properties":{"formattedCitation":"(41)","plainCitation":"(41)","noteIndex":0},"citationItems":[{"id":11012,"uris":["http://zotero.org/groups/369679/items/4WPLFB37"],"uri":["http://zotero.org/groups/369679/items/4WPLFB37"],"itemData":{"id":11012,"type":"article-journal","abstract":"CONTEXT: Few studies have assessed factors associated with severe hypoglycemia (SH) and diabetic ketoacidosis (DKA) in adults with type 1 diabetes (T1D).\nOBJECTIVE: Our objective was to determine frequency of and factors associated with the occurrence of SH and DKA in adults with T1D.\nDESIGN AND SETTING: We conducted a cross-sectional analysis from the T1D Exchange clinic registry at 70 U.S. endocrinology centers.\nPATIENTS: Analysis included 7012 participants in the T1D Exchange clinic registry aged 26 to 93 years old with T1D for ≥2 years.\nRESULTS: Higher frequencies of SH and DKA were associated with lower socioeconomic status (P &lt; .001). SH was strongly associated with diabetes duration (P &lt; .001), with 18.6% of those with diabetes ≥40 years having an event in the past 12 months. SH frequency was lowest in those with hemoglobin A1c (HbA1c) levels of 7.0% (53 mmol/mol) to 7.5% (58 mmol/mol), being higher in those with HbA1c levels &lt;7.0% (&lt;53 mmol/mol) or &gt;7.5% (&gt;58 mmol/mol). DKA frequency increased with higher HbA1c levels (P &lt; .001), with 21.0% of those with HbA1c ≥10.0% (≥86 mmol/mol) having an event in the past 12 months.\nCONCLUSIONS: SH and DKA are more common in those with lower socioeconomic status. DKA, most common in those with HbA1c ≥10.0% (≥86 mmol/mol), should be largely preventable. In contrast, SH, most frequent with diabetes ≥40 years duration, cannot be abolished given the limitation of current therapies. To reduce SH in adults with longstanding diabetes, consideration should be given to modifying HbA1c goals, particularly in patients with very low HbA1c levels.","container-title":"The Journal of Clinical Endocrinology and Metabolism","DOI":"10.1210/jc.2013-1589","ISSN":"1945-7197","issue":"8","journalAbbreviation":"J Clin Endocrinol Metab","language":"eng","note":"PMID: 23760624","page":"3411-3419","source":"PubMed","title":"Severe hypoglycemia and diabetic ketoacidosis in adults with type 1 diabetes: results from the T1D Exchange clinic registry","title-short":"Severe hypoglycemia and diabetic ketoacidosis in adults with type 1 diabetes","volume":"98","author":[{"family":"Weinstock","given":"Ruth S."},{"family":"Xing","given":"Dongyuan"},{"family":"Maahs","given":"David M."},{"family":"Michels","given":"Aaron"},{"family":"Rickels","given":"Michael R."},{"family":"Peters","given":"Anne L."},{"family":"Bergenstal","given":"Richard M."},{"family":"Harris","given":"Breanne"},{"family":"Dubose","given":"Stephanie N."},{"family":"Miller","given":"Kellee M."},{"family":"Beck","given":"Roy W."},{"literal":"T1D Exchange Clinic Network"}],"issued":{"date-parts":[["2013",8]]}}}],"schema":"https://github.com/citation-style-language/schema/raw/master/csl-citation.json"} </w:instrText>
      </w:r>
      <w:r w:rsidR="00CE14E7" w:rsidRPr="0035461C">
        <w:rPr>
          <w:rFonts w:ascii="Calibri" w:hAnsi="Calibri" w:cs="Calibri"/>
          <w:color w:val="232323"/>
          <w:shd w:val="clear" w:color="auto" w:fill="FFFFFF"/>
        </w:rPr>
        <w:fldChar w:fldCharType="separate"/>
      </w:r>
      <w:r w:rsidR="001C2617" w:rsidRPr="001C2617">
        <w:rPr>
          <w:rFonts w:ascii="Calibri" w:hAnsi="Calibri" w:cs="Calibri"/>
        </w:rPr>
        <w:t>(41)</w:t>
      </w:r>
      <w:r w:rsidR="00CE14E7" w:rsidRPr="0035461C">
        <w:rPr>
          <w:rFonts w:ascii="Calibri" w:hAnsi="Calibri" w:cs="Calibri"/>
          <w:color w:val="232323"/>
          <w:shd w:val="clear" w:color="auto" w:fill="FFFFFF"/>
        </w:rPr>
        <w:fldChar w:fldCharType="end"/>
      </w:r>
      <w:r w:rsidR="00B92FA7" w:rsidRPr="0035461C">
        <w:rPr>
          <w:rFonts w:ascii="Calibri" w:hAnsi="Calibri" w:cs="Calibri"/>
          <w:color w:val="232323"/>
          <w:shd w:val="clear" w:color="auto" w:fill="FFFFFF"/>
        </w:rPr>
        <w:t>.</w:t>
      </w:r>
      <w:r w:rsidRPr="0035461C">
        <w:rPr>
          <w:rFonts w:ascii="Calibri" w:hAnsi="Calibri" w:cs="Calibri"/>
          <w:color w:val="232323"/>
          <w:shd w:val="clear" w:color="auto" w:fill="FFFFFF"/>
        </w:rPr>
        <w:t xml:space="preserve"> </w:t>
      </w:r>
    </w:p>
    <w:p w14:paraId="137DCFD9" w14:textId="53DECC72" w:rsidR="00A765E6" w:rsidRDefault="001166B6" w:rsidP="001C5BC0">
      <w:pPr>
        <w:spacing w:before="120"/>
        <w:jc w:val="both"/>
        <w:rPr>
          <w:rFonts w:ascii="Calibri" w:hAnsi="Calibri" w:cs="Calibri"/>
          <w:lang w:val="en-GB"/>
        </w:rPr>
      </w:pPr>
      <w:r w:rsidRPr="0035461C">
        <w:rPr>
          <w:rFonts w:ascii="Calibri" w:hAnsi="Calibri" w:cs="Calibri"/>
          <w:color w:val="232323"/>
          <w:shd w:val="clear" w:color="auto" w:fill="FFFFFF"/>
        </w:rPr>
        <w:t>It is possible that the absence of a relationship between HbA</w:t>
      </w:r>
      <w:r w:rsidRPr="0035461C">
        <w:rPr>
          <w:rFonts w:ascii="Calibri" w:hAnsi="Calibri" w:cs="Calibri"/>
          <w:color w:val="232323"/>
          <w:shd w:val="clear" w:color="auto" w:fill="FFFFFF"/>
          <w:vertAlign w:val="subscript"/>
        </w:rPr>
        <w:t>1c</w:t>
      </w:r>
      <w:r w:rsidRPr="0035461C">
        <w:rPr>
          <w:rFonts w:ascii="Calibri" w:hAnsi="Calibri" w:cs="Calibri"/>
          <w:color w:val="232323"/>
          <w:shd w:val="clear" w:color="auto" w:fill="FFFFFF"/>
        </w:rPr>
        <w:t xml:space="preserve"> and </w:t>
      </w:r>
      <w:r w:rsidR="00A765E6">
        <w:rPr>
          <w:rFonts w:ascii="Calibri" w:hAnsi="Calibri" w:cs="Calibri"/>
          <w:color w:val="232323"/>
          <w:shd w:val="clear" w:color="auto" w:fill="FFFFFF"/>
        </w:rPr>
        <w:t>level 3 hypo</w:t>
      </w:r>
      <w:r w:rsidRPr="0035461C">
        <w:rPr>
          <w:rFonts w:ascii="Calibri" w:hAnsi="Calibri" w:cs="Calibri"/>
          <w:color w:val="232323"/>
          <w:shd w:val="clear" w:color="auto" w:fill="FFFFFF"/>
        </w:rPr>
        <w:t>glycaemia</w:t>
      </w:r>
      <w:r w:rsidR="00641912" w:rsidRPr="0035461C">
        <w:rPr>
          <w:rFonts w:ascii="Calibri" w:hAnsi="Calibri" w:cs="Calibri"/>
          <w:color w:val="232323"/>
          <w:shd w:val="clear" w:color="auto" w:fill="FFFFFF"/>
        </w:rPr>
        <w:t xml:space="preserve"> in real-world settings</w:t>
      </w:r>
      <w:r w:rsidRPr="0035461C">
        <w:rPr>
          <w:rFonts w:ascii="Calibri" w:hAnsi="Calibri" w:cs="Calibri"/>
          <w:color w:val="232323"/>
          <w:shd w:val="clear" w:color="auto" w:fill="FFFFFF"/>
        </w:rPr>
        <w:t xml:space="preserve"> is </w:t>
      </w:r>
      <w:r w:rsidRPr="0035461C">
        <w:rPr>
          <w:rFonts w:ascii="Calibri" w:hAnsi="Calibri" w:cs="Calibri"/>
        </w:rPr>
        <w:t xml:space="preserve">explained by </w:t>
      </w:r>
      <w:r w:rsidR="00641912" w:rsidRPr="0035461C">
        <w:rPr>
          <w:rFonts w:ascii="Calibri" w:hAnsi="Calibri" w:cs="Calibri"/>
        </w:rPr>
        <w:t>relaxation of glyc</w:t>
      </w:r>
      <w:r w:rsidR="002B4076" w:rsidRPr="0035461C">
        <w:rPr>
          <w:rFonts w:ascii="Calibri" w:hAnsi="Calibri" w:cs="Calibri"/>
        </w:rPr>
        <w:t>a</w:t>
      </w:r>
      <w:r w:rsidR="00641912" w:rsidRPr="0035461C">
        <w:rPr>
          <w:rFonts w:ascii="Calibri" w:hAnsi="Calibri" w:cs="Calibri"/>
        </w:rPr>
        <w:t>emic targets by those with a history of hypoglyc</w:t>
      </w:r>
      <w:r w:rsidR="002B4076" w:rsidRPr="0035461C">
        <w:rPr>
          <w:rFonts w:ascii="Calibri" w:hAnsi="Calibri" w:cs="Calibri"/>
        </w:rPr>
        <w:t>a</w:t>
      </w:r>
      <w:r w:rsidR="00641912" w:rsidRPr="0035461C">
        <w:rPr>
          <w:rFonts w:ascii="Calibri" w:hAnsi="Calibri" w:cs="Calibri"/>
        </w:rPr>
        <w:t>emia or confounders</w:t>
      </w:r>
      <w:r w:rsidR="002B4076" w:rsidRPr="0035461C">
        <w:rPr>
          <w:rFonts w:ascii="Calibri" w:hAnsi="Calibri" w:cs="Calibri"/>
        </w:rPr>
        <w:t>,</w:t>
      </w:r>
      <w:r w:rsidR="00641912" w:rsidRPr="0035461C">
        <w:rPr>
          <w:rFonts w:ascii="Calibri" w:hAnsi="Calibri" w:cs="Calibri"/>
        </w:rPr>
        <w:t xml:space="preserve"> such as inadequate self-management behavio</w:t>
      </w:r>
      <w:r w:rsidR="008965FB" w:rsidRPr="0035461C">
        <w:rPr>
          <w:rFonts w:ascii="Calibri" w:hAnsi="Calibri" w:cs="Calibri"/>
        </w:rPr>
        <w:t>u</w:t>
      </w:r>
      <w:r w:rsidR="00641912" w:rsidRPr="0035461C">
        <w:rPr>
          <w:rFonts w:ascii="Calibri" w:hAnsi="Calibri" w:cs="Calibri"/>
        </w:rPr>
        <w:t>rs that contribute to both hyper- and hypoglyc</w:t>
      </w:r>
      <w:r w:rsidR="002B4076" w:rsidRPr="0035461C">
        <w:rPr>
          <w:rFonts w:ascii="Calibri" w:hAnsi="Calibri" w:cs="Calibri"/>
        </w:rPr>
        <w:t>a</w:t>
      </w:r>
      <w:r w:rsidR="00641912" w:rsidRPr="0035461C">
        <w:rPr>
          <w:rFonts w:ascii="Calibri" w:hAnsi="Calibri" w:cs="Calibri"/>
        </w:rPr>
        <w:t xml:space="preserve">emia. </w:t>
      </w:r>
      <w:r w:rsidRPr="0035461C">
        <w:rPr>
          <w:rFonts w:ascii="Calibri" w:hAnsi="Calibri" w:cs="Calibri"/>
        </w:rPr>
        <w:t>A</w:t>
      </w:r>
      <w:r w:rsidRPr="0035461C">
        <w:rPr>
          <w:rFonts w:ascii="Calibri" w:hAnsi="Calibri" w:cs="Calibri"/>
          <w:color w:val="232323"/>
          <w:shd w:val="clear" w:color="auto" w:fill="FFFFFF"/>
        </w:rPr>
        <w:t xml:space="preserve"> </w:t>
      </w:r>
      <w:r w:rsidRPr="0035461C">
        <w:rPr>
          <w:rFonts w:ascii="Calibri" w:hAnsi="Calibri" w:cs="Calibri"/>
        </w:rPr>
        <w:t>secondary analysis o</w:t>
      </w:r>
      <w:r w:rsidR="0055019C" w:rsidRPr="0035461C">
        <w:rPr>
          <w:rFonts w:ascii="Calibri" w:hAnsi="Calibri" w:cs="Calibri"/>
        </w:rPr>
        <w:t>f</w:t>
      </w:r>
      <w:r w:rsidRPr="0035461C">
        <w:rPr>
          <w:rFonts w:ascii="Calibri" w:hAnsi="Calibri" w:cs="Calibri"/>
        </w:rPr>
        <w:t xml:space="preserve"> the IN CONTROL </w:t>
      </w:r>
      <w:r w:rsidR="00475B61" w:rsidRPr="0035461C">
        <w:rPr>
          <w:rFonts w:ascii="Calibri" w:hAnsi="Calibri" w:cs="Calibri"/>
        </w:rPr>
        <w:t>trial</w:t>
      </w:r>
      <w:r w:rsidRPr="0035461C">
        <w:rPr>
          <w:rFonts w:ascii="Calibri" w:hAnsi="Calibri" w:cs="Calibri"/>
        </w:rPr>
        <w:t xml:space="preserve">, where the primary analysis showed a reduction in </w:t>
      </w:r>
      <w:r w:rsidR="00A765E6">
        <w:rPr>
          <w:rFonts w:ascii="Calibri" w:hAnsi="Calibri" w:cs="Calibri"/>
        </w:rPr>
        <w:t>level 3 hypo</w:t>
      </w:r>
      <w:r w:rsidRPr="0035461C">
        <w:rPr>
          <w:rFonts w:ascii="Calibri" w:hAnsi="Calibri" w:cs="Calibri"/>
        </w:rPr>
        <w:t>gl</w:t>
      </w:r>
      <w:r w:rsidR="008E0C17" w:rsidRPr="0035461C">
        <w:rPr>
          <w:rFonts w:ascii="Calibri" w:hAnsi="Calibri" w:cs="Calibri"/>
        </w:rPr>
        <w:t>ycaemi</w:t>
      </w:r>
      <w:r w:rsidRPr="0035461C">
        <w:rPr>
          <w:rFonts w:ascii="Calibri" w:hAnsi="Calibri" w:cs="Calibri"/>
        </w:rPr>
        <w:t xml:space="preserve">a in people using </w:t>
      </w:r>
      <w:r w:rsidR="00475B61" w:rsidRPr="0035461C">
        <w:rPr>
          <w:rFonts w:ascii="Calibri" w:hAnsi="Calibri" w:cs="Calibri"/>
        </w:rPr>
        <w:t>CGM,</w:t>
      </w:r>
      <w:r w:rsidRPr="0035461C">
        <w:rPr>
          <w:rFonts w:ascii="Calibri" w:hAnsi="Calibri" w:cs="Calibri"/>
        </w:rPr>
        <w:t xml:space="preserve"> </w:t>
      </w:r>
      <w:r w:rsidR="00475B61" w:rsidRPr="0035461C">
        <w:rPr>
          <w:rFonts w:ascii="Calibri" w:hAnsi="Calibri" w:cs="Calibri"/>
        </w:rPr>
        <w:t xml:space="preserve">demonstrated an increase in the rate of </w:t>
      </w:r>
      <w:r w:rsidR="00A765E6">
        <w:rPr>
          <w:rFonts w:ascii="Calibri" w:hAnsi="Calibri" w:cs="Calibri"/>
        </w:rPr>
        <w:t>level 3 hypo</w:t>
      </w:r>
      <w:r w:rsidR="00475B61" w:rsidRPr="0035461C">
        <w:rPr>
          <w:rFonts w:ascii="Calibri" w:hAnsi="Calibri" w:cs="Calibri"/>
        </w:rPr>
        <w:t xml:space="preserve">glycaemia with lower </w:t>
      </w:r>
      <w:r w:rsidR="00475B61" w:rsidRPr="0035461C">
        <w:rPr>
          <w:rFonts w:ascii="Calibri" w:hAnsi="Calibri" w:cs="Calibri"/>
          <w:color w:val="232323"/>
          <w:shd w:val="clear" w:color="auto" w:fill="FFFFFF"/>
        </w:rPr>
        <w:t>HbA</w:t>
      </w:r>
      <w:r w:rsidR="00475B61" w:rsidRPr="0035461C">
        <w:rPr>
          <w:rFonts w:ascii="Calibri" w:hAnsi="Calibri" w:cs="Calibri"/>
          <w:color w:val="232323"/>
          <w:shd w:val="clear" w:color="auto" w:fill="FFFFFF"/>
          <w:vertAlign w:val="subscript"/>
        </w:rPr>
        <w:t>1c</w:t>
      </w:r>
      <w:r w:rsidR="00475B61" w:rsidRPr="0035461C">
        <w:rPr>
          <w:rFonts w:ascii="Calibri" w:hAnsi="Calibri" w:cs="Calibri"/>
        </w:rPr>
        <w:t>, similar to what was reported in the DCCT</w:t>
      </w:r>
      <w:r w:rsidR="008965FB" w:rsidRPr="0035461C">
        <w:rPr>
          <w:rFonts w:ascii="Calibri" w:hAnsi="Calibri" w:cs="Calibri"/>
        </w:rPr>
        <w:t xml:space="preserve"> </w:t>
      </w:r>
      <w:r w:rsidR="009D5CA9" w:rsidRPr="0035461C">
        <w:rPr>
          <w:rFonts w:ascii="Calibri" w:hAnsi="Calibri" w:cs="Calibri"/>
        </w:rPr>
        <w:fldChar w:fldCharType="begin"/>
      </w:r>
      <w:r w:rsidR="00076F77">
        <w:rPr>
          <w:rFonts w:ascii="Calibri" w:hAnsi="Calibri" w:cs="Calibri"/>
        </w:rPr>
        <w:instrText xml:space="preserve"> ADDIN ZOTERO_ITEM CSL_CITATION {"citationID":"T7rkp6Lv","properties":{"formattedCitation":"(105)","plainCitation":"(105)","noteIndex":0},"citationItems":[{"id":11074,"uris":["http://zotero.org/groups/369679/items/8FITTJGC"],"uri":["http://zotero.org/groups/369679/items/8FITTJGC"],"itemData":{"id":11074,"type":"article-journal","abstract":"AIMS: We aimed to re-assess the previously shown but recently disputed association between HbA1c and severe hypoglycemia.\nMETHODS: 52 Patients with T1D and IAH participated in an earlier reported randomized, crossover trial with two 16-week intervention periods comparing continuous glucose monitoring (CGM) with self-monitoring of blood glucose (SMBG). In this previous study, time spent in normoglycemia (the primary outcome), was improved by 9.6% (p&lt;0.0001). We performed post-hoc analyses using a zero-inflated Poisson regression model to assess the relationship between severe hypoglycemia and HbA1c, glucose variability and duration of diabetes.\nRESULTS: During SMBG use, HbA1c and the number of severe hypoglycemic events were negatively associated (OR 0.20 [95% CI 0.09 to 0.44]). During CGM use, this relationship showed an odds ratio of 0.65 (95% CI 0.42 to 1.01). There was no significant relationship between glucose variability or duration of diabetes and severe hypoglycemia.\nCONCLUSIONS: In patients with T1D and IAH, treated with standard SMBG, a negative association exists between HbA1c and the number of severe hypoglycemic events. Thus, reaching target HbA1c values still comes with a higher risk of severe hypoglycemia. CGM weakens this association, suggesting CGM enables patients to reach their target HbA1c more safely.","container-title":"Journal of Diabetes and Its Complications","DOI":"10.1016/j.jdiacomp.2017.09.005","ISSN":"1873-460X","issue":"1","journalAbbreviation":"J Diabetes Complications","language":"eng","note":"PMID: 29054335","page":"100-103","source":"PubMed","title":"The relation between HbA1c and hypoglycemia revisited; a secondary analysis from an intervention trial in patients with type 1 diabetes and impaired awareness of hypoglycemia","volume":"32","author":[{"family":"Beers","given":"Cornelis A. J.","non-dropping-particle":"van"},{"family":"Caris","given":"Martine G."},{"family":"DeVries","given":"J. Hans"},{"family":"Serné","given":"Erik H."}],"issued":{"date-parts":[["2018",1]]}}}],"schema":"https://github.com/citation-style-language/schema/raw/master/csl-citation.json"} </w:instrText>
      </w:r>
      <w:r w:rsidR="009D5CA9" w:rsidRPr="0035461C">
        <w:rPr>
          <w:rFonts w:ascii="Calibri" w:hAnsi="Calibri" w:cs="Calibri"/>
        </w:rPr>
        <w:fldChar w:fldCharType="separate"/>
      </w:r>
      <w:r w:rsidR="00076F77" w:rsidRPr="00076F77">
        <w:rPr>
          <w:rFonts w:ascii="Calibri" w:hAnsi="Calibri" w:cs="Calibri"/>
        </w:rPr>
        <w:t>(105)</w:t>
      </w:r>
      <w:r w:rsidR="009D5CA9" w:rsidRPr="0035461C">
        <w:rPr>
          <w:rFonts w:ascii="Calibri" w:hAnsi="Calibri" w:cs="Calibri"/>
        </w:rPr>
        <w:fldChar w:fldCharType="end"/>
      </w:r>
      <w:r w:rsidR="008965FB" w:rsidRPr="0035461C">
        <w:rPr>
          <w:rFonts w:ascii="Calibri" w:hAnsi="Calibri" w:cs="Calibri"/>
        </w:rPr>
        <w:t>.</w:t>
      </w:r>
      <w:r w:rsidR="00475B61" w:rsidRPr="0035461C">
        <w:rPr>
          <w:rFonts w:ascii="Calibri" w:hAnsi="Calibri" w:cs="Calibri"/>
        </w:rPr>
        <w:t xml:space="preserve"> This implies that</w:t>
      </w:r>
      <w:r w:rsidR="002B4076" w:rsidRPr="0035461C">
        <w:rPr>
          <w:rFonts w:ascii="Calibri" w:hAnsi="Calibri" w:cs="Calibri"/>
        </w:rPr>
        <w:t xml:space="preserve"> </w:t>
      </w:r>
      <w:r w:rsidR="00475B61" w:rsidRPr="0035461C">
        <w:rPr>
          <w:rFonts w:ascii="Calibri" w:hAnsi="Calibri" w:cs="Calibri"/>
          <w:lang w:val="en-GB"/>
        </w:rPr>
        <w:t>lowering HbA</w:t>
      </w:r>
      <w:r w:rsidR="00475B61" w:rsidRPr="0035461C">
        <w:rPr>
          <w:rFonts w:ascii="Calibri" w:hAnsi="Calibri" w:cs="Calibri"/>
          <w:vertAlign w:val="subscript"/>
          <w:lang w:val="en-GB"/>
        </w:rPr>
        <w:t>1c</w:t>
      </w:r>
      <w:r w:rsidR="00475B61" w:rsidRPr="0035461C">
        <w:rPr>
          <w:rFonts w:ascii="Calibri" w:hAnsi="Calibri" w:cs="Calibri"/>
          <w:lang w:val="en-GB"/>
        </w:rPr>
        <w:t xml:space="preserve"> may still come with a higher risk of </w:t>
      </w:r>
      <w:r w:rsidR="00A765E6">
        <w:rPr>
          <w:rFonts w:ascii="Calibri" w:hAnsi="Calibri" w:cs="Calibri"/>
          <w:lang w:val="en-GB"/>
        </w:rPr>
        <w:t>level 3 hypo</w:t>
      </w:r>
      <w:r w:rsidR="00475B61" w:rsidRPr="0035461C">
        <w:rPr>
          <w:rFonts w:ascii="Calibri" w:hAnsi="Calibri" w:cs="Calibri"/>
          <w:lang w:val="en-GB"/>
        </w:rPr>
        <w:t>glycaemia</w:t>
      </w:r>
      <w:r w:rsidR="002B4076" w:rsidRPr="0035461C">
        <w:rPr>
          <w:rFonts w:ascii="Calibri" w:hAnsi="Calibri" w:cs="Calibri"/>
          <w:lang w:val="en-GB"/>
        </w:rPr>
        <w:t>.</w:t>
      </w:r>
    </w:p>
    <w:p w14:paraId="7082BCCF" w14:textId="3D3A36A4" w:rsidR="00567D76" w:rsidRDefault="00567D76" w:rsidP="001C5BC0">
      <w:pPr>
        <w:spacing w:before="120"/>
        <w:jc w:val="both"/>
        <w:rPr>
          <w:rFonts w:ascii="Calibri" w:hAnsi="Calibri" w:cs="Calibri"/>
          <w:color w:val="232323"/>
          <w:shd w:val="clear" w:color="auto" w:fill="FFFFFF"/>
        </w:rPr>
      </w:pPr>
      <w:r w:rsidRPr="0035461C">
        <w:rPr>
          <w:rFonts w:ascii="Calibri" w:hAnsi="Calibri" w:cs="Calibri"/>
          <w:color w:val="232323"/>
          <w:shd w:val="clear" w:color="auto" w:fill="FFFFFF"/>
        </w:rPr>
        <w:t>Mortality from hypoglyc</w:t>
      </w:r>
      <w:r w:rsidR="00CA08BF" w:rsidRPr="0035461C">
        <w:rPr>
          <w:rFonts w:ascii="Calibri" w:hAnsi="Calibri" w:cs="Calibri"/>
          <w:color w:val="232323"/>
          <w:shd w:val="clear" w:color="auto" w:fill="FFFFFF"/>
        </w:rPr>
        <w:t>a</w:t>
      </w:r>
      <w:r w:rsidRPr="0035461C">
        <w:rPr>
          <w:rFonts w:ascii="Calibri" w:hAnsi="Calibri" w:cs="Calibri"/>
          <w:color w:val="232323"/>
          <w:shd w:val="clear" w:color="auto" w:fill="FFFFFF"/>
        </w:rPr>
        <w:t xml:space="preserve">emia in </w:t>
      </w:r>
      <w:r w:rsidR="00CA08BF" w:rsidRPr="0035461C">
        <w:rPr>
          <w:rFonts w:ascii="Calibri" w:hAnsi="Calibri" w:cs="Calibri"/>
          <w:color w:val="232323"/>
          <w:shd w:val="clear" w:color="auto" w:fill="FFFFFF"/>
        </w:rPr>
        <w:t>type 1 diabetes</w:t>
      </w:r>
      <w:r w:rsidRPr="0035461C">
        <w:rPr>
          <w:rFonts w:ascii="Calibri" w:hAnsi="Calibri" w:cs="Calibri"/>
          <w:color w:val="232323"/>
          <w:shd w:val="clear" w:color="auto" w:fill="FFFFFF"/>
        </w:rPr>
        <w:t xml:space="preserve"> is not trivial. One recent trial noted more than 8% of deaths for those </w:t>
      </w:r>
      <w:r w:rsidR="00816053" w:rsidRPr="0035461C">
        <w:rPr>
          <w:rFonts w:ascii="Calibri" w:hAnsi="Calibri" w:cs="Calibri"/>
          <w:color w:val="232323"/>
          <w:shd w:val="clear" w:color="auto" w:fill="FFFFFF"/>
        </w:rPr>
        <w:t>younger</w:t>
      </w:r>
      <w:r w:rsidRPr="0035461C">
        <w:rPr>
          <w:rFonts w:ascii="Calibri" w:hAnsi="Calibri" w:cs="Calibri"/>
          <w:color w:val="232323"/>
          <w:shd w:val="clear" w:color="auto" w:fill="FFFFFF"/>
        </w:rPr>
        <w:t xml:space="preserve"> than 56 years w</w:t>
      </w:r>
      <w:r w:rsidR="001F6860" w:rsidRPr="0035461C">
        <w:rPr>
          <w:rFonts w:ascii="Calibri" w:hAnsi="Calibri" w:cs="Calibri"/>
          <w:color w:val="232323"/>
          <w:shd w:val="clear" w:color="auto" w:fill="FFFFFF"/>
        </w:rPr>
        <w:t>ere</w:t>
      </w:r>
      <w:r w:rsidRPr="0035461C">
        <w:rPr>
          <w:rFonts w:ascii="Calibri" w:hAnsi="Calibri" w:cs="Calibri"/>
          <w:color w:val="232323"/>
          <w:shd w:val="clear" w:color="auto" w:fill="FFFFFF"/>
        </w:rPr>
        <w:t xml:space="preserve"> from hypoglyc</w:t>
      </w:r>
      <w:r w:rsidR="00CA08BF" w:rsidRPr="0035461C">
        <w:rPr>
          <w:rFonts w:ascii="Calibri" w:hAnsi="Calibri" w:cs="Calibri"/>
          <w:color w:val="232323"/>
          <w:shd w:val="clear" w:color="auto" w:fill="FFFFFF"/>
        </w:rPr>
        <w:t>a</w:t>
      </w:r>
      <w:r w:rsidRPr="0035461C">
        <w:rPr>
          <w:rFonts w:ascii="Calibri" w:hAnsi="Calibri" w:cs="Calibri"/>
          <w:color w:val="232323"/>
          <w:shd w:val="clear" w:color="auto" w:fill="FFFFFF"/>
        </w:rPr>
        <w:t>emia</w:t>
      </w:r>
      <w:r w:rsidR="008965FB" w:rsidRPr="0035461C">
        <w:rPr>
          <w:rFonts w:ascii="Calibri" w:hAnsi="Calibri" w:cs="Calibri"/>
          <w:color w:val="232323"/>
          <w:shd w:val="clear" w:color="auto" w:fill="FFFFFF"/>
        </w:rPr>
        <w:t xml:space="preserve"> </w:t>
      </w:r>
      <w:r w:rsidR="0040765F" w:rsidRPr="0035461C">
        <w:rPr>
          <w:rFonts w:ascii="Calibri" w:hAnsi="Calibri" w:cs="Calibri"/>
          <w:color w:val="232323"/>
          <w:shd w:val="clear" w:color="auto" w:fill="FFFFFF"/>
        </w:rPr>
        <w:fldChar w:fldCharType="begin"/>
      </w:r>
      <w:r w:rsidR="00076F77">
        <w:rPr>
          <w:rFonts w:ascii="Calibri" w:hAnsi="Calibri" w:cs="Calibri"/>
          <w:color w:val="232323"/>
          <w:shd w:val="clear" w:color="auto" w:fill="FFFFFF"/>
        </w:rPr>
        <w:instrText xml:space="preserve"> ADDIN ZOTERO_ITEM CSL_CITATION {"citationID":"jCLHGegb","properties":{"formattedCitation":"(106)","plainCitation":"(106)","noteIndex":0},"citationItems":[{"id":11076,"uris":["http://zotero.org/groups/369679/items/2UTUGF8N"],"uri":["http://zotero.org/groups/369679/items/2UTUGF8N"],"itemData":{"id":11076,"type":"article-journal","abstract":"AIMS: To assess the causes of death and cause-specific standardized mortality ratios in two nationwide, population-based cohorts diagnosed with Type 1 diabetes during the periods 1973-1982 and 1989-2012, and to evaluate changes in causes of death during the follow-up period.\nMETHODS: People with Type 1 diabetes who were aged &lt; 15 years at diagnosis were identified in the Norwegian Childhood Diabetes Registry and followed from diagnosis until death, emigration or September 2013 (n = 7871). We assessed causes of death by linking data to the nationwide Cause of Death Registry and through a review committee that evaluated medical records, autopsy reports and death certificates.\nRESULTS: During a mean (range) follow-up of 16.8 (0-40.7) years, 241 individuals (3.1%) died, representing 132 143 person-years. The leading cause of death before the age of 30 years was acute complications (41/119, 34.5%). After the age of 30 years cardiovascular disease was predominant (41/122, 33.6%), although death attributable to acute complications was still important in this age group (22/122, 18.0%). A total of 5% of deaths were caused by 'dead-in-bed' syndrome. The standardized mortality ratio was elevated for cardiovascular disease [11.9 (95% CI 8.6-16.4)] and violent death [1.7 (95% CI 1.3-2.1)] in both sexes combined, but was elevated for suicide only in women [2.5 (95% CI 1.2-5.3)]. The risk of death from acute complications was approximately half in women compared with men [hazard ratio 0.43 (95% CI 0.25-0.76)], and did not change with more recent year of diagnosis [hazard ratio 1.02 (0.98-1.05)].\nCONCLUSIONS: There was no change in mortality attributable to acute complications during the study period. To reduce premature mortality in people with childhood-onset diabetes focus should be on prevention of acute complications. Male gender implied increased risk.","container-title":"Diabetic Medicine: A Journal of the British Diabetic Association","DOI":"10.1111/dme.13114","ISSN":"1464-5491","issue":"1","journalAbbreviation":"Diabet Med","language":"eng","note":"PMID: 26996105","page":"56-63","source":"PubMed","title":"Causes of death in childhood-onset Type 1 diabetes: long-term follow-up","title-short":"Causes of death in childhood-onset Type 1 diabetes","volume":"34","author":[{"family":"Gagnum","given":"V."},{"family":"Stene","given":"L. C."},{"family":"Jenssen","given":"T. G."},{"family":"Berteussen","given":"L. M."},{"family":"Sandvik","given":"L."},{"family":"Joner","given":"G."},{"family":"Njølstad","given":"P. R."},{"family":"Skrivarhaug","given":"T."}],"issued":{"date-parts":[["2017",1]]}}}],"schema":"https://github.com/citation-style-language/schema/raw/master/csl-citation.json"} </w:instrText>
      </w:r>
      <w:r w:rsidR="0040765F" w:rsidRPr="0035461C">
        <w:rPr>
          <w:rFonts w:ascii="Calibri" w:hAnsi="Calibri" w:cs="Calibri"/>
          <w:color w:val="232323"/>
          <w:shd w:val="clear" w:color="auto" w:fill="FFFFFF"/>
        </w:rPr>
        <w:fldChar w:fldCharType="separate"/>
      </w:r>
      <w:r w:rsidR="00076F77" w:rsidRPr="00076F77">
        <w:rPr>
          <w:rFonts w:ascii="Calibri" w:hAnsi="Calibri" w:cs="Calibri"/>
        </w:rPr>
        <w:t>(106)</w:t>
      </w:r>
      <w:r w:rsidR="0040765F" w:rsidRPr="0035461C">
        <w:rPr>
          <w:rFonts w:ascii="Calibri" w:hAnsi="Calibri" w:cs="Calibri"/>
          <w:color w:val="232323"/>
          <w:shd w:val="clear" w:color="auto" w:fill="FFFFFF"/>
        </w:rPr>
        <w:fldChar w:fldCharType="end"/>
      </w:r>
      <w:r w:rsidR="008965FB" w:rsidRPr="0035461C">
        <w:rPr>
          <w:rFonts w:ascii="Calibri" w:hAnsi="Calibri" w:cs="Calibri"/>
          <w:color w:val="232323"/>
          <w:shd w:val="clear" w:color="auto" w:fill="FFFFFF"/>
        </w:rPr>
        <w:t>.</w:t>
      </w:r>
      <w:r w:rsidRPr="0035461C">
        <w:rPr>
          <w:rFonts w:ascii="Calibri" w:hAnsi="Calibri" w:cs="Calibri"/>
          <w:color w:val="232323"/>
          <w:shd w:val="clear" w:color="auto" w:fill="FFFFFF"/>
        </w:rPr>
        <w:t xml:space="preserve"> The mechanism for this is complex, including cardiac arrhythmias, activation of both the coagulation system and inflammation, and endothelial dysfunction</w:t>
      </w:r>
      <w:r w:rsidR="008965FB" w:rsidRPr="0035461C">
        <w:rPr>
          <w:rFonts w:ascii="Calibri" w:hAnsi="Calibri" w:cs="Calibri"/>
          <w:color w:val="232323"/>
          <w:shd w:val="clear" w:color="auto" w:fill="FFFFFF"/>
        </w:rPr>
        <w:t xml:space="preserve"> </w:t>
      </w:r>
      <w:r w:rsidR="007164E9" w:rsidRPr="0035461C">
        <w:rPr>
          <w:rFonts w:ascii="Calibri" w:hAnsi="Calibri" w:cs="Calibri"/>
          <w:color w:val="232323"/>
          <w:shd w:val="clear" w:color="auto" w:fill="FFFFFF"/>
        </w:rPr>
        <w:fldChar w:fldCharType="begin"/>
      </w:r>
      <w:r w:rsidR="00076F77">
        <w:rPr>
          <w:rFonts w:ascii="Calibri" w:hAnsi="Calibri" w:cs="Calibri"/>
          <w:color w:val="232323"/>
          <w:shd w:val="clear" w:color="auto" w:fill="FFFFFF"/>
        </w:rPr>
        <w:instrText xml:space="preserve"> ADDIN ZOTERO_ITEM CSL_CITATION {"citationID":"HQ4IVKM0","properties":{"formattedCitation":"(107)","plainCitation":"(107)","noteIndex":0},"citationItems":[{"id":11078,"uris":["http://zotero.org/groups/369679/items/22CF65X7"],"uri":["http://zotero.org/groups/369679/items/22CF65X7"],"itemData":{"id":11078,"type":"article-journal","abstract":"Hypoglycaemia has long been recognised as a dangerous side-effect of treatment of diabetes with insulin or insulin secretagogues. With its potential to disrupt cerebral function, hypoglycaemia can have a major effect on peoples' lives. Study findings have suggested that hypoglycaemia is associated with an increased risk of cardiovascular events and mortality. Different mechanisms by which hypoglycaemia might provoke cardiovascular events have been identified in experimental studies, and in clinical studies cardiac arrhythmias have been reported to be induced by hypoglycaemia, with one report describing sudden death during a severe episode. Emerging evidence suggests that the association between hypoglycaemia and cardiovascular events and mortality is likely to be multifactorial. The association is probably partly caused by confounding, with hypoglycaemia occurring more frequently in people with comorbidities who are also more likely to die than those without. However, people with type 1 or type 2 diabetes also seem at risk of hypoglycaemia-induced cardiovascular effects. This risk should be recognised by clinicians when agreeing glycaemic goals with patients and choosing appropriate glucose-lowering therapies.","container-title":"The Lancet. Diabetes &amp; Endocrinology","DOI":"10.1016/S2213-8587(18)30315-2","ISSN":"2213-8595","issue":"5","journalAbbreviation":"Lancet Diabetes Endocrinol","language":"eng","note":"PMID: 30926258","page":"385-396","source":"PubMed","title":"Hypoglycaemia, cardiovascular disease, and mortality in diabetes: epidemiology, pathogenesis, and management","title-short":"Hypoglycaemia, cardiovascular disease, and mortality in diabetes","volume":"7","author":[{"literal":"International Hypoglycaemia Study Group"}],"issued":{"date-parts":[["2019",5]]}}}],"schema":"https://github.com/citation-style-language/schema/raw/master/csl-citation.json"} </w:instrText>
      </w:r>
      <w:r w:rsidR="007164E9" w:rsidRPr="0035461C">
        <w:rPr>
          <w:rFonts w:ascii="Calibri" w:hAnsi="Calibri" w:cs="Calibri"/>
          <w:color w:val="232323"/>
          <w:shd w:val="clear" w:color="auto" w:fill="FFFFFF"/>
        </w:rPr>
        <w:fldChar w:fldCharType="separate"/>
      </w:r>
      <w:r w:rsidR="00076F77" w:rsidRPr="00076F77">
        <w:rPr>
          <w:rFonts w:ascii="Calibri" w:hAnsi="Calibri" w:cs="Calibri"/>
        </w:rPr>
        <w:t>(107)</w:t>
      </w:r>
      <w:r w:rsidR="007164E9" w:rsidRPr="0035461C">
        <w:rPr>
          <w:rFonts w:ascii="Calibri" w:hAnsi="Calibri" w:cs="Calibri"/>
          <w:color w:val="232323"/>
          <w:shd w:val="clear" w:color="auto" w:fill="FFFFFF"/>
        </w:rPr>
        <w:fldChar w:fldCharType="end"/>
      </w:r>
      <w:r w:rsidR="008965FB" w:rsidRPr="0035461C">
        <w:rPr>
          <w:rFonts w:ascii="Calibri" w:hAnsi="Calibri" w:cs="Calibri"/>
          <w:color w:val="232323"/>
          <w:shd w:val="clear" w:color="auto" w:fill="FFFFFF"/>
        </w:rPr>
        <w:t>.</w:t>
      </w:r>
      <w:r w:rsidRPr="0035461C">
        <w:rPr>
          <w:rFonts w:ascii="Calibri" w:hAnsi="Calibri" w:cs="Calibri"/>
          <w:color w:val="232323"/>
          <w:shd w:val="clear" w:color="auto" w:fill="FFFFFF"/>
        </w:rPr>
        <w:t xml:space="preserve"> What may not be as well recognized is that </w:t>
      </w:r>
      <w:r w:rsidR="00A765E6">
        <w:rPr>
          <w:rFonts w:ascii="Calibri" w:hAnsi="Calibri" w:cs="Calibri"/>
          <w:color w:val="232323"/>
          <w:shd w:val="clear" w:color="auto" w:fill="FFFFFF"/>
        </w:rPr>
        <w:t>level 3</w:t>
      </w:r>
      <w:r w:rsidRPr="0035461C">
        <w:rPr>
          <w:rFonts w:ascii="Calibri" w:hAnsi="Calibri" w:cs="Calibri"/>
          <w:color w:val="232323"/>
          <w:shd w:val="clear" w:color="auto" w:fill="FFFFFF"/>
        </w:rPr>
        <w:t xml:space="preserve"> hypogl</w:t>
      </w:r>
      <w:r w:rsidR="008E0C17" w:rsidRPr="0035461C">
        <w:rPr>
          <w:rFonts w:ascii="Calibri" w:hAnsi="Calibri" w:cs="Calibri"/>
          <w:color w:val="232323"/>
          <w:shd w:val="clear" w:color="auto" w:fill="FFFFFF"/>
        </w:rPr>
        <w:t>ycaemi</w:t>
      </w:r>
      <w:r w:rsidRPr="0035461C">
        <w:rPr>
          <w:rFonts w:ascii="Calibri" w:hAnsi="Calibri" w:cs="Calibri"/>
          <w:color w:val="232323"/>
          <w:shd w:val="clear" w:color="auto" w:fill="FFFFFF"/>
        </w:rPr>
        <w:t>a is also associated with major microvascular events, non-cardiovascular disease, and death from any cause</w:t>
      </w:r>
      <w:r w:rsidR="00EC16D9">
        <w:rPr>
          <w:rFonts w:ascii="Calibri" w:hAnsi="Calibri" w:cs="Calibri"/>
          <w:color w:val="232323"/>
          <w:shd w:val="clear" w:color="auto" w:fill="FFFFFF"/>
        </w:rPr>
        <w:t xml:space="preserve">, although much of </w:t>
      </w:r>
      <w:r w:rsidR="00217F16">
        <w:rPr>
          <w:rFonts w:ascii="Calibri" w:hAnsi="Calibri" w:cs="Calibri"/>
          <w:color w:val="232323"/>
          <w:shd w:val="clear" w:color="auto" w:fill="FFFFFF"/>
        </w:rPr>
        <w:t>this</w:t>
      </w:r>
      <w:r w:rsidR="00EC16D9">
        <w:rPr>
          <w:rFonts w:ascii="Calibri" w:hAnsi="Calibri" w:cs="Calibri"/>
          <w:color w:val="232323"/>
          <w:shd w:val="clear" w:color="auto" w:fill="FFFFFF"/>
        </w:rPr>
        <w:t xml:space="preserve"> evidence is obtained from people with type 2 diabetes</w:t>
      </w:r>
      <w:r w:rsidR="008965FB" w:rsidRPr="0035461C">
        <w:rPr>
          <w:rFonts w:ascii="Calibri" w:hAnsi="Calibri" w:cs="Calibri"/>
          <w:color w:val="232323"/>
          <w:shd w:val="clear" w:color="auto" w:fill="FFFFFF"/>
        </w:rPr>
        <w:t xml:space="preserve"> </w:t>
      </w:r>
      <w:r w:rsidR="002D4A11" w:rsidRPr="0035461C">
        <w:rPr>
          <w:rFonts w:ascii="Calibri" w:hAnsi="Calibri" w:cs="Calibri"/>
          <w:color w:val="232323"/>
          <w:shd w:val="clear" w:color="auto" w:fill="FFFFFF"/>
        </w:rPr>
        <w:fldChar w:fldCharType="begin"/>
      </w:r>
      <w:r w:rsidR="00076F77">
        <w:rPr>
          <w:rFonts w:ascii="Calibri" w:hAnsi="Calibri" w:cs="Calibri"/>
          <w:color w:val="232323"/>
          <w:shd w:val="clear" w:color="auto" w:fill="FFFFFF"/>
        </w:rPr>
        <w:instrText xml:space="preserve"> ADDIN ZOTERO_ITEM CSL_CITATION {"citationID":"j6Tn2GqL","properties":{"formattedCitation":"(107)","plainCitation":"(107)","noteIndex":0},"citationItems":[{"id":11078,"uris":["http://zotero.org/groups/369679/items/22CF65X7"],"uri":["http://zotero.org/groups/369679/items/22CF65X7"],"itemData":{"id":11078,"type":"article-journal","abstract":"Hypoglycaemia has long been recognised as a dangerous side-effect of treatment of diabetes with insulin or insulin secretagogues. With its potential to disrupt cerebral function, hypoglycaemia can have a major effect on peoples' lives. Study findings have suggested that hypoglycaemia is associated with an increased risk of cardiovascular events and mortality. Different mechanisms by which hypoglycaemia might provoke cardiovascular events have been identified in experimental studies, and in clinical studies cardiac arrhythmias have been reported to be induced by hypoglycaemia, with one report describing sudden death during a severe episode. Emerging evidence suggests that the association between hypoglycaemia and cardiovascular events and mortality is likely to be multifactorial. The association is probably partly caused by confounding, with hypoglycaemia occurring more frequently in people with comorbidities who are also more likely to die than those without. However, people with type 1 or type 2 diabetes also seem at risk of hypoglycaemia-induced cardiovascular effects. This risk should be recognised by clinicians when agreeing glycaemic goals with patients and choosing appropriate glucose-lowering therapies.","container-title":"The Lancet. Diabetes &amp; Endocrinology","DOI":"10.1016/S2213-8587(18)30315-2","ISSN":"2213-8595","issue":"5","journalAbbreviation":"Lancet Diabetes Endocrinol","language":"eng","note":"PMID: 30926258","page":"385-396","source":"PubMed","title":"Hypoglycaemia, cardiovascular disease, and mortality in diabetes: epidemiology, pathogenesis, and management","title-short":"Hypoglycaemia, cardiovascular disease, and mortality in diabetes","volume":"7","author":[{"literal":"International Hypoglycaemia Study Group"}],"issued":{"date-parts":[["2019",5]]}}}],"schema":"https://github.com/citation-style-language/schema/raw/master/csl-citation.json"} </w:instrText>
      </w:r>
      <w:r w:rsidR="002D4A11" w:rsidRPr="0035461C">
        <w:rPr>
          <w:rFonts w:ascii="Calibri" w:hAnsi="Calibri" w:cs="Calibri"/>
          <w:color w:val="232323"/>
          <w:shd w:val="clear" w:color="auto" w:fill="FFFFFF"/>
        </w:rPr>
        <w:fldChar w:fldCharType="separate"/>
      </w:r>
      <w:r w:rsidR="00076F77" w:rsidRPr="00076F77">
        <w:rPr>
          <w:rFonts w:ascii="Calibri" w:hAnsi="Calibri" w:cs="Calibri"/>
        </w:rPr>
        <w:t>(107)</w:t>
      </w:r>
      <w:r w:rsidR="002D4A11" w:rsidRPr="0035461C">
        <w:rPr>
          <w:rFonts w:ascii="Calibri" w:hAnsi="Calibri" w:cs="Calibri"/>
          <w:color w:val="232323"/>
          <w:shd w:val="clear" w:color="auto" w:fill="FFFFFF"/>
        </w:rPr>
        <w:fldChar w:fldCharType="end"/>
      </w:r>
      <w:r w:rsidR="008965FB" w:rsidRPr="0035461C">
        <w:rPr>
          <w:rFonts w:ascii="Calibri" w:hAnsi="Calibri" w:cs="Calibri"/>
          <w:color w:val="232323"/>
          <w:shd w:val="clear" w:color="auto" w:fill="FFFFFF"/>
        </w:rPr>
        <w:t>.</w:t>
      </w:r>
      <w:r w:rsidRPr="0035461C">
        <w:rPr>
          <w:rFonts w:ascii="Calibri" w:hAnsi="Calibri" w:cs="Calibri"/>
          <w:color w:val="232323"/>
          <w:shd w:val="clear" w:color="auto" w:fill="FFFFFF"/>
        </w:rPr>
        <w:t xml:space="preserve"> With regards to cognitive function, in the D</w:t>
      </w:r>
      <w:r w:rsidR="00200179">
        <w:rPr>
          <w:rFonts w:ascii="Calibri" w:hAnsi="Calibri" w:cs="Calibri"/>
          <w:color w:val="232323"/>
          <w:shd w:val="clear" w:color="auto" w:fill="FFFFFF"/>
        </w:rPr>
        <w:t>CCT</w:t>
      </w:r>
      <w:r w:rsidR="00EC16D9">
        <w:rPr>
          <w:rFonts w:ascii="Calibri" w:hAnsi="Calibri" w:cs="Calibri"/>
          <w:color w:val="232323"/>
          <w:shd w:val="clear" w:color="auto" w:fill="FFFFFF"/>
        </w:rPr>
        <w:t xml:space="preserve"> and </w:t>
      </w:r>
      <w:r w:rsidR="00EC16D9" w:rsidRPr="00337517">
        <w:rPr>
          <w:rFonts w:ascii="Calibri" w:hAnsi="Calibri" w:cs="Calibri"/>
          <w:color w:val="232323"/>
          <w:shd w:val="clear" w:color="auto" w:fill="FFFFFF"/>
        </w:rPr>
        <w:t>EDIC study</w:t>
      </w:r>
      <w:r w:rsidRPr="0035461C">
        <w:rPr>
          <w:rFonts w:ascii="Calibri" w:hAnsi="Calibri" w:cs="Calibri"/>
          <w:color w:val="232323"/>
          <w:shd w:val="clear" w:color="auto" w:fill="FFFFFF"/>
        </w:rPr>
        <w:t>, after 18 years of follow-up severe hypoglyc</w:t>
      </w:r>
      <w:r w:rsidR="00CA08BF" w:rsidRPr="0035461C">
        <w:rPr>
          <w:rFonts w:ascii="Calibri" w:hAnsi="Calibri" w:cs="Calibri"/>
          <w:color w:val="232323"/>
          <w:shd w:val="clear" w:color="auto" w:fill="FFFFFF"/>
        </w:rPr>
        <w:t>a</w:t>
      </w:r>
      <w:r w:rsidRPr="0035461C">
        <w:rPr>
          <w:rFonts w:ascii="Calibri" w:hAnsi="Calibri" w:cs="Calibri"/>
          <w:color w:val="232323"/>
          <w:shd w:val="clear" w:color="auto" w:fill="FFFFFF"/>
        </w:rPr>
        <w:t xml:space="preserve">emia in middle-aged adults did not appear to </w:t>
      </w:r>
      <w:r w:rsidR="00CA08BF" w:rsidRPr="0035461C">
        <w:rPr>
          <w:rFonts w:ascii="Calibri" w:hAnsi="Calibri" w:cs="Calibri"/>
          <w:color w:val="232323"/>
          <w:shd w:val="clear" w:color="auto" w:fill="FFFFFF"/>
        </w:rPr>
        <w:t xml:space="preserve">affect </w:t>
      </w:r>
      <w:r w:rsidRPr="0035461C">
        <w:rPr>
          <w:rFonts w:ascii="Calibri" w:hAnsi="Calibri" w:cs="Calibri"/>
          <w:color w:val="232323"/>
          <w:shd w:val="clear" w:color="auto" w:fill="FFFFFF"/>
        </w:rPr>
        <w:t>neurocognitive function</w:t>
      </w:r>
      <w:r w:rsidR="008965FB" w:rsidRPr="0035461C">
        <w:rPr>
          <w:rFonts w:ascii="Calibri" w:hAnsi="Calibri" w:cs="Calibri"/>
          <w:color w:val="232323"/>
          <w:shd w:val="clear" w:color="auto" w:fill="FFFFFF"/>
        </w:rPr>
        <w:t xml:space="preserve"> </w:t>
      </w:r>
      <w:r w:rsidR="00EF5653" w:rsidRPr="0035461C">
        <w:rPr>
          <w:rFonts w:ascii="Calibri" w:hAnsi="Calibri" w:cs="Calibri"/>
          <w:color w:val="232323"/>
          <w:shd w:val="clear" w:color="auto" w:fill="FFFFFF"/>
        </w:rPr>
        <w:fldChar w:fldCharType="begin"/>
      </w:r>
      <w:r w:rsidR="00076F77">
        <w:rPr>
          <w:rFonts w:ascii="Calibri" w:hAnsi="Calibri" w:cs="Calibri"/>
          <w:color w:val="232323"/>
          <w:shd w:val="clear" w:color="auto" w:fill="FFFFFF"/>
        </w:rPr>
        <w:instrText xml:space="preserve"> ADDIN ZOTERO_ITEM CSL_CITATION {"citationID":"EyHbBBep","properties":{"formattedCitation":"(108)","plainCitation":"(108)","noteIndex":0},"citationItems":[{"id":1019,"uris":["http://zotero.org/groups/369679/items/9J389BE4"],"uri":["http://zotero.org/groups/369679/items/9J389BE4"],"itemData":{"id":1019,"type":"article-journal","abstract":"BACKGROUND: Long-standing concern about the effects of type 1 diabetes on cognitive ability has increased with the use of therapies designed to bring glucose levels close to the nondiabetic range and the attendant increased risk of severe hypoglycemia.\nMETHODS: A total of 1144 patients with type 1 diabetes enrolled in the Diabetes Control and Complications Trial (DCCT) and its follow-up Epidemiology of Diabetes Interventions and Complications (EDIC) study were examined on entry to the DCCT (at mean age 27 years) and a mean of 18 years later with the same comprehensive battery of cognitive tests. Glycated hemoglobin levels were measured and the frequency of severe hypoglycemic events leading to coma or seizures was recorded during the follow-up period. We assessed the effects of original DCCT treatment-group assignment, mean glycated hemoglobin values, and frequency of hypoglycemic events on measures of cognitive ability, with adjustment for age at baseline, sex, years of education, length of follow-up, visual acuity, self-reported sensory loss due to peripheral neuropathy, and (to control for the effects of practice) the number of cognitive tests taken in the interval since the start of the DCCT.\nRESULTS: Forty percent of the cohort reported having had at least one hypoglycemic coma or seizure. Neither frequency of severe hypoglycemia nor previous treatment-group assignment was associated with decline in any cognitive domain. Higher glycated hemoglobin values were associated with moderate declines in motor speed (P=0.001) and psychomotor efficiency (P&lt;0.001), but no other cognitive domain was affected.\nCONCLUSIONS: No evidence of substantial long-term declines in cognitive function was found in a large group of patients with type 1 diabetes who were carefully followed for an average of 18 years, despite relatively high rates of recurrent severe hypoglycemia. (ClinicalTrials.gov number, NCT00360893.)","container-title":"The New England Journal of Medicine","DOI":"10.1056/NEJMoa066397","ISSN":"1533-4406","issue":"18","journalAbbreviation":"N. Engl. J. Med.","language":"eng","note":"PMID: 17476010 \nPMCID: PMC2701294","page":"1842-1852","source":"NCBI PubMed","title":"Long-term effect of diabetes and its treatment on cognitive function","volume":"356","author":[{"literal":"Diabetes Control and Complications Trial/Epidemiology of Diabetes Interventions and Complications Study Research Group"},{"family":"Jacobson","given":"Alan M."},{"family":"Musen","given":"Gail"},{"family":"Ryan","given":"Christopher M."},{"family":"Silvers","given":"Nancy"},{"family":"Cleary","given":"Patricia"},{"family":"Waberski","given":"Barbara"},{"family":"Burwood","given":"Amanda"},{"family":"Weinger","given":"Katie"},{"family":"Bayless","given":"Meg"},{"family":"Dahms","given":"William"},{"family":"Harth","given":"Judith"}],"issued":{"date-parts":[["2007",5,3]]}}}],"schema":"https://github.com/citation-style-language/schema/raw/master/csl-citation.json"} </w:instrText>
      </w:r>
      <w:r w:rsidR="00EF5653" w:rsidRPr="0035461C">
        <w:rPr>
          <w:rFonts w:ascii="Calibri" w:hAnsi="Calibri" w:cs="Calibri"/>
          <w:color w:val="232323"/>
          <w:shd w:val="clear" w:color="auto" w:fill="FFFFFF"/>
        </w:rPr>
        <w:fldChar w:fldCharType="separate"/>
      </w:r>
      <w:r w:rsidR="00076F77" w:rsidRPr="00076F77">
        <w:rPr>
          <w:rFonts w:ascii="Calibri" w:hAnsi="Calibri" w:cs="Calibri"/>
        </w:rPr>
        <w:t>(108)</w:t>
      </w:r>
      <w:r w:rsidR="00EF5653" w:rsidRPr="0035461C">
        <w:rPr>
          <w:rFonts w:ascii="Calibri" w:hAnsi="Calibri" w:cs="Calibri"/>
          <w:color w:val="232323"/>
          <w:shd w:val="clear" w:color="auto" w:fill="FFFFFF"/>
        </w:rPr>
        <w:fldChar w:fldCharType="end"/>
      </w:r>
      <w:r w:rsidR="008965FB" w:rsidRPr="0035461C">
        <w:rPr>
          <w:rFonts w:ascii="Calibri" w:hAnsi="Calibri" w:cs="Calibri"/>
          <w:color w:val="232323"/>
          <w:shd w:val="clear" w:color="auto" w:fill="FFFFFF"/>
        </w:rPr>
        <w:t>.</w:t>
      </w:r>
      <w:r w:rsidR="009B24ED">
        <w:rPr>
          <w:rFonts w:ascii="Calibri" w:hAnsi="Calibri" w:cs="Calibri"/>
          <w:color w:val="232323"/>
          <w:shd w:val="clear" w:color="auto" w:fill="FFFFFF"/>
        </w:rPr>
        <w:t xml:space="preserve"> </w:t>
      </w:r>
      <w:r w:rsidR="009B24ED" w:rsidRPr="009B24ED">
        <w:rPr>
          <w:rFonts w:asciiTheme="minorHAnsi" w:hAnsiTheme="minorHAnsi" w:cstheme="minorHAnsi"/>
          <w:iCs/>
          <w:color w:val="212121"/>
          <w:shd w:val="clear" w:color="auto" w:fill="FFFFFF"/>
        </w:rPr>
        <w:t xml:space="preserve">However, independent of the other risk factors and comorbidities, more episodes of </w:t>
      </w:r>
      <w:r w:rsidR="00A765E6">
        <w:rPr>
          <w:rFonts w:asciiTheme="minorHAnsi" w:hAnsiTheme="minorHAnsi" w:cstheme="minorHAnsi"/>
          <w:iCs/>
          <w:color w:val="212121"/>
          <w:shd w:val="clear" w:color="auto" w:fill="FFFFFF"/>
        </w:rPr>
        <w:t>severe</w:t>
      </w:r>
      <w:r w:rsidR="009B24ED" w:rsidRPr="009B24ED">
        <w:rPr>
          <w:rFonts w:asciiTheme="minorHAnsi" w:hAnsiTheme="minorHAnsi" w:cstheme="minorHAnsi"/>
          <w:iCs/>
          <w:color w:val="212121"/>
          <w:shd w:val="clear" w:color="auto" w:fill="FFFFFF"/>
        </w:rPr>
        <w:t xml:space="preserve"> hypoglycaemia were associated with greater decrements in psychomotor and mental efficiency that </w:t>
      </w:r>
      <w:r w:rsidR="00217F16">
        <w:rPr>
          <w:rFonts w:asciiTheme="minorHAnsi" w:hAnsiTheme="minorHAnsi" w:cstheme="minorHAnsi"/>
          <w:iCs/>
          <w:color w:val="212121"/>
          <w:shd w:val="clear" w:color="auto" w:fill="FFFFFF"/>
        </w:rPr>
        <w:t>were</w:t>
      </w:r>
      <w:r w:rsidR="009B24ED" w:rsidRPr="009B24ED">
        <w:rPr>
          <w:rFonts w:asciiTheme="minorHAnsi" w:hAnsiTheme="minorHAnsi" w:cstheme="minorHAnsi"/>
          <w:iCs/>
          <w:color w:val="212121"/>
          <w:shd w:val="clear" w:color="auto" w:fill="FFFFFF"/>
        </w:rPr>
        <w:t xml:space="preserve"> most notable after 32 years of follow-up</w:t>
      </w:r>
      <w:r w:rsidR="00AA626E">
        <w:rPr>
          <w:rFonts w:asciiTheme="minorHAnsi" w:hAnsiTheme="minorHAnsi" w:cstheme="minorHAnsi"/>
          <w:iCs/>
          <w:color w:val="212121"/>
          <w:shd w:val="clear" w:color="auto" w:fill="FFFFFF"/>
        </w:rPr>
        <w:t xml:space="preserve"> </w:t>
      </w:r>
      <w:r w:rsidR="00AA626E">
        <w:rPr>
          <w:rFonts w:asciiTheme="minorHAnsi" w:hAnsiTheme="minorHAnsi" w:cstheme="minorHAnsi"/>
          <w:iCs/>
          <w:color w:val="212121"/>
          <w:shd w:val="clear" w:color="auto" w:fill="FFFFFF"/>
        </w:rPr>
        <w:fldChar w:fldCharType="begin"/>
      </w:r>
      <w:r w:rsidR="00076F77">
        <w:rPr>
          <w:rFonts w:asciiTheme="minorHAnsi" w:hAnsiTheme="minorHAnsi" w:cstheme="minorHAnsi"/>
          <w:iCs/>
          <w:color w:val="212121"/>
          <w:shd w:val="clear" w:color="auto" w:fill="FFFFFF"/>
        </w:rPr>
        <w:instrText xml:space="preserve"> ADDIN ZOTERO_ITEM CSL_CITATION {"citationID":"anstdm3gf9","properties":{"formattedCitation":"(109)","plainCitation":"(109)","noteIndex":0},"citationItems":[{"id":12508,"uris":["http://zotero.org/groups/369679/items/7K3JJMJK"],"uri":["http://zotero.org/groups/369679/items/7K3JJMJK"],"itemData":{"id":12508,"type":"article-journal","abstract":"BACKGROUND: With improved treatment, individuals with type 1 diabetes are living longer but there is limited information on the effects of type 1 diabetes on cognitive ability as they become older adults. We followed up individuals with type 1 diabetes to identify independent risk factors for cognitive decline as people age.\nMETHODS: 1051 participants with type 1 diabetes enrolled in the Diabetes Control and Complications Trial (DCCT) and its follow-up Epidemiology of Diabetes Interventions and Complications (EDIC) study. Participants completed cognitive assessments at baseline (median age 27 years) and 2, 5, 18, and 32 years later (median age 59). HbA1c levels, frequency of severe hypoglycaemia, non-glycemic risk factors such as elevated blood pressure, and microvascular and macrovascular complications were assessed repeatedly. We examined the effects of these on measures of memory and psychomotor and mental efficiency. These studies are registered with clinicaltrials.gov, NCT00360815 (DCCT) and NCT00360893 (EDIC).\nFINDINGS: Over 32 years of follow-up, we found substantive declines in memory and psychomotor and mental efficiency. Between 18 and 32 years of follow-up, the decline in psychomotor and mental efficiency was five times larger than the change from baseline to year 18. Independent of the other risk factors and comorbidities, exposure to higher HbA1c levels, more episodes of severe hypoglycaemia, and elevated systolic blood pressure were associated with greater decrements in psychomotor and mental efficiency that was most notable by year 32 (p&lt;0·0001). The combined effect of the presence of these three risk factors is the equivalent to an additional 9·4 years of age.\nINTERPRETATION: Cognitive function declines with ageing in type 1 diabetes. The association of glycaemia and blood pressure levels with cognitive decline suggests that better management might preserve cognitive function.\nFUNDING: United States National Institutes of Health, National Institute of Diabetes and Digestive and Kidney Disease.","container-title":"The Lancet. Diabetes &amp; Endocrinology","DOI":"10.1016/S2213-8587(21)00086-3","ISSN":"2213-8595","issue":"7","journalAbbreviation":"Lancet Diabetes Endocrinol","language":"eng","note":"PMID: 34051936","page":"436-445","source":"PubMed","title":"Cognitive performance declines in older adults with type 1 diabetes: results from 32 years of follow-up in the DCCT and EDIC Study","title-short":"Cognitive performance declines in older adults with type 1 diabetes","volume":"9","author":[{"family":"Jacobson","given":"Alan M."},{"family":"Ryan","given":"Christopher M."},{"family":"Braffett","given":"Barbara H."},{"family":"Gubitosi-Klug","given":"Rose A."},{"family":"Lorenzi","given":"Gayle M."},{"family":"Luchsinger","given":"José A."},{"family":"Trapani","given":"Victoria R."},{"family":"Bebu","given":"Ionut"},{"family":"Chaytor","given":"Naomi"},{"family":"Hitt","given":"Susan M."},{"family":"Farrell","given":"Kaleigh"},{"family":"Lachin","given":"John M."},{"literal":"DCCT/EDIC Research Group"}],"issued":{"date-parts":[["2021",7]]}}}],"schema":"https://github.com/citation-style-language/schema/raw/master/csl-citation.json"} </w:instrText>
      </w:r>
      <w:r w:rsidR="00AA626E">
        <w:rPr>
          <w:rFonts w:asciiTheme="minorHAnsi" w:hAnsiTheme="minorHAnsi" w:cstheme="minorHAnsi"/>
          <w:iCs/>
          <w:color w:val="212121"/>
          <w:shd w:val="clear" w:color="auto" w:fill="FFFFFF"/>
        </w:rPr>
        <w:fldChar w:fldCharType="separate"/>
      </w:r>
      <w:r w:rsidR="00076F77" w:rsidRPr="00076F77">
        <w:rPr>
          <w:rFonts w:ascii="Calibri" w:hAnsi="Calibri" w:cs="Calibri"/>
        </w:rPr>
        <w:t>(109)</w:t>
      </w:r>
      <w:r w:rsidR="00AA626E">
        <w:rPr>
          <w:rFonts w:asciiTheme="minorHAnsi" w:hAnsiTheme="minorHAnsi" w:cstheme="minorHAnsi"/>
          <w:iCs/>
          <w:color w:val="212121"/>
          <w:shd w:val="clear" w:color="auto" w:fill="FFFFFF"/>
        </w:rPr>
        <w:fldChar w:fldCharType="end"/>
      </w:r>
      <w:r w:rsidR="009B24ED" w:rsidRPr="00976B1A">
        <w:rPr>
          <w:rFonts w:asciiTheme="minorHAnsi" w:hAnsiTheme="minorHAnsi" w:cstheme="minorHAnsi"/>
          <w:iCs/>
          <w:color w:val="212121"/>
          <w:shd w:val="clear" w:color="auto" w:fill="FFFFFF"/>
        </w:rPr>
        <w:t>.</w:t>
      </w:r>
      <w:r w:rsidR="009B24ED">
        <w:rPr>
          <w:rFonts w:ascii="Calibri" w:hAnsi="Calibri" w:cs="Calibri"/>
          <w:color w:val="232323"/>
          <w:shd w:val="clear" w:color="auto" w:fill="FFFFFF"/>
        </w:rPr>
        <w:t xml:space="preserve"> </w:t>
      </w:r>
      <w:r w:rsidR="00B92FA7" w:rsidRPr="0035461C">
        <w:rPr>
          <w:rFonts w:ascii="Calibri" w:hAnsi="Calibri" w:cs="Calibri"/>
        </w:rPr>
        <w:t>It appears that</w:t>
      </w:r>
      <w:r w:rsidR="00B92FA7" w:rsidRPr="0035461C">
        <w:rPr>
          <w:rFonts w:ascii="Calibri" w:hAnsi="Calibri" w:cs="Calibri"/>
          <w:color w:val="232323"/>
          <w:shd w:val="clear" w:color="auto" w:fill="FFFFFF"/>
        </w:rPr>
        <w:t xml:space="preserve"> </w:t>
      </w:r>
      <w:r w:rsidRPr="0035461C">
        <w:rPr>
          <w:rFonts w:ascii="Calibri" w:hAnsi="Calibri" w:cs="Calibri"/>
          <w:color w:val="232323"/>
          <w:shd w:val="clear" w:color="auto" w:fill="FFFFFF"/>
        </w:rPr>
        <w:t xml:space="preserve">older adults with </w:t>
      </w:r>
      <w:r w:rsidR="00CA08BF" w:rsidRPr="0035461C">
        <w:rPr>
          <w:rFonts w:ascii="Calibri" w:hAnsi="Calibri" w:cs="Calibri"/>
          <w:color w:val="232323"/>
          <w:shd w:val="clear" w:color="auto" w:fill="FFFFFF"/>
        </w:rPr>
        <w:t>type 1 diabetes</w:t>
      </w:r>
      <w:r w:rsidRPr="0035461C">
        <w:rPr>
          <w:rFonts w:ascii="Calibri" w:hAnsi="Calibri" w:cs="Calibri"/>
          <w:color w:val="232323"/>
          <w:shd w:val="clear" w:color="auto" w:fill="FFFFFF"/>
        </w:rPr>
        <w:t xml:space="preserve"> </w:t>
      </w:r>
      <w:r w:rsidR="00CA08BF" w:rsidRPr="0035461C">
        <w:rPr>
          <w:rFonts w:ascii="Calibri" w:hAnsi="Calibri" w:cs="Calibri"/>
          <w:color w:val="232323"/>
          <w:shd w:val="clear" w:color="auto" w:fill="FFFFFF"/>
        </w:rPr>
        <w:t>are</w:t>
      </w:r>
      <w:r w:rsidRPr="0035461C">
        <w:rPr>
          <w:rFonts w:ascii="Calibri" w:hAnsi="Calibri" w:cs="Calibri"/>
          <w:color w:val="232323"/>
          <w:shd w:val="clear" w:color="auto" w:fill="FFFFFF"/>
        </w:rPr>
        <w:t xml:space="preserve"> more prone to </w:t>
      </w:r>
      <w:r w:rsidR="009C6443" w:rsidRPr="0035461C">
        <w:rPr>
          <w:rFonts w:ascii="Calibri" w:hAnsi="Calibri" w:cs="Calibri"/>
          <w:color w:val="232323"/>
          <w:shd w:val="clear" w:color="auto" w:fill="FFFFFF"/>
        </w:rPr>
        <w:t xml:space="preserve">mild </w:t>
      </w:r>
      <w:r w:rsidRPr="0035461C">
        <w:rPr>
          <w:rFonts w:ascii="Calibri" w:hAnsi="Calibri" w:cs="Calibri"/>
          <w:color w:val="232323"/>
          <w:shd w:val="clear" w:color="auto" w:fill="FFFFFF"/>
        </w:rPr>
        <w:t xml:space="preserve">cognitive impairment </w:t>
      </w:r>
      <w:r w:rsidR="009C6443" w:rsidRPr="0035461C">
        <w:rPr>
          <w:rFonts w:ascii="Calibri" w:hAnsi="Calibri" w:cs="Calibri"/>
          <w:color w:val="232323"/>
          <w:shd w:val="clear" w:color="auto" w:fill="FFFFFF"/>
        </w:rPr>
        <w:t xml:space="preserve">associated with </w:t>
      </w:r>
      <w:r w:rsidRPr="0035461C">
        <w:rPr>
          <w:rFonts w:ascii="Calibri" w:hAnsi="Calibri" w:cs="Calibri"/>
          <w:color w:val="232323"/>
          <w:shd w:val="clear" w:color="auto" w:fill="FFFFFF"/>
        </w:rPr>
        <w:t>hypoglyc</w:t>
      </w:r>
      <w:r w:rsidR="00CA08BF" w:rsidRPr="0035461C">
        <w:rPr>
          <w:rFonts w:ascii="Calibri" w:hAnsi="Calibri" w:cs="Calibri"/>
          <w:color w:val="232323"/>
          <w:shd w:val="clear" w:color="auto" w:fill="FFFFFF"/>
        </w:rPr>
        <w:t>a</w:t>
      </w:r>
      <w:r w:rsidRPr="0035461C">
        <w:rPr>
          <w:rFonts w:ascii="Calibri" w:hAnsi="Calibri" w:cs="Calibri"/>
          <w:color w:val="232323"/>
          <w:shd w:val="clear" w:color="auto" w:fill="FFFFFF"/>
        </w:rPr>
        <w:t>emia</w:t>
      </w:r>
      <w:r w:rsidR="008965FB" w:rsidRPr="0035461C">
        <w:rPr>
          <w:rFonts w:ascii="Calibri" w:hAnsi="Calibri" w:cs="Calibri"/>
          <w:color w:val="232323"/>
          <w:shd w:val="clear" w:color="auto" w:fill="FFFFFF"/>
        </w:rPr>
        <w:t xml:space="preserve"> </w:t>
      </w:r>
      <w:r w:rsidR="00D273FB" w:rsidRPr="0035461C">
        <w:rPr>
          <w:rFonts w:ascii="Calibri" w:hAnsi="Calibri" w:cs="Calibri"/>
          <w:color w:val="232323"/>
          <w:shd w:val="clear" w:color="auto" w:fill="FFFFFF"/>
        </w:rPr>
        <w:fldChar w:fldCharType="begin"/>
      </w:r>
      <w:r w:rsidR="00076F77">
        <w:rPr>
          <w:rFonts w:ascii="Calibri" w:hAnsi="Calibri" w:cs="Calibri"/>
          <w:color w:val="232323"/>
          <w:shd w:val="clear" w:color="auto" w:fill="FFFFFF"/>
        </w:rPr>
        <w:instrText xml:space="preserve"> ADDIN ZOTERO_ITEM CSL_CITATION {"citationID":"aghlc472op","properties":{"formattedCitation":"(109,110)","plainCitation":"(109,110)","noteIndex":0},"citationItems":[{"id":11083,"uris":["http://zotero.org/groups/369679/items/Q3BLAJ4I"],"uri":["http://zotero.org/groups/369679/items/Q3BLAJ4I"],"itemData":{"id":11083,"type":"article-journal","abstract":"AIMS: Little is known about cognition in older adults with type 1 diabetes. The aim of this study was to identify correlates of clinically significant cognitive impairment.\nMETHODS: Neuropsychological, diabetes-related and glycemic (HbA1c, Continuous Glucose Monitoring; CGM) data were collected from 201 older adults (≥60 years) with longstanding type 1 diabetes.\nRESULTS: Clinically significant cognitive impairment (≥2 cognitive tests ≥1.5 SD below normative data) occurred in 48% of the sample. After controlling for age, gender, education and diabetes duration, we found that hypoglycemia unawareness, recent severe hypoglycemic events, any microvascular complication, higher HbA1c and CGM average nocturnal glucose were all associated with increased odds of clinically significant cognitive impairment (ORs = 1.01-2.61), while CGM nocturnal % time below 60 mg/dL was associated with a decreased odds of cognitive impairment (OR = 0.94). Diabetes duration, diagnosis age, daytime CGM, and lifetime severe hypoglycemic events were not related to cognitive impairment status.\nCONCLUSIONS: Clinically significant cognitive impairment was common in older adults with type 1 diabetes. Diabetes-related correlates of cognitive impairment were identified, including hypoglycemia unawareness, recent severe hypoglycemic events, and CGM variables. Longitudinal research is needed to determine if these variables predict cognitive decline and if their modification alters outcomes.","container-title":"Journal of Diabetes and Its Complications","DOI":"10.1016/j.jdiacomp.2018.04.003","ISSN":"1873-460X","issue":"1","journalAbbreviation":"J Diabetes Complications","language":"eng","note":"PMID: 29728302","page":"91-97","source":"PubMed","title":"Clinically significant cognitive impairment in older adults with type 1 diabetes","volume":"33","author":[{"family":"Chaytor","given":"Naomi S."},{"family":"Barbosa-Leiker","given":"Celestina"},{"family":"Ryan","given":"Christopher M."},{"family":"Germine","given":"Laura T."},{"family":"Hirsch","given":"Irl B."},{"family":"Weinstock","given":"Ruth S."}],"issued":{"date-parts":[["2019",1]]}}},{"id":12508,"uris":["http://zotero.org/groups/369679/items/7K3JJMJK"],"uri":["http://zotero.org/groups/369679/items/7K3JJMJK"],"itemData":{"id":12508,"type":"article-journal","abstract":"BACKGROUND: With improved treatment, individuals with type 1 diabetes are living longer but there is limited information on the effects of type 1 diabetes on cognitive ability as they become older adults. We followed up individuals with type 1 diabetes to identify independent risk factors for cognitive decline as people age.\nMETHODS: 1051 participants with type 1 diabetes enrolled in the Diabetes Control and Complications Trial (DCCT) and its follow-up Epidemiology of Diabetes Interventions and Complications (EDIC) study. Participants completed cognitive assessments at baseline (median age 27 years) and 2, 5, 18, and 32 years later (median age 59). HbA1c levels, frequency of severe hypoglycaemia, non-glycemic risk factors such as elevated blood pressure, and microvascular and macrovascular complications were assessed repeatedly. We examined the effects of these on measures of memory and psychomotor and mental efficiency. These studies are registered with clinicaltrials.gov, NCT00360815 (DCCT) and NCT00360893 (EDIC).\nFINDINGS: Over 32 years of follow-up, we found substantive declines in memory and psychomotor and mental efficiency. Between 18 and 32 years of follow-up, the decline in psychomotor and mental efficiency was five times larger than the change from baseline to year 18. Independent of the other risk factors and comorbidities, exposure to higher HbA1c levels, more episodes of severe hypoglycaemia, and elevated systolic blood pressure were associated with greater decrements in psychomotor and mental efficiency that was most notable by year 32 (p&lt;0·0001). The combined effect of the presence of these three risk factors is the equivalent to an additional 9·4 years of age.\nINTERPRETATION: Cognitive function declines with ageing in type 1 diabetes. The association of glycaemia and blood pressure levels with cognitive decline suggests that better management might preserve cognitive function.\nFUNDING: United States National Institutes of Health, National Institute of Diabetes and Digestive and Kidney Disease.","container-title":"The Lancet. Diabetes &amp; Endocrinology","DOI":"10.1016/S2213-8587(21)00086-3","ISSN":"2213-8595","issue":"7","journalAbbreviation":"Lancet Diabetes Endocrinol","language":"eng","note":"PMID: 34051936","page":"436-445","source":"PubMed","title":"Cognitive performance declines in older adults with type 1 diabetes: results from 32 years of follow-up in the DCCT and EDIC Study","title-short":"Cognitive performance declines in older adults with type 1 diabetes","volume":"9","author":[{"family":"Jacobson","given":"Alan M."},{"family":"Ryan","given":"Christopher M."},{"family":"Braffett","given":"Barbara H."},{"family":"Gubitosi-Klug","given":"Rose A."},{"family":"Lorenzi","given":"Gayle M."},{"family":"Luchsinger","given":"José A."},{"family":"Trapani","given":"Victoria R."},{"family":"Bebu","given":"Ionut"},{"family":"Chaytor","given":"Naomi"},{"family":"Hitt","given":"Susan M."},{"family":"Farrell","given":"Kaleigh"},{"family":"Lachin","given":"John M."},{"literal":"DCCT/EDIC Research Group"}],"issued":{"date-parts":[["2021",7]]}}}],"schema":"https://github.com/citation-style-language/schema/raw/master/csl-citation.json"} </w:instrText>
      </w:r>
      <w:r w:rsidR="00D273FB" w:rsidRPr="0035461C">
        <w:rPr>
          <w:rFonts w:ascii="Calibri" w:hAnsi="Calibri" w:cs="Calibri"/>
          <w:color w:val="232323"/>
          <w:shd w:val="clear" w:color="auto" w:fill="FFFFFF"/>
        </w:rPr>
        <w:fldChar w:fldCharType="separate"/>
      </w:r>
      <w:r w:rsidR="00076F77" w:rsidRPr="00076F77">
        <w:rPr>
          <w:rFonts w:ascii="Calibri" w:hAnsi="Calibri" w:cs="Calibri"/>
        </w:rPr>
        <w:t>(109,110)</w:t>
      </w:r>
      <w:r w:rsidR="00D273FB" w:rsidRPr="0035461C">
        <w:rPr>
          <w:rFonts w:ascii="Calibri" w:hAnsi="Calibri" w:cs="Calibri"/>
          <w:color w:val="232323"/>
          <w:shd w:val="clear" w:color="auto" w:fill="FFFFFF"/>
        </w:rPr>
        <w:fldChar w:fldCharType="end"/>
      </w:r>
      <w:r w:rsidR="008965FB" w:rsidRPr="0035461C">
        <w:rPr>
          <w:rFonts w:ascii="Calibri" w:hAnsi="Calibri" w:cs="Calibri"/>
          <w:color w:val="232323"/>
          <w:shd w:val="clear" w:color="auto" w:fill="FFFFFF"/>
        </w:rPr>
        <w:t>,</w:t>
      </w:r>
      <w:r w:rsidR="000F34EC" w:rsidRPr="0035461C">
        <w:rPr>
          <w:rFonts w:ascii="Calibri" w:hAnsi="Calibri" w:cs="Calibri"/>
          <w:color w:val="232323"/>
          <w:shd w:val="clear" w:color="auto" w:fill="FFFFFF"/>
        </w:rPr>
        <w:t xml:space="preserve"> </w:t>
      </w:r>
      <w:r w:rsidR="000337B5" w:rsidRPr="0035461C">
        <w:rPr>
          <w:rFonts w:ascii="Calibri" w:hAnsi="Calibri" w:cs="Calibri"/>
          <w:color w:val="232323"/>
          <w:shd w:val="clear" w:color="auto" w:fill="FFFFFF"/>
        </w:rPr>
        <w:t>while</w:t>
      </w:r>
      <w:r w:rsidR="000F34EC" w:rsidRPr="0035461C">
        <w:rPr>
          <w:rFonts w:ascii="Calibri" w:hAnsi="Calibri" w:cs="Calibri"/>
          <w:color w:val="232323"/>
          <w:shd w:val="clear" w:color="auto" w:fill="FFFFFF"/>
        </w:rPr>
        <w:t xml:space="preserve"> hypoglyc</w:t>
      </w:r>
      <w:r w:rsidR="002B4076" w:rsidRPr="0035461C">
        <w:rPr>
          <w:rFonts w:ascii="Calibri" w:hAnsi="Calibri" w:cs="Calibri"/>
          <w:color w:val="232323"/>
          <w:shd w:val="clear" w:color="auto" w:fill="FFFFFF"/>
        </w:rPr>
        <w:t>a</w:t>
      </w:r>
      <w:r w:rsidR="000F34EC" w:rsidRPr="0035461C">
        <w:rPr>
          <w:rFonts w:ascii="Calibri" w:hAnsi="Calibri" w:cs="Calibri"/>
          <w:color w:val="232323"/>
          <w:shd w:val="clear" w:color="auto" w:fill="FFFFFF"/>
        </w:rPr>
        <w:t xml:space="preserve">emia </w:t>
      </w:r>
      <w:r w:rsidR="002B4076" w:rsidRPr="0035461C">
        <w:rPr>
          <w:rFonts w:ascii="Calibri" w:hAnsi="Calibri" w:cs="Calibri"/>
          <w:color w:val="232323"/>
          <w:shd w:val="clear" w:color="auto" w:fill="FFFFFF"/>
        </w:rPr>
        <w:t>occurs more frequently in those with</w:t>
      </w:r>
      <w:r w:rsidR="000F34EC" w:rsidRPr="0035461C">
        <w:rPr>
          <w:rFonts w:ascii="Calibri" w:hAnsi="Calibri" w:cs="Calibri"/>
          <w:color w:val="232323"/>
          <w:shd w:val="clear" w:color="auto" w:fill="FFFFFF"/>
        </w:rPr>
        <w:t xml:space="preserve"> </w:t>
      </w:r>
      <w:r w:rsidR="000E0319" w:rsidRPr="0035461C">
        <w:rPr>
          <w:rFonts w:ascii="Calibri" w:hAnsi="Calibri" w:cs="Calibri"/>
          <w:color w:val="232323"/>
          <w:shd w:val="clear" w:color="auto" w:fill="FFFFFF"/>
        </w:rPr>
        <w:t>cognitive</w:t>
      </w:r>
      <w:r w:rsidR="000F34EC" w:rsidRPr="0035461C">
        <w:rPr>
          <w:rFonts w:ascii="Calibri" w:hAnsi="Calibri" w:cs="Calibri"/>
          <w:color w:val="232323"/>
          <w:shd w:val="clear" w:color="auto" w:fill="FFFFFF"/>
        </w:rPr>
        <w:t xml:space="preserve"> impairment</w:t>
      </w:r>
      <w:r w:rsidRPr="0035461C">
        <w:rPr>
          <w:rFonts w:ascii="Calibri" w:hAnsi="Calibri" w:cs="Calibri"/>
          <w:color w:val="232323"/>
          <w:shd w:val="clear" w:color="auto" w:fill="FFFFFF"/>
        </w:rPr>
        <w:t>.</w:t>
      </w:r>
      <w:r w:rsidR="009B24ED">
        <w:rPr>
          <w:rFonts w:ascii="Calibri" w:hAnsi="Calibri" w:cs="Calibri"/>
          <w:color w:val="232323"/>
          <w:shd w:val="clear" w:color="auto" w:fill="FFFFFF"/>
        </w:rPr>
        <w:t xml:space="preserve"> </w:t>
      </w:r>
      <w:r w:rsidR="009B24ED" w:rsidRPr="0035461C">
        <w:rPr>
          <w:rFonts w:ascii="Calibri" w:hAnsi="Calibri" w:cs="Calibri"/>
        </w:rPr>
        <w:t>CGM data were not available in the DCCT era and so the true extent of serious hypoglycaemia over time is not known.</w:t>
      </w:r>
    </w:p>
    <w:p w14:paraId="20CB2B4F" w14:textId="77777777" w:rsidR="009B24ED" w:rsidRPr="0035461C" w:rsidRDefault="009B24ED" w:rsidP="001C5BC0">
      <w:pPr>
        <w:spacing w:before="120"/>
        <w:jc w:val="both"/>
        <w:rPr>
          <w:rFonts w:ascii="Calibri" w:hAnsi="Calibri" w:cs="Calibri"/>
        </w:rPr>
      </w:pPr>
    </w:p>
    <w:p w14:paraId="79820CDF" w14:textId="5B608815" w:rsidR="00CA08BF" w:rsidRPr="0035461C" w:rsidRDefault="00CA08BF" w:rsidP="001C5BC0">
      <w:pPr>
        <w:spacing w:before="120"/>
        <w:jc w:val="both"/>
        <w:rPr>
          <w:rFonts w:ascii="Calibri" w:hAnsi="Calibri" w:cs="Calibri"/>
          <w:i/>
          <w:iCs/>
          <w:u w:val="single"/>
        </w:rPr>
      </w:pPr>
      <w:r w:rsidRPr="0035461C">
        <w:rPr>
          <w:rFonts w:ascii="Calibri" w:hAnsi="Calibri" w:cs="Calibri"/>
          <w:i/>
          <w:iCs/>
          <w:u w:val="single"/>
        </w:rPr>
        <w:t>Impaired awareness of hypogl</w:t>
      </w:r>
      <w:r w:rsidR="008E0C17" w:rsidRPr="0035461C">
        <w:rPr>
          <w:rFonts w:ascii="Calibri" w:hAnsi="Calibri" w:cs="Calibri"/>
          <w:i/>
          <w:iCs/>
          <w:u w:val="single"/>
        </w:rPr>
        <w:t>ycaemi</w:t>
      </w:r>
      <w:r w:rsidRPr="0035461C">
        <w:rPr>
          <w:rFonts w:ascii="Calibri" w:hAnsi="Calibri" w:cs="Calibri"/>
          <w:i/>
          <w:iCs/>
          <w:u w:val="single"/>
        </w:rPr>
        <w:t>a</w:t>
      </w:r>
    </w:p>
    <w:p w14:paraId="00CEA0C8" w14:textId="3FDD0E89" w:rsidR="00B92FA7" w:rsidRPr="0035461C" w:rsidRDefault="00567D76" w:rsidP="001C5BC0">
      <w:pPr>
        <w:spacing w:before="120"/>
        <w:jc w:val="both"/>
        <w:rPr>
          <w:rFonts w:ascii="Calibri" w:hAnsi="Calibri" w:cs="Calibri"/>
        </w:rPr>
      </w:pPr>
      <w:r w:rsidRPr="0035461C">
        <w:rPr>
          <w:rFonts w:ascii="Calibri" w:hAnsi="Calibri" w:cs="Calibri"/>
        </w:rPr>
        <w:t>Impaired awareness of hypogl</w:t>
      </w:r>
      <w:r w:rsidR="008E0C17" w:rsidRPr="0035461C">
        <w:rPr>
          <w:rFonts w:ascii="Calibri" w:hAnsi="Calibri" w:cs="Calibri"/>
        </w:rPr>
        <w:t>ycaemi</w:t>
      </w:r>
      <w:r w:rsidRPr="0035461C">
        <w:rPr>
          <w:rFonts w:ascii="Calibri" w:hAnsi="Calibri" w:cs="Calibri"/>
        </w:rPr>
        <w:t xml:space="preserve">a (IAH) is the </w:t>
      </w:r>
      <w:r w:rsidR="00AB0761" w:rsidRPr="0035461C">
        <w:rPr>
          <w:rFonts w:ascii="Calibri" w:hAnsi="Calibri" w:cs="Calibri"/>
        </w:rPr>
        <w:t xml:space="preserve">reduced </w:t>
      </w:r>
      <w:r w:rsidRPr="0035461C">
        <w:rPr>
          <w:rFonts w:ascii="Calibri" w:hAnsi="Calibri" w:cs="Calibri"/>
        </w:rPr>
        <w:t>ability to recognize low blood glucose levels that would otherwise prompt an appropriate corrective therapy</w:t>
      </w:r>
      <w:r w:rsidR="008965FB" w:rsidRPr="0035461C">
        <w:rPr>
          <w:rFonts w:ascii="Calibri" w:hAnsi="Calibri" w:cs="Calibri"/>
        </w:rPr>
        <w:t xml:space="preserve"> </w:t>
      </w:r>
      <w:r w:rsidR="00497461" w:rsidRPr="0035461C">
        <w:rPr>
          <w:rFonts w:ascii="Calibri" w:hAnsi="Calibri" w:cs="Calibri"/>
        </w:rPr>
        <w:fldChar w:fldCharType="begin"/>
      </w:r>
      <w:r w:rsidR="00076F77">
        <w:rPr>
          <w:rFonts w:ascii="Calibri" w:hAnsi="Calibri" w:cs="Calibri"/>
        </w:rPr>
        <w:instrText xml:space="preserve"> ADDIN ZOTERO_ITEM CSL_CITATION {"citationID":"FkZ3FPi5","properties":{"formattedCitation":"(111)","plainCitation":"(111)","noteIndex":0},"citationItems":[{"id":11085,"uris":["http://zotero.org/groups/369679/items/GXRP3GD5"],"uri":["http://zotero.org/groups/369679/items/GXRP3GD5"],"itemData":{"id":11085,"type":"article-journal","abstract":"Impaired awareness of hypoglycemia (IAH) is a reduction in the ability to recognize low blood glucose levels that would otherwise prompt an appropriate corrective therapy. Identified in approximately 25% of patients with type 1 diabetes, IAH has complex pathophysiology, and might lead to serious and potentially lethal consequences in patients with diabetes, particularly in those with more advanced disease and comorbidities. Continuous glucose monitoring systems can provide real-time glucose information and generate timely alerts on rapidly falling or low blood glucose levels. Given their improvements in accuracy, affordability and integration with insulin pump technology, continuous glucose monitoring systems are emerging as critical tools to help prevent serious hypoglycemia and mitigate its consequences in patients with diabetes. This review discusses the current knowledge on IAH and effective diagnostic methods, the relationship between hypoglycemia and cardiovascular autonomic neuropathy, a practical approach to evaluating cardiovascular autonomic neuropathy for clinicians, and recent evidence from clinical trials assessing the effects of the use of CGM technologies in patients with type 1 diabetes with IAH.","container-title":"Journal of Diabetes Investigation","DOI":"10.1111/jdi.13290","ISSN":"2040-1124","issue":"6","journalAbbreviation":"J Diabetes Investig","language":"eng","note":"PMID: 32403204\nPMCID: PMC7610104","page":"1388-1402","source":"PubMed","title":"Hypoglycemia unawareness and autonomic dysfunction in diabetes: Lessons learned and roles of diabetes technologies","title-short":"Hypoglycemia unawareness and autonomic dysfunction in diabetes","volume":"11","author":[{"family":"Lin","given":"Yu Kuei"},{"family":"Fisher","given":"Simon J."},{"family":"Pop-Busui","given":"Rodica"}],"issued":{"date-parts":[["2020",11]]}}}],"schema":"https://github.com/citation-style-language/schema/raw/master/csl-citation.json"} </w:instrText>
      </w:r>
      <w:r w:rsidR="00497461" w:rsidRPr="0035461C">
        <w:rPr>
          <w:rFonts w:ascii="Calibri" w:hAnsi="Calibri" w:cs="Calibri"/>
        </w:rPr>
        <w:fldChar w:fldCharType="separate"/>
      </w:r>
      <w:r w:rsidR="00076F77" w:rsidRPr="00076F77">
        <w:rPr>
          <w:rFonts w:ascii="Calibri" w:hAnsi="Calibri" w:cs="Calibri"/>
        </w:rPr>
        <w:t>(111)</w:t>
      </w:r>
      <w:r w:rsidR="00497461" w:rsidRPr="0035461C">
        <w:rPr>
          <w:rFonts w:ascii="Calibri" w:hAnsi="Calibri" w:cs="Calibri"/>
        </w:rPr>
        <w:fldChar w:fldCharType="end"/>
      </w:r>
      <w:r w:rsidR="008965FB" w:rsidRPr="0035461C">
        <w:rPr>
          <w:rFonts w:ascii="Calibri" w:hAnsi="Calibri" w:cs="Calibri"/>
        </w:rPr>
        <w:t>.</w:t>
      </w:r>
      <w:r w:rsidRPr="0035461C">
        <w:rPr>
          <w:rFonts w:ascii="Calibri" w:hAnsi="Calibri" w:cs="Calibri"/>
        </w:rPr>
        <w:t xml:space="preserve"> Its prevalence is estimated close to 25% in </w:t>
      </w:r>
      <w:r w:rsidR="00AB0761" w:rsidRPr="0035461C">
        <w:rPr>
          <w:rFonts w:ascii="Calibri" w:hAnsi="Calibri" w:cs="Calibri"/>
        </w:rPr>
        <w:t xml:space="preserve">people with </w:t>
      </w:r>
      <w:r w:rsidR="00BC3350" w:rsidRPr="0035461C">
        <w:rPr>
          <w:rFonts w:ascii="Calibri" w:hAnsi="Calibri" w:cs="Calibri"/>
        </w:rPr>
        <w:t xml:space="preserve">type 1 </w:t>
      </w:r>
      <w:r w:rsidR="00AB0761" w:rsidRPr="0035461C">
        <w:rPr>
          <w:rFonts w:ascii="Calibri" w:hAnsi="Calibri" w:cs="Calibri"/>
        </w:rPr>
        <w:t>diabetes</w:t>
      </w:r>
      <w:r w:rsidRPr="0035461C">
        <w:rPr>
          <w:rFonts w:ascii="Calibri" w:hAnsi="Calibri" w:cs="Calibri"/>
        </w:rPr>
        <w:t xml:space="preserve"> but is likely underestimated according to CGM data</w:t>
      </w:r>
      <w:r w:rsidR="008965FB" w:rsidRPr="0035461C">
        <w:rPr>
          <w:rFonts w:ascii="Calibri" w:hAnsi="Calibri" w:cs="Calibri"/>
        </w:rPr>
        <w:t xml:space="preserve"> </w:t>
      </w:r>
      <w:r w:rsidR="00172AEE" w:rsidRPr="0035461C">
        <w:rPr>
          <w:rFonts w:ascii="Calibri" w:hAnsi="Calibri" w:cs="Calibri"/>
        </w:rPr>
        <w:fldChar w:fldCharType="begin"/>
      </w:r>
      <w:r w:rsidR="00076F77">
        <w:rPr>
          <w:rFonts w:ascii="Calibri" w:hAnsi="Calibri" w:cs="Calibri"/>
        </w:rPr>
        <w:instrText xml:space="preserve"> ADDIN ZOTERO_ITEM CSL_CITATION {"citationID":"XeItnx2w","properties":{"formattedCitation":"(112)","plainCitation":"(112)","noteIndex":0},"citationItems":[{"id":11088,"uris":["http://zotero.org/groups/369679/items/D6NR8CN7"],"uri":["http://zotero.org/groups/369679/items/D6NR8CN7"],"itemData":{"id":11088,"type":"article-journal","abstract":"AIMS: Impaired awareness of hypoglycaemia (IAH) is thought to affect approximately 25% of people with Type 1 diabetes. While this estimate was based on retrospective information from patients in several small studies performed several years ago, validated methods of assessment have not been used in a large hospital clinic-based population to ascertain the prevalence in the present era.\nMETHODS: Five hundred and eighteen people with Type 1 diabetes were recruited by random selection over a 2-year period. Participants completed a questionnaire documenting baseline characteristics and assessment of their awareness status using the method described by Gold et al. The number of episodes of severe hypoglycaemia they had experienced in the preceding year was recorded retrospectively.\nRESULTS: IAH was present in 19.5% of the cohort. Compared to those with normal awareness of hypoglycaemia, those with IAH were significantly older [mean +/- standard deviation (sd); 39.3 +/- 12.9 vs. 45.9 +/- 13.5 years, P &lt; 0.001], had a longer duration of diabetes [median (interquartile range) 14 (8-22) vs. 23 (14-32) years, P &lt; 0.001], and had a six-fold higher frequency of severe hypoglycaemia in the previous year [0.38 +/- 1.04 (25th-75th centile 0-0) vs. 2.36 +/- 4.81 (25th-75th centile 0-2) episodes per person, P &lt; 0.001].\nCONCLUSIONS: The present survey of a large hospital-based clinic population has confirmed that a significant proportion of people with Type 1 diabetes (19.5%) continue to have IAH. Despite improvements in insulin therapies, intensification of insulin regimens and innovative patient education, the prevalence of IAH remains high in Type 1 diabetes.","container-title":"Diabetic Medicine: A Journal of the British Diabetic Association","DOI":"10.1111/j.1464-5491.2008.02413.x","ISSN":"1464-5491","issue":"4","journalAbbreviation":"Diabet Med","language":"eng","note":"PMID: 18387080","page":"501-504","source":"PubMed","title":"Prevalence of impaired awareness of hypoglycaemia in adults with Type 1 diabetes","volume":"25","author":[{"family":"Geddes","given":"J."},{"family":"Schopman","given":"J. E."},{"family":"Zammitt","given":"N. N."},{"family":"Frier","given":"B. M."}],"issued":{"date-parts":[["2008",4]]}}}],"schema":"https://github.com/citation-style-language/schema/raw/master/csl-citation.json"} </w:instrText>
      </w:r>
      <w:r w:rsidR="00172AEE" w:rsidRPr="0035461C">
        <w:rPr>
          <w:rFonts w:ascii="Calibri" w:hAnsi="Calibri" w:cs="Calibri"/>
        </w:rPr>
        <w:fldChar w:fldCharType="separate"/>
      </w:r>
      <w:r w:rsidR="00076F77" w:rsidRPr="00076F77">
        <w:rPr>
          <w:rFonts w:ascii="Calibri" w:hAnsi="Calibri" w:cs="Calibri"/>
        </w:rPr>
        <w:t>(112)</w:t>
      </w:r>
      <w:r w:rsidR="00172AEE" w:rsidRPr="0035461C">
        <w:rPr>
          <w:rFonts w:ascii="Calibri" w:hAnsi="Calibri" w:cs="Calibri"/>
        </w:rPr>
        <w:fldChar w:fldCharType="end"/>
      </w:r>
      <w:r w:rsidR="008965FB" w:rsidRPr="0035461C">
        <w:rPr>
          <w:rFonts w:ascii="Calibri" w:hAnsi="Calibri" w:cs="Calibri"/>
        </w:rPr>
        <w:t>.</w:t>
      </w:r>
      <w:r w:rsidRPr="0035461C">
        <w:rPr>
          <w:rFonts w:ascii="Calibri" w:hAnsi="Calibri" w:cs="Calibri"/>
        </w:rPr>
        <w:t xml:space="preserve"> IAH increases the risk of </w:t>
      </w:r>
      <w:r w:rsidR="00A765E6">
        <w:rPr>
          <w:rFonts w:ascii="Calibri" w:hAnsi="Calibri" w:cs="Calibri"/>
        </w:rPr>
        <w:t>level 3</w:t>
      </w:r>
      <w:r w:rsidRPr="0035461C">
        <w:rPr>
          <w:rFonts w:ascii="Calibri" w:hAnsi="Calibri" w:cs="Calibri"/>
        </w:rPr>
        <w:t xml:space="preserve"> hypoglyc</w:t>
      </w:r>
      <w:r w:rsidR="00AB0761" w:rsidRPr="0035461C">
        <w:rPr>
          <w:rFonts w:ascii="Calibri" w:hAnsi="Calibri" w:cs="Calibri"/>
        </w:rPr>
        <w:t>a</w:t>
      </w:r>
      <w:r w:rsidRPr="0035461C">
        <w:rPr>
          <w:rFonts w:ascii="Calibri" w:hAnsi="Calibri" w:cs="Calibri"/>
        </w:rPr>
        <w:t>emia</w:t>
      </w:r>
      <w:r w:rsidR="008965FB" w:rsidRPr="0035461C">
        <w:rPr>
          <w:rFonts w:ascii="Calibri" w:hAnsi="Calibri" w:cs="Calibri"/>
        </w:rPr>
        <w:t xml:space="preserve"> by 6-fold</w:t>
      </w:r>
      <w:r w:rsidR="00B92FA7" w:rsidRPr="0035461C">
        <w:rPr>
          <w:rFonts w:ascii="Calibri" w:hAnsi="Calibri" w:cs="Calibri"/>
        </w:rPr>
        <w:t xml:space="preserve"> </w:t>
      </w:r>
      <w:r w:rsidR="006E637F" w:rsidRPr="0035461C">
        <w:rPr>
          <w:rFonts w:ascii="Calibri" w:hAnsi="Calibri" w:cs="Calibri"/>
        </w:rPr>
        <w:fldChar w:fldCharType="begin"/>
      </w:r>
      <w:r w:rsidR="00076F77">
        <w:rPr>
          <w:rFonts w:ascii="Calibri" w:hAnsi="Calibri" w:cs="Calibri"/>
        </w:rPr>
        <w:instrText xml:space="preserve"> ADDIN ZOTERO_ITEM CSL_CITATION {"citationID":"uY3tEHze","properties":{"formattedCitation":"(113)","plainCitation":"(113)","noteIndex":0},"citationItems":[{"id":11090,"uris":["http://zotero.org/groups/369679/items/CHW5K2SB"],"uri":["http://zotero.org/groups/369679/items/CHW5K2SB"],"itemData":{"id":11090,"type":"article-journal","abstract":"OBJECTIVE: To determine the frequency of hypoglycemia in patients with type I diabetes and impaired awareness of hypoglycemia by prospective assessment.\nRESEARCH DESIGN AND METHODS: A prospective study was undertaken for 12 months in 60 patients with type I diabetes: 29 had impaired awareness of hypoglycemia and 31 retained normal awareness of hypoglycemia. The two groups of patients were matched for age, age at onset of diabetes, duration of diabetes, and glycemic control. Episodes of severe hypoglycemia were recorded within 24 h of the event and verified where possible by witnesses.\nRESULTS: During the 12 months, 19 (66%) of the patients with impaired awareness had one or more episodes of severe hypoglycemia with an overall incidence of 2.8 episodes.patient-1.year-1. By comparison, 8 (26%) of the patients with normal awareness experienced severe hypoglycemia (P &lt; 0.01) with an annual incidence of 0.5 episode.patient-1.year-1 (P &lt; 0.001). Severe hypoglycemia occurred at different times of the day in the two groups: patients with impaired awareness experienced a greater proportion of episodes during the evening (P = 0.03), and patients with normal awareness experienced a greater proportion in the early morning (P = 0.05). An assessment of fear of hypoglycemia revealed that patients with impaired awareness of hypoglycemia worried more about hypoglycemia than did patients with normal awareness (P = 0.008), but did not modify their behavior accordingly.\nCONCLUSIONS: This prospective evaluation demonstrated that impaired awareness of hypoglycemia predisposes to a sixfold increase in the frequency of severe hypoglycemia, much of which occurred at home during waking hours.","container-title":"Diabetes Care","DOI":"10.2337/diacare.17.7.697","ISSN":"0149-5992","issue":"7","journalAbbreviation":"Diabetes Care","language":"eng","note":"PMID: 7924780","page":"697-703","source":"PubMed","title":"Frequency of severe hypoglycemia in patients with type I diabetes with impaired awareness of hypoglycemia","volume":"17","author":[{"family":"Gold","given":"A. E."},{"family":"MacLeod","given":"K. M."},{"family":"Frier","given":"B. M."}],"issued":{"date-parts":[["1994",7]]}}}],"schema":"https://github.com/citation-style-language/schema/raw/master/csl-citation.json"} </w:instrText>
      </w:r>
      <w:r w:rsidR="006E637F" w:rsidRPr="0035461C">
        <w:rPr>
          <w:rFonts w:ascii="Calibri" w:hAnsi="Calibri" w:cs="Calibri"/>
        </w:rPr>
        <w:fldChar w:fldCharType="separate"/>
      </w:r>
      <w:r w:rsidR="00076F77" w:rsidRPr="00076F77">
        <w:rPr>
          <w:rFonts w:ascii="Calibri" w:hAnsi="Calibri" w:cs="Calibri"/>
        </w:rPr>
        <w:t>(113)</w:t>
      </w:r>
      <w:r w:rsidR="006E637F" w:rsidRPr="0035461C">
        <w:rPr>
          <w:rFonts w:ascii="Calibri" w:hAnsi="Calibri" w:cs="Calibri"/>
        </w:rPr>
        <w:fldChar w:fldCharType="end"/>
      </w:r>
      <w:r w:rsidR="006E637F" w:rsidRPr="0035461C">
        <w:rPr>
          <w:rFonts w:ascii="Calibri" w:hAnsi="Calibri" w:cs="Calibri"/>
        </w:rPr>
        <w:t xml:space="preserve"> </w:t>
      </w:r>
      <w:r w:rsidR="00B92FA7" w:rsidRPr="0035461C">
        <w:rPr>
          <w:rFonts w:ascii="Calibri" w:hAnsi="Calibri" w:cs="Calibri"/>
        </w:rPr>
        <w:t>and may lead the person with diabetes to omit insulin injections intentionally or loosen</w:t>
      </w:r>
      <w:r w:rsidRPr="0035461C">
        <w:rPr>
          <w:rFonts w:ascii="Calibri" w:hAnsi="Calibri" w:cs="Calibri"/>
        </w:rPr>
        <w:t xml:space="preserve"> tight glucose </w:t>
      </w:r>
      <w:r w:rsidR="00AB0761" w:rsidRPr="0035461C">
        <w:rPr>
          <w:rFonts w:ascii="Calibri" w:hAnsi="Calibri" w:cs="Calibri"/>
        </w:rPr>
        <w:t>manage</w:t>
      </w:r>
      <w:r w:rsidR="000F35A6" w:rsidRPr="0035461C">
        <w:rPr>
          <w:rFonts w:ascii="Calibri" w:hAnsi="Calibri" w:cs="Calibri"/>
        </w:rPr>
        <w:t>me</w:t>
      </w:r>
      <w:r w:rsidR="00AB0761" w:rsidRPr="0035461C">
        <w:rPr>
          <w:rFonts w:ascii="Calibri" w:hAnsi="Calibri" w:cs="Calibri"/>
        </w:rPr>
        <w:t>nt</w:t>
      </w:r>
      <w:r w:rsidRPr="0035461C">
        <w:rPr>
          <w:rFonts w:ascii="Calibri" w:hAnsi="Calibri" w:cs="Calibri"/>
        </w:rPr>
        <w:t xml:space="preserve"> to prevent their occurrence. </w:t>
      </w:r>
    </w:p>
    <w:p w14:paraId="1DB4E2EF" w14:textId="1F3C1FDE" w:rsidR="00567D76" w:rsidRPr="0035461C" w:rsidRDefault="00567D76" w:rsidP="001C5BC0">
      <w:pPr>
        <w:spacing w:before="120"/>
        <w:jc w:val="both"/>
        <w:rPr>
          <w:rFonts w:ascii="Calibri" w:hAnsi="Calibri" w:cs="Calibri"/>
        </w:rPr>
      </w:pPr>
      <w:r w:rsidRPr="0035461C">
        <w:rPr>
          <w:rFonts w:ascii="Calibri" w:hAnsi="Calibri" w:cs="Calibri"/>
        </w:rPr>
        <w:t>The pathophysiology of IAH is still not fully understood</w:t>
      </w:r>
      <w:r w:rsidR="00AB0761" w:rsidRPr="0035461C">
        <w:rPr>
          <w:rFonts w:ascii="Calibri" w:hAnsi="Calibri" w:cs="Calibri"/>
        </w:rPr>
        <w:t xml:space="preserve"> but </w:t>
      </w:r>
      <w:r w:rsidRPr="0035461C">
        <w:rPr>
          <w:rFonts w:ascii="Calibri" w:hAnsi="Calibri" w:cs="Calibri"/>
        </w:rPr>
        <w:t xml:space="preserve">includes a partial or total loss of </w:t>
      </w:r>
      <w:proofErr w:type="spellStart"/>
      <w:r w:rsidRPr="0035461C">
        <w:rPr>
          <w:rFonts w:ascii="Calibri" w:hAnsi="Calibri" w:cs="Calibri"/>
        </w:rPr>
        <w:t>sympatho</w:t>
      </w:r>
      <w:proofErr w:type="spellEnd"/>
      <w:r w:rsidRPr="0035461C">
        <w:rPr>
          <w:rFonts w:ascii="Calibri" w:hAnsi="Calibri" w:cs="Calibri"/>
        </w:rPr>
        <w:t xml:space="preserve">-adrenal reactions to </w:t>
      </w:r>
      <w:r w:rsidR="00AB0761" w:rsidRPr="0035461C">
        <w:rPr>
          <w:rFonts w:ascii="Calibri" w:hAnsi="Calibri" w:cs="Calibri"/>
        </w:rPr>
        <w:t>hypoglycaemia</w:t>
      </w:r>
      <w:r w:rsidRPr="0035461C">
        <w:rPr>
          <w:rFonts w:ascii="Calibri" w:hAnsi="Calibri" w:cs="Calibri"/>
        </w:rPr>
        <w:t xml:space="preserve"> that prevent </w:t>
      </w:r>
      <w:proofErr w:type="spellStart"/>
      <w:r w:rsidRPr="0035461C">
        <w:rPr>
          <w:rFonts w:ascii="Calibri" w:hAnsi="Calibri" w:cs="Calibri"/>
        </w:rPr>
        <w:t>catecholaminergic</w:t>
      </w:r>
      <w:proofErr w:type="spellEnd"/>
      <w:r w:rsidRPr="0035461C">
        <w:rPr>
          <w:rFonts w:ascii="Calibri" w:hAnsi="Calibri" w:cs="Calibri"/>
        </w:rPr>
        <w:t xml:space="preserve"> stimulation of hepatic glucose output and restraint of muscle glucose uptake</w:t>
      </w:r>
      <w:r w:rsidR="008965FB" w:rsidRPr="0035461C">
        <w:rPr>
          <w:rFonts w:ascii="Calibri" w:hAnsi="Calibri" w:cs="Calibri"/>
        </w:rPr>
        <w:t xml:space="preserve"> </w:t>
      </w:r>
      <w:r w:rsidR="007D364D" w:rsidRPr="0035461C">
        <w:rPr>
          <w:rFonts w:ascii="Calibri" w:hAnsi="Calibri" w:cs="Calibri"/>
        </w:rPr>
        <w:fldChar w:fldCharType="begin"/>
      </w:r>
      <w:r w:rsidR="00076F77">
        <w:rPr>
          <w:rFonts w:ascii="Calibri" w:hAnsi="Calibri" w:cs="Calibri"/>
        </w:rPr>
        <w:instrText xml:space="preserve"> ADDIN ZOTERO_ITEM CSL_CITATION {"citationID":"QbFmBWkb","properties":{"formattedCitation":"(103)","plainCitation":"(103)","noteIndex":0},"citationItems":[{"id":11068,"uris":["http://zotero.org/groups/369679/items/6HYCPDGJ"],"uri":["http://zotero.org/groups/369679/items/6HYCPDGJ"],"itemData":{"id":11068,"type":"article-journal","container-title":"The New England Journal of Medicine","DOI":"10.1056/NEJMra1215228","ISSN":"1533-4406","issue":"4","journalAbbreviation":"N Engl J Med","language":"eng","note":"PMID: 23883381","page":"362-372","source":"PubMed","title":"Mechanisms of hypoglycemia-associated autonomic failure in diabetes","volume":"369","author":[{"family":"Cryer","given":"Philip E."}],"issued":{"date-parts":[["2013",7,25]]}}}],"schema":"https://github.com/citation-style-language/schema/raw/master/csl-citation.json"} </w:instrText>
      </w:r>
      <w:r w:rsidR="007D364D" w:rsidRPr="0035461C">
        <w:rPr>
          <w:rFonts w:ascii="Calibri" w:hAnsi="Calibri" w:cs="Calibri"/>
        </w:rPr>
        <w:fldChar w:fldCharType="separate"/>
      </w:r>
      <w:r w:rsidR="00076F77" w:rsidRPr="00076F77">
        <w:rPr>
          <w:rFonts w:ascii="Calibri" w:hAnsi="Calibri" w:cs="Calibri"/>
        </w:rPr>
        <w:t>(103)</w:t>
      </w:r>
      <w:r w:rsidR="007D364D" w:rsidRPr="0035461C">
        <w:rPr>
          <w:rFonts w:ascii="Calibri" w:hAnsi="Calibri" w:cs="Calibri"/>
        </w:rPr>
        <w:fldChar w:fldCharType="end"/>
      </w:r>
      <w:r w:rsidR="008965FB" w:rsidRPr="0035461C">
        <w:rPr>
          <w:rFonts w:ascii="Calibri" w:hAnsi="Calibri" w:cs="Calibri"/>
        </w:rPr>
        <w:t>.</w:t>
      </w:r>
      <w:r w:rsidRPr="0035461C">
        <w:rPr>
          <w:rFonts w:ascii="Calibri" w:hAnsi="Calibri" w:cs="Calibri"/>
        </w:rPr>
        <w:t xml:space="preserve"> The connections between autonomic neuropathy and IAH are complex since both the defect of </w:t>
      </w:r>
      <w:proofErr w:type="spellStart"/>
      <w:r w:rsidRPr="0035461C">
        <w:rPr>
          <w:rFonts w:ascii="Calibri" w:hAnsi="Calibri" w:cs="Calibri"/>
        </w:rPr>
        <w:t>sympatho</w:t>
      </w:r>
      <w:proofErr w:type="spellEnd"/>
      <w:r w:rsidRPr="0035461C">
        <w:rPr>
          <w:rFonts w:ascii="Calibri" w:hAnsi="Calibri" w:cs="Calibri"/>
        </w:rPr>
        <w:t>-adrenal reaction to hypoglyc</w:t>
      </w:r>
      <w:r w:rsidR="000F35A6" w:rsidRPr="0035461C">
        <w:rPr>
          <w:rFonts w:ascii="Calibri" w:hAnsi="Calibri" w:cs="Calibri"/>
        </w:rPr>
        <w:t>a</w:t>
      </w:r>
      <w:r w:rsidRPr="0035461C">
        <w:rPr>
          <w:rFonts w:ascii="Calibri" w:hAnsi="Calibri" w:cs="Calibri"/>
        </w:rPr>
        <w:t>emia can be a component of autonomic neuropathy and hypoglyc</w:t>
      </w:r>
      <w:r w:rsidR="000F35A6" w:rsidRPr="0035461C">
        <w:rPr>
          <w:rFonts w:ascii="Calibri" w:hAnsi="Calibri" w:cs="Calibri"/>
        </w:rPr>
        <w:t>a</w:t>
      </w:r>
      <w:r w:rsidRPr="0035461C">
        <w:rPr>
          <w:rFonts w:ascii="Calibri" w:hAnsi="Calibri" w:cs="Calibri"/>
        </w:rPr>
        <w:t>emia itself can promote neuropathy. Indeed, recurrent hypogl</w:t>
      </w:r>
      <w:r w:rsidR="008E0C17" w:rsidRPr="0035461C">
        <w:rPr>
          <w:rFonts w:ascii="Calibri" w:hAnsi="Calibri" w:cs="Calibri"/>
        </w:rPr>
        <w:t>ycaemi</w:t>
      </w:r>
      <w:r w:rsidRPr="0035461C">
        <w:rPr>
          <w:rFonts w:ascii="Calibri" w:hAnsi="Calibri" w:cs="Calibri"/>
        </w:rPr>
        <w:t>a is a major cause of IAH. Sleep</w:t>
      </w:r>
      <w:r w:rsidR="00C11876" w:rsidRPr="0035461C">
        <w:rPr>
          <w:rFonts w:ascii="Calibri" w:hAnsi="Calibri" w:cs="Calibri"/>
        </w:rPr>
        <w:t xml:space="preserve"> distur</w:t>
      </w:r>
      <w:r w:rsidR="00B92FA7" w:rsidRPr="0035461C">
        <w:rPr>
          <w:rFonts w:ascii="Calibri" w:hAnsi="Calibri" w:cs="Calibri"/>
        </w:rPr>
        <w:t>bance</w:t>
      </w:r>
      <w:r w:rsidRPr="0035461C">
        <w:rPr>
          <w:rFonts w:ascii="Calibri" w:hAnsi="Calibri" w:cs="Calibri"/>
        </w:rPr>
        <w:t>, psychological stress</w:t>
      </w:r>
      <w:r w:rsidR="007218FB" w:rsidRPr="0035461C">
        <w:rPr>
          <w:rFonts w:ascii="Calibri" w:hAnsi="Calibri" w:cs="Calibri"/>
        </w:rPr>
        <w:t>,</w:t>
      </w:r>
      <w:r w:rsidRPr="0035461C">
        <w:rPr>
          <w:rFonts w:ascii="Calibri" w:hAnsi="Calibri" w:cs="Calibri"/>
        </w:rPr>
        <w:t xml:space="preserve"> and alcohol can also induce IAH</w:t>
      </w:r>
      <w:r w:rsidR="008965FB" w:rsidRPr="0035461C">
        <w:rPr>
          <w:rFonts w:ascii="Calibri" w:hAnsi="Calibri" w:cs="Calibri"/>
        </w:rPr>
        <w:t xml:space="preserve"> </w:t>
      </w:r>
      <w:r w:rsidR="00107984" w:rsidRPr="0035461C">
        <w:rPr>
          <w:rFonts w:ascii="Calibri" w:hAnsi="Calibri" w:cs="Calibri"/>
        </w:rPr>
        <w:fldChar w:fldCharType="begin"/>
      </w:r>
      <w:r w:rsidR="00076F77">
        <w:rPr>
          <w:rFonts w:ascii="Calibri" w:hAnsi="Calibri" w:cs="Calibri"/>
        </w:rPr>
        <w:instrText xml:space="preserve"> ADDIN ZOTERO_ITEM CSL_CITATION {"citationID":"MlJgsJpN","properties":{"formattedCitation":"(111)","plainCitation":"(111)","noteIndex":0},"citationItems":[{"id":11085,"uris":["http://zotero.org/groups/369679/items/GXRP3GD5"],"uri":["http://zotero.org/groups/369679/items/GXRP3GD5"],"itemData":{"id":11085,"type":"article-journal","abstract":"Impaired awareness of hypoglycemia (IAH) is a reduction in the ability to recognize low blood glucose levels that would otherwise prompt an appropriate corrective therapy. Identified in approximately 25% of patients with type 1 diabetes, IAH has complex pathophysiology, and might lead to serious and potentially lethal consequences in patients with diabetes, particularly in those with more advanced disease and comorbidities. Continuous glucose monitoring systems can provide real-time glucose information and generate timely alerts on rapidly falling or low blood glucose levels. Given their improvements in accuracy, affordability and integration with insulin pump technology, continuous glucose monitoring systems are emerging as critical tools to help prevent serious hypoglycemia and mitigate its consequences in patients with diabetes. This review discusses the current knowledge on IAH and effective diagnostic methods, the relationship between hypoglycemia and cardiovascular autonomic neuropathy, a practical approach to evaluating cardiovascular autonomic neuropathy for clinicians, and recent evidence from clinical trials assessing the effects of the use of CGM technologies in patients with type 1 diabetes with IAH.","container-title":"Journal of Diabetes Investigation","DOI":"10.1111/jdi.13290","ISSN":"2040-1124","issue":"6","journalAbbreviation":"J Diabetes Investig","language":"eng","note":"PMID: 32403204\nPMCID: PMC7610104","page":"1388-1402","source":"PubMed","title":"Hypoglycemia unawareness and autonomic dysfunction in diabetes: Lessons learned and roles of diabetes technologies","title-short":"Hypoglycemia unawareness and autonomic dysfunction in diabetes","volume":"11","author":[{"family":"Lin","given":"Yu Kuei"},{"family":"Fisher","given":"Simon J."},{"family":"Pop-Busui","given":"Rodica"}],"issued":{"date-parts":[["2020",11]]}}}],"schema":"https://github.com/citation-style-language/schema/raw/master/csl-citation.json"} </w:instrText>
      </w:r>
      <w:r w:rsidR="00107984" w:rsidRPr="0035461C">
        <w:rPr>
          <w:rFonts w:ascii="Calibri" w:hAnsi="Calibri" w:cs="Calibri"/>
        </w:rPr>
        <w:fldChar w:fldCharType="separate"/>
      </w:r>
      <w:r w:rsidR="00076F77" w:rsidRPr="00076F77">
        <w:rPr>
          <w:rFonts w:ascii="Calibri" w:hAnsi="Calibri" w:cs="Calibri"/>
        </w:rPr>
        <w:t>(111)</w:t>
      </w:r>
      <w:r w:rsidR="00107984" w:rsidRPr="0035461C">
        <w:rPr>
          <w:rFonts w:ascii="Calibri" w:hAnsi="Calibri" w:cs="Calibri"/>
        </w:rPr>
        <w:fldChar w:fldCharType="end"/>
      </w:r>
      <w:r w:rsidR="008965FB" w:rsidRPr="0035461C">
        <w:rPr>
          <w:rFonts w:ascii="Calibri" w:hAnsi="Calibri" w:cs="Calibri"/>
        </w:rPr>
        <w:t>.</w:t>
      </w:r>
    </w:p>
    <w:p w14:paraId="4BB9154A" w14:textId="3B15FF0C" w:rsidR="00DE5217" w:rsidRDefault="00567D76" w:rsidP="009D354B">
      <w:pPr>
        <w:spacing w:before="120"/>
        <w:jc w:val="both"/>
        <w:rPr>
          <w:rFonts w:ascii="Calibri" w:hAnsi="Calibri" w:cs="Calibri"/>
        </w:rPr>
      </w:pPr>
      <w:r w:rsidRPr="0035461C">
        <w:rPr>
          <w:rFonts w:ascii="Calibri" w:hAnsi="Calibri" w:cs="Calibri"/>
        </w:rPr>
        <w:t xml:space="preserve">In clinical practice, physicians should be proactive in asking </w:t>
      </w:r>
      <w:r w:rsidR="000F35A6" w:rsidRPr="0035461C">
        <w:rPr>
          <w:rFonts w:ascii="Calibri" w:hAnsi="Calibri" w:cs="Calibri"/>
        </w:rPr>
        <w:t>people with type 1 diabetes</w:t>
      </w:r>
      <w:r w:rsidRPr="0035461C">
        <w:rPr>
          <w:rFonts w:ascii="Calibri" w:hAnsi="Calibri" w:cs="Calibri"/>
        </w:rPr>
        <w:t xml:space="preserve"> whether and at which glucose level they feel hypoglyc</w:t>
      </w:r>
      <w:r w:rsidR="000F35A6" w:rsidRPr="0035461C">
        <w:rPr>
          <w:rFonts w:ascii="Calibri" w:hAnsi="Calibri" w:cs="Calibri"/>
        </w:rPr>
        <w:t>a</w:t>
      </w:r>
      <w:r w:rsidRPr="0035461C">
        <w:rPr>
          <w:rFonts w:ascii="Calibri" w:hAnsi="Calibri" w:cs="Calibri"/>
        </w:rPr>
        <w:t>emia in order to identify I</w:t>
      </w:r>
      <w:r w:rsidR="000F35A6" w:rsidRPr="0035461C">
        <w:rPr>
          <w:rFonts w:ascii="Calibri" w:hAnsi="Calibri" w:cs="Calibri"/>
        </w:rPr>
        <w:t>A</w:t>
      </w:r>
      <w:r w:rsidRPr="0035461C">
        <w:rPr>
          <w:rFonts w:ascii="Calibri" w:hAnsi="Calibri" w:cs="Calibri"/>
        </w:rPr>
        <w:t xml:space="preserve">H and adjust individual glucose targets to prevent the occurrence of </w:t>
      </w:r>
      <w:r w:rsidR="00A765E6">
        <w:rPr>
          <w:rFonts w:ascii="Calibri" w:hAnsi="Calibri" w:cs="Calibri"/>
        </w:rPr>
        <w:t>level 3</w:t>
      </w:r>
      <w:r w:rsidRPr="0035461C">
        <w:rPr>
          <w:rFonts w:ascii="Calibri" w:hAnsi="Calibri" w:cs="Calibri"/>
        </w:rPr>
        <w:t xml:space="preserve"> hypoglyc</w:t>
      </w:r>
      <w:r w:rsidR="000F35A6" w:rsidRPr="0035461C">
        <w:rPr>
          <w:rFonts w:ascii="Calibri" w:hAnsi="Calibri" w:cs="Calibri"/>
        </w:rPr>
        <w:t>a</w:t>
      </w:r>
      <w:r w:rsidRPr="0035461C">
        <w:rPr>
          <w:rFonts w:ascii="Calibri" w:hAnsi="Calibri" w:cs="Calibri"/>
        </w:rPr>
        <w:t xml:space="preserve">emia. </w:t>
      </w:r>
      <w:r w:rsidR="00B92FA7" w:rsidRPr="0035461C">
        <w:rPr>
          <w:rFonts w:ascii="Calibri" w:hAnsi="Calibri" w:cs="Calibri"/>
        </w:rPr>
        <w:t xml:space="preserve">The reference method to assess IAH is the </w:t>
      </w:r>
      <w:proofErr w:type="spellStart"/>
      <w:r w:rsidR="00B92FA7" w:rsidRPr="0035461C">
        <w:rPr>
          <w:rFonts w:ascii="Calibri" w:hAnsi="Calibri" w:cs="Calibri"/>
        </w:rPr>
        <w:t>hyperinsulinaemic</w:t>
      </w:r>
      <w:proofErr w:type="spellEnd"/>
      <w:r w:rsidR="00B92FA7" w:rsidRPr="0035461C">
        <w:rPr>
          <w:rFonts w:ascii="Calibri" w:hAnsi="Calibri" w:cs="Calibri"/>
        </w:rPr>
        <w:t>-hypoglycaemic clamp</w:t>
      </w:r>
      <w:r w:rsidR="008965FB" w:rsidRPr="0035461C">
        <w:rPr>
          <w:rFonts w:ascii="Calibri" w:hAnsi="Calibri" w:cs="Calibri"/>
        </w:rPr>
        <w:t xml:space="preserve"> </w:t>
      </w:r>
      <w:r w:rsidR="00690673" w:rsidRPr="0035461C">
        <w:rPr>
          <w:rFonts w:ascii="Calibri" w:hAnsi="Calibri" w:cs="Calibri"/>
        </w:rPr>
        <w:fldChar w:fldCharType="begin"/>
      </w:r>
      <w:r w:rsidR="00076F77">
        <w:rPr>
          <w:rFonts w:ascii="Calibri" w:hAnsi="Calibri" w:cs="Calibri"/>
        </w:rPr>
        <w:instrText xml:space="preserve"> ADDIN ZOTERO_ITEM CSL_CITATION {"citationID":"9ipH6Pi5","properties":{"formattedCitation":"(114)","plainCitation":"(114)","noteIndex":0},"citationItems":[{"id":11092,"uris":["http://zotero.org/groups/369679/items/E4VINIDN"],"uri":["http://zotero.org/groups/369679/items/E4VINIDN"],"itemData":{"id":11092,"type":"article-journal","abstract":"To define glycemic thresholds for activation of counterregulatory hormone secretion, initiation of symptoms (autonomic and neuroglycopenic), and onset of deterioration of cognitive function, we measured indexes of these responses during glycemic plateaus of 90, 78, 66, 54, and 42 mg/dl in 10 normal volunteers, with the use of the hyperinsulinemic glucose clamp technique. Activation of glucagon, epinephrine, norepinephrine, and growth hormone secretion began at arterialized venous plasma glucose concentrations of 68 +/- 1, 68 +/- 1, 65 +/- 1, and 67 +/- 2 (SE) mg/dl, respectively. Autonomic symptoms (anxiety, palpitations, sweating, irritability, and tremor) began at 58 +/- 2 mg/dl, which was significantly (P = 0.0001) lower. Neuroglycopenic symptoms (hunger, dizziness, tingling, blurred vision, difficulty thinking, and faintness) and deterioration in cognitive function tests began at 51 +/- 3 and 49 +/- 2 mg/dl, respectively, values that were both significantly (P = 0.018 and 0.004, respectively) lower than that for initiation of autonomic symptoms. We therefore conclude that there is a distinct hierarchy of responses to decrements in plasma glucose, such that the threshold for activation of counterregulatory hormone secretion occurs at higher plasma glucose levels than that for initiation of autonomic warning symptoms, which in turn occurs at higher plasma glucose levels than that for onset of neuroglycopenic symptoms and deterioration in cerebral function. Such a hierarchy would maximize the opportunity to avoid incapacitating hypoglycemia.","container-title":"The American Journal of Physiology","DOI":"10.1152/ajpendo.1991.260.1.E67","ISSN":"0002-9513","issue":"1 Pt 1","journalAbbreviation":"Am J Physiol","language":"eng","note":"PMID: 1987794","page":"E67-74","source":"PubMed","title":"Hierarchy of glycemic thresholds for counterregulatory hormone secretion, symptoms, and cerebral dysfunction","volume":"260","author":[{"family":"Mitrakou","given":"A."},{"family":"Ryan","given":"C."},{"family":"Veneman","given":"T."},{"family":"Mokan","given":"M."},{"family":"Jenssen","given":"T."},{"family":"Kiss","given":"I."},{"family":"Durrant","given":"J."},{"family":"Cryer","given":"P."},{"family":"Gerich","given":"J."}],"issued":{"date-parts":[["1991",1]]}}}],"schema":"https://github.com/citation-style-language/schema/raw/master/csl-citation.json"} </w:instrText>
      </w:r>
      <w:r w:rsidR="00690673" w:rsidRPr="0035461C">
        <w:rPr>
          <w:rFonts w:ascii="Calibri" w:hAnsi="Calibri" w:cs="Calibri"/>
        </w:rPr>
        <w:fldChar w:fldCharType="separate"/>
      </w:r>
      <w:r w:rsidR="00076F77" w:rsidRPr="00076F77">
        <w:rPr>
          <w:rFonts w:ascii="Calibri" w:hAnsi="Calibri" w:cs="Calibri"/>
        </w:rPr>
        <w:t>(114)</w:t>
      </w:r>
      <w:r w:rsidR="00690673" w:rsidRPr="0035461C">
        <w:rPr>
          <w:rFonts w:ascii="Calibri" w:hAnsi="Calibri" w:cs="Calibri"/>
        </w:rPr>
        <w:fldChar w:fldCharType="end"/>
      </w:r>
      <w:r w:rsidR="008965FB" w:rsidRPr="0035461C">
        <w:rPr>
          <w:rFonts w:ascii="Calibri" w:hAnsi="Calibri" w:cs="Calibri"/>
        </w:rPr>
        <w:t>,</w:t>
      </w:r>
      <w:r w:rsidR="00B92FA7" w:rsidRPr="0035461C">
        <w:rPr>
          <w:rFonts w:ascii="Calibri" w:hAnsi="Calibri" w:cs="Calibri"/>
        </w:rPr>
        <w:t xml:space="preserve"> although not used out of a research frame due to its invasiveness, cost and time commitment from people with diabetes. Self-reported awareness, however, agrees well with the autonomic glucose threshold</w:t>
      </w:r>
      <w:r w:rsidR="008965FB" w:rsidRPr="0035461C">
        <w:rPr>
          <w:rFonts w:ascii="Calibri" w:hAnsi="Calibri" w:cs="Calibri"/>
        </w:rPr>
        <w:t xml:space="preserve"> </w:t>
      </w:r>
      <w:r w:rsidR="00A403D6" w:rsidRPr="0035461C">
        <w:rPr>
          <w:rFonts w:ascii="Calibri" w:hAnsi="Calibri" w:cs="Calibri"/>
        </w:rPr>
        <w:fldChar w:fldCharType="begin"/>
      </w:r>
      <w:r w:rsidR="00076F77">
        <w:rPr>
          <w:rFonts w:ascii="Calibri" w:hAnsi="Calibri" w:cs="Calibri"/>
        </w:rPr>
        <w:instrText xml:space="preserve"> ADDIN ZOTERO_ITEM CSL_CITATION {"citationID":"htZ7XLjR","properties":{"formattedCitation":"(115)","plainCitation":"(115)","noteIndex":0},"citationItems":[{"id":11094,"uris":["http://zotero.org/groups/369679/items/LKVNS8S6"],"uri":["http://zotero.org/groups/369679/items/LKVNS8S6"],"itemData":{"id":11094,"type":"article-journal","abstract":"OBJECTIVE: The aim of our study was to determine the agreement of two noninvasive methods, a self-report and a field study method, for the assessment of impaired hypoglycemia awareness with a gold standard criterion of hypoglycemia awareness, the autonomic symptom threshold during experimental hypoglycemia.\nRESEARCH DESIGN AND METHODS: A total of 19 type 1 diabetic patients completed a standardized questionnaire to assess impaired hypoglycemia awareness and performed a hand-held computer (HHC) study to assess their recognition of hypoglycemic episodes occurring during 24 weeks. Patients subsequently underwent a stepped hypoglycemic clamp to study responses to standardized hypoglycemia. Diagnoses of impaired hypoglycemia awareness were based on the separate self-report questions, a composite self-report score, and three different cutoff levels for the percentage of accurately recognized hypoglycemic episodes during the field study Agreement of these noninvasive measures with the hypoglycemic clamp measure were tested by calculating kappa values, sensitivity, and specificity.\nRESULTS: The composite self-report score agreed reasonably well with the hypoglycemic clamp measure (kappa 0.49, sensitivity 66.7%, and specificity 85.7%) and showed a better agreement than the separate self-report questions. The HHC criterion of impaired hypoglycemia awareness did not agree with the hypoglycemic clamp criterion at any of the cutoff levels tested.\nCONCLUSIONS: The composite self-report tested in this study is a reasonably reliable assessment method for the diagnosis of impaired hypoglycemia awareness, using the physiological definition of an absence of autonomic symptoms at a blood glucose level of 3 mmol/l. In contrast, the recognition of hypoglycemic events in everyday life as measured using the HHC method is not related to the hypoglycemic clamp criterion.","container-title":"Diabetes Care","DOI":"10.2337/diacare.23.4.529","ISSN":"0149-5992","issue":"4","journalAbbreviation":"Diabetes Care","language":"eng","note":"PMID: 10857947","page":"529-532","source":"PubMed","title":"Assessing impaired hypoglycemia awareness in type 1 diabetes: agreement of self-report but not of field study data with the autonomic symptom threshold during experimental hypoglycemia","title-short":"Assessing impaired hypoglycemia awareness in type 1 diabetes","volume":"23","author":[{"family":"Janssen","given":"M. M."},{"family":"Snoek","given":"F. J."},{"family":"Heine","given":"R. J."}],"issued":{"date-parts":[["2000",4]]}}}],"schema":"https://github.com/citation-style-language/schema/raw/master/csl-citation.json"} </w:instrText>
      </w:r>
      <w:r w:rsidR="00A403D6" w:rsidRPr="0035461C">
        <w:rPr>
          <w:rFonts w:ascii="Calibri" w:hAnsi="Calibri" w:cs="Calibri"/>
        </w:rPr>
        <w:fldChar w:fldCharType="separate"/>
      </w:r>
      <w:r w:rsidR="00076F77" w:rsidRPr="00076F77">
        <w:rPr>
          <w:rFonts w:ascii="Calibri" w:hAnsi="Calibri" w:cs="Calibri"/>
        </w:rPr>
        <w:t>(115)</w:t>
      </w:r>
      <w:r w:rsidR="00A403D6" w:rsidRPr="0035461C">
        <w:rPr>
          <w:rFonts w:ascii="Calibri" w:hAnsi="Calibri" w:cs="Calibri"/>
        </w:rPr>
        <w:fldChar w:fldCharType="end"/>
      </w:r>
      <w:r w:rsidR="008965FB" w:rsidRPr="0035461C">
        <w:rPr>
          <w:rFonts w:ascii="Calibri" w:hAnsi="Calibri" w:cs="Calibri"/>
        </w:rPr>
        <w:t>.</w:t>
      </w:r>
      <w:r w:rsidR="00E615B3" w:rsidRPr="0035461C">
        <w:rPr>
          <w:rFonts w:ascii="Calibri" w:hAnsi="Calibri" w:cs="Calibri"/>
        </w:rPr>
        <w:t xml:space="preserve"> </w:t>
      </w:r>
      <w:r w:rsidR="009D354B" w:rsidRPr="0035461C">
        <w:rPr>
          <w:rFonts w:ascii="Calibri" w:hAnsi="Calibri" w:cs="Calibri"/>
        </w:rPr>
        <w:t xml:space="preserve">The </w:t>
      </w:r>
      <w:r w:rsidRPr="0035461C">
        <w:rPr>
          <w:rFonts w:ascii="Calibri" w:hAnsi="Calibri" w:cs="Calibri"/>
        </w:rPr>
        <w:t>Gold and Clarke questionnaires showing a score equal or above 4 are indicative of IAH</w:t>
      </w:r>
      <w:r w:rsidR="008965FB" w:rsidRPr="0035461C">
        <w:rPr>
          <w:rFonts w:ascii="Calibri" w:hAnsi="Calibri" w:cs="Calibri"/>
        </w:rPr>
        <w:t xml:space="preserve"> </w:t>
      </w:r>
      <w:r w:rsidR="00F26258" w:rsidRPr="0035461C">
        <w:rPr>
          <w:rFonts w:ascii="Calibri" w:hAnsi="Calibri" w:cs="Calibri"/>
        </w:rPr>
        <w:fldChar w:fldCharType="begin"/>
      </w:r>
      <w:r w:rsidR="00076F77">
        <w:rPr>
          <w:rFonts w:ascii="Calibri" w:hAnsi="Calibri" w:cs="Calibri"/>
        </w:rPr>
        <w:instrText xml:space="preserve"> ADDIN ZOTERO_ITEM CSL_CITATION {"citationID":"eBRNZA58","properties":{"formattedCitation":"(113,116)","plainCitation":"(113,116)","noteIndex":0},"citationItems":[{"id":11090,"uris":["http://zotero.org/groups/369679/items/CHW5K2SB"],"uri":["http://zotero.org/groups/369679/items/CHW5K2SB"],"itemData":{"id":11090,"type":"article-journal","abstract":"OBJECTIVE: To determine the frequency of hypoglycemia in patients with type I diabetes and impaired awareness of hypoglycemia by prospective assessment.\nRESEARCH DESIGN AND METHODS: A prospective study was undertaken for 12 months in 60 patients with type I diabetes: 29 had impaired awareness of hypoglycemia and 31 retained normal awareness of hypoglycemia. The two groups of patients were matched for age, age at onset of diabetes, duration of diabetes, and glycemic control. Episodes of severe hypoglycemia were recorded within 24 h of the event and verified where possible by witnesses.\nRESULTS: During the 12 months, 19 (66%) of the patients with impaired awareness had one or more episodes of severe hypoglycemia with an overall incidence of 2.8 episodes.patient-1.year-1. By comparison, 8 (26%) of the patients with normal awareness experienced severe hypoglycemia (P &lt; 0.01) with an annual incidence of 0.5 episode.patient-1.year-1 (P &lt; 0.001). Severe hypoglycemia occurred at different times of the day in the two groups: patients with impaired awareness experienced a greater proportion of episodes during the evening (P = 0.03), and patients with normal awareness experienced a greater proportion in the early morning (P = 0.05). An assessment of fear of hypoglycemia revealed that patients with impaired awareness of hypoglycemia worried more about hypoglycemia than did patients with normal awareness (P = 0.008), but did not modify their behavior accordingly.\nCONCLUSIONS: This prospective evaluation demonstrated that impaired awareness of hypoglycemia predisposes to a sixfold increase in the frequency of severe hypoglycemia, much of which occurred at home during waking hours.","container-title":"Diabetes Care","DOI":"10.2337/diacare.17.7.697","ISSN":"0149-5992","issue":"7","journalAbbreviation":"Diabetes Care","language":"eng","note":"PMID: 7924780","page":"697-703","source":"PubMed","title":"Frequency of severe hypoglycemia in patients with type I diabetes with impaired awareness of hypoglycemia","volume":"17","author":[{"family":"Gold","given":"A. E."},{"family":"MacLeod","given":"K. M."},{"family":"Frier","given":"B. M."}],"issued":{"date-parts":[["1994",7]]}}},{"id":10766,"uris":["http://zotero.org/groups/369679/items/4PTCU4HD"],"uri":["http://zotero.org/groups/369679/items/4PTCU4HD"],"itemData":{"id":10766,"type":"article-journal","abstract":"OBJECTIVE: To prospectively evaluate the frequency and severity of hypoglycemic episodes in IDDM subjects who declare themselves to have reduced awareness of hypoglycemia, to validate their self-designations in their natural environment, and to determine objectively the presence or absence of autonomic and neuroglycopenic symptoms associated with their low blood glucose (BG) levels.\nRESEARCH DESIGN AND METHODS: A total of 78 insulin-dependent diabetes mellitus (IDDM) subjects (mean age 38.3 +/- 9.2 years; duration of diabetes 19.3 +/- 10.4 years) completed two sets of assessments separated by 6 months. The assessments included reports of frequency and severity of low BG, symptoms associated with low BG, and a BG symptom/estimation trial using a hand-held computer (HHC). Diaries of hypoglycemic episodes were kept for the intervening 6 months. HbA1 levels were determined at each assessment.\nRESULTS: Of the subjects, 39 declared themselves as having reduced awareness of hypoglycemia (reduced-awareness subjects). There were no differences between these reduced-awareness subjects and aware subjects with regard to age, sex, disease duration, insulin dose, or HbA1. During the HHC trials, reduced-awareness subjects were significantly less accurate in detecting BG &lt; 3.9 mmol/l (33.2 +/- 47 vs. 47.6 +/- 50% detection, P = 0.001) and had significantly fewer autonomic (0.41 +/- 0.82 vs. 1.08 +/- 1.22, P = 0.006, reduced-awareness vs. aware) and neuroglycopenic (0.44 +/- 0.85 vs. 1.18 +/- 1.32, P = 0.004, reduced-awareness vs. aware) symptoms per subject. Prospective diary records revealed that reduced-awareness subjects experienced more moderate (351 vs. 238, P = 0.026) and severe (50 vs. 17, P = 0.0062) hypoglycemic events. The second assessment results were similar to the first and verified the reliability of the data.\nCONCLUSIONS: IDDM subjects who believe they have reduced awareness of hypoglycemia are generally correct. They have a history of more moderate and severe hypoglycemia, are less accurate at detecting BG &lt; 3.9 mmol/l, and prospectively experience more moderate and severe hypoglycemia than do aware subjects. Neither disease duration nor level of glucose control explains their reduced awareness of hypoglycemia. Reduced-awareness individuals may benefit from interventions designed to teach them to recognize all of their potential early warning symptoms.","container-title":"Diabetes Care","DOI":"10.2337/diacare.18.4.517","ISSN":"0149-5992","issue":"4","journalAbbreviation":"Diabetes Care","language":"eng","note":"PMID: 7497862","page":"517-522","source":"PubMed","title":"Reduced awareness of hypoglycemia in adults with IDDM. A prospective study of hypoglycemic frequency and associated symptoms","volume":"18","author":[{"family":"Clarke","given":"W. L."},{"family":"Cox","given":"D. J."},{"family":"Gonder-Frederick","given":"L. A."},{"family":"Julian","given":"D."},{"family":"Schlundt","given":"D."},{"family":"Polonsky","given":"W."}],"issued":{"date-parts":[["1995",4]]}}}],"schema":"https://github.com/citation-style-language/schema/raw/master/csl-citation.json"} </w:instrText>
      </w:r>
      <w:r w:rsidR="00F26258" w:rsidRPr="0035461C">
        <w:rPr>
          <w:rFonts w:ascii="Calibri" w:hAnsi="Calibri" w:cs="Calibri"/>
        </w:rPr>
        <w:fldChar w:fldCharType="separate"/>
      </w:r>
      <w:r w:rsidR="00076F77" w:rsidRPr="00076F77">
        <w:rPr>
          <w:rFonts w:ascii="Calibri" w:hAnsi="Calibri" w:cs="Calibri"/>
        </w:rPr>
        <w:t>(113,116)</w:t>
      </w:r>
      <w:r w:rsidR="00F26258" w:rsidRPr="0035461C">
        <w:rPr>
          <w:rFonts w:ascii="Calibri" w:hAnsi="Calibri" w:cs="Calibri"/>
        </w:rPr>
        <w:fldChar w:fldCharType="end"/>
      </w:r>
      <w:r w:rsidR="009D354B" w:rsidRPr="0035461C">
        <w:rPr>
          <w:rFonts w:ascii="Calibri" w:hAnsi="Calibri" w:cs="Calibri"/>
        </w:rPr>
        <w:t xml:space="preserve"> and t</w:t>
      </w:r>
      <w:r w:rsidRPr="0035461C">
        <w:rPr>
          <w:rFonts w:ascii="Calibri" w:hAnsi="Calibri" w:cs="Calibri"/>
        </w:rPr>
        <w:t>he Pedersen-</w:t>
      </w:r>
      <w:proofErr w:type="spellStart"/>
      <w:r w:rsidRPr="0035461C">
        <w:rPr>
          <w:rFonts w:ascii="Calibri" w:hAnsi="Calibri" w:cs="Calibri"/>
        </w:rPr>
        <w:t>Bjergaard</w:t>
      </w:r>
      <w:proofErr w:type="spellEnd"/>
      <w:r w:rsidRPr="0035461C">
        <w:rPr>
          <w:rFonts w:ascii="Calibri" w:hAnsi="Calibri" w:cs="Calibri"/>
        </w:rPr>
        <w:t xml:space="preserve"> and </w:t>
      </w:r>
      <w:proofErr w:type="spellStart"/>
      <w:r w:rsidRPr="0035461C">
        <w:rPr>
          <w:rFonts w:ascii="Calibri" w:hAnsi="Calibri" w:cs="Calibri"/>
        </w:rPr>
        <w:t>HypoA</w:t>
      </w:r>
      <w:proofErr w:type="spellEnd"/>
      <w:r w:rsidRPr="0035461C">
        <w:rPr>
          <w:rFonts w:ascii="Calibri" w:hAnsi="Calibri" w:cs="Calibri"/>
        </w:rPr>
        <w:t>-Q questionnaires can also identify IAH</w:t>
      </w:r>
      <w:r w:rsidR="009D354B" w:rsidRPr="0035461C">
        <w:rPr>
          <w:rFonts w:ascii="Calibri" w:hAnsi="Calibri" w:cs="Calibri"/>
        </w:rPr>
        <w:t xml:space="preserve"> </w:t>
      </w:r>
      <w:r w:rsidR="009D354B" w:rsidRPr="0035461C">
        <w:rPr>
          <w:rFonts w:ascii="Calibri" w:hAnsi="Calibri" w:cs="Calibri"/>
        </w:rPr>
        <w:fldChar w:fldCharType="begin"/>
      </w:r>
      <w:r w:rsidR="00076F77">
        <w:rPr>
          <w:rFonts w:ascii="Calibri" w:hAnsi="Calibri" w:cs="Calibri"/>
        </w:rPr>
        <w:instrText xml:space="preserve"> ADDIN ZOTERO_ITEM CSL_CITATION {"citationID":"kYBemMKk","properties":{"formattedCitation":"(117,118)","plainCitation":"(117,118)","noteIndex":0},"citationItems":[{"id":11096,"uris":["http://zotero.org/groups/369679/items/UVWD7UTK"],"uri":["http://zotero.org/groups/369679/items/UVWD7UTK"],"itemData":{"id":11096,"type":"article-journal","abstract":"BACKGROUND: The ability of people with insulin-treated diabetes to remember severe hypoglycaemia and the consistency of their self-estimated awareness of hypoglycaemia are not well documented but are important in clinical practice. The aim of this study is to assess recall of severe hypoglycaemia in patients with type 1 diabetes and to evaluate the feasibility of a simple method for clinical classification of the awareness of hypoglycaemia.\nMETHODS: A one-year prospective study was performed on a cohort of patients with type 1 diabetes (n = 230). The rate of severe hypoglycaemia reported retrospectively at the end of the study was compared to the prospectively recorded rate during the study period. Self-estimated awareness was explored in questionnaires at baseline and at the end, and assessments were evaluated by the occurrence of severe hypoglycaemic episodes.\nRESULTS: Almost 90% of the participants correctly recalled whether they had had severe hypoglycaemia. However, those with high prospectively recorded numbers had incomplete recall, resulting in a 15% underestimation of the overall rate. On the basis of the answer to the question \"Do you recognise symptoms when you have a hypo?\", the population was classified into three groups: 40% with normal awareness, 47% with impaired awareness and 13% with unawareness. The groups with impaired awareness and unawareness had 5.1 and 9.6 times higher rates of severe hypoglycaemia, respectively, compared to the group with normal awareness (p &lt; 0.001).\nCONCLUSION: People with type 1 diabetes generally remember severe hypoglycaemic episodes during a one-year period. A simple method is proposed for classifying the state of awareness of hypoglycaemia in clinical practice.","container-title":"Diabetes/Metabolism Research and Reviews","DOI":"10.1002/dmrr.377","ISSN":"1520-7552","issue":"3","journalAbbreviation":"Diabetes Metab Res Rev","language":"eng","note":"PMID: 12789657","page":"232-240","source":"PubMed","title":"Recall of severe hypoglycaemia and self-estimated state of awareness in type 1 diabetes","volume":"19","author":[{"family":"Pedersen-Bjergaard","given":"Ulrik"},{"family":"Pramming","given":"Stig"},{"family":"Thorsteinsson","given":"Birger"}],"issued":{"date-parts":[["2003",6]]}}},{"id":11098,"uris":["http://zotero.org/groups/369679/items/4XITIWME"],"uri":["http://zotero.org/groups/369679/items/4XITIWME"],"itemData":{"id":11098,"type":"article-journal","abstract":"AIMS: To design and conduct preliminary validation of a measure of hypoglycaemia awareness and problematic hypoglycaemia, the Hypoglycaemia Awareness Questionnaire.\nMETHODS: Exploratory and cognitive debriefing interviews were conducted with 17 adults (nine of whom were women) with Type 1 diabetes (mean ± sd age 48 ± 10 years). Questionnaire items were modified in consultation with diabetologists/psychologists. Psychometric validation was undertaken using data from 120 adults (53 women) with Type 1 diabetes (mean ± sd age 44 ± 16 years; 50% with clinically diagnosed impaired awareness of hypoglycaemia), who completed the following questionnaires: the Hypoglycaemia Awareness Questionnaire, the Gold score, the Clarke questionnaire and the Problem Areas in Diabetes questionnaire.\nRESULTS: Iterative design resulted in 33 items eliciting responses about awareness of hypoglycaemia when awake/asleep and hypoglycaemia frequency, severity and impact (healthcare utilization). Psychometric analysis identified three subscales reflecting 'impaired awareness', 'symptom level' and 'symptom frequency'. Convergent validity was indicated by strong correlations between the 'impaired awareness' subscale and existing measures of awareness: (Gold: rs =0.75, P &lt; 0.01; Clarke: rs =0.76, P &lt; 0.01). Divergent validity was indicated by weaker correlations with diabetes-related distress (Problem Areas in Diabetes: rs =0.25, P &lt; 0.01) and HbA1c (rs =-0.05, non-significant). The 'impaired awareness' subscale and other items discriminated between those with impaired and intact awareness (Gold score). The 'impaired awareness' subscale and other items contributed significantly to models explaining the occurrence of severe hypoglycaemia and hypoglycaemia when asleep.\nCONCLUSIONS: This preliminary validation shows the Hypoglycaemia Awareness Questionnaire has robust face and content validity; satisfactory structure; internal reliability; convergent, divergent and known groups validity. The impaired awareness subscale and other items contribute significantly to models explaining recall of severe and nocturnal hypoglycaemia. Prospective validation, including determination of a threshold to identify impaired awareness, is now warranted.","container-title":"Diabetic Medicine: A Journal of the British Diabetic Association","DOI":"10.1111/dme.12824","ISSN":"1464-5491","issue":"3","journalAbbreviation":"Diabet Med","language":"eng","note":"PMID: 26042777","page":"376-385","source":"PubMed","title":"Characterizing problematic hypoglycaemia: iterative design and preliminary psychometric validation of the Hypoglycaemia Awareness Questionnaire (HypoA-Q)","title-short":"Characterizing problematic hypoglycaemia","volume":"33","author":[{"family":"Speight","given":"J."},{"family":"Barendse","given":"S. M."},{"family":"Singh","given":"H."},{"family":"Little","given":"S. A."},{"family":"Inkster","given":"B."},{"family":"Frier","given":"B. M."},{"family":"Heller","given":"S. R."},{"family":"Rutter","given":"M. K."},{"family":"Shaw","given":"J. a. M."}],"issued":{"date-parts":[["2016",3]]}}}],"schema":"https://github.com/citation-style-language/schema/raw/master/csl-citation.json"} </w:instrText>
      </w:r>
      <w:r w:rsidR="009D354B" w:rsidRPr="0035461C">
        <w:rPr>
          <w:rFonts w:ascii="Calibri" w:hAnsi="Calibri" w:cs="Calibri"/>
        </w:rPr>
        <w:fldChar w:fldCharType="separate"/>
      </w:r>
      <w:r w:rsidR="00076F77" w:rsidRPr="00076F77">
        <w:rPr>
          <w:rFonts w:ascii="Calibri" w:hAnsi="Calibri" w:cs="Calibri"/>
        </w:rPr>
        <w:t>(117,118)</w:t>
      </w:r>
      <w:r w:rsidR="009D354B" w:rsidRPr="0035461C">
        <w:rPr>
          <w:rFonts w:ascii="Calibri" w:hAnsi="Calibri" w:cs="Calibri"/>
        </w:rPr>
        <w:fldChar w:fldCharType="end"/>
      </w:r>
      <w:r w:rsidR="009D354B" w:rsidRPr="0035461C">
        <w:rPr>
          <w:rFonts w:ascii="Calibri" w:hAnsi="Calibri" w:cs="Calibri"/>
        </w:rPr>
        <w:t xml:space="preserve">. </w:t>
      </w:r>
      <w:r w:rsidR="00C2165B" w:rsidRPr="0059435A">
        <w:rPr>
          <w:rFonts w:asciiTheme="minorHAnsi" w:hAnsiTheme="minorHAnsi" w:cstheme="minorHAnsi"/>
        </w:rPr>
        <w:t xml:space="preserve">Another good test for hypoglycemia awareness is </w:t>
      </w:r>
      <w:r w:rsidR="00C2165B">
        <w:rPr>
          <w:rFonts w:asciiTheme="minorHAnsi" w:hAnsiTheme="minorHAnsi" w:cstheme="minorHAnsi"/>
        </w:rPr>
        <w:t xml:space="preserve">to ask, </w:t>
      </w:r>
      <w:r w:rsidR="00C2165B" w:rsidRPr="007D20F3">
        <w:rPr>
          <w:rFonts w:asciiTheme="minorHAnsi" w:hAnsiTheme="minorHAnsi" w:cstheme="minorHAnsi"/>
        </w:rPr>
        <w:t>“Do your symptoms of hypoglyc</w:t>
      </w:r>
      <w:r w:rsidR="00C2165B">
        <w:rPr>
          <w:rFonts w:asciiTheme="minorHAnsi" w:hAnsiTheme="minorHAnsi" w:cstheme="minorHAnsi"/>
        </w:rPr>
        <w:t>a</w:t>
      </w:r>
      <w:r w:rsidR="00C2165B" w:rsidRPr="007D20F3">
        <w:rPr>
          <w:rFonts w:asciiTheme="minorHAnsi" w:hAnsiTheme="minorHAnsi" w:cstheme="minorHAnsi"/>
        </w:rPr>
        <w:t>emia usually occur at a blood glucose level of ≥ 54 mg/dl</w:t>
      </w:r>
      <w:r w:rsidR="00C2165B">
        <w:rPr>
          <w:rFonts w:asciiTheme="minorHAnsi" w:hAnsiTheme="minorHAnsi" w:cstheme="minorHAnsi"/>
        </w:rPr>
        <w:t xml:space="preserve"> (3.0 </w:t>
      </w:r>
      <w:proofErr w:type="spellStart"/>
      <w:r w:rsidR="00C2165B">
        <w:rPr>
          <w:rFonts w:asciiTheme="minorHAnsi" w:hAnsiTheme="minorHAnsi" w:cstheme="minorHAnsi"/>
        </w:rPr>
        <w:t>mmol</w:t>
      </w:r>
      <w:proofErr w:type="spellEnd"/>
      <w:r w:rsidR="00C2165B">
        <w:rPr>
          <w:rFonts w:asciiTheme="minorHAnsi" w:hAnsiTheme="minorHAnsi" w:cstheme="minorHAnsi"/>
        </w:rPr>
        <w:t>/l)</w:t>
      </w:r>
      <w:r w:rsidR="00C2165B" w:rsidRPr="007D20F3">
        <w:rPr>
          <w:rFonts w:asciiTheme="minorHAnsi" w:hAnsiTheme="minorHAnsi" w:cstheme="minorHAnsi"/>
        </w:rPr>
        <w:t xml:space="preserve">; &lt;54 mg/dl or do </w:t>
      </w:r>
      <w:r w:rsidR="00EC16D9">
        <w:rPr>
          <w:rFonts w:asciiTheme="minorHAnsi" w:hAnsiTheme="minorHAnsi" w:cstheme="minorHAnsi"/>
        </w:rPr>
        <w:t xml:space="preserve">you </w:t>
      </w:r>
      <w:r w:rsidR="00C2165B" w:rsidRPr="007D20F3">
        <w:rPr>
          <w:rFonts w:asciiTheme="minorHAnsi" w:hAnsiTheme="minorHAnsi" w:cstheme="minorHAnsi"/>
        </w:rPr>
        <w:t>not feel symptoms</w:t>
      </w:r>
      <w:r w:rsidR="00EC16D9">
        <w:rPr>
          <w:rFonts w:asciiTheme="minorHAnsi" w:hAnsiTheme="minorHAnsi" w:cstheme="minorHAnsi"/>
        </w:rPr>
        <w:t>?</w:t>
      </w:r>
      <w:r w:rsidR="00C2165B" w:rsidRPr="007D20F3">
        <w:rPr>
          <w:rFonts w:asciiTheme="minorHAnsi" w:hAnsiTheme="minorHAnsi" w:cstheme="minorHAnsi"/>
        </w:rPr>
        <w:t>”</w:t>
      </w:r>
      <w:r w:rsidR="00C2165B">
        <w:rPr>
          <w:rFonts w:asciiTheme="minorHAnsi" w:hAnsiTheme="minorHAnsi" w:cstheme="minorHAnsi"/>
        </w:rPr>
        <w:t xml:space="preserve"> Those </w:t>
      </w:r>
      <w:r w:rsidR="00C2165B" w:rsidRPr="0059435A">
        <w:rPr>
          <w:rFonts w:asciiTheme="minorHAnsi" w:hAnsiTheme="minorHAnsi" w:cstheme="minorHAnsi"/>
        </w:rPr>
        <w:t xml:space="preserve">responding “less than 54 mg/dl </w:t>
      </w:r>
      <w:r w:rsidR="00C2165B">
        <w:rPr>
          <w:rFonts w:asciiTheme="minorHAnsi" w:hAnsiTheme="minorHAnsi" w:cstheme="minorHAnsi"/>
        </w:rPr>
        <w:t xml:space="preserve">(3.0 </w:t>
      </w:r>
      <w:proofErr w:type="spellStart"/>
      <w:r w:rsidR="00C2165B">
        <w:rPr>
          <w:rFonts w:asciiTheme="minorHAnsi" w:hAnsiTheme="minorHAnsi" w:cstheme="minorHAnsi"/>
        </w:rPr>
        <w:t>mmol</w:t>
      </w:r>
      <w:proofErr w:type="spellEnd"/>
      <w:r w:rsidR="00C2165B">
        <w:rPr>
          <w:rFonts w:asciiTheme="minorHAnsi" w:hAnsiTheme="minorHAnsi" w:cstheme="minorHAnsi"/>
        </w:rPr>
        <w:t xml:space="preserve">/l) </w:t>
      </w:r>
      <w:r w:rsidR="00C2165B" w:rsidRPr="0059435A">
        <w:rPr>
          <w:rFonts w:asciiTheme="minorHAnsi" w:hAnsiTheme="minorHAnsi" w:cstheme="minorHAnsi"/>
        </w:rPr>
        <w:t>or not experiencing symptoms</w:t>
      </w:r>
      <w:r w:rsidR="00C2165B">
        <w:rPr>
          <w:rFonts w:asciiTheme="minorHAnsi" w:hAnsiTheme="minorHAnsi" w:cstheme="minorHAnsi"/>
        </w:rPr>
        <w:t>”</w:t>
      </w:r>
      <w:r w:rsidR="00C2165B" w:rsidRPr="0059435A">
        <w:rPr>
          <w:rFonts w:asciiTheme="minorHAnsi" w:hAnsiTheme="minorHAnsi" w:cstheme="minorHAnsi"/>
        </w:rPr>
        <w:t xml:space="preserve"> </w:t>
      </w:r>
      <w:r w:rsidR="00C2165B">
        <w:rPr>
          <w:rFonts w:asciiTheme="minorHAnsi" w:hAnsiTheme="minorHAnsi" w:cstheme="minorHAnsi"/>
        </w:rPr>
        <w:t>ha</w:t>
      </w:r>
      <w:r w:rsidR="00780E2C">
        <w:rPr>
          <w:rFonts w:asciiTheme="minorHAnsi" w:hAnsiTheme="minorHAnsi" w:cstheme="minorHAnsi"/>
        </w:rPr>
        <w:t>ve</w:t>
      </w:r>
      <w:r w:rsidR="00C2165B" w:rsidRPr="0059435A">
        <w:rPr>
          <w:rFonts w:asciiTheme="minorHAnsi" w:hAnsiTheme="minorHAnsi" w:cstheme="minorHAnsi"/>
        </w:rPr>
        <w:t xml:space="preserve"> a &gt;4-fold increased risk of </w:t>
      </w:r>
      <w:r w:rsidR="00A765E6">
        <w:rPr>
          <w:rFonts w:asciiTheme="minorHAnsi" w:hAnsiTheme="minorHAnsi" w:cstheme="minorHAnsi"/>
        </w:rPr>
        <w:t>level 3</w:t>
      </w:r>
      <w:r w:rsidR="00C2165B" w:rsidRPr="0059435A">
        <w:rPr>
          <w:rFonts w:asciiTheme="minorHAnsi" w:hAnsiTheme="minorHAnsi" w:cstheme="minorHAnsi"/>
        </w:rPr>
        <w:t xml:space="preserve"> hypoglyc</w:t>
      </w:r>
      <w:r w:rsidR="00C2165B">
        <w:rPr>
          <w:rFonts w:asciiTheme="minorHAnsi" w:hAnsiTheme="minorHAnsi" w:cstheme="minorHAnsi"/>
        </w:rPr>
        <w:t>a</w:t>
      </w:r>
      <w:r w:rsidR="00C2165B" w:rsidRPr="0059435A">
        <w:rPr>
          <w:rFonts w:asciiTheme="minorHAnsi" w:hAnsiTheme="minorHAnsi" w:cstheme="minorHAnsi"/>
        </w:rPr>
        <w:t>emi</w:t>
      </w:r>
      <w:r w:rsidR="00C2165B" w:rsidRPr="003B73ED">
        <w:t>a</w:t>
      </w:r>
      <w:r w:rsidR="00CC02AB">
        <w:t xml:space="preserve"> </w:t>
      </w:r>
      <w:r w:rsidR="00CC02AB">
        <w:fldChar w:fldCharType="begin"/>
      </w:r>
      <w:r w:rsidR="00076F77">
        <w:instrText xml:space="preserve"> ADDIN ZOTERO_ITEM CSL_CITATION {"citationID":"af8hukmkkm","properties":{"formattedCitation":"(119)","plainCitation":"(119)","noteIndex":0},"citationItems":[{"id":1571,"uris":["http://zotero.org/groups/369679/items/77BSU3JP"],"uri":["http://zotero.org/groups/369679/items/77BSU3JP"],"itemData":{"id":1571,"type":"article-journal","abstract":"OBJECTIVE: DAFNE (Dose Adjustment For Normal Eating), a structured education program in flexible insulin therapy, has been widely adopted in the U.K. after validation in a randomized trial. To determine benefits in routine practice, we collected biomedical and psychological data from all participants attending during a 12-month period.\nRESEARCH DESIGN AND METHODS: HbA(1c), weight, self-reported hypoglycemia awareness, severe hypoglycemia frequency, PAID (Problem Areas In Diabetes), HADS (Hospital Anxiety and Depression Scale), and EuroQol Group 5-Dimension Self-Report Questionnaire scores were recorded prior to DAFNE and after 1 year.\nRESULTS: Complete baseline and follow-up HbA(1c) data were available for 639 (54.9%) of 1,163 attendees. HbA(1c) fell from 8.51 ± 1.41 (mean ± SD) to 8.24 ± 1.29% (difference 0.27 [95% CI 0.16-0.38]; P &lt; 0.001), with a greater mean fall of 0.44% from baseline HbA(1c) &gt;8.5%. Severe hypoglycemia rate fell from 1.7 ± 8.5 to 0.6 ± 3.7 episodes per person per year (1.1 [0.7-1.4]) and hypoglycemia recognition improved in 43% of those reporting unawareness. Baseline psychological distress was evident, with a PAID score of 25.2 and HADS scores of 5.3 (anxiety) and 4.8 (depression), falling to 16.7 (8.5 [6.6-10.4]), 4.6 (0.7 [0.4-1.0]), and 4.2 (0.6 [0.3-0.8]), respectively (all P &lt; 0.001 at 1 year). Clinically relevant anxiety and depression (HADS ≥ 8) fell from 24.4 to 18.0% and 20.9 to 15.5%, respectively.\nCONCLUSIONS: A structured education program delivered in routine clinical practice not only improves HbA(1c) while reducing severe hypoglycemia rate and restoring hypoglycemia awareness but also reduces psychological distress and improves perceived well-being.","container-title":"Diabetes care","DOI":"10.2337/dc11-1579","ISSN":"1935-5548","issue":"8","journalAbbreviation":"Diabetes Care","language":"eng","note":"PMID: 22619082 \nPMCID: PMC3402270","page":"1638-1642","source":"NCBI PubMed","title":"Improved biomedical and psychological outcomes 1 year after structured education in flexible insulin therapy for people with type 1 diabetes: the U.K. DAFNE experience","title-short":"Improved biomedical and psychological outcomes 1 year after structured education in flexible insulin therapy for people with type 1 diabetes","volume":"35","author":[{"family":"Hopkins","given":"David"},{"family":"Lawrence","given":"Ian"},{"family":"Mansell","given":"Peter"},{"family":"Thompson","given":"Gillian"},{"family":"Amiel","given":"Stephanie"},{"family":"Campbell","given":"Michael"},{"family":"Heller","given":"Simon"}],"issued":{"date-parts":[["2012",8]]}}}],"schema":"https://github.com/citation-style-language/schema/raw/master/csl-citation.json"} </w:instrText>
      </w:r>
      <w:r w:rsidR="00CC02AB">
        <w:fldChar w:fldCharType="separate"/>
      </w:r>
      <w:r w:rsidR="00076F77" w:rsidRPr="00076F77">
        <w:t>(119)</w:t>
      </w:r>
      <w:r w:rsidR="00CC02AB">
        <w:fldChar w:fldCharType="end"/>
      </w:r>
      <w:r w:rsidR="00C2165B">
        <w:rPr>
          <w:rFonts w:ascii="Calibri" w:hAnsi="Calibri" w:cs="Calibri"/>
        </w:rPr>
        <w:t xml:space="preserve">. </w:t>
      </w:r>
      <w:r w:rsidR="009D354B" w:rsidRPr="0035461C">
        <w:rPr>
          <w:rFonts w:ascii="Calibri" w:hAnsi="Calibri" w:cs="Calibri"/>
        </w:rPr>
        <w:t>The UK National Institute of Health and Care Excellence</w:t>
      </w:r>
      <w:r w:rsidRPr="0035461C">
        <w:rPr>
          <w:rFonts w:ascii="Calibri" w:hAnsi="Calibri" w:cs="Calibri"/>
        </w:rPr>
        <w:t xml:space="preserve"> </w:t>
      </w:r>
      <w:r w:rsidR="009D354B" w:rsidRPr="0035461C">
        <w:rPr>
          <w:rFonts w:ascii="Calibri" w:hAnsi="Calibri" w:cs="Calibri"/>
        </w:rPr>
        <w:t>recommended for the first time that an assessment of hypoglycaemia, including awareness, should form part of clinical consultations</w:t>
      </w:r>
      <w:r w:rsidR="00B0094E" w:rsidRPr="0035461C">
        <w:rPr>
          <w:rFonts w:ascii="Calibri" w:hAnsi="Calibri" w:cs="Calibri"/>
        </w:rPr>
        <w:t xml:space="preserve"> </w:t>
      </w:r>
      <w:r w:rsidR="00B0094E" w:rsidRPr="0035461C">
        <w:rPr>
          <w:rFonts w:ascii="Calibri" w:hAnsi="Calibri" w:cs="Calibri"/>
        </w:rPr>
        <w:fldChar w:fldCharType="begin"/>
      </w:r>
      <w:r w:rsidR="00076F77">
        <w:rPr>
          <w:rFonts w:ascii="Calibri" w:hAnsi="Calibri" w:cs="Calibri"/>
        </w:rPr>
        <w:instrText xml:space="preserve"> ADDIN ZOTERO_ITEM CSL_CITATION {"citationID":"xtCIZ8J3","properties":{"formattedCitation":"(84)","plainCitation":"(84)","noteIndex":0},"citationItems":[{"id":11492,"uris":["http://zotero.org/groups/369679/items/P3DNUAY9"],"uri":["http://zotero.org/groups/369679/items/P3DNUAY9"],"itemData":{"id":11492,"type":"webpage","language":"eng","note":"publisher: NICE","title":"Overview | Type 1 diabetes in adults: diagnosis and management | Guidance | NICE","title-short":"Overview | Type 1 diabetes in adults","URL":"https://www.nice.org.uk/guidance/ng17","accessed":{"date-parts":[["2021",6,10]]}}}],"schema":"https://github.com/citation-style-language/schema/raw/master/csl-citation.json"} </w:instrText>
      </w:r>
      <w:r w:rsidR="00B0094E" w:rsidRPr="0035461C">
        <w:rPr>
          <w:rFonts w:ascii="Calibri" w:hAnsi="Calibri" w:cs="Calibri"/>
        </w:rPr>
        <w:fldChar w:fldCharType="separate"/>
      </w:r>
      <w:r w:rsidR="00076F77" w:rsidRPr="00076F77">
        <w:rPr>
          <w:rFonts w:ascii="Calibri" w:hAnsi="Calibri" w:cs="Calibri"/>
        </w:rPr>
        <w:t>(84)</w:t>
      </w:r>
      <w:r w:rsidR="00B0094E" w:rsidRPr="0035461C">
        <w:rPr>
          <w:rFonts w:ascii="Calibri" w:hAnsi="Calibri" w:cs="Calibri"/>
        </w:rPr>
        <w:fldChar w:fldCharType="end"/>
      </w:r>
      <w:r w:rsidR="009D354B" w:rsidRPr="0035461C">
        <w:rPr>
          <w:rFonts w:ascii="Calibri" w:hAnsi="Calibri" w:cs="Calibri"/>
        </w:rPr>
        <w:t>.</w:t>
      </w:r>
    </w:p>
    <w:p w14:paraId="468383EF" w14:textId="77777777" w:rsidR="00B36673" w:rsidRDefault="00B36673" w:rsidP="00DE5217">
      <w:pPr>
        <w:spacing w:before="120"/>
        <w:jc w:val="both"/>
        <w:rPr>
          <w:rFonts w:ascii="Calibri" w:hAnsi="Calibri" w:cs="Calibri"/>
          <w:i/>
          <w:iCs/>
          <w:u w:val="single"/>
        </w:rPr>
      </w:pPr>
    </w:p>
    <w:p w14:paraId="200F9A43" w14:textId="15325214" w:rsidR="00DE5217" w:rsidRDefault="00DE5217" w:rsidP="00DE5217">
      <w:pPr>
        <w:spacing w:before="120"/>
        <w:jc w:val="both"/>
        <w:rPr>
          <w:rFonts w:ascii="Calibri" w:hAnsi="Calibri" w:cs="Calibri"/>
          <w:i/>
          <w:iCs/>
          <w:u w:val="single"/>
        </w:rPr>
      </w:pPr>
      <w:r>
        <w:rPr>
          <w:rFonts w:ascii="Calibri" w:hAnsi="Calibri" w:cs="Calibri"/>
          <w:i/>
          <w:iCs/>
          <w:u w:val="single"/>
        </w:rPr>
        <w:t>Prevention</w:t>
      </w:r>
      <w:r w:rsidRPr="0035461C">
        <w:rPr>
          <w:rFonts w:ascii="Calibri" w:hAnsi="Calibri" w:cs="Calibri"/>
          <w:i/>
          <w:iCs/>
          <w:u w:val="single"/>
        </w:rPr>
        <w:t xml:space="preserve"> of hypoglycaemia</w:t>
      </w:r>
    </w:p>
    <w:p w14:paraId="73752A3B" w14:textId="6329E99C" w:rsidR="000E4633" w:rsidRPr="009213C0" w:rsidRDefault="00DE5217" w:rsidP="001C5BC0">
      <w:pPr>
        <w:spacing w:before="120"/>
        <w:jc w:val="both"/>
        <w:rPr>
          <w:rFonts w:ascii="Calibri" w:hAnsi="Calibri" w:cs="Calibri"/>
          <w:iCs/>
        </w:rPr>
      </w:pPr>
      <w:r w:rsidRPr="009213C0">
        <w:rPr>
          <w:rFonts w:ascii="Calibri" w:hAnsi="Calibri" w:cs="Calibri"/>
          <w:iCs/>
        </w:rPr>
        <w:t>Hypoglycaemia is not inevitable and several strategies</w:t>
      </w:r>
      <w:r w:rsidR="000E4633" w:rsidRPr="009213C0">
        <w:rPr>
          <w:rFonts w:ascii="Calibri" w:hAnsi="Calibri" w:cs="Calibri"/>
          <w:iCs/>
        </w:rPr>
        <w:t xml:space="preserve"> </w:t>
      </w:r>
      <w:r w:rsidRPr="009213C0">
        <w:rPr>
          <w:rFonts w:ascii="Calibri" w:hAnsi="Calibri" w:cs="Calibri"/>
          <w:iCs/>
        </w:rPr>
        <w:t>can be used to reduce the risk</w:t>
      </w:r>
      <w:r w:rsidR="00CC02AB">
        <w:rPr>
          <w:rFonts w:ascii="Calibri" w:hAnsi="Calibri" w:cs="Calibri"/>
          <w:iCs/>
        </w:rPr>
        <w:t xml:space="preserve"> </w:t>
      </w:r>
      <w:r w:rsidR="00CC02AB">
        <w:rPr>
          <w:rFonts w:ascii="Calibri" w:hAnsi="Calibri" w:cs="Calibri"/>
          <w:iCs/>
        </w:rPr>
        <w:fldChar w:fldCharType="begin"/>
      </w:r>
      <w:r w:rsidR="00076F77">
        <w:rPr>
          <w:rFonts w:ascii="Calibri" w:hAnsi="Calibri" w:cs="Calibri"/>
          <w:iCs/>
        </w:rPr>
        <w:instrText xml:space="preserve"> ADDIN ZOTERO_ITEM CSL_CITATION {"citationID":"ac7b4c6tee","properties":{"formattedCitation":"(120)","plainCitation":"(120)","noteIndex":0},"citationItems":[{"id":12507,"uris":["http://zotero.org/groups/369679/items/RJR5TZ3D"],"uri":["http://zotero.org/groups/369679/items/RJR5TZ3D"],"itemData":{"id":12507,"type":"article-journal","abstract":"Hypoglycaemia remains an over-riding factor limiting optimal glycaemic control in type 1 diabetes. Severe hypoglycaemia is prevalent in almost half of those with long-duration diabetes and is one of the most feared diabetes-related complications. In this review, we present an overview of the increasing body of literature seeking to elucidate the underlying pathophysiology of severe hypoglycaemia and the limited evidence behind the strategies employed to prevent episodes. Drivers of severe hypoglycaemia including impaired counter-regulation, hypoglycaemia-associated autonomic failure, psychosocial and behavioural factors and neuroimaging correlates are discussed. Treatment strategies encompassing structured education, insulin analogue regimens, continuous subcutaneous insulin infusion pumps, continuous glucose sensing and beta-cell replacement therapies have been employed, yet there is little randomized controlled trial evidence demonstrating effectiveness of new technologies in reducing severe hypoglycaemia. Optimally designed interventional trials evaluating these existing technologies and using modern methods of teaching patients flexible insulin use within structured education programmes with the specific goal of preventing severe hypoglycaemia are required. Individuals at high risk need to be monitored with meticulous collection of data on awareness, as well as frequency and severity of all hypoglycaemic episodes.","container-title":"Diabetes/Metabolism Research and Reviews","DOI":"10.1002/dmrr.2492","ISSN":"1520-7560","issue":"3","journalAbbreviation":"Diabetes Metab Res Rev","language":"eng","note":"PMID: 24185859","page":"175-190","source":"PubMed","title":"Severe hypoglycaemia in type 1 diabetes mellitus: underlying drivers and potential strategies for successful prevention","title-short":"Severe hypoglycaemia in type 1 diabetes mellitus","volume":"30","author":[{"family":"Little","given":"S. A."},{"family":"Leelarathna","given":"L."},{"family":"Barendse","given":"S. M."},{"family":"Walkinshaw","given":"E."},{"family":"Tan","given":"H. K."},{"family":"Lubina Solomon","given":"A."},{"family":"Zoysa","given":"N.","non-dropping-particle":"de"},{"family":"Rogers","given":"H."},{"family":"Choudhary","given":"P."},{"family":"Amiel","given":"S. A."},{"family":"Heller","given":"S. R."},{"family":"Evans","given":"M."},{"family":"Flanagan","given":"D."},{"family":"Speight","given":"J."},{"family":"Shaw","given":"J. a. M."}],"issued":{"date-parts":[["2014",3]]}}}],"schema":"https://github.com/citation-style-language/schema/raw/master/csl-citation.json"} </w:instrText>
      </w:r>
      <w:r w:rsidR="00CC02AB">
        <w:rPr>
          <w:rFonts w:ascii="Calibri" w:hAnsi="Calibri" w:cs="Calibri"/>
          <w:iCs/>
        </w:rPr>
        <w:fldChar w:fldCharType="separate"/>
      </w:r>
      <w:r w:rsidR="00076F77" w:rsidRPr="00076F77">
        <w:rPr>
          <w:rFonts w:ascii="Calibri" w:hAnsi="Calibri" w:cs="Calibri"/>
        </w:rPr>
        <w:t>(120)</w:t>
      </w:r>
      <w:r w:rsidR="00CC02AB">
        <w:rPr>
          <w:rFonts w:ascii="Calibri" w:hAnsi="Calibri" w:cs="Calibri"/>
          <w:iCs/>
        </w:rPr>
        <w:fldChar w:fldCharType="end"/>
      </w:r>
      <w:r w:rsidRPr="009213C0">
        <w:rPr>
          <w:rFonts w:ascii="Calibri" w:hAnsi="Calibri" w:cs="Calibri"/>
          <w:iCs/>
        </w:rPr>
        <w:t>.</w:t>
      </w:r>
      <w:r w:rsidR="009213C0">
        <w:rPr>
          <w:rFonts w:ascii="Calibri" w:hAnsi="Calibri" w:cs="Calibri"/>
          <w:iCs/>
        </w:rPr>
        <w:t xml:space="preserve"> </w:t>
      </w:r>
      <w:r w:rsidR="009213C0">
        <w:rPr>
          <w:rFonts w:ascii="Calibri" w:hAnsi="Calibri" w:cs="Calibri"/>
        </w:rPr>
        <w:t>S</w:t>
      </w:r>
      <w:r w:rsidRPr="0035461C">
        <w:rPr>
          <w:rFonts w:ascii="Calibri" w:hAnsi="Calibri" w:cs="Calibri"/>
        </w:rPr>
        <w:t>tructured education</w:t>
      </w:r>
      <w:r w:rsidR="009213C0">
        <w:rPr>
          <w:rFonts w:ascii="Calibri" w:hAnsi="Calibri" w:cs="Calibri"/>
        </w:rPr>
        <w:t xml:space="preserve"> program</w:t>
      </w:r>
      <w:r w:rsidR="009213C0" w:rsidRPr="00B656D3">
        <w:rPr>
          <w:rFonts w:asciiTheme="minorHAnsi" w:hAnsiTheme="minorHAnsi" w:cstheme="minorHAnsi"/>
        </w:rPr>
        <w:t>s</w:t>
      </w:r>
      <w:r w:rsidR="00EC16D9" w:rsidRPr="00B656D3">
        <w:rPr>
          <w:rFonts w:asciiTheme="minorHAnsi" w:hAnsiTheme="minorHAnsi" w:cstheme="minorHAnsi"/>
        </w:rPr>
        <w:t>,</w:t>
      </w:r>
      <w:r w:rsidR="009213C0" w:rsidRPr="00B656D3">
        <w:rPr>
          <w:rFonts w:asciiTheme="minorHAnsi" w:hAnsiTheme="minorHAnsi" w:cstheme="minorHAnsi"/>
        </w:rPr>
        <w:t xml:space="preserve"> such as </w:t>
      </w:r>
      <w:r w:rsidR="00200179" w:rsidRPr="00B656D3">
        <w:rPr>
          <w:rStyle w:val="Emphasis"/>
          <w:rFonts w:asciiTheme="minorHAnsi" w:hAnsiTheme="minorHAnsi" w:cstheme="minorHAnsi"/>
          <w:bCs/>
          <w:i w:val="0"/>
          <w:iCs w:val="0"/>
          <w:color w:val="5F6368"/>
          <w:shd w:val="clear" w:color="auto" w:fill="FFFFFF"/>
        </w:rPr>
        <w:t>Dose Adjustment For Normal Eating (</w:t>
      </w:r>
      <w:r w:rsidR="009213C0" w:rsidRPr="00B656D3">
        <w:rPr>
          <w:rFonts w:asciiTheme="minorHAnsi" w:hAnsiTheme="minorHAnsi" w:cstheme="minorHAnsi"/>
        </w:rPr>
        <w:t>DAFNE</w:t>
      </w:r>
      <w:r w:rsidR="00200179" w:rsidRPr="00B656D3">
        <w:rPr>
          <w:rFonts w:asciiTheme="minorHAnsi" w:hAnsiTheme="minorHAnsi" w:cstheme="minorHAnsi"/>
        </w:rPr>
        <w:t>)</w:t>
      </w:r>
      <w:r w:rsidR="00B656D3" w:rsidRPr="00B656D3">
        <w:rPr>
          <w:rFonts w:asciiTheme="minorHAnsi" w:hAnsiTheme="minorHAnsi" w:cstheme="minorHAnsi"/>
        </w:rPr>
        <w:t xml:space="preserve"> and</w:t>
      </w:r>
      <w:r w:rsidR="009213C0" w:rsidRPr="00B656D3">
        <w:rPr>
          <w:rFonts w:asciiTheme="minorHAnsi" w:hAnsiTheme="minorHAnsi" w:cstheme="minorHAnsi"/>
        </w:rPr>
        <w:t xml:space="preserve"> </w:t>
      </w:r>
      <w:r w:rsidR="00200179" w:rsidRPr="00B656D3">
        <w:rPr>
          <w:rFonts w:asciiTheme="minorHAnsi" w:hAnsiTheme="minorHAnsi" w:cstheme="minorHAnsi"/>
        </w:rPr>
        <w:t>blood glucose awareness training (</w:t>
      </w:r>
      <w:r w:rsidR="009213C0" w:rsidRPr="00B656D3">
        <w:rPr>
          <w:rFonts w:asciiTheme="minorHAnsi" w:hAnsiTheme="minorHAnsi" w:cstheme="minorHAnsi"/>
        </w:rPr>
        <w:t>BGAT</w:t>
      </w:r>
      <w:r w:rsidR="00200179" w:rsidRPr="00B656D3">
        <w:rPr>
          <w:rFonts w:asciiTheme="minorHAnsi" w:hAnsiTheme="minorHAnsi" w:cstheme="minorHAnsi"/>
        </w:rPr>
        <w:t>)</w:t>
      </w:r>
      <w:r w:rsidR="00780E2C" w:rsidRPr="00B656D3">
        <w:rPr>
          <w:rFonts w:asciiTheme="minorHAnsi" w:hAnsiTheme="minorHAnsi" w:cstheme="minorHAnsi"/>
        </w:rPr>
        <w:t>,</w:t>
      </w:r>
      <w:r w:rsidR="009213C0" w:rsidRPr="00B656D3">
        <w:rPr>
          <w:rFonts w:asciiTheme="minorHAnsi" w:hAnsiTheme="minorHAnsi" w:cstheme="minorHAnsi"/>
        </w:rPr>
        <w:t xml:space="preserve"> </w:t>
      </w:r>
      <w:r w:rsidR="00780E2C">
        <w:rPr>
          <w:rFonts w:ascii="Calibri" w:hAnsi="Calibri" w:cs="Calibri"/>
        </w:rPr>
        <w:t xml:space="preserve">which </w:t>
      </w:r>
      <w:r w:rsidR="009213C0">
        <w:rPr>
          <w:rFonts w:ascii="Calibri" w:hAnsi="Calibri" w:cs="Calibri"/>
        </w:rPr>
        <w:t>provide</w:t>
      </w:r>
      <w:r w:rsidRPr="0035461C">
        <w:rPr>
          <w:rFonts w:ascii="Calibri" w:hAnsi="Calibri" w:cs="Calibri"/>
        </w:rPr>
        <w:t xml:space="preserve"> informed support in active insulin dose self-adjustment</w:t>
      </w:r>
      <w:r w:rsidR="00780E2C">
        <w:rPr>
          <w:rFonts w:ascii="Calibri" w:hAnsi="Calibri" w:cs="Calibri"/>
        </w:rPr>
        <w:t xml:space="preserve">, </w:t>
      </w:r>
      <w:r w:rsidR="00A765E6">
        <w:rPr>
          <w:rFonts w:ascii="Calibri" w:hAnsi="Calibri" w:cs="Calibri"/>
        </w:rPr>
        <w:t>are</w:t>
      </w:r>
      <w:r w:rsidR="009213C0">
        <w:rPr>
          <w:rFonts w:ascii="Calibri" w:hAnsi="Calibri" w:cs="Calibri"/>
        </w:rPr>
        <w:t xml:space="preserve"> the key to the prevention of hypoglycaemia and</w:t>
      </w:r>
      <w:r w:rsidRPr="0035461C">
        <w:rPr>
          <w:rFonts w:ascii="Calibri" w:hAnsi="Calibri" w:cs="Calibri"/>
        </w:rPr>
        <w:t xml:space="preserve"> lead to sustained falls in </w:t>
      </w:r>
      <w:r w:rsidR="00A765E6">
        <w:rPr>
          <w:rFonts w:ascii="Calibri" w:hAnsi="Calibri" w:cs="Calibri"/>
        </w:rPr>
        <w:t>level 3</w:t>
      </w:r>
      <w:r w:rsidRPr="0035461C">
        <w:rPr>
          <w:rFonts w:ascii="Calibri" w:hAnsi="Calibri" w:cs="Calibri"/>
        </w:rPr>
        <w:t xml:space="preserve"> hypoglycaemia rates in those at high risk </w:t>
      </w:r>
      <w:r w:rsidRPr="0035461C">
        <w:rPr>
          <w:rFonts w:ascii="Calibri" w:hAnsi="Calibri" w:cs="Calibri"/>
        </w:rPr>
        <w:fldChar w:fldCharType="begin"/>
      </w:r>
      <w:r w:rsidR="00076F77">
        <w:rPr>
          <w:rFonts w:ascii="Calibri" w:hAnsi="Calibri" w:cs="Calibri"/>
        </w:rPr>
        <w:instrText xml:space="preserve"> ADDIN ZOTERO_ITEM CSL_CITATION {"citationID":"a1dhcpoabik","properties":{"formattedCitation":"(121,122)","plainCitation":"(121,122)","noteIndex":0},"citationItems":[{"id":11489,"uris":["http://zotero.org/groups/369679/items/GZ83348S"],"uri":["http://zotero.org/groups/369679/items/GZ83348S"],"itemData":{"id":11489,"type":"article-journal","abstract":"OBJECTIVE: Severe hypoglycemia is a feared complication of type 1 diabetes; yet, few trials have targeted prevention using optimized self-management (educational, therapeutic, and technological support). We aimed to investigate whether improved awareness and reduced severe hypoglycemia, achieved during an intensive randomized clinical trial (RCT), were sustained after return to routine care.\nRESEARCH DESIGN AND METHODS: Ninety-six adults with type 1 diabetes (29 ± 12 years' duration) and impaired awareness of hypoglycemia at five U.K. tertiary referral diabetes centers were recruited into a 24-week 2 × 2 factorial RCT (HypoCOMPaSS). Participants were randomized to pump (continuous subcutaneous insulin infusion [CSII]) or multiple daily injections (MDIs) and real-time continuous glucose monitoring (RT-CGM) or self-monitoring of blood glucose (SMBG), with equal education/attention to all groups. At 24 weeks, participants returned to routine care with follow-up until 24 months, including free choice of MDI/CSII; RT-CGM vs. SMBG comparison continued to 24 months. Primary outcome was mean difference (baseline to 24 months [between groups]) in hypoglycemia awareness.\nRESULTS: Improvement in hypoglycemia awareness was sustained (Gold score at baseline 5.1 ± 1.1 vs. 24 months 3.7 ± 1.9; P &lt; 0.0001). Severe hypoglycemia rate was reduced from 8.9 ± 12.8 episodes/person-year over the 12 months prestudy to 0.4 ± 0.8 over 24 months (P &lt; 0.0001). HbA1c improved (baseline 8.2 ± 3.2% [66 ± 12 mmol/mol] vs. 24 months 7.7 ± 3.1% [61 ± 10 mmol/mol]; P = 0.003). Improvement in treatment satisfaction and reduced fear of hypoglycemia were sustained. There were no significant differences between interventions at 24 months.\nCONCLUSIONS: Optimized insulin replacement and glucose monitoring underpinned by hypoglycemia-focused structured education should be provided to all with type 1 diabetes complicated by impaired awareness of hypoglycemia.","container-title":"Diabetes Care","DOI":"10.2337/dc17-2682","ISSN":"1935-5548","issue":"8","journalAbbreviation":"Diabetes Care","language":"eng","note":"PMID: 29661916","page":"1600-1607","source":"PubMed","title":"Sustained Reduction in Severe Hypoglycemia in Adults With Type 1 Diabetes Complicated by Impaired Awareness of Hypoglycemia: Two-Year Follow-up in the HypoCOMPaSS Randomized Clinical Trial","title-short":"Sustained Reduction in Severe Hypoglycemia in Adults With Type 1 Diabetes Complicated by Impaired Awareness of Hypoglycemia","volume":"41","author":[{"family":"Little","given":"Stuart A."},{"family":"Speight","given":"Jane"},{"family":"Leelarathna","given":"Lalantha"},{"family":"Walkinshaw","given":"Emma"},{"family":"Tan","given":"Horng Kai"},{"family":"Bowes","given":"Anita"},{"family":"Lubina-Solomon","given":"Alexandra"},{"family":"Chadwick","given":"Thomas J."},{"family":"Stocken","given":"Deborah D."},{"family":"Brennand","given":"Catherine"},{"family":"Marshall","given":"Sally M."},{"family":"Wood","given":"Ruth"},{"family":"Kerr","given":"David"},{"family":"Flanagan","given":"Daniel"},{"family":"Heller","given":"Simon R."},{"family":"Evans","given":"Mark L."},{"family":"Shaw","given":"James A. M."}],"issued":{"date-parts":[["2018",8]]}}},{"id":12506,"uris":["http://zotero.org/groups/369679/items/WDJ2BEBU"],"uri":["http://zotero.org/groups/369679/items/WDJ2BEBU"],"itemData":{"id":12506,"type":"article-journal","abstract":"The role of intensive glycaemic control in preventing microvascular disease in diabetes is well established. Iatrogenic hypoglycaemia is, however, a major barrier to effective treatment. Hypoglycaemia is associated with a significant level of morbidity and, despite pharmacological and technological therapeutic advances, reported rates of severe hypoglycaemia in clinical practice have not fallen over the last 20 years. This suggests that human factors are of major relevance and that ensuring the effective self-management of diabetes is an important strategy for the reduction of hypoglycaemic risk. Most of the evidence for the impact of this strategy on hypoglycaemia risk is confined to adults with type 1 diabetes although, in this review, we also cite studies that have specifically addressed this in type 2 diabetes. There are relatively few adequately powered RCTs that have rigorously evaluated the effectiveness of structured education and training programmes on hypoglycaemia; however, the available data suggest a subsequent reduction in severe hypoglycaemia rates of around 50%, a rate reduction that is comparable with that observed following technological interventions. Furthermore, longitudinal observational cohorts support these data, showing similar reductions in rates of hypoglycaemia following structured education. Those who continue to experience recurrent hypoglycaemia and impaired awareness of hypoglycaemia despite education and training in diabetes self-management may benefit from technological interventions and/or interventions that specifically address psychological factors that contribute to hypoglycaemia risk; however, there is urgent need for further research in this area. In the meantime, structured education for effective self-management of diabetes should be part of routine therapy for all those with type 1 diabetes.","container-title":"Diabetologia","DOI":"10.1007/s00125-017-4334-z","ISSN":"1432-0428","issue":"4","journalAbbreviation":"Diabetologia","language":"eng","note":"PMID: 28660491\nPMCID: PMC6448987","page":"751-760","source":"PubMed","title":"The role of structured education in the management of hypoglycaemia","volume":"61","author":[{"family":"Iqbal","given":"Ahmed"},{"family":"Heller","given":"Simon R."}],"issued":{"date-parts":[["2018",4]]}}}],"schema":"https://github.com/citation-style-language/schema/raw/master/csl-citation.json"} </w:instrText>
      </w:r>
      <w:r w:rsidRPr="0035461C">
        <w:rPr>
          <w:rFonts w:ascii="Calibri" w:hAnsi="Calibri" w:cs="Calibri"/>
        </w:rPr>
        <w:fldChar w:fldCharType="separate"/>
      </w:r>
      <w:r w:rsidR="00076F77" w:rsidRPr="00076F77">
        <w:rPr>
          <w:rFonts w:ascii="Calibri" w:hAnsi="Calibri" w:cs="Calibri"/>
        </w:rPr>
        <w:t>(121,122)</w:t>
      </w:r>
      <w:r w:rsidRPr="0035461C">
        <w:rPr>
          <w:rFonts w:ascii="Calibri" w:hAnsi="Calibri" w:cs="Calibri"/>
        </w:rPr>
        <w:fldChar w:fldCharType="end"/>
      </w:r>
      <w:r w:rsidRPr="0035461C">
        <w:rPr>
          <w:rFonts w:ascii="Calibri" w:hAnsi="Calibri" w:cs="Calibri"/>
        </w:rPr>
        <w:t>.</w:t>
      </w:r>
      <w:r>
        <w:rPr>
          <w:rFonts w:ascii="Calibri" w:hAnsi="Calibri" w:cs="Calibri"/>
        </w:rPr>
        <w:t xml:space="preserve"> </w:t>
      </w:r>
      <w:r w:rsidR="00EE2A0A">
        <w:rPr>
          <w:rFonts w:ascii="Calibri" w:hAnsi="Calibri" w:cs="Calibri"/>
        </w:rPr>
        <w:t>The</w:t>
      </w:r>
      <w:r w:rsidRPr="0035461C">
        <w:rPr>
          <w:rFonts w:ascii="Calibri" w:hAnsi="Calibri" w:cs="Calibri"/>
          <w:lang w:val="en-GB"/>
        </w:rPr>
        <w:t xml:space="preserve"> use of </w:t>
      </w:r>
      <w:r w:rsidR="000E4633">
        <w:rPr>
          <w:rFonts w:ascii="Calibri" w:hAnsi="Calibri" w:cs="Calibri"/>
          <w:lang w:val="en-GB"/>
        </w:rPr>
        <w:t xml:space="preserve">insulin analogue regimens are associated with less hypoglycaemia while </w:t>
      </w:r>
      <w:r w:rsidRPr="0035461C">
        <w:rPr>
          <w:rFonts w:ascii="Calibri" w:hAnsi="Calibri" w:cs="Calibri"/>
          <w:lang w:val="en-GB"/>
        </w:rPr>
        <w:t xml:space="preserve">hybrid closed loop systems result in both improvement in TIR and reduction in TBR </w:t>
      </w:r>
      <w:r w:rsidRPr="0035461C">
        <w:rPr>
          <w:rFonts w:ascii="Calibri" w:hAnsi="Calibri" w:cs="Calibri"/>
          <w:lang w:val="en-GB"/>
        </w:rPr>
        <w:fldChar w:fldCharType="begin"/>
      </w:r>
      <w:r w:rsidR="00076F77">
        <w:rPr>
          <w:rFonts w:ascii="Calibri" w:hAnsi="Calibri" w:cs="Calibri"/>
          <w:lang w:val="en-GB"/>
        </w:rPr>
        <w:instrText xml:space="preserve"> ADDIN ZOTERO_ITEM CSL_CITATION {"citationID":"tD9AjKSO","properties":{"formattedCitation":"(89)","plainCitation":"(89)","noteIndex":0},"citationItems":[{"id":4535,"uris":["http://zotero.org/groups/369679/items/XNY4YFM3"],"uri":["http://zotero.org/groups/369679/items/XNY4YFM3"],"itemData":{"id":4535,"type":"article-journal","abstract":"BACKGROUND: Closed-loop systems that automate insulin delivery may improve glycemic outcomes in patients with type 1 diabetes.\nMETHODS: In this 6-month randomized, multicenter trial, patients with type 1 diabetes were assigned in a 2:1 ratio to receive treatment with a closed-loop system (closed-loop group) or a sensor-augmented pump (control group). The primary outcome was the percentage of time that the blood glucose level was within the target range of 70 to 180 mg per deciliter (3.9 to 10.0 mmol per liter), as measured by continuous glucose monitoring.\nRESULTS: A total of 168 patients underwent randomization; 112 were assigned to the closed-loop group, and 56 were assigned to the control group. The age range of the patients was 14 to 71 years, and the glycated hemoglobin level ranged from 5.4 to 10.6%. All 168 patients completed the trial. The mean (±SD) percentage of time that the glucose level was within the target range increased in the closed-loop group from 61±17% at baseline to 71±12% during the 6 months and remained unchanged at 59±14% in the control group (mean adjusted difference, 11 percentage points; 95% confidence interval [CI], 9 to 14; P&lt;0.001). The results with regard to the main secondary outcomes (percentage of time that the glucose level was &gt;180 mg per deciliter, mean glucose level, glycated hemoglobin level, and percentage of time that the glucose level was &lt;70 mg per deciliter or &lt;54 mg per deciliter [3.0 mmol per liter]) all met the prespecified hierarchical criterion for significance, favoring the closed-loop system. The mean difference (closed loop minus control) in the percentage of time that the blood glucose level was lower than 70 mg per deciliter was -0.88 percentage points (95% CI, -1.19 to -0.57; P&lt;0.001). The mean adjusted difference in glycated hemoglobin level after 6 months was -0.33 percentage points (95% CI, -0.53 to -0.13; P = 0.001). In the closed-loop group, the median percentage of time that the system was in closed-loop mode was 90% over 6 months. No serious hypoglycemic events occurred in either group; one episode of diabetic ketoacidosis occurred in the closed-loop group.\nCONCLUSIONS: In this 6-month trial involving patients with type 1 diabetes, the use of a closed-loop system was associated with a greater percentage of time spent in a target glycemic range than the use of a sensor-augmented insulin pump. (Funded by the National Institute of Diabetes and Digestive and Kidney Diseases; iDCL ClinicalTrials.gov number, NCT03563313.).","container-title":"The New England Journal of Medicine","DOI":"10.1056/NEJMoa1907863","ISSN":"1533-4406","issue":"18","journalAbbreviation":"N. Engl. J. Med.","language":"eng","note":"PMID: 31618560\nPMCID: PMC7076915","page":"1707-1717","source":"PubMed","title":"Six-Month Randomized, Multicenter Trial of Closed-Loop Control in Type 1 Diabetes","volume":"381","author":[{"family":"Brown","given":"Sue A."},{"family":"Kovatchev","given":"Boris P."},{"family":"Raghinaru","given":"Dan"},{"family":"Lum","given":"John W."},{"family":"Buckingham","given":"Bruce A."},{"family":"Kudva","given":"Yogish C."},{"family":"Laffel","given":"Lori M."},{"family":"Levy","given":"Carol J."},{"family":"Pinsker","given":"Jordan E."},{"family":"Wadwa","given":"R. Paul"},{"family":"Dassau","given":"Eyal"},{"family":"Doyle","given":"Francis J."},{"family":"Anderson","given":"Stacey M."},{"family":"Church","given":"Mei Mei"},{"family":"Dadlani","given":"Vikash"},{"family":"Ekhlaspour","given":"Laya"},{"family":"Forlenza","given":"Gregory P."},{"family":"Isganaitis","given":"Elvira"},{"family":"Lam","given":"David W."},{"family":"Kollman","given":"Craig"},{"family":"Beck","given":"Roy W."},{"literal":"iDCL Trial Research Group"}],"issued":{"date-parts":[["2019"]],"season":"31"}}}],"schema":"https://github.com/citation-style-language/schema/raw/master/csl-citation.json"} </w:instrText>
      </w:r>
      <w:r w:rsidRPr="0035461C">
        <w:rPr>
          <w:rFonts w:ascii="Calibri" w:hAnsi="Calibri" w:cs="Calibri"/>
          <w:lang w:val="en-GB"/>
        </w:rPr>
        <w:fldChar w:fldCharType="separate"/>
      </w:r>
      <w:r w:rsidR="00076F77" w:rsidRPr="00076F77">
        <w:rPr>
          <w:rFonts w:ascii="Calibri" w:hAnsi="Calibri" w:cs="Calibri"/>
        </w:rPr>
        <w:t>(89)</w:t>
      </w:r>
      <w:r w:rsidRPr="0035461C">
        <w:rPr>
          <w:rFonts w:ascii="Calibri" w:hAnsi="Calibri" w:cs="Calibri"/>
          <w:lang w:val="en-GB"/>
        </w:rPr>
        <w:fldChar w:fldCharType="end"/>
      </w:r>
      <w:r w:rsidRPr="0035461C">
        <w:rPr>
          <w:rFonts w:ascii="Calibri" w:hAnsi="Calibri" w:cs="Calibri"/>
          <w:lang w:val="en-GB"/>
        </w:rPr>
        <w:t>.</w:t>
      </w:r>
    </w:p>
    <w:p w14:paraId="2B2CE1C7" w14:textId="4AFFDE66" w:rsidR="00567D76" w:rsidRPr="0035461C" w:rsidRDefault="00B92FA7" w:rsidP="001C5BC0">
      <w:pPr>
        <w:spacing w:before="120"/>
        <w:jc w:val="both"/>
        <w:rPr>
          <w:rFonts w:ascii="Calibri" w:hAnsi="Calibri" w:cs="Calibri"/>
        </w:rPr>
      </w:pPr>
      <w:r w:rsidRPr="0035461C">
        <w:rPr>
          <w:rFonts w:ascii="Calibri" w:hAnsi="Calibri" w:cs="Calibri"/>
        </w:rPr>
        <w:t>S</w:t>
      </w:r>
      <w:r w:rsidR="000F35A6" w:rsidRPr="0035461C">
        <w:rPr>
          <w:rFonts w:ascii="Calibri" w:hAnsi="Calibri" w:cs="Calibri"/>
        </w:rPr>
        <w:t xml:space="preserve">trict avoidance of </w:t>
      </w:r>
      <w:r w:rsidR="00567D76" w:rsidRPr="0035461C">
        <w:rPr>
          <w:rFonts w:ascii="Calibri" w:hAnsi="Calibri" w:cs="Calibri"/>
        </w:rPr>
        <w:t>hypoglyc</w:t>
      </w:r>
      <w:r w:rsidR="000F35A6" w:rsidRPr="0035461C">
        <w:rPr>
          <w:rFonts w:ascii="Calibri" w:hAnsi="Calibri" w:cs="Calibri"/>
        </w:rPr>
        <w:t>a</w:t>
      </w:r>
      <w:r w:rsidR="00567D76" w:rsidRPr="0035461C">
        <w:rPr>
          <w:rFonts w:ascii="Calibri" w:hAnsi="Calibri" w:cs="Calibri"/>
        </w:rPr>
        <w:t>emia</w:t>
      </w:r>
      <w:r w:rsidRPr="0035461C">
        <w:rPr>
          <w:rFonts w:ascii="Calibri" w:hAnsi="Calibri" w:cs="Calibri"/>
        </w:rPr>
        <w:t xml:space="preserve"> can help to restore hypoglycaemia awareness</w:t>
      </w:r>
      <w:r w:rsidR="004F273E" w:rsidRPr="0035461C">
        <w:rPr>
          <w:rFonts w:ascii="Calibri" w:hAnsi="Calibri" w:cs="Calibri"/>
        </w:rPr>
        <w:t xml:space="preserve"> </w:t>
      </w:r>
      <w:r w:rsidR="004F273E" w:rsidRPr="0035461C">
        <w:rPr>
          <w:rFonts w:ascii="Calibri" w:hAnsi="Calibri" w:cs="Calibri"/>
        </w:rPr>
        <w:fldChar w:fldCharType="begin"/>
      </w:r>
      <w:r w:rsidR="00076F77">
        <w:rPr>
          <w:rFonts w:ascii="Calibri" w:hAnsi="Calibri" w:cs="Calibri"/>
        </w:rPr>
        <w:instrText xml:space="preserve"> ADDIN ZOTERO_ITEM CSL_CITATION {"citationID":"fI2cOZrO","properties":{"formattedCitation":"(123)","plainCitation":"(123)","noteIndex":0},"citationItems":[{"id":11100,"uris":["http://zotero.org/groups/369679/items/MIY6URUH"],"uri":["http://zotero.org/groups/369679/items/MIY6URUH"],"itemData":{"id":11100,"type":"article-journal","abstract":"Hypoglycaemia without warning is a dangerous complication of insulin-dependent diabetes mellitus and it limits the use of intensified insulin therapy to reduce chronic diabetic complications. To investigate the possibility of restoring awareness; symptomatic, cognitive, and hormonal responses to controlled hypoglycaemia were studied in insulin-dependent diabetic patients with long disease duration (6 with good glycaemic control and 6 with poor control) before and after hypoglycaemia avoidance. At the start of the study, all had loss of hypoglycaemia awareness. Responses to the initial challenge were small (pooled area under curve [AUC] adrenaline 5.75 [SE 0.07] nmol/L per 260 min, pooled AUC symptom score 80 [1.3]) and only started when plasma glucose was significantly lower than the 2.8 (0.1) mmol/L at which cognitive function deteriorated. After 4.1 (1.1) months' scrupulous hypoglycaemia avoidance, hormone and symptom responses to the challenge were increased (AUC adrenaline 15.9 [0.1] nmol/L per 260 min, p = 0.01; AUC symptom score 275 [7], p &lt; 0.001), starting at plasma glucose concentrations significantly higher than that causing cognitive dysfunction. Glycosylated haemoglobin did not deteriorate significantly. We conclude that the normal hierarchy of subjective awareness before cognitive dysfunction during hypoglycaemia can be restored by avoiding hypoglycaemia. This is independent of disease duration or initial metabolic control.","container-title":"Lancet (London, England)","DOI":"10.1016/s0140-6736(94)91336-6","ISSN":"0140-6736","issue":"8918","journalAbbreviation":"Lancet","language":"eng","note":"PMID: 7914259","page":"283-287","source":"PubMed","title":"Restoration of hypoglycaemia awareness in patients with long-duration insulin-dependent diabetes","volume":"344","author":[{"family":"Cranston","given":"I."},{"family":"Lomas","given":"J."},{"family":"Maran","given":"A."},{"family":"Macdonald","given":"I."},{"family":"Amiel","given":"S. A."}],"issued":{"date-parts":[["1994",7,30]]}}}],"schema":"https://github.com/citation-style-language/schema/raw/master/csl-citation.json"} </w:instrText>
      </w:r>
      <w:r w:rsidR="004F273E" w:rsidRPr="0035461C">
        <w:rPr>
          <w:rFonts w:ascii="Calibri" w:hAnsi="Calibri" w:cs="Calibri"/>
        </w:rPr>
        <w:fldChar w:fldCharType="separate"/>
      </w:r>
      <w:r w:rsidR="00076F77" w:rsidRPr="00076F77">
        <w:rPr>
          <w:rFonts w:ascii="Calibri" w:hAnsi="Calibri" w:cs="Calibri"/>
        </w:rPr>
        <w:t>(123)</w:t>
      </w:r>
      <w:r w:rsidR="004F273E" w:rsidRPr="0035461C">
        <w:rPr>
          <w:rFonts w:ascii="Calibri" w:hAnsi="Calibri" w:cs="Calibri"/>
        </w:rPr>
        <w:fldChar w:fldCharType="end"/>
      </w:r>
      <w:r w:rsidR="006021F2" w:rsidRPr="0035461C">
        <w:rPr>
          <w:rFonts w:ascii="Calibri" w:hAnsi="Calibri" w:cs="Calibri"/>
        </w:rPr>
        <w:t>.</w:t>
      </w:r>
      <w:r w:rsidR="00567D76" w:rsidRPr="0035461C">
        <w:rPr>
          <w:rFonts w:ascii="Calibri" w:hAnsi="Calibri" w:cs="Calibri"/>
        </w:rPr>
        <w:t xml:space="preserve"> </w:t>
      </w:r>
      <w:r w:rsidR="000E4633">
        <w:rPr>
          <w:rFonts w:ascii="Calibri" w:hAnsi="Calibri" w:cs="Calibri"/>
          <w:color w:val="212121"/>
          <w:shd w:val="clear" w:color="auto" w:fill="FFFFFF"/>
        </w:rPr>
        <w:t>S</w:t>
      </w:r>
      <w:r w:rsidR="000E4633" w:rsidRPr="000E4633">
        <w:rPr>
          <w:rFonts w:ascii="Calibri" w:hAnsi="Calibri" w:cs="Calibri"/>
          <w:color w:val="212121"/>
          <w:shd w:val="clear" w:color="auto" w:fill="FFFFFF"/>
        </w:rPr>
        <w:t>tructured diabetes education in flexible insulin therapy, which may incorporate psychotherapeutic and behavioral therapies, progressing to diabetes technology, incorporating sensors and insulin pumps</w:t>
      </w:r>
      <w:r w:rsidR="000E4633">
        <w:rPr>
          <w:rFonts w:ascii="Calibri" w:hAnsi="Calibri" w:cs="Calibri"/>
          <w:color w:val="212121"/>
          <w:shd w:val="clear" w:color="auto" w:fill="FFFFFF"/>
        </w:rPr>
        <w:t xml:space="preserve"> are all effective treatments</w:t>
      </w:r>
      <w:r w:rsidR="000E4633" w:rsidRPr="000E4633">
        <w:rPr>
          <w:rFonts w:ascii="Calibri" w:hAnsi="Calibri" w:cs="Calibri"/>
          <w:color w:val="212121"/>
          <w:shd w:val="clear" w:color="auto" w:fill="FFFFFF"/>
        </w:rPr>
        <w:t>, in those with persisting need</w:t>
      </w:r>
      <w:r w:rsidR="00D7392F">
        <w:rPr>
          <w:rFonts w:ascii="Calibri" w:hAnsi="Calibri" w:cs="Calibri"/>
          <w:color w:val="212121"/>
          <w:shd w:val="clear" w:color="auto" w:fill="FFFFFF"/>
        </w:rPr>
        <w:t xml:space="preserve"> </w:t>
      </w:r>
      <w:r w:rsidR="00D7392F">
        <w:rPr>
          <w:rFonts w:ascii="Calibri" w:hAnsi="Calibri" w:cs="Calibri"/>
          <w:color w:val="212121"/>
          <w:shd w:val="clear" w:color="auto" w:fill="FFFFFF"/>
        </w:rPr>
        <w:fldChar w:fldCharType="begin"/>
      </w:r>
      <w:r w:rsidR="00076F77">
        <w:rPr>
          <w:rFonts w:ascii="Calibri" w:hAnsi="Calibri" w:cs="Calibri"/>
          <w:color w:val="212121"/>
          <w:shd w:val="clear" w:color="auto" w:fill="FFFFFF"/>
        </w:rPr>
        <w:instrText xml:space="preserve"> ADDIN ZOTERO_ITEM CSL_CITATION {"citationID":"apkddu7hbd","properties":{"formattedCitation":"(124)","plainCitation":"(124)","noteIndex":0},"citationItems":[{"id":2121,"uris":["http://zotero.org/groups/369679/items/UV4R2EJL"],"uri":["http://zotero.org/groups/369679/items/UV4R2EJL"],"itemData":{"id":2121,"type":"article-journal","abstract":"OBJECTIVE: Impaired awareness of hypoglycemia (IAH) increases the risk of severe hypoglycemia (SH) sixfold and affects 30% of adults with type 1 diabetes (T1D). This systematic review and meta-analysis looks at the educational, technological, and pharmacological interventions aimed at restoring hypoglycemia awareness (HA) in adults with T1D.\nRESEARCH DESIGN AND METHODS: We searched The Cochrane Library, MEDLINE, Embase, Science Citation Index Expanded, Social Sciences Citation Index, PsycINFO, and CINAHL from inception until 1 October 2014. Included studies described HA status at baseline. Outcome measures were SH rates, change in HA, counterregulatory hormone responses, and glycemic control.\nRESULTS: Forty-three studies (18 randomized controlled trials, 25 before-and-after studies) met the inclusion criteria, comprising 27 educational, 11 technological, and 5 pharmacological interventions. Educational interventions included structured diabetes education on flexible insulin therapy, including psychotherapeutic and behavioral techniques. These were able to reduce SH and improve glycemic control, with greater benefit from the latter two techniques in improving IAH. Technological interventions (insulin pump therapy, continuous glucose monitoring, and sensor-augmented pump) reduced SH, improved glycemic control, and restored awareness when used in combination with structured education and frequent contact. Pharmacological studies included four insulin studies and one noninsulin study, but with low background SH prevalence rates.\nCONCLUSIONS: This review provides evidence for the effectiveness of a stepped-care approach in the management of patients with IAH, initially with structured diabetes education in flexible insulin therapy, which may incorporate psychotherapeutic and behavioral therapies, progressing to diabetes technology, incorporating sensors and insulin pumps, in those with persisting need.","container-title":"Diabetes Care","DOI":"10.2337/dc15-0102","ISSN":"1935-5548","issue":"8","journalAbbreviation":"Diabetes Care","language":"eng","note":"PMID: 26207053","page":"1592-1609","source":"PubMed","title":"Interventions That Restore Awareness of Hypoglycemia in Adults With Type 1 Diabetes: A Systematic Review and Meta-analysis","title-short":"Interventions That Restore Awareness of Hypoglycemia in Adults With Type 1 Diabetes","volume":"38","author":[{"family":"Yeoh","given":"Ester"},{"family":"Choudhary","given":"Pratik"},{"family":"Nwokolo","given":"Munachiso"},{"family":"Ayis","given":"Salma"},{"family":"Amiel","given":"Stephanie A."}],"issued":{"date-parts":[["2015",8]]}}}],"schema":"https://github.com/citation-style-language/schema/raw/master/csl-citation.json"} </w:instrText>
      </w:r>
      <w:r w:rsidR="00D7392F">
        <w:rPr>
          <w:rFonts w:ascii="Calibri" w:hAnsi="Calibri" w:cs="Calibri"/>
          <w:color w:val="212121"/>
          <w:shd w:val="clear" w:color="auto" w:fill="FFFFFF"/>
        </w:rPr>
        <w:fldChar w:fldCharType="separate"/>
      </w:r>
      <w:r w:rsidR="00076F77" w:rsidRPr="00076F77">
        <w:rPr>
          <w:rFonts w:ascii="Calibri" w:hAnsi="Calibri" w:cs="Calibri"/>
        </w:rPr>
        <w:t>(124)</w:t>
      </w:r>
      <w:r w:rsidR="00D7392F">
        <w:rPr>
          <w:rFonts w:ascii="Calibri" w:hAnsi="Calibri" w:cs="Calibri"/>
          <w:color w:val="212121"/>
          <w:shd w:val="clear" w:color="auto" w:fill="FFFFFF"/>
        </w:rPr>
        <w:fldChar w:fldCharType="end"/>
      </w:r>
      <w:r w:rsidR="000E4633">
        <w:rPr>
          <w:rFonts w:ascii="Calibri" w:hAnsi="Calibri" w:cs="Calibri"/>
          <w:color w:val="212121"/>
          <w:shd w:val="clear" w:color="auto" w:fill="FFFFFF"/>
        </w:rPr>
        <w:t xml:space="preserve">. </w:t>
      </w:r>
      <w:r w:rsidRPr="0035461C">
        <w:rPr>
          <w:rFonts w:ascii="Calibri" w:hAnsi="Calibri" w:cs="Calibri"/>
        </w:rPr>
        <w:t xml:space="preserve">CGM use promotes the identification of </w:t>
      </w:r>
      <w:r w:rsidR="00E23524" w:rsidRPr="0035461C">
        <w:rPr>
          <w:rFonts w:ascii="Calibri" w:hAnsi="Calibri" w:cs="Calibri"/>
        </w:rPr>
        <w:t xml:space="preserve">current or impending </w:t>
      </w:r>
      <w:r w:rsidRPr="0035461C">
        <w:rPr>
          <w:rFonts w:ascii="Calibri" w:hAnsi="Calibri" w:cs="Calibri"/>
        </w:rPr>
        <w:t xml:space="preserve">low glucose levels that people may not feel. </w:t>
      </w:r>
      <w:r w:rsidR="00B17DCD" w:rsidRPr="0035461C">
        <w:rPr>
          <w:rFonts w:ascii="Calibri" w:hAnsi="Calibri" w:cs="Calibri"/>
        </w:rPr>
        <w:t>B</w:t>
      </w:r>
      <w:r w:rsidR="00567D76" w:rsidRPr="0035461C">
        <w:rPr>
          <w:rFonts w:ascii="Calibri" w:hAnsi="Calibri" w:cs="Calibri"/>
        </w:rPr>
        <w:t>lood glucose awareness training, education to optimize insulin dosing</w:t>
      </w:r>
      <w:r w:rsidR="006021F2" w:rsidRPr="0035461C">
        <w:rPr>
          <w:rFonts w:ascii="Calibri" w:hAnsi="Calibri" w:cs="Calibri"/>
        </w:rPr>
        <w:t xml:space="preserve"> and type</w:t>
      </w:r>
      <w:r w:rsidR="00567D76" w:rsidRPr="0035461C">
        <w:rPr>
          <w:rFonts w:ascii="Calibri" w:hAnsi="Calibri" w:cs="Calibri"/>
        </w:rPr>
        <w:t>, and hypoglyc</w:t>
      </w:r>
      <w:r w:rsidR="000F35A6" w:rsidRPr="0035461C">
        <w:rPr>
          <w:rFonts w:ascii="Calibri" w:hAnsi="Calibri" w:cs="Calibri"/>
        </w:rPr>
        <w:t>a</w:t>
      </w:r>
      <w:r w:rsidR="00567D76" w:rsidRPr="0035461C">
        <w:rPr>
          <w:rFonts w:ascii="Calibri" w:hAnsi="Calibri" w:cs="Calibri"/>
        </w:rPr>
        <w:t>emia avoidance motivational program</w:t>
      </w:r>
      <w:r w:rsidR="005E5A2A" w:rsidRPr="0035461C">
        <w:rPr>
          <w:rFonts w:ascii="Calibri" w:hAnsi="Calibri" w:cs="Calibri"/>
        </w:rPr>
        <w:t>s</w:t>
      </w:r>
      <w:r w:rsidR="00567D76" w:rsidRPr="0035461C">
        <w:rPr>
          <w:rFonts w:ascii="Calibri" w:hAnsi="Calibri" w:cs="Calibri"/>
        </w:rPr>
        <w:t xml:space="preserve"> </w:t>
      </w:r>
      <w:r w:rsidR="00B17DCD" w:rsidRPr="0035461C">
        <w:rPr>
          <w:rFonts w:ascii="Calibri" w:hAnsi="Calibri" w:cs="Calibri"/>
        </w:rPr>
        <w:t>all</w:t>
      </w:r>
      <w:r w:rsidR="00567D76" w:rsidRPr="0035461C">
        <w:rPr>
          <w:rFonts w:ascii="Calibri" w:hAnsi="Calibri" w:cs="Calibri"/>
        </w:rPr>
        <w:t xml:space="preserve"> improve hypoglyc</w:t>
      </w:r>
      <w:r w:rsidR="000F35A6" w:rsidRPr="0035461C">
        <w:rPr>
          <w:rFonts w:ascii="Calibri" w:hAnsi="Calibri" w:cs="Calibri"/>
        </w:rPr>
        <w:t>a</w:t>
      </w:r>
      <w:r w:rsidR="00567D76" w:rsidRPr="0035461C">
        <w:rPr>
          <w:rFonts w:ascii="Calibri" w:hAnsi="Calibri" w:cs="Calibri"/>
        </w:rPr>
        <w:t xml:space="preserve">emia awareness. </w:t>
      </w:r>
      <w:r w:rsidR="00B17DCD" w:rsidRPr="0035461C">
        <w:rPr>
          <w:rFonts w:ascii="Calibri" w:hAnsi="Calibri" w:cs="Calibri"/>
        </w:rPr>
        <w:t>In some situations, it may be necessary to increase the glucose target range</w:t>
      </w:r>
      <w:r w:rsidR="008965FB" w:rsidRPr="0035461C">
        <w:rPr>
          <w:rFonts w:ascii="Calibri" w:hAnsi="Calibri" w:cs="Calibri"/>
        </w:rPr>
        <w:t xml:space="preserve"> </w:t>
      </w:r>
      <w:r w:rsidR="00A45698" w:rsidRPr="0035461C">
        <w:rPr>
          <w:rFonts w:ascii="Calibri" w:hAnsi="Calibri" w:cs="Calibri"/>
        </w:rPr>
        <w:fldChar w:fldCharType="begin"/>
      </w:r>
      <w:r w:rsidR="00076F77">
        <w:rPr>
          <w:rFonts w:ascii="Calibri" w:hAnsi="Calibri" w:cs="Calibri"/>
        </w:rPr>
        <w:instrText xml:space="preserve"> ADDIN ZOTERO_ITEM CSL_CITATION {"citationID":"b5t31Ifw","properties":{"formattedCitation":"(123,125)","plainCitation":"(123,125)","noteIndex":0},"citationItems":[{"id":11100,"uris":["http://zotero.org/groups/369679/items/MIY6URUH"],"uri":["http://zotero.org/groups/369679/items/MIY6URUH"],"itemData":{"id":11100,"type":"article-journal","abstract":"Hypoglycaemia without warning is a dangerous complication of insulin-dependent diabetes mellitus and it limits the use of intensified insulin therapy to reduce chronic diabetic complications. To investigate the possibility of restoring awareness; symptomatic, cognitive, and hormonal responses to controlled hypoglycaemia were studied in insulin-dependent diabetic patients with long disease duration (6 with good glycaemic control and 6 with poor control) before and after hypoglycaemia avoidance. At the start of the study, all had loss of hypoglycaemia awareness. Responses to the initial challenge were small (pooled area under curve [AUC] adrenaline 5.75 [SE 0.07] nmol/L per 260 min, pooled AUC symptom score 80 [1.3]) and only started when plasma glucose was significantly lower than the 2.8 (0.1) mmol/L at which cognitive function deteriorated. After 4.1 (1.1) months' scrupulous hypoglycaemia avoidance, hormone and symptom responses to the challenge were increased (AUC adrenaline 15.9 [0.1] nmol/L per 260 min, p = 0.01; AUC symptom score 275 [7], p &lt; 0.001), starting at plasma glucose concentrations significantly higher than that causing cognitive dysfunction. Glycosylated haemoglobin did not deteriorate significantly. We conclude that the normal hierarchy of subjective awareness before cognitive dysfunction during hypoglycaemia can be restored by avoiding hypoglycaemia. This is independent of disease duration or initial metabolic control.","container-title":"Lancet (London, England)","DOI":"10.1016/s0140-6736(94)91336-6","ISSN":"0140-6736","issue":"8918","journalAbbreviation":"Lancet","language":"eng","note":"PMID: 7914259","page":"283-287","source":"PubMed","title":"Restoration of hypoglycaemia awareness in patients with long-duration insulin-dependent diabetes","volume":"344","author":[{"family":"Cranston","given":"I."},{"family":"Lomas","given":"J."},{"family":"Maran","given":"A."},{"family":"Macdonald","given":"I."},{"family":"Amiel","given":"S. A."}],"issued":{"date-parts":[["1994",7,30]]}}},{"id":11102,"uris":["http://zotero.org/groups/369679/items/B5BPFFIN"],"uri":["http://zotero.org/groups/369679/items/B5BPFFIN"],"itemData":{"id":11102,"type":"article-journal","abstract":"Management of type 1 diabetes requires a continual balancing of insulin, fuel intake, and metabolic demand (e.g., exercise). This can only be accomplished with knowledge of where one's blood glucose is and where it is going and knowledge of how to manipulate insulin, fuel, and exercise to manage it. Blood Glucose Awareness Training (BGAT) is a psychoeducational intervention that in part addresses these needs. Fifteen research studies from the United States and Europe, involving single-site and multicenter projects, are reviewed. BGAT has been consistently demonstrated to improve the ability to detect and diminish both hypoglycemia and hyperglycemia while reducing the sequelae of extreme blood glucose levels (e.g., episodes of severe hypoglycemia and driving mishaps). BGAT has recently been transformed for internet delivery, making it available both for clinicians to use with their patients and for individuals with type 1 diabetes to pursue as a self-directed tutorial.","container-title":"Diabetes Spectrum","DOI":"10.2337/diaspect.19.1.43","ISSN":"1040-9165, 1944-7353","issue":"1","language":"en","note":"publisher: American Diabetes Association\nsection: Feature Articles","page":"43-49","source":"spectrum.diabetesjournals.org","title":"Blood Glucose Awareness Training: What Is It, Where Is It, and Where Is It Going?","title-short":"Blood Glucose Awareness Training","volume":"19","author":[{"family":"Cox","given":"Daniel J."},{"family":"Gonder-Frederick","given":"Linda"},{"family":"Ritterband","given":"Lee"},{"family":"Patel","given":"Kushal"},{"family":"Schächinger","given":"Hartmut"},{"family":"Fehm-Wolfsdorf","given":"Gabriele"},{"family":"Hermanns","given":"Norbert"},{"family":"Snoek","given":"Frank"},{"family":"Zrebiec","given":"John"},{"family":"Polonsky","given":"William"},{"family":"Schlundt","given":"David"},{"family":"Kovatchev","given":"Boris"},{"family":"Clarke","given":"William"}],"issued":{"date-parts":[["2006",1,1]]}}}],"schema":"https://github.com/citation-style-language/schema/raw/master/csl-citation.json"} </w:instrText>
      </w:r>
      <w:r w:rsidR="00A45698" w:rsidRPr="0035461C">
        <w:rPr>
          <w:rFonts w:ascii="Calibri" w:hAnsi="Calibri" w:cs="Calibri"/>
        </w:rPr>
        <w:fldChar w:fldCharType="separate"/>
      </w:r>
      <w:r w:rsidR="00076F77" w:rsidRPr="00076F77">
        <w:rPr>
          <w:rFonts w:ascii="Calibri" w:hAnsi="Calibri" w:cs="Calibri"/>
        </w:rPr>
        <w:t>(123,125)</w:t>
      </w:r>
      <w:r w:rsidR="00A45698" w:rsidRPr="0035461C">
        <w:rPr>
          <w:rFonts w:ascii="Calibri" w:hAnsi="Calibri" w:cs="Calibri"/>
        </w:rPr>
        <w:fldChar w:fldCharType="end"/>
      </w:r>
      <w:r w:rsidR="008965FB" w:rsidRPr="0035461C">
        <w:rPr>
          <w:rFonts w:ascii="Calibri" w:hAnsi="Calibri" w:cs="Calibri"/>
        </w:rPr>
        <w:t>.</w:t>
      </w:r>
      <w:r w:rsidR="00B17DCD" w:rsidRPr="0035461C">
        <w:rPr>
          <w:rFonts w:ascii="Calibri" w:hAnsi="Calibri" w:cs="Calibri"/>
        </w:rPr>
        <w:t xml:space="preserve"> </w:t>
      </w:r>
      <w:r w:rsidR="00567D76" w:rsidRPr="0035461C">
        <w:rPr>
          <w:rFonts w:ascii="Calibri" w:hAnsi="Calibri" w:cs="Calibri"/>
        </w:rPr>
        <w:t xml:space="preserve">Several clinical trials </w:t>
      </w:r>
      <w:r w:rsidR="00EE2A0A">
        <w:rPr>
          <w:rFonts w:ascii="Calibri" w:hAnsi="Calibri" w:cs="Calibri"/>
        </w:rPr>
        <w:t>have not</w:t>
      </w:r>
      <w:r w:rsidR="00567D76" w:rsidRPr="0035461C">
        <w:rPr>
          <w:rFonts w:ascii="Calibri" w:hAnsi="Calibri" w:cs="Calibri"/>
        </w:rPr>
        <w:t xml:space="preserve"> show</w:t>
      </w:r>
      <w:r w:rsidR="00EE2A0A">
        <w:rPr>
          <w:rFonts w:ascii="Calibri" w:hAnsi="Calibri" w:cs="Calibri"/>
        </w:rPr>
        <w:t>n</w:t>
      </w:r>
      <w:r w:rsidR="00567D76" w:rsidRPr="0035461C">
        <w:rPr>
          <w:rFonts w:ascii="Calibri" w:hAnsi="Calibri" w:cs="Calibri"/>
        </w:rPr>
        <w:t xml:space="preserve"> a reduction of I</w:t>
      </w:r>
      <w:r w:rsidR="000F35A6" w:rsidRPr="0035461C">
        <w:rPr>
          <w:rFonts w:ascii="Calibri" w:hAnsi="Calibri" w:cs="Calibri"/>
        </w:rPr>
        <w:t>A</w:t>
      </w:r>
      <w:r w:rsidR="00567D76" w:rsidRPr="0035461C">
        <w:rPr>
          <w:rFonts w:ascii="Calibri" w:hAnsi="Calibri" w:cs="Calibri"/>
        </w:rPr>
        <w:t xml:space="preserve">H by using CGM </w:t>
      </w:r>
      <w:r w:rsidR="000F35A6" w:rsidRPr="0035461C">
        <w:rPr>
          <w:rFonts w:ascii="Calibri" w:hAnsi="Calibri" w:cs="Calibri"/>
        </w:rPr>
        <w:t>despite</w:t>
      </w:r>
      <w:r w:rsidR="00567D76" w:rsidRPr="0035461C">
        <w:rPr>
          <w:rFonts w:ascii="Calibri" w:hAnsi="Calibri" w:cs="Calibri"/>
        </w:rPr>
        <w:t xml:space="preserve"> a reduced incidence of </w:t>
      </w:r>
      <w:r w:rsidR="00A765E6">
        <w:rPr>
          <w:rFonts w:ascii="Calibri" w:hAnsi="Calibri" w:cs="Calibri"/>
        </w:rPr>
        <w:t>level 3</w:t>
      </w:r>
      <w:r w:rsidR="00567D76" w:rsidRPr="0035461C">
        <w:rPr>
          <w:rFonts w:ascii="Calibri" w:hAnsi="Calibri" w:cs="Calibri"/>
        </w:rPr>
        <w:t xml:space="preserve"> hypoglyc</w:t>
      </w:r>
      <w:r w:rsidR="000F35A6" w:rsidRPr="0035461C">
        <w:rPr>
          <w:rFonts w:ascii="Calibri" w:hAnsi="Calibri" w:cs="Calibri"/>
        </w:rPr>
        <w:t>a</w:t>
      </w:r>
      <w:r w:rsidR="00567D76" w:rsidRPr="0035461C">
        <w:rPr>
          <w:rFonts w:ascii="Calibri" w:hAnsi="Calibri" w:cs="Calibri"/>
        </w:rPr>
        <w:t>emia</w:t>
      </w:r>
      <w:r w:rsidR="008965FB" w:rsidRPr="0035461C">
        <w:rPr>
          <w:rFonts w:ascii="Calibri" w:hAnsi="Calibri" w:cs="Calibri"/>
        </w:rPr>
        <w:t xml:space="preserve"> </w:t>
      </w:r>
      <w:r w:rsidR="001C6B21" w:rsidRPr="0035461C">
        <w:rPr>
          <w:rFonts w:ascii="Calibri" w:hAnsi="Calibri" w:cs="Calibri"/>
        </w:rPr>
        <w:fldChar w:fldCharType="begin"/>
      </w:r>
      <w:r w:rsidR="00076F77">
        <w:rPr>
          <w:rFonts w:ascii="Calibri" w:hAnsi="Calibri" w:cs="Calibri"/>
        </w:rPr>
        <w:instrText xml:space="preserve"> ADDIN ZOTERO_ITEM CSL_CITATION {"citationID":"weWSBZ90","properties":{"formattedCitation":"(100,111,123,125\\uc0\\u8211{}127)","plainCitation":"(100,111,123,125–127)","noteIndex":0},"citationItems":[{"id":3714,"uris":["http://zotero.org/groups/369679/items/A872AUAJ"],"uri":["http://zotero.org/groups/369679/items/A872AUAJ"],"itemData":{"id":3714,"type":"article-journal","abstract":"BACKGROUND: The effectiveness of real-time continuous glucose monitoring (rtCGM) in avoidance of hypoglycaemia among high-risk individuals with type 1 diabetes treated with multiple daily insulin injections (MDI) is unknown. We aimed to ascertain whether the incidence and severity of hypoglycaemia can be reduced through use of rtCGM in these individuals.\nMETHODS: The HypoDE study was a 6-month, multicentre, open-label, parallel, randomised controlled trial done at 12 diabetes practices in Germany. Eligible participants had type 1 diabetes and a history of impaired hypoglycaemia awareness or severe hypoglycaemia during the previous year. All participants wore a masked rtCGM system for 28 days and were then randomly assigned to 26 weeks of unmasked rtCGM (Dexcom G5 Mobile system) or to the control group (continuing with self-monitoring of blood glucose). Block randomisation with 1:1 allocation was done centrally, with the study site as the stratifying variable. Masking of participants and study sites was not possible. Control participants wore a masked rtCGM system during the follow-up phase (weeks 22-26). The primary outcome was the baseline-adjusted number of hypoglycaemic events (defined as glucose ≤3·0 mmol/L for ≥20 min) during the follow-up phase. The full dataset analysis comprised participants who wore the rtCGM system during the baseline and follow-up phases. The intention-to-treat analysis comprised all randomised participants. This trial is registered with ClinicalTrials.gov, number NCT02671968.\nFINDINGS: Between March 4, 2016, and Jan 12, 2017, 149 participants were randomly assigned (n=74 to the control group; n=75 to the rtCGM group) and 141 completed the follow-up phase (n=66 in the control group, n=75 in the rtCGM group). The mean number of hypoglycaemic events per 28 days among participants in the rtCGM group was reduced from 10·8 (SD 10·0) to 3·5 (4·7); reductions among control participants were negligible (from 14·4 [12·4] to 13·7 [11·6]). Incidence of hypoglycaemic events decreased by 72% for participants in the rtCGM group (incidence rate ratio 0·28 [95% CI 0·20-0·39], p&lt;0·0001). 18 serious adverse events were reported: seven in the control group, ten in the rtCGM group, and one before randomisation. No event was considered to be related to the investigational device.\nINTERPRETATION: Usage of rtCGM reduced the number of hypoglycaemic events in individuals with type 1 diabetes treated by MDI and with impaired hypoglycaemia awareness or severe hypoglycaemia.\nFUNDING: Dexcom Inc.","container-title":"Lancet (London, England)","DOI":"10.1016/S0140-6736(18)30297-6","ISSN":"1474-547X","issue":"10128","journalAbbreviation":"Lancet","language":"eng","note":"PMID: 29459019","page":"1367-1377","source":"PubMed","title":"Real-time continuous glucose monitoring in adults with type 1 diabetes and impaired hypoglycaemia awareness or severe hypoglycaemia treated with multiple daily insulin injections (HypoDE): a multicentre, randomised controlled trial","title-short":"Real-time continuous glucose monitoring in adults with type 1 diabetes and impaired hypoglycaemia awareness or severe hypoglycaemia treated with multiple daily insulin injections (HypoDE)","volume":"391","author":[{"family":"Heinemann","given":"Lutz"},{"family":"Freckmann","given":"Guido"},{"family":"Ehrmann","given":"Dominic"},{"family":"Faber-Heinemann","given":"Gabriele"},{"family":"Guerra","given":"Stefania"},{"family":"Waldenmaier","given":"Delia"},{"family":"Hermanns","given":"Norbert"}],"issued":{"date-parts":[["2018"]],"season":"07"}}},{"id":11085,"uris":["http://zotero.org/groups/369679/items/GXRP3GD5"],"uri":["http://zotero.org/groups/369679/items/GXRP3GD5"],"itemData":{"id":11085,"type":"article-journal","abstract":"Impaired awareness of hypoglycemia (IAH) is a reduction in the ability to recognize low blood glucose levels that would otherwise prompt an appropriate corrective therapy. Identified in approximately 25% of patients with type 1 diabetes, IAH has complex pathophysiology, and might lead to serious and potentially lethal consequences in patients with diabetes, particularly in those with more advanced disease and comorbidities. Continuous glucose monitoring systems can provide real-time glucose information and generate timely alerts on rapidly falling or low blood glucose levels. Given their improvements in accuracy, affordability and integration with insulin pump technology, continuous glucose monitoring systems are emerging as critical tools to help prevent serious hypoglycemia and mitigate its consequences in patients with diabetes. This review discusses the current knowledge on IAH and effective diagnostic methods, the relationship between hypoglycemia and cardiovascular autonomic neuropathy, a practical approach to evaluating cardiovascular autonomic neuropathy for clinicians, and recent evidence from clinical trials assessing the effects of the use of CGM technologies in patients with type 1 diabetes with IAH.","container-title":"Journal of Diabetes Investigation","DOI":"10.1111/jdi.13290","ISSN":"2040-1124","issue":"6","journalAbbreviation":"J Diabetes Investig","language":"eng","note":"PMID: 32403204\nPMCID: PMC7610104","page":"1388-1402","source":"PubMed","title":"Hypoglycemia unawareness and autonomic dysfunction in diabetes: Lessons learned and roles of diabetes technologies","title-short":"Hypoglycemia unawareness and autonomic dysfunction in diabetes","volume":"11","author":[{"family":"Lin","given":"Yu Kuei"},{"family":"Fisher","given":"Simon J."},{"family":"Pop-Busui","given":"Rodica"}],"issued":{"date-parts":[["2020",11]]}}},{"id":11100,"uris":["http://zotero.org/groups/369679/items/MIY6URUH"],"uri":["http://zotero.org/groups/369679/items/MIY6URUH"],"itemData":{"id":11100,"type":"article-journal","abstract":"Hypoglycaemia without warning is a dangerous complication of insulin-dependent diabetes mellitus and it limits the use of intensified insulin therapy to reduce chronic diabetic complications. To investigate the possibility of restoring awareness; symptomatic, cognitive, and hormonal responses to controlled hypoglycaemia were studied in insulin-dependent diabetic patients with long disease duration (6 with good glycaemic control and 6 with poor control) before and after hypoglycaemia avoidance. At the start of the study, all had loss of hypoglycaemia awareness. Responses to the initial challenge were small (pooled area under curve [AUC] adrenaline 5.75 [SE 0.07] nmol/L per 260 min, pooled AUC symptom score 80 [1.3]) and only started when plasma glucose was significantly lower than the 2.8 (0.1) mmol/L at which cognitive function deteriorated. After 4.1 (1.1) months' scrupulous hypoglycaemia avoidance, hormone and symptom responses to the challenge were increased (AUC adrenaline 15.9 [0.1] nmol/L per 260 min, p = 0.01; AUC symptom score 275 [7], p &lt; 0.001), starting at plasma glucose concentrations significantly higher than that causing cognitive dysfunction. Glycosylated haemoglobin did not deteriorate significantly. We conclude that the normal hierarchy of subjective awareness before cognitive dysfunction during hypoglycaemia can be restored by avoiding hypoglycaemia. This is independent of disease duration or initial metabolic control.","container-title":"Lancet (London, England)","DOI":"10.1016/s0140-6736(94)91336-6","ISSN":"0140-6736","issue":"8918","journalAbbreviation":"Lancet","language":"eng","note":"PMID: 7914259","page":"283-287","source":"PubMed","title":"Restoration of hypoglycaemia awareness in patients with long-duration insulin-dependent diabetes","volume":"344","author":[{"family":"Cranston","given":"I."},{"family":"Lomas","given":"J."},{"family":"Maran","given":"A."},{"family":"Macdonald","given":"I."},{"family":"Amiel","given":"S. A."}],"issued":{"date-parts":[["1994",7,30]]}}},{"id":11102,"uris":["http://zotero.org/groups/369679/items/B5BPFFIN"],"uri":["http://zotero.org/groups/369679/items/B5BPFFIN"],"itemData":{"id":11102,"type":"article-journal","abstract":"Management of type 1 diabetes requires a continual balancing of insulin, fuel intake, and metabolic demand (e.g., exercise). This can only be accomplished with knowledge of where one's blood glucose is and where it is going and knowledge of how to manipulate insulin, fuel, and exercise to manage it. Blood Glucose Awareness Training (BGAT) is a psychoeducational intervention that in part addresses these needs. Fifteen research studies from the United States and Europe, involving single-site and multicenter projects, are reviewed. BGAT has been consistently demonstrated to improve the ability to detect and diminish both hypoglycemia and hyperglycemia while reducing the sequelae of extreme blood glucose levels (e.g., episodes of severe hypoglycemia and driving mishaps). BGAT has recently been transformed for internet delivery, making it available both for clinicians to use with their patients and for individuals with type 1 diabetes to pursue as a self-directed tutorial.","container-title":"Diabetes Spectrum","DOI":"10.2337/diaspect.19.1.43","ISSN":"1040-9165, 1944-7353","issue":"1","language":"en","note":"publisher: American Diabetes Association\nsection: Feature Articles","page":"43-49","source":"spectrum.diabetesjournals.org","title":"Blood Glucose Awareness Training: What Is It, Where Is It, and Where Is It Going?","title-short":"Blood Glucose Awareness Training","volume":"19","author":[{"family":"Cox","given":"Daniel J."},{"family":"Gonder-Frederick","given":"Linda"},{"family":"Ritterband","given":"Lee"},{"family":"Patel","given":"Kushal"},{"family":"Schächinger","given":"Hartmut"},{"family":"Fehm-Wolfsdorf","given":"Gabriele"},{"family":"Hermanns","given":"Norbert"},{"family":"Snoek","given":"Frank"},{"family":"Zrebiec","given":"John"},{"family":"Polonsky","given":"William"},{"family":"Schlundt","given":"David"},{"family":"Kovatchev","given":"Boris"},{"family":"Clarke","given":"William"}],"issued":{"date-parts":[["2006",1,1]]}}},{"id":11105,"uris":["http://zotero.org/groups/369679/items/NYYKGMTJ"],"uri":["http://zotero.org/groups/369679/items/NYYKGMTJ"],"itemData":{"id":11105,"type":"article-journal","abstract":"OBJECTIVE: To establish the effectiveness of a brief, partly web-based group intervention, HypoAware, in patients with problematic hypoglycemia, in terms of the reduction of severe hypoglycemic episodes, impaired hypoglycemia awareness, and worries.\nRESEARCH DESIGN AND METHODS: A two-arm, cluster randomized controlled trial was conducted in insulin-treated patients with problematic hypoglycemia in eight Dutch clinics comparing HypoAware with care as usual. Primary outcomes included self-reported severe hypoglycemia, impaired hypoglycemia awareness (Gold score), and worries and distress about hypoglycemia (Hypoglycemia Fear Survey-II/Problem Areas In Diabetes scale hypo-item), assessed at baseline, and at 2, 4, and 6 months of follow-up. We used t tests, nonparametric tests, and intention-to-treat generalized estimation equation (GEE) analyses with linear, logistic, and Poisson or negative binomial models.\nRESULTS: We enrolled 137 participants. Adjusted GEE analyses over four time points showed a nonsignificant 33% fewer episodes of severe hypoglycemia in the HypoAware group compared with the control group (relative risk [RR] 0.67 [95% CI 0.39-1.16], P = 0.150); a significant reduced odds of impaired awareness (odds ratio 0.38 [95% CI 0.15-0.95], P = 0.038), a trend toward 20% fewer worries about hypoglycemia (RR 0.80 [95% CI 0.64-1.01], P = 0.059), and a significant 30% less hypo-distress (RR 0.70 [95% CI 0.56-0.88], P = 0.002). Over the 6-month study duration, participants experienced a median of 2.5 events of severe hypoglycemia (interquartile range [IQR] 1-10) in the control condition versus 1 event (IQR 0-6.5) in the HypoAware group (P = 0.030). There was no significant change in HbA1c level within and between both groups.\nCONCLUSIONS: HypoAware resulted in fewer severe hypoglycemic episodes, significantly improved hypoglycemia awareness, and less hypo-distress in comparison with usual care, and deserves further dissemination.","container-title":"Diabetes Care","DOI":"10.2337/dc16-1614","ISSN":"1935-5548","issue":"12","journalAbbreviation":"Diabetes Care","language":"eng","note":"PMID: 27797931","page":"2190-2196","source":"PubMed","title":"Effectiveness of HypoAware, a Brief Partly Web-Based Psychoeducational Intervention for Adults With Type 1 and Insulin-Treated Type 2 Diabetes and Problematic Hypoglycemia: A Cluster Randomized Controlled Trial","title-short":"Effectiveness of HypoAware, a Brief Partly Web-Based Psychoeducational Intervention for Adults With Type 1 and Insulin-Treated Type 2 Diabetes and Problematic Hypoglycemia","volume":"39","author":[{"family":"Rondags","given":"Stefanie M. P. A."},{"family":"Wit","given":"Maartje","non-dropping-particle":"de"},{"family":"Twisk","given":"Jos W."},{"family":"Snoek","given":"Frank J."}],"issued":{"date-parts":[["2016",12]]}}},{"id":11418,"uris":["http://zotero.org/groups/369679/items/KAB5KRJB"],"uri":["http://zotero.org/groups/369679/items/KAB5KRJB"],"itemData":{"id":11418,"type":"article-journal","abstract":"A new education program for treating diabetic patients with hypoglycemia problems, named HyPOS, was developed and evaluated in a randomized controlled trial. The present study investigated the long-term effect of HyPOS on the prospectively assessed incidence of severe hypoglycemia defined as an episode requiring medical assistance by injection of glucose intravenously or glucagon intramuscularly.\n\nHyPOS comprises five lessons of 90 min each over 5 weeks. The program informs about the vicious cycle of frequent hypoglycemia increasing the risk for future hypoglycemia (1,2). Patients were trained in symptom awareness by using diaries and performing blood glucose estimation. The control …","container-title":"Diabetes Care","DOI":"10.2337/dc09-1656","ISSN":"0149-5992, 1935-5548","issue":"3","language":"en","note":"publisher: American Diabetes Association\nsection: Online Letters: Observations\nPMID: 20190284","page":"e36-e36","source":"care.diabetesjournals.org","title":"Long-Term Effect of an Education Program (HyPOS) on the Incidence of Severe Hypoglycemia in Patients With Type 1 Diabetes","volume":"33","author":[{"family":"Hermanns","given":"Norbert"},{"family":"Kulzer","given":"Bernd"},{"family":"Krichbaum","given":"Michael"},{"family":"Kubiak","given":"Thomas"},{"family":"Haak","given":"Thomas"}],"issued":{"date-parts":[["2010",3,1]]}}}],"schema":"https://github.com/citation-style-language/schema/raw/master/csl-citation.json"} </w:instrText>
      </w:r>
      <w:r w:rsidR="001C6B21" w:rsidRPr="0035461C">
        <w:rPr>
          <w:rFonts w:ascii="Calibri" w:hAnsi="Calibri" w:cs="Calibri"/>
        </w:rPr>
        <w:fldChar w:fldCharType="separate"/>
      </w:r>
      <w:r w:rsidR="00076F77" w:rsidRPr="00076F77">
        <w:rPr>
          <w:rFonts w:ascii="Calibri" w:hAnsi="Calibri" w:cs="Calibri"/>
        </w:rPr>
        <w:t>(100,111,123,125–127)</w:t>
      </w:r>
      <w:r w:rsidR="001C6B21" w:rsidRPr="0035461C">
        <w:rPr>
          <w:rFonts w:ascii="Calibri" w:hAnsi="Calibri" w:cs="Calibri"/>
        </w:rPr>
        <w:fldChar w:fldCharType="end"/>
      </w:r>
      <w:r w:rsidR="008965FB" w:rsidRPr="0035461C">
        <w:rPr>
          <w:rFonts w:ascii="Calibri" w:hAnsi="Calibri" w:cs="Calibri"/>
        </w:rPr>
        <w:t>.</w:t>
      </w:r>
    </w:p>
    <w:p w14:paraId="18ECC26F" w14:textId="77777777" w:rsidR="00EE2A0A" w:rsidRDefault="00EE2A0A" w:rsidP="001C5BC0">
      <w:pPr>
        <w:spacing w:before="120"/>
        <w:jc w:val="both"/>
        <w:rPr>
          <w:rFonts w:ascii="Calibri" w:hAnsi="Calibri" w:cs="Calibri"/>
          <w:i/>
          <w:iCs/>
          <w:u w:val="single"/>
        </w:rPr>
      </w:pPr>
    </w:p>
    <w:p w14:paraId="73DE4670" w14:textId="4909D2E7" w:rsidR="00567D76" w:rsidRPr="0035461C" w:rsidRDefault="00567D76" w:rsidP="001C5BC0">
      <w:pPr>
        <w:spacing w:before="120"/>
        <w:jc w:val="both"/>
        <w:rPr>
          <w:rFonts w:ascii="Calibri" w:hAnsi="Calibri" w:cs="Calibri"/>
          <w:i/>
          <w:iCs/>
          <w:u w:val="single"/>
        </w:rPr>
      </w:pPr>
      <w:r w:rsidRPr="0035461C">
        <w:rPr>
          <w:rFonts w:ascii="Calibri" w:hAnsi="Calibri" w:cs="Calibri"/>
          <w:i/>
          <w:iCs/>
          <w:u w:val="single"/>
        </w:rPr>
        <w:t>Treatment</w:t>
      </w:r>
      <w:r w:rsidR="009D2D0B" w:rsidRPr="0035461C">
        <w:rPr>
          <w:rFonts w:ascii="Calibri" w:hAnsi="Calibri" w:cs="Calibri"/>
          <w:i/>
          <w:iCs/>
          <w:u w:val="single"/>
        </w:rPr>
        <w:t xml:space="preserve"> of hypoglycaemia</w:t>
      </w:r>
    </w:p>
    <w:p w14:paraId="31412AE7" w14:textId="51233C54" w:rsidR="00567D76" w:rsidRPr="0035461C" w:rsidRDefault="00567D76" w:rsidP="001C5BC0">
      <w:pPr>
        <w:spacing w:before="120"/>
        <w:jc w:val="both"/>
        <w:rPr>
          <w:rFonts w:ascii="Calibri" w:hAnsi="Calibri" w:cs="Calibri"/>
        </w:rPr>
      </w:pPr>
      <w:r w:rsidRPr="0035461C">
        <w:rPr>
          <w:rFonts w:ascii="Calibri" w:hAnsi="Calibri" w:cs="Calibri"/>
        </w:rPr>
        <w:t>The recommended correction of hypoglyc</w:t>
      </w:r>
      <w:r w:rsidR="00B17DCD" w:rsidRPr="0035461C">
        <w:rPr>
          <w:rFonts w:ascii="Calibri" w:hAnsi="Calibri" w:cs="Calibri"/>
        </w:rPr>
        <w:t>a</w:t>
      </w:r>
      <w:r w:rsidRPr="0035461C">
        <w:rPr>
          <w:rFonts w:ascii="Calibri" w:hAnsi="Calibri" w:cs="Calibri"/>
        </w:rPr>
        <w:t xml:space="preserve">emia is the oral </w:t>
      </w:r>
      <w:r w:rsidR="001F6860" w:rsidRPr="0035461C">
        <w:rPr>
          <w:rFonts w:ascii="Calibri" w:hAnsi="Calibri" w:cs="Calibri"/>
        </w:rPr>
        <w:t xml:space="preserve">intake </w:t>
      </w:r>
      <w:r w:rsidRPr="0035461C">
        <w:rPr>
          <w:rFonts w:ascii="Calibri" w:hAnsi="Calibri" w:cs="Calibri"/>
        </w:rPr>
        <w:t xml:space="preserve">of </w:t>
      </w:r>
      <w:r w:rsidR="00B17DCD" w:rsidRPr="0035461C">
        <w:rPr>
          <w:rFonts w:ascii="Calibri" w:hAnsi="Calibri" w:cs="Calibri"/>
        </w:rPr>
        <w:t>approximately</w:t>
      </w:r>
      <w:r w:rsidRPr="0035461C">
        <w:rPr>
          <w:rFonts w:ascii="Calibri" w:hAnsi="Calibri" w:cs="Calibri"/>
        </w:rPr>
        <w:t xml:space="preserve"> 15 g of glucose </w:t>
      </w:r>
      <w:r w:rsidR="004A37FE" w:rsidRPr="0035461C">
        <w:rPr>
          <w:rFonts w:ascii="Calibri" w:hAnsi="Calibri" w:cs="Calibri"/>
        </w:rPr>
        <w:t xml:space="preserve">or equivalent simple carbohydrate </w:t>
      </w:r>
      <w:r w:rsidRPr="0035461C">
        <w:rPr>
          <w:rFonts w:ascii="Calibri" w:hAnsi="Calibri" w:cs="Calibri"/>
        </w:rPr>
        <w:t>when a capillary blood glucose level</w:t>
      </w:r>
      <w:r w:rsidR="00B92FA7" w:rsidRPr="0035461C">
        <w:rPr>
          <w:rFonts w:ascii="Calibri" w:hAnsi="Calibri" w:cs="Calibri"/>
        </w:rPr>
        <w:t xml:space="preserve"> is</w:t>
      </w:r>
      <w:r w:rsidRPr="0035461C">
        <w:rPr>
          <w:rFonts w:ascii="Calibri" w:hAnsi="Calibri" w:cs="Calibri"/>
        </w:rPr>
        <w:t xml:space="preserve"> &lt;70 mg/dl</w:t>
      </w:r>
      <w:r w:rsidR="00B17DCD" w:rsidRPr="0035461C">
        <w:rPr>
          <w:rFonts w:ascii="Calibri" w:hAnsi="Calibri" w:cs="Calibri"/>
        </w:rPr>
        <w:t xml:space="preserve"> (</w:t>
      </w:r>
      <w:r w:rsidR="00D5083B" w:rsidRPr="0035461C">
        <w:rPr>
          <w:rFonts w:ascii="Calibri" w:hAnsi="Calibri" w:cs="Calibri"/>
        </w:rPr>
        <w:t>3.9</w:t>
      </w:r>
      <w:r w:rsidR="00B17DCD" w:rsidRPr="0035461C">
        <w:rPr>
          <w:rFonts w:ascii="Calibri" w:hAnsi="Calibri" w:cs="Calibri"/>
        </w:rPr>
        <w:t xml:space="preserve"> </w:t>
      </w:r>
      <w:proofErr w:type="spellStart"/>
      <w:r w:rsidR="00B17DCD" w:rsidRPr="0035461C">
        <w:rPr>
          <w:rFonts w:ascii="Calibri" w:hAnsi="Calibri" w:cs="Calibri"/>
        </w:rPr>
        <w:t>mmol</w:t>
      </w:r>
      <w:proofErr w:type="spellEnd"/>
      <w:r w:rsidR="00B17DCD" w:rsidRPr="0035461C">
        <w:rPr>
          <w:rFonts w:ascii="Calibri" w:hAnsi="Calibri" w:cs="Calibri"/>
        </w:rPr>
        <w:t>/l)</w:t>
      </w:r>
      <w:r w:rsidR="00076F77">
        <w:rPr>
          <w:rFonts w:ascii="Calibri" w:hAnsi="Calibri" w:cs="Calibri"/>
        </w:rPr>
        <w:t xml:space="preserve"> </w:t>
      </w:r>
      <w:r w:rsidR="00076F77">
        <w:rPr>
          <w:rFonts w:ascii="Calibri" w:hAnsi="Calibri" w:cs="Calibri"/>
        </w:rPr>
        <w:fldChar w:fldCharType="begin"/>
      </w:r>
      <w:r w:rsidR="00076F77">
        <w:rPr>
          <w:rFonts w:ascii="Calibri" w:hAnsi="Calibri" w:cs="Calibri"/>
        </w:rPr>
        <w:instrText xml:space="preserve"> ADDIN ZOTERO_ITEM CSL_CITATION {"citationID":"a64fkfsle6","properties":{"formattedCitation":"(128)","plainCitation":"(128)","noteIndex":0},"citationItems":[{"id":11375,"uris":["http://zotero.org/groups/369679/items/CLIK9Q9W"],"uri":["http://zotero.org/groups/369679/items/CLIK9Q9W"],"itemData":{"id":11375,"type":"article-journal","abstract":"Iatrogenic hypoglycemia, typically the result of the interplay of therapeutic hyperinsulinemia and compromised defenses resulting in hypoglycemia-associated autonomic failure (HAAF) in diabetes, is a problem for people with type 1 diabetes mellitus (T1DM). It causes recurrent morbidity is sometimes fatal, leads to recurrent hypoglycemia, and precludes euglycemia over a lifetime of T1DM. Risk factors include those that result in relative or absolute insulin excess and those indicative of HAAF in diabetes. Elimination of hypoglycemia from the lives of people with T1DM will likely be accomplished by new treatment methods that provide plasma glucose-regulated insulin replacement or secretion.","container-title":"Endocrinology and Metabolism Clinics of North America","DOI":"10.1016/j.ecl.2010.05.003","ISSN":"1558-4410","issue":"3","journalAbbreviation":"Endocrinol Metab Clin North Am","language":"eng","note":"PMID: 20723825\nPMCID: PMC2923455","page":"641-654","source":"PubMed","title":"Hypoglycemia in type 1 diabetes mellitus","volume":"39","author":[{"family":"Cryer","given":"Philip E."}],"issued":{"date-parts":[["2010",9]]}}}],"schema":"https://github.com/citation-style-language/schema/raw/master/csl-citation.json"} </w:instrText>
      </w:r>
      <w:r w:rsidR="00076F77">
        <w:rPr>
          <w:rFonts w:ascii="Calibri" w:hAnsi="Calibri" w:cs="Calibri"/>
        </w:rPr>
        <w:fldChar w:fldCharType="separate"/>
      </w:r>
      <w:r w:rsidR="00076F77" w:rsidRPr="00076F77">
        <w:rPr>
          <w:rFonts w:ascii="Calibri" w:hAnsi="Calibri" w:cs="Calibri"/>
        </w:rPr>
        <w:t>(128)</w:t>
      </w:r>
      <w:r w:rsidR="00076F77">
        <w:rPr>
          <w:rFonts w:ascii="Calibri" w:hAnsi="Calibri" w:cs="Calibri"/>
        </w:rPr>
        <w:fldChar w:fldCharType="end"/>
      </w:r>
      <w:r w:rsidRPr="0035461C">
        <w:rPr>
          <w:rFonts w:ascii="Calibri" w:hAnsi="Calibri" w:cs="Calibri"/>
        </w:rPr>
        <w:t xml:space="preserve">. </w:t>
      </w:r>
      <w:r w:rsidR="00B17DCD" w:rsidRPr="0035461C">
        <w:rPr>
          <w:rFonts w:ascii="Calibri" w:hAnsi="Calibri" w:cs="Calibri"/>
        </w:rPr>
        <w:t xml:space="preserve">This should be repeated every 15 minutes until </w:t>
      </w:r>
      <w:r w:rsidR="00B92FA7" w:rsidRPr="0035461C">
        <w:rPr>
          <w:rFonts w:ascii="Calibri" w:hAnsi="Calibri" w:cs="Calibri"/>
        </w:rPr>
        <w:t>any</w:t>
      </w:r>
      <w:r w:rsidR="00B17DCD" w:rsidRPr="0035461C">
        <w:rPr>
          <w:rFonts w:ascii="Calibri" w:hAnsi="Calibri" w:cs="Calibri"/>
        </w:rPr>
        <w:t xml:space="preserve"> symptoms have resolved and </w:t>
      </w:r>
      <w:r w:rsidRPr="0035461C">
        <w:rPr>
          <w:rFonts w:ascii="Calibri" w:hAnsi="Calibri" w:cs="Calibri"/>
        </w:rPr>
        <w:t xml:space="preserve">the </w:t>
      </w:r>
      <w:r w:rsidR="00B17DCD" w:rsidRPr="0035461C">
        <w:rPr>
          <w:rFonts w:ascii="Calibri" w:hAnsi="Calibri" w:cs="Calibri"/>
        </w:rPr>
        <w:t xml:space="preserve">blood glucose level is </w:t>
      </w:r>
      <w:r w:rsidRPr="0035461C">
        <w:rPr>
          <w:rFonts w:ascii="Calibri" w:hAnsi="Calibri" w:cs="Calibri"/>
        </w:rPr>
        <w:t xml:space="preserve">above 70 mg/dl </w:t>
      </w:r>
      <w:r w:rsidR="00B17DCD" w:rsidRPr="0035461C">
        <w:rPr>
          <w:rFonts w:ascii="Calibri" w:hAnsi="Calibri" w:cs="Calibri"/>
        </w:rPr>
        <w:t>(</w:t>
      </w:r>
      <w:r w:rsidR="00D5083B" w:rsidRPr="0035461C">
        <w:rPr>
          <w:rFonts w:ascii="Calibri" w:hAnsi="Calibri" w:cs="Calibri"/>
        </w:rPr>
        <w:t xml:space="preserve">3.9 </w:t>
      </w:r>
      <w:proofErr w:type="spellStart"/>
      <w:r w:rsidR="00B17DCD" w:rsidRPr="0035461C">
        <w:rPr>
          <w:rFonts w:ascii="Calibri" w:hAnsi="Calibri" w:cs="Calibri"/>
        </w:rPr>
        <w:t>mmol</w:t>
      </w:r>
      <w:proofErr w:type="spellEnd"/>
      <w:r w:rsidR="00B17DCD" w:rsidRPr="0035461C">
        <w:rPr>
          <w:rFonts w:ascii="Calibri" w:hAnsi="Calibri" w:cs="Calibri"/>
        </w:rPr>
        <w:t>/l)</w:t>
      </w:r>
      <w:r w:rsidRPr="0035461C">
        <w:rPr>
          <w:rFonts w:ascii="Calibri" w:hAnsi="Calibri" w:cs="Calibri"/>
        </w:rPr>
        <w:t xml:space="preserve">. </w:t>
      </w:r>
      <w:r w:rsidR="00B97635" w:rsidRPr="0035461C">
        <w:rPr>
          <w:rFonts w:ascii="Calibri" w:hAnsi="Calibri" w:cs="Calibri"/>
        </w:rPr>
        <w:t xml:space="preserve">A larger amount of </w:t>
      </w:r>
      <w:r w:rsidR="004A37FE" w:rsidRPr="0035461C">
        <w:rPr>
          <w:rFonts w:ascii="Calibri" w:hAnsi="Calibri" w:cs="Calibri"/>
        </w:rPr>
        <w:t xml:space="preserve">glucose </w:t>
      </w:r>
      <w:r w:rsidR="00B97635" w:rsidRPr="0035461C">
        <w:rPr>
          <w:rFonts w:ascii="Calibri" w:hAnsi="Calibri" w:cs="Calibri"/>
        </w:rPr>
        <w:t>may be needed if glucose levels are below 54 mg/dl</w:t>
      </w:r>
      <w:r w:rsidR="0019450E" w:rsidRPr="0035461C">
        <w:rPr>
          <w:rFonts w:ascii="Calibri" w:hAnsi="Calibri" w:cs="Calibri"/>
        </w:rPr>
        <w:t xml:space="preserve"> (3</w:t>
      </w:r>
      <w:r w:rsidR="00D5083B" w:rsidRPr="0035461C">
        <w:rPr>
          <w:rFonts w:ascii="Calibri" w:hAnsi="Calibri" w:cs="Calibri"/>
        </w:rPr>
        <w:t>.0</w:t>
      </w:r>
      <w:r w:rsidR="0019450E" w:rsidRPr="0035461C">
        <w:rPr>
          <w:rFonts w:ascii="Calibri" w:hAnsi="Calibri" w:cs="Calibri"/>
        </w:rPr>
        <w:t xml:space="preserve"> </w:t>
      </w:r>
      <w:proofErr w:type="spellStart"/>
      <w:r w:rsidR="0019450E" w:rsidRPr="0035461C">
        <w:rPr>
          <w:rFonts w:ascii="Calibri" w:hAnsi="Calibri" w:cs="Calibri"/>
        </w:rPr>
        <w:t>mmol</w:t>
      </w:r>
      <w:proofErr w:type="spellEnd"/>
      <w:r w:rsidR="0019450E" w:rsidRPr="0035461C">
        <w:rPr>
          <w:rFonts w:ascii="Calibri" w:hAnsi="Calibri" w:cs="Calibri"/>
        </w:rPr>
        <w:t>/l)</w:t>
      </w:r>
      <w:r w:rsidR="00B97635" w:rsidRPr="0035461C">
        <w:rPr>
          <w:rFonts w:ascii="Calibri" w:hAnsi="Calibri" w:cs="Calibri"/>
        </w:rPr>
        <w:t>.</w:t>
      </w:r>
      <w:r w:rsidR="00E615B3" w:rsidRPr="0035461C">
        <w:rPr>
          <w:rFonts w:ascii="Calibri" w:hAnsi="Calibri" w:cs="Calibri"/>
        </w:rPr>
        <w:t xml:space="preserve"> </w:t>
      </w:r>
      <w:r w:rsidRPr="0035461C">
        <w:rPr>
          <w:rFonts w:ascii="Calibri" w:hAnsi="Calibri" w:cs="Calibri"/>
        </w:rPr>
        <w:t xml:space="preserve">Lower </w:t>
      </w:r>
      <w:r w:rsidR="004A37FE" w:rsidRPr="0035461C">
        <w:rPr>
          <w:rFonts w:ascii="Calibri" w:hAnsi="Calibri" w:cs="Calibri"/>
        </w:rPr>
        <w:t>carbohydrate</w:t>
      </w:r>
      <w:r w:rsidRPr="0035461C">
        <w:rPr>
          <w:rFonts w:ascii="Calibri" w:hAnsi="Calibri" w:cs="Calibri"/>
        </w:rPr>
        <w:t xml:space="preserve"> intakes can be used when symptoms are associated with </w:t>
      </w:r>
      <w:r w:rsidR="00B92FA7" w:rsidRPr="0035461C">
        <w:rPr>
          <w:rFonts w:ascii="Calibri" w:hAnsi="Calibri" w:cs="Calibri"/>
        </w:rPr>
        <w:t>a capillary blood glucose level</w:t>
      </w:r>
      <w:r w:rsidRPr="0035461C">
        <w:rPr>
          <w:rFonts w:ascii="Calibri" w:hAnsi="Calibri" w:cs="Calibri"/>
        </w:rPr>
        <w:t xml:space="preserve"> above 70 mg/dl </w:t>
      </w:r>
      <w:r w:rsidR="00B17DCD" w:rsidRPr="0035461C">
        <w:rPr>
          <w:rFonts w:ascii="Calibri" w:hAnsi="Calibri" w:cs="Calibri"/>
        </w:rPr>
        <w:t>(</w:t>
      </w:r>
      <w:r w:rsidR="00D5083B" w:rsidRPr="0035461C">
        <w:rPr>
          <w:rFonts w:ascii="Calibri" w:hAnsi="Calibri" w:cs="Calibri"/>
        </w:rPr>
        <w:t>3.9</w:t>
      </w:r>
      <w:r w:rsidR="00B17DCD" w:rsidRPr="0035461C">
        <w:rPr>
          <w:rFonts w:ascii="Calibri" w:hAnsi="Calibri" w:cs="Calibri"/>
        </w:rPr>
        <w:t xml:space="preserve"> </w:t>
      </w:r>
      <w:proofErr w:type="spellStart"/>
      <w:r w:rsidR="00B17DCD" w:rsidRPr="0035461C">
        <w:rPr>
          <w:rFonts w:ascii="Calibri" w:hAnsi="Calibri" w:cs="Calibri"/>
        </w:rPr>
        <w:t>mmol</w:t>
      </w:r>
      <w:proofErr w:type="spellEnd"/>
      <w:r w:rsidR="00B17DCD" w:rsidRPr="0035461C">
        <w:rPr>
          <w:rFonts w:ascii="Calibri" w:hAnsi="Calibri" w:cs="Calibri"/>
        </w:rPr>
        <w:t>/l)</w:t>
      </w:r>
      <w:r w:rsidR="00B92FA7" w:rsidRPr="0035461C">
        <w:rPr>
          <w:rFonts w:ascii="Calibri" w:hAnsi="Calibri" w:cs="Calibri"/>
        </w:rPr>
        <w:t>.</w:t>
      </w:r>
      <w:r w:rsidR="00422A81">
        <w:rPr>
          <w:rFonts w:ascii="Calibri" w:hAnsi="Calibri" w:cs="Calibri"/>
        </w:rPr>
        <w:t xml:space="preserve"> As there</w:t>
      </w:r>
      <w:r w:rsidR="00EF4B4D">
        <w:rPr>
          <w:rFonts w:ascii="Calibri" w:hAnsi="Calibri" w:cs="Calibri"/>
        </w:rPr>
        <w:t xml:space="preserve"> </w:t>
      </w:r>
      <w:r w:rsidR="007F182D">
        <w:rPr>
          <w:rFonts w:ascii="Calibri" w:hAnsi="Calibri" w:cs="Calibri"/>
        </w:rPr>
        <w:t>may be</w:t>
      </w:r>
      <w:r w:rsidR="00422A81">
        <w:rPr>
          <w:rFonts w:ascii="Calibri" w:hAnsi="Calibri" w:cs="Calibri"/>
        </w:rPr>
        <w:t xml:space="preserve"> a 5-15 minute lag between changes in capillary blood glucose and interstitial glucose, </w:t>
      </w:r>
      <w:r w:rsidR="00A53FB7">
        <w:rPr>
          <w:rFonts w:ascii="Calibri" w:hAnsi="Calibri" w:cs="Calibri"/>
        </w:rPr>
        <w:t xml:space="preserve">the restoration of </w:t>
      </w:r>
      <w:proofErr w:type="spellStart"/>
      <w:r w:rsidR="00A53FB7">
        <w:rPr>
          <w:rFonts w:ascii="Calibri" w:hAnsi="Calibri" w:cs="Calibri"/>
        </w:rPr>
        <w:t>normoglycaemia</w:t>
      </w:r>
      <w:proofErr w:type="spellEnd"/>
      <w:r w:rsidR="00422A81">
        <w:rPr>
          <w:rFonts w:ascii="Calibri" w:hAnsi="Calibri" w:cs="Calibri"/>
        </w:rPr>
        <w:t xml:space="preserve"> may not be</w:t>
      </w:r>
      <w:r w:rsidR="006217FA">
        <w:rPr>
          <w:rFonts w:ascii="Calibri" w:hAnsi="Calibri" w:cs="Calibri"/>
        </w:rPr>
        <w:t xml:space="preserve"> </w:t>
      </w:r>
      <w:r w:rsidR="00422A81">
        <w:rPr>
          <w:rFonts w:ascii="Calibri" w:hAnsi="Calibri" w:cs="Calibri"/>
        </w:rPr>
        <w:t>detected by CGM. The use of capillary glucose measurement is recommended to prevent over-treatment of the hypoglycaemia</w:t>
      </w:r>
      <w:r w:rsidR="00EF4B4D">
        <w:rPr>
          <w:rFonts w:ascii="Calibri" w:hAnsi="Calibri" w:cs="Calibri"/>
        </w:rPr>
        <w:t>.</w:t>
      </w:r>
      <w:r w:rsidR="00422A81">
        <w:rPr>
          <w:rFonts w:ascii="Calibri" w:hAnsi="Calibri" w:cs="Calibri"/>
        </w:rPr>
        <w:t xml:space="preserve"> </w:t>
      </w:r>
    </w:p>
    <w:p w14:paraId="2C17AF45" w14:textId="2ECE19DF" w:rsidR="00567D76" w:rsidRPr="0035461C" w:rsidRDefault="00567D76" w:rsidP="001C5BC0">
      <w:pPr>
        <w:spacing w:before="120"/>
        <w:jc w:val="both"/>
        <w:rPr>
          <w:rFonts w:ascii="Calibri" w:hAnsi="Calibri" w:cs="Calibri"/>
        </w:rPr>
      </w:pPr>
      <w:r w:rsidRPr="0035461C">
        <w:rPr>
          <w:rFonts w:ascii="Calibri" w:hAnsi="Calibri" w:cs="Calibri"/>
        </w:rPr>
        <w:t>The specific recommendations for correction of hypoglyc</w:t>
      </w:r>
      <w:r w:rsidR="00B17DCD" w:rsidRPr="0035461C">
        <w:rPr>
          <w:rFonts w:ascii="Calibri" w:hAnsi="Calibri" w:cs="Calibri"/>
        </w:rPr>
        <w:t>a</w:t>
      </w:r>
      <w:r w:rsidRPr="0035461C">
        <w:rPr>
          <w:rFonts w:ascii="Calibri" w:hAnsi="Calibri" w:cs="Calibri"/>
        </w:rPr>
        <w:t>emia or trends for hypoglyc</w:t>
      </w:r>
      <w:r w:rsidR="00B17DCD" w:rsidRPr="0035461C">
        <w:rPr>
          <w:rFonts w:ascii="Calibri" w:hAnsi="Calibri" w:cs="Calibri"/>
        </w:rPr>
        <w:t>a</w:t>
      </w:r>
      <w:r w:rsidRPr="0035461C">
        <w:rPr>
          <w:rFonts w:ascii="Calibri" w:hAnsi="Calibri" w:cs="Calibri"/>
        </w:rPr>
        <w:t xml:space="preserve">emia according to CGM in </w:t>
      </w:r>
      <w:r w:rsidR="001C07B6" w:rsidRPr="0035461C">
        <w:rPr>
          <w:rFonts w:ascii="Calibri" w:hAnsi="Calibri" w:cs="Calibri"/>
        </w:rPr>
        <w:t>people</w:t>
      </w:r>
      <w:r w:rsidRPr="0035461C">
        <w:rPr>
          <w:rFonts w:ascii="Calibri" w:hAnsi="Calibri" w:cs="Calibri"/>
        </w:rPr>
        <w:t xml:space="preserve"> using </w:t>
      </w:r>
      <w:r w:rsidR="001C07B6" w:rsidRPr="0035461C">
        <w:rPr>
          <w:rFonts w:ascii="Calibri" w:hAnsi="Calibri" w:cs="Calibri"/>
        </w:rPr>
        <w:t>automated insulin delivery</w:t>
      </w:r>
      <w:r w:rsidRPr="0035461C">
        <w:rPr>
          <w:rFonts w:ascii="Calibri" w:hAnsi="Calibri" w:cs="Calibri"/>
        </w:rPr>
        <w:t xml:space="preserve"> systems will have to be defined </w:t>
      </w:r>
      <w:r w:rsidR="001C07B6" w:rsidRPr="0035461C">
        <w:rPr>
          <w:rFonts w:ascii="Calibri" w:hAnsi="Calibri" w:cs="Calibri"/>
        </w:rPr>
        <w:t>as</w:t>
      </w:r>
      <w:r w:rsidRPr="0035461C">
        <w:rPr>
          <w:rFonts w:ascii="Calibri" w:hAnsi="Calibri" w:cs="Calibri"/>
        </w:rPr>
        <w:t xml:space="preserve"> this mode of therapy expand</w:t>
      </w:r>
      <w:r w:rsidR="001C07B6" w:rsidRPr="0035461C">
        <w:rPr>
          <w:rFonts w:ascii="Calibri" w:hAnsi="Calibri" w:cs="Calibri"/>
        </w:rPr>
        <w:t>s</w:t>
      </w:r>
      <w:r w:rsidRPr="0035461C">
        <w:rPr>
          <w:rFonts w:ascii="Calibri" w:hAnsi="Calibri" w:cs="Calibri"/>
        </w:rPr>
        <w:t xml:space="preserve"> in forthcoming years.</w:t>
      </w:r>
      <w:r w:rsidR="00E615B3" w:rsidRPr="0035461C">
        <w:rPr>
          <w:rFonts w:ascii="Calibri" w:hAnsi="Calibri" w:cs="Calibri"/>
        </w:rPr>
        <w:t xml:space="preserve"> </w:t>
      </w:r>
      <w:r w:rsidR="004D3943" w:rsidRPr="0035461C">
        <w:rPr>
          <w:rFonts w:ascii="Calibri" w:hAnsi="Calibri" w:cs="Calibri"/>
        </w:rPr>
        <w:t xml:space="preserve">Less carbohydrate </w:t>
      </w:r>
      <w:r w:rsidR="001E7D48">
        <w:rPr>
          <w:rFonts w:ascii="Calibri" w:hAnsi="Calibri" w:cs="Calibri"/>
        </w:rPr>
        <w:t xml:space="preserve">(5-15 g) </w:t>
      </w:r>
      <w:r w:rsidR="004D3943" w:rsidRPr="0035461C">
        <w:rPr>
          <w:rFonts w:ascii="Calibri" w:hAnsi="Calibri" w:cs="Calibri"/>
        </w:rPr>
        <w:t>may need to be ingested to correct hypoglyc</w:t>
      </w:r>
      <w:r w:rsidR="00146552" w:rsidRPr="0035461C">
        <w:rPr>
          <w:rFonts w:ascii="Calibri" w:hAnsi="Calibri" w:cs="Calibri"/>
        </w:rPr>
        <w:t>a</w:t>
      </w:r>
      <w:r w:rsidR="004D3943" w:rsidRPr="0035461C">
        <w:rPr>
          <w:rFonts w:ascii="Calibri" w:hAnsi="Calibri" w:cs="Calibri"/>
        </w:rPr>
        <w:t>emia because the automated insulin delivery system should have already reduced</w:t>
      </w:r>
      <w:r w:rsidR="00146552" w:rsidRPr="0035461C">
        <w:rPr>
          <w:rFonts w:ascii="Calibri" w:hAnsi="Calibri" w:cs="Calibri"/>
        </w:rPr>
        <w:t xml:space="preserve"> or </w:t>
      </w:r>
      <w:r w:rsidR="004D3943" w:rsidRPr="0035461C">
        <w:rPr>
          <w:rFonts w:ascii="Calibri" w:hAnsi="Calibri" w:cs="Calibri"/>
        </w:rPr>
        <w:t>stopped basal insulin delivery</w:t>
      </w:r>
      <w:r w:rsidR="00076F77">
        <w:rPr>
          <w:rFonts w:ascii="Calibri" w:hAnsi="Calibri" w:cs="Calibri"/>
        </w:rPr>
        <w:t xml:space="preserve"> </w:t>
      </w:r>
      <w:r w:rsidR="00076F77">
        <w:rPr>
          <w:rFonts w:ascii="Calibri" w:hAnsi="Calibri" w:cs="Calibri"/>
        </w:rPr>
        <w:fldChar w:fldCharType="begin"/>
      </w:r>
      <w:r w:rsidR="00076F77">
        <w:rPr>
          <w:rFonts w:ascii="Calibri" w:hAnsi="Calibri" w:cs="Calibri"/>
        </w:rPr>
        <w:instrText xml:space="preserve"> ADDIN ZOTERO_ITEM CSL_CITATION {"citationID":"a1eqd79keoq","properties":{"formattedCitation":"(129)","plainCitation":"(129)","noteIndex":0},"citationItems":[{"id":12661,"uris":["http://zotero.org/groups/369679/items/WDK7JAUU"],"uri":["http://zotero.org/groups/369679/items/WDK7JAUU"],"itemData":{"id":12661,"type":"article-journal","abstract":"Current guidelines recommend 15-20 g of carbohydrate (CHO) for treatment of mild to moderate hypoglycemia. However, these guidelines do not account for reduced insulin during suspensions with predictive low-glucose suspend (PLGS). We assessed insulin suspensions, hypoglycemic events, and CHO treatment during a 20-h inpatient evaluation of an investigational system with a PLGS feature, including an overnight basal up-titration period to activate the PLGS. Among 10 adults with type 1 diabetes, there were 59 suspensions; 7 suspensions were associated with rescue CHO and 5 with hypoglycemia. Rescue treatment consisted of median 9 g CHO (range: 5-16 g), with no events requiring repeat CHO. No rescue CHO were given during or after insulin suspension for the overnight basal up-titration. To minimize rebound hyperglycemia and needless calorie intake from hypoglycemia overtreatment, updated guidance for PLGS systems should reflect possible need to reduce CHO amounts for hypoglycemia rescue associated with an insulin suspension. The clinical trial was registered with ClinicalTrials.gov (NCT03890003).","container-title":"Diabetes Technology &amp; Therapeutics","DOI":"10.1089/dia.2020.0619","ISSN":"1557-8593","issue":"7","journalAbbreviation":"Diabetes Technol Ther","language":"eng","note":"PMID: 33535013\nPMCID: PMC8252907","page":"512-516","source":"PubMed","title":"Predictive Low-Glucose Suspend Necessitates Less Carbohydrate Supplementation to Rescue Hypoglycemia: Need to Revisit Current Hypoglycemia Treatment Guidelines","title-short":"Predictive Low-Glucose Suspend Necessitates Less Carbohydrate Supplementation to Rescue Hypoglycemia","volume":"23","author":[{"family":"Pinsker","given":"Jordan E."},{"family":"Bartee","given":"Amy"},{"family":"Katz","given":"Michelle"},{"family":"Lalonde","given":"Amy"},{"family":"Jones","given":"Richard"},{"family":"Dassau","given":"Eyal"},{"family":"Wolpert","given":"Howard"}],"issued":{"date-parts":[["2021",7]]}}}],"schema":"https://github.com/citation-style-language/schema/raw/master/csl-citation.json"} </w:instrText>
      </w:r>
      <w:r w:rsidR="00076F77">
        <w:rPr>
          <w:rFonts w:ascii="Calibri" w:hAnsi="Calibri" w:cs="Calibri"/>
        </w:rPr>
        <w:fldChar w:fldCharType="separate"/>
      </w:r>
      <w:r w:rsidR="00076F77" w:rsidRPr="00076F77">
        <w:rPr>
          <w:rFonts w:ascii="Calibri" w:hAnsi="Calibri" w:cs="Calibri"/>
        </w:rPr>
        <w:t>(129)</w:t>
      </w:r>
      <w:r w:rsidR="00076F77">
        <w:rPr>
          <w:rFonts w:ascii="Calibri" w:hAnsi="Calibri" w:cs="Calibri"/>
        </w:rPr>
        <w:fldChar w:fldCharType="end"/>
      </w:r>
      <w:r w:rsidR="004D3943" w:rsidRPr="0035461C">
        <w:rPr>
          <w:rFonts w:ascii="Calibri" w:hAnsi="Calibri" w:cs="Calibri"/>
        </w:rPr>
        <w:t>.</w:t>
      </w:r>
    </w:p>
    <w:p w14:paraId="23ABAB42" w14:textId="136243A0" w:rsidR="00567D76" w:rsidRPr="0035461C" w:rsidRDefault="002516DF" w:rsidP="001C5BC0">
      <w:pPr>
        <w:spacing w:before="120"/>
        <w:jc w:val="both"/>
        <w:rPr>
          <w:rFonts w:ascii="Calibri" w:hAnsi="Calibri" w:cs="Calibri"/>
        </w:rPr>
      </w:pPr>
      <w:r>
        <w:rPr>
          <w:rFonts w:ascii="Calibri" w:hAnsi="Calibri" w:cs="Calibri"/>
        </w:rPr>
        <w:t>Where there is a</w:t>
      </w:r>
      <w:r w:rsidR="00567D76" w:rsidRPr="0035461C">
        <w:rPr>
          <w:rFonts w:ascii="Calibri" w:hAnsi="Calibri" w:cs="Calibri"/>
        </w:rPr>
        <w:t xml:space="preserve"> </w:t>
      </w:r>
      <w:r w:rsidR="00CF7AB6">
        <w:rPr>
          <w:rFonts w:ascii="Calibri" w:hAnsi="Calibri" w:cs="Calibri"/>
        </w:rPr>
        <w:t xml:space="preserve">reduced </w:t>
      </w:r>
      <w:r>
        <w:rPr>
          <w:rFonts w:ascii="Calibri" w:hAnsi="Calibri" w:cs="Calibri"/>
        </w:rPr>
        <w:t xml:space="preserve">level of </w:t>
      </w:r>
      <w:r w:rsidR="00CF7AB6">
        <w:rPr>
          <w:rFonts w:ascii="Calibri" w:hAnsi="Calibri" w:cs="Calibri"/>
        </w:rPr>
        <w:t>conscious</w:t>
      </w:r>
      <w:r>
        <w:rPr>
          <w:rFonts w:ascii="Calibri" w:hAnsi="Calibri" w:cs="Calibri"/>
        </w:rPr>
        <w:t>ness</w:t>
      </w:r>
      <w:r w:rsidR="00567D76" w:rsidRPr="0035461C">
        <w:rPr>
          <w:rFonts w:ascii="Calibri" w:hAnsi="Calibri" w:cs="Calibri"/>
        </w:rPr>
        <w:t>, oral glucose intake</w:t>
      </w:r>
      <w:r w:rsidR="004A37FE" w:rsidRPr="0035461C">
        <w:rPr>
          <w:rFonts w:ascii="Calibri" w:hAnsi="Calibri" w:cs="Calibri"/>
        </w:rPr>
        <w:t xml:space="preserve"> is contraindicated</w:t>
      </w:r>
      <w:r w:rsidR="00567D76" w:rsidRPr="0035461C">
        <w:rPr>
          <w:rFonts w:ascii="Calibri" w:hAnsi="Calibri" w:cs="Calibri"/>
        </w:rPr>
        <w:t xml:space="preserve"> </w:t>
      </w:r>
      <w:r w:rsidR="00F76B1C" w:rsidRPr="0035461C">
        <w:rPr>
          <w:rFonts w:ascii="Calibri" w:hAnsi="Calibri" w:cs="Calibri"/>
        </w:rPr>
        <w:t>because of risk for aspiration</w:t>
      </w:r>
      <w:r w:rsidR="004A37FE" w:rsidRPr="0035461C">
        <w:rPr>
          <w:rFonts w:ascii="Calibri" w:hAnsi="Calibri" w:cs="Calibri"/>
        </w:rPr>
        <w:t>. Instead,</w:t>
      </w:r>
      <w:r w:rsidR="00F76B1C" w:rsidRPr="0035461C">
        <w:rPr>
          <w:rFonts w:ascii="Calibri" w:hAnsi="Calibri" w:cs="Calibri"/>
        </w:rPr>
        <w:t xml:space="preserve"> </w:t>
      </w:r>
      <w:r w:rsidR="00567D76" w:rsidRPr="0035461C">
        <w:rPr>
          <w:rFonts w:ascii="Calibri" w:hAnsi="Calibri" w:cs="Calibri"/>
        </w:rPr>
        <w:t xml:space="preserve">glucagon </w:t>
      </w:r>
      <w:r w:rsidR="00F76B1C" w:rsidRPr="0035461C">
        <w:rPr>
          <w:rFonts w:ascii="Calibri" w:hAnsi="Calibri" w:cs="Calibri"/>
        </w:rPr>
        <w:t xml:space="preserve">via </w:t>
      </w:r>
      <w:r w:rsidR="001C07B6" w:rsidRPr="0035461C">
        <w:rPr>
          <w:rFonts w:ascii="Calibri" w:hAnsi="Calibri" w:cs="Calibri"/>
        </w:rPr>
        <w:t>subcutaneous or intramuscular</w:t>
      </w:r>
      <w:r w:rsidR="00567D76" w:rsidRPr="0035461C">
        <w:rPr>
          <w:rFonts w:ascii="Calibri" w:hAnsi="Calibri" w:cs="Calibri"/>
        </w:rPr>
        <w:t xml:space="preserve"> injection or nasal delivery </w:t>
      </w:r>
      <w:r w:rsidR="004A37FE" w:rsidRPr="0035461C">
        <w:rPr>
          <w:rFonts w:ascii="Calibri" w:hAnsi="Calibri" w:cs="Calibri"/>
        </w:rPr>
        <w:t xml:space="preserve">should be given </w:t>
      </w:r>
      <w:r w:rsidR="00567D76" w:rsidRPr="0035461C">
        <w:rPr>
          <w:rFonts w:ascii="Calibri" w:hAnsi="Calibri" w:cs="Calibri"/>
        </w:rPr>
        <w:t xml:space="preserve">by attending people. </w:t>
      </w:r>
      <w:r w:rsidR="001C07B6" w:rsidRPr="0035461C">
        <w:rPr>
          <w:rFonts w:ascii="Calibri" w:hAnsi="Calibri" w:cs="Calibri"/>
        </w:rPr>
        <w:t>Intravenous</w:t>
      </w:r>
      <w:r w:rsidR="00567D76" w:rsidRPr="0035461C">
        <w:rPr>
          <w:rFonts w:ascii="Calibri" w:hAnsi="Calibri" w:cs="Calibri"/>
        </w:rPr>
        <w:t xml:space="preserve"> glucose injection is a possible alternative for healthcare professionals in case</w:t>
      </w:r>
      <w:r w:rsidR="001C07B6" w:rsidRPr="0035461C">
        <w:rPr>
          <w:rFonts w:ascii="Calibri" w:hAnsi="Calibri" w:cs="Calibri"/>
        </w:rPr>
        <w:t>s</w:t>
      </w:r>
      <w:r w:rsidR="00567D76" w:rsidRPr="0035461C">
        <w:rPr>
          <w:rFonts w:ascii="Calibri" w:hAnsi="Calibri" w:cs="Calibri"/>
        </w:rPr>
        <w:t xml:space="preserve"> of </w:t>
      </w:r>
      <w:r w:rsidR="00A765E6">
        <w:rPr>
          <w:rFonts w:ascii="Calibri" w:hAnsi="Calibri" w:cs="Calibri"/>
        </w:rPr>
        <w:t>level 3</w:t>
      </w:r>
      <w:r w:rsidR="00567D76" w:rsidRPr="0035461C">
        <w:rPr>
          <w:rFonts w:ascii="Calibri" w:hAnsi="Calibri" w:cs="Calibri"/>
        </w:rPr>
        <w:t xml:space="preserve"> hypoglyc</w:t>
      </w:r>
      <w:r w:rsidR="001C07B6" w:rsidRPr="0035461C">
        <w:rPr>
          <w:rFonts w:ascii="Calibri" w:hAnsi="Calibri" w:cs="Calibri"/>
        </w:rPr>
        <w:t>a</w:t>
      </w:r>
      <w:r w:rsidR="00567D76" w:rsidRPr="0035461C">
        <w:rPr>
          <w:rFonts w:ascii="Calibri" w:hAnsi="Calibri" w:cs="Calibri"/>
        </w:rPr>
        <w:t>emia.</w:t>
      </w:r>
    </w:p>
    <w:p w14:paraId="047194B1" w14:textId="10E0CC5D" w:rsidR="001C07B6" w:rsidRPr="0035461C" w:rsidRDefault="001C07B6" w:rsidP="001C5BC0">
      <w:pPr>
        <w:spacing w:before="120"/>
        <w:jc w:val="both"/>
        <w:rPr>
          <w:rFonts w:ascii="Calibri" w:hAnsi="Calibri" w:cs="Calibri"/>
        </w:rPr>
      </w:pPr>
      <w:r w:rsidRPr="0035461C">
        <w:rPr>
          <w:rFonts w:ascii="Calibri" w:hAnsi="Calibri" w:cs="Calibri"/>
        </w:rPr>
        <w:t>After the acute symptoms have resolved, a further 20</w:t>
      </w:r>
      <w:r w:rsidR="00B656D3">
        <w:rPr>
          <w:rFonts w:ascii="Calibri" w:hAnsi="Calibri" w:cs="Calibri"/>
        </w:rPr>
        <w:t xml:space="preserve"> </w:t>
      </w:r>
      <w:r w:rsidRPr="0035461C">
        <w:rPr>
          <w:rFonts w:ascii="Calibri" w:hAnsi="Calibri" w:cs="Calibri"/>
        </w:rPr>
        <w:t>g of long</w:t>
      </w:r>
      <w:r w:rsidR="004A37FE" w:rsidRPr="0035461C">
        <w:rPr>
          <w:rFonts w:ascii="Calibri" w:hAnsi="Calibri" w:cs="Calibri"/>
        </w:rPr>
        <w:t>-</w:t>
      </w:r>
      <w:r w:rsidRPr="0035461C">
        <w:rPr>
          <w:rFonts w:ascii="Calibri" w:hAnsi="Calibri" w:cs="Calibri"/>
        </w:rPr>
        <w:t>acting carbohydrate</w:t>
      </w:r>
      <w:r w:rsidR="00B92FA7" w:rsidRPr="0035461C">
        <w:rPr>
          <w:rFonts w:ascii="Calibri" w:hAnsi="Calibri" w:cs="Calibri"/>
        </w:rPr>
        <w:t xml:space="preserve"> </w:t>
      </w:r>
      <w:r w:rsidR="002516DF">
        <w:rPr>
          <w:rFonts w:ascii="Calibri" w:hAnsi="Calibri" w:cs="Calibri"/>
        </w:rPr>
        <w:t xml:space="preserve">as part of a snack or meal </w:t>
      </w:r>
      <w:r w:rsidRPr="0035461C">
        <w:rPr>
          <w:rFonts w:ascii="Calibri" w:hAnsi="Calibri" w:cs="Calibri"/>
        </w:rPr>
        <w:t>should be given</w:t>
      </w:r>
      <w:r w:rsidR="006E5484" w:rsidRPr="0035461C">
        <w:rPr>
          <w:rFonts w:ascii="Calibri" w:hAnsi="Calibri" w:cs="Calibri"/>
        </w:rPr>
        <w:t xml:space="preserve"> and the cause of the hypoglycaemic episode sought</w:t>
      </w:r>
      <w:r w:rsidR="00B92FA7" w:rsidRPr="0035461C">
        <w:rPr>
          <w:rFonts w:ascii="Calibri" w:hAnsi="Calibri" w:cs="Calibri"/>
        </w:rPr>
        <w:t xml:space="preserve"> to prevent further episodes</w:t>
      </w:r>
      <w:r w:rsidR="006E5484" w:rsidRPr="0035461C">
        <w:rPr>
          <w:rFonts w:ascii="Calibri" w:hAnsi="Calibri" w:cs="Calibri"/>
        </w:rPr>
        <w:t>.</w:t>
      </w:r>
      <w:r w:rsidR="00B97635" w:rsidRPr="0035461C">
        <w:rPr>
          <w:rFonts w:ascii="Calibri" w:hAnsi="Calibri" w:cs="Calibri"/>
        </w:rPr>
        <w:t xml:space="preserve"> </w:t>
      </w:r>
    </w:p>
    <w:p w14:paraId="2AFF3276" w14:textId="77777777" w:rsidR="001F7416" w:rsidRPr="0035461C" w:rsidRDefault="001F7416" w:rsidP="00264FF0">
      <w:pPr>
        <w:spacing w:before="120"/>
        <w:rPr>
          <w:rFonts w:ascii="Calibri" w:hAnsi="Calibri" w:cs="Calibri"/>
          <w:b/>
          <w:bCs/>
        </w:rPr>
      </w:pPr>
    </w:p>
    <w:p w14:paraId="3E6C93B5" w14:textId="423D3C5E" w:rsidR="00264FF0" w:rsidRPr="0035461C" w:rsidRDefault="00264FF0" w:rsidP="00264FF0">
      <w:pPr>
        <w:spacing w:before="120"/>
        <w:rPr>
          <w:rFonts w:ascii="Calibri" w:hAnsi="Calibri" w:cs="Calibri"/>
          <w:b/>
          <w:bCs/>
        </w:rPr>
      </w:pPr>
      <w:r w:rsidRPr="0035461C">
        <w:rPr>
          <w:rFonts w:ascii="Calibri" w:hAnsi="Calibri" w:cs="Calibri"/>
          <w:b/>
          <w:bCs/>
        </w:rPr>
        <w:t>Section 9:</w:t>
      </w:r>
      <w:r w:rsidR="00E615B3" w:rsidRPr="0035461C">
        <w:rPr>
          <w:rFonts w:ascii="Calibri" w:hAnsi="Calibri" w:cs="Calibri"/>
          <w:b/>
          <w:bCs/>
        </w:rPr>
        <w:t xml:space="preserve"> </w:t>
      </w:r>
      <w:r w:rsidR="00D3598D" w:rsidRPr="0035461C">
        <w:rPr>
          <w:rFonts w:ascii="Calibri" w:hAnsi="Calibri" w:cs="Calibri"/>
          <w:b/>
          <w:bCs/>
        </w:rPr>
        <w:t xml:space="preserve">Additional </w:t>
      </w:r>
      <w:proofErr w:type="spellStart"/>
      <w:r w:rsidR="00D3598D" w:rsidRPr="0035461C">
        <w:rPr>
          <w:rFonts w:ascii="Calibri" w:hAnsi="Calibri" w:cs="Calibri"/>
          <w:b/>
          <w:bCs/>
        </w:rPr>
        <w:t>behavioural</w:t>
      </w:r>
      <w:proofErr w:type="spellEnd"/>
      <w:r w:rsidR="00D3598D" w:rsidRPr="0035461C">
        <w:rPr>
          <w:rFonts w:ascii="Calibri" w:hAnsi="Calibri" w:cs="Calibri"/>
          <w:b/>
          <w:bCs/>
        </w:rPr>
        <w:t xml:space="preserve"> </w:t>
      </w:r>
      <w:r w:rsidRPr="0035461C">
        <w:rPr>
          <w:rFonts w:ascii="Calibri" w:hAnsi="Calibri" w:cs="Calibri"/>
          <w:b/>
          <w:bCs/>
        </w:rPr>
        <w:t>considerations</w:t>
      </w:r>
    </w:p>
    <w:p w14:paraId="666B5F78" w14:textId="77777777" w:rsidR="00264FF0" w:rsidRPr="0035461C" w:rsidRDefault="00264FF0" w:rsidP="00264FF0">
      <w:pPr>
        <w:spacing w:before="120"/>
        <w:rPr>
          <w:rFonts w:ascii="Calibri" w:hAnsi="Calibri" w:cs="Calibri"/>
        </w:rPr>
      </w:pPr>
      <w:r w:rsidRPr="0035461C">
        <w:rPr>
          <w:rFonts w:ascii="Calibri" w:hAnsi="Calibri" w:cs="Calibri"/>
          <w:i/>
          <w:u w:val="single"/>
        </w:rPr>
        <w:t>Nutrition therapy</w:t>
      </w:r>
    </w:p>
    <w:p w14:paraId="403A5AD5" w14:textId="3BC71384" w:rsidR="00264FF0" w:rsidRPr="0035461C" w:rsidRDefault="00264FF0" w:rsidP="00264FF0">
      <w:pPr>
        <w:spacing w:before="120"/>
        <w:jc w:val="both"/>
        <w:rPr>
          <w:rFonts w:ascii="Calibri" w:hAnsi="Calibri" w:cs="Calibri"/>
        </w:rPr>
      </w:pPr>
      <w:r w:rsidRPr="0035461C">
        <w:rPr>
          <w:rFonts w:ascii="Calibri" w:hAnsi="Calibri" w:cs="Calibri"/>
        </w:rPr>
        <w:t>Nutrition, in particular carbohydrate intake, has a major effect on glycaemia and people with type 1 diabetes need to understand the effect of food on their diabetes and plan meals accordingly (Table</w:t>
      </w:r>
      <w:r w:rsidR="001F7416" w:rsidRPr="0035461C">
        <w:rPr>
          <w:rFonts w:ascii="Calibri" w:hAnsi="Calibri" w:cs="Calibri"/>
        </w:rPr>
        <w:t xml:space="preserve"> 8</w:t>
      </w:r>
      <w:r w:rsidRPr="0035461C">
        <w:rPr>
          <w:rFonts w:ascii="Calibri" w:hAnsi="Calibri" w:cs="Calibri"/>
        </w:rPr>
        <w:t>). People with type 1 diabetes should be referred for individualized medical nutrition therapy provided by a registered dietitian who is knowledgeable and skilled in providing diabetes-specific nutritional advice</w:t>
      </w:r>
      <w:r w:rsidR="000B1C86">
        <w:rPr>
          <w:rFonts w:ascii="Calibri" w:hAnsi="Calibri" w:cs="Calibri"/>
        </w:rPr>
        <w:t xml:space="preserve"> in conjunction with the diabetes technology being used</w:t>
      </w:r>
      <w:r w:rsidRPr="0035461C">
        <w:rPr>
          <w:rFonts w:ascii="Calibri" w:hAnsi="Calibri" w:cs="Calibri"/>
        </w:rPr>
        <w:t>. Medical nutrition therapy delivered by a registered dietitian is associated with a reduction HbA</w:t>
      </w:r>
      <w:r w:rsidRPr="0035461C">
        <w:rPr>
          <w:rFonts w:ascii="Calibri" w:hAnsi="Calibri" w:cs="Calibri"/>
          <w:vertAlign w:val="subscript"/>
        </w:rPr>
        <w:t>1C</w:t>
      </w:r>
      <w:r w:rsidRPr="0035461C">
        <w:rPr>
          <w:rFonts w:ascii="Calibri" w:hAnsi="Calibri" w:cs="Calibri"/>
        </w:rPr>
        <w:t xml:space="preserve"> of 1.0-1.9% (11-21 </w:t>
      </w:r>
      <w:proofErr w:type="spellStart"/>
      <w:r w:rsidRPr="0035461C">
        <w:rPr>
          <w:rFonts w:ascii="Calibri" w:hAnsi="Calibri" w:cs="Calibri"/>
        </w:rPr>
        <w:t>mmol</w:t>
      </w:r>
      <w:proofErr w:type="spellEnd"/>
      <w:r w:rsidRPr="0035461C">
        <w:rPr>
          <w:rFonts w:ascii="Calibri" w:hAnsi="Calibri" w:cs="Calibri"/>
        </w:rPr>
        <w:t>/</w:t>
      </w:r>
      <w:proofErr w:type="spellStart"/>
      <w:r w:rsidRPr="0035461C">
        <w:rPr>
          <w:rFonts w:ascii="Calibri" w:hAnsi="Calibri" w:cs="Calibri"/>
        </w:rPr>
        <w:t>mol</w:t>
      </w:r>
      <w:proofErr w:type="spellEnd"/>
      <w:r w:rsidRPr="0035461C">
        <w:rPr>
          <w:rFonts w:ascii="Calibri" w:hAnsi="Calibri" w:cs="Calibri"/>
        </w:rPr>
        <w:t xml:space="preserve">) for people with sub-optimally managed type 1 diabetes when integrated into an overall management program </w:t>
      </w:r>
      <w:r w:rsidRPr="0035461C">
        <w:rPr>
          <w:rFonts w:ascii="Calibri" w:hAnsi="Calibri" w:cs="Calibri"/>
        </w:rPr>
        <w:fldChar w:fldCharType="begin"/>
      </w:r>
      <w:r w:rsidR="00076F77">
        <w:rPr>
          <w:rFonts w:ascii="Calibri" w:hAnsi="Calibri" w:cs="Calibri"/>
        </w:rPr>
        <w:instrText xml:space="preserve"> ADDIN ZOTERO_ITEM CSL_CITATION {"citationID":"ihRLx6SS","properties":{"formattedCitation":"(130)","plainCitation":"(130)","noteIndex":0},"citationItems":[{"id":4464,"uris":["http://zotero.org/groups/369679/items/MPFQ4BJR"],"uri":["http://zotero.org/groups/369679/items/MPFQ4BJR"],"itemData":{"id":4464,"type":"article-journal","container-title":"Diabetes Care","DOI":"10.2337/dc20","ISSN":"1935-5548","issue":"Suppl 1","journalAbbreviation":"Diabetes Care","language":"eng","note":"PMID: 31862741","source":"PubMed","title":"Standards of Medical Care in Diabetes-2020","title-short":"Introduction","volume":"43","issued":{"date-parts":[["2020",1]]}}}],"schema":"https://github.com/citation-style-language/schema/raw/master/csl-citation.json"} </w:instrText>
      </w:r>
      <w:r w:rsidRPr="0035461C">
        <w:rPr>
          <w:rFonts w:ascii="Calibri" w:hAnsi="Calibri" w:cs="Calibri"/>
        </w:rPr>
        <w:fldChar w:fldCharType="separate"/>
      </w:r>
      <w:r w:rsidR="00076F77" w:rsidRPr="00076F77">
        <w:rPr>
          <w:rFonts w:ascii="Calibri" w:hAnsi="Calibri" w:cs="Calibri"/>
        </w:rPr>
        <w:t>(130)</w:t>
      </w:r>
      <w:r w:rsidRPr="0035461C">
        <w:rPr>
          <w:rFonts w:ascii="Calibri" w:hAnsi="Calibri" w:cs="Calibri"/>
        </w:rPr>
        <w:fldChar w:fldCharType="end"/>
      </w:r>
      <w:r w:rsidRPr="0035461C">
        <w:rPr>
          <w:rFonts w:ascii="Calibri" w:hAnsi="Calibri" w:cs="Calibri"/>
        </w:rPr>
        <w:t>.</w:t>
      </w:r>
    </w:p>
    <w:p w14:paraId="458C2B87" w14:textId="21EB67AF" w:rsidR="00264FF0" w:rsidRPr="0035461C" w:rsidRDefault="00264FF0" w:rsidP="00264FF0">
      <w:pPr>
        <w:spacing w:before="120"/>
        <w:jc w:val="both"/>
        <w:rPr>
          <w:rFonts w:ascii="Calibri" w:hAnsi="Calibri" w:cs="Calibri"/>
          <w:color w:val="000000"/>
          <w:shd w:val="clear" w:color="auto" w:fill="FFFFFF"/>
        </w:rPr>
      </w:pPr>
      <w:r w:rsidRPr="0035461C">
        <w:rPr>
          <w:rFonts w:ascii="Calibri" w:hAnsi="Calibri" w:cs="Calibri"/>
          <w:color w:val="000000"/>
          <w:shd w:val="clear" w:color="auto" w:fill="FFFFFF"/>
        </w:rPr>
        <w:t>There is no one eating pattern recommended for people with type 1 diabetes.</w:t>
      </w:r>
      <w:r w:rsidR="00E615B3" w:rsidRPr="0035461C">
        <w:rPr>
          <w:rFonts w:ascii="Calibri" w:hAnsi="Calibri" w:cs="Calibri"/>
          <w:color w:val="000000"/>
          <w:shd w:val="clear" w:color="auto" w:fill="FFFFFF"/>
        </w:rPr>
        <w:t xml:space="preserve"> </w:t>
      </w:r>
      <w:r w:rsidRPr="0035461C">
        <w:rPr>
          <w:rFonts w:ascii="Calibri" w:hAnsi="Calibri" w:cs="Calibri"/>
          <w:color w:val="000000"/>
          <w:shd w:val="clear" w:color="auto" w:fill="FFFFFF"/>
        </w:rPr>
        <w:t>The nutrition approach should be individualized based on personal preferences, socioeconomic status, cultural backgrounds and comorbidities.</w:t>
      </w:r>
      <w:r w:rsidR="00E615B3" w:rsidRPr="0035461C">
        <w:rPr>
          <w:rFonts w:ascii="Calibri" w:hAnsi="Calibri" w:cs="Calibri"/>
          <w:color w:val="000000"/>
          <w:shd w:val="clear" w:color="auto" w:fill="FFFFFF"/>
        </w:rPr>
        <w:t xml:space="preserve"> </w:t>
      </w:r>
      <w:r w:rsidRPr="0035461C">
        <w:rPr>
          <w:rFonts w:ascii="Calibri" w:hAnsi="Calibri" w:cs="Calibri"/>
        </w:rPr>
        <w:t xml:space="preserve">Carbohydrate counting is the most common meal planning approach in type 1 diabetes. In conjunction with promoting healthy eating patterns, carbohydrate counting and insulin-to-carbohydrate ratios can be a useful method for adjusting meal-time insulin dosing for optimal glycaemic outcomes </w:t>
      </w:r>
      <w:r w:rsidRPr="0035461C">
        <w:rPr>
          <w:rFonts w:ascii="Calibri" w:hAnsi="Calibri" w:cs="Calibri"/>
        </w:rPr>
        <w:fldChar w:fldCharType="begin"/>
      </w:r>
      <w:r w:rsidR="00076F77">
        <w:rPr>
          <w:rFonts w:ascii="Calibri" w:hAnsi="Calibri" w:cs="Calibri"/>
        </w:rPr>
        <w:instrText xml:space="preserve"> ADDIN ZOTERO_ITEM CSL_CITATION {"citationID":"UQLoRJtL","properties":{"formattedCitation":"(131,132)","plainCitation":"(131,132)","noteIndex":0},"citationItems":[{"id":2178,"uris":["http://zotero.org/groups/369679/items/UXYZ2VI5"],"uri":["http://zotero.org/groups/369679/items/UXYZ2VI5"],"itemData":{"id":2178,"type":"article-journal","abstract":"BACKGROUND: Although carbohydrate counting is the recommended dietary strategy for achieving glycaemic control in people with type 1 diabetes, the advice is based on narrative review and grading of the available evidence. We aimed to assess by systematic review and meta-analysis the efficacy of carbohydrate counting on glycaemic control in adults and children with type 1 diabetes.\nMETHODS: We screened and assessed randomised controlled trials of interventions longer than 3 months that compared carbohydrate counting with general or alternate dietary advice in adults and children with type 1 diabetes. Change in glycated haemoglobin (HbA1c) concentration was the primary outcome. The results of clinically and statistically homogenous studies were pooled and meta-analysed using the random-effects model to provide estimates of the efficacy of carbohydrate counting.\nFINDINGS: We identified seven eligible trials, of 311 potentially relevant studies, comprising 599 adults and 104 children with type 1 diabetes. Study quality score averaged 7·6 out of 13. Overall there was no significant improvement in HbA1c concentration with carbohydrate counting versus the control or usual care (-0·35% [-3·9 mmol/mol], 95% CI -0·75 to 0·06; p=0·096). We identified significant heterogeneity between studies, which was potentially related to differences in study design. In the five studies in adults with a parallel design, there was a 0·64% point (7·0 mmol/mol) reduction in HbA1c with carbohydrate counting versus control (95% CI -0·91 to -0·37; p&lt;0·0001).\nINTERPRETATION: There is some evidence to support the recommendation of carbohydrate counting over alternate advice or usual care in adults with type 1 diabetes. Additional studies are needed to support promotion of carbohydrate counting over other methods of matching insulin dose to food intake.\nFUNDING: None.","container-title":"The Lancet. Diabetes &amp; Endocrinology","DOI":"10.1016/S2213-8587(13)70144-X","ISSN":"2213-8595","issue":"2","journalAbbreviation":"Lancet Diabetes Endocrinol","language":"ENG","note":"PMID: 24622717","page":"133-140","source":"PubMed","title":"Efficacy of carbohydrate counting in type 1 diabetes: a systematic review and meta-analysis","title-short":"Efficacy of carbohydrate counting in type 1 diabetes","volume":"2","author":[{"family":"Bell","given":"Kirstine J."},{"family":"Barclay","given":"Alan W."},{"family":"Petocz","given":"Peter"},{"family":"Colagiuri","given":"Stephen"},{"family":"Brand-Miller","given":"Jennie C."}],"issued":{"date-parts":[["2014",2]]}}},{"id":11226,"uris":["http://zotero.org/groups/369679/items/H49IXY3E"],"uri":["http://zotero.org/groups/369679/items/H49IXY3E"],"itemData":{"id":11226,"type":"article-journal","abstract":"AIM: Advanced carbohydrate counting, a systematic method for insulin bolus calculation, is recommended in the management of type 1 diabetes. The aim of this systematic review was to summarize all available evidence from randomized and observational studies of the effects of advanced carbohydrate counting on glycaemic control (HbA(1c)), psychosocial measures, weight and hypoglycaemic events in patients of all age groups with type 1 diabetes on a basal-bolus insulin regimen.\nMETHODS: An electronic search of Scopus, MEDLINE and The Cochrane Library conducted in January 2013 identified 27 relevant articles. Six were randomized controlled trials and 21 were observational studies. Large heterogeneity existed across studies with regard to study design and patient populations. Reporting of statistical measures was insufficient to serve as a basis for a meta-analysis.\nRESULTS: Overall, the studies demonstrated a positive trend in change in HbA(1c) after introduction of advanced carbohydrate counting. Reductions in HbA(1c) ranged from 0.0 to 13 mmol/mol (0.0-1.2%). Most psychosocial measures improved; however, only few improvements were considered clinically relevant. Both weight gain and reduction were registered, but most studies found no significant weight changes. The majority of studies assessing the incidence of hypoglycaemic events found a significant reduction in the event rate and none reported an increase in the incidence.\nCONCLUSIONS: In summary, the currently available literature does not provide sufficient evidence to definitively determine the effects of advanced carbohydrate counting on HbA(1c), psychosocial measures, weight or hypoglycaemic events. Nevertheless, the method still appears preferable to other insulin dosing procedures, which justifies continued use and inclusion of advanced carbohydrate counting in clinical guidelines.","container-title":"Diabetic Medicine: A Journal of the British Diabetic Association","DOI":"10.1111/dme.12446","ISSN":"1464-5491","issue":"8","journalAbbreviation":"Diabet Med","language":"eng","note":"PMID: 24654856","page":"886-896","source":"PubMed","title":"Effects of advanced carbohydrate counting in patients with type 1 diabetes: a systematic review","title-short":"Effects of advanced carbohydrate counting in patients with type 1 diabetes","volume":"31","author":[{"family":"Schmidt","given":"S."},{"family":"Schelde","given":"B."},{"family":"Nørgaard","given":"K."}],"issued":{"date-parts":[["2014",8]]}}}],"schema":"https://github.com/citation-style-language/schema/raw/master/csl-citation.json"} </w:instrText>
      </w:r>
      <w:r w:rsidRPr="0035461C">
        <w:rPr>
          <w:rFonts w:ascii="Calibri" w:hAnsi="Calibri" w:cs="Calibri"/>
        </w:rPr>
        <w:fldChar w:fldCharType="separate"/>
      </w:r>
      <w:r w:rsidR="00076F77" w:rsidRPr="00076F77">
        <w:rPr>
          <w:rFonts w:ascii="Calibri" w:hAnsi="Calibri" w:cs="Calibri"/>
        </w:rPr>
        <w:t>(131,132)</w:t>
      </w:r>
      <w:r w:rsidRPr="0035461C">
        <w:rPr>
          <w:rFonts w:ascii="Calibri" w:hAnsi="Calibri" w:cs="Calibri"/>
        </w:rPr>
        <w:fldChar w:fldCharType="end"/>
      </w:r>
      <w:r w:rsidRPr="0035461C">
        <w:rPr>
          <w:rFonts w:ascii="Calibri" w:hAnsi="Calibri" w:cs="Calibri"/>
        </w:rPr>
        <w:t xml:space="preserve">. </w:t>
      </w:r>
      <w:r w:rsidRPr="0035461C">
        <w:rPr>
          <w:rFonts w:ascii="Calibri" w:hAnsi="Calibri" w:cs="Calibri"/>
          <w:color w:val="000000"/>
          <w:shd w:val="clear" w:color="auto" w:fill="FFFFFF"/>
        </w:rPr>
        <w:t>While low-carbohydrate and very-low carbohydrate eating patterns have become increasingly popular and reduce HbA</w:t>
      </w:r>
      <w:r w:rsidRPr="0035461C">
        <w:rPr>
          <w:rFonts w:ascii="Calibri" w:hAnsi="Calibri" w:cs="Calibri"/>
          <w:color w:val="000000"/>
          <w:shd w:val="clear" w:color="auto" w:fill="FFFFFF"/>
          <w:vertAlign w:val="subscript"/>
        </w:rPr>
        <w:t>1C</w:t>
      </w:r>
      <w:r w:rsidRPr="0035461C">
        <w:rPr>
          <w:rFonts w:ascii="Calibri" w:hAnsi="Calibri" w:cs="Calibri"/>
          <w:color w:val="000000"/>
          <w:shd w:val="clear" w:color="auto" w:fill="FFFFFF"/>
        </w:rPr>
        <w:t xml:space="preserve"> levels in the short-term, it is important to incorporate these in conjunction with healthy eating guidelines.</w:t>
      </w:r>
      <w:r w:rsidR="00E615B3" w:rsidRPr="0035461C">
        <w:rPr>
          <w:rFonts w:ascii="Calibri" w:hAnsi="Calibri" w:cs="Calibri"/>
          <w:color w:val="000000"/>
          <w:shd w:val="clear" w:color="auto" w:fill="FFFFFF"/>
        </w:rPr>
        <w:t xml:space="preserve"> </w:t>
      </w:r>
      <w:r w:rsidRPr="0035461C">
        <w:rPr>
          <w:rFonts w:ascii="Calibri" w:hAnsi="Calibri" w:cs="Calibri"/>
          <w:color w:val="000000"/>
          <w:shd w:val="clear" w:color="auto" w:fill="FFFFFF"/>
        </w:rPr>
        <w:t>Additional components of the meal, including high fat and/or high protein, may contribute to delayed hypergly</w:t>
      </w:r>
      <w:r w:rsidR="00E615B3" w:rsidRPr="0035461C">
        <w:rPr>
          <w:rFonts w:ascii="Calibri" w:hAnsi="Calibri" w:cs="Calibri"/>
          <w:color w:val="000000"/>
          <w:shd w:val="clear" w:color="auto" w:fill="FFFFFF"/>
        </w:rPr>
        <w:t>caemia</w:t>
      </w:r>
      <w:r w:rsidRPr="0035461C">
        <w:rPr>
          <w:rFonts w:ascii="Calibri" w:hAnsi="Calibri" w:cs="Calibri"/>
          <w:color w:val="000000"/>
          <w:shd w:val="clear" w:color="auto" w:fill="FFFFFF"/>
        </w:rPr>
        <w:t xml:space="preserve"> and the need for insulin dose adjustments.</w:t>
      </w:r>
      <w:r w:rsidR="00E615B3" w:rsidRPr="0035461C">
        <w:rPr>
          <w:rFonts w:ascii="Calibri" w:hAnsi="Calibri" w:cs="Calibri"/>
          <w:color w:val="000000"/>
          <w:shd w:val="clear" w:color="auto" w:fill="FFFFFF"/>
        </w:rPr>
        <w:t xml:space="preserve"> </w:t>
      </w:r>
      <w:r w:rsidRPr="0035461C">
        <w:rPr>
          <w:rFonts w:ascii="Calibri" w:hAnsi="Calibri" w:cs="Calibri"/>
          <w:color w:val="000000"/>
          <w:shd w:val="clear" w:color="auto" w:fill="FFFFFF"/>
        </w:rPr>
        <w:t>Since this is highly variable between individuals, postprandial glucose measurements for up to three or more hours may be needed to determine initial dose adjustments</w:t>
      </w:r>
      <w:r w:rsidR="008603CA" w:rsidRPr="0035461C">
        <w:rPr>
          <w:rFonts w:ascii="Calibri" w:hAnsi="Calibri" w:cs="Calibri"/>
          <w:color w:val="000000"/>
          <w:shd w:val="clear" w:color="auto" w:fill="FFFFFF"/>
        </w:rPr>
        <w:t xml:space="preserve"> </w:t>
      </w:r>
      <w:r w:rsidR="008603CA" w:rsidRPr="0035461C">
        <w:rPr>
          <w:rFonts w:ascii="Calibri" w:hAnsi="Calibri" w:cs="Calibri"/>
          <w:color w:val="000000"/>
          <w:shd w:val="clear" w:color="auto" w:fill="FFFFFF"/>
        </w:rPr>
        <w:fldChar w:fldCharType="begin"/>
      </w:r>
      <w:r w:rsidR="00076F77">
        <w:rPr>
          <w:rFonts w:ascii="Calibri" w:hAnsi="Calibri" w:cs="Calibri"/>
          <w:color w:val="000000"/>
          <w:shd w:val="clear" w:color="auto" w:fill="FFFFFF"/>
        </w:rPr>
        <w:instrText xml:space="preserve"> ADDIN ZOTERO_ITEM CSL_CITATION {"citationID":"BXPrGUGn","properties":{"formattedCitation":"(133)","plainCitation":"(133)","noteIndex":0},"citationItems":[{"id":165,"uris":["http://zotero.org/groups/369679/items/EW9DLRSR"],"uri":["http://zotero.org/groups/369679/items/EW9DLRSR"],"itemData":{"id":165,"type":"article-journal","container-title":"Diabetes Care","DOI":"10.2337/dci19-0014","ISSN":"1935-5548","issue":"5","journalAbbreviation":"Diabetes Care","language":"eng","note":"PMID: 31000505","page":"731-754","source":"PubMed","title":"Nutrition Therapy for Adults With Diabetes or Prediabetes: A Consensus Report","title-short":"Nutrition Therapy for Adults With Diabetes or Prediabetes","volume":"42","author":[{"family":"Evert","given":"Alison B."},{"family":"Dennison","given":"Michelle"},{"family":"Gardner","given":"Christopher D."},{"family":"Garvey","given":"W. Timothy"},{"family":"Lau","given":"Ka Hei Karen"},{"family":"MacLeod","given":"Janice"},{"family":"Mitri","given":"Joanna"},{"family":"Pereira","given":"Raquel F."},{"family":"Rawlings","given":"Kelly"},{"family":"Robinson","given":"Shamera"},{"family":"Saslow","given":"Laura"},{"family":"Uelmen","given":"Sacha"},{"family":"Urbanski","given":"Patricia B."},{"family":"Yancy","given":"William S."}],"issued":{"date-parts":[["2019",5]]}}}],"schema":"https://github.com/citation-style-language/schema/raw/master/csl-citation.json"} </w:instrText>
      </w:r>
      <w:r w:rsidR="008603CA" w:rsidRPr="0035461C">
        <w:rPr>
          <w:rFonts w:ascii="Calibri" w:hAnsi="Calibri" w:cs="Calibri"/>
          <w:color w:val="000000"/>
          <w:shd w:val="clear" w:color="auto" w:fill="FFFFFF"/>
        </w:rPr>
        <w:fldChar w:fldCharType="separate"/>
      </w:r>
      <w:r w:rsidR="00076F77" w:rsidRPr="00076F77">
        <w:rPr>
          <w:rFonts w:ascii="Calibri" w:hAnsi="Calibri" w:cs="Calibri"/>
        </w:rPr>
        <w:t>(133)</w:t>
      </w:r>
      <w:r w:rsidR="008603CA" w:rsidRPr="0035461C">
        <w:rPr>
          <w:rFonts w:ascii="Calibri" w:hAnsi="Calibri" w:cs="Calibri"/>
          <w:color w:val="000000"/>
          <w:shd w:val="clear" w:color="auto" w:fill="FFFFFF"/>
        </w:rPr>
        <w:fldChar w:fldCharType="end"/>
      </w:r>
      <w:r w:rsidR="00920C2B" w:rsidRPr="0035461C">
        <w:rPr>
          <w:rFonts w:ascii="Calibri" w:hAnsi="Calibri" w:cs="Calibri"/>
          <w:color w:val="000000"/>
          <w:shd w:val="clear" w:color="auto" w:fill="FFFFFF"/>
        </w:rPr>
        <w:t>.</w:t>
      </w:r>
    </w:p>
    <w:p w14:paraId="2D6EB442" w14:textId="022A1078" w:rsidR="00264FF0" w:rsidRPr="0035461C" w:rsidRDefault="00264FF0" w:rsidP="00264FF0">
      <w:pPr>
        <w:spacing w:before="120"/>
        <w:jc w:val="both"/>
        <w:rPr>
          <w:rFonts w:ascii="Calibri" w:hAnsi="Calibri" w:cs="Calibri"/>
        </w:rPr>
      </w:pPr>
      <w:r w:rsidRPr="0035461C">
        <w:rPr>
          <w:rFonts w:ascii="Calibri" w:hAnsi="Calibri" w:cs="Calibri"/>
        </w:rPr>
        <w:t>The average BMI of individuals with type 1 diabetes is rising at a faster rate than the general population, partly as a result of insulin intensification and societal factors that also affect the general population such as physical inactivity. Weight loss and maintenance interventions involving nutritional advice and physical activity should be offered to individuals with type 1 diabetes and overweight or obesity</w:t>
      </w:r>
      <w:r w:rsidR="00AF6982">
        <w:rPr>
          <w:rFonts w:ascii="Calibri" w:hAnsi="Calibri" w:cs="Calibri"/>
        </w:rPr>
        <w:t xml:space="preserve"> in conjunction with other DSMES topics</w:t>
      </w:r>
      <w:r w:rsidRPr="0035461C">
        <w:rPr>
          <w:rFonts w:ascii="Calibri" w:hAnsi="Calibri" w:cs="Calibri"/>
        </w:rPr>
        <w:t xml:space="preserve">. New interactive technologies using mobile phones to provide information, insulin bolus calculations based on insulin-to-carbohydrate ratios, and telemedicine communications with care providers </w:t>
      </w:r>
      <w:r w:rsidR="00AF6982">
        <w:rPr>
          <w:rFonts w:ascii="Calibri" w:hAnsi="Calibri" w:cs="Calibri"/>
        </w:rPr>
        <w:t>may be used to aid in reducing</w:t>
      </w:r>
      <w:r w:rsidR="00AF6982" w:rsidRPr="0035461C">
        <w:rPr>
          <w:rFonts w:ascii="Calibri" w:hAnsi="Calibri" w:cs="Calibri"/>
        </w:rPr>
        <w:t xml:space="preserve"> </w:t>
      </w:r>
      <w:r w:rsidRPr="0035461C">
        <w:rPr>
          <w:rFonts w:ascii="Calibri" w:hAnsi="Calibri" w:cs="Calibri"/>
        </w:rPr>
        <w:t xml:space="preserve">both weight gain and the time required for education </w:t>
      </w:r>
      <w:r w:rsidRPr="0035461C">
        <w:rPr>
          <w:rFonts w:ascii="Calibri" w:hAnsi="Calibri" w:cs="Calibri"/>
        </w:rPr>
        <w:fldChar w:fldCharType="begin"/>
      </w:r>
      <w:r w:rsidR="00076F77">
        <w:rPr>
          <w:rFonts w:ascii="Calibri" w:hAnsi="Calibri" w:cs="Calibri"/>
        </w:rPr>
        <w:instrText xml:space="preserve"> ADDIN ZOTERO_ITEM CSL_CITATION {"citationID":"iAkUB1TI","properties":{"formattedCitation":"(65)","plainCitation":"(65)","noteIndex":0},"citationItems":[{"id":4336,"uris":["http://zotero.org/groups/369679/items/BGHJ7BPI"],"uri":["http://zotero.org/groups/369679/items/BGHJ7BPI"],"itemData":{"id":4336,"type":"article-journal","abstract":"Digital health technology, especially digital and health applications (\"apps\"), have been developing rapidly to help people manage their diabetes. Numerous health-related apps provided on smartphones and other wireless devices are available to support people with diabetes who need to adopt either lifestyle interventions or medication adjustments in response to glucose-monitoring data. However, regulations and guidelines have not caught up with the burgeoning field to standardize how mobile health apps are reviewed and monitored for patient safety and clinical validity. The available evidence on the safety and effectiveness of mobile health apps, especially for diabetes, remains limited. The European Association for the Study of Diabetes (EASD) and the American Diabetes Association (ADA) have therefore conducted a joint review of the current landscape of available diabetes digital health technology (only stand-alone diabetes apps, as opposed to those that are integral to a regulated medical device, such as insulin pumps, continuous glucose monitoring systems, and automated insulin delivery systems) and practices of regulatory authorities and organizations. We found that, across the U.S. and Europe, mobile apps intended to manage health and wellness are largely unregulated unless they meet the definition of medical devices for therapeutic and/or diagnostic purposes. International organizations, including the International Medical Device Regulators Forum and the World Health Organization, have made strides in classifying different types of digital health technology and integrating digital health technology into the field of medical devices. As the diabetes digital health field continues to develop and become more fully integrated into everyday life, we wish to ensure that it is based on the best evidence for safety and efficacy. As a result, we bring to light several issues that the diabetes community, including regulatory authorities, policy makers, professional organizations, researchers, people with diabetes, and health care professionals, needs to address to ensure that diabetes health technology can meet its full potential. These issues range from inadequate evidence on app accuracy and clinical validity to lack of training provision, poor interoperability and standardization, and insufficient data security. We conclude with a series of recommended actions to resolve some of these shortcomings.","container-title":"Diabetes Care","DOI":"10.2337/dci19-0062","ISSN":"1935-5548","issue":"1","journalAbbreviation":"Diabetes Care","language":"eng","note":"PMID: 31806649","page":"250-260","source":"PubMed","title":"Diabetes Digital App Technology: Benefits, Challenges, and Recommendations. A Consensus Report by the European Association for the Study of Diabetes (EASD) and the American Diabetes Association (ADA) Diabetes Technology Working Group","title-short":"Diabetes Digital App Technology","volume":"43","author":[{"family":"Fleming","given":"G. Alexander"},{"family":"Petrie","given":"John R."},{"family":"Bergenstal","given":"Richard M."},{"family":"Holl","given":"Reinhard W."},{"family":"Peters","given":"Anne L."},{"family":"Heinemann","given":"Lutz"}],"issued":{"date-parts":[["2020"]]}}}],"schema":"https://github.com/citation-style-language/schema/raw/master/csl-citation.json"} </w:instrText>
      </w:r>
      <w:r w:rsidRPr="0035461C">
        <w:rPr>
          <w:rFonts w:ascii="Calibri" w:hAnsi="Calibri" w:cs="Calibri"/>
        </w:rPr>
        <w:fldChar w:fldCharType="separate"/>
      </w:r>
      <w:r w:rsidR="00076F77" w:rsidRPr="00076F77">
        <w:rPr>
          <w:rFonts w:ascii="Calibri" w:hAnsi="Calibri" w:cs="Calibri"/>
        </w:rPr>
        <w:t>(65)</w:t>
      </w:r>
      <w:r w:rsidRPr="0035461C">
        <w:rPr>
          <w:rFonts w:ascii="Calibri" w:hAnsi="Calibri" w:cs="Calibri"/>
        </w:rPr>
        <w:fldChar w:fldCharType="end"/>
      </w:r>
      <w:r w:rsidRPr="0035461C">
        <w:rPr>
          <w:rFonts w:ascii="Calibri" w:hAnsi="Calibri" w:cs="Calibri"/>
        </w:rPr>
        <w:t xml:space="preserve">. In the case of extreme low weight, unhealthy </w:t>
      </w:r>
      <w:r w:rsidR="00AC0F2A" w:rsidRPr="0035461C">
        <w:rPr>
          <w:rFonts w:ascii="Calibri" w:hAnsi="Calibri" w:cs="Calibri"/>
        </w:rPr>
        <w:t xml:space="preserve">eating </w:t>
      </w:r>
      <w:r w:rsidRPr="0035461C">
        <w:rPr>
          <w:rFonts w:ascii="Calibri" w:hAnsi="Calibri" w:cs="Calibri"/>
        </w:rPr>
        <w:t>habits should be reviewed, including the possibility of insulin omission.</w:t>
      </w:r>
    </w:p>
    <w:p w14:paraId="003CB168" w14:textId="77777777" w:rsidR="00EE2A0A" w:rsidRDefault="00EE2A0A" w:rsidP="00264FF0">
      <w:pPr>
        <w:spacing w:before="120"/>
        <w:rPr>
          <w:rFonts w:ascii="Calibri" w:hAnsi="Calibri" w:cs="Calibri"/>
          <w:i/>
          <w:u w:val="single"/>
        </w:rPr>
      </w:pPr>
    </w:p>
    <w:p w14:paraId="0B061621" w14:textId="421D7C77" w:rsidR="00264FF0" w:rsidRPr="0035461C" w:rsidRDefault="00264FF0" w:rsidP="00264FF0">
      <w:pPr>
        <w:spacing w:before="120"/>
        <w:rPr>
          <w:rFonts w:ascii="Calibri" w:hAnsi="Calibri" w:cs="Calibri"/>
          <w:i/>
          <w:u w:val="single"/>
        </w:rPr>
      </w:pPr>
      <w:r w:rsidRPr="0035461C">
        <w:rPr>
          <w:rFonts w:ascii="Calibri" w:hAnsi="Calibri" w:cs="Calibri"/>
          <w:i/>
          <w:u w:val="single"/>
        </w:rPr>
        <w:t>Alcohol and recreational drug use</w:t>
      </w:r>
    </w:p>
    <w:p w14:paraId="038BB4C7" w14:textId="6D480CC4" w:rsidR="00264FF0" w:rsidRPr="0035461C" w:rsidRDefault="00D3598D" w:rsidP="00264FF0">
      <w:pPr>
        <w:widowControl w:val="0"/>
        <w:autoSpaceDE w:val="0"/>
        <w:autoSpaceDN w:val="0"/>
        <w:adjustRightInd w:val="0"/>
        <w:spacing w:before="120"/>
        <w:jc w:val="both"/>
        <w:rPr>
          <w:rFonts w:ascii="Calibri" w:hAnsi="Calibri" w:cs="Calibri"/>
        </w:rPr>
      </w:pPr>
      <w:r w:rsidRPr="0035461C">
        <w:rPr>
          <w:rFonts w:ascii="Calibri" w:hAnsi="Calibri" w:cs="Calibri"/>
        </w:rPr>
        <w:t xml:space="preserve">Similar to the general population, many individuals </w:t>
      </w:r>
      <w:r w:rsidR="00866921" w:rsidRPr="0035461C">
        <w:rPr>
          <w:rFonts w:ascii="Calibri" w:hAnsi="Calibri" w:cs="Calibri"/>
        </w:rPr>
        <w:t xml:space="preserve">with type 1 diabetes </w:t>
      </w:r>
      <w:r w:rsidRPr="0035461C">
        <w:rPr>
          <w:rFonts w:ascii="Calibri" w:hAnsi="Calibri" w:cs="Calibri"/>
        </w:rPr>
        <w:t>consume a</w:t>
      </w:r>
      <w:r w:rsidR="00264FF0" w:rsidRPr="0035461C">
        <w:rPr>
          <w:rFonts w:ascii="Calibri" w:hAnsi="Calibri" w:cs="Calibri"/>
        </w:rPr>
        <w:t>lcohol</w:t>
      </w:r>
      <w:r w:rsidRPr="0035461C">
        <w:rPr>
          <w:rFonts w:ascii="Calibri" w:hAnsi="Calibri" w:cs="Calibri"/>
        </w:rPr>
        <w:t>,</w:t>
      </w:r>
      <w:r w:rsidR="00264FF0" w:rsidRPr="0035461C">
        <w:rPr>
          <w:rFonts w:ascii="Calibri" w:hAnsi="Calibri" w:cs="Calibri"/>
        </w:rPr>
        <w:t xml:space="preserve"> although its effects on glycaemic management are not always adequately considered by those with diabetes and their healthcare professionals. Increased alcohol consumption is associated with a higher risk of DKA and </w:t>
      </w:r>
      <w:r w:rsidR="00A765E6">
        <w:rPr>
          <w:rFonts w:ascii="Calibri" w:hAnsi="Calibri" w:cs="Calibri"/>
        </w:rPr>
        <w:t>level 3 hypo</w:t>
      </w:r>
      <w:r w:rsidR="00264FF0" w:rsidRPr="0035461C">
        <w:rPr>
          <w:rFonts w:ascii="Calibri" w:hAnsi="Calibri" w:cs="Calibri"/>
        </w:rPr>
        <w:t xml:space="preserve">glycaemia </w:t>
      </w:r>
      <w:r w:rsidR="00264FF0" w:rsidRPr="0035461C">
        <w:rPr>
          <w:rFonts w:ascii="Calibri" w:hAnsi="Calibri" w:cs="Calibri"/>
        </w:rPr>
        <w:fldChar w:fldCharType="begin"/>
      </w:r>
      <w:r w:rsidR="00076F77">
        <w:rPr>
          <w:rFonts w:ascii="Calibri" w:hAnsi="Calibri" w:cs="Calibri"/>
        </w:rPr>
        <w:instrText xml:space="preserve"> ADDIN ZOTERO_ITEM CSL_CITATION {"citationID":"yyhxmxng","properties":{"formattedCitation":"(134)","plainCitation":"(134)","noteIndex":0},"citationItems":[{"id":11426,"uris":["http://zotero.org/groups/369679/items/DYM944S7"],"uri":["http://zotero.org/groups/369679/items/DYM944S7"],"itemData":{"id":11426,"type":"article-journal","abstract":"Background The risk of hypoglycemia increases after alcohol consumption in patients with type 1 diabetes. This study aimed to investigate the association between metabolic control and self-reported alcohol consumption in young patients with type 1 diabetes. Materials and Methods N = 29 630 patients with type 1 diabetes aged 12 to &lt;30 years (median age 17.0 [14.9, 18.3] years, duration of diabetes 6.8 [3.3, 10.9] years, 53% male) from the German/Austrian DPV registry were analyzed. Patients were categorized into abstainers, low-risk drinkers, and at-risk drinkers. BMI, HbA1c, and rates of severe hypoglycemia (SH) and diabetic ketoacidosis (DKA) were compared between alcohol consumption groups using multivariable hierarchical regression models. The association between alcohol use and smoking status was assessed using χ 2 test. Results Overall, 10.8% of the patients reported regular alcohol consumption. Proportion of alcohol use as well as the amount of alcohol consumed increased with age and were higher in males than in females (all P &lt; .05). Patients with Turkish migration background reported less alcohol consumption. HbA1c, SH rate, and DKA rate (adjusted for age, gender, duration of diabetes, therapy) were significantly lower in abstainers than in patients drinking alcohol (all P &lt; .05). Smoking status was significantly associated with alcohol consumption (P &lt; .001). Conclusion Self-reported alcohol consumption is likely to be underreported when collected in face-to-face settings such as doctors’ visits. Nevertheless, our data revealed a significant association between higher alcohol consumption and worse glycemic control, in particular higher DKA rates. Information about alcohol-induced complications is of great importance in diabetes education in young people with type 1 diabetes.","container-title":"Pediatric Diabetes","DOI":"https://doi.org/10.1111/pedi.12496","ISSN":"1399-5448","issue":"8","language":"en","note":"_eprint: https://onlinelibrary.wiley.com/doi/pdf/10.1111/pedi.12496","page":"817-823","source":"Wiley Online Library","title":"Self-reported regular alcohol consumption in adolescents and emerging adults with type 1 diabetes: A neglected risk factor for diabetic ketoacidosis? Multicenter analysis of 29 630 patients from the DPV registry","title-short":"Self-reported regular alcohol consumption in adolescents and emerging adults with type 1 diabetes","volume":"18","author":[{"family":"Hermann","given":"Julia M."},{"family":"Meusers","given":"Michael"},{"family":"Bachran","given":"Rainer"},{"family":"Kuhnle‐Krahl","given":"Ursula"},{"family":"Jorch","given":"Norbert"},{"family":"Hofer","given":"Sabine E."},{"family":"Holl","given":"Reinhard W."}],"issued":{"date-parts":[["2017"]]}}}],"schema":"https://github.com/citation-style-language/schema/raw/master/csl-citation.json"} </w:instrText>
      </w:r>
      <w:r w:rsidR="00264FF0" w:rsidRPr="0035461C">
        <w:rPr>
          <w:rFonts w:ascii="Calibri" w:hAnsi="Calibri" w:cs="Calibri"/>
        </w:rPr>
        <w:fldChar w:fldCharType="separate"/>
      </w:r>
      <w:r w:rsidR="00076F77" w:rsidRPr="00076F77">
        <w:rPr>
          <w:rFonts w:ascii="Calibri" w:hAnsi="Calibri" w:cs="Calibri"/>
        </w:rPr>
        <w:t>(134)</w:t>
      </w:r>
      <w:r w:rsidR="00264FF0" w:rsidRPr="0035461C">
        <w:rPr>
          <w:rFonts w:ascii="Calibri" w:hAnsi="Calibri" w:cs="Calibri"/>
        </w:rPr>
        <w:fldChar w:fldCharType="end"/>
      </w:r>
      <w:r w:rsidR="00264FF0" w:rsidRPr="0035461C">
        <w:rPr>
          <w:rFonts w:ascii="Calibri" w:hAnsi="Calibri" w:cs="Calibri"/>
        </w:rPr>
        <w:t xml:space="preserve">. Some of this increase may occur through the association with other risk-taking behaviour. However, excessive alcohol consumption impairs cognitive function and symptom awareness, leading to a diminished ability to self-manage the diabetes. Alcohol promotes ketosis, which in the context of consumption of sugary alcoholic beverages may increase the risk of DKA </w:t>
      </w:r>
      <w:r w:rsidR="00264FF0" w:rsidRPr="0035461C">
        <w:rPr>
          <w:rFonts w:ascii="Calibri" w:hAnsi="Calibri" w:cs="Calibri"/>
        </w:rPr>
        <w:fldChar w:fldCharType="begin"/>
      </w:r>
      <w:r w:rsidR="00076F77">
        <w:rPr>
          <w:rFonts w:ascii="Calibri" w:hAnsi="Calibri" w:cs="Calibri"/>
        </w:rPr>
        <w:instrText xml:space="preserve"> ADDIN ZOTERO_ITEM CSL_CITATION {"citationID":"D7mS3giP","properties":{"formattedCitation":"(135)","plainCitation":"(135)","noteIndex":0},"citationItems":[{"id":11428,"uris":["http://zotero.org/groups/369679/items/9J8UFRJF"],"uri":["http://zotero.org/groups/369679/items/9J8UFRJF"],"itemData":{"id":11428,"type":"article-journal","abstract":"Background: Little is known about the consequences of excessive alcohol ingestion in patients with type 1 diabetes.Aim: To examine the metabolic effects of acute ingestion of liberal amounts of alcohol in patients with type 1 diabetes.Design: A pilot study using a randomized, placebo controlled, double blind design in Hospital Clinical Research Unit.Methods: The study included 10 patients with type 1 diabetes (seven male, age 43.9 ± 9.0 years, duration of diabetes 17.3 ± 13.8 years, HbA1c 8.0 ± 1.5%) who had a standard 600-calorie lunch on two separate occasions, together with either white wine (men eight units, women six units), or an equivalent volume of alcohol-free wine. Bloods were collected before lunch and hourly for 4 h for glucose, intermediary metabolites, counter-regulatory hormones and inflammatory markers.Results: There were no significant differences between alcohol and alcohol-free days in levels of glucose, triglycerides, free fatty acids, glycerol, cortisol and growth hormone. In contrast, lactate levels rose in response to the meal but with alcohol the overall response was augmented (P = 0.014). β-Hydroxybutyrate levels were suppressed post prandially on the alcohol-free day but were significantly elevated with alcohol (P &amp;lt; 0.001).Conclusions: A rise in ketones following alcohol ingestion occurred despite subjects being in a strictly controlled environment with no interruption in insulin administration. Such individuals might be at risk of significant ketosis in less-controlled circumstances where insulin administration might be more erratic. Patient education material should contain information to highlight these potential problems.","container-title":"QJM: An International Journal of Medicine","DOI":"10.1093/qjmed/hcn163","ISSN":"1460-2725","issue":"3","journalAbbreviation":"QJM: An International Journal of Medicine","page":"169-174","source":"Silverchair","title":"The influence of liberal alcohol consumption on glucose metabolism in patients with type 1 diabetes: a pilot study","title-short":"The influence of liberal alcohol consumption on glucose metabolism in patients with type 1 diabetes","volume":"102","author":[{"family":"Kerr","given":"D."},{"family":"Penfold","given":"S."},{"family":"Zouwail","given":"S."},{"family":"Thomas","given":"P."},{"family":"Begley","given":"J."}],"issued":{"date-parts":[["2009",3,1]]}}}],"schema":"https://github.com/citation-style-language/schema/raw/master/csl-citation.json"} </w:instrText>
      </w:r>
      <w:r w:rsidR="00264FF0" w:rsidRPr="0035461C">
        <w:rPr>
          <w:rFonts w:ascii="Calibri" w:hAnsi="Calibri" w:cs="Calibri"/>
        </w:rPr>
        <w:fldChar w:fldCharType="separate"/>
      </w:r>
      <w:r w:rsidR="00076F77" w:rsidRPr="00076F77">
        <w:rPr>
          <w:rFonts w:ascii="Calibri" w:hAnsi="Calibri" w:cs="Calibri"/>
        </w:rPr>
        <w:t>(135)</w:t>
      </w:r>
      <w:r w:rsidR="00264FF0" w:rsidRPr="0035461C">
        <w:rPr>
          <w:rFonts w:ascii="Calibri" w:hAnsi="Calibri" w:cs="Calibri"/>
        </w:rPr>
        <w:fldChar w:fldCharType="end"/>
      </w:r>
      <w:r w:rsidR="00264FF0" w:rsidRPr="0035461C">
        <w:rPr>
          <w:rFonts w:ascii="Calibri" w:hAnsi="Calibri" w:cs="Calibri"/>
        </w:rPr>
        <w:t xml:space="preserve">. Alcohol also inhibits hepatic gluconeogenesis leading to an increased risk of hypoglycaemia for up to 24 hours after the last drink </w:t>
      </w:r>
      <w:r w:rsidR="00264FF0" w:rsidRPr="0035461C">
        <w:rPr>
          <w:rFonts w:ascii="Calibri" w:hAnsi="Calibri" w:cs="Calibri"/>
        </w:rPr>
        <w:fldChar w:fldCharType="begin"/>
      </w:r>
      <w:r w:rsidR="00076F77">
        <w:rPr>
          <w:rFonts w:ascii="Calibri" w:hAnsi="Calibri" w:cs="Calibri"/>
        </w:rPr>
        <w:instrText xml:space="preserve"> ADDIN ZOTERO_ITEM CSL_CITATION {"citationID":"O1Ib6j57","properties":{"formattedCitation":"(136)","plainCitation":"(136)","noteIndex":0},"citationItems":[{"id":11231,"uris":["http://zotero.org/groups/369679/items/PCHQC4SC"],"uri":["http://zotero.org/groups/369679/items/PCHQC4SC"],"itemData":{"id":11231,"type":"article-journal","abstract":"OBJECTIVE: Alcohol is associated with acute hypoglycemia in patients with type 1 diabetes. After drinking alcohol in the evening, delayed hypoglycemia has also been described, although its cause is unknown. We performed a controlled study to investigate this phenomenon.\nRESEARCH DESIGN AND METHODS: We admitted six men with type 1 diabetes (aged 19-51 years, HbA(1c) 7.0-10.3%) on two occasions, from 5:00 P.M. to 12:00 noon the following day. They received regular insulin injections before standardized meals, at 6:00 P.M. and 8:00 A.M., and a basal insulin infusion (0.15 mU x kg(-1) x min(-1)) from 11:00 P.M. They drank either dry white wine (0.75 g/kg alcohol) or mineral water at 9:00 P.M. over 90 min. Blood glucose, alcohol, insulin, cortisol, growth hormone, and glucagon levels were measured.\nRESULTS: Blood ethanol reached a mean (SEM) peak of 19.1 (1.2) mmol/l and was undetectable by 8:00 A.M. There were no significant differences in evening or overnight blood glucose levels between the studies. In the morning, fasting and postprandial blood glucose levels were significantly lower after consumption of wine (postprandial peak 8.9 [1.7] vs. 15 [1.5] mmol/l, P &lt; 0.01), and from 10:00 A.M., five subjects required treatment for hypoglycemia (nadir 1.9-2.9 mmol/l). None of the subjects had hypoglycemia after consumption of water. After consumption of wine, growth hormone secretion was significantly reduced between midnight and 4:00 A.M. (area under the curve 2.1 [1.1] vs. 6.5 [2.1] microg. l(-1) x h(-1), P = 0.04). There were no differences in insulin or other hormone levels.\nCONCLUSIONS: In type 1 diabetes, moderate consumption of alcohol in the evening may predispose patients to hypoglycemia after breakfast the next morning. This is associated with reduced nocturnal growth hormone secretion. Patients should be informed of this risk and advised regarding appropriate preventative measures.","container-title":"Diabetes Care","DOI":"10.2337/diacare.24.11.1888","ISSN":"0149-5992","issue":"11","journalAbbreviation":"Diabetes Care","language":"eng","note":"PMID: 11679452","page":"1888-1893","source":"PubMed","title":"The effect of evening alcohol consumption on next-morning glucose control in type 1 diabetes","volume":"24","author":[{"family":"Turner","given":"B. C."},{"family":"Jenkins","given":"E."},{"family":"Kerr","given":"D."},{"family":"Sherwin","given":"R. S."},{"family":"Cavan","given":"D. A."}],"issued":{"date-parts":[["2001",11]]}}}],"schema":"https://github.com/citation-style-language/schema/raw/master/csl-citation.json"} </w:instrText>
      </w:r>
      <w:r w:rsidR="00264FF0" w:rsidRPr="0035461C">
        <w:rPr>
          <w:rFonts w:ascii="Calibri" w:hAnsi="Calibri" w:cs="Calibri"/>
        </w:rPr>
        <w:fldChar w:fldCharType="separate"/>
      </w:r>
      <w:r w:rsidR="00076F77" w:rsidRPr="00076F77">
        <w:rPr>
          <w:rFonts w:ascii="Calibri" w:hAnsi="Calibri" w:cs="Calibri"/>
        </w:rPr>
        <w:t>(136)</w:t>
      </w:r>
      <w:r w:rsidR="00264FF0" w:rsidRPr="0035461C">
        <w:rPr>
          <w:rFonts w:ascii="Calibri" w:hAnsi="Calibri" w:cs="Calibri"/>
        </w:rPr>
        <w:fldChar w:fldCharType="end"/>
      </w:r>
      <w:r w:rsidR="00264FF0" w:rsidRPr="0035461C">
        <w:rPr>
          <w:rFonts w:ascii="Calibri" w:hAnsi="Calibri" w:cs="Calibri"/>
        </w:rPr>
        <w:t xml:space="preserve">. Hypoglycaemia is particularly hazardous because of the potential to confuse the symptoms of hypoglycaemia with alcohol intoxication. </w:t>
      </w:r>
    </w:p>
    <w:p w14:paraId="21A2E008" w14:textId="5F02F382" w:rsidR="00264FF0" w:rsidRPr="0035461C" w:rsidRDefault="00264FF0" w:rsidP="00264FF0">
      <w:pPr>
        <w:widowControl w:val="0"/>
        <w:autoSpaceDE w:val="0"/>
        <w:autoSpaceDN w:val="0"/>
        <w:adjustRightInd w:val="0"/>
        <w:spacing w:before="120"/>
        <w:jc w:val="both"/>
        <w:rPr>
          <w:rFonts w:ascii="Calibri" w:hAnsi="Calibri" w:cs="Calibri"/>
        </w:rPr>
      </w:pPr>
      <w:r w:rsidRPr="0035461C">
        <w:rPr>
          <w:rFonts w:ascii="Calibri" w:hAnsi="Calibri" w:cs="Calibri"/>
        </w:rPr>
        <w:t xml:space="preserve">Cannabis has been </w:t>
      </w:r>
      <w:proofErr w:type="spellStart"/>
      <w:r w:rsidRPr="0035461C">
        <w:rPr>
          <w:rFonts w:ascii="Calibri" w:hAnsi="Calibri" w:cs="Calibri"/>
        </w:rPr>
        <w:t>legalised</w:t>
      </w:r>
      <w:proofErr w:type="spellEnd"/>
      <w:r w:rsidRPr="0035461C">
        <w:rPr>
          <w:rFonts w:ascii="Calibri" w:hAnsi="Calibri" w:cs="Calibri"/>
        </w:rPr>
        <w:t xml:space="preserve"> in multiple jurisdictions. An association between recent recreational cannabis consumption and a more than </w:t>
      </w:r>
      <w:r w:rsidR="00EF4B4D">
        <w:rPr>
          <w:rFonts w:ascii="Calibri" w:hAnsi="Calibri" w:cs="Calibri"/>
        </w:rPr>
        <w:t>two-fold increased</w:t>
      </w:r>
      <w:r w:rsidRPr="0035461C">
        <w:rPr>
          <w:rFonts w:ascii="Calibri" w:hAnsi="Calibri" w:cs="Calibri"/>
        </w:rPr>
        <w:t xml:space="preserve"> risk of </w:t>
      </w:r>
      <w:r w:rsidR="00EE2A0A">
        <w:rPr>
          <w:rFonts w:ascii="Calibri" w:hAnsi="Calibri" w:cs="Calibri"/>
        </w:rPr>
        <w:t>DKA</w:t>
      </w:r>
      <w:r w:rsidRPr="0035461C">
        <w:rPr>
          <w:rFonts w:ascii="Calibri" w:hAnsi="Calibri" w:cs="Calibri"/>
        </w:rPr>
        <w:t xml:space="preserve"> has been reported from countries where cannabis has been </w:t>
      </w:r>
      <w:proofErr w:type="spellStart"/>
      <w:r w:rsidRPr="0035461C">
        <w:rPr>
          <w:rFonts w:ascii="Calibri" w:hAnsi="Calibri" w:cs="Calibri"/>
        </w:rPr>
        <w:t>legalised</w:t>
      </w:r>
      <w:proofErr w:type="spellEnd"/>
      <w:r w:rsidRPr="0035461C">
        <w:rPr>
          <w:rFonts w:ascii="Calibri" w:hAnsi="Calibri" w:cs="Calibri"/>
        </w:rPr>
        <w:t xml:space="preserve">, possibly related to the emergence of higher potency formulations of cannabis and other synthetic cannabinoids </w:t>
      </w:r>
      <w:r w:rsidRPr="0035461C">
        <w:rPr>
          <w:rFonts w:ascii="Calibri" w:hAnsi="Calibri" w:cs="Calibri"/>
        </w:rPr>
        <w:fldChar w:fldCharType="begin"/>
      </w:r>
      <w:r w:rsidR="00076F77">
        <w:rPr>
          <w:rFonts w:ascii="Calibri" w:hAnsi="Calibri" w:cs="Calibri"/>
        </w:rPr>
        <w:instrText xml:space="preserve"> ADDIN ZOTERO_ITEM CSL_CITATION {"citationID":"Qy6qtzsQ","properties":{"formattedCitation":"(137)","plainCitation":"(137)","noteIndex":0},"citationItems":[{"id":11234,"uris":["http://zotero.org/groups/369679/items/EIAWWUUF"],"uri":["http://zotero.org/groups/369679/items/EIAWWUUF"],"itemData":{"id":11234,"type":"article-journal","abstract":"As the prevalence of type 1 and type 2 diabetes increases and population-level patterns of alcohol and illicit drug use evolve, clinicians will continue to encounter people with diabetes whose substance use is affecting health outcomes. Substance use contributes substantially to the population-level prevalence of cardiovascular events, cerebrovascular events, cancers, mental health conditions, road trauma, and domestic violence. Alcohol and drug use also have a measurable effect on diabetes incidence and the development of both acute and chronic diabetes-related complications. In this Review, we examine the effect of alcohol and illicit drug use on people with type 1 or type 2 diabetes. We describe evidence for substance use as a risk factor for new-onset diabetes, prevalence of use in people with diabetes, evidence linking substance use with diabetes-related health outcomes, and evidence on the management of these co-occurring conditions.","container-title":"The Lancet. Diabetes &amp; Endocrinology","DOI":"10.1016/S2213-8587(19)30410-3","ISSN":"2213-8595","issue":"3","journalAbbreviation":"Lancet Diabetes Endocrinol","language":"eng","note":"PMID: 31958403","page":"239-248","source":"PubMed","title":"Alcohol and illicit drug use in people with diabetes","volume":"8","author":[{"family":"Pastor","given":"Adam"},{"family":"Conn","given":"Jennifer"},{"family":"MacIsaac","given":"Richard J."},{"family":"Bonomo","given":"Yvonne"}],"issued":{"date-parts":[["2020",3]]}}}],"schema":"https://github.com/citation-style-language/schema/raw/master/csl-citation.json"} </w:instrText>
      </w:r>
      <w:r w:rsidRPr="0035461C">
        <w:rPr>
          <w:rFonts w:ascii="Calibri" w:hAnsi="Calibri" w:cs="Calibri"/>
        </w:rPr>
        <w:fldChar w:fldCharType="separate"/>
      </w:r>
      <w:r w:rsidR="00076F77" w:rsidRPr="00076F77">
        <w:rPr>
          <w:rFonts w:ascii="Calibri" w:hAnsi="Calibri" w:cs="Calibri"/>
        </w:rPr>
        <w:t>(137)</w:t>
      </w:r>
      <w:r w:rsidRPr="0035461C">
        <w:rPr>
          <w:rFonts w:ascii="Calibri" w:hAnsi="Calibri" w:cs="Calibri"/>
        </w:rPr>
        <w:fldChar w:fldCharType="end"/>
      </w:r>
      <w:r w:rsidRPr="0035461C">
        <w:rPr>
          <w:rFonts w:ascii="Calibri" w:hAnsi="Calibri" w:cs="Calibri"/>
        </w:rPr>
        <w:t xml:space="preserve">. Use of cocaine and other stimulant-like drugs, such as amphetamine, methamphetamine, and ecstasy (or MDMA) increase glucose production and inhibit glucose clearance, which increases the risk of </w:t>
      </w:r>
      <w:r w:rsidR="00EE2A0A">
        <w:rPr>
          <w:rFonts w:ascii="Calibri" w:hAnsi="Calibri" w:cs="Calibri"/>
        </w:rPr>
        <w:t>DKA</w:t>
      </w:r>
      <w:r w:rsidRPr="0035461C">
        <w:rPr>
          <w:rFonts w:ascii="Calibri" w:hAnsi="Calibri" w:cs="Calibri"/>
        </w:rPr>
        <w:t>. Having a diagnosis of a substance use disorder confers an increased all-cause mortality in populations with diabetes across a range of substances including cocaine, opioids, and cannabis, regardless of consumption.</w:t>
      </w:r>
    </w:p>
    <w:p w14:paraId="27833698" w14:textId="7B94554F" w:rsidR="001F7416" w:rsidRPr="0035461C" w:rsidRDefault="00264FF0" w:rsidP="00264FF0">
      <w:pPr>
        <w:widowControl w:val="0"/>
        <w:autoSpaceDE w:val="0"/>
        <w:autoSpaceDN w:val="0"/>
        <w:adjustRightInd w:val="0"/>
        <w:spacing w:before="120"/>
        <w:jc w:val="both"/>
        <w:rPr>
          <w:rFonts w:ascii="Calibri" w:hAnsi="Calibri" w:cs="Calibri"/>
        </w:rPr>
      </w:pPr>
      <w:r w:rsidRPr="0035461C">
        <w:rPr>
          <w:rFonts w:ascii="Calibri" w:hAnsi="Calibri" w:cs="Calibri"/>
        </w:rPr>
        <w:t xml:space="preserve">As </w:t>
      </w:r>
      <w:r w:rsidR="00EF4B4D">
        <w:rPr>
          <w:rFonts w:ascii="Calibri" w:hAnsi="Calibri" w:cs="Calibri"/>
        </w:rPr>
        <w:t xml:space="preserve">many </w:t>
      </w:r>
      <w:r w:rsidRPr="0035461C">
        <w:rPr>
          <w:rFonts w:ascii="Calibri" w:hAnsi="Calibri" w:cs="Calibri"/>
        </w:rPr>
        <w:t>people are unlikely to spontaneously report their alcohol or drug use to clinicians, systematic screening for excess alcohol and/or drug use is recommended</w:t>
      </w:r>
      <w:r w:rsidR="00D7392F">
        <w:rPr>
          <w:rFonts w:ascii="Calibri" w:hAnsi="Calibri" w:cs="Calibri"/>
        </w:rPr>
        <w:t xml:space="preserve"> </w:t>
      </w:r>
      <w:r w:rsidR="00D7392F">
        <w:rPr>
          <w:rFonts w:ascii="Calibri" w:hAnsi="Calibri" w:cs="Calibri"/>
        </w:rPr>
        <w:fldChar w:fldCharType="begin"/>
      </w:r>
      <w:r w:rsidR="00076F77">
        <w:rPr>
          <w:rFonts w:ascii="Calibri" w:hAnsi="Calibri" w:cs="Calibri"/>
        </w:rPr>
        <w:instrText xml:space="preserve"> ADDIN ZOTERO_ITEM CSL_CITATION {"citationID":"am7jnkv7r9","properties":{"formattedCitation":"(138)","plainCitation":"(138)","noteIndex":0},"citationItems":[{"id":12505,"uris":["http://zotero.org/groups/369679/items/BGWMDGNV"],"uri":["http://zotero.org/groups/369679/items/BGWMDGNV"],"itemData":{"id":12505,"type":"article-journal","abstract":"AIM: To undertake a narrative review of the impact and pattern of alcohol consumption in young adults with Type 1 diabetes.\nMETHODS: DATA SOURCES: MEDLINE, EMBASE, PsycINFO, The Cochrane Library, Web of Science, meeting abstracts of the European Association for the Study of Diabetes, the American Diabetes Association and Diabetes UK, Current Controlled Trials, ClinicalTrials.gov, UK Clinical Research Network, scrutiny of bibliographies of retrieved papers and contact with experts in the field.\nINCLUSION CRITERIA: relevant studies of any design of alcohol consumption and young adults with Type 1 diabetes (age 14-25 years) were included. The key outcomes were the quantity, pattern and impact of alcohol consumption, the effect on diabetes control and the effect of interventions to minimize the risks of alcohol for this population.\nRESULTS: Six articles and two conference abstracts met the inclusion criteria. There were six cross-sectional studies, one qualitative study and one within-subjects design study. Quality of studies was variable. Alcohol use amongst young adults with Type 1 diabetes was reported to be common and potentially harmful. There was a paucity of evidence on interventions to minimize the risks of alcohol in this target group.\nCONCLUSIONS: Research is required to understand the social context of alcohol consumption in this population with a view to developing appropriate interventions to minimize the risks associated with its use.","container-title":"Diabetic Medicine: A Journal of the British Diabetic Association","DOI":"10.1111/j.1464-5491.2012.03579.x","ISSN":"1464-5491","issue":"4","journalAbbreviation":"Diabet Med","language":"eng","note":"PMID: 22248115","page":"434-440","source":"PubMed","title":"Alcohol-associated risks for young adults with Type 1 diabetes: a narrative review","title-short":"Alcohol-associated risks for young adults with Type 1 diabetes","volume":"29","author":[{"family":"Barnard","given":"K."},{"family":"Sinclair","given":"J. M. A."},{"family":"Lawton","given":"J."},{"family":"Young","given":"A. J."},{"family":"Holt","given":"R. I. G."}],"issued":{"date-parts":[["2012",4]]}}}],"schema":"https://github.com/citation-style-language/schema/raw/master/csl-citation.json"} </w:instrText>
      </w:r>
      <w:r w:rsidR="00D7392F">
        <w:rPr>
          <w:rFonts w:ascii="Calibri" w:hAnsi="Calibri" w:cs="Calibri"/>
        </w:rPr>
        <w:fldChar w:fldCharType="separate"/>
      </w:r>
      <w:r w:rsidR="00076F77" w:rsidRPr="00076F77">
        <w:rPr>
          <w:rFonts w:ascii="Calibri" w:hAnsi="Calibri" w:cs="Calibri"/>
        </w:rPr>
        <w:t>(138)</w:t>
      </w:r>
      <w:r w:rsidR="00D7392F">
        <w:rPr>
          <w:rFonts w:ascii="Calibri" w:hAnsi="Calibri" w:cs="Calibri"/>
        </w:rPr>
        <w:fldChar w:fldCharType="end"/>
      </w:r>
      <w:r w:rsidRPr="0035461C">
        <w:rPr>
          <w:rFonts w:ascii="Calibri" w:hAnsi="Calibri" w:cs="Calibri"/>
        </w:rPr>
        <w:t xml:space="preserve">. Healthcare professionals have a responsibility to inform people with type 1 diabetes about the effects of drugs and alcohol on diabetes and related risks. Otherwise, people with diabetes will seek information elsewhere, which is frequently incorrect and misleading </w:t>
      </w:r>
      <w:r w:rsidRPr="0035461C">
        <w:rPr>
          <w:rFonts w:ascii="Calibri" w:hAnsi="Calibri" w:cs="Calibri"/>
        </w:rPr>
        <w:fldChar w:fldCharType="begin"/>
      </w:r>
      <w:r w:rsidR="00076F77">
        <w:rPr>
          <w:rFonts w:ascii="Calibri" w:hAnsi="Calibri" w:cs="Calibri"/>
        </w:rPr>
        <w:instrText xml:space="preserve"> ADDIN ZOTERO_ITEM CSL_CITATION {"citationID":"vaiYOW9X","properties":{"formattedCitation":"(139)","plainCitation":"(139)","noteIndex":0},"citationItems":[{"id":3821,"uris":["http://zotero.org/groups/369679/items/NWD49M5W"],"uri":["http://zotero.org/groups/369679/items/NWD49M5W"],"itemData":{"id":3821,"type":"article-journal","abstract":"AIMS: To investigate the knowledge of alcohol and carbohydrate content of commonly consumed alcoholic drinks among young adults with Type 1 diabetes and to explore alcohol consumption while identifying diabetes self-management strategies used to minimize alcohol-associated risk.\nMETHOD: We conducted an open-access, multiple-choice web survey to investigate knowledge of alcohol and carbohydrate content of typical alcoholic drinks using images. Respondents to the survey also recorded their current alcohol consumption and diabetes self-management strategies when drinking.\nRESULTS: A total of 547 people aged 18-30 years responded to the survey (341 women; 192 men; mean (sd) age 24.5 (3.7) years), of whom 365 (66.7%) drank alcohol. In all, 84 (32.9%) women and 31 (22.6%) men scored higher than the cut-off score for increased-risk drinking. Knowledge accuracy of alcohol units was poor: only 7.3% (n = 40) correctly identified the alcohol content of six or more out of 10 drinks. Knowledge of carbohydrate content was also poor: no respondent correctly identified the carbohydrate content of six or more out of 10 drinks. Various and inconsistent strategies to minimize alcohol-associated risk were reported.\nCONCLUSIONS: Alcohol consumption was common among the survey respondents, but knowledge of alcohol and carbohydrate content was poor. Greater alcohol-related health literacy is required to minimize alcohol-associated risk. Further research should help develop effective strategies to improve health literacy and support safe drinking for young adults with Type 1 diabetes.","container-title":"Diabetic Medicine: A Journal of the British Diabetic Association","DOI":"10.1111/dme.12491","ISSN":"1464-5491","issue":"12","journalAbbreviation":"Diabet. Med.","language":"eng","note":"PMID: 24823681","page":"1625-1630","source":"PubMed","title":"Alcohol health literacy in young adults with type 1 diabetes and its impact on diabetes management","volume":"31","author":[{"family":"Barnard","given":"K. D."},{"family":"Dyson","given":"P."},{"family":"Sinclair","given":"J. M. A."},{"family":"Lawton","given":"J."},{"family":"Anthony","given":"D."},{"family":"Cranston","given":"M."},{"family":"Holt","given":"R. I. G."}],"issued":{"date-parts":[["2014",12]]}}}],"schema":"https://github.com/citation-style-language/schema/raw/master/csl-citation.json"} </w:instrText>
      </w:r>
      <w:r w:rsidRPr="0035461C">
        <w:rPr>
          <w:rFonts w:ascii="Calibri" w:hAnsi="Calibri" w:cs="Calibri"/>
        </w:rPr>
        <w:fldChar w:fldCharType="separate"/>
      </w:r>
      <w:r w:rsidR="00076F77" w:rsidRPr="00076F77">
        <w:rPr>
          <w:rFonts w:ascii="Calibri" w:hAnsi="Calibri" w:cs="Calibri"/>
        </w:rPr>
        <w:t>(139)</w:t>
      </w:r>
      <w:r w:rsidRPr="0035461C">
        <w:rPr>
          <w:rFonts w:ascii="Calibri" w:hAnsi="Calibri" w:cs="Calibri"/>
        </w:rPr>
        <w:fldChar w:fldCharType="end"/>
      </w:r>
      <w:r w:rsidRPr="0035461C">
        <w:rPr>
          <w:rFonts w:ascii="Calibri" w:hAnsi="Calibri" w:cs="Calibri"/>
        </w:rPr>
        <w:t xml:space="preserve">. Brief interventions to reduce risky drinking and drug use have been well validated in a variety of populations and offer the potential to improve diabetes medication taking and outcome </w:t>
      </w:r>
      <w:r w:rsidRPr="0035461C">
        <w:rPr>
          <w:rFonts w:ascii="Calibri" w:hAnsi="Calibri" w:cs="Calibri"/>
        </w:rPr>
        <w:fldChar w:fldCharType="begin"/>
      </w:r>
      <w:r w:rsidR="00076F77">
        <w:rPr>
          <w:rFonts w:ascii="Calibri" w:hAnsi="Calibri" w:cs="Calibri"/>
        </w:rPr>
        <w:instrText xml:space="preserve"> ADDIN ZOTERO_ITEM CSL_CITATION {"citationID":"g5StDgs4","properties":{"formattedCitation":"(140)","plainCitation":"(140)","noteIndex":0},"citationItems":[{"id":11239,"uris":["http://zotero.org/groups/369679/items/SJ53HM2W"],"uri":["http://zotero.org/groups/369679/items/SJ53HM2W"],"itemData":{"id":11239,"type":"article-journal","abstract":"It is well known that diabetes self-care behaviors are critical to disease progression. Unfortunately, many patients do not adhere to diabetes self-care recommendations despite their importance. Alcohol use has been identified as a barrier to diabetes self-care adherence. Excessive alcohol consumption not only negatively impacts diabetes self-care adherence but also affects the course of diabetes. Diabetes patients who are at-risk drinkers are likely to have poor diabetes treatment adherence, leading to increased morbidity and mortality. Alcohol consumption by diabetes patients is often inadequately assessed and addressed in their medical care. Brief interventions to reduce at-risk drinking have been well validated in a variety of patient populations and offer the potential to improve diabetes treatment adherence and outcome. Assessment and treatment of at-risk drinking could be readily incorporated into routine diabetes care. Strategies for brief assessment of and intervention for at-risk drinking are offered.","container-title":"Acta Diabetologica","DOI":"10.1007/s00592-010-0200-x","ISSN":"1432-5233","issue":"2","journalAbbreviation":"Acta Diabetol","language":"eng","note":"PMID: 20532803\nPMCID: PMC2954251","page":"93-99","source":"PubMed","title":"Alcohol use of diabetes patients: the need for assessment and intervention","title-short":"Alcohol use of diabetes patients","volume":"50","author":[{"family":"Engler","given":"Patricia A."},{"family":"Ramsey","given":"Susan E."},{"family":"Smith","given":"Robert J."}],"issued":{"date-parts":[["2013",4]]}}}],"schema":"https://github.com/citation-style-language/schema/raw/master/csl-citation.json"} </w:instrText>
      </w:r>
      <w:r w:rsidRPr="0035461C">
        <w:rPr>
          <w:rFonts w:ascii="Calibri" w:hAnsi="Calibri" w:cs="Calibri"/>
        </w:rPr>
        <w:fldChar w:fldCharType="separate"/>
      </w:r>
      <w:r w:rsidR="00076F77" w:rsidRPr="00076F77">
        <w:rPr>
          <w:rFonts w:ascii="Calibri" w:hAnsi="Calibri" w:cs="Calibri"/>
        </w:rPr>
        <w:t>(140)</w:t>
      </w:r>
      <w:r w:rsidRPr="0035461C">
        <w:rPr>
          <w:rFonts w:ascii="Calibri" w:hAnsi="Calibri" w:cs="Calibri"/>
        </w:rPr>
        <w:fldChar w:fldCharType="end"/>
      </w:r>
      <w:r w:rsidRPr="0035461C">
        <w:rPr>
          <w:rFonts w:ascii="Calibri" w:hAnsi="Calibri" w:cs="Calibri"/>
        </w:rPr>
        <w:t>. In the case of alcohol or drug addiction, referral to a specialized clinic is warranted.</w:t>
      </w:r>
    </w:p>
    <w:p w14:paraId="3E4BDE31" w14:textId="77777777" w:rsidR="001F7416" w:rsidRPr="0035461C" w:rsidRDefault="00264FF0" w:rsidP="001F7416">
      <w:pPr>
        <w:widowControl w:val="0"/>
        <w:autoSpaceDE w:val="0"/>
        <w:autoSpaceDN w:val="0"/>
        <w:adjustRightInd w:val="0"/>
        <w:spacing w:before="120"/>
        <w:jc w:val="both"/>
        <w:rPr>
          <w:rFonts w:ascii="Calibri" w:hAnsi="Calibri" w:cs="Calibri"/>
        </w:rPr>
      </w:pPr>
      <w:r w:rsidRPr="0035461C">
        <w:rPr>
          <w:rFonts w:asciiTheme="minorHAnsi" w:hAnsiTheme="minorHAnsi" w:cstheme="minorHAnsi"/>
          <w:i/>
          <w:u w:val="single"/>
        </w:rPr>
        <w:t>Smoking</w:t>
      </w:r>
    </w:p>
    <w:p w14:paraId="019BFA18" w14:textId="4CEC20C9" w:rsidR="00264FF0" w:rsidRPr="0035461C" w:rsidRDefault="00264FF0" w:rsidP="001F7416">
      <w:pPr>
        <w:widowControl w:val="0"/>
        <w:autoSpaceDE w:val="0"/>
        <w:autoSpaceDN w:val="0"/>
        <w:adjustRightInd w:val="0"/>
        <w:spacing w:before="120"/>
        <w:jc w:val="both"/>
        <w:rPr>
          <w:rFonts w:ascii="Calibri" w:hAnsi="Calibri" w:cs="Calibri"/>
        </w:rPr>
      </w:pPr>
      <w:r w:rsidRPr="0035461C">
        <w:rPr>
          <w:rFonts w:asciiTheme="minorHAnsi" w:eastAsia="TimesNewRomanMTStd" w:hAnsiTheme="minorHAnsi" w:cstheme="minorHAnsi"/>
          <w:lang w:val="pl-PL"/>
        </w:rPr>
        <w:t xml:space="preserve">Since smoking </w:t>
      </w:r>
      <w:r w:rsidRPr="0035461C">
        <w:rPr>
          <w:rFonts w:asciiTheme="minorHAnsi" w:hAnsiTheme="minorHAnsi" w:cstheme="minorHAnsi"/>
          <w:shd w:val="clear" w:color="auto" w:fill="FFFFFF"/>
        </w:rPr>
        <w:t xml:space="preserve">increases the risk of </w:t>
      </w:r>
      <w:proofErr w:type="spellStart"/>
      <w:r w:rsidRPr="0035461C">
        <w:rPr>
          <w:rFonts w:asciiTheme="minorHAnsi" w:hAnsiTheme="minorHAnsi" w:cstheme="minorHAnsi"/>
          <w:shd w:val="clear" w:color="auto" w:fill="FFFFFF"/>
        </w:rPr>
        <w:t>macrovascular</w:t>
      </w:r>
      <w:proofErr w:type="spellEnd"/>
      <w:r w:rsidRPr="0035461C">
        <w:rPr>
          <w:rFonts w:asciiTheme="minorHAnsi" w:hAnsiTheme="minorHAnsi" w:cstheme="minorHAnsi"/>
          <w:shd w:val="clear" w:color="auto" w:fill="FFFFFF"/>
        </w:rPr>
        <w:t xml:space="preserve"> and microvascular complications in people with diabetes, smoking cessation should be promoted</w:t>
      </w:r>
      <w:r w:rsidR="00EF4B4D">
        <w:rPr>
          <w:rFonts w:asciiTheme="minorHAnsi" w:hAnsiTheme="minorHAnsi" w:cstheme="minorHAnsi"/>
          <w:shd w:val="clear" w:color="auto" w:fill="FFFFFF"/>
        </w:rPr>
        <w:t xml:space="preserve"> and supported</w:t>
      </w:r>
      <w:r w:rsidRPr="0035461C">
        <w:rPr>
          <w:rFonts w:asciiTheme="minorHAnsi" w:hAnsiTheme="minorHAnsi" w:cstheme="minorHAnsi"/>
          <w:shd w:val="clear" w:color="auto" w:fill="FFFFFF"/>
        </w:rPr>
        <w:t xml:space="preserve"> in all individuals with type 1 diabetes.</w:t>
      </w:r>
      <w:r w:rsidR="00920C2B" w:rsidRPr="0035461C">
        <w:rPr>
          <w:rFonts w:asciiTheme="minorHAnsi" w:eastAsia="TimesNewRomanMTStd" w:hAnsiTheme="minorHAnsi" w:cstheme="minorHAnsi"/>
          <w:lang w:val="pl-PL"/>
        </w:rPr>
        <w:t xml:space="preserve"> </w:t>
      </w:r>
      <w:r w:rsidRPr="0035461C">
        <w:rPr>
          <w:rFonts w:asciiTheme="minorHAnsi" w:hAnsiTheme="minorHAnsi" w:cstheme="minorHAnsi"/>
          <w:shd w:val="clear" w:color="auto" w:fill="FFFFFF"/>
        </w:rPr>
        <w:t>The direct effect of smoking on glycaemic levels in people with diabetes needs more research to assess impact</w:t>
      </w:r>
      <w:r w:rsidR="007F2F8E" w:rsidRPr="0035461C">
        <w:rPr>
          <w:rFonts w:asciiTheme="minorHAnsi" w:hAnsiTheme="minorHAnsi" w:cstheme="minorHAnsi"/>
          <w:shd w:val="clear" w:color="auto" w:fill="FFFFFF"/>
        </w:rPr>
        <w:t xml:space="preserve"> </w:t>
      </w:r>
      <w:r w:rsidR="00E127B1" w:rsidRPr="0035461C">
        <w:rPr>
          <w:rFonts w:asciiTheme="minorHAnsi" w:hAnsiTheme="minorHAnsi" w:cstheme="minorHAnsi"/>
          <w:shd w:val="clear" w:color="auto" w:fill="FFFFFF"/>
        </w:rPr>
        <w:fldChar w:fldCharType="begin"/>
      </w:r>
      <w:r w:rsidR="00076F77">
        <w:rPr>
          <w:rFonts w:asciiTheme="minorHAnsi" w:hAnsiTheme="minorHAnsi" w:cstheme="minorHAnsi"/>
          <w:shd w:val="clear" w:color="auto" w:fill="FFFFFF"/>
        </w:rPr>
        <w:instrText xml:space="preserve"> ADDIN ZOTERO_ITEM CSL_CITATION {"citationID":"fwSRaYQB","properties":{"formattedCitation":"(141,142)","plainCitation":"(141,142)","noteIndex":0},"citationItems":[{"id":4200,"uris":["http://zotero.org/groups/369679/items/2VBDNTYN"],"uri":["http://zotero.org/groups/369679/items/2VBDNTYN"],"itemData":{"id":4200,"type":"article-journal","abstract":"BACKGROUND: The prevalence of smoking in diabetic patients remains high, and reliable quantification of the excess mortality and morbidity risks associated with smoking is important for diabetes management. We performed a systematic review and meta-analysis of prospective cohort studies to evaluate the relation of active smoking with risk of total mortality and cardiovascular events among diabetic patients.\nMETHODS AND RESULTS: We searched Medline and Embase databases through May 2015, and multivariate-adjusted relative risks were pooled by using random-effects models. A total of 89 cohort studies were included. The pooled adjusted relative risk (95% confidence interval) associated with smoking was 1.55 (1.46-1.64) for total mortality (48 studies with 1,132,700 participants and 109,966 deaths), and 1.49 (1.29-1.71) for cardiovascular mortality (13 studies with 37,550 participants and 3163 deaths). The pooled relative risk (95% confidence interval) was 1.44 (1.34-1.54) for total cardiovascular disease (16 studies), 1.51 (1.41-1.62) for coronary heart disease (21 studies), 1.54 (1.41-1.69) for stroke (15 studies), 2.15 (1.62-2.85) for peripheral arterial disease (3 studies), and 1.43 (1.19-1.72) for heart failure (4 studies). In comparison with never smokers, former smokers were at a moderately elevated risk of total mortality (1.19; 1.11-1.28), cardiovascular mortality (1.15; 1.00-1.32), cardiovascular disease (1.09; 1.05-1.13), and coronary heart disease (1.14; 1.00-1.30), but not for stroke (1.04; 0.87-1.23).\nCONCLUSIONS: Active smoking is associated with significantly increased risks of total mortality and cardiovascular events among diabetic patients, whereas smoking cessation is associated with reduced risks in comparison with current smoking. The findings provide strong evidence for the recommendation of quitting smoking among diabetic patients.","container-title":"Circulation","DOI":"10.1161/CIRCULATIONAHA.115.017926","ISSN":"1524-4539","issue":"19","journalAbbreviation":"Circulation","language":"eng","note":"PMID: 26311724\nPMCID: PMC4643392","page":"1795-1804","source":"PubMed","title":"Relation of Smoking With Total Mortality and Cardiovascular Events Among Patients With Diabetes Mellitus: A Meta-Analysis and Systematic Review","title-short":"Relation of Smoking With Total Mortality and Cardiovascular Events Among Patients With Diabetes Mellitus","volume":"132","author":[{"family":"Pan","given":"An"},{"family":"Wang","given":"Yeli"},{"family":"Talaei","given":"Mohammad"},{"family":"Hu","given":"Frank B."}],"issued":{"date-parts":[["2015",11,10]]}}},{"id":11497,"uris":["http://zotero.org/groups/369679/items/JF5N3C24"],"uri":["http://zotero.org/groups/369679/items/JF5N3C24"],"itemData":{"id":11497,"type":"article-journal","abstract":"AIM: The aim of the study was to evaluate the relationship between smoking status and the incidence of microvascular complications in patients with type 1 diabetes (DM1), treated with intensive functional insulin therapy (IFIT) from the onset of the disease.\nMETHODS: 81 participants (51 men, 30 women) of Poznan Prospective Study (PoProStu) with mean age of 34.0 ± 6.4 years were included in this analysis. Patients were observed for 10.0 ± 1.5 years. Evaluation of microvascular complications of diabetes, such as retinopathy, diabetic kidney disease and neuropathy was performed. Patients were divided into two groups depending on the smoking status: smokers and non-smokers.\nRESULTS: In the group of smokers (n=36) in comparison with patients who had never smoked (n=45) any microangiopathy (58.3% vs 33.3%, p=0.02), retinopathy (44.4% vs 20%, p=0.02), diabetic kidney disease (47.2% vs 24.4%, p=0.03) and neuropathy (25% vs 4.4%, p=0.02) were found more often. A significant relationship, adjusted for age, sex, duration of diabetes, presence of hypertension and HbA1c between smoking and neuropathy and retinopathy was revealed [OR 10.16 (95%CI 1.59-64.95); p=0.01 and OR 3.50 (95%CI 1.01-12.12); p=0.04, respectively].\nCONCLUSION: The results show that in patients with DM1, there is a strong relationship between smoking and the diabetic microvascular complications, especially with neuropathy, despite treatment from the initial diagnosis with intensive insulin therapy.","container-title":"Microvascular Research","DOI":"10.1016/j.mvr.2014.01.002","ISSN":"1095-9319","journalAbbreviation":"Microvasc Res","language":"eng","note":"PMID: 24423616","page":"79-84","source":"PubMed","title":"Higher risk of microvascular complications in smokers with type 1 diabetes despite intensive insulin therapy","volume":"92","author":[{"family":"Uruska","given":"A."},{"family":"Araszkiewicz","given":"A."},{"family":"Uruski","given":"P."},{"family":"Zozulinska-Ziolkiewicz","given":"D."}],"issued":{"date-parts":[["2014",3]]}}}],"schema":"https://github.com/citation-style-language/schema/raw/master/csl-citation.json"} </w:instrText>
      </w:r>
      <w:r w:rsidR="00E127B1" w:rsidRPr="0035461C">
        <w:rPr>
          <w:rFonts w:asciiTheme="minorHAnsi" w:hAnsiTheme="minorHAnsi" w:cstheme="minorHAnsi"/>
          <w:shd w:val="clear" w:color="auto" w:fill="FFFFFF"/>
        </w:rPr>
        <w:fldChar w:fldCharType="separate"/>
      </w:r>
      <w:r w:rsidR="00076F77" w:rsidRPr="00076F77">
        <w:rPr>
          <w:rFonts w:ascii="Calibri" w:hAnsi="Calibri" w:cs="Calibri"/>
        </w:rPr>
        <w:t>(141,142)</w:t>
      </w:r>
      <w:r w:rsidR="00E127B1" w:rsidRPr="0035461C">
        <w:rPr>
          <w:rFonts w:asciiTheme="minorHAnsi" w:hAnsiTheme="minorHAnsi" w:cstheme="minorHAnsi"/>
          <w:shd w:val="clear" w:color="auto" w:fill="FFFFFF"/>
        </w:rPr>
        <w:fldChar w:fldCharType="end"/>
      </w:r>
      <w:r w:rsidRPr="0035461C">
        <w:rPr>
          <w:rFonts w:asciiTheme="minorHAnsi" w:hAnsiTheme="minorHAnsi" w:cstheme="minorHAnsi"/>
          <w:shd w:val="clear" w:color="auto" w:fill="FFFFFF"/>
        </w:rPr>
        <w:t xml:space="preserve">. </w:t>
      </w:r>
    </w:p>
    <w:p w14:paraId="57D61906" w14:textId="77777777" w:rsidR="00264FF0" w:rsidRPr="0035461C" w:rsidRDefault="00264FF0" w:rsidP="00264FF0">
      <w:pPr>
        <w:autoSpaceDE w:val="0"/>
        <w:autoSpaceDN w:val="0"/>
        <w:adjustRightInd w:val="0"/>
        <w:rPr>
          <w:rFonts w:asciiTheme="minorHAnsi" w:hAnsiTheme="minorHAnsi" w:cstheme="minorHAnsi"/>
          <w:color w:val="333333"/>
          <w:shd w:val="clear" w:color="auto" w:fill="FFFFFF"/>
        </w:rPr>
      </w:pPr>
    </w:p>
    <w:p w14:paraId="4B8ADEC3" w14:textId="77777777" w:rsidR="00264FF0" w:rsidRPr="0035461C" w:rsidRDefault="00264FF0" w:rsidP="00264FF0">
      <w:pPr>
        <w:spacing w:before="120"/>
        <w:jc w:val="both"/>
        <w:rPr>
          <w:rFonts w:ascii="Calibri" w:hAnsi="Calibri" w:cs="Calibri"/>
          <w:i/>
          <w:u w:val="single"/>
        </w:rPr>
      </w:pPr>
      <w:r w:rsidRPr="0035461C">
        <w:rPr>
          <w:rFonts w:ascii="Calibri" w:hAnsi="Calibri" w:cs="Calibri"/>
          <w:i/>
          <w:u w:val="single"/>
        </w:rPr>
        <w:t>Physical Activity</w:t>
      </w:r>
    </w:p>
    <w:p w14:paraId="2990AD24" w14:textId="5E662AEE" w:rsidR="00264FF0" w:rsidRPr="0035461C" w:rsidRDefault="00264FF0" w:rsidP="00264FF0">
      <w:pPr>
        <w:spacing w:before="120"/>
        <w:jc w:val="both"/>
        <w:rPr>
          <w:rFonts w:ascii="Calibri" w:hAnsi="Calibri" w:cs="Calibri"/>
          <w:lang w:val="en-GB"/>
        </w:rPr>
      </w:pPr>
      <w:r w:rsidRPr="0035461C">
        <w:rPr>
          <w:rFonts w:ascii="Calibri" w:hAnsi="Calibri" w:cs="Calibri"/>
        </w:rPr>
        <w:t xml:space="preserve">People with type 1 diabetes should be encouraged to engage in a combination of aerobic and resistance exercise on most days because exercise is associated with improved fitness, increased insulin sensitivity leading to reduced insulin requirement, improved cardiovascular health with better lipid profile and endothelial function, and decreased mortality </w:t>
      </w:r>
      <w:r w:rsidRPr="0035461C">
        <w:rPr>
          <w:rFonts w:ascii="Calibri" w:hAnsi="Calibri" w:cs="Calibri"/>
        </w:rPr>
        <w:fldChar w:fldCharType="begin"/>
      </w:r>
      <w:r w:rsidR="00076F77">
        <w:rPr>
          <w:rFonts w:ascii="Calibri" w:hAnsi="Calibri" w:cs="Calibri"/>
        </w:rPr>
        <w:instrText xml:space="preserve"> ADDIN ZOTERO_ITEM CSL_CITATION {"citationID":"nwkXk8x0","properties":{"formattedCitation":"(143\\uc0\\u8211{}146)","plainCitation":"(143–146)","noteIndex":0},"citationItems":[{"id":261,"uris":["http://zotero.org/groups/369679/items/KEHQJJ3V"],"uri":["http://zotero.org/groups/369679/items/KEHQJJ3V"],"itemData":{"id":261,"type":"article-journal","abstract":"OBJECTIVE: The aims of the study were to assess how baseline leisure-time physical activity (LTPA) and its exercise components intensity, duration, and frequency are associated with all-cause and cardiovascular mortality in patients with type 1 diabetes 1) overall, 2) stratified by presence or absence of chronic kidney disease (CKD), and 3) stratified by sex.\nRESEARCH DESIGN AND METHODS: The study design was prospective and observational and included 2,639 patients with type 1 diabetes from the ongoing nationwide multicenter Finnish Diabetic Nephropathy (FinnDiane) Study. Mean follow-up time was 11.4 ± 3.5 years. LTPA was assessed by using a validated self-report questionnaire. Three hundred ten patients (11.7%) had CKD defined as an estimated glomerular filtration rate of ≤60 mL/min/1.73 m2.\nRESULTS: During follow-up, 270 deaths occurred. LTPA and all its components were associated with all-cause mortality, even after adjustment for the potential confounders sex, diabetic nephropathy, duration of diabetes, age at onset of diabetes, systolic blood pressure, triglycerides, BMI, and HbA1c. Only exercise intensity was associated with cardiovascular mortality after adjustment for the confounders. Of the patients with CKD, 127 died during follow-up. The total amount of LTPA and exercise frequency were independently associated with lower risk of all-cause mortality when adjusted for covariates.\nCONCLUSIONS: Exercise is associated with a lower risk of premature all-cause and cardiovascular mortality in patients with type 1 diabetes. This study also demonstrates that physical activity is associated with a lower risk of mortality in patients with type 1 diabetes and CKD.","container-title":"Diabetes Care","DOI":"10.2337/dc17-0615","ISSN":"1935-5548","issue":"12","journalAbbreviation":"Diabetes Care","language":"eng","note":"PMID: 29038314","page":"1727-1732","source":"PubMed","title":"Physical Activity Reduces Risk of Premature Mortality in Patients With Type 1 Diabetes With and Without Kidney Disease","volume":"40","author":[{"family":"Tikkanen-Dolenc","given":"Heidi"},{"family":"Wadén","given":"Johan"},{"family":"Forsblom","given":"Carol"},{"family":"Harjutsalo","given":"Valma"},{"family":"Thorn","given":"Lena M."},{"family":"Saraheimo","given":"Markku"},{"family":"Elonen","given":"Nina"},{"family":"Tikkanen","given":"Heikki O."},{"family":"Groop","given":"Per-Henrik"},{"literal":"FinnDiane Study Group"}],"issued":{"date-parts":[["2017"]]}}},{"id":10805,"uris":["http://zotero.org/groups/369679/items/FSE2V57G"],"uri":["http://zotero.org/groups/369679/items/FSE2V57G"],"itemData":{"id":10805,"type":"article-journal","abstract":"OBJECTIVE: Physical activity (PA) can improve cardiovascular risk in the general population and in patients with type 2 diabetes. Studies also indicate an HbA(1c)-lowering effect in patients with type 2 diabetes. Since reports in patients with type 1 diabetes are scarce, this analysis aimed to investigate whether there is an association between PA and glycemic control or cardiovascular risk in subjects with type 1 diabetes.\nRESEARCH DESIGN AND METHODS: A total of 18,028 adults (≥18 to &lt;80 years of age) from Germany and Austria with type 1 diabetes from the Diabetes-Patienten-Verlaufsdokumentation (DPV) database were included. Patients were stratified according to their self-reported frequency of PA (PA0, inactive; PA1, one to two times per week; PA2, more than two times per week). Multivariable regression models were applied for glycemic control, diabetes-related comorbidities, and cardiovascular risk factors. Data were adjusted for sex, age, and diabetes duration. P values for trend were given. SAS 9.4 was used for statistical analysis.\nRESULTS: An inverse association between PA and HbA(1c), diabetic ketoacidosis, BMI, dyslipidemia (all P &lt; 0.0001), and hypertension (P = 0.0150), as well as between PA and retinopathy or microalbuminuria (both P &lt; 0.0001), was present. Severe hypoglycemia (assistance required) did not differ in PA groups (P = 0.8989), whereas severe hypoglycemia with coma was inversely associated with PA (P &lt; 0.0001).\nCONCLUSIONS: PA seemed to be beneficial with respect to glycemic control, diabetes-related comorbidities, and cardiovascular risk factors without an increase of adverse events. Hence, our data underscore the recommendation for subjects with type 1 diabetes to perform regular PA.","container-title":"Diabetes Care","DOI":"10.2337/dc15-0030","ISSN":"1935-5548","issue":"8","journalAbbreviation":"Diabetes Care","language":"eng","note":"PMID: 26015557","page":"1536-1543","source":"PubMed","title":"Impact of Physical Activity on Glycemic Control and Prevalence of Cardiovascular Risk Factors in Adults With Type 1 Diabetes: A Cross-sectional Multicenter Study of 18,028 Patients","title-short":"Impact of Physical Activity on Glycemic Control and Prevalence of Cardiovascular Risk Factors in Adults With Type 1 Diabetes","volume":"38","author":[{"family":"Bohn","given":"Barbara"},{"family":"Herbst","given":"Antje"},{"family":"Pfeifer","given":"Martin"},{"family":"Krakow","given":"Dietmar"},{"family":"Zimny","given":"Stefan"},{"family":"Kopp","given":"Florian"},{"family":"Melmer","given":"Andreas"},{"family":"Steinacker","given":"Jürgen M."},{"family":"Holl","given":"Reinhard W."},{"literal":"DPV Initiative"}],"issued":{"date-parts":[["2015",8]]}}},{"id":11242,"uris":["http://zotero.org/groups/369679/items/4L6HZSR2"],"uri":["http://zotero.org/groups/369679/items/4L6HZSR2"],"itemData":{"id":11242,"type":"article-journal","abstract":"Exercise is advocated in the management of type 1 diabetes (T1D), but the effects of different forms of exercise training on cardiovascular risk factors in T1D still remain unclear. The aim of this study was to conduct a systematic review and meta-analysis on exercise training for cardiovascular risk factors in T1D. Six electronic databases were systematically searched for randomized or non-randomized controlled studies reporting associations between exercise training and cardiovascular risk factors in T1D. Weighted mean differences (WMD) of each cardiovascular risk factor between exercise groups and control groups were calculated using a random effects model. A total of 24 studies reported the effects of exercise training on cardiovascular risk factors. Exercise training increased maximal aerobic power (3.01 mL·kg-1·min-1, 95% confidence interval, CI, 0.94 to 6.38) and reduced glycated hemoglobin (HbA1c; -0.45%, 95% CI -0.73 to -0.17), daily insulin dosage (-0.88 U·kg-1, 95% CI -1.27 to -0.48), and total cholesterol (-0.38 mmol·L-1, 95% CI -0.71 to -0.04). Exercise training did not lead to consistent changes in body mass index (BMI), blood pressure, triglycerides, high-density lipoprotein cholesterol (HDL-C), or low-density lipoprotein cholesterol (LDL-C). In persons living with T1D, exercise training is associated with a beneficial cardiovascular profile, including improvements in lipid profile, glycemic control (decreased daily insulin dosage and HbA1c), and aerobic fitness.","container-title":"Journal of Clinical Medicine","DOI":"10.3390/jcm8020253","ISSN":"2077-0383","issue":"2","journalAbbreviation":"J Clin Med","language":"eng","note":"PMID: 30781593\nPMCID: PMC6406966","source":"PubMed","title":"Cardiovascular Health Benefits of Exercise Training in Persons Living with Type 1 Diabetes: A Systematic Review and Meta-Analysis","title-short":"Cardiovascular Health Benefits of Exercise Training in Persons Living with Type 1 Diabetes","volume":"8","author":[{"family":"Wu","given":"Nana"},{"family":"Bredin","given":"Shannon S. D."},{"family":"Guan","given":"Yanfei"},{"family":"Dickinson","given":"Kyra"},{"family":"Kim","given":"David D."},{"family":"Chua","given":"Zongyu"},{"family":"Kaufman","given":"Kai"},{"family":"Warburton","given":"Darren E. R."}],"issued":{"date-parts":[["2019",2,17]]}}},{"id":11245,"uris":["http://zotero.org/groups/369679/items/447EM2DK"],"uri":["http://zotero.org/groups/369679/items/447EM2DK"],"itemData":{"id":11245,"type":"article-journal","abstract":"Physical activity improves well-being and reduces the risk of heart disease, cancer and type 2 diabetes mellitus in the general population. In individuals with established type 2 diabetes, physical activity improves glucose and lipid levels, reduces weight and improves insulin resistance. In type 1 diabetes mellitus, however, the benefits of physical activity are less clear. There is poor evidence for a beneficial effect of physical activity on glycaemic control and microvascular complications, and significant risk of harm through hypoglycaemia. Here we review the literature relating to physical activity and health in type 1 diabetes. We examine its effect on a number of outcomes, including glycaemic control, lipids, blood pressure, diabetic complications, well-being and overall mortality. We conclude that whilst there is sufficient evidence to recommend physical activity in the management of type 1 diabetes, it is still unclear as to what form, duration and intensity should be recommended and whether there is benefit for many of the outcomes examined.","container-title":"Diabetologia","DOI":"10.1007/s00125-011-2403-2","ISSN":"1432-0428","issue":"3","journalAbbreviation":"Diabetologia","language":"eng","note":"PMID: 22189486","page":"542-551","source":"PubMed","title":"What are the health benefits of physical activity in type 1 diabetes mellitus? A literature review","title-short":"What are the health benefits of physical activity in type 1 diabetes mellitus?","volume":"55","author":[{"family":"Chimen","given":"M."},{"family":"Kennedy","given":"A."},{"family":"Nirantharakumar","given":"K."},{"family":"Pang","given":"T. T."},{"family":"Andrews","given":"R."},{"family":"Narendran","given":"P."}],"issued":{"date-parts":[["2012",3]]}}}],"schema":"https://github.com/citation-style-language/schema/raw/master/csl-citation.json"} </w:instrText>
      </w:r>
      <w:r w:rsidRPr="0035461C">
        <w:rPr>
          <w:rFonts w:ascii="Calibri" w:hAnsi="Calibri" w:cs="Calibri"/>
        </w:rPr>
        <w:fldChar w:fldCharType="separate"/>
      </w:r>
      <w:r w:rsidR="00076F77" w:rsidRPr="00076F77">
        <w:rPr>
          <w:rFonts w:ascii="Calibri" w:hAnsi="Calibri" w:cs="Calibri"/>
        </w:rPr>
        <w:t>(143–146)</w:t>
      </w:r>
      <w:r w:rsidRPr="0035461C">
        <w:rPr>
          <w:rFonts w:ascii="Calibri" w:hAnsi="Calibri" w:cs="Calibri"/>
        </w:rPr>
        <w:fldChar w:fldCharType="end"/>
      </w:r>
      <w:r w:rsidRPr="0035461C">
        <w:rPr>
          <w:rFonts w:ascii="Calibri" w:hAnsi="Calibri" w:cs="Calibri"/>
        </w:rPr>
        <w:t xml:space="preserve">. Independent effects on </w:t>
      </w:r>
      <w:r w:rsidRPr="0035461C">
        <w:rPr>
          <w:rFonts w:ascii="Calibri" w:hAnsi="Calibri" w:cs="Calibri"/>
          <w:lang w:val="el-GR"/>
        </w:rPr>
        <w:t>β</w:t>
      </w:r>
      <w:r w:rsidRPr="0035461C">
        <w:rPr>
          <w:rFonts w:ascii="Calibri" w:hAnsi="Calibri" w:cs="Calibri"/>
          <w:lang w:val="en-GB"/>
        </w:rPr>
        <w:t>-cell function and HbA</w:t>
      </w:r>
      <w:r w:rsidRPr="0035461C">
        <w:rPr>
          <w:rFonts w:ascii="Calibri" w:hAnsi="Calibri" w:cs="Calibri"/>
          <w:vertAlign w:val="subscript"/>
          <w:lang w:val="en-GB"/>
        </w:rPr>
        <w:t>1c</w:t>
      </w:r>
      <w:r w:rsidRPr="0035461C">
        <w:rPr>
          <w:rFonts w:ascii="Calibri" w:hAnsi="Calibri" w:cs="Calibri"/>
          <w:lang w:val="en-GB"/>
        </w:rPr>
        <w:t xml:space="preserve"> have not been established beyond doubt but appear beneficial. </w:t>
      </w:r>
      <w:r w:rsidRPr="0035461C">
        <w:rPr>
          <w:rFonts w:ascii="Calibri" w:hAnsi="Calibri" w:cs="Calibri"/>
        </w:rPr>
        <w:t>In addition, regular physical activity is associated with reduced risk of microvascular</w:t>
      </w:r>
      <w:r w:rsidRPr="0035461C">
        <w:rPr>
          <w:rFonts w:ascii="Calibri" w:hAnsi="Calibri" w:cs="Calibri"/>
          <w:lang w:val="en-GB"/>
        </w:rPr>
        <w:t xml:space="preserve"> complications, osteoporosis, and cancer in people with type 1 diabetes </w:t>
      </w:r>
      <w:r w:rsidRPr="0035461C">
        <w:rPr>
          <w:rFonts w:ascii="Calibri" w:hAnsi="Calibri" w:cs="Calibri"/>
          <w:lang w:val="en-GB"/>
        </w:rPr>
        <w:fldChar w:fldCharType="begin"/>
      </w:r>
      <w:r w:rsidR="00076F77">
        <w:rPr>
          <w:rFonts w:ascii="Calibri" w:hAnsi="Calibri" w:cs="Calibri"/>
          <w:lang w:val="en-GB"/>
        </w:rPr>
        <w:instrText xml:space="preserve"> ADDIN ZOTERO_ITEM CSL_CITATION {"citationID":"zw3JZRdS","properties":{"formattedCitation":"(147)","plainCitation":"(147)","noteIndex":0},"citationItems":[{"id":11248,"uris":["http://zotero.org/groups/369679/items/GIAF4E5F"],"uri":["http://zotero.org/groups/369679/items/GIAF4E5F"],"itemData":{"id":11248,"type":"article-journal","container-title":"Diabetes Care","DOI":"10.2337/dc07-1238","ISSN":"1935-5548","issue":"2","journalAbbreviation":"Diabetes Care","language":"eng","note":"PMID: 17959867","page":"230-232","source":"PubMed","title":"Physical activity and diabetes complications in patients with type 1 diabetes: the Finnish Diabetic Nephropathy (FinnDiane) Study","title-short":"Physical activity and diabetes complications in patients with type 1 diabetes","volume":"31","author":[{"family":"Wadén","given":"Johan"},{"family":"Forsblom","given":"Carol"},{"family":"Thorn","given":"Lena M."},{"family":"Saraheimo","given":"Markku"},{"family":"Rosengård-Bärlund","given":"Milla"},{"family":"Heikkilä","given":"Outi"},{"family":"Lakka","given":"Timo A."},{"family":"Tikkanen","given":"Heikki"},{"family":"Groop","given":"Per-Henrik"},{"literal":"FinnDiane Study Group"}],"issued":{"date-parts":[["2008",2]]}}}],"schema":"https://github.com/citation-style-language/schema/raw/master/csl-citation.json"} </w:instrText>
      </w:r>
      <w:r w:rsidRPr="0035461C">
        <w:rPr>
          <w:rFonts w:ascii="Calibri" w:hAnsi="Calibri" w:cs="Calibri"/>
          <w:lang w:val="en-GB"/>
        </w:rPr>
        <w:fldChar w:fldCharType="separate"/>
      </w:r>
      <w:r w:rsidR="00076F77" w:rsidRPr="00076F77">
        <w:rPr>
          <w:rFonts w:ascii="Calibri" w:hAnsi="Calibri" w:cs="Calibri"/>
        </w:rPr>
        <w:t>(147)</w:t>
      </w:r>
      <w:r w:rsidRPr="0035461C">
        <w:rPr>
          <w:rFonts w:ascii="Calibri" w:hAnsi="Calibri" w:cs="Calibri"/>
          <w:lang w:val="en-GB"/>
        </w:rPr>
        <w:fldChar w:fldCharType="end"/>
      </w:r>
      <w:r w:rsidRPr="0035461C">
        <w:rPr>
          <w:rFonts w:ascii="Calibri" w:hAnsi="Calibri" w:cs="Calibri"/>
          <w:lang w:val="en-GB"/>
        </w:rPr>
        <w:t xml:space="preserve">. Exercise also helps maintain a healthy BMI and </w:t>
      </w:r>
      <w:r w:rsidRPr="0035461C">
        <w:rPr>
          <w:rFonts w:ascii="Calibri" w:hAnsi="Calibri" w:cs="Calibri"/>
        </w:rPr>
        <w:t>promotes sleep quality and mental wellbeing</w:t>
      </w:r>
      <w:r w:rsidRPr="0035461C">
        <w:rPr>
          <w:rFonts w:ascii="Calibri" w:hAnsi="Calibri" w:cs="Calibri"/>
          <w:lang w:val="en-GB"/>
        </w:rPr>
        <w:t>.</w:t>
      </w:r>
    </w:p>
    <w:p w14:paraId="2E4F10CD" w14:textId="167D9AC3" w:rsidR="00264FF0" w:rsidRPr="0035461C" w:rsidRDefault="00264FF0" w:rsidP="00264FF0">
      <w:pPr>
        <w:spacing w:before="120"/>
        <w:jc w:val="both"/>
        <w:rPr>
          <w:rFonts w:ascii="Calibri" w:hAnsi="Calibri" w:cs="Calibri"/>
        </w:rPr>
      </w:pPr>
      <w:r w:rsidRPr="0035461C">
        <w:rPr>
          <w:rFonts w:ascii="Calibri" w:hAnsi="Calibri" w:cs="Calibri"/>
          <w:lang w:val="en-GB"/>
        </w:rPr>
        <w:t xml:space="preserve">It is important that physical activity is performed safely. The major risks are from the acute effects of exercise on glucose concentrations, which </w:t>
      </w:r>
      <w:r w:rsidRPr="0035461C">
        <w:rPr>
          <w:rFonts w:ascii="Calibri" w:hAnsi="Calibri" w:cs="Calibri"/>
        </w:rPr>
        <w:t>depend on several factors, including the baseline fitness of the individual, type, intensity and the duration of activity; the amount of insulin in the circulation; the blood glucose concentration before exercise; and the composition of the last meal or snack. People with type 1 diabetes should be taught about the effects of exercise on glucose and how to balance exogenous insulin delivery and carbohydrate intake for the different forms and intensities of exercise.</w:t>
      </w:r>
      <w:r w:rsidR="00E615B3" w:rsidRPr="0035461C">
        <w:rPr>
          <w:rFonts w:ascii="Calibri" w:hAnsi="Calibri" w:cs="Calibri"/>
        </w:rPr>
        <w:t xml:space="preserve"> </w:t>
      </w:r>
    </w:p>
    <w:p w14:paraId="2A445055" w14:textId="30E9C1B8" w:rsidR="00264FF0" w:rsidRPr="0035461C" w:rsidRDefault="00264FF0" w:rsidP="00264FF0">
      <w:pPr>
        <w:spacing w:before="120"/>
        <w:jc w:val="both"/>
        <w:rPr>
          <w:rFonts w:ascii="Calibri" w:hAnsi="Calibri" w:cs="Calibri"/>
        </w:rPr>
      </w:pPr>
      <w:r w:rsidRPr="0035461C">
        <w:rPr>
          <w:rFonts w:ascii="Calibri" w:hAnsi="Calibri" w:cs="Calibri"/>
        </w:rPr>
        <w:t xml:space="preserve">Glycaemic management during exercise </w:t>
      </w:r>
      <w:r w:rsidR="00D3598D" w:rsidRPr="0035461C">
        <w:rPr>
          <w:rFonts w:ascii="Calibri" w:hAnsi="Calibri" w:cs="Calibri"/>
        </w:rPr>
        <w:t xml:space="preserve">should </w:t>
      </w:r>
      <w:r w:rsidRPr="0035461C">
        <w:rPr>
          <w:rFonts w:ascii="Calibri" w:hAnsi="Calibri" w:cs="Calibri"/>
        </w:rPr>
        <w:t xml:space="preserve">be made safer with CGM systems. The updated consensus statement for management of exercise in type 1 diabetes highlights very detailed suggestions regarding the use of trend arrows and adjustment of insulin doses and carbohydrate intake </w:t>
      </w:r>
      <w:r w:rsidRPr="0035461C">
        <w:rPr>
          <w:rFonts w:ascii="Calibri" w:hAnsi="Calibri" w:cs="Calibri"/>
        </w:rPr>
        <w:fldChar w:fldCharType="begin"/>
      </w:r>
      <w:r w:rsidR="00076F77">
        <w:rPr>
          <w:rFonts w:ascii="Calibri" w:hAnsi="Calibri" w:cs="Calibri"/>
        </w:rPr>
        <w:instrText xml:space="preserve"> ADDIN ZOTERO_ITEM CSL_CITATION {"citationID":"zeDgW8Mn","properties":{"formattedCitation":"(148)","plainCitation":"(148)","noteIndex":0},"citationItems":[{"id":11251,"uris":["http://zotero.org/groups/369679/items/Q9NK6D76"],"uri":["http://zotero.org/groups/369679/items/Q9NK6D76"],"itemData":{"id":11251,"type":"article-journal","abstract":"Physical exercise is an important component in the management of type 1 diabetes across the lifespan. Yet, acute exercise increases the risk of dysglycaemia, and the direction of glycaemic excursions depends, to some extent, on the intensity and duration of the type of exercise. Understandably, fear of hypoglycaemia is one of the strongest barriers to incorporating exercise into daily life. Risk of hypoglycaemia during and after exercise can be lowered when insulin-dose adjustments are made and/or additional carbohydrates are consumed. Glycaemic management during exercise has been made easier with continuous glucose monitoring (CGM) and intermittently scanned continuous glucose monitoring (isCGM) systems; however, because of the complexity of CGM and isCGM systems, both individuals with type 1 diabetes and their healthcare professionals may struggle with the interpretation of given information to maximise the technological potential for effective use around exercise (i.e. before, during and after). This position statement highlights the recent advancements in CGM and isCGM technology, with a focus on the evidence base for their efficacy to sense glucose around exercise and adaptations in the use of these emerging tools, and updates the guidance for exercise in adults, children and adolescents with type 1 diabetes. Graphical abstract.","container-title":"Diabetologia","DOI":"10.1007/s00125-020-05263-9","ISSN":"1432-0428","issue":"12","journalAbbreviation":"Diabetologia","language":"eng","note":"PMID: 33047169","page":"2501-2520","source":"PubMed","title":"Glucose management for exercise using continuous glucose monitoring (CGM) and intermittently scanned CGM (isCGM) systems in type 1 diabetes: position statement of the European Association for the Study of Diabetes (EASD) and of the International Society for Pediatric and Adolescent Diabetes (ISPAD) endorsed by JDRF and supported by the American Diabetes Association (ADA)","title-short":"Glucose management for exercise using continuous glucose monitoring (CGM) and intermittently scanned CGM (isCGM) systems in type 1 diabetes","volume":"63","author":[{"family":"Moser","given":"Othmar"},{"family":"Riddell","given":"Michael C."},{"family":"Eckstein","given":"Max L."},{"family":"Adolfsson","given":"Peter"},{"family":"Rabasa-Lhoret","given":"Rémi"},{"family":"Boom","given":"Louisa","non-dropping-particle":"van den"},{"family":"Gillard","given":"Pieter"},{"family":"Nørgaard","given":"Kirsten"},{"family":"Oliver","given":"Nick S."},{"family":"Zaharieva","given":"Dessi P."},{"family":"Battelino","given":"Tadej"},{"family":"Beaufort","given":"Carine","non-dropping-particle":"de"},{"family":"Bergenstal","given":"Richard M."},{"family":"Buckingham","given":"Bruce"},{"family":"Cengiz","given":"Eda"},{"family":"Deeb","given":"Asma"},{"family":"Heise","given":"Tim"},{"family":"Heller","given":"Simon"},{"family":"Kowalski","given":"Aaron J."},{"family":"Leelarathna","given":"Lalantha"},{"family":"Mathieu","given":"Chantal"},{"family":"Stettler","given":"Christoph"},{"family":"Tauschmann","given":"Martin"},{"family":"Thabit","given":"Hood"},{"family":"Wilmot","given":"Emma G."},{"family":"Sourij","given":"Harald"},{"family":"Smart","given":"Carmel E."},{"family":"Jacobs","given":"Peter G."},{"family":"Bracken","given":"Richard M."},{"family":"Mader","given":"Julia K."}],"issued":{"date-parts":[["2020",12]]}}}],"schema":"https://github.com/citation-style-language/schema/raw/master/csl-citation.json"} </w:instrText>
      </w:r>
      <w:r w:rsidRPr="0035461C">
        <w:rPr>
          <w:rFonts w:ascii="Calibri" w:hAnsi="Calibri" w:cs="Calibri"/>
        </w:rPr>
        <w:fldChar w:fldCharType="separate"/>
      </w:r>
      <w:r w:rsidR="00076F77" w:rsidRPr="00076F77">
        <w:rPr>
          <w:rFonts w:ascii="Calibri" w:hAnsi="Calibri" w:cs="Calibri"/>
        </w:rPr>
        <w:t>(148)</w:t>
      </w:r>
      <w:r w:rsidRPr="0035461C">
        <w:rPr>
          <w:rFonts w:ascii="Calibri" w:hAnsi="Calibri" w:cs="Calibri"/>
        </w:rPr>
        <w:fldChar w:fldCharType="end"/>
      </w:r>
      <w:r w:rsidRPr="0035461C">
        <w:rPr>
          <w:rFonts w:ascii="Calibri" w:hAnsi="Calibri" w:cs="Calibri"/>
        </w:rPr>
        <w:t>.</w:t>
      </w:r>
    </w:p>
    <w:p w14:paraId="19CA87C6" w14:textId="07914A6B" w:rsidR="00264FF0" w:rsidRPr="0035461C" w:rsidRDefault="00857CFC" w:rsidP="00264FF0">
      <w:pPr>
        <w:spacing w:before="120"/>
        <w:jc w:val="both"/>
        <w:rPr>
          <w:rFonts w:ascii="Calibri" w:hAnsi="Calibri" w:cs="Calibri"/>
          <w:lang w:val="en-GB"/>
        </w:rPr>
      </w:pPr>
      <w:r w:rsidRPr="00857CFC">
        <w:rPr>
          <w:rFonts w:asciiTheme="minorHAnsi" w:hAnsiTheme="minorHAnsi" w:cstheme="minorHAnsi"/>
        </w:rPr>
        <w:t>When discussing the importance of exercise, consideration of cardiovascular and lower extremity comorbid conditions is critical</w:t>
      </w:r>
      <w:r w:rsidR="00264FF0" w:rsidRPr="0035461C">
        <w:rPr>
          <w:rFonts w:ascii="Calibri" w:hAnsi="Calibri" w:cs="Calibri"/>
        </w:rPr>
        <w:t>. Advice should be given about appropriate footwear</w:t>
      </w:r>
      <w:r w:rsidR="00AF6982">
        <w:rPr>
          <w:rFonts w:ascii="Calibri" w:hAnsi="Calibri" w:cs="Calibri"/>
        </w:rPr>
        <w:t xml:space="preserve"> and foot inspection</w:t>
      </w:r>
      <w:r w:rsidR="00264FF0" w:rsidRPr="0035461C">
        <w:rPr>
          <w:rFonts w:ascii="Calibri" w:hAnsi="Calibri" w:cs="Calibri"/>
        </w:rPr>
        <w:t xml:space="preserve"> for those with peripheral neuropathy to avoid the risk of ulceration. However, walking</w:t>
      </w:r>
      <w:r w:rsidR="00264FF0" w:rsidRPr="0035461C">
        <w:rPr>
          <w:rFonts w:ascii="Calibri" w:hAnsi="Calibri" w:cs="Calibri"/>
          <w:lang w:val="en-GB"/>
        </w:rPr>
        <w:t xml:space="preserve"> does not increase the risk of ulceration in people with peripheral neuropathy </w:t>
      </w:r>
      <w:r w:rsidR="00264FF0" w:rsidRPr="0035461C">
        <w:rPr>
          <w:rFonts w:ascii="Calibri" w:hAnsi="Calibri" w:cs="Calibri"/>
          <w:lang w:val="en-GB"/>
        </w:rPr>
        <w:fldChar w:fldCharType="begin"/>
      </w:r>
      <w:r w:rsidR="00076F77">
        <w:rPr>
          <w:rFonts w:ascii="Calibri" w:hAnsi="Calibri" w:cs="Calibri"/>
          <w:lang w:val="en-GB"/>
        </w:rPr>
        <w:instrText xml:space="preserve"> ADDIN ZOTERO_ITEM CSL_CITATION {"citationID":"Xo3yZqvF","properties":{"formattedCitation":"(149)","plainCitation":"(149)","noteIndex":0},"citationItems":[{"id":1458,"uris":["http://zotero.org/groups/369679/items/3N5G2ZA2"],"uri":["http://zotero.org/groups/369679/items/3N5G2ZA2"],"itemData":{"id":1458,"type":"article-journal","abstract":"PURPOSE: This study had two purposes: to identify characteristics associated with participants' usual weight-bearing activity, and to determine whether weight-bearing activity increased the risk of foot ulcer among persons with diabetes and prior foot ulcer.\nMETHODS: We conducted a prospective cohort study of 400 participants with diabetes and a prior history of foot ulcer. Participants were from the Veterans Affairs Puget Sound Health Care System and Group Health Cooperative in Seattle, WA, and were originally assembled for a randomized controlled trial of footwear. Feet were examined and demographic and health history information was collected at enrollment. Daily weight-bearing activity was reported at enrollment and every 17 wk thereafter for 2 yr. All incident foot lesions were recorded.\nRESULTS: Weight-bearing activity was significantly higher among women. Activity was lower among participants who were older, unmarried, or who had a history of congestive heart failure, respiratory disease, stroke, or depression. Activity decreased significantly over the study period but remained similar in those with or without insensate feet. After adjustment for foot-related and health-status characteristics, moderately active participants (4.5-7.4 weight-bearing h.d-1) were at substantially but nonsignificantly reduced risk of foot ulcer compared with \"least active\" participants (&lt;4.5 weight-bearing h.d-1) (OR 0.50, 95% CI 0.22-1.16). \"Most active\" participants (&gt;or=7.5 weight-bearing h.d-1) were at significantly reduced risk (OR 0.20, 95% CI 0.04-0.87). Weight-bearing activity exerted similar effects on foot ulcer risk in participants with insensate versus sensate feet .\nCONCLUSION: Increased weight-bearing activity did not increase the risk of foot re-ulceration. Further studies are needed to explore weight-bearing activities that are safe for those with diabetes and insensate feet.","container-title":"Medicine and Science in Sports and Exercise","DOI":"10.1249/01.MSS.0000074459.41029.75","ISSN":"0195-9131","issue":"7","journalAbbreviation":"Med Sci Sports Exerc","language":"eng","note":"PMID: 12840628","page":"1093-1099","source":"NCBI PubMed","title":"Daily weight-bearing activity does not increase the risk of diabetic foot ulcers","volume":"35","author":[{"family":"Lemaster","given":"Joseph W."},{"family":"Reiber","given":"Gayle E."},{"family":"Smith","given":"Douglas G."},{"family":"Heagerty","given":"Patrick J."},{"family":"Wallace","given":"Carolyn"}],"issued":{"date-parts":[["2003",7]]}}}],"schema":"https://github.com/citation-style-language/schema/raw/master/csl-citation.json"} </w:instrText>
      </w:r>
      <w:r w:rsidR="00264FF0" w:rsidRPr="0035461C">
        <w:rPr>
          <w:rFonts w:ascii="Calibri" w:hAnsi="Calibri" w:cs="Calibri"/>
          <w:lang w:val="en-GB"/>
        </w:rPr>
        <w:fldChar w:fldCharType="separate"/>
      </w:r>
      <w:r w:rsidR="00076F77" w:rsidRPr="00076F77">
        <w:rPr>
          <w:rFonts w:ascii="Calibri" w:hAnsi="Calibri" w:cs="Calibri"/>
        </w:rPr>
        <w:t>(149)</w:t>
      </w:r>
      <w:r w:rsidR="00264FF0" w:rsidRPr="0035461C">
        <w:rPr>
          <w:rFonts w:ascii="Calibri" w:hAnsi="Calibri" w:cs="Calibri"/>
          <w:lang w:val="en-GB"/>
        </w:rPr>
        <w:fldChar w:fldCharType="end"/>
      </w:r>
      <w:r w:rsidR="00264FF0" w:rsidRPr="0035461C">
        <w:rPr>
          <w:rFonts w:ascii="Calibri" w:hAnsi="Calibri" w:cs="Calibri"/>
          <w:lang w:val="en-GB"/>
        </w:rPr>
        <w:t xml:space="preserve">. Weight-bearing exercise should be avoided in active foot disease. </w:t>
      </w:r>
      <w:r w:rsidR="00264FF0" w:rsidRPr="0035461C">
        <w:rPr>
          <w:rStyle w:val="Emphasis"/>
          <w:rFonts w:ascii="Calibri" w:hAnsi="Calibri" w:cs="Calibri"/>
          <w:i w:val="0"/>
        </w:rPr>
        <w:t xml:space="preserve">If an individual has proliferative diabetic retinopathy or severe non-proliferative diabetic retinopathy, then vigorous activity requiring straining may be contraindicated because of the risk of vitreous hemorrhage or retinal detachment </w:t>
      </w:r>
      <w:r w:rsidR="00264FF0" w:rsidRPr="0035461C">
        <w:rPr>
          <w:rStyle w:val="Emphasis"/>
          <w:rFonts w:ascii="Calibri" w:hAnsi="Calibri" w:cs="Calibri"/>
          <w:i w:val="0"/>
        </w:rPr>
        <w:fldChar w:fldCharType="begin"/>
      </w:r>
      <w:r w:rsidR="00076F77">
        <w:rPr>
          <w:rStyle w:val="Emphasis"/>
          <w:rFonts w:ascii="Calibri" w:hAnsi="Calibri" w:cs="Calibri"/>
          <w:i w:val="0"/>
        </w:rPr>
        <w:instrText xml:space="preserve"> ADDIN ZOTERO_ITEM CSL_CITATION {"citationID":"Vwrn6GUb","properties":{"formattedCitation":"(150)","plainCitation":"(150)","noteIndex":0},"citationItems":[{"id":2708,"uris":["http://zotero.org/groups/369679/items/2CHD9HJ7"],"uri":["http://zotero.org/groups/369679/items/2CHD9HJ7"],"itemData":{"id":2708,"type":"article-journal","abstract":"&lt;h2&gt;Summary&lt;/h2&gt;&lt;p&gt;Type 1 diabetes is a challenging condition to manage for various physiological and behavioural reasons. Regular exercise is important, but management of different forms of physical activity is particularly difficult for both the individual with type 1 diabetes and the health-care provider. People with type 1 diabetes tend to be at least as inactive as the general population, with a large percentage of individuals not maintaining a healthy body mass nor achieving the minimum amount of moderate to vigorous aerobic activity per week. Regular exercise can improve health and wellbeing, and can help individuals to achieve their target lipid profile, body composition, and fitness and glycaemic goals. However, several additional barriers to exercise can exist for a person with diabetes, including fear of hypoglycaemia, loss of glycaemic control, and inadequate knowledge around exercise management. This Review provides an up-to-date consensus on exercise management for individuals with type 1 diabetes who exercise regularly, including glucose targets for safe and effective exercise, and nutritional and insulin dose adjustments to protect against exercise-related glucose excursions.&lt;/p&gt;","container-title":"The Lancet Diabetes &amp; Endocrinology","DOI":"10.1016/S2213-8587(17)30014-1","ISSN":"2213-8587, 2213-8595","issue":"5","journalAbbreviation":"The Lancet Diabetes &amp; Endocrinology","language":"English","note":"PMID: 28126459, 28126459","page":"377-390","source":"www.thelancet.com","title":"Exercise management in type 1 diabetes: a consensus statement","title-short":"Exercise management in type 1 diabetes","volume":"5","author":[{"family":"Riddell","given":"Michael C."},{"family":"Gallen","given":"Ian W."},{"family":"Smart","given":"Carmel E."},{"family":"Taplin","given":"Craig E."},{"family":"Adolfsson","given":"Peter"},{"family":"Lumb","given":"Alistair N."},{"family":"Kowalski","given":"Aaron"},{"family":"Rabasa-Lhoret","given":"Remi"},{"family":"McCrimmon","given":"Rory J."},{"family":"Hume","given":"Carin"},{"family":"Annan","given":"Francesca"},{"family":"Fournier","given":"Paul A."},{"family":"Graham","given":"Claudia"},{"family":"Bode","given":"Bruce"},{"family":"Galassetti","given":"Pietro"},{"family":"Jones","given":"Timothy W."},{"family":"Millán","given":"Iñigo San"},{"family":"Heise","given":"Tim"},{"family":"Peters","given":"Anne L."},{"family":"Petz","given":"Andreas"},{"family":"Laffel","given":"Lori M."}],"issued":{"date-parts":[["2017",5,1]]}}}],"schema":"https://github.com/citation-style-language/schema/raw/master/csl-citation.json"} </w:instrText>
      </w:r>
      <w:r w:rsidR="00264FF0" w:rsidRPr="0035461C">
        <w:rPr>
          <w:rStyle w:val="Emphasis"/>
          <w:rFonts w:ascii="Calibri" w:hAnsi="Calibri" w:cs="Calibri"/>
          <w:i w:val="0"/>
        </w:rPr>
        <w:fldChar w:fldCharType="separate"/>
      </w:r>
      <w:r w:rsidR="00076F77" w:rsidRPr="00076F77">
        <w:rPr>
          <w:rFonts w:ascii="Calibri" w:hAnsi="Calibri" w:cs="Calibri"/>
        </w:rPr>
        <w:t>(150)</w:t>
      </w:r>
      <w:r w:rsidR="00264FF0" w:rsidRPr="0035461C">
        <w:rPr>
          <w:rStyle w:val="Emphasis"/>
          <w:rFonts w:ascii="Calibri" w:hAnsi="Calibri" w:cs="Calibri"/>
          <w:i w:val="0"/>
        </w:rPr>
        <w:fldChar w:fldCharType="end"/>
      </w:r>
      <w:r w:rsidR="00264FF0" w:rsidRPr="0035461C">
        <w:rPr>
          <w:rStyle w:val="Emphasis"/>
          <w:rFonts w:ascii="Calibri" w:hAnsi="Calibri" w:cs="Calibri"/>
          <w:i w:val="0"/>
        </w:rPr>
        <w:t>. The individual should be advised to consult an ophthalmologist prior to engaging in an intense exercise regimen.</w:t>
      </w:r>
    </w:p>
    <w:p w14:paraId="09C787EE" w14:textId="3AA48FCE" w:rsidR="00264FF0" w:rsidRPr="0035461C" w:rsidRDefault="00264FF0" w:rsidP="00264FF0">
      <w:pPr>
        <w:spacing w:before="120"/>
        <w:jc w:val="both"/>
        <w:rPr>
          <w:rFonts w:ascii="Calibri" w:hAnsi="Calibri" w:cs="Calibri"/>
        </w:rPr>
      </w:pPr>
      <w:r w:rsidRPr="0035461C">
        <w:rPr>
          <w:rFonts w:ascii="Calibri" w:hAnsi="Calibri" w:cs="Calibri"/>
        </w:rPr>
        <w:t>Additional details regarding the diabetes management during physical activity or exercise ha</w:t>
      </w:r>
      <w:r w:rsidR="00920C2B" w:rsidRPr="0035461C">
        <w:rPr>
          <w:rFonts w:ascii="Calibri" w:hAnsi="Calibri" w:cs="Calibri"/>
        </w:rPr>
        <w:t>ve</w:t>
      </w:r>
      <w:r w:rsidRPr="0035461C">
        <w:rPr>
          <w:rFonts w:ascii="Calibri" w:hAnsi="Calibri" w:cs="Calibri"/>
        </w:rPr>
        <w:t xml:space="preserve"> been described elsewhere </w:t>
      </w:r>
      <w:r w:rsidRPr="0035461C">
        <w:rPr>
          <w:rFonts w:ascii="Calibri" w:hAnsi="Calibri" w:cs="Calibri"/>
        </w:rPr>
        <w:fldChar w:fldCharType="begin"/>
      </w:r>
      <w:r w:rsidR="00076F77">
        <w:rPr>
          <w:rFonts w:ascii="Calibri" w:hAnsi="Calibri" w:cs="Calibri"/>
        </w:rPr>
        <w:instrText xml:space="preserve"> ADDIN ZOTERO_ITEM CSL_CITATION {"citationID":"sZtuglUs","properties":{"formattedCitation":"(151)","plainCitation":"(151)","noteIndex":0},"citationItems":[{"id":929,"uris":["http://zotero.org/groups/369679/items/J9DB6X66"],"uri":["http://zotero.org/groups/369679/items/J9DB6X66"],"itemData":{"id":929,"type":"book","abstract":"Physical movement has a positive effect on physical fitness, morbidity, and mortality in individuals with diabetes. Although exercise has long been considered a cornerstone of diabetes management, many health care providers fail to prescribe it. In addition, many fitness professionals may be unaware of the complexities of including physical activity in the management of diabetes. Giving patients or clients a full exercise prescription that take other chronic conditions commonly accompanying diabetes into account may be too time-consuming for or beyond the expertise of many health care and fitness professionals.The purpose of this book is to cover the recommended types and quantities of physical activities that can and should be undertaken by all individuals with any type of diabetes, along with precautions related to medication use and diabetes-related health complications. Medications used to control diabetes should augment lifestyle improvements like increased daily physical activity rather than replace them.Up until now, professional books with exercise information and prescriptions were not timely or interactive enough to easily provide busy professionals with access to the latest recommendations for each unique patient. However, simply instructing patients to “exercise more” is frequently not motivating or informative enough to get them regularly or safely active. This book is changing all that with its up-to-date and easy-to-prescribe exercise and physical activity recommendations and relevant case studies.Read and learn to quickly prescribe effective and appropriate exercise to everyone.","edition":"1 edition","ISBN":"978-1-58040-485-3","language":"English","number-of-pages":"424","publisher":"American Diabetes Association","source":"Amazon.com","title":"Exercise and Diabetes: A Clinician's Guide to Prescribing Physical Activity","title-short":"Exercise and Diabetes","author":[{"family":"Colberg","given":"Sheri R."}],"issued":{"date-parts":[["2013",7,23]]}}}],"schema":"https://github.com/citation-style-language/schema/raw/master/csl-citation.json"} </w:instrText>
      </w:r>
      <w:r w:rsidRPr="0035461C">
        <w:rPr>
          <w:rFonts w:ascii="Calibri" w:hAnsi="Calibri" w:cs="Calibri"/>
        </w:rPr>
        <w:fldChar w:fldCharType="separate"/>
      </w:r>
      <w:r w:rsidR="00076F77" w:rsidRPr="00076F77">
        <w:rPr>
          <w:rFonts w:ascii="Calibri" w:hAnsi="Calibri" w:cs="Calibri"/>
        </w:rPr>
        <w:t>(151)</w:t>
      </w:r>
      <w:r w:rsidRPr="0035461C">
        <w:rPr>
          <w:rFonts w:ascii="Calibri" w:hAnsi="Calibri" w:cs="Calibri"/>
        </w:rPr>
        <w:fldChar w:fldCharType="end"/>
      </w:r>
      <w:r w:rsidRPr="0035461C">
        <w:rPr>
          <w:rFonts w:ascii="Calibri" w:hAnsi="Calibri" w:cs="Calibri"/>
        </w:rPr>
        <w:t>. When there is excessive physical exercise combined with extreme low weight, an eating disorder should be considered.</w:t>
      </w:r>
    </w:p>
    <w:p w14:paraId="46B67680" w14:textId="77777777" w:rsidR="00264FF0" w:rsidRPr="0035461C" w:rsidRDefault="00264FF0" w:rsidP="00264FF0">
      <w:pPr>
        <w:spacing w:before="120"/>
        <w:jc w:val="both"/>
        <w:rPr>
          <w:rFonts w:ascii="Calibri" w:hAnsi="Calibri" w:cs="Calibri"/>
          <w:b/>
        </w:rPr>
      </w:pPr>
      <w:r w:rsidRPr="0035461C">
        <w:rPr>
          <w:rFonts w:ascii="Calibri" w:hAnsi="Calibri" w:cs="Calibri"/>
          <w:i/>
          <w:iCs/>
          <w:u w:val="single"/>
        </w:rPr>
        <w:t>Sleep</w:t>
      </w:r>
    </w:p>
    <w:p w14:paraId="60ECD973" w14:textId="1D717E39" w:rsidR="00264FF0" w:rsidRPr="0035461C" w:rsidRDefault="00264FF0" w:rsidP="00264FF0">
      <w:pPr>
        <w:spacing w:before="120"/>
        <w:jc w:val="both"/>
        <w:rPr>
          <w:rFonts w:ascii="Calibri" w:hAnsi="Calibri" w:cs="Calibri"/>
          <w:b/>
        </w:rPr>
      </w:pPr>
      <w:r w:rsidRPr="0035461C">
        <w:rPr>
          <w:rFonts w:ascii="Calibri" w:hAnsi="Calibri" w:cs="Calibri"/>
          <w:color w:val="000000"/>
          <w:shd w:val="clear" w:color="auto" w:fill="FFFFFF"/>
        </w:rPr>
        <w:t>Proper sleep hygiene is essential for all individuals. S</w:t>
      </w:r>
      <w:r w:rsidRPr="0035461C">
        <w:rPr>
          <w:rFonts w:ascii="Calibri" w:hAnsi="Calibri" w:cs="Calibri"/>
        </w:rPr>
        <w:t xml:space="preserve">leep may be disrupted in people with type 1 diabetes as a result of both </w:t>
      </w:r>
      <w:proofErr w:type="spellStart"/>
      <w:r w:rsidRPr="0035461C">
        <w:rPr>
          <w:rFonts w:ascii="Calibri" w:hAnsi="Calibri" w:cs="Calibri"/>
        </w:rPr>
        <w:t>behavioural</w:t>
      </w:r>
      <w:proofErr w:type="spellEnd"/>
      <w:r w:rsidRPr="0035461C">
        <w:rPr>
          <w:rFonts w:ascii="Calibri" w:hAnsi="Calibri" w:cs="Calibri"/>
        </w:rPr>
        <w:t xml:space="preserve"> and physiological aspects of diabetes and its management</w:t>
      </w:r>
      <w:r w:rsidR="00AD71DE" w:rsidRPr="0035461C">
        <w:rPr>
          <w:rFonts w:ascii="Calibri" w:hAnsi="Calibri" w:cs="Calibri"/>
        </w:rPr>
        <w:t xml:space="preserve"> </w:t>
      </w:r>
      <w:r w:rsidR="00AD71DE" w:rsidRPr="0035461C">
        <w:rPr>
          <w:rFonts w:ascii="Calibri" w:hAnsi="Calibri" w:cs="Calibri"/>
        </w:rPr>
        <w:fldChar w:fldCharType="begin"/>
      </w:r>
      <w:r w:rsidR="00076F77">
        <w:rPr>
          <w:rFonts w:ascii="Calibri" w:hAnsi="Calibri" w:cs="Calibri"/>
        </w:rPr>
        <w:instrText xml:space="preserve"> ADDIN ZOTERO_ITEM CSL_CITATION {"citationID":"oXDvZjji","properties":{"formattedCitation":"(152)","plainCitation":"(152)","noteIndex":0},"citationItems":[{"id":11499,"uris":["http://zotero.org/groups/369679/items/4ERB7BWG"],"uri":["http://zotero.org/groups/369679/items/4ERB7BWG"],"itemData":{"id":11499,"type":"article-journal","abstract":"OBJECTIVES: The association between inadequate sleep and type 2 diabetes has garnered much attention, but little is known about sleep and type 1 diabetes (T1D). Our objectives were to conduct a systematic review and meta-analysis comparing sleep in persons with and without T1D, and to explore relationships between sleep and glycemic control in T1D.\nMETHODS: Studies were identified from Medline and Scopus. Studies reporting measures of sleep in T1D patients and controls, and/or associations between sleep and glycemic control, were selected.\nRESULTS: A total of 22 studies were eligible for the meta-analysis. Children with T1D had shorter sleep duration (mean difference [MD] = -26.4 minutes; 95% confidence interval [CI] = -35.4, -17.7) than controls. Adults with T1D reported poorer sleep quality (MD in standardized sleep quality score = 0.51; 95% CI = 0.33, 0.70), with higher scores reflecting worse sleep quality) than controls, but there was no difference in self-reported sleep duration. Adults with TID who reported sleeping &gt;6 hours had lower hemoglobin A1c (HbA1c) levels than those sleeping ≤6 hours (MD = -0.24%; 95% CI = -0.47, -0.02), and participants reporting good sleep quality had lower HbA1c than those with poor sleep quality (MD = -0.19%; 95% CI = -0.30, -0.08). The estimated prevalence of obstructive sleep apnea (OSA) in adults with TID was 51.9% (95% CI = 31.2, 72.6). Patients with moderate-to-severe OSA had a trend toward higher HbA1c (MD = 0.39%, 95% CI = -0.08, 0.87).\nCONCLUSION: T1D was associated with poorer sleep and high prevalence of OSA. Poor sleep quality, shorter sleep duration, and OSA were associated with suboptimal glycemic control in T1D patients.","container-title":"Sleep Medicine","DOI":"10.1016/j.sleep.2016.03.019","ISSN":"1878-5506","journalAbbreviation":"Sleep Med","language":"eng","note":"PMID: 27692274","page":"26-45","source":"PubMed","title":"Sleep characteristics in type 1 diabetes and associations with glycemic control: systematic review and meta-analysis","title-short":"Sleep characteristics in type 1 diabetes and associations with glycemic control","volume":"23","author":[{"family":"Reutrakul","given":"Sirimon"},{"family":"Thakkinstian","given":"Ammarin"},{"family":"Anothaisintawee","given":"Thunyarat"},{"family":"Chontong","given":"Sasipas"},{"family":"Borel","given":"Anne-Laure"},{"family":"Perfect","given":"Michelle M."},{"family":"Janovsky","given":"Carolina Castro Porto Silva"},{"family":"Kessler","given":"Romain"},{"family":"Schultes","given":"Bernd"},{"family":"Harsch","given":"Igor Alexander"},{"family":"Dijk","given":"Marieke","non-dropping-particle":"van"},{"family":"Bouhassira","given":"Didier"},{"family":"Matejko","given":"Bartlomiej"},{"family":"Lipton","given":"Rebecca B."},{"family":"Suwannalai","given":"Parawee"},{"family":"Chirakalwasan","given":"Naricha"},{"family":"Schober","given":"Anne-Katrin"},{"family":"Knutson","given":"Kristen L."}],"issued":{"date-parts":[["2016",7]]}}}],"schema":"https://github.com/citation-style-language/schema/raw/master/csl-citation.json"} </w:instrText>
      </w:r>
      <w:r w:rsidR="00AD71DE" w:rsidRPr="0035461C">
        <w:rPr>
          <w:rFonts w:ascii="Calibri" w:hAnsi="Calibri" w:cs="Calibri"/>
        </w:rPr>
        <w:fldChar w:fldCharType="separate"/>
      </w:r>
      <w:r w:rsidR="00076F77" w:rsidRPr="00076F77">
        <w:rPr>
          <w:rFonts w:ascii="Calibri" w:hAnsi="Calibri" w:cs="Calibri"/>
        </w:rPr>
        <w:t>(152)</w:t>
      </w:r>
      <w:r w:rsidR="00AD71DE" w:rsidRPr="0035461C">
        <w:rPr>
          <w:rFonts w:ascii="Calibri" w:hAnsi="Calibri" w:cs="Calibri"/>
        </w:rPr>
        <w:fldChar w:fldCharType="end"/>
      </w:r>
      <w:r w:rsidRPr="0035461C">
        <w:rPr>
          <w:rFonts w:ascii="Calibri" w:hAnsi="Calibri" w:cs="Calibri"/>
        </w:rPr>
        <w:t>. They may include hyper</w:t>
      </w:r>
      <w:r w:rsidR="00EC0C5B" w:rsidRPr="0035461C">
        <w:rPr>
          <w:rFonts w:ascii="Calibri" w:hAnsi="Calibri" w:cs="Calibri"/>
        </w:rPr>
        <w:t>-</w:t>
      </w:r>
      <w:r w:rsidRPr="0035461C">
        <w:rPr>
          <w:rFonts w:ascii="Calibri" w:hAnsi="Calibri" w:cs="Calibri"/>
        </w:rPr>
        <w:t xml:space="preserve"> and hypoglycaemic episodes, blood glucose variability, and loss of blood pressure decline. However, studies performed so far have not determined causality</w:t>
      </w:r>
      <w:r w:rsidRPr="0035461C">
        <w:rPr>
          <w:rFonts w:ascii="Calibri" w:hAnsi="Calibri" w:cs="Calibri"/>
          <w:color w:val="000000"/>
          <w:shd w:val="clear" w:color="auto" w:fill="FFFFFF"/>
        </w:rPr>
        <w:t xml:space="preserve">. On the other hand, sleep disturbances including poor sleep quality and shorter sleep duration </w:t>
      </w:r>
      <w:r w:rsidR="00EC0C5B" w:rsidRPr="0035461C">
        <w:rPr>
          <w:rFonts w:ascii="Calibri" w:hAnsi="Calibri" w:cs="Calibri"/>
          <w:color w:val="000000"/>
          <w:shd w:val="clear" w:color="auto" w:fill="FFFFFF"/>
        </w:rPr>
        <w:t>are</w:t>
      </w:r>
      <w:r w:rsidRPr="0035461C">
        <w:rPr>
          <w:rFonts w:ascii="Calibri" w:hAnsi="Calibri" w:cs="Calibri"/>
          <w:color w:val="000000"/>
          <w:shd w:val="clear" w:color="auto" w:fill="FFFFFF"/>
        </w:rPr>
        <w:t xml:space="preserve"> associated with worsening glycemic levels in type 1 diabetes</w:t>
      </w:r>
      <w:r w:rsidR="00216C7E" w:rsidRPr="0035461C">
        <w:rPr>
          <w:rFonts w:ascii="Calibri" w:hAnsi="Calibri" w:cs="Calibri"/>
          <w:color w:val="000000"/>
          <w:shd w:val="clear" w:color="auto" w:fill="FFFFFF"/>
        </w:rPr>
        <w:t xml:space="preserve"> </w:t>
      </w:r>
      <w:r w:rsidR="00216C7E" w:rsidRPr="0035461C">
        <w:rPr>
          <w:rFonts w:ascii="Calibri" w:hAnsi="Calibri" w:cs="Calibri"/>
          <w:color w:val="000000"/>
          <w:shd w:val="clear" w:color="auto" w:fill="FFFFFF"/>
        </w:rPr>
        <w:fldChar w:fldCharType="begin"/>
      </w:r>
      <w:r w:rsidR="00076F77">
        <w:rPr>
          <w:rFonts w:ascii="Calibri" w:hAnsi="Calibri" w:cs="Calibri"/>
          <w:color w:val="000000"/>
          <w:shd w:val="clear" w:color="auto" w:fill="FFFFFF"/>
        </w:rPr>
        <w:instrText xml:space="preserve"> ADDIN ZOTERO_ITEM CSL_CITATION {"citationID":"aWJMCVSD","properties":{"formattedCitation":"(153,154)","plainCitation":"(153,154)","noteIndex":0},"citationItems":[{"id":11501,"uris":["http://zotero.org/groups/369679/items/KP7ZXGI2"],"uri":["http://zotero.org/groups/369679/items/KP7ZXGI2"],"itemData":{"id":11501,"type":"article-journal","abstract":"AIMS: To date, studies on sleep disturbances in type 1 diabetes (T1D) have been limited to youth and/or small samples. We therefore assessed the prevalence of subjective sleep disturbances and their associations with glycemia and estimated insulin sensitivity in individuals with long-standing T1D.\nMETHODS: We conducted a cross-sectional study including 222 participants of the Epidemiology of Diabetes Complications study of childhood-onset T1D attending the 25-year examination (mean age=52years, diabetes duration=43years). The Berlin Questionnaire (risk of obstructive sleep apnea, OSA), the Epworth Sleepiness Scale (daytime sleepiness), and the Pittsburgh Sleep Quality Index (sleep quality, bad dreams presence, and sleep duration) were completed. Associations between sleep disturbances and poor glycemic control (HbA1c</w:instrText>
      </w:r>
      <w:r w:rsidR="00076F77">
        <w:rPr>
          <w:rFonts w:ascii="Cambria Math" w:hAnsi="Cambria Math" w:cs="Cambria Math"/>
          <w:color w:val="000000"/>
          <w:shd w:val="clear" w:color="auto" w:fill="FFFFFF"/>
        </w:rPr>
        <w:instrText>⩾</w:instrText>
      </w:r>
      <w:r w:rsidR="00076F77">
        <w:rPr>
          <w:rFonts w:ascii="Calibri" w:hAnsi="Calibri" w:cs="Calibri"/>
          <w:color w:val="000000"/>
          <w:shd w:val="clear" w:color="auto" w:fill="FFFFFF"/>
        </w:rPr>
        <w:instrText xml:space="preserve">7.5%/58mmol/mol), log-transformed HbA1c, and estimated insulin sensitivity (estimated glucose disposal rate, eGDR, squared) were assessed in multivariable regression.\nRESULTS: The prevalences of high OSA risk, excessive daytime sleepiness, poor sleep quality, and bad dreams were 23%, 13%, 41%, and 26%, respectively, with more women (51%) reporting poor sleep quality than men (30%, p=0.004). Participants under poor glycemic control were twice as likely to report bad dreams (p=0.03), but not independently (p=0.07) of depressive symptomatology. Sleep duration was directly associated with HbA1c among individuals with poor glycemic control, but inversely in their counterparts (interaction p=0.002), and inversely associated with eGDR (p=0.002).\nCONCLUSIONS: These findings suggest important interrelationships between sleep, gender, depressive symptomatology, and glycemic control, which may have important clinical implications. Further research is warranted to examine the mechanism of the interaction between sleep duration and glycemic control.","container-title":"Diabetes Research and Clinical Practice","DOI":"10.1016/j.diabres.2016.06.013","ISSN":"1872-8227","journalAbbreviation":"Diabetes Res Clin Pract","language":"eng","note":"PMID: 27415404\nPMCID: PMC5024530","page":"1-12","source":"PubMed","title":"Subjective sleep disturbances and glycemic control in adults with long-standing type 1 diabetes: The Pittsburgh's Epidemiology of Diabetes Complications study","title-short":"Subjective sleep disturbances and glycemic control in adults with long-standing type 1 diabetes","volume":"119","author":[{"family":"Denic-Roberts","given":"Hristina"},{"family":"Costacou","given":"Tina"},{"family":"Orchard","given":"Trevor J."}],"issued":{"date-parts":[["2016",9]]}}},{"id":11504,"uris":["http://zotero.org/groups/369679/items/NHVCVWNN"],"uri":["http://zotero.org/groups/369679/items/NHVCVWNN"],"itemData":{"id":11504,"type":"article-journal","abstract":"AIMS/HYPOTHESIS: Decreased sleep duration and/or impaired sleep quality negatively influence glucoregulation. The aim of this study was to assess subjective sleep characteristics in patients with type 1 diabetes, to relate sleep characteristics to long-term glycaemic control and to assess possible risk factors for impaired sleep.\nMETHODS: We studied 99 adult patients with type 1 diabetes (55 men, 44 women, duration of diabetes 26.9 ± 1.2 years) and 99 age-, sex- and BMI-matched non-diabetic controls. Subjective sleep characteristics were assessed by validated questionnaires, i.e. Pittsburgh Sleep Quality Index, Epworth Sleepiness Scale and the Berlin Questionnaire. Glucoregulation was assessed by HbA(1c) values. Clinical variables were obtained from medical charts. Depression was assessed by the Hospital Anxiety and Depression Scale (HADS). Peripheral polyneuropathy was assessed by neurological examination and quantitative sensory testing.\nRESULTS: Of the patients with type 1 diabetes, 35% had subjective poor sleep quality compared with 20% of the control participants (p = 0.021). A higher proportion of the patients with type 1 diabetes were at increased risk for obstructive sleep apnoea (OSA) (17.2% vs 5.1%, p = 0.012). There was no significant association between individual sleep characteristics and HbA(1c) values. On logistic regression analysis, the HADS depression score, presence of peripheral polyneuropathy, habitual snoring and other sleep disturbances (e.g. hypoglycaemia) were independently associated with poor sleep quality.\nCONCLUSIONS/INTERPRETATION: Adult patients with long-standing type 1 diabetes mellitus have disturbed subjective sleep quality and a higher risk for OSA compared with control participants. Subjective sleep disturbances are part of the complex syndrome of long-standing type 1 diabetes.","container-title":"Diabetologia","DOI":"10.1007/s00125-011-2184-7","ISSN":"1432-0428","issue":"8","journalAbbreviation":"Diabetologia","language":"eng","note":"PMID: 21573904\nPMCID: PMC3131522","page":"1967-1976","source":"PubMed","title":"Disturbed subjective sleep characteristics in adult patients with long-standing type 1 diabetes mellitus","volume":"54","author":[{"family":"Dijk","given":"M.","non-dropping-particle":"van"},{"family":"Donga","given":"E."},{"family":"Dijk","given":"J. G.","non-dropping-particle":"van"},{"family":"Lammers","given":"G. J."},{"family":"Kralingen","given":"K. W.","non-dropping-particle":"van"},{"family":"Dekkers","given":"O. M."},{"family":"Corssmit","given":"E. P. M."},{"family":"Romijn","given":"J. A."}],"issued":{"date-parts":[["2011",8]]}}}],"schema":"https://github.com/citation-style-language/schema/raw/master/csl-citation.json"} </w:instrText>
      </w:r>
      <w:r w:rsidR="00216C7E" w:rsidRPr="0035461C">
        <w:rPr>
          <w:rFonts w:ascii="Calibri" w:hAnsi="Calibri" w:cs="Calibri"/>
          <w:color w:val="000000"/>
          <w:shd w:val="clear" w:color="auto" w:fill="FFFFFF"/>
        </w:rPr>
        <w:fldChar w:fldCharType="separate"/>
      </w:r>
      <w:r w:rsidR="00076F77" w:rsidRPr="00076F77">
        <w:rPr>
          <w:rFonts w:ascii="Calibri" w:hAnsi="Calibri" w:cs="Calibri"/>
        </w:rPr>
        <w:t>(153,154)</w:t>
      </w:r>
      <w:r w:rsidR="00216C7E" w:rsidRPr="0035461C">
        <w:rPr>
          <w:rFonts w:ascii="Calibri" w:hAnsi="Calibri" w:cs="Calibri"/>
          <w:color w:val="000000"/>
          <w:shd w:val="clear" w:color="auto" w:fill="FFFFFF"/>
        </w:rPr>
        <w:fldChar w:fldCharType="end"/>
      </w:r>
      <w:r w:rsidRPr="0035461C">
        <w:rPr>
          <w:rFonts w:ascii="Calibri" w:hAnsi="Calibri" w:cs="Calibri"/>
          <w:color w:val="000000"/>
          <w:shd w:val="clear" w:color="auto" w:fill="FFFFFF"/>
        </w:rPr>
        <w:t xml:space="preserve">. </w:t>
      </w:r>
    </w:p>
    <w:p w14:paraId="795EFF85" w14:textId="77777777" w:rsidR="00264FF0" w:rsidRPr="0035461C" w:rsidRDefault="00264FF0" w:rsidP="00264FF0">
      <w:pPr>
        <w:spacing w:before="120"/>
        <w:jc w:val="both"/>
        <w:rPr>
          <w:rFonts w:ascii="Calibri" w:hAnsi="Calibri" w:cs="Calibri"/>
          <w:i/>
          <w:u w:val="single"/>
        </w:rPr>
      </w:pPr>
    </w:p>
    <w:p w14:paraId="4C7D7CFD" w14:textId="77777777" w:rsidR="00264FF0" w:rsidRPr="0035461C" w:rsidRDefault="00264FF0" w:rsidP="00264FF0">
      <w:pPr>
        <w:spacing w:before="120"/>
        <w:jc w:val="both"/>
        <w:rPr>
          <w:rFonts w:ascii="Calibri" w:hAnsi="Calibri" w:cs="Calibri"/>
          <w:i/>
          <w:u w:val="single"/>
        </w:rPr>
      </w:pPr>
      <w:r w:rsidRPr="0035461C">
        <w:rPr>
          <w:rFonts w:ascii="Calibri" w:hAnsi="Calibri" w:cs="Calibri"/>
          <w:i/>
          <w:u w:val="single"/>
        </w:rPr>
        <w:t>Sick Day/Illness Management</w:t>
      </w:r>
    </w:p>
    <w:p w14:paraId="3CBB8921" w14:textId="4CCD424C" w:rsidR="00264FF0" w:rsidRPr="0035461C" w:rsidRDefault="00264FF0" w:rsidP="005A313A">
      <w:pPr>
        <w:spacing w:before="120"/>
        <w:jc w:val="both"/>
        <w:rPr>
          <w:rFonts w:ascii="Calibri" w:hAnsi="Calibri" w:cs="Calibri"/>
          <w:i/>
          <w:u w:val="single"/>
        </w:rPr>
      </w:pPr>
      <w:r w:rsidRPr="0035461C">
        <w:rPr>
          <w:rFonts w:ascii="Calibri" w:hAnsi="Calibri" w:cs="Calibri"/>
        </w:rPr>
        <w:t>Stressful events, including illness, may impact glucose levels and increase risk of DKA. More frequent glucose and ketone measurements are necessary to identify insulin adjustments.</w:t>
      </w:r>
      <w:r w:rsidR="00B279F3" w:rsidRPr="0035461C" w:rsidDel="00B279F3">
        <w:rPr>
          <w:rFonts w:ascii="Calibri" w:hAnsi="Calibri" w:cs="Calibri"/>
        </w:rPr>
        <w:t xml:space="preserve"> </w:t>
      </w:r>
      <w:r w:rsidR="00B279F3">
        <w:rPr>
          <w:rFonts w:ascii="Calibri" w:hAnsi="Calibri" w:cs="Calibri"/>
        </w:rPr>
        <w:t>I</w:t>
      </w:r>
      <w:r w:rsidR="00B279F3" w:rsidRPr="0035461C">
        <w:rPr>
          <w:rFonts w:ascii="Calibri" w:hAnsi="Calibri" w:cs="Calibri"/>
        </w:rPr>
        <w:t xml:space="preserve">ndividuals </w:t>
      </w:r>
      <w:r w:rsidR="00B279F3">
        <w:rPr>
          <w:rFonts w:ascii="Calibri" w:hAnsi="Calibri" w:cs="Calibri"/>
        </w:rPr>
        <w:t>should devise</w:t>
      </w:r>
      <w:r w:rsidR="00B279F3" w:rsidRPr="0035461C">
        <w:rPr>
          <w:rFonts w:ascii="Calibri" w:hAnsi="Calibri" w:cs="Calibri"/>
        </w:rPr>
        <w:t xml:space="preserve"> </w:t>
      </w:r>
      <w:r w:rsidRPr="0035461C">
        <w:rPr>
          <w:rFonts w:ascii="Calibri" w:hAnsi="Calibri" w:cs="Calibri"/>
        </w:rPr>
        <w:t>a</w:t>
      </w:r>
      <w:r w:rsidRPr="00F35525">
        <w:rPr>
          <w:rFonts w:asciiTheme="minorHAnsi" w:hAnsiTheme="minorHAnsi" w:cstheme="minorHAnsi"/>
        </w:rPr>
        <w:t xml:space="preserve"> sick day management plan </w:t>
      </w:r>
      <w:r w:rsidR="00B279F3" w:rsidRPr="00F35525">
        <w:rPr>
          <w:rFonts w:asciiTheme="minorHAnsi" w:hAnsiTheme="minorHAnsi" w:cstheme="minorHAnsi"/>
        </w:rPr>
        <w:t xml:space="preserve">in consultation </w:t>
      </w:r>
      <w:r w:rsidRPr="00F35525">
        <w:rPr>
          <w:rFonts w:asciiTheme="minorHAnsi" w:hAnsiTheme="minorHAnsi" w:cstheme="minorHAnsi"/>
        </w:rPr>
        <w:t xml:space="preserve">with their healthcare </w:t>
      </w:r>
      <w:r w:rsidR="00EC0C5B" w:rsidRPr="00F35525">
        <w:rPr>
          <w:rFonts w:asciiTheme="minorHAnsi" w:hAnsiTheme="minorHAnsi" w:cstheme="minorHAnsi"/>
        </w:rPr>
        <w:t>professional</w:t>
      </w:r>
      <w:r w:rsidRPr="00F35525">
        <w:rPr>
          <w:rFonts w:asciiTheme="minorHAnsi" w:hAnsiTheme="minorHAnsi" w:cstheme="minorHAnsi"/>
        </w:rPr>
        <w:t xml:space="preserve"> </w:t>
      </w:r>
      <w:r w:rsidRPr="00F35525">
        <w:rPr>
          <w:rFonts w:asciiTheme="minorHAnsi" w:hAnsiTheme="minorHAnsi" w:cstheme="minorHAnsi"/>
        </w:rPr>
        <w:fldChar w:fldCharType="begin"/>
      </w:r>
      <w:r w:rsidR="00076F77">
        <w:rPr>
          <w:rFonts w:asciiTheme="minorHAnsi" w:hAnsiTheme="minorHAnsi" w:cstheme="minorHAnsi"/>
        </w:rPr>
        <w:instrText xml:space="preserve"> ADDIN ZOTERO_ITEM CSL_CITATION {"citationID":"PBokR4Gj","properties":{"formattedCitation":"(155)","plainCitation":"(155)","noteIndex":0},"citationItems":[{"id":11257,"uris":["http://zotero.org/groups/369679/items/DHKWCXCF"],"uri":["http://zotero.org/groups/369679/items/DHKWCXCF"],"itemData":{"id":11257,"type":"article-journal","abstract":"The American Diabetes Association (ADA) \"Standards of Medical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(https://doi.org/10.2337/dc20-SPPC), are responsible for updating the Standards of Care annually, or more frequently as warranted. For a detailed description of ADA standards, statements, and reports, as well as the evidence-grading system for ADA's clinical practice recommendations, please refer to the Standards of Care Introduction (https://doi.org/10.2337/dc20-SINT). Readers who wish to comment on the Standards of Care are invited to do so at professional.diabetes.org/SOC.","container-title":"Diabetes Care","DOI":"10.2337/dc20-S006","ISSN":"1935-5548","issue":"Suppl 1","journalAbbreviation":"Diabetes Care","language":"eng","note":"PMID: 31862749","page":"S66-S76","source":"PubMed","title":"6. Glycemic Targets: Standards of Medical Care in Diabetes-2020","title-short":"6. Glycemic Targets","volume":"43","author":[{"literal":"American Diabetes Association"}],"issued":{"date-parts":[["2020",1]]}}}],"schema":"https://github.com/citation-style-language/schema/raw/master/csl-citation.json"} </w:instrText>
      </w:r>
      <w:r w:rsidRPr="00F35525">
        <w:rPr>
          <w:rFonts w:asciiTheme="minorHAnsi" w:hAnsiTheme="minorHAnsi" w:cstheme="minorHAnsi"/>
        </w:rPr>
        <w:fldChar w:fldCharType="separate"/>
      </w:r>
      <w:r w:rsidR="00076F77" w:rsidRPr="00076F77">
        <w:rPr>
          <w:rFonts w:ascii="Calibri" w:hAnsi="Calibri" w:cs="Calibri"/>
        </w:rPr>
        <w:t>(155)</w:t>
      </w:r>
      <w:r w:rsidRPr="00F35525">
        <w:rPr>
          <w:rFonts w:asciiTheme="minorHAnsi" w:hAnsiTheme="minorHAnsi" w:cstheme="minorHAnsi"/>
        </w:rPr>
        <w:fldChar w:fldCharType="end"/>
      </w:r>
      <w:r w:rsidRPr="00F35525">
        <w:rPr>
          <w:rFonts w:asciiTheme="minorHAnsi" w:hAnsiTheme="minorHAnsi" w:cstheme="minorHAnsi"/>
        </w:rPr>
        <w:t xml:space="preserve">. </w:t>
      </w:r>
      <w:r w:rsidR="00654452" w:rsidRPr="00F35525">
        <w:rPr>
          <w:rFonts w:asciiTheme="minorHAnsi" w:hAnsiTheme="minorHAnsi" w:cstheme="minorHAnsi"/>
        </w:rPr>
        <w:t>Examples of sick day protocols are available</w:t>
      </w:r>
      <w:r w:rsidR="00F35525" w:rsidRPr="00F35525">
        <w:rPr>
          <w:rFonts w:asciiTheme="minorHAnsi" w:hAnsiTheme="minorHAnsi" w:cstheme="minorHAnsi"/>
        </w:rPr>
        <w:t xml:space="preserve"> online</w:t>
      </w:r>
      <w:r w:rsidR="00440761">
        <w:rPr>
          <w:rFonts w:asciiTheme="minorHAnsi" w:hAnsiTheme="minorHAnsi" w:cstheme="minorHAnsi"/>
        </w:rPr>
        <w:t xml:space="preserve"> </w:t>
      </w:r>
      <w:r w:rsidR="00440761">
        <w:rPr>
          <w:rFonts w:asciiTheme="minorHAnsi" w:hAnsiTheme="minorHAnsi" w:cstheme="minorHAnsi"/>
        </w:rPr>
        <w:fldChar w:fldCharType="begin"/>
      </w:r>
      <w:r w:rsidR="00076F77">
        <w:rPr>
          <w:rFonts w:asciiTheme="minorHAnsi" w:hAnsiTheme="minorHAnsi" w:cstheme="minorHAnsi"/>
        </w:rPr>
        <w:instrText xml:space="preserve"> ADDIN ZOTERO_ITEM CSL_CITATION {"citationID":"aj5j16q8iv","properties":{"formattedCitation":"(156,157)","plainCitation":"(156,157)","noteIndex":0},"citationItems":[{"id":12503,"uris":["http://zotero.org/groups/369679/items/DNNMCUPZ"],"uri":["http://zotero.org/groups/369679/items/DNNMCUPZ"],"itemData":{"id":12503,"type":"webpage","abstract":"Learn how to manage diabetes to live longer and with a better quality of life than ever before","language":"en-us","title":"Managing Sick Days | Living with Diabetes | Diabetes | CDC","URL":"https://www.cdc.gov/diabetes/managing/flu-sick-days.html","accessed":{"date-parts":[["2021",7,16]]},"issued":{"date-parts":[["2020",7,23]]}}},{"id":12504,"uris":["http://zotero.org/groups/369679/items/KHTCCHPW"],"uri":["http://zotero.org/groups/369679/items/KHTCCHPW"],"itemData":{"id":12504,"type":"webpage","abstract":"When you have diabetes, it’s important to know how to cope when you’re unwell. Especially if you have to go into hospital.\n\nBeing ill can upset your diabetes management, so you need to know what to do to keep your blood glucose (sugar) levels as close to target as possible. Some people will know these as sick day rules.","container-title":"Diabetes UK","language":"en","title":"Diabetes when you're unwell","URL":"https://www.diabetes.org.uk/guide-to-diabetes/life-with-diabetes/illness","accessed":{"date-parts":[["2021",7,16]]}}}],"schema":"https://github.com/citation-style-language/schema/raw/master/csl-citation.json"} </w:instrText>
      </w:r>
      <w:r w:rsidR="00440761">
        <w:rPr>
          <w:rFonts w:asciiTheme="minorHAnsi" w:hAnsiTheme="minorHAnsi" w:cstheme="minorHAnsi"/>
        </w:rPr>
        <w:fldChar w:fldCharType="separate"/>
      </w:r>
      <w:r w:rsidR="00076F77" w:rsidRPr="00076F77">
        <w:rPr>
          <w:rFonts w:ascii="Calibri" w:hAnsi="Calibri" w:cs="Calibri"/>
        </w:rPr>
        <w:t>(156,157)</w:t>
      </w:r>
      <w:r w:rsidR="00440761">
        <w:rPr>
          <w:rFonts w:asciiTheme="minorHAnsi" w:hAnsiTheme="minorHAnsi" w:cstheme="minorHAnsi"/>
        </w:rPr>
        <w:fldChar w:fldCharType="end"/>
      </w:r>
      <w:r w:rsidR="00F35525" w:rsidRPr="00F35525">
        <w:rPr>
          <w:rFonts w:asciiTheme="minorHAnsi" w:hAnsiTheme="minorHAnsi" w:cstheme="minorHAnsi"/>
        </w:rPr>
        <w:t>. All</w:t>
      </w:r>
      <w:r w:rsidR="00654452" w:rsidRPr="00F35525">
        <w:rPr>
          <w:rFonts w:asciiTheme="minorHAnsi" w:hAnsiTheme="minorHAnsi" w:cstheme="minorHAnsi"/>
        </w:rPr>
        <w:t xml:space="preserve"> recommend ingestion of adequate amounts of fluids and carbohydrates, as well as when to monitor glucose and ketone levels, give insulin and under what circumstances a person with diabetes should seek urgent medical care.</w:t>
      </w:r>
    </w:p>
    <w:p w14:paraId="01888D89" w14:textId="77777777" w:rsidR="00264FF0" w:rsidRPr="0035461C" w:rsidRDefault="00264FF0" w:rsidP="00264FF0">
      <w:pPr>
        <w:spacing w:before="120"/>
        <w:jc w:val="both"/>
        <w:rPr>
          <w:rFonts w:ascii="Calibri" w:hAnsi="Calibri" w:cs="Calibri"/>
          <w:i/>
          <w:u w:val="single"/>
        </w:rPr>
      </w:pPr>
      <w:r w:rsidRPr="0035461C">
        <w:rPr>
          <w:rFonts w:ascii="Calibri" w:hAnsi="Calibri" w:cs="Calibri"/>
          <w:i/>
          <w:u w:val="single"/>
        </w:rPr>
        <w:t>Driving</w:t>
      </w:r>
    </w:p>
    <w:p w14:paraId="1B0C9424" w14:textId="058F7C6B" w:rsidR="00264FF0" w:rsidRPr="0035461C" w:rsidRDefault="00264FF0" w:rsidP="003E51A2">
      <w:pPr>
        <w:autoSpaceDE w:val="0"/>
        <w:autoSpaceDN w:val="0"/>
        <w:adjustRightInd w:val="0"/>
        <w:spacing w:before="120"/>
        <w:jc w:val="both"/>
        <w:rPr>
          <w:rFonts w:ascii="Calibri" w:hAnsi="Calibri" w:cs="Calibri"/>
          <w:color w:val="000000" w:themeColor="text1"/>
          <w:lang w:eastAsia="pl-PL"/>
        </w:rPr>
      </w:pPr>
      <w:r w:rsidRPr="0035461C">
        <w:rPr>
          <w:rFonts w:ascii="Calibri" w:hAnsi="Calibri" w:cs="Calibri"/>
          <w:color w:val="000000" w:themeColor="text1"/>
        </w:rPr>
        <w:t xml:space="preserve">Unrecognized hypoglycaemia and rapidly dropping glucose levels are the most relevant hazards for drivers with type 1 diabetes. These risks may be reduced by the use of CGM or BGM prior to driving and at 2-hourly intervals. Local regulations and recommendations should be followed for driving with type 1 diabetes </w:t>
      </w:r>
      <w:r w:rsidRPr="0035461C">
        <w:rPr>
          <w:rFonts w:ascii="Calibri" w:hAnsi="Calibri" w:cs="Calibri"/>
          <w:color w:val="000000" w:themeColor="text1"/>
        </w:rPr>
        <w:fldChar w:fldCharType="begin"/>
      </w:r>
      <w:r w:rsidR="00076F77">
        <w:rPr>
          <w:rFonts w:ascii="Calibri" w:hAnsi="Calibri" w:cs="Calibri"/>
          <w:color w:val="000000" w:themeColor="text1"/>
        </w:rPr>
        <w:instrText xml:space="preserve"> ADDIN ZOTERO_ITEM CSL_CITATION {"citationID":"a1amps6fhgs","properties":{"formattedCitation":"(158,159)","plainCitation":"(158,159)","noteIndex":0},"citationItems":[{"id":11262,"uris":["http://zotero.org/groups/369679/items/6YDMPIAT"],"uri":["http://zotero.org/groups/369679/items/6YDMPIAT"],"itemData":{"id":11262,"type":"article-journal","abstract":"Driving is a complex process that places considerable demands on cognitive and physical functions. Many complications of diabetes can potentially impair driving performance, including those affecting vision, cognition and peripheral neural function. Hypoglycemia is a common side-effect of insulin and sulfonylurea therapy, impairing many cognitive domains necessary for safe driving performance. Driving simulator studies have demonstrated how driving performance deteriorates during hypoglycemia. Driving behavior that may predispose to hypoglycemia while driving is examined. Studies examining the risk of road traffic accidents in people with insulin-treated diabetes have produced conflicting results, but the potential risk of hypoglycemia-related road traffic accidents has led to many countries imposing restrictions on the type and duration of driving licenses that can be issued to drivers with diabetes. Guidance that promotes safe driving practice has been provided for drivers with insulin-treated diabetes, which is the group principally addressed in this review.","container-title":"Clinical Diabetes and Endocrinology","DOI":"10.1186/s40842-015-0007-3","ISSN":"2055-8260","journalAbbreviation":"Clin Diabetes Endocrinol","language":"eng","note":"PMID: 28702227\nPMCID: PMC5471925","page":"8","source":"PubMed","title":"Driving and diabetes: problems, licensing restrictions and recommendations for safe driving","title-short":"Driving and diabetes","volume":"1","author":[{"family":"Graveling","given":"Alex J."},{"family":"Frier","given":"Brian M."}],"issued":{"date-parts":[["2015"]]}}},{"id":11265,"uris":["http://zotero.org/groups/369679/items/L4RMFJ3G"],"uri":["http://zotero.org/groups/369679/items/L4RMFJ3G"],"itemData":{"id":11265,"type":"article-journal","abstract":"Of the nearly 19 million people in the U.S. with diagnosed diabetes (1), a large percentage will seek or currently hold a license to drive. For many, a driver's license is essential to work; taking care of family; securing access to public and private facilities, services, and institutions; interacting with friends; attending classes; and/or performing many other functions of daily life. Indeed, in many communities and areas of the U.S. the use of an automobile is the only (or the only feasible or affordable) means of transportation available.\n\nThere has been considerable debate whether, and the extent to which, diabetes may be a relevant factor in determining driver ability and eligibility for a license. This position statement addresses such issues in light of current scientific and medical evidence.\n\nSometimes people with a strong interest in road safety, including motor vehicle administrators, pedestrians, drivers, other road users, and employers, associate all diabetes with unsafe driving when in fact most people with diabetes safely operate motor vehicles without creating any meaningful risk of injury to themselves or others. When legitimate questions arise about the medical fitness of a person with diabetes to drive, an individual assessment of that person's diabetes management—with particular emphasis on demonstrated ability to detect and appropriately treat potential hypoglycemia—is necessary in order to determine any appropriate restrictions. The diagnosis of diabetes is not sufficient to make any judgments about individual driver capacity.\n\nThis document provides an overview of existing licensing rules for people with diabetes, addresses the factors that impact driving for this population, and identifies general guidelines for assessing driver fitness and determining appropriate licensing restrictions.\n\nPeople with diabetes are currently subject to a great variety of licensing requirements and restrictions. These licensing decisions occur at several points and involve different levels and types of review, depending …","container-title":"Diabetes Care","DOI":"10.2337/dc14-S097","ISSN":"0149-5992, 1935-5548","issue":"Supplement 1","language":"en","note":"publisher: American Diabetes Association\nsection: Position Statement\nPMID: 24357217","page":"S97-S103","source":"care.diabetesjournals.org","title":"Diabetes and Driving","volume":"37","author":[{"family":"Association","given":"American Diabetes"}],"issued":{"date-parts":[["2014",1,1]]}}}],"schema":"https://github.com/citation-style-language/schema/raw/master/csl-citation.json"} </w:instrText>
      </w:r>
      <w:r w:rsidRPr="0035461C">
        <w:rPr>
          <w:rFonts w:ascii="Calibri" w:hAnsi="Calibri" w:cs="Calibri"/>
          <w:color w:val="000000" w:themeColor="text1"/>
        </w:rPr>
        <w:fldChar w:fldCharType="separate"/>
      </w:r>
      <w:r w:rsidR="00076F77" w:rsidRPr="00076F77">
        <w:rPr>
          <w:rFonts w:ascii="Calibri" w:hAnsi="Calibri" w:cs="Calibri"/>
        </w:rPr>
        <w:t>(158,159)</w:t>
      </w:r>
      <w:r w:rsidRPr="0035461C">
        <w:rPr>
          <w:rFonts w:ascii="Calibri" w:hAnsi="Calibri" w:cs="Calibri"/>
          <w:color w:val="000000" w:themeColor="text1"/>
        </w:rPr>
        <w:fldChar w:fldCharType="end"/>
      </w:r>
      <w:r w:rsidRPr="0035461C">
        <w:rPr>
          <w:rFonts w:ascii="Calibri" w:hAnsi="Calibri" w:cs="Calibri"/>
          <w:color w:val="000000" w:themeColor="text1"/>
        </w:rPr>
        <w:t>.</w:t>
      </w:r>
      <w:r w:rsidR="00146490">
        <w:rPr>
          <w:rFonts w:ascii="Calibri" w:hAnsi="Calibri" w:cs="Calibri"/>
          <w:color w:val="000000" w:themeColor="text1"/>
        </w:rPr>
        <w:t xml:space="preserve"> </w:t>
      </w:r>
      <w:r w:rsidR="00146490">
        <w:rPr>
          <w:rFonts w:ascii="Calibri" w:hAnsi="Calibri" w:cs="Calibri"/>
        </w:rPr>
        <w:t>In some countries, glucose meter downloads are essential to support applications for heavy good and public service vehicles driving licenses.</w:t>
      </w:r>
      <w:r w:rsidR="003E51A2">
        <w:rPr>
          <w:rFonts w:ascii="Calibri" w:hAnsi="Calibri" w:cs="Calibri"/>
          <w:color w:val="000000" w:themeColor="text1"/>
          <w:lang w:eastAsia="pl-PL"/>
        </w:rPr>
        <w:t xml:space="preserve"> Safe driving practices should be discussed </w:t>
      </w:r>
      <w:r w:rsidR="00B656D3">
        <w:rPr>
          <w:rFonts w:ascii="Calibri" w:hAnsi="Calibri" w:cs="Calibri"/>
          <w:color w:val="000000" w:themeColor="text1"/>
          <w:lang w:eastAsia="pl-PL"/>
        </w:rPr>
        <w:t xml:space="preserve">regularly </w:t>
      </w:r>
      <w:r w:rsidR="003E51A2">
        <w:rPr>
          <w:rFonts w:ascii="Calibri" w:hAnsi="Calibri" w:cs="Calibri"/>
          <w:color w:val="000000" w:themeColor="text1"/>
          <w:lang w:eastAsia="pl-PL"/>
        </w:rPr>
        <w:t>with people who drive.</w:t>
      </w:r>
    </w:p>
    <w:p w14:paraId="4C9BF26F" w14:textId="77777777" w:rsidR="00264FF0" w:rsidRPr="0035461C" w:rsidRDefault="00264FF0" w:rsidP="00264FF0">
      <w:pPr>
        <w:autoSpaceDE w:val="0"/>
        <w:autoSpaceDN w:val="0"/>
        <w:adjustRightInd w:val="0"/>
        <w:spacing w:before="120"/>
        <w:rPr>
          <w:rFonts w:ascii="Calibri" w:hAnsi="Calibri" w:cs="Calibri"/>
          <w:i/>
          <w:color w:val="000000" w:themeColor="text1"/>
          <w:u w:val="single"/>
          <w:lang w:eastAsia="pl-PL"/>
        </w:rPr>
      </w:pPr>
      <w:r w:rsidRPr="0035461C">
        <w:rPr>
          <w:rFonts w:ascii="Calibri" w:hAnsi="Calibri" w:cs="Calibri"/>
          <w:i/>
          <w:color w:val="000000" w:themeColor="text1"/>
          <w:u w:val="single"/>
          <w:lang w:eastAsia="pl-PL"/>
        </w:rPr>
        <w:t>Employment</w:t>
      </w:r>
    </w:p>
    <w:p w14:paraId="15B05F7F" w14:textId="77777777" w:rsidR="00264FF0" w:rsidRPr="0035461C" w:rsidRDefault="00264FF0" w:rsidP="00264FF0">
      <w:pPr>
        <w:pStyle w:val="firstPara"/>
        <w:rPr>
          <w:rFonts w:ascii="Calibri" w:hAnsi="Calibri" w:cs="Calibri"/>
          <w:sz w:val="24"/>
          <w:szCs w:val="24"/>
        </w:rPr>
      </w:pPr>
    </w:p>
    <w:p w14:paraId="2A4C5671" w14:textId="4B4A530F" w:rsidR="00264FF0" w:rsidRPr="0035461C" w:rsidRDefault="00264FF0" w:rsidP="00264FF0">
      <w:pPr>
        <w:pStyle w:val="firstPara"/>
        <w:rPr>
          <w:rFonts w:ascii="Calibri" w:hAnsi="Calibri" w:cs="Calibri"/>
          <w:sz w:val="24"/>
          <w:szCs w:val="24"/>
        </w:rPr>
      </w:pPr>
      <w:r w:rsidRPr="0035461C">
        <w:rPr>
          <w:rFonts w:ascii="Calibri" w:hAnsi="Calibri" w:cs="Calibri"/>
          <w:sz w:val="24"/>
          <w:szCs w:val="24"/>
        </w:rPr>
        <w:t>People with type 1 diabetes can successfully undertake a wide range of employment but there remains prejudice against those with diabetes that can limit employment opportunities. The main concerns are associated with the risks of acute hypoglycaemia as well as certain situations in which continued supply of effective insulin is not possible, for example working in very hot climates.</w:t>
      </w:r>
      <w:r w:rsidR="00E615B3" w:rsidRPr="0035461C">
        <w:rPr>
          <w:rFonts w:ascii="Calibri" w:hAnsi="Calibri" w:cs="Calibri"/>
          <w:sz w:val="24"/>
          <w:szCs w:val="24"/>
        </w:rPr>
        <w:t xml:space="preserve"> </w:t>
      </w:r>
      <w:r w:rsidRPr="0035461C">
        <w:rPr>
          <w:rFonts w:ascii="Calibri" w:hAnsi="Calibri" w:cs="Calibri"/>
          <w:sz w:val="24"/>
          <w:szCs w:val="24"/>
        </w:rPr>
        <w:t>Additionally, chronic diabetes complications may affect the ability to work in certain situations. For some occupations, any risk of hypoglycaemia is considered unacceptable</w:t>
      </w:r>
      <w:r w:rsidR="00471BEC">
        <w:rPr>
          <w:rFonts w:ascii="Calibri" w:hAnsi="Calibri" w:cs="Calibri"/>
          <w:sz w:val="24"/>
          <w:szCs w:val="24"/>
        </w:rPr>
        <w:t>,</w:t>
      </w:r>
      <w:r w:rsidRPr="0035461C">
        <w:rPr>
          <w:rFonts w:ascii="Calibri" w:hAnsi="Calibri" w:cs="Calibri"/>
          <w:sz w:val="24"/>
          <w:szCs w:val="24"/>
        </w:rPr>
        <w:t xml:space="preserve"> but efforts have been made to address these risks. For example, in some countries people with type 1 diabetes are now working as commercial airline pilots. For this reason, any person with type 1 diabetes should be supported to undertake professional activity, job, or employment for which they are otherwise qualified and can do safely </w:t>
      </w:r>
      <w:r w:rsidRPr="0035461C">
        <w:rPr>
          <w:rFonts w:ascii="Calibri" w:hAnsi="Calibri" w:cs="Calibri"/>
          <w:sz w:val="24"/>
          <w:szCs w:val="24"/>
        </w:rPr>
        <w:fldChar w:fldCharType="begin"/>
      </w:r>
      <w:r w:rsidR="00076F77">
        <w:rPr>
          <w:rFonts w:ascii="Calibri" w:hAnsi="Calibri" w:cs="Calibri"/>
          <w:sz w:val="24"/>
          <w:szCs w:val="24"/>
        </w:rPr>
        <w:instrText xml:space="preserve"> ADDIN ZOTERO_ITEM CSL_CITATION {"citationID":"Zjn1J2yJ","properties":{"formattedCitation":"(160)","plainCitation":"(160)","noteIndex":0},"citationItems":[{"id":11269,"uris":["http://zotero.org/groups/369679/items/LTRBGUHD"],"uri":["http://zotero.org/groups/369679/items/LTRBGUHD"],"itemData":{"id":11269,"type":"article-journal","container-title":"Diabetes Care","DOI":"10.2337/dc14-S112","ISSN":"1935-5548","journalAbbreviation":"Diabetes Care","language":"eng","note":"PMID: 24357206","page":"S112-117","source":"PubMed","title":"Diabetes and employment","volume":"37 Suppl 1","author":[{"literal":"American Diabetes Association"},{"family":"Anderson","given":"John E."},{"family":"Greene","given":"Michael A."},{"family":"Griffin","given":"John W."},{"family":"Kohrman","given":"Daniel B."},{"family":"Lorber","given":"Daniel"},{"family":"Saudek","given":"Christopher D."},{"family":"Schatz","given":"Desmond"},{"family":"Siminerio","given":"Linda"}],"issued":{"date-parts":[["2014",1]]}}}],"schema":"https://github.com/citation-style-language/schema/raw/master/csl-citation.json"} </w:instrText>
      </w:r>
      <w:r w:rsidRPr="0035461C">
        <w:rPr>
          <w:rFonts w:ascii="Calibri" w:hAnsi="Calibri" w:cs="Calibri"/>
          <w:sz w:val="24"/>
          <w:szCs w:val="24"/>
        </w:rPr>
        <w:fldChar w:fldCharType="separate"/>
      </w:r>
      <w:r w:rsidR="00076F77" w:rsidRPr="00076F77">
        <w:rPr>
          <w:rFonts w:ascii="Calibri" w:hAnsi="Calibri" w:cs="Calibri"/>
          <w:sz w:val="24"/>
        </w:rPr>
        <w:t>(160)</w:t>
      </w:r>
      <w:r w:rsidRPr="0035461C">
        <w:rPr>
          <w:rFonts w:ascii="Calibri" w:hAnsi="Calibri" w:cs="Calibri"/>
          <w:sz w:val="24"/>
          <w:szCs w:val="24"/>
        </w:rPr>
        <w:fldChar w:fldCharType="end"/>
      </w:r>
      <w:r w:rsidRPr="0035461C">
        <w:rPr>
          <w:rFonts w:ascii="Calibri" w:hAnsi="Calibri" w:cs="Calibri"/>
          <w:sz w:val="24"/>
          <w:szCs w:val="24"/>
        </w:rPr>
        <w:t>.</w:t>
      </w:r>
      <w:r w:rsidR="00E615B3" w:rsidRPr="0035461C">
        <w:rPr>
          <w:rFonts w:ascii="Calibri" w:hAnsi="Calibri" w:cs="Calibri"/>
          <w:sz w:val="24"/>
          <w:szCs w:val="24"/>
        </w:rPr>
        <w:t xml:space="preserve"> </w:t>
      </w:r>
      <w:r w:rsidRPr="0035461C">
        <w:rPr>
          <w:rFonts w:ascii="Calibri" w:hAnsi="Calibri" w:cs="Calibri"/>
          <w:sz w:val="24"/>
          <w:szCs w:val="24"/>
        </w:rPr>
        <w:t>Employment circumstances should allow the safe use and storage of insulin and unrestrained access to glucose monitoring and self-treatment of hyper- or hypoglycaemia.</w:t>
      </w:r>
    </w:p>
    <w:p w14:paraId="4D9CF595" w14:textId="77777777" w:rsidR="00264FF0" w:rsidRPr="0035461C" w:rsidRDefault="00264FF0" w:rsidP="00264FF0">
      <w:pPr>
        <w:autoSpaceDE w:val="0"/>
        <w:autoSpaceDN w:val="0"/>
        <w:adjustRightInd w:val="0"/>
        <w:spacing w:before="120"/>
        <w:rPr>
          <w:rFonts w:ascii="Calibri" w:hAnsi="Calibri" w:cs="Calibri"/>
          <w:color w:val="000000" w:themeColor="text1"/>
          <w:lang w:eastAsia="pl-PL"/>
        </w:rPr>
      </w:pPr>
    </w:p>
    <w:p w14:paraId="19862860" w14:textId="77777777" w:rsidR="00264FF0" w:rsidRPr="0035461C" w:rsidRDefault="00264FF0" w:rsidP="00264FF0">
      <w:pPr>
        <w:spacing w:before="120"/>
        <w:rPr>
          <w:rFonts w:ascii="Calibri" w:hAnsi="Calibri" w:cs="Calibri"/>
          <w:i/>
          <w:u w:val="single"/>
        </w:rPr>
      </w:pPr>
      <w:r w:rsidRPr="0035461C">
        <w:rPr>
          <w:rFonts w:ascii="Calibri" w:hAnsi="Calibri" w:cs="Calibri"/>
          <w:i/>
          <w:u w:val="single"/>
        </w:rPr>
        <w:t>Travel</w:t>
      </w:r>
    </w:p>
    <w:p w14:paraId="0A2A2181" w14:textId="33F9E713" w:rsidR="00AF6982" w:rsidRPr="0035461C" w:rsidRDefault="00264FF0" w:rsidP="00264FF0">
      <w:pPr>
        <w:spacing w:before="120"/>
        <w:jc w:val="both"/>
        <w:rPr>
          <w:rFonts w:ascii="Calibri" w:hAnsi="Calibri" w:cs="Calibri"/>
        </w:rPr>
      </w:pPr>
      <w:r w:rsidRPr="0035461C">
        <w:rPr>
          <w:rFonts w:ascii="Calibri" w:hAnsi="Calibri" w:cs="Calibri"/>
          <w:color w:val="000000" w:themeColor="text1"/>
        </w:rPr>
        <w:t xml:space="preserve">Planning ahead is the key to safe and trouble-free travel for individuals with type 1 diabetes. This includes preparing </w:t>
      </w:r>
      <w:r w:rsidRPr="0035461C">
        <w:rPr>
          <w:rFonts w:ascii="Calibri" w:hAnsi="Calibri" w:cs="Calibri"/>
        </w:rPr>
        <w:t>diabetes-related and emergency supplies which should be available at hand during the travel. A plan of adjusting insulin doses, especially when traveling across time zones, is essential to reduce glucose fluctuations</w:t>
      </w:r>
      <w:r w:rsidR="00920C2B" w:rsidRPr="0035461C">
        <w:rPr>
          <w:rFonts w:ascii="Calibri" w:hAnsi="Calibri" w:cs="Calibri"/>
        </w:rPr>
        <w:t xml:space="preserve"> </w:t>
      </w:r>
      <w:r w:rsidRPr="0035461C">
        <w:rPr>
          <w:rFonts w:ascii="Calibri" w:hAnsi="Calibri" w:cs="Calibri"/>
        </w:rPr>
        <w:fldChar w:fldCharType="begin"/>
      </w:r>
      <w:r w:rsidR="00076F77">
        <w:rPr>
          <w:rFonts w:ascii="Calibri" w:hAnsi="Calibri" w:cs="Calibri"/>
        </w:rPr>
        <w:instrText xml:space="preserve"> ADDIN ZOTERO_ITEM CSL_CITATION {"citationID":"aCiBPa2O","properties":{"formattedCitation":"(161)","plainCitation":"(161)","noteIndex":0},"citationItems":[{"id":11431,"uris":["http://zotero.org/groups/369679/items/U2BIXFST"],"uri":["http://zotero.org/groups/369679/items/U2BIXFST"],"itemData":{"id":11431,"type":"webpage","title":"Time Zones","URL":"https://diabetestravel.sansum.org/time-zones/","accessed":{"date-parts":[["2021",2,19]]}}}],"schema":"https://github.com/citation-style-language/schema/raw/master/csl-citation.json"} </w:instrText>
      </w:r>
      <w:r w:rsidRPr="0035461C">
        <w:rPr>
          <w:rFonts w:ascii="Calibri" w:hAnsi="Calibri" w:cs="Calibri"/>
        </w:rPr>
        <w:fldChar w:fldCharType="separate"/>
      </w:r>
      <w:r w:rsidR="00076F77" w:rsidRPr="00076F77">
        <w:rPr>
          <w:rFonts w:ascii="Calibri" w:hAnsi="Calibri" w:cs="Calibri"/>
        </w:rPr>
        <w:t>(161)</w:t>
      </w:r>
      <w:r w:rsidRPr="0035461C">
        <w:rPr>
          <w:rFonts w:ascii="Calibri" w:hAnsi="Calibri" w:cs="Calibri"/>
        </w:rPr>
        <w:fldChar w:fldCharType="end"/>
      </w:r>
      <w:r w:rsidR="00920C2B" w:rsidRPr="0035461C">
        <w:rPr>
          <w:rFonts w:ascii="Calibri" w:hAnsi="Calibri" w:cs="Calibri"/>
        </w:rPr>
        <w:t>.</w:t>
      </w:r>
      <w:r w:rsidRPr="0035461C">
        <w:rPr>
          <w:rFonts w:ascii="Calibri" w:hAnsi="Calibri" w:cs="Calibri"/>
        </w:rPr>
        <w:t xml:space="preserve"> </w:t>
      </w:r>
      <w:r w:rsidR="00AF6982">
        <w:rPr>
          <w:rFonts w:ascii="Calibri" w:hAnsi="Calibri" w:cs="Calibri"/>
        </w:rPr>
        <w:t>In particular, it is important to consider the impact of change</w:t>
      </w:r>
      <w:r w:rsidR="00AF6982" w:rsidRPr="00AF6982">
        <w:rPr>
          <w:rFonts w:asciiTheme="minorHAnsi" w:hAnsiTheme="minorHAnsi" w:cstheme="minorHAnsi"/>
          <w:iCs/>
        </w:rPr>
        <w:t xml:space="preserve"> i</w:t>
      </w:r>
      <w:r w:rsidR="00AF6982" w:rsidRPr="00146490">
        <w:rPr>
          <w:rFonts w:asciiTheme="minorHAnsi" w:hAnsiTheme="minorHAnsi" w:cstheme="minorHAnsi"/>
          <w:iCs/>
        </w:rPr>
        <w:t>n usual schedule, hot weather, reduced stress and relaxation, and changes in exercise patterns on glucose levels while on holiday.</w:t>
      </w:r>
    </w:p>
    <w:p w14:paraId="6BB01F36" w14:textId="524F19B4" w:rsidR="00264FF0" w:rsidRPr="00AF6982" w:rsidRDefault="00264FF0" w:rsidP="00264FF0">
      <w:pPr>
        <w:spacing w:before="120"/>
        <w:jc w:val="both"/>
        <w:rPr>
          <w:rFonts w:asciiTheme="minorHAnsi" w:hAnsiTheme="minorHAnsi" w:cstheme="minorHAnsi"/>
        </w:rPr>
      </w:pPr>
      <w:r w:rsidRPr="0035461C">
        <w:rPr>
          <w:rFonts w:ascii="Calibri" w:hAnsi="Calibri" w:cs="Calibri"/>
        </w:rPr>
        <w:t>Depending on the locale of travel destinations, it may be advisable to research the estimated carbohydrate content of local foods to aid better insulin adjustment. Frequent glucose measurement with CGM or BGM is advisable for any travel</w:t>
      </w:r>
      <w:r w:rsidR="00920C2B" w:rsidRPr="0035461C">
        <w:rPr>
          <w:rFonts w:ascii="Calibri" w:hAnsi="Calibri" w:cs="Calibri"/>
        </w:rPr>
        <w:t xml:space="preserve"> </w:t>
      </w:r>
      <w:r w:rsidRPr="0035461C">
        <w:rPr>
          <w:rFonts w:ascii="Calibri" w:hAnsi="Calibri" w:cs="Calibri"/>
        </w:rPr>
        <w:fldChar w:fldCharType="begin"/>
      </w:r>
      <w:r w:rsidR="00076F77">
        <w:rPr>
          <w:rFonts w:ascii="Calibri" w:hAnsi="Calibri" w:cs="Calibri"/>
        </w:rPr>
        <w:instrText xml:space="preserve"> ADDIN ZOTERO_ITEM CSL_CITATION {"citationID":"KxVkUmuY","properties":{"formattedCitation":"(162)","plainCitation":"(162)","noteIndex":0},"citationItems":[{"id":11272,"uris":["http://zotero.org/groups/369679/items/RRPICVSA"],"uri":["http://zotero.org/groups/369679/items/RRPICVSA"],"itemData":{"id":11272,"type":"article-journal","abstract":"Living with type 1 diabetes and using continuous subcutaneous insulin infusion (CSII), the authors travelled together for four months through 11 countries. Travelling with type 1 diabetes presents various added challenges. Personal experience of the challenges faced by the authors in relation to their diabetes are discussed along with the ways they were able to overcome these challenges. A review of general aspects one may encounter when travelling with type 1 diabetes and CSII follows. This provides an insightful overview for individuals living with type 1 diabetes intending to travel as well as healthcare professionals involved in providing care to those with type 1 diabetes intending to travel.","archive_location":"All age, gender and ethnic groups.","container-title":"British Journal of Diabetes","DOI":"10.15277/bjd.2019.224","ISSN":"2397-6241","issue":"2","language":"en","note":"number: 2","page":"141-146","source":"www.bjd-abcd.com","title":"World travel with type 1 diabetes using continuous subcutaneous insulin infusion","volume":"19","author":[{"family":"Charlton","given":"Alexander R."},{"family":"Charlton","given":"Jessica R."}],"issued":{"date-parts":[["2019",12,17]]}}}],"schema":"https://github.com/citation-style-language/schema/raw/master/csl-citation.json"} </w:instrText>
      </w:r>
      <w:r w:rsidRPr="0035461C">
        <w:rPr>
          <w:rFonts w:ascii="Calibri" w:hAnsi="Calibri" w:cs="Calibri"/>
        </w:rPr>
        <w:fldChar w:fldCharType="separate"/>
      </w:r>
      <w:r w:rsidR="00076F77" w:rsidRPr="00076F77">
        <w:rPr>
          <w:rFonts w:ascii="Calibri" w:hAnsi="Calibri" w:cs="Calibri"/>
        </w:rPr>
        <w:t>(162)</w:t>
      </w:r>
      <w:r w:rsidRPr="0035461C">
        <w:rPr>
          <w:rFonts w:ascii="Calibri" w:hAnsi="Calibri" w:cs="Calibri"/>
        </w:rPr>
        <w:fldChar w:fldCharType="end"/>
      </w:r>
      <w:r w:rsidR="00920C2B" w:rsidRPr="0035461C">
        <w:rPr>
          <w:rFonts w:ascii="Calibri" w:hAnsi="Calibri" w:cs="Calibri"/>
        </w:rPr>
        <w:t>.</w:t>
      </w:r>
      <w:r w:rsidRPr="0035461C">
        <w:rPr>
          <w:rFonts w:ascii="Calibri" w:hAnsi="Calibri" w:cs="Calibri"/>
        </w:rPr>
        <w:t xml:space="preserve"> Additionally, it may be helpful to have note cards written in the local language to communicate that the person has type 1 diabetes </w:t>
      </w:r>
      <w:r w:rsidR="00920C2B" w:rsidRPr="0035461C">
        <w:rPr>
          <w:rFonts w:ascii="Calibri" w:hAnsi="Calibri" w:cs="Calibri"/>
        </w:rPr>
        <w:t xml:space="preserve">and </w:t>
      </w:r>
      <w:r w:rsidRPr="0035461C">
        <w:rPr>
          <w:rFonts w:ascii="Calibri" w:hAnsi="Calibri" w:cs="Calibri"/>
        </w:rPr>
        <w:t>may need urg</w:t>
      </w:r>
      <w:r w:rsidRPr="00AF6982">
        <w:rPr>
          <w:rFonts w:asciiTheme="minorHAnsi" w:hAnsiTheme="minorHAnsi" w:cstheme="minorHAnsi"/>
        </w:rPr>
        <w:t>ent glucose administration if hypoglycaemic.</w:t>
      </w:r>
    </w:p>
    <w:p w14:paraId="583AC520" w14:textId="5FD6765E" w:rsidR="00AF6982" w:rsidRPr="00AF6982" w:rsidRDefault="00AF6982" w:rsidP="00264FF0">
      <w:pPr>
        <w:spacing w:before="120"/>
        <w:jc w:val="both"/>
        <w:rPr>
          <w:rFonts w:asciiTheme="minorHAnsi" w:hAnsiTheme="minorHAnsi" w:cstheme="minorHAnsi"/>
        </w:rPr>
      </w:pPr>
    </w:p>
    <w:p w14:paraId="4023366E" w14:textId="77777777" w:rsidR="00AF6982" w:rsidRPr="00AF6982" w:rsidRDefault="00AF6982" w:rsidP="00AF6982">
      <w:pPr>
        <w:spacing w:before="120"/>
        <w:jc w:val="both"/>
        <w:rPr>
          <w:rFonts w:asciiTheme="minorHAnsi" w:hAnsiTheme="minorHAnsi" w:cstheme="minorHAnsi"/>
          <w:i/>
          <w:u w:val="single"/>
        </w:rPr>
      </w:pPr>
      <w:r w:rsidRPr="00AF6982">
        <w:rPr>
          <w:rFonts w:asciiTheme="minorHAnsi" w:hAnsiTheme="minorHAnsi" w:cstheme="minorHAnsi"/>
          <w:i/>
          <w:u w:val="single"/>
        </w:rPr>
        <w:t>Additional religious and cultural considerations</w:t>
      </w:r>
    </w:p>
    <w:p w14:paraId="21EBE737" w14:textId="76B61E57" w:rsidR="00AF6982" w:rsidRPr="00AF6982" w:rsidRDefault="00AF6982" w:rsidP="00AF6982">
      <w:pPr>
        <w:spacing w:before="120"/>
        <w:jc w:val="both"/>
        <w:rPr>
          <w:rFonts w:asciiTheme="minorHAnsi" w:hAnsiTheme="minorHAnsi" w:cstheme="minorHAnsi"/>
        </w:rPr>
      </w:pPr>
      <w:r w:rsidRPr="00AF6982">
        <w:rPr>
          <w:rFonts w:asciiTheme="minorHAnsi" w:hAnsiTheme="minorHAnsi" w:cstheme="minorHAnsi"/>
        </w:rPr>
        <w:t xml:space="preserve">Fasting for religious and cultural reasons is a widespread practice globally. </w:t>
      </w:r>
      <w:r>
        <w:rPr>
          <w:rFonts w:asciiTheme="minorHAnsi" w:hAnsiTheme="minorHAnsi" w:cstheme="minorHAnsi"/>
        </w:rPr>
        <w:t>Healthcare professiona</w:t>
      </w:r>
      <w:r w:rsidRPr="00F35525">
        <w:rPr>
          <w:rFonts w:ascii="Calibri" w:hAnsi="Calibri" w:cs="Calibri"/>
        </w:rPr>
        <w:t>ls should ask</w:t>
      </w:r>
      <w:r w:rsidR="00B656D3">
        <w:rPr>
          <w:rFonts w:ascii="Calibri" w:hAnsi="Calibri" w:cs="Calibri"/>
        </w:rPr>
        <w:t xml:space="preserve"> </w:t>
      </w:r>
      <w:r w:rsidRPr="00F35525">
        <w:rPr>
          <w:rFonts w:ascii="Calibri" w:hAnsi="Calibri" w:cs="Calibri"/>
        </w:rPr>
        <w:t xml:space="preserve"> if the person with type 1 diabetes wishes to partake in fasting and provide guidance</w:t>
      </w:r>
      <w:r w:rsidR="00B656D3">
        <w:rPr>
          <w:rFonts w:ascii="Calibri" w:hAnsi="Calibri" w:cs="Calibri"/>
        </w:rPr>
        <w:t xml:space="preserve"> and support</w:t>
      </w:r>
      <w:r w:rsidR="00AB74A8">
        <w:rPr>
          <w:rFonts w:ascii="Calibri" w:hAnsi="Calibri" w:cs="Calibri"/>
        </w:rPr>
        <w:t xml:space="preserve"> </w:t>
      </w:r>
      <w:r w:rsidR="00AB74A8">
        <w:rPr>
          <w:rFonts w:ascii="Calibri" w:hAnsi="Calibri" w:cs="Calibri"/>
        </w:rPr>
        <w:fldChar w:fldCharType="begin"/>
      </w:r>
      <w:r w:rsidR="00076F77">
        <w:rPr>
          <w:rFonts w:ascii="Calibri" w:hAnsi="Calibri" w:cs="Calibri"/>
        </w:rPr>
        <w:instrText xml:space="preserve"> ADDIN ZOTERO_ITEM CSL_CITATION {"citationID":"ag0fgb50sa","properties":{"formattedCitation":"(163)","plainCitation":"(163)","noteIndex":0},"citationItems":[{"id":12502,"uris":["http://zotero.org/groups/369679/items/P59KTC8D"],"uri":["http://zotero.org/groups/369679/items/P59KTC8D"],"itemData":{"id":12502,"type":"webpage","title":"Guidelines","URL":"https://idf.org/e-library/guidelines/165-idf-dar-practical-guidelines-2021.html","author":[{"family":"IDF and the Diabetes and Ramadan (DAR) International Alliance","given":""}],"accessed":{"date-parts":[["2021",7,16]]}}}],"schema":"https://github.com/citation-style-language/schema/raw/master/csl-citation.json"} </w:instrText>
      </w:r>
      <w:r w:rsidR="00AB74A8">
        <w:rPr>
          <w:rFonts w:ascii="Calibri" w:hAnsi="Calibri" w:cs="Calibri"/>
        </w:rPr>
        <w:fldChar w:fldCharType="separate"/>
      </w:r>
      <w:r w:rsidR="00076F77" w:rsidRPr="00076F77">
        <w:rPr>
          <w:rFonts w:ascii="Calibri" w:hAnsi="Calibri" w:cs="Calibri"/>
        </w:rPr>
        <w:t>(163)</w:t>
      </w:r>
      <w:r w:rsidR="00AB74A8">
        <w:rPr>
          <w:rFonts w:ascii="Calibri" w:hAnsi="Calibri" w:cs="Calibri"/>
        </w:rPr>
        <w:fldChar w:fldCharType="end"/>
      </w:r>
      <w:r w:rsidRPr="00F35525">
        <w:rPr>
          <w:rFonts w:ascii="Calibri" w:hAnsi="Calibri" w:cs="Calibri"/>
        </w:rPr>
        <w:t xml:space="preserve">. </w:t>
      </w:r>
    </w:p>
    <w:p w14:paraId="4187EA63" w14:textId="77777777" w:rsidR="00AF6982" w:rsidRPr="0035461C" w:rsidRDefault="00AF6982" w:rsidP="00264FF0">
      <w:pPr>
        <w:spacing w:before="120"/>
        <w:jc w:val="both"/>
        <w:rPr>
          <w:rFonts w:ascii="Calibri" w:hAnsi="Calibri" w:cs="Calibri"/>
        </w:rPr>
      </w:pPr>
    </w:p>
    <w:p w14:paraId="5EAA5499" w14:textId="77777777" w:rsidR="00264FF0" w:rsidRPr="0035461C" w:rsidRDefault="00264FF0" w:rsidP="00264FF0">
      <w:pPr>
        <w:spacing w:before="120"/>
        <w:rPr>
          <w:rFonts w:ascii="Calibri" w:hAnsi="Calibri" w:cs="Calibri"/>
          <w:color w:val="000000" w:themeColor="text1"/>
          <w:shd w:val="clear" w:color="auto" w:fill="FFFFFF"/>
        </w:rPr>
      </w:pPr>
    </w:p>
    <w:p w14:paraId="477C66B2" w14:textId="0F52F350" w:rsidR="00264FF0" w:rsidRPr="0035461C" w:rsidRDefault="00264FF0" w:rsidP="00264FF0">
      <w:pPr>
        <w:spacing w:before="120"/>
        <w:jc w:val="both"/>
        <w:rPr>
          <w:rFonts w:ascii="Calibri" w:hAnsi="Calibri" w:cs="Calibri"/>
          <w:b/>
        </w:rPr>
      </w:pPr>
      <w:r w:rsidRPr="0035461C">
        <w:rPr>
          <w:rFonts w:ascii="Calibri" w:hAnsi="Calibri" w:cs="Calibri"/>
          <w:b/>
        </w:rPr>
        <w:t>Section 10:</w:t>
      </w:r>
      <w:r w:rsidR="00E615B3" w:rsidRPr="0035461C">
        <w:rPr>
          <w:rFonts w:ascii="Calibri" w:hAnsi="Calibri" w:cs="Calibri"/>
          <w:b/>
        </w:rPr>
        <w:t xml:space="preserve"> </w:t>
      </w:r>
      <w:r w:rsidRPr="0035461C">
        <w:rPr>
          <w:rFonts w:ascii="Calibri" w:hAnsi="Calibri" w:cs="Calibri"/>
          <w:b/>
        </w:rPr>
        <w:t xml:space="preserve">Psychosocial Care </w:t>
      </w:r>
    </w:p>
    <w:p w14:paraId="0A7C90D6" w14:textId="617FCD26" w:rsidR="00264FF0" w:rsidRPr="0035461C" w:rsidRDefault="00264FF0" w:rsidP="00264FF0">
      <w:pPr>
        <w:spacing w:before="120"/>
        <w:jc w:val="both"/>
        <w:rPr>
          <w:rFonts w:ascii="Calibri" w:hAnsi="Calibri" w:cs="Calibri"/>
          <w:color w:val="000000" w:themeColor="text1"/>
        </w:rPr>
      </w:pPr>
      <w:r w:rsidRPr="0035461C">
        <w:rPr>
          <w:rFonts w:ascii="Calibri" w:hAnsi="Calibri" w:cs="Calibri"/>
          <w:color w:val="000000" w:themeColor="text1"/>
        </w:rPr>
        <w:t xml:space="preserve">Type 1 diabetes is a psychologically challenging chronic condition, with treatment outcomes highly dependent on the person’s on-going self-care behaviours. Cognitive, emotional, and social factors are critical determinants of self-care behaviours and consequently treatment success </w:t>
      </w:r>
      <w:r w:rsidRPr="0035461C">
        <w:rPr>
          <w:rFonts w:ascii="Calibri" w:hAnsi="Calibri" w:cs="Calibri"/>
          <w:color w:val="000000" w:themeColor="text1"/>
        </w:rPr>
        <w:fldChar w:fldCharType="begin"/>
      </w:r>
      <w:r w:rsidR="00076F77">
        <w:rPr>
          <w:rFonts w:ascii="Calibri" w:hAnsi="Calibri" w:cs="Calibri"/>
          <w:color w:val="000000" w:themeColor="text1"/>
        </w:rPr>
        <w:instrText xml:space="preserve"> ADDIN ZOTERO_ITEM CSL_CITATION {"citationID":"hLI2Z8AB","properties":{"formattedCitation":"(164,165)","plainCitation":"(164,165)","noteIndex":0},"citationItems":[{"id":2785,"uris":["http://zotero.org/groups/369679/items/AXSHU7W5"],"uri":["http://zotero.org/groups/369679/items/AXSHU7W5"],"itemData":{"id":2785,"type":"article-journal","abstract":"Type 1 (T1D) and Type 2 diabetes (T2D) represent a demanding set of biopsychosocial challenges for patients and their families, whether the age of disease onset occurs in childhood, adolescence, or adulthood. Psychological conditions, defined as syndromes, disorders, and diabetes-specific psychological issues affect a larger proportion of individuals with T1D and T2D compared to the general population. In this review, we summarize the prevalence, impact and psychological treatments associated with the primary categories of psychological conditions that affect adults with T1D and T2D: depressive symptoms and syndromes, anxiety disorders, eating behaviors and disorders and serious mental illness. The implications of the literature for psychologists are discussed, and priorities for future research to advance the science of psychological conditions for adults with T1D and T2D are identified. (PsycINFO Database Record","container-title":"The American Psychologist","DOI":"10.1037/a0040408","ISSN":"1935-990X","issue":"7","journalAbbreviation":"Am Psychol","language":"ENG","note":"PMID: 27690484","page":"552-562","source":"PubMed","title":"Psychological conditions in adults with diabetes","volume":"71","author":[{"family":"Groot","given":"Mary","non-dropping-particle":"de"},{"family":"Golden","given":"Sherita Hill"},{"family":"Wagner","given":"Julie"}],"issued":{"date-parts":[["2016",10]]}}},{"id":11433,"uris":["http://zotero.org/groups/369679/items/XUVAL9J9"],"uri":["http://zotero.org/groups/369679/items/XUVAL9J9"],"itemData":{"id":11433,"type":"article-journal","abstract":"Across the lifespan, type 1 diabetes mellitus has a profound (neuro)psychological impact. In young people, type 1 diabetes can interfere with psychosocial development and hamper school performance. In adulthood, it can interfere with work life, relationships and parenting. A substantial minority of adults with type 1 diabetes experience coping difficulties and high diabetes‐related distress. In youth and adulthood, type 1 diabetes is related to mild cognitive decrements as well as affective disorders, such as depression and anxiety. There is limited literature available that explores the interaction between cognitive and psychological comorbidity and underlying mechanisms. The aims of the present narrative review were to summarize the current state of the literature regarding both cognitive and psychological comorbidities in type 1 diabetes across the lifespan, and to explore potential links between the two domains of interest to make suggestions for future research and clinical practice., \nCognitive decrements are found in people with type 1 diabetes across the lifespan in functions such as attention, information processing speed, and executive functions. Also across the lifespan, type 1 diabetes is related to a higher prevalence of depression, anxiety and distress, and a lower quality of life.This narrative review summarizes current knowledge and discusses studies that have linked cognitive decrements with psychological comorbidities, including the possible effect on diabetes self‐care.This study shows the gaps in our knowledge and provides suggestions for clinical research and how clinical practice can be improved by including cognitive and psychological screening.","container-title":"Diabetic Medicine","DOI":"10.1111/dme.14216","ISSN":"0742-3071","issue":"4","journalAbbreviation":"Diabet Med","note":"PMID: 31850538\nPMCID: PMC7154747","page":"555-563","source":"PubMed Central","title":"The cognitive and psychological effects of living with type 1 diabetes: a narrative review","title-short":"The cognitive and psychological effects of living with type 1 diabetes","volume":"37","author":[{"family":"Duinkerken","given":"E.","non-dropping-particle":"van"},{"family":"Snoek","given":"F. J."},{"family":"Wit","given":"M.","non-dropping-particle":"de"}],"issued":{"date-parts":[["2020",4]]}}}],"schema":"https://github.com/citation-style-language/schema/raw/master/csl-citation.json"} </w:instrText>
      </w:r>
      <w:r w:rsidRPr="0035461C">
        <w:rPr>
          <w:rFonts w:ascii="Calibri" w:hAnsi="Calibri" w:cs="Calibri"/>
          <w:color w:val="000000" w:themeColor="text1"/>
        </w:rPr>
        <w:fldChar w:fldCharType="separate"/>
      </w:r>
      <w:r w:rsidR="00076F77" w:rsidRPr="00076F77">
        <w:rPr>
          <w:rFonts w:ascii="Calibri" w:hAnsi="Calibri" w:cs="Calibri"/>
        </w:rPr>
        <w:t>(164,165)</w:t>
      </w:r>
      <w:r w:rsidRPr="0035461C">
        <w:rPr>
          <w:rFonts w:ascii="Calibri" w:hAnsi="Calibri" w:cs="Calibri"/>
          <w:color w:val="000000" w:themeColor="text1"/>
        </w:rPr>
        <w:fldChar w:fldCharType="end"/>
      </w:r>
      <w:r w:rsidRPr="0035461C">
        <w:rPr>
          <w:rFonts w:ascii="Calibri" w:hAnsi="Calibri" w:cs="Calibri"/>
          <w:color w:val="000000" w:themeColor="text1"/>
        </w:rPr>
        <w:t>.</w:t>
      </w:r>
      <w:r w:rsidRPr="0035461C">
        <w:rPr>
          <w:rFonts w:ascii="Calibri" w:hAnsi="Calibri" w:cs="Calibri"/>
          <w:color w:val="000000" w:themeColor="text1"/>
          <w:shd w:val="clear" w:color="auto" w:fill="FFFFFF"/>
          <w:lang w:eastAsia="nl-NL"/>
        </w:rPr>
        <w:t xml:space="preserve"> </w:t>
      </w:r>
      <w:r w:rsidR="00EF4B4D" w:rsidRPr="0035461C">
        <w:rPr>
          <w:rFonts w:ascii="Calibri" w:hAnsi="Calibri" w:cs="Calibri"/>
          <w:color w:val="000000" w:themeColor="text1"/>
        </w:rPr>
        <w:t xml:space="preserve">Emotional health is an important </w:t>
      </w:r>
      <w:r w:rsidR="00EF4B4D">
        <w:rPr>
          <w:rFonts w:ascii="Calibri" w:hAnsi="Calibri" w:cs="Calibri"/>
          <w:color w:val="000000" w:themeColor="text1"/>
        </w:rPr>
        <w:t xml:space="preserve">focus and </w:t>
      </w:r>
      <w:r w:rsidR="00EF4B4D" w:rsidRPr="0035461C">
        <w:rPr>
          <w:rFonts w:ascii="Calibri" w:hAnsi="Calibri" w:cs="Calibri"/>
          <w:color w:val="000000" w:themeColor="text1"/>
        </w:rPr>
        <w:t xml:space="preserve">outcome of </w:t>
      </w:r>
      <w:r w:rsidR="00EF4B4D">
        <w:rPr>
          <w:rFonts w:ascii="Calibri" w:hAnsi="Calibri" w:cs="Calibri"/>
          <w:color w:val="000000" w:themeColor="text1"/>
        </w:rPr>
        <w:t>person-centered d</w:t>
      </w:r>
      <w:r w:rsidR="00EF4B4D" w:rsidRPr="0035461C">
        <w:rPr>
          <w:rFonts w:ascii="Calibri" w:hAnsi="Calibri" w:cs="Calibri"/>
          <w:color w:val="000000" w:themeColor="text1"/>
        </w:rPr>
        <w:t>iabetes care</w:t>
      </w:r>
      <w:r w:rsidRPr="0035461C">
        <w:rPr>
          <w:rFonts w:ascii="Calibri" w:hAnsi="Calibri" w:cs="Calibri"/>
          <w:color w:val="000000" w:themeColor="text1"/>
        </w:rPr>
        <w:t xml:space="preserve"> </w:t>
      </w:r>
      <w:r w:rsidRPr="0035461C">
        <w:rPr>
          <w:rFonts w:ascii="Calibri" w:hAnsi="Calibri" w:cs="Calibri"/>
          <w:color w:val="000000" w:themeColor="text1"/>
        </w:rPr>
        <w:fldChar w:fldCharType="begin"/>
      </w:r>
      <w:r w:rsidR="00076F77">
        <w:rPr>
          <w:rFonts w:ascii="Calibri" w:hAnsi="Calibri" w:cs="Calibri"/>
          <w:color w:val="000000" w:themeColor="text1"/>
        </w:rPr>
        <w:instrText xml:space="preserve"> ADDIN ZOTERO_ITEM CSL_CITATION {"citationID":"HG4uQ4T6","properties":{"formattedCitation":"(166)","plainCitation":"(166)","noteIndex":0},"citationItems":[{"id":11275,"uris":["http://zotero.org/groups/369679/items/BSWE5Q9B"],"uri":["http://zotero.org/groups/369679/items/BSWE5Q9B"],"itemData":{"id":11275,"type":"article-journal","container-title":"Diabetic Medicine: A Journal of the British Diabetic Association","DOI":"10.1111/dme.14165","ISSN":"1464-5491","issue":"8","journalAbbreviation":"Diabet Med","language":"eng","note":"PMID: 31661183","page":"1225-1229","source":"PubMed","title":"Back to the future: 25 years of 'Guidelines for encouraging psychological well-being' among people affected by diabetes","title-short":"Back to the future","volume":"37","author":[{"family":"Speight","given":"J."},{"family":"Hendrieckx","given":"C."},{"family":"Pouwer","given":"F."},{"family":"Skinner","given":"T. C."},{"family":"Snoek","given":"F. J."}],"issued":{"date-parts":[["2020",8]]}}}],"schema":"https://github.com/citation-style-language/schema/raw/master/csl-citation.json"} </w:instrText>
      </w:r>
      <w:r w:rsidRPr="0035461C">
        <w:rPr>
          <w:rFonts w:ascii="Calibri" w:hAnsi="Calibri" w:cs="Calibri"/>
          <w:color w:val="000000" w:themeColor="text1"/>
        </w:rPr>
        <w:fldChar w:fldCharType="separate"/>
      </w:r>
      <w:r w:rsidR="00076F77" w:rsidRPr="00076F77">
        <w:rPr>
          <w:rFonts w:ascii="Calibri" w:hAnsi="Calibri" w:cs="Calibri"/>
        </w:rPr>
        <w:t>(166)</w:t>
      </w:r>
      <w:r w:rsidRPr="0035461C">
        <w:rPr>
          <w:rFonts w:ascii="Calibri" w:hAnsi="Calibri" w:cs="Calibri"/>
          <w:color w:val="000000" w:themeColor="text1"/>
        </w:rPr>
        <w:fldChar w:fldCharType="end"/>
      </w:r>
      <w:r w:rsidRPr="0035461C">
        <w:rPr>
          <w:rFonts w:ascii="Calibri" w:hAnsi="Calibri" w:cs="Calibri"/>
          <w:color w:val="000000" w:themeColor="text1"/>
        </w:rPr>
        <w:t>.</w:t>
      </w:r>
    </w:p>
    <w:p w14:paraId="67CD10DF" w14:textId="77777777" w:rsidR="00264FF0" w:rsidRPr="0035461C" w:rsidRDefault="00264FF0" w:rsidP="00264FF0">
      <w:pPr>
        <w:spacing w:before="120"/>
        <w:jc w:val="both"/>
        <w:rPr>
          <w:rFonts w:ascii="Calibri" w:hAnsi="Calibri" w:cs="Calibri"/>
          <w:i/>
          <w:iCs/>
          <w:color w:val="000000" w:themeColor="text1"/>
          <w:u w:val="single"/>
        </w:rPr>
      </w:pPr>
      <w:r w:rsidRPr="0035461C">
        <w:rPr>
          <w:rFonts w:ascii="Calibri" w:hAnsi="Calibri" w:cs="Calibri"/>
          <w:i/>
          <w:iCs/>
          <w:color w:val="000000" w:themeColor="text1"/>
          <w:u w:val="single"/>
        </w:rPr>
        <w:t>Psychosocial problems</w:t>
      </w:r>
    </w:p>
    <w:p w14:paraId="410D1E84" w14:textId="34E0ECFD" w:rsidR="00264FF0" w:rsidRPr="0035461C" w:rsidRDefault="00264FF0" w:rsidP="00264FF0">
      <w:pPr>
        <w:shd w:val="clear" w:color="auto" w:fill="FFFFFF"/>
        <w:spacing w:before="120"/>
        <w:jc w:val="both"/>
        <w:rPr>
          <w:rFonts w:ascii="Calibri" w:hAnsi="Calibri" w:cs="Calibri"/>
          <w:color w:val="000000" w:themeColor="text1"/>
          <w:lang w:eastAsia="nl-NL"/>
        </w:rPr>
      </w:pPr>
      <w:r w:rsidRPr="0035461C">
        <w:rPr>
          <w:rFonts w:ascii="Calibri" w:hAnsi="Calibri" w:cs="Calibri"/>
          <w:color w:val="000000" w:themeColor="text1"/>
        </w:rPr>
        <w:t>Diabetes-specific emotional distress affects 20-40% of people with type 1 diabetes and can be experienced at any point in time</w:t>
      </w:r>
      <w:r w:rsidR="00F35525">
        <w:rPr>
          <w:rFonts w:ascii="Calibri" w:hAnsi="Calibri" w:cs="Calibri"/>
          <w:color w:val="000000" w:themeColor="text1"/>
        </w:rPr>
        <w:t xml:space="preserve"> from early adulthood to older age</w:t>
      </w:r>
      <w:r w:rsidRPr="0035461C">
        <w:rPr>
          <w:rFonts w:ascii="Calibri" w:hAnsi="Calibri" w:cs="Calibri"/>
          <w:color w:val="000000" w:themeColor="text1"/>
        </w:rPr>
        <w:t>. Two ‘critical’ times, however, are following the diagnosis and when complications develop</w:t>
      </w:r>
      <w:r w:rsidR="00F35525">
        <w:rPr>
          <w:rFonts w:ascii="Calibri" w:hAnsi="Calibri" w:cs="Calibri"/>
          <w:color w:val="000000" w:themeColor="text1"/>
        </w:rPr>
        <w:t xml:space="preserve"> </w:t>
      </w:r>
      <w:r w:rsidRPr="0035461C">
        <w:rPr>
          <w:rFonts w:ascii="Calibri" w:hAnsi="Calibri" w:cs="Calibri"/>
          <w:color w:val="000000" w:themeColor="text1"/>
        </w:rPr>
        <w:fldChar w:fldCharType="begin"/>
      </w:r>
      <w:r w:rsidR="00076F77">
        <w:rPr>
          <w:rFonts w:ascii="Calibri" w:hAnsi="Calibri" w:cs="Calibri"/>
          <w:color w:val="000000" w:themeColor="text1"/>
        </w:rPr>
        <w:instrText xml:space="preserve"> ADDIN ZOTERO_ITEM CSL_CITATION {"citationID":"tneZbYBV","properties":{"formattedCitation":"(167)","plainCitation":"(167)","noteIndex":0},"citationItems":[{"id":11436,"uris":["http://zotero.org/groups/369679/items/USX2KZK6"],"uri":["http://zotero.org/groups/369679/items/USX2KZK6"],"itemData":{"id":11436,"type":"article-journal","abstract":"AIMS: To identify the unique sources of diabetes distress (DD) for adults with type 1 diabetes (T1D).\nMETHODS: Sources of DD were developed from qualitative interviews with 25 T1D adults and 10 diabetes health care providers. Survey items were then developed and analyzed using both exploratory (EFA) and confirmatory CFA) analyses on two patient samples. Construct validity was assessed by correlations with depressive symptoms (PHQ8), complications, HbA1C, BMI, and hypoglycemia worry scale (HWS). Scale cut-points were created using multiple regression.\nRESULTS: An EFA with 305 U.S. participants yielded 7 coherent, reliable sources of distress that were replicated by a CFA with 109 Canadian participants: Powerlessness, Negative Social Perceptions, Physician Distress, Friend/Family Distress, Hypoglycemia Distress, Management Distress, Eating Distress. Prevalence of DD was high with 41.6% reporting at least moderate DD. Higher DD was reported for women, those with complications, poor glycemic control, younger age, without a partner, and non-White patients.\nCONCLUSIONS: We identified a profile of seven major sources of DD among T1D using a newly developed assessment instrument. The prevalence of DD is high and is related to glycemic control and several patient demographic and disease-related patient characteristics, arguing for a need to address DD in clinical care.","container-title":"Journal of Diabetes and Its Complications","DOI":"10.1016/j.jdiacomp.2015.01.012","ISSN":"1873-460X","issue":"4","journalAbbreviation":"J Diabetes Complications","language":"eng","note":"PMID: 25765489\nPMCID: PMC4414881","page":"572-577","source":"PubMed","title":"Understanding the sources of diabetes distress in adults with type 1 diabetes","volume":"29","author":[{"family":"Fisher","given":"Lawrence"},{"family":"Polonsky","given":"William H."},{"family":"Hessler","given":"Danielle M."},{"family":"Masharani","given":"Umesh"},{"family":"Blumer","given":"Ian"},{"family":"Peters","given":"Anne L."},{"family":"Strycker","given":"Lisa A."},{"family":"Bowyer","given":"Vicky"}],"issued":{"date-parts":[["2015",6]]}}}],"schema":"https://github.com/citation-style-language/schema/raw/master/csl-citation.json"} </w:instrText>
      </w:r>
      <w:r w:rsidRPr="0035461C">
        <w:rPr>
          <w:rFonts w:ascii="Calibri" w:hAnsi="Calibri" w:cs="Calibri"/>
          <w:color w:val="000000" w:themeColor="text1"/>
        </w:rPr>
        <w:fldChar w:fldCharType="separate"/>
      </w:r>
      <w:r w:rsidR="00076F77" w:rsidRPr="00076F77">
        <w:rPr>
          <w:rFonts w:ascii="Calibri" w:hAnsi="Calibri" w:cs="Calibri"/>
        </w:rPr>
        <w:t>(167)</w:t>
      </w:r>
      <w:r w:rsidRPr="0035461C">
        <w:rPr>
          <w:rFonts w:ascii="Calibri" w:hAnsi="Calibri" w:cs="Calibri"/>
          <w:color w:val="000000" w:themeColor="text1"/>
        </w:rPr>
        <w:fldChar w:fldCharType="end"/>
      </w:r>
      <w:r w:rsidRPr="0035461C">
        <w:rPr>
          <w:rFonts w:ascii="Calibri" w:hAnsi="Calibri" w:cs="Calibri"/>
          <w:color w:val="000000" w:themeColor="text1"/>
        </w:rPr>
        <w:t>. Feeling powerless and overwhelmed by the daily self-care demands, fear of hypoglycaemia, and worries about complications are among the most cited sources of distress by persons with type 1 diabetes. Prolonged, significant diabetes distress is associated with depressed mood and elevated HbA</w:t>
      </w:r>
      <w:r w:rsidRPr="0035461C">
        <w:rPr>
          <w:rFonts w:ascii="Calibri" w:hAnsi="Calibri" w:cs="Calibri"/>
          <w:color w:val="000000" w:themeColor="text1"/>
          <w:vertAlign w:val="subscript"/>
        </w:rPr>
        <w:t>1c</w:t>
      </w:r>
      <w:r w:rsidRPr="0035461C">
        <w:rPr>
          <w:rFonts w:ascii="Calibri" w:hAnsi="Calibri" w:cs="Calibri"/>
          <w:color w:val="000000" w:themeColor="text1"/>
        </w:rPr>
        <w:t xml:space="preserve"> levels </w:t>
      </w:r>
      <w:r w:rsidRPr="0035461C">
        <w:rPr>
          <w:rFonts w:ascii="Calibri" w:hAnsi="Calibri" w:cs="Calibri"/>
          <w:color w:val="000000" w:themeColor="text1"/>
        </w:rPr>
        <w:fldChar w:fldCharType="begin"/>
      </w:r>
      <w:r w:rsidR="00076F77">
        <w:rPr>
          <w:rFonts w:ascii="Calibri" w:hAnsi="Calibri" w:cs="Calibri"/>
          <w:color w:val="000000" w:themeColor="text1"/>
        </w:rPr>
        <w:instrText xml:space="preserve"> ADDIN ZOTERO_ITEM CSL_CITATION {"citationID":"h5cdZpmG","properties":{"formattedCitation":"(168)","plainCitation":"(168)","noteIndex":0},"citationItems":[{"id":11277,"uris":["http://zotero.org/groups/369679/items/D7Q5M45H"],"uri":["http://zotero.org/groups/369679/items/D7Q5M45H"],"itemData":{"id":11277,"type":"article-journal","abstract":"AIM: To determine the cross-sectional and longitudinal associations between diabetes distress and diabetes management.\nMETHODS: In a non-interventional study, 224 adults with Type 1 diabetes were assessed for diabetes distress, missed insulin boluses, hypoglycaemic episodes, and HbA1c at baseline and 9 months.\nRESULTS: At baseline, greater distress was associated with higher HbA1c and a greater percentage of missed insulin boluses. Longitudinally, elevated baseline distress was related to increased missed insulin boluses, and decreases in distress were associated with decreases in HbA1c . In supplementary analyses, neither depression symptoms nor a diagnosis of major depressive disorder was associated with missed insulin boluses, HbA1c or hypoglycaemic episodes in cross-sectional or longitudinal analyses.\nCONCLUSIONS: Significant cross-sectional and longitudinal associations were found between diabetes distress and management; in contrast, no parallel associations were found for major depressive disorder or depression symptoms. Findings suggest that elevated distress may lead to more missed insulin boluses over time, suggesting a potential intervention target. The covarying association between distress and HbA1c points to the complex and likely interactive associations between these constructs. Findings highlight the need to address distress as an integral part of diabetes management in routine care.","container-title":"Diabetic Medicine: A Journal of the British Diabetic Association","DOI":"10.1111/dme.13381","ISSN":"1464-5491","issue":"9","journalAbbreviation":"Diabet Med","language":"eng","note":"PMID: 28498610\nPMCID: PMC5561505","page":"1228-1234","source":"PubMed","title":"Diabetes distress is linked with worsening diabetes management over time in adults with Type 1 diabetes","volume":"34","author":[{"family":"Hessler","given":"D. M."},{"family":"Fisher","given":"L."},{"family":"Polonsky","given":"W. H."},{"family":"Masharani","given":"U."},{"family":"Strycker","given":"L. A."},{"family":"Peters","given":"A. L."},{"family":"Blumer","given":"I."},{"family":"Bowyer","given":"V."}],"issued":{"date-parts":[["2017",9]]}}}],"schema":"https://github.com/citation-style-language/schema/raw/master/csl-citation.json"} </w:instrText>
      </w:r>
      <w:r w:rsidRPr="0035461C">
        <w:rPr>
          <w:rFonts w:ascii="Calibri" w:hAnsi="Calibri" w:cs="Calibri"/>
          <w:color w:val="000000" w:themeColor="text1"/>
        </w:rPr>
        <w:fldChar w:fldCharType="separate"/>
      </w:r>
      <w:r w:rsidR="00076F77" w:rsidRPr="00076F77">
        <w:rPr>
          <w:rFonts w:ascii="Calibri" w:hAnsi="Calibri" w:cs="Calibri"/>
        </w:rPr>
        <w:t>(168)</w:t>
      </w:r>
      <w:r w:rsidRPr="0035461C">
        <w:rPr>
          <w:rFonts w:ascii="Calibri" w:hAnsi="Calibri" w:cs="Calibri"/>
          <w:color w:val="000000" w:themeColor="text1"/>
        </w:rPr>
        <w:fldChar w:fldCharType="end"/>
      </w:r>
      <w:r w:rsidRPr="0035461C">
        <w:rPr>
          <w:rFonts w:ascii="Calibri" w:hAnsi="Calibri" w:cs="Calibri"/>
          <w:color w:val="000000" w:themeColor="text1"/>
        </w:rPr>
        <w:t>.</w:t>
      </w:r>
      <w:r w:rsidRPr="0035461C">
        <w:rPr>
          <w:rFonts w:ascii="Calibri" w:hAnsi="Calibri" w:cs="Calibri"/>
          <w:color w:val="000000" w:themeColor="text1"/>
          <w:lang w:eastAsia="nl-NL"/>
        </w:rPr>
        <w:t xml:space="preserve"> </w:t>
      </w:r>
    </w:p>
    <w:p w14:paraId="2F58902F" w14:textId="78B1565B" w:rsidR="00264FF0" w:rsidRPr="0035461C" w:rsidRDefault="00264FF0" w:rsidP="00264FF0">
      <w:pPr>
        <w:shd w:val="clear" w:color="auto" w:fill="FFFFFF"/>
        <w:spacing w:before="120"/>
        <w:jc w:val="both"/>
        <w:rPr>
          <w:rFonts w:ascii="Calibri" w:hAnsi="Calibri" w:cs="Calibri"/>
          <w:color w:val="000000" w:themeColor="text1"/>
          <w:shd w:val="clear" w:color="auto" w:fill="FFFFFF"/>
          <w:lang w:eastAsia="nl-NL"/>
        </w:rPr>
      </w:pPr>
      <w:r w:rsidRPr="0035461C">
        <w:rPr>
          <w:rFonts w:ascii="Calibri" w:hAnsi="Calibri" w:cs="Calibri"/>
          <w:color w:val="000000" w:themeColor="text1"/>
        </w:rPr>
        <w:t xml:space="preserve">Lack of social support or feeling ‘policed’ by family, friends or coworkers also evokes emotional distress in individuals with type 1 diabetes </w:t>
      </w:r>
      <w:r w:rsidRPr="0035461C">
        <w:rPr>
          <w:rFonts w:ascii="Calibri" w:hAnsi="Calibri" w:cs="Calibri"/>
          <w:color w:val="000000" w:themeColor="text1"/>
        </w:rPr>
        <w:fldChar w:fldCharType="begin"/>
      </w:r>
      <w:r w:rsidR="00076F77">
        <w:rPr>
          <w:rFonts w:ascii="Calibri" w:hAnsi="Calibri" w:cs="Calibri"/>
          <w:color w:val="000000" w:themeColor="text1"/>
        </w:rPr>
        <w:instrText xml:space="preserve"> ADDIN ZOTERO_ITEM CSL_CITATION {"citationID":"4MRPIeuY","properties":{"formattedCitation":"(169)","plainCitation":"(169)","noteIndex":0},"citationItems":[{"id":11280,"uris":["http://zotero.org/groups/369679/items/HBTT97C2"],"uri":["http://zotero.org/groups/369679/items/HBTT97C2"],"itemData":{"id":11280,"type":"article-journal","abstract":"We review the past 25 years of research addressing challenges people living with diabetes experience in their daily lives related to social contexts, i.e. in their family, at work and in society at large, and identify research gaps. We found that young people with diabetes, as they develop through to adulthood, are exposed to considerable risks to their physical and mental health. Family-system interventions have had mixed outcomes. Research in this area would benefit from attention to ethnic/cultural diversity, and involving fathers and other family members. In adults with diabetes, social support relates to better diabetes outcomes. While family member involvement in care is likely to affect health and psychosocial outcomes of the person with diabetes, key elements and mediators of effective family interventions need to be identified. The challenges of diabetes management at work are under-researched; distress and intentional hyperglycaemia are common. When depression is comorbid with diabetes, there are increased work-related risks, e.g. unemployment, sickness absence and reduced income. Research to support people with diabetes at work should involve colleagues and employers to raise awareness and create supportive environments. Stigma and discrimination have been found to be more common than previously acknowledged, affecting self-care, well-being and access to health services. Guidance on stigma-reducing choice of language has been published recently. Resilience, defined as successful adaptation to adversity such as stigma and discrimination, requires studies relevant to the specific challenges of diabetes, whether at diagnosis or subsequently. The importance of the social context for living well with diabetes is now fully recognized, but understanding of many of the challenges, whether at home or work, is still limited, with much work needed to develop successful interventions.","container-title":"Diabetic Medicine: A Journal of the British Diabetic Association","DOI":"10.1111/dme.14226","ISSN":"1464-5491","issue":"3","journalAbbreviation":"Diabet Med","language":"eng","note":"PMID: 31912528\nPMCID: PMC7027907","page":"473-482","source":"PubMed","title":"State of the art: understanding and integration of the social context in diabetes care","title-short":"State of the art","volume":"37","author":[{"family":"Wit","given":"M.","non-dropping-particle":"de"},{"family":"Trief","given":"P. M."},{"family":"Huber","given":"J. W."},{"family":"Willaing","given":"I."}],"issued":{"date-parts":[["2020",3]]}}}],"schema":"https://github.com/citation-style-language/schema/raw/master/csl-citation.json"} </w:instrText>
      </w:r>
      <w:r w:rsidRPr="0035461C">
        <w:rPr>
          <w:rFonts w:ascii="Calibri" w:hAnsi="Calibri" w:cs="Calibri"/>
          <w:color w:val="000000" w:themeColor="text1"/>
        </w:rPr>
        <w:fldChar w:fldCharType="separate"/>
      </w:r>
      <w:r w:rsidR="00076F77" w:rsidRPr="00076F77">
        <w:rPr>
          <w:rFonts w:ascii="Calibri" w:hAnsi="Calibri" w:cs="Calibri"/>
        </w:rPr>
        <w:t>(169)</w:t>
      </w:r>
      <w:r w:rsidRPr="0035461C">
        <w:rPr>
          <w:rFonts w:ascii="Calibri" w:hAnsi="Calibri" w:cs="Calibri"/>
          <w:color w:val="000000" w:themeColor="text1"/>
        </w:rPr>
        <w:fldChar w:fldCharType="end"/>
      </w:r>
      <w:r w:rsidRPr="0035461C">
        <w:rPr>
          <w:rFonts w:ascii="Calibri" w:hAnsi="Calibri" w:cs="Calibri"/>
          <w:color w:val="000000" w:themeColor="text1"/>
        </w:rPr>
        <w:t>. Conversely, social support is a protective factor serving as a buffer against stress</w:t>
      </w:r>
      <w:r w:rsidRPr="0035461C">
        <w:rPr>
          <w:rFonts w:ascii="Calibri" w:hAnsi="Calibri" w:cs="Calibri"/>
          <w:color w:val="000000" w:themeColor="text1"/>
          <w:shd w:val="clear" w:color="auto" w:fill="FFFFFF"/>
          <w:lang w:eastAsia="nl-NL"/>
        </w:rPr>
        <w:t>.</w:t>
      </w:r>
      <w:r w:rsidRPr="0035461C">
        <w:rPr>
          <w:rFonts w:ascii="Calibri" w:hAnsi="Calibri" w:cs="Calibri"/>
          <w:color w:val="000000" w:themeColor="text1"/>
          <w:lang w:eastAsia="nl-NL"/>
        </w:rPr>
        <w:t xml:space="preserve"> </w:t>
      </w:r>
      <w:r w:rsidRPr="0035461C">
        <w:rPr>
          <w:rFonts w:ascii="Calibri" w:hAnsi="Calibri" w:cs="Calibri"/>
          <w:color w:val="000000" w:themeColor="text1"/>
        </w:rPr>
        <w:t xml:space="preserve">Depression and anxiety </w:t>
      </w:r>
      <w:r w:rsidR="00B65AB9" w:rsidRPr="0035461C">
        <w:rPr>
          <w:rFonts w:ascii="Calibri" w:hAnsi="Calibri" w:cs="Calibri"/>
          <w:color w:val="000000" w:themeColor="text1"/>
        </w:rPr>
        <w:t xml:space="preserve">symptoms </w:t>
      </w:r>
      <w:r w:rsidRPr="0035461C">
        <w:rPr>
          <w:rFonts w:ascii="Calibri" w:hAnsi="Calibri" w:cs="Calibri"/>
          <w:color w:val="000000" w:themeColor="text1"/>
        </w:rPr>
        <w:t xml:space="preserve">are twice as prevalent among people with type 1 diabetes relative to people without diabetes, negatively impacting quality of life </w:t>
      </w:r>
      <w:r w:rsidRPr="0035461C">
        <w:rPr>
          <w:rFonts w:ascii="Calibri" w:hAnsi="Calibri" w:cs="Calibri"/>
          <w:color w:val="000000" w:themeColor="text1"/>
        </w:rPr>
        <w:fldChar w:fldCharType="begin"/>
      </w:r>
      <w:r w:rsidR="00076F77">
        <w:rPr>
          <w:rFonts w:ascii="Calibri" w:hAnsi="Calibri" w:cs="Calibri"/>
          <w:color w:val="000000" w:themeColor="text1"/>
        </w:rPr>
        <w:instrText xml:space="preserve"> ADDIN ZOTERO_ITEM CSL_CITATION {"citationID":"99YTDaUx","properties":{"formattedCitation":"(170\\uc0\\u8211{}172)","plainCitation":"(170–172)","noteIndex":0},"citationItems":[{"id":11441,"uris":["http://zotero.org/groups/369679/items/5XS649SS"],"uri":["http://zotero.org/groups/369679/items/5XS649SS"],"itemData":{"id":11441,"type":"article-journal","abstract":"AIM: To review the literature estimating the cross-sectional prevalence of clinical depression in adults with Type 1 diabetes.\nMETHODS: Electronic databases and published references were used to identify studies published between January 2000 and June 2004, with a previous meta-analysis used to identify studies before 1 January 2000.\nRESULTS: Between January 2000 and June 2004, a further five eligible studies were identified. Only one was a controlled study using diagnostic interviewing to determine rates of depression. Taking all of the eligible studies identified by the previous meta-analysis and this search, the prevalence of clinical depression in controlled studies was 12.0% for people with diabetes compared with 3.2% for control subjects. In studies with no control group, the prevalence of clinical depression was 13.4%.\nCONCLUSION: There are wide-ranging differences reported in the various studies on the prevalence of depression in Type 1 diabetes. In view of the differing methods of diagnosis and small participant numbers, the results should be viewed with caution. A controlled study using diagnostic interviewing techniques to determine levels of depression is recommended to provide a clearer picture of both the prevalence and characteristics of that depression.","container-title":"Diabetic Medicine: A Journal of the British Diabetic Association","DOI":"10.1111/j.1464-5491.2006.01814.x","ISSN":"0742-3071","issue":"4","journalAbbreviation":"Diabet Med","language":"eng","note":"PMID: 16620276","page":"445-448","source":"PubMed","title":"The prevalence of co-morbid depression in adults with Type 1 diabetes: systematic literature review","title-short":"The prevalence of co-morbid depression in adults with Type 1 diabetes","volume":"23","author":[{"family":"Barnard","given":"K. D."},{"family":"Skinner","given":"T. C."},{"family":"Peveler","given":"R."}],"issued":{"date-parts":[["2006",4]]}}},{"id":11443,"uris":["http://zotero.org/groups/369679/items/AJTCJNAX"],"uri":["http://zotero.org/groups/369679/items/AJTCJNAX"],"itemData":{"id":11443,"type":"article-journal","abstract":"AIMS: The aims of this study were to examine (1) the prevalence of clinical and subclinical anxiety and affective disorders in a sample of diabetic patients attending a secondary care clinic in Germany and (2) risk factors associated with the occurrence of these disorders.\nMETHODS: Four hundred and twenty diabetic patients (36.9% Type 1; 24.7% Type 2; 38.4% Type 2 with insulin) participated in a questionnaire-based screening survey. Those who screened positive received a diagnostic interview.\nRESULTS: Prevalence of clinical affective disorders was 12.6%, with an additional 18.8% of patients reporting depressive symptoms without fulfilling all criteria for a clinical affective disorder. The prevalence of anxiety disorders was 5.9%, with an additional 19.3% of patients reporting some anxiety symptoms. The comorbidity rate of affective and anxiety disorders was 1.8%, whereas 21.4% of the diabetic patients reported elevated affective as well as anxiety symptomatology. Logistic regression established demographic variables such as age, female gender and living alone as well as diabetes-specific parameters such as insulin treatment in Type 2 diabetes, hypoglycaemia problems and poor glycaemic control as risk factors for affective disorders. For anxiety symptoms female gender, younger age and Type 2 diabetes were significant independent variables.\nCONCLUSION: The prevalence of affective disorders in diabetic patients was twofold higher than in the non-diabetic population, whereas prevalence for anxiety disorders was not increased. Analysis of risk factors can facilitate the identification of patients who are at a greater risk for these disorders.","container-title":"Diabetic Medicine: A Journal of the British Diabetic Association","DOI":"10.1111/j.1464-5491.2005.01414.x","ISSN":"0742-3071","issue":"3","journalAbbreviation":"Diabet Med","language":"eng","note":"PMID: 15717877","page":"293-300","source":"PubMed","title":"Affective and anxiety disorders in a German sample of diabetic patients: prevalence, comorbidity and risk factors","title-short":"Affective and anxiety disorders in a German sample of diabetic patients","volume":"22","author":[{"family":"Hermanns","given":"N."},{"family":"Kulzer","given":"B."},{"family":"Krichbaum","given":"M."},{"family":"Kubiak","given":"T."},{"family":"Haak","given":"T."}],"issued":{"date-parts":[["2005",3]]}}},{"id":2125,"uris":["http://zotero.org/groups/369679/items/MR9Y7CZI"],"uri":["http://zotero.org/groups/369679/items/MR9Y7CZI"],"itemData":{"id":2125,"type":"article-journal","abstract":"OBJECTIVES: Anxiety has been shown to be associated with poor outcomes in people with diabetes. However, there has been little research which has specifically examined whether diabetes mellitus is associated with an increased likelihood of co-morbid anxiety. The aim of this systematic review and meta-analysis was to determine whether people with diabetes are more likely to have anxiety disorders or elevated anxiety symptoms than people who do not have diabetes.\nMETHODS: A systematic review was performed by three independent reviewers who searched for articles that examined the association between anxiety and diabetes in adults 16 or older. Those studies that met eligibility criteria were put forward for meta-analysis using a random-effects model.\nRESULTS: A total of twelve studies with data for 12,626 people with diabetes were eligible for inclusion in the systematic review and meta-analysis. Significant and positive associations were found for diabetes with both anxiety disorders, 1.20 (1.10-1.31), and elevated anxiety symptoms, 1.48 (1.02-1.93). The pooled OR for all studies that assessed anxiety was 1.25 (1.10-1.39).\nCONCLUSIONS: Results from this meta-analysis provide support that diabetes is associated with an increased likelihood of having anxiety disorders and elevated anxiety symptoms.","container-title":"Journal of Psychosomatic Research","DOI":"10.1016/j.jpsychores.2012.11.013","ISSN":"1879-1360","issue":"2","journalAbbreviation":"J Psychosom Res","language":"eng","note":"PMID: 23332522","page":"89-99","source":"PubMed","title":"Association of diabetes with anxiety: a systematic review and meta-analysis","title-short":"Association of diabetes with anxiety","volume":"74","author":[{"family":"Smith","given":"Kimberley J."},{"family":"Béland","given":"Mélanie"},{"family":"Clyde","given":"Matthew"},{"family":"Gariépy","given":"Geneviève"},{"family":"Pagé","given":"Véronique"},{"family":"Badawi","given":"Ghislaine"},{"family":"Rabasa-Lhoret","given":"Rémi"},{"family":"Schmitz","given":"Norbert"}],"issued":{"date-parts":[["2013",2]]}}}],"schema":"https://github.com/citation-style-language/schema/raw/master/csl-citation.json"} </w:instrText>
      </w:r>
      <w:r w:rsidRPr="0035461C">
        <w:rPr>
          <w:rFonts w:ascii="Calibri" w:hAnsi="Calibri" w:cs="Calibri"/>
          <w:color w:val="000000" w:themeColor="text1"/>
        </w:rPr>
        <w:fldChar w:fldCharType="separate"/>
      </w:r>
      <w:r w:rsidR="00076F77" w:rsidRPr="00076F77">
        <w:rPr>
          <w:rFonts w:ascii="Calibri" w:hAnsi="Calibri" w:cs="Calibri"/>
        </w:rPr>
        <w:t>(170–172)</w:t>
      </w:r>
      <w:r w:rsidRPr="0035461C">
        <w:rPr>
          <w:rFonts w:ascii="Calibri" w:hAnsi="Calibri" w:cs="Calibri"/>
          <w:color w:val="000000" w:themeColor="text1"/>
        </w:rPr>
        <w:fldChar w:fldCharType="end"/>
      </w:r>
      <w:r w:rsidRPr="0035461C">
        <w:rPr>
          <w:rFonts w:ascii="Calibri" w:hAnsi="Calibri" w:cs="Calibri"/>
          <w:color w:val="000000" w:themeColor="text1"/>
        </w:rPr>
        <w:t xml:space="preserve">. Anxiety and depression often co-exist and may partly overlap with symptoms of diabetes distress </w:t>
      </w:r>
      <w:r w:rsidRPr="0035461C">
        <w:rPr>
          <w:rFonts w:ascii="Calibri" w:hAnsi="Calibri" w:cs="Calibri"/>
          <w:color w:val="000000" w:themeColor="text1"/>
        </w:rPr>
        <w:fldChar w:fldCharType="begin"/>
      </w:r>
      <w:r w:rsidR="00076F77">
        <w:rPr>
          <w:rFonts w:ascii="Calibri" w:hAnsi="Calibri" w:cs="Calibri"/>
          <w:color w:val="000000" w:themeColor="text1"/>
        </w:rPr>
        <w:instrText xml:space="preserve"> ADDIN ZOTERO_ITEM CSL_CITATION {"citationID":"xl8cI7ma","properties":{"formattedCitation":"(173)","plainCitation":"(173)","noteIndex":0},"citationItems":[{"id":1977,"uris":["http://zotero.org/groups/369679/items/J2RQK3XN"],"uri":["http://zotero.org/groups/369679/items/J2RQK3XN"],"itemData":{"id":1977,"type":"article-journal","abstract":"Depression presents in roughly 20% of people with diabetes worldwide, and adversely affects quality of life and treatment outcomes. The causes of depression in diabetes are poorly understood, but research suggests a bi-directional association, at least for type 2 diabetes. Inconsistent findings regarding prevalence and depression treatment outcomes in patients with diabetes seem partly attributable to inconsistencies in the definition and measurement of depression and in distinguishing it from diabetes-distress, a psychological concept related to depression. We review evidence suggesting that diabetes-distress and depression are correlated and overlapping constructs, but are not interchangeable. Importantly, diabetes-distress seems to mediate the association between depression and glycaemic control. We propose a model to explain the direct and indirect effects of depression and diabetes-distress on glycaemic control. Additionally, using emerging insights from data-driven approaches, we suggest three distinct symptom profiles to define depression in patients with diabetes that could help explain differential associations between depression and metabolic abnormalities, and to tailor interventions for depression. Future research should focus on further refining depression profiles in patients with diabetes, taking into account the natural history of diabetes and depression, clinical characteristics, and diabetes-distress. The assessment of diabetes-distress and depression in research and clinical practice will be essential to identify high-risk patients with different mental health needs.","container-title":"The Lancet. Diabetes &amp; Endocrinology","DOI":"10.1016/S2213-8587(15)00135-7","ISSN":"2213-8595","issue":"6","journalAbbreviation":"Lancet Diabetes Endocrinol","language":"eng","note":"PMID: 25995123","page":"450-460","source":"PubMed","title":"Constructs of depression and distress in diabetes: time for an appraisal","title-short":"Constructs of depression and distress in diabetes","volume":"3","author":[{"family":"Snoek","given":"Frank J."},{"family":"Bremmer","given":"Marijke A."},{"family":"Hermanns","given":"Norbert"}],"issued":{"date-parts":[["2015",6]]}}}],"schema":"https://github.com/citation-style-language/schema/raw/master/csl-citation.json"} </w:instrText>
      </w:r>
      <w:r w:rsidRPr="0035461C">
        <w:rPr>
          <w:rFonts w:ascii="Calibri" w:hAnsi="Calibri" w:cs="Calibri"/>
          <w:color w:val="000000" w:themeColor="text1"/>
        </w:rPr>
        <w:fldChar w:fldCharType="separate"/>
      </w:r>
      <w:r w:rsidR="00076F77" w:rsidRPr="00076F77">
        <w:rPr>
          <w:rFonts w:ascii="Calibri" w:hAnsi="Calibri" w:cs="Calibri"/>
        </w:rPr>
        <w:t>(173)</w:t>
      </w:r>
      <w:r w:rsidRPr="0035461C">
        <w:rPr>
          <w:rFonts w:ascii="Calibri" w:hAnsi="Calibri" w:cs="Calibri"/>
          <w:color w:val="000000" w:themeColor="text1"/>
        </w:rPr>
        <w:fldChar w:fldCharType="end"/>
      </w:r>
      <w:r w:rsidRPr="0035461C">
        <w:rPr>
          <w:rStyle w:val="CommentReference"/>
          <w:rFonts w:ascii="Calibri" w:eastAsiaTheme="minorHAnsi" w:hAnsi="Calibri" w:cs="Calibri"/>
        </w:rPr>
        <w:t>.</w:t>
      </w:r>
      <w:r w:rsidRPr="0035461C">
        <w:rPr>
          <w:rFonts w:ascii="Calibri" w:hAnsi="Calibri" w:cs="Calibri"/>
          <w:color w:val="000000" w:themeColor="text1"/>
        </w:rPr>
        <w:t xml:space="preserve"> </w:t>
      </w:r>
      <w:r w:rsidR="00471BEC">
        <w:rPr>
          <w:rFonts w:ascii="Calibri" w:hAnsi="Calibri" w:cs="Calibri"/>
          <w:color w:val="000000" w:themeColor="text1"/>
        </w:rPr>
        <w:t>Psychological distress, including mild to major d</w:t>
      </w:r>
      <w:r w:rsidRPr="0035461C">
        <w:rPr>
          <w:rFonts w:ascii="Calibri" w:hAnsi="Calibri" w:cs="Calibri"/>
          <w:color w:val="000000" w:themeColor="text1"/>
        </w:rPr>
        <w:t>epression</w:t>
      </w:r>
      <w:r w:rsidR="00471BEC">
        <w:rPr>
          <w:rFonts w:ascii="Calibri" w:hAnsi="Calibri" w:cs="Calibri"/>
          <w:color w:val="000000" w:themeColor="text1"/>
        </w:rPr>
        <w:t>,</w:t>
      </w:r>
      <w:r w:rsidRPr="0035461C">
        <w:rPr>
          <w:rFonts w:ascii="Calibri" w:hAnsi="Calibri" w:cs="Calibri"/>
          <w:color w:val="000000" w:themeColor="text1"/>
        </w:rPr>
        <w:t xml:space="preserve"> is a risk factor for poor self-care, hyperglycaemia, complications and excess mortality </w:t>
      </w:r>
      <w:r w:rsidRPr="0035461C">
        <w:rPr>
          <w:rFonts w:ascii="Calibri" w:hAnsi="Calibri" w:cs="Calibri"/>
          <w:color w:val="000000" w:themeColor="text1"/>
        </w:rPr>
        <w:fldChar w:fldCharType="begin"/>
      </w:r>
      <w:r w:rsidR="00076F77">
        <w:rPr>
          <w:rFonts w:ascii="Calibri" w:hAnsi="Calibri" w:cs="Calibri"/>
          <w:color w:val="000000" w:themeColor="text1"/>
        </w:rPr>
        <w:instrText xml:space="preserve"> ADDIN ZOTERO_ITEM CSL_CITATION {"citationID":"0PXWXp8U","properties":{"formattedCitation":"(173\\uc0\\u8211{}175)","plainCitation":"(173–175)","noteIndex":0},"citationItems":[{"id":1977,"uris":["http://zotero.org/groups/369679/items/J2RQK3XN"],"uri":["http://zotero.org/groups/369679/items/J2RQK3XN"],"itemData":{"id":1977,"type":"article-journal","abstract":"Depression presents in roughly 20% of people with diabetes worldwide, and adversely affects quality of life and treatment outcomes. The causes of depression in diabetes are poorly understood, but research suggests a bi-directional association, at least for type 2 diabetes. Inconsistent findings regarding prevalence and depression treatment outcomes in patients with diabetes seem partly attributable to inconsistencies in the definition and measurement of depression and in distinguishing it from diabetes-distress, a psychological concept related to depression. We review evidence suggesting that diabetes-distress and depression are correlated and overlapping constructs, but are not interchangeable. Importantly, diabetes-distress seems to mediate the association between depression and glycaemic control. We propose a model to explain the direct and indirect effects of depression and diabetes-distress on glycaemic control. Additionally, using emerging insights from data-driven approaches, we suggest three distinct symptom profiles to define depression in patients with diabetes that could help explain differential associations between depression and metabolic abnormalities, and to tailor interventions for depression. Future research should focus on further refining depression profiles in patients with diabetes, taking into account the natural history of diabetes and depression, clinical characteristics, and diabetes-distress. The assessment of diabetes-distress and depression in research and clinical practice will be essential to identify high-risk patients with different mental health needs.","container-title":"The Lancet. Diabetes &amp; Endocrinology","DOI":"10.1016/S2213-8587(15)00135-7","ISSN":"2213-8595","issue":"6","journalAbbreviation":"Lancet Diabetes Endocrinol","language":"eng","note":"PMID: 25995123","page":"450-460","source":"PubMed","title":"Constructs of depression and distress in diabetes: time for an appraisal","title-short":"Constructs of depression and distress in diabetes","volume":"3","author":[{"family":"Snoek","given":"Frank J."},{"family":"Bremmer","given":"Marijke A."},{"family":"Hermanns","given":"Norbert"}],"issued":{"date-parts":[["2015",6]]}}},{"id":11283,"uris":["http://zotero.org/groups/369679/items/5R2WGGFP"],"uri":["http://zotero.org/groups/369679/items/5R2WGGFP"],"itemData":{"id":11283,"type":"article-journal","abstract":"This narrative review of the literature provides a summary and discussion of 25 years of research into the complex links between depression and diabetes. Systematic reviews have shown that depression occurs more frequently in people with type 1 or type 2 diabetes compared with people without diabetes. Currently, it remains unclear whether depression is also more common in people with impaired glucose metabolism or undiagnosed type 2 diabetes compared with people without diabetes. More prospective epidemiological research into the course of depression and an exploration of mechanisms in individuals with diabetes are needed. Depression in diabetes is associated with less optimal self-care behaviours, suboptimal glycaemic control, impaired quality of life, incident micro- and macrovascular diseases, and elevated mortality rates. Randomized controlled trails concluded that depression in diabetes can be treated with antidepressant medication, cognitive-behavioural therapy (individual, group-based or web-based), mindfulness-based cognitive therapy and stepped care. Although big strides forward have been made in the past 25 years, scientific evidence about depression in diabetes remains incomplete. Future studies should investigate mechanisms that link both conditions and test new diabetes-specific web- or app-based interventions for depression in diabetes. It is important to determine whether treatment or prevention of depression prevents future diabetes complications and lowers mortality rates.","container-title":"Diabetic Medicine: A Journal of the British Diabetic Association","DOI":"10.1111/dme.14227","ISSN":"1464-5491","issue":"3","journalAbbreviation":"Diabet Med","language":"eng","note":"PMID: 31909844","page":"383-392","source":"PubMed","title":"How 25 years of psychosocial research has contributed to a better understanding of the links between depression and diabetes","volume":"37","author":[{"family":"Pouwer","given":"F."},{"family":"Schram","given":"M. T."},{"family":"Iversen","given":"M. M."},{"family":"Nouwen","given":"A."},{"family":"Holt","given":"R. I. G."}],"issued":{"date-parts":[["2020",3]]}}},{"id":11449,"uris":["http://zotero.org/groups/369679/items/3PYJDH4W"],"uri":["http://zotero.org/groups/369679/items/3PYJDH4W"],"itemData":{"id":11449,"type":"article-journal","abstract":"AIMS: To determine the prevalence of depression and diabetes distress in adults with Type 1 diabetes and the rate of false-positives when compared with rates of major depressive disorder.\nMETHODS: The sample consisted of 368 individuals with Type 1 diabetes, aged &gt; 19 years. Individuals completed: the eight-item Patient Health Questionnaire depression scale (PHQ8), which was coded using four scoring criteria (scores &gt; 10, &gt;12 and &gt;15, and Diagnostic and Statistical Manual of Mental Disorders 5 (DSM) algorithm scores); the Type 1 Diabetes Distress Scale; and the Structured Clinical Interview for DSM Disorders (SCID) to assess major depressive disorder.\nRESULTS: The prevalence rates of depression according to the eight-item Patient Health Questionnaire were: score &gt;10, 11.4%; score &gt;12, 7.1%; score &gt;15, 3.8%; and positive algorithm result, 4.6%. The prevalence of major depressive disorder was 3.5%; and the prevalence of at least moderate diabetes distress was 42.1%. Depending on the criterion used, the false-positive rate when using the Patient Health Questionnaire compared with the results when using the SCID varied from 52 to 71%. Of those classified as depressed on the PHQ-8 or Structured Clinical Interview for DSM Disorders, between 92.3 and 96.2% also reported elevated diabetes distress. No significant association was found between any group classed as having depression according to the PHQ8 or the SCID and HbA1c concentration. Depression was significantly associated with more other life stress, more complications and a lower level of education.\nCONCLUSIONS: We found an unexpectedly low rate of current depression and major depressive disorder in this diverse sample of adults with Type 1 diabetes, and a very high rate of false-positive results using the Patient Health Questionnaire. Considering the high prevalence of diabetes distress, much of what has been considered depression in adults with Type 1 diabetes may be attributed to the emotional distress associated with managing a demanding chronic disease and other life stressors and not necessarily to underlying psychopathology.","container-title":"Diabetic Medicine: A Journal of the British Diabetic Association","DOI":"10.1111/dme.12973","ISSN":"1464-5491","issue":"11","journalAbbreviation":"Diabet Med","language":"eng","note":"PMID: 26433004","page":"1590-1597","source":"PubMed","title":"Prevalence of depression in Type 1 diabetes and the problem of over-diagnosis","volume":"33","author":[{"family":"Fisher","given":"L."},{"family":"Hessler","given":"D. M."},{"family":"Polonsky","given":"W. H."},{"family":"Masharani","given":"U."},{"family":"Peters","given":"A. L."},{"family":"Blumer","given":"I."},{"family":"Strycker","given":"L. A."}],"issued":{"date-parts":[["2016",11]]}}}],"schema":"https://github.com/citation-style-language/schema/raw/master/csl-citation.json"} </w:instrText>
      </w:r>
      <w:r w:rsidRPr="0035461C">
        <w:rPr>
          <w:rFonts w:ascii="Calibri" w:hAnsi="Calibri" w:cs="Calibri"/>
          <w:color w:val="000000" w:themeColor="text1"/>
        </w:rPr>
        <w:fldChar w:fldCharType="separate"/>
      </w:r>
      <w:r w:rsidR="00076F77" w:rsidRPr="00076F77">
        <w:rPr>
          <w:rFonts w:ascii="Calibri" w:hAnsi="Calibri" w:cs="Calibri"/>
        </w:rPr>
        <w:t>(173–175)</w:t>
      </w:r>
      <w:r w:rsidRPr="0035461C">
        <w:rPr>
          <w:rFonts w:ascii="Calibri" w:hAnsi="Calibri" w:cs="Calibri"/>
          <w:color w:val="000000" w:themeColor="text1"/>
        </w:rPr>
        <w:fldChar w:fldCharType="end"/>
      </w:r>
      <w:r w:rsidRPr="0035461C">
        <w:rPr>
          <w:rStyle w:val="CommentReference"/>
          <w:rFonts w:ascii="Calibri" w:eastAsiaTheme="minorHAnsi" w:hAnsi="Calibri" w:cs="Calibri"/>
        </w:rPr>
        <w:t>.</w:t>
      </w:r>
      <w:r w:rsidRPr="0035461C">
        <w:rPr>
          <w:rFonts w:ascii="Calibri" w:hAnsi="Calibri" w:cs="Calibri"/>
          <w:color w:val="000000" w:themeColor="text1"/>
          <w:shd w:val="clear" w:color="auto" w:fill="FFFFFF"/>
          <w:lang w:eastAsia="nl-NL"/>
        </w:rPr>
        <w:t xml:space="preserve"> </w:t>
      </w:r>
      <w:r w:rsidRPr="0035461C">
        <w:rPr>
          <w:rFonts w:ascii="Calibri" w:hAnsi="Calibri" w:cs="Calibri"/>
          <w:color w:val="000000" w:themeColor="text1"/>
        </w:rPr>
        <w:t xml:space="preserve">The association between generalized anxiety and sub-optimal glycaemia is less clear </w:t>
      </w:r>
      <w:r w:rsidRPr="0035461C">
        <w:rPr>
          <w:rFonts w:ascii="Calibri" w:hAnsi="Calibri" w:cs="Calibri"/>
          <w:color w:val="000000" w:themeColor="text1"/>
          <w:shd w:val="clear" w:color="auto" w:fill="FFFFFF"/>
          <w:lang w:eastAsia="nl-NL"/>
        </w:rPr>
        <w:fldChar w:fldCharType="begin"/>
      </w:r>
      <w:r w:rsidR="00076F77">
        <w:rPr>
          <w:rFonts w:ascii="Calibri" w:hAnsi="Calibri" w:cs="Calibri"/>
          <w:color w:val="000000" w:themeColor="text1"/>
          <w:shd w:val="clear" w:color="auto" w:fill="FFFFFF"/>
          <w:lang w:eastAsia="nl-NL"/>
        </w:rPr>
        <w:instrText xml:space="preserve"> ADDIN ZOTERO_ITEM CSL_CITATION {"citationID":"WQ2HsMF3","properties":{"formattedCitation":"(176,177)","plainCitation":"(176,177)","noteIndex":0},"citationItems":[{"id":11451,"uris":["http://zotero.org/groups/369679/items/9M74UXH4"],"uri":["http://zotero.org/groups/369679/items/9M74UXH4"],"itemData":{"id":11451,"type":"article-journal","abstract":"Diabetes is a unique disorder in how much it requires a high degree of individual self management strategies. Anxiety and stress can affect glycemic control, and thus management of emotions may be key to good glycemic control. This study is the first to examine how anxiety and coping style, and their interaction, can affect long-term glycemic control. We measured anxiety, coping, and HbA1C, a measure for mean blood glucose levels in the previous 6-8 weeks, in 115 patients with Type 1 diabetes at baseline and roughly 5 years later. We found that coping predicted outcomes, especially for those high in trait anxiety. Trait anxiety predicted limited increases in HbA1C (mean increase = 0.02%). Lower levels of emotion-oriented coping predicted clinically significant increases in HbA1C, but only for those high on baseline trait anxiety (mean increase = 0.92%). Task-oriented coping predicted decreases in state anxiety. Use of task- and emotion-oriented coping appears especially important for highly anxious patients, both for emotional regulation and glycemic control. So, coping styles, basal anxiety and their interactions should be considered in designing follow-up and interventions with diabetic patients.","container-title":"Psychology &amp; Health","DOI":"10.1080/14768320701205218","ISSN":"1476-8321","issue":"1","journalAbbreviation":"Psychol Health","language":"eng","note":"PMID: 25159908","page":"73-89","source":"PubMed","title":"A longitudinal study of coping, anxiety and glycemic control in adults with type 1 diabetes","volume":"23","author":[{"family":"Sultan","given":"Serge"},{"family":"Epel","given":"Elissa"},{"family":"Sachon","given":"Claude"},{"family":"Vaillant","given":"Genevieve"},{"family":"Hartemann-Heurtier","given":"Agnes"}],"issued":{"date-parts":[["2008"]]}}},{"id":11453,"uris":["http://zotero.org/groups/369679/items/VIKIZ424"],"uri":["http://zotero.org/groups/369679/items/VIKIZ424"],"itemData":{"id":11453,"type":"article-journal","abstract":"AIMS: We examined: (a) the prevalence of comorbid elevated symptoms of anxiety/depression; (b) its demographic/clinical correlates; (c) associations with self-care behaviors, by diabetes type.\nMETHODS: Cross-sectional self-report data of 6590 adults with diabetes (42% type 1; 58% type 2) from the Australian and Dutch Diabetes MILES studies were used. Elevated symptoms of anxiety/depression were defined as GAD-7 ≥ 10/PHQ-9 ≥ 10.\nRESULTS: In both diabetes types, comorbid elevated symptoms of anxiety/depression were present in 9% and symptoms of anxiety alone in 2%; symptoms of depression alone were present in 8% of adults with type 1 diabetes and 11% with type 2 diabetes. Shorter diabetes duration (type 1 only) was the only characteristic that distinguished those with comorbid elevated symptoms of anxiety/depression but not those with symptoms of anxiety/depression alone from the reference group (no/minimal symptoms of anxiety/depression). Those with comorbid elevated symptoms of anxiety/depression had increased odds of sub-optimal diabetes self-care behaviors compared with the reference group, with higher odds than those with symptoms of anxiety or depression alone.\nCONCLUSIONS: Comorbid elevated symptoms of anxiety/depression affected one in ten respondents, who also had increased odds of suboptimal diabetes self-care. Those with shorter type 1 diabetes duration may be at increased risk.","container-title":"Journal of Diabetes and Its Complications","DOI":"10.1016/j.jdiacomp.2019.04.013","ISSN":"1873-460X","issue":"8","journalAbbreviation":"J Diabetes Complications","language":"eng","note":"PMID: 31129003","page":"523-529","source":"PubMed","title":"Comorbid elevated symptoms of anxiety and depression in adults with type 1 or type 2 diabetes: Results from the International Diabetes MILES Study","title-short":"Comorbid elevated symptoms of anxiety and depression in adults with type 1 or type 2 diabetes","volume":"33","author":[{"family":"Nefs","given":"Giesje"},{"family":"Hendrieckx","given":"Christel"},{"family":"Reddy","given":"Prasuna"},{"family":"Browne","given":"Jessica L."},{"family":"Bot","given":"Mariska"},{"family":"Dixon","given":"John"},{"family":"Kyrios","given":"Michael"},{"family":"Speight","given":"Jane"},{"family":"Pouwer","given":"François"}],"issued":{"date-parts":[["2019",8]]}}}],"schema":"https://github.com/citation-style-language/schema/raw/master/csl-citation.json"} </w:instrText>
      </w:r>
      <w:r w:rsidRPr="0035461C">
        <w:rPr>
          <w:rFonts w:ascii="Calibri" w:hAnsi="Calibri" w:cs="Calibri"/>
          <w:color w:val="000000" w:themeColor="text1"/>
          <w:shd w:val="clear" w:color="auto" w:fill="FFFFFF"/>
          <w:lang w:eastAsia="nl-NL"/>
        </w:rPr>
        <w:fldChar w:fldCharType="separate"/>
      </w:r>
      <w:r w:rsidR="00076F77" w:rsidRPr="00076F77">
        <w:rPr>
          <w:rFonts w:ascii="Calibri" w:hAnsi="Calibri" w:cs="Calibri"/>
        </w:rPr>
        <w:t>(176,177)</w:t>
      </w:r>
      <w:r w:rsidRPr="0035461C">
        <w:rPr>
          <w:rFonts w:ascii="Calibri" w:hAnsi="Calibri" w:cs="Calibri"/>
          <w:color w:val="000000" w:themeColor="text1"/>
          <w:shd w:val="clear" w:color="auto" w:fill="FFFFFF"/>
          <w:lang w:eastAsia="nl-NL"/>
        </w:rPr>
        <w:fldChar w:fldCharType="end"/>
      </w:r>
      <w:r w:rsidRPr="0035461C">
        <w:rPr>
          <w:rFonts w:ascii="Calibri" w:hAnsi="Calibri" w:cs="Calibri"/>
          <w:color w:val="000000" w:themeColor="text1"/>
          <w:shd w:val="clear" w:color="auto" w:fill="FFFFFF"/>
          <w:lang w:eastAsia="nl-NL"/>
        </w:rPr>
        <w:t>.</w:t>
      </w:r>
    </w:p>
    <w:p w14:paraId="73A039EE" w14:textId="67AED73D" w:rsidR="00264FF0" w:rsidRPr="0035461C" w:rsidRDefault="00264FF0" w:rsidP="00264FF0">
      <w:pPr>
        <w:shd w:val="clear" w:color="auto" w:fill="FFFFFF"/>
        <w:spacing w:before="120"/>
        <w:jc w:val="both"/>
        <w:rPr>
          <w:rFonts w:ascii="Calibri" w:hAnsi="Calibri" w:cs="Calibri"/>
          <w:color w:val="5B616B"/>
          <w:lang w:eastAsia="nl-NL"/>
        </w:rPr>
      </w:pPr>
      <w:r w:rsidRPr="0035461C">
        <w:rPr>
          <w:rFonts w:ascii="Calibri" w:hAnsi="Calibri" w:cs="Calibri"/>
          <w:color w:val="000000" w:themeColor="text1"/>
          <w:shd w:val="clear" w:color="auto" w:fill="FFFFFF"/>
          <w:lang w:eastAsia="nl-NL"/>
        </w:rPr>
        <w:t>Given the high prevalence and impact of psychosocial problems</w:t>
      </w:r>
      <w:r w:rsidR="00EB3925">
        <w:rPr>
          <w:rFonts w:ascii="Calibri" w:hAnsi="Calibri" w:cs="Calibri"/>
          <w:color w:val="000000" w:themeColor="text1"/>
          <w:shd w:val="clear" w:color="auto" w:fill="FFFFFF"/>
          <w:lang w:eastAsia="nl-NL"/>
        </w:rPr>
        <w:t xml:space="preserve"> and psychological disorders</w:t>
      </w:r>
      <w:r w:rsidRPr="0035461C">
        <w:rPr>
          <w:rFonts w:ascii="Calibri" w:hAnsi="Calibri" w:cs="Calibri"/>
          <w:color w:val="000000" w:themeColor="text1"/>
          <w:shd w:val="clear" w:color="auto" w:fill="FFFFFF"/>
          <w:lang w:eastAsia="nl-NL"/>
        </w:rPr>
        <w:t xml:space="preserve"> in diabetes, screening and monitoring should be integral parts of diabetes care</w:t>
      </w:r>
      <w:r w:rsidR="00EB3925">
        <w:rPr>
          <w:rFonts w:ascii="Calibri" w:hAnsi="Calibri" w:cs="Calibri"/>
          <w:color w:val="000000" w:themeColor="text1"/>
          <w:shd w:val="clear" w:color="auto" w:fill="FFFFFF"/>
          <w:lang w:eastAsia="nl-NL"/>
        </w:rPr>
        <w:t>, not least because these psychological comorbidities tend to negatively affect diabetes outcomes and vice versa.</w:t>
      </w:r>
      <w:r w:rsidR="00EB3925" w:rsidRPr="0035461C">
        <w:rPr>
          <w:rFonts w:ascii="Calibri" w:hAnsi="Calibri" w:cs="Calibri"/>
          <w:color w:val="000000" w:themeColor="text1"/>
          <w:shd w:val="clear" w:color="auto" w:fill="FFFFFF"/>
          <w:lang w:eastAsia="nl-NL"/>
        </w:rPr>
        <w:t xml:space="preserve"> </w:t>
      </w:r>
      <w:r w:rsidRPr="0035461C">
        <w:rPr>
          <w:rFonts w:ascii="Calibri" w:hAnsi="Calibri" w:cs="Calibri"/>
          <w:color w:val="000000" w:themeColor="text1"/>
          <w:shd w:val="clear" w:color="auto" w:fill="FFFFFF"/>
          <w:lang w:eastAsia="nl-NL"/>
        </w:rPr>
        <w:t xml:space="preserve">Validated screening tools </w:t>
      </w:r>
      <w:r w:rsidR="00EB3925">
        <w:rPr>
          <w:rFonts w:ascii="Calibri" w:hAnsi="Calibri" w:cs="Calibri"/>
          <w:color w:val="000000" w:themeColor="text1"/>
          <w:shd w:val="clear" w:color="auto" w:fill="FFFFFF"/>
          <w:lang w:eastAsia="nl-NL"/>
        </w:rPr>
        <w:t xml:space="preserve">that </w:t>
      </w:r>
      <w:r w:rsidR="00EB3925" w:rsidRPr="0035461C">
        <w:rPr>
          <w:rFonts w:ascii="Calibri" w:hAnsi="Calibri" w:cs="Calibri"/>
          <w:color w:val="000000" w:themeColor="text1"/>
          <w:shd w:val="clear" w:color="auto" w:fill="FFFFFF"/>
          <w:lang w:eastAsia="nl-NL"/>
        </w:rPr>
        <w:t>can help to ‘flag’ psychological problems that may require follow-up or referral to a mental health specialist</w:t>
      </w:r>
      <w:r w:rsidR="00EB3925">
        <w:rPr>
          <w:rFonts w:ascii="Calibri" w:hAnsi="Calibri" w:cs="Calibri"/>
          <w:color w:val="000000" w:themeColor="text1"/>
          <w:shd w:val="clear" w:color="auto" w:fill="FFFFFF"/>
          <w:lang w:eastAsia="nl-NL"/>
        </w:rPr>
        <w:t xml:space="preserve"> </w:t>
      </w:r>
      <w:r w:rsidRPr="0035461C">
        <w:rPr>
          <w:rFonts w:ascii="Calibri" w:hAnsi="Calibri" w:cs="Calibri"/>
          <w:color w:val="000000" w:themeColor="text1"/>
          <w:shd w:val="clear" w:color="auto" w:fill="FFFFFF"/>
          <w:lang w:eastAsia="nl-NL"/>
        </w:rPr>
        <w:t xml:space="preserve">have been developed for most problem areas and are available in multiple languages. Clinicians engaging in screening need to understand the psychological and social issues that may complicate diabetes management, have good communication skills, and be able to refer to specialized mental health services where appropriate. Recently, a working group from the International Consortium for Health Outcomes Measurement (ICHOM) made recommendations for a standard set of practical and validated psychosocial measures </w:t>
      </w:r>
      <w:r w:rsidRPr="0035461C">
        <w:rPr>
          <w:rFonts w:ascii="Calibri" w:hAnsi="Calibri" w:cs="Calibri"/>
          <w:color w:val="000000" w:themeColor="text1"/>
          <w:shd w:val="clear" w:color="auto" w:fill="FFFFFF"/>
          <w:lang w:eastAsia="nl-NL"/>
        </w:rPr>
        <w:fldChar w:fldCharType="begin"/>
      </w:r>
      <w:r w:rsidR="00076F77">
        <w:rPr>
          <w:rFonts w:ascii="Calibri" w:hAnsi="Calibri" w:cs="Calibri"/>
          <w:color w:val="000000" w:themeColor="text1"/>
          <w:shd w:val="clear" w:color="auto" w:fill="FFFFFF"/>
          <w:lang w:eastAsia="nl-NL"/>
        </w:rPr>
        <w:instrText xml:space="preserve"> ADDIN ZOTERO_ITEM CSL_CITATION {"citationID":"u3hB89cn","properties":{"formattedCitation":"(178)","plainCitation":"(178)","noteIndex":0},"citationItems":[{"id":11286,"uris":["http://zotero.org/groups/369679/items/J2E8ILSS"],"uri":["http://zotero.org/groups/369679/items/J2E8ILSS"],"itemData":{"id":11286,"type":"article-journal","abstract":"AIMS: To select a core list of standard outcomes for diabetes to be routinely applied internationally, including patient-reported outcomes.\nMETHODS: We conducted a structured systematic review of outcome measures, focusing on adults with either type 1 or type 2 diabetes. This process was followed by a consensus-driven modified Delphi panel, including a multidisciplinary group of academics, health professionals and people with diabetes. External feedback to validate the set of outcome measures was sought from people with diabetes and health professionals.\nRESULTS: The panel identified an essential set of clinical outcomes related to diabetes control, acute events, chronic complications, health service utilisation, and survival that can be measured using routine administrative data and/or clinical records. Three instruments were recommended for annual measurement of patient-reported outcome measures: the WHO Well-Being Index for psychological well-being; the depression module of the Patient Health Questionnaire for depression; and the Problem Areas in Diabetes scale for diabetes distress. A range of factors related to demographic, diagnostic profile, lifestyle, social support and treatment of diabetes were also identified for case-mix adjustment.\nCONCLUSIONS: We recommend the standard set identified in this study for use in routine practice to monitor, benchmark and improve diabetes care. The inclusion of patient-reported outcomes enables people living with diabetes to report directly on their condition in a structured way.","container-title":"Diabetic Medicine: A Journal of the British Diabetic Association","DOI":"10.1111/dme.14286","ISSN":"1464-5491","issue":"12","journalAbbreviation":"Diabet Med","language":"eng","note":"PMID: 32124488","page":"2009-2018","source":"PubMed","title":"A standard set of person-centred outcomes for diabetes mellitus: results of an international and unified approach","title-short":"A standard set of person-centred outcomes for diabetes mellitus","volume":"37","author":[{"family":"Nano","given":"J."},{"family":"Carinci","given":"F."},{"family":"Okunade","given":"O."},{"family":"Whittaker","given":"S."},{"family":"Walbaum","given":"M."},{"family":"Barnard-Kelly","given":"K."},{"family":"Barthelmes","given":"D."},{"family":"Benson","given":"T."},{"family":"Calderon-Margalit","given":"R."},{"family":"Dennaoui","given":"J."},{"family":"Fraser","given":"S."},{"family":"Haig","given":"R."},{"family":"Hernández-Jimenéz","given":"S."},{"family":"Levitt","given":"N."},{"family":"Mbanya","given":"J. C."},{"family":"Naqvi","given":"S."},{"family":"Peters","given":"A. L."},{"family":"Peyrot","given":"M."},{"family":"Prabhaharan","given":"M."},{"family":"Pumerantz","given":"A."},{"family":"Raposo","given":"J."},{"family":"Santana","given":"M."},{"family":"Schmitt","given":"A."},{"family":"Skovlund","given":"S. E."},{"family":"Garcia-Ulloa","given":"A. C."},{"family":"Wee","given":"H.-L."},{"family":"Zaletel","given":"J."},{"family":"Massi-Benedetti","given":"M."},{"literal":"Diabetes Working Group of the International Consortium for Health Outcomes Measurement (ICHOM)"}],"issued":{"date-parts":[["2020",12]]}}}],"schema":"https://github.com/citation-style-language/schema/raw/master/csl-citation.json"} </w:instrText>
      </w:r>
      <w:r w:rsidRPr="0035461C">
        <w:rPr>
          <w:rFonts w:ascii="Calibri" w:hAnsi="Calibri" w:cs="Calibri"/>
          <w:color w:val="000000" w:themeColor="text1"/>
          <w:shd w:val="clear" w:color="auto" w:fill="FFFFFF"/>
          <w:lang w:eastAsia="nl-NL"/>
        </w:rPr>
        <w:fldChar w:fldCharType="separate"/>
      </w:r>
      <w:r w:rsidR="00076F77" w:rsidRPr="00076F77">
        <w:rPr>
          <w:rFonts w:ascii="Calibri" w:hAnsi="Calibri" w:cs="Calibri"/>
        </w:rPr>
        <w:t>(178)</w:t>
      </w:r>
      <w:r w:rsidRPr="0035461C">
        <w:rPr>
          <w:rFonts w:ascii="Calibri" w:hAnsi="Calibri" w:cs="Calibri"/>
          <w:color w:val="000000" w:themeColor="text1"/>
          <w:shd w:val="clear" w:color="auto" w:fill="FFFFFF"/>
          <w:lang w:eastAsia="nl-NL"/>
        </w:rPr>
        <w:fldChar w:fldCharType="end"/>
      </w:r>
      <w:r w:rsidRPr="0035461C">
        <w:rPr>
          <w:rFonts w:ascii="Calibri" w:hAnsi="Calibri" w:cs="Calibri"/>
          <w:color w:val="000000" w:themeColor="text1"/>
          <w:shd w:val="clear" w:color="auto" w:fill="FFFFFF"/>
          <w:lang w:eastAsia="nl-NL"/>
        </w:rPr>
        <w:t>,</w:t>
      </w:r>
      <w:r w:rsidR="00E615B3" w:rsidRPr="0035461C">
        <w:rPr>
          <w:rFonts w:ascii="Calibri" w:hAnsi="Calibri" w:cs="Calibri"/>
          <w:color w:val="000000" w:themeColor="text1"/>
          <w:shd w:val="clear" w:color="auto" w:fill="FFFFFF"/>
          <w:lang w:eastAsia="nl-NL"/>
        </w:rPr>
        <w:t xml:space="preserve"> </w:t>
      </w:r>
      <w:r w:rsidRPr="0035461C">
        <w:rPr>
          <w:rFonts w:ascii="Calibri" w:hAnsi="Calibri" w:cs="Calibri"/>
          <w:color w:val="000000" w:themeColor="text1"/>
          <w:shd w:val="clear" w:color="auto" w:fill="FFFFFF"/>
          <w:lang w:eastAsia="nl-NL"/>
        </w:rPr>
        <w:t xml:space="preserve">including the WHO-5 Wellbeing Index (WHO-5) </w:t>
      </w:r>
      <w:r w:rsidRPr="0035461C">
        <w:rPr>
          <w:rFonts w:ascii="Calibri" w:hAnsi="Calibri" w:cs="Calibri"/>
          <w:color w:val="000000" w:themeColor="text1"/>
          <w:shd w:val="clear" w:color="auto" w:fill="FFFFFF"/>
          <w:lang w:eastAsia="nl-NL"/>
        </w:rPr>
        <w:fldChar w:fldCharType="begin"/>
      </w:r>
      <w:r w:rsidR="00076F77">
        <w:rPr>
          <w:rFonts w:ascii="Calibri" w:hAnsi="Calibri" w:cs="Calibri"/>
          <w:color w:val="000000" w:themeColor="text1"/>
          <w:shd w:val="clear" w:color="auto" w:fill="FFFFFF"/>
          <w:lang w:eastAsia="nl-NL"/>
        </w:rPr>
        <w:instrText xml:space="preserve"> ADDIN ZOTERO_ITEM CSL_CITATION {"citationID":"stQKVC2A","properties":{"formattedCitation":"(179)","plainCitation":"(179)","noteIndex":0},"citationItems":[{"id":11289,"uris":["http://zotero.org/groups/369679/items/GTBSQ6ES"],"uri":["http://zotero.org/groups/369679/items/GTBSQ6ES"],"itemData":{"id":11289,"type":"article-journal","abstract":"BACKGROUND: In recent years, the WHO Wellbeing Index (WHO-5) has been used as a screening measure for depression. Nevertheless, research on the validity of this measure in the context of clinical depression is sparse.\nQUESTIONS: The aim of the present study was to investigate the measurement invariance of the WHO-5 across depressed and non-depressed individuals, as well as the shape and specificity of its relationship to measures of depression severity.\nMETHOD: Of the 414 subjects who completed the WHO-5 and the Beck Depression Inventory-II (BDI-II), 207 had a diagnosis of a major depressive episode (MDE). A subsample also completed the Beck Anxiety Inventory (BAI) and was assessed by clinicians using the Hamilton Depression Rating Scale (HAM-D) and the Hamilton Anxiety Rating Scale (HAM-A).\nRESULTS: The WHO-5 demonstrated strong measurement invariance regarding the presence or absence of a current MDE. The WHO-5 showed a very high negative association with self- and observer-rated measures of depressive symptoms, especially in the range of mild to moderate symptoms. These associations were still substantial after controlling for measures of anxiety symptoms.\nLIMITATIONS: In addition to a diagnostic interview, only one measure for self- and observer-rated symptoms of depression was used. Furthermore, the observer-rated measure was only assessed in one subsample that exhibited a somewhat restricted range of depression severity.\nCONCLUSION: Although this index was originally designed as a measure of well-being, the results support the use of the WHO-5 in the context of depression research.","container-title":"Journal of Affective Disorders","DOI":"10.1016/j.jad.2013.12.015","ISSN":"1573-2517","journalAbbreviation":"J Affect Disord","language":"eng","note":"PMID: 24412323","page":"240-244","source":"PubMed","title":"Measuring depression with a well-being index: further evidence for the validity of the WHO Well-Being Index (WHO-5) as a measure of the severity of depression","title-short":"Measuring depression with a well-being index","volume":"156","author":[{"family":"Krieger","given":"Tobias"},{"family":"Zimmermann","given":"Johannes"},{"family":"Huffziger","given":"Silke"},{"family":"Ubl","given":"Bettina"},{"family":"Diener","given":"Carsten"},{"family":"Kuehner","given":"Christine"},{"family":"Grosse Holtforth","given":"Martin"}],"issued":{"date-parts":[["2014",3]]}}}],"schema":"https://github.com/citation-style-language/schema/raw/master/csl-citation.json"} </w:instrText>
      </w:r>
      <w:r w:rsidRPr="0035461C">
        <w:rPr>
          <w:rFonts w:ascii="Calibri" w:hAnsi="Calibri" w:cs="Calibri"/>
          <w:color w:val="000000" w:themeColor="text1"/>
          <w:shd w:val="clear" w:color="auto" w:fill="FFFFFF"/>
          <w:lang w:eastAsia="nl-NL"/>
        </w:rPr>
        <w:fldChar w:fldCharType="separate"/>
      </w:r>
      <w:r w:rsidR="00076F77" w:rsidRPr="00076F77">
        <w:rPr>
          <w:rFonts w:ascii="Calibri" w:hAnsi="Calibri" w:cs="Calibri"/>
        </w:rPr>
        <w:t>(179)</w:t>
      </w:r>
      <w:r w:rsidRPr="0035461C">
        <w:rPr>
          <w:rFonts w:ascii="Calibri" w:hAnsi="Calibri" w:cs="Calibri"/>
          <w:color w:val="000000" w:themeColor="text1"/>
          <w:shd w:val="clear" w:color="auto" w:fill="FFFFFF"/>
          <w:lang w:eastAsia="nl-NL"/>
        </w:rPr>
        <w:fldChar w:fldCharType="end"/>
      </w:r>
      <w:r w:rsidRPr="0035461C">
        <w:rPr>
          <w:rFonts w:ascii="Calibri" w:hAnsi="Calibri" w:cs="Calibri"/>
          <w:color w:val="000000" w:themeColor="text1"/>
          <w:shd w:val="clear" w:color="auto" w:fill="FFFFFF"/>
          <w:lang w:eastAsia="nl-NL"/>
        </w:rPr>
        <w:t xml:space="preserve">, Problem Areas in Diabetes scale (PAID) </w:t>
      </w:r>
      <w:r w:rsidRPr="0035461C">
        <w:rPr>
          <w:rFonts w:ascii="Calibri" w:hAnsi="Calibri" w:cs="Calibri"/>
          <w:color w:val="000000" w:themeColor="text1"/>
          <w:shd w:val="clear" w:color="auto" w:fill="FFFFFF"/>
          <w:lang w:eastAsia="nl-NL"/>
        </w:rPr>
        <w:fldChar w:fldCharType="begin"/>
      </w:r>
      <w:r w:rsidR="00076F77">
        <w:rPr>
          <w:rFonts w:ascii="Calibri" w:hAnsi="Calibri" w:cs="Calibri"/>
          <w:color w:val="000000" w:themeColor="text1"/>
          <w:shd w:val="clear" w:color="auto" w:fill="FFFFFF"/>
          <w:lang w:eastAsia="nl-NL"/>
        </w:rPr>
        <w:instrText xml:space="preserve"> ADDIN ZOTERO_ITEM CSL_CITATION {"citationID":"odJbFxfy","properties":{"formattedCitation":"(180)","plainCitation":"(180)","noteIndex":0},"citationItems":[{"id":2839,"uris":["http://zotero.org/groups/369679/items/XRQGJHDA"],"uri":["http://zotero.org/groups/369679/items/XRQGJHDA"],"itemData":{"id":2839,"type":"article-journal","abstract":"OBJECTIVE To describe a new measure of psychosocial adjustment specific to diabetes, the Problem Areas in Diabetes Survey (PAID), and to present initial information on its reliability and validity.\nRESEARCH DESIGN AND METHODS Before their routine clinic appointments, 451 female patients with type I and type II diabetes, all of whom required insulin, completed a self-report survey. Included in the survey was the PAID, a 20-item questionnaire in which each item represents a unique area of diabetes-related psychosocial distress. Each item is rated on a six-point Likert scale, reflecting the degree to which the item is perceived as currently problematic. A total scale score, hypothesized to reflect the overall level of diabetes-related emotional distress, is computed by summing the total item responses. To examine the concurrent validity of the PAID, the survey also included a series of standardized questionnaires assessing psychosocial functioning (general emotional distress, fear of hypoglycemia, and disordered eating), attitudes toward diabetes, and self-care behaviors. All subjects were assessed for HbA1, within 30 days of survey completion and again </w:instrText>
      </w:r>
      <w:r w:rsidR="00076F77">
        <w:rPr>
          <w:rFonts w:ascii="Cambria Math" w:hAnsi="Cambria Math" w:cs="Cambria Math"/>
          <w:color w:val="000000" w:themeColor="text1"/>
          <w:shd w:val="clear" w:color="auto" w:fill="FFFFFF"/>
          <w:lang w:eastAsia="nl-NL"/>
        </w:rPr>
        <w:instrText>∼</w:instrText>
      </w:r>
      <w:r w:rsidR="00076F77">
        <w:rPr>
          <w:rFonts w:ascii="Calibri" w:hAnsi="Calibri" w:cs="Calibri"/>
          <w:color w:val="000000" w:themeColor="text1"/>
          <w:shd w:val="clear" w:color="auto" w:fill="FFFFFF"/>
          <w:lang w:eastAsia="nl-NL"/>
        </w:rPr>
        <w:instrText xml:space="preserve"> 1–2 years later. Finally, long-term diabetic complications were determined through chart review.\nRESULTS Internal reliability of the PAID was high, with good item-to-total correlations. Approximately 60% of the subject sample reported at least one serious diabetes-related concern. As expected, the PAID was positively associated with relevant psychosocial measures of distress, including general emotional distress, disordered eating, and fear of hypoglycemia, short- and long-term diabetic complications, and HbA1, and negatively associated with reported self-care behaviors. The PAID accounted for </w:instrText>
      </w:r>
      <w:r w:rsidR="00076F77">
        <w:rPr>
          <w:rFonts w:ascii="Cambria Math" w:hAnsi="Cambria Math" w:cs="Cambria Math"/>
          <w:color w:val="000000" w:themeColor="text1"/>
          <w:shd w:val="clear" w:color="auto" w:fill="FFFFFF"/>
          <w:lang w:eastAsia="nl-NL"/>
        </w:rPr>
        <w:instrText>∼</w:instrText>
      </w:r>
      <w:r w:rsidR="00076F77">
        <w:rPr>
          <w:rFonts w:ascii="Calibri" w:hAnsi="Calibri" w:cs="Calibri"/>
          <w:color w:val="000000" w:themeColor="text1"/>
          <w:shd w:val="clear" w:color="auto" w:fill="FFFFFF"/>
          <w:lang w:eastAsia="nl-NL"/>
        </w:rPr>
        <w:instrText xml:space="preserve"> 9% of the variance in HbA1. Diabetes-related emotional distress, as measured by the PAID, was found to be a unique contributor to adherence to self-care behaviors after adjustment for age, diabetes duration, and general emotional distress. In addition, the PAID was associated with HbA1 even after adjustment for age, diabetes duration, general emotional distress, and adherence to self-care behaviors.\nCONCLUSIONS These findings suggest that the PAID, a brief, easy-to-administer instrument, may be valuable in assessing psychosocial adjustment to diabetes. In addition to high internal reliability, the consistent pattern of correlational findings indicates that the PAID is tapping into relevant aspects of emotional distress and that its particular feature, the measurement of diabetes-related emotional distress, is uniquely associated with diabetes-relevant outcomes. These data are also consistent with the hypothesis that diabetes-related emotional distress, separate from general emotional distress, is an independent and major contributor to poor adherence. Given that the study was limited to female patients using insulin, further examination of the clinical usefulness of the PAID will need to focus on more heterogeneous samples.","container-title":"Diabetes Care","DOI":"10.2337/diacare.18.6.754","ISSN":"0149-5992, 1935-5548","issue":"6","language":"en","note":"PMID: 7555499","page":"754-760","source":"care.diabetesjournals.org","title":"Assessment of Diabetes-Related Distress","volume":"18","author":[{"family":"Polonsky","given":"William H."},{"family":"Anderson","given":"Barbara J."},{"family":"Lohrer","given":"Patricia A."},{"family":"Welch","given":"Garry"},{"family":"Jacobson","given":"Alan M."},{"family":"Aponte","given":"Jennifer E."},{"family":"Schwartz","given":"Carolyn E."}],"issued":{"date-parts":[["1995",6,1]]}}}],"schema":"https://github.com/citation-style-language/schema/raw/master/csl-citation.json"} </w:instrText>
      </w:r>
      <w:r w:rsidRPr="0035461C">
        <w:rPr>
          <w:rFonts w:ascii="Calibri" w:hAnsi="Calibri" w:cs="Calibri"/>
          <w:color w:val="000000" w:themeColor="text1"/>
          <w:shd w:val="clear" w:color="auto" w:fill="FFFFFF"/>
          <w:lang w:eastAsia="nl-NL"/>
        </w:rPr>
        <w:fldChar w:fldCharType="separate"/>
      </w:r>
      <w:r w:rsidR="00076F77" w:rsidRPr="00076F77">
        <w:rPr>
          <w:rFonts w:ascii="Calibri" w:hAnsi="Calibri" w:cs="Calibri"/>
        </w:rPr>
        <w:t>(180)</w:t>
      </w:r>
      <w:r w:rsidRPr="0035461C">
        <w:rPr>
          <w:rFonts w:ascii="Calibri" w:hAnsi="Calibri" w:cs="Calibri"/>
          <w:color w:val="000000" w:themeColor="text1"/>
          <w:shd w:val="clear" w:color="auto" w:fill="FFFFFF"/>
          <w:lang w:eastAsia="nl-NL"/>
        </w:rPr>
        <w:fldChar w:fldCharType="end"/>
      </w:r>
      <w:r w:rsidRPr="0035461C">
        <w:rPr>
          <w:rFonts w:ascii="Calibri" w:hAnsi="Calibri" w:cs="Calibri"/>
          <w:color w:val="000000" w:themeColor="text1"/>
          <w:shd w:val="clear" w:color="auto" w:fill="FFFFFF"/>
          <w:lang w:eastAsia="nl-NL"/>
        </w:rPr>
        <w:t xml:space="preserve">, and Patient Health Questionnaire (PHQ-9) </w:t>
      </w:r>
      <w:r w:rsidRPr="0035461C">
        <w:rPr>
          <w:rFonts w:ascii="Calibri" w:hAnsi="Calibri" w:cs="Calibri"/>
          <w:color w:val="000000" w:themeColor="text1"/>
          <w:shd w:val="clear" w:color="auto" w:fill="FFFFFF"/>
          <w:lang w:eastAsia="nl-NL"/>
        </w:rPr>
        <w:fldChar w:fldCharType="begin"/>
      </w:r>
      <w:r w:rsidR="00076F77">
        <w:rPr>
          <w:rFonts w:ascii="Calibri" w:hAnsi="Calibri" w:cs="Calibri"/>
          <w:color w:val="000000" w:themeColor="text1"/>
          <w:shd w:val="clear" w:color="auto" w:fill="FFFFFF"/>
          <w:lang w:eastAsia="nl-NL"/>
        </w:rPr>
        <w:instrText xml:space="preserve"> ADDIN ZOTERO_ITEM CSL_CITATION {"citationID":"wszfxV0Q","properties":{"formattedCitation":"(181)","plainCitation":"(181)","noteIndex":0},"citationItems":[{"id":11293,"uris":["http://zotero.org/groups/369679/items/732RXSL8"],"uri":["http://zotero.org/groups/369679/items/732RXSL8"],"itemData":{"id":11293,"type":"article-journal","abstract":"OBJECTIVE: While considerable attention has focused on improving the detection of depression, assessment of severity is also important in guiding treatment decisions. Therefore, we examined the validity of a brief, new measure of depression severity.\nMEASUREMENTS: The Patient Health Questionnaire (PHQ) is a self-administered version of the PRIME-MD diagnostic instrument for common mental disorders. The PHQ-9 is the depression module, which scores each of the 9 DSM-IV criteria as \"0\" (not at all) to \"3\" (nearly every day). The PHQ-9 was completed by 6,000 patients in 8 primary care clinics and 7 obstetrics-gynecology clinics. Construct validity was assessed using the 20-item Short-Form General Health Survey, self-reported sick days and clinic visits, and symptom-related difficulty. Criterion validity was assessed against an independent structured mental health professional (MHP) interview in a sample of 580 patients.\nRESULTS: As PHQ-9 depression severity increased, there was a substantial decrease in functional status on all 6 SF-20 subscales. Also, symptom-related difficulty, sick days, and health care utilization increased. Using the MHP reinterview as the criterion standard, a PHQ-9 score &gt; or =10 had a sensitivity of 88% and a specificity of 88% for major depression. PHQ-9 scores of 5, 10, 15, and 20 represented mild, moderate, moderately severe, and severe depression, respectively. Results were similar in the primary care and obstetrics-gynecology samples.\nCONCLUSION: In addition to making criteria-based diagnoses of depressive disorders, the PHQ-9 is also a reliable and valid measure of depression severity. These characteristics plus its brevity make the PHQ-9 a useful clinical and research tool.","container-title":"Journal of General Internal Medicine","DOI":"10.1046/j.1525-1497.2001.016009606.x","ISSN":"0884-8734","issue":"9","journalAbbreviation":"J Gen Intern Med","language":"eng","note":"PMID: 11556941\nPMCID: PMC1495268","page":"606-613","source":"PubMed","title":"The PHQ-9: validity of a brief depression severity measure","title-short":"The PHQ-9","volume":"16","author":[{"family":"Kroenke","given":"K."},{"family":"Spitzer","given":"R. L."},{"family":"Williams","given":"J. B."}],"issued":{"date-parts":[["2001",9]]}}}],"schema":"https://github.com/citation-style-language/schema/raw/master/csl-citation.json"} </w:instrText>
      </w:r>
      <w:r w:rsidRPr="0035461C">
        <w:rPr>
          <w:rFonts w:ascii="Calibri" w:hAnsi="Calibri" w:cs="Calibri"/>
          <w:color w:val="000000" w:themeColor="text1"/>
          <w:shd w:val="clear" w:color="auto" w:fill="FFFFFF"/>
          <w:lang w:eastAsia="nl-NL"/>
        </w:rPr>
        <w:fldChar w:fldCharType="separate"/>
      </w:r>
      <w:r w:rsidR="00076F77" w:rsidRPr="00076F77">
        <w:rPr>
          <w:rFonts w:ascii="Calibri" w:hAnsi="Calibri" w:cs="Calibri"/>
        </w:rPr>
        <w:t>(181)</w:t>
      </w:r>
      <w:r w:rsidRPr="0035461C">
        <w:rPr>
          <w:rFonts w:ascii="Calibri" w:hAnsi="Calibri" w:cs="Calibri"/>
          <w:color w:val="000000" w:themeColor="text1"/>
          <w:shd w:val="clear" w:color="auto" w:fill="FFFFFF"/>
          <w:lang w:eastAsia="nl-NL"/>
        </w:rPr>
        <w:fldChar w:fldCharType="end"/>
      </w:r>
      <w:r w:rsidRPr="0035461C">
        <w:rPr>
          <w:rFonts w:ascii="Calibri" w:hAnsi="Calibri" w:cs="Calibri"/>
          <w:color w:val="000000" w:themeColor="text1"/>
          <w:shd w:val="clear" w:color="auto" w:fill="FFFFFF"/>
          <w:lang w:eastAsia="nl-NL"/>
        </w:rPr>
        <w:t>.</w:t>
      </w:r>
      <w:r w:rsidR="00EB3925">
        <w:rPr>
          <w:rFonts w:ascii="Calibri" w:hAnsi="Calibri" w:cs="Calibri"/>
          <w:color w:val="000000" w:themeColor="text1"/>
          <w:shd w:val="clear" w:color="auto" w:fill="FFFFFF"/>
          <w:lang w:eastAsia="nl-NL"/>
        </w:rPr>
        <w:t xml:space="preserve"> Completion of these three questionnaires takes approximately 7 minutes, and can be scheduled prior to the visit, either online or in the waiting room. </w:t>
      </w:r>
      <w:r w:rsidRPr="0035461C">
        <w:rPr>
          <w:rFonts w:ascii="Calibri" w:hAnsi="Calibri" w:cs="Calibri"/>
          <w:color w:val="000000" w:themeColor="text1"/>
          <w:shd w:val="clear" w:color="auto" w:fill="FFFFFF"/>
          <w:lang w:eastAsia="nl-NL"/>
        </w:rPr>
        <w:t xml:space="preserve"> For Generalized Anxiety, the Generalized Anxiety Disorder-7 items (GAD-7) </w:t>
      </w:r>
      <w:r w:rsidR="00934282" w:rsidRPr="0035461C">
        <w:rPr>
          <w:rFonts w:ascii="Calibri" w:hAnsi="Calibri" w:cs="Calibri"/>
          <w:color w:val="000000" w:themeColor="text1"/>
          <w:shd w:val="clear" w:color="auto" w:fill="FFFFFF"/>
          <w:lang w:eastAsia="nl-NL"/>
        </w:rPr>
        <w:t>is</w:t>
      </w:r>
      <w:r w:rsidRPr="0035461C">
        <w:rPr>
          <w:rFonts w:ascii="Calibri" w:hAnsi="Calibri" w:cs="Calibri"/>
          <w:color w:val="000000" w:themeColor="text1"/>
          <w:shd w:val="clear" w:color="auto" w:fill="FFFFFF"/>
          <w:lang w:eastAsia="nl-NL"/>
        </w:rPr>
        <w:t xml:space="preserve"> recommended </w:t>
      </w:r>
      <w:r w:rsidRPr="0035461C">
        <w:rPr>
          <w:rFonts w:ascii="Calibri" w:hAnsi="Calibri" w:cs="Calibri"/>
          <w:color w:val="000000" w:themeColor="text1"/>
          <w:shd w:val="clear" w:color="auto" w:fill="FFFFFF"/>
          <w:lang w:eastAsia="nl-NL"/>
        </w:rPr>
        <w:fldChar w:fldCharType="begin"/>
      </w:r>
      <w:r w:rsidR="00076F77">
        <w:rPr>
          <w:rFonts w:ascii="Calibri" w:hAnsi="Calibri" w:cs="Calibri"/>
          <w:color w:val="000000" w:themeColor="text1"/>
          <w:shd w:val="clear" w:color="auto" w:fill="FFFFFF"/>
          <w:lang w:eastAsia="nl-NL"/>
        </w:rPr>
        <w:instrText xml:space="preserve"> ADDIN ZOTERO_ITEM CSL_CITATION {"citationID":"9HtRSYh6","properties":{"formattedCitation":"(182)","plainCitation":"(182)","noteIndex":0},"citationItems":[{"id":11296,"uris":["http://zotero.org/groups/369679/items/A4UJR52P"],"uri":["http://zotero.org/groups/369679/items/A4UJR52P"],"itemData":{"id":11296,"type":"article-journal","abstract":"BACKGROUND: Generalized anxiety disorder (GAD) is one of the most common mental disorders; however, there is no brief clinical measure for assessing GAD. The objective of this study was to develop a brief self-report scale to identify probable cases of GAD and evaluate its reliability and validity.\nMETHODS: A criterion-standard study was performed in 15 primary care clinics in the United States from November 2004 through June 2005. Of a total of 2740 adult patients completing a study questionnaire, 965 patients had a telephone interview with a mental health professional within 1 week. For criterion and construct validity, GAD self-report scale diagnoses were compared with independent diagnoses made by mental health professionals; functional status measures; disability days; and health care use.\nRESULTS: A 7-item anxiety scale (GAD-7) had good reliability, as well as criterion, construct, factorial, and procedural validity. A cut point was identified that optimized sensitivity (89%) and specificity (82%). Increasing scores on the scale were strongly associated with multiple domains of functional impairment (all 6 Medical Outcomes Study Short-Form General Health Survey scales and disability days). Although GAD and depression symptoms frequently co-occurred, factor analysis confirmed them as distinct dimensions. Moreover, GAD and depression symptoms had differing but independent effects on functional impairment and disability. There was good agreement between self-report and interviewer-administered versions of the scale.\nCONCLUSION: The GAD-7 is a valid and efficient tool for screening for GAD and assessing its severity in clinical practice and research.","container-title":"Archives of Internal Medicine","DOI":"10.1001/archinte.166.10.1092","ISSN":"0003-9926","issue":"10","journalAbbreviation":"Arch Intern Med","language":"eng","note":"PMID: 16717171","page":"1092-1097","source":"PubMed","title":"A brief measure for assessing generalized anxiety disorder: the GAD-7","title-short":"A brief measure for assessing generalized anxiety disorder","volume":"166","author":[{"family":"Spitzer","given":"Robert L."},{"family":"Kroenke","given":"Kurt"},{"family":"Williams","given":"Janet B. W."},{"family":"Löwe","given":"Bernd"}],"issued":{"date-parts":[["2006",5,22]]}}}],"schema":"https://github.com/citation-style-language/schema/raw/master/csl-citation.json"} </w:instrText>
      </w:r>
      <w:r w:rsidRPr="0035461C">
        <w:rPr>
          <w:rFonts w:ascii="Calibri" w:hAnsi="Calibri" w:cs="Calibri"/>
          <w:color w:val="000000" w:themeColor="text1"/>
          <w:shd w:val="clear" w:color="auto" w:fill="FFFFFF"/>
          <w:lang w:eastAsia="nl-NL"/>
        </w:rPr>
        <w:fldChar w:fldCharType="separate"/>
      </w:r>
      <w:r w:rsidR="00076F77" w:rsidRPr="00076F77">
        <w:rPr>
          <w:rFonts w:ascii="Calibri" w:hAnsi="Calibri" w:cs="Calibri"/>
        </w:rPr>
        <w:t>(182)</w:t>
      </w:r>
      <w:r w:rsidRPr="0035461C">
        <w:rPr>
          <w:rFonts w:ascii="Calibri" w:hAnsi="Calibri" w:cs="Calibri"/>
          <w:color w:val="000000" w:themeColor="text1"/>
          <w:shd w:val="clear" w:color="auto" w:fill="FFFFFF"/>
          <w:lang w:eastAsia="nl-NL"/>
        </w:rPr>
        <w:fldChar w:fldCharType="end"/>
      </w:r>
      <w:r w:rsidRPr="0035461C">
        <w:rPr>
          <w:rFonts w:ascii="Calibri" w:hAnsi="Calibri" w:cs="Calibri"/>
          <w:color w:val="000000" w:themeColor="text1"/>
          <w:shd w:val="clear" w:color="auto" w:fill="FFFFFF"/>
          <w:lang w:eastAsia="nl-NL"/>
        </w:rPr>
        <w:t xml:space="preserve">. </w:t>
      </w:r>
      <w:r w:rsidR="00EB3925" w:rsidRPr="002553F9">
        <w:rPr>
          <w:rFonts w:ascii="Calibri" w:hAnsi="Calibri" w:cs="Calibri"/>
          <w:color w:val="000000" w:themeColor="text1"/>
          <w:shd w:val="clear" w:color="auto" w:fill="FFFFFF"/>
          <w:lang w:eastAsia="nl-NL"/>
        </w:rPr>
        <w:t>Brief screeners for depression</w:t>
      </w:r>
      <w:r w:rsidR="00EB3925">
        <w:rPr>
          <w:rFonts w:ascii="Calibri" w:hAnsi="Calibri" w:cs="Calibri"/>
          <w:color w:val="000000" w:themeColor="text1"/>
          <w:shd w:val="clear" w:color="auto" w:fill="FFFFFF"/>
          <w:lang w:eastAsia="nl-NL"/>
        </w:rPr>
        <w:t xml:space="preserve"> (2 items)</w:t>
      </w:r>
      <w:r w:rsidR="00504E04">
        <w:rPr>
          <w:rFonts w:ascii="Calibri" w:hAnsi="Calibri" w:cs="Calibri"/>
          <w:color w:val="000000" w:themeColor="text1"/>
          <w:shd w:val="clear" w:color="auto" w:fill="FFFFFF"/>
          <w:lang w:eastAsia="nl-NL"/>
        </w:rPr>
        <w:t xml:space="preserve"> </w:t>
      </w:r>
      <w:r w:rsidR="00504E04">
        <w:rPr>
          <w:rFonts w:ascii="Calibri" w:hAnsi="Calibri" w:cs="Calibri"/>
          <w:color w:val="000000" w:themeColor="text1"/>
          <w:shd w:val="clear" w:color="auto" w:fill="FFFFFF"/>
          <w:lang w:eastAsia="nl-NL"/>
        </w:rPr>
        <w:fldChar w:fldCharType="begin"/>
      </w:r>
      <w:r w:rsidR="00076F77">
        <w:rPr>
          <w:rFonts w:ascii="Calibri" w:hAnsi="Calibri" w:cs="Calibri"/>
          <w:color w:val="000000" w:themeColor="text1"/>
          <w:shd w:val="clear" w:color="auto" w:fill="FFFFFF"/>
          <w:lang w:eastAsia="nl-NL"/>
        </w:rPr>
        <w:instrText xml:space="preserve"> ADDIN ZOTERO_ITEM CSL_CITATION {"citationID":"a1lrlp5kg9v","properties":{"formattedCitation":"(183)","plainCitation":"(183)","noteIndex":0},"citationItems":[{"id":12501,"uris":["http://zotero.org/groups/369679/items/L2Y3B7JI"],"uri":["http://zotero.org/groups/369679/items/L2Y3B7JI"],"itemData":{"id":12501,"type":"article-journal","abstract":"BACKGROUND: A number of self-administered questionnaires are available for assessing depression severity, including the 9-item Patient Health Questionnaire depression module (PHQ-9). Because even briefer measures might be desirable for use in busy clinical settings or as part of comprehensive health questionnaires, we evaluated a 2-item version of the PHQ depression module, the PHQ-2.\nMETHODS: The PHQ-2 inquires about the frequency of depressed mood and anhedonia over the past 2 weeks, scoring each as 0 (\"not at all\") to 3 (\"nearly every day\"). The PHQ-2 was completed by 6000 patients in 8 primary care clinics and 7 obstetrics-gynecology clinics. Construct validity was assessed using the 20-item Short-Form General Health Survey, self-reported sick days and clinic visits, and symptom-related difficulty. Criterion validity was assessed against an independent structured mental health professional (MHP) interview in a sample of 580 patients.\nRESULTS: As PHQ-2 depression severity increased from 0 to 6, there was a substantial decrease in functional status on all 6 SF-20 subscales. Also, symptom-related difficulty, sick days, and healthcare utilization increased. Using the MHP reinterview as the criterion standard, a PHQ-2 score &gt; or =3 had a sensitivity of 83% and a specificity of 92% for major depression. Likelihood ratio and receiver operator characteristic analysis identified a PHQ-2 score of 3 as the optimal cutpoint for screening purposes. Results were similar in the primary care and obstetrics-gynecology samples.\nCONCLUSION: The construct and criterion validity of the PHQ-2 make it an attractive measure for depression screening.","container-title":"Medical Care","DOI":"10.1097/01.MLR.0000093487.78664.3C","ISSN":"0025-7079","issue":"11","journalAbbreviation":"Med Care","language":"eng","note":"PMID: 14583691","page":"1284-1292","source":"PubMed","title":"The Patient Health Questionnaire-2: validity of a two-item depression screener","title-short":"The Patient Health Questionnaire-2","volume":"41","author":[{"family":"Kroenke","given":"Kurt"},{"family":"Spitzer","given":"Robert L."},{"family":"Williams","given":"Janet B. W."}],"issued":{"date-parts":[["2003",11]]}}}],"schema":"https://github.com/citation-style-language/schema/raw/master/csl-citation.json"} </w:instrText>
      </w:r>
      <w:r w:rsidR="00504E04">
        <w:rPr>
          <w:rFonts w:ascii="Calibri" w:hAnsi="Calibri" w:cs="Calibri"/>
          <w:color w:val="000000" w:themeColor="text1"/>
          <w:shd w:val="clear" w:color="auto" w:fill="FFFFFF"/>
          <w:lang w:eastAsia="nl-NL"/>
        </w:rPr>
        <w:fldChar w:fldCharType="separate"/>
      </w:r>
      <w:r w:rsidR="00076F77" w:rsidRPr="00076F77">
        <w:rPr>
          <w:rFonts w:ascii="Calibri" w:hAnsi="Calibri" w:cs="Calibri"/>
        </w:rPr>
        <w:t>(183)</w:t>
      </w:r>
      <w:r w:rsidR="00504E04">
        <w:rPr>
          <w:rFonts w:ascii="Calibri" w:hAnsi="Calibri" w:cs="Calibri"/>
          <w:color w:val="000000" w:themeColor="text1"/>
          <w:shd w:val="clear" w:color="auto" w:fill="FFFFFF"/>
          <w:lang w:eastAsia="nl-NL"/>
        </w:rPr>
        <w:fldChar w:fldCharType="end"/>
      </w:r>
      <w:r w:rsidR="00EB3925">
        <w:rPr>
          <w:rFonts w:ascii="Calibri" w:hAnsi="Calibri" w:cs="Calibri"/>
          <w:color w:val="000000" w:themeColor="text1"/>
          <w:shd w:val="clear" w:color="auto" w:fill="FFFFFF"/>
          <w:lang w:eastAsia="nl-NL"/>
        </w:rPr>
        <w:t>, depression and anxiety (4 items)</w:t>
      </w:r>
      <w:r w:rsidR="00EB3925" w:rsidRPr="002553F9">
        <w:rPr>
          <w:rFonts w:ascii="Calibri" w:hAnsi="Calibri" w:cs="Calibri"/>
          <w:color w:val="000000" w:themeColor="text1"/>
          <w:shd w:val="clear" w:color="auto" w:fill="FFFFFF"/>
          <w:lang w:eastAsia="nl-NL"/>
        </w:rPr>
        <w:t xml:space="preserve"> </w:t>
      </w:r>
      <w:r w:rsidR="006A360F">
        <w:rPr>
          <w:rFonts w:ascii="Calibri" w:hAnsi="Calibri" w:cs="Calibri"/>
          <w:color w:val="000000" w:themeColor="text1"/>
          <w:shd w:val="clear" w:color="auto" w:fill="FFFFFF"/>
          <w:lang w:eastAsia="nl-NL"/>
        </w:rPr>
        <w:fldChar w:fldCharType="begin"/>
      </w:r>
      <w:r w:rsidR="00076F77">
        <w:rPr>
          <w:rFonts w:ascii="Calibri" w:hAnsi="Calibri" w:cs="Calibri"/>
          <w:color w:val="000000" w:themeColor="text1"/>
          <w:shd w:val="clear" w:color="auto" w:fill="FFFFFF"/>
          <w:lang w:eastAsia="nl-NL"/>
        </w:rPr>
        <w:instrText xml:space="preserve"> ADDIN ZOTERO_ITEM CSL_CITATION {"citationID":"a1f43a6v2r1","properties":{"formattedCitation":"(184)","plainCitation":"(184)","noteIndex":0},"citationItems":[{"id":12500,"uris":["http://zotero.org/groups/369679/items/XXYN56NT"],"uri":["http://zotero.org/groups/369679/items/XXYN56NT"],"itemData":{"id":12500,"type":"article-journal","abstract":"BACKGROUND: The most common mental disorders in both outpatient settings and the general population are depression and anxiety, which frequently coexist. Both of these disorders are associated with considerable disability.\nOBJECTIVE: When the disorders co-occur, the disability is even greater. Authors sought to test an ultra-brief screening tool for both.\nMETHOD: Validated two-item ultra-brief screeners for depression and anxiety were combined to constitute the Patient Health Questionnaire for Depression and Anxiety (the PHQ-4). Data were analyzed from 2,149 patients drawn from 15 primary-care clinics in the United States.\nRESULTS: Factor analysis confirmed two discrete factors (Depression and Anxiety) that explained 84% of the total variance. Increasing PHQ-4 scores were strongly associated with functional impairment, disability days, and healthcare use. Anxiety had a substantial effect on functional status that was independent of depression.\nCONCLUSION: The PHQ-4 is a valid ultra-brief tool for detecting both anxiety and depressive disorders.","container-title":"Psychosomatics","DOI":"10.1176/appi.psy.50.6.613","ISSN":"1545-7206","issue":"6","journalAbbreviation":"Psychosomatics","language":"eng","note":"PMID: 19996233","page":"613-621","source":"PubMed","title":"An ultra-brief screening scale for anxiety and depression: the PHQ-4","title-short":"An ultra-brief screening scale for anxiety and depression","volume":"50","author":[{"family":"Kroenke","given":"Kurt"},{"family":"Spitzer","given":"Robert L."},{"family":"Williams","given":"Janet B. W."},{"family":"Löwe","given":"Bernd"}],"issued":{"date-parts":[["2009",12]]}}}],"schema":"https://github.com/citation-style-language/schema/raw/master/csl-citation.json"} </w:instrText>
      </w:r>
      <w:r w:rsidR="006A360F">
        <w:rPr>
          <w:rFonts w:ascii="Calibri" w:hAnsi="Calibri" w:cs="Calibri"/>
          <w:color w:val="000000" w:themeColor="text1"/>
          <w:shd w:val="clear" w:color="auto" w:fill="FFFFFF"/>
          <w:lang w:eastAsia="nl-NL"/>
        </w:rPr>
        <w:fldChar w:fldCharType="separate"/>
      </w:r>
      <w:r w:rsidR="00076F77" w:rsidRPr="00076F77">
        <w:rPr>
          <w:rFonts w:ascii="Calibri" w:hAnsi="Calibri" w:cs="Calibri"/>
        </w:rPr>
        <w:t>(184)</w:t>
      </w:r>
      <w:r w:rsidR="006A360F">
        <w:rPr>
          <w:rFonts w:ascii="Calibri" w:hAnsi="Calibri" w:cs="Calibri"/>
          <w:color w:val="000000" w:themeColor="text1"/>
          <w:shd w:val="clear" w:color="auto" w:fill="FFFFFF"/>
          <w:lang w:eastAsia="nl-NL"/>
        </w:rPr>
        <w:fldChar w:fldCharType="end"/>
      </w:r>
      <w:r w:rsidR="002B1E59">
        <w:rPr>
          <w:rFonts w:ascii="Calibri" w:hAnsi="Calibri" w:cs="Calibri"/>
          <w:color w:val="000000" w:themeColor="text1"/>
          <w:shd w:val="clear" w:color="auto" w:fill="FFFFFF"/>
          <w:lang w:eastAsia="nl-NL"/>
        </w:rPr>
        <w:t xml:space="preserve"> </w:t>
      </w:r>
      <w:r w:rsidR="00EB3925" w:rsidRPr="002553F9">
        <w:rPr>
          <w:rFonts w:ascii="Calibri" w:hAnsi="Calibri" w:cs="Calibri"/>
          <w:color w:val="000000" w:themeColor="text1"/>
          <w:shd w:val="clear" w:color="auto" w:fill="FFFFFF"/>
          <w:lang w:eastAsia="nl-NL"/>
        </w:rPr>
        <w:t xml:space="preserve">and diabetes distress </w:t>
      </w:r>
      <w:r w:rsidR="00EB3925">
        <w:rPr>
          <w:rFonts w:ascii="Calibri" w:hAnsi="Calibri" w:cs="Calibri"/>
          <w:color w:val="000000" w:themeColor="text1"/>
          <w:shd w:val="clear" w:color="auto" w:fill="FFFFFF"/>
          <w:lang w:eastAsia="nl-NL"/>
        </w:rPr>
        <w:t xml:space="preserve">(5 or 2 items) </w:t>
      </w:r>
      <w:r w:rsidR="002B1E59">
        <w:rPr>
          <w:rFonts w:ascii="Calibri" w:hAnsi="Calibri" w:cs="Calibri"/>
          <w:color w:val="000000" w:themeColor="text1"/>
          <w:shd w:val="clear" w:color="auto" w:fill="FFFFFF"/>
          <w:lang w:eastAsia="nl-NL"/>
        </w:rPr>
        <w:fldChar w:fldCharType="begin"/>
      </w:r>
      <w:r w:rsidR="00076F77">
        <w:rPr>
          <w:rFonts w:ascii="Calibri" w:hAnsi="Calibri" w:cs="Calibri"/>
          <w:color w:val="000000" w:themeColor="text1"/>
          <w:shd w:val="clear" w:color="auto" w:fill="FFFFFF"/>
          <w:lang w:eastAsia="nl-NL"/>
        </w:rPr>
        <w:instrText xml:space="preserve"> ADDIN ZOTERO_ITEM CSL_CITATION {"citationID":"a1fuim05tn4","properties":{"formattedCitation":"(185,186)","plainCitation":"(185,186)","noteIndex":0},"citationItems":[{"id":1041,"uris":["http://zotero.org/groups/369679/items/AEV9FAMT"],"uri":["http://zotero.org/groups/369679/items/AEV9FAMT"],"itemData":{"id":1041,"type":"article-journal","abstract":"AIMS/HYPOTHESIS: We wanted to identify a five-item short form of the Problem Areas in Diabetes Scale and a single-item measure for rapid screening of diabetes-related emotional distress.\nMETHODS: Using an existing database of 1,153 patients with diabetes, we conducted a principal-components analysis to identify a set of five items and then conducted a reliability analysis and validity checks. From those five items, we identified the item with the strongest psychometric properties as a one-item screening tool.\nRESULTS: We identified a reliable and valid short version of the Problem Areas in Diabetes Scale (PAID) comprising five of the emotional-distress questions of the full PAID items (PAID-5, with items 3, 6, 12, 16, 19). The PAID-5 has satisfactory sensitivity (94%) and specificity (89%) for recognition of diabetes-related emotional distress. We also identified a one-item screening tool, the PAID-1 (Question 12: Worrying about the future and the possibility of serious complications), which has concurrent sensitivity and specificity of about 80% for the recognition of diabetes-related emotional distress.\nCONCLUSIONS/INTERPRETATION: The PAID-5 and PAID-1 appear to be psychometrically robust short-form measures of diabetes-related emotional distress.","container-title":"Diabetologia","DOI":"10.1007/s00125-009-1559-5","ISSN":"1432-0428","issue":"1","journalAbbreviation":"Diabetologia","language":"eng","note":"PMID: 19841892","page":"66-69","source":"NCBI PubMed","title":"Short-form measures of diabetes-related emotional distress: the Problem Areas in Diabetes Scale (PAID)-5 and PAID-1","title-short":"Short-form measures of diabetes-related emotional distress","volume":"53","author":[{"family":"McGuire","given":"B. E."},{"family":"Morrison","given":"T. G."},{"family":"Hermanns","given":"N."},{"family":"Skovlund","given":"S."},{"family":"Eldrup","given":"E."},{"family":"Gagliardino","given":"J."},{"family":"Kokoszka","given":"A."},{"family":"Matthews","given":"D."},{"family":"Pibernik-Okanović","given":"M."},{"family":"Rodríguez-Saldaña","given":"J."},{"family":"Wit","given":"M.","non-dropping-particle":"de"},{"family":"Snoek","given":"F. J."}],"issued":{"date-parts":[["2010",1]]}}},{"id":1163,"uris":["http://zotero.org/groups/369679/items/APGDNF5N"],"uri":["http://zotero.org/groups/369679/items/APGDNF5N"],"itemData":{"id":1163,"type":"article-journal","abstract":"PURPOSE Previous research has documented that diabetes distress, defined as patient concerns about disease management, support, emotional burden, and access to care, is an important condition distinct from depression. We wanted to develop a brief diabetes distress screen instrument for use in clinical settings.\nMETHODS We assessed 496 community-based patients with type 2 diabetes on the previously validated, 17-item Diabetes Distress Scale (DDS17) and 6 biobehavioral measures: glycated hemoglobin (HbA1c); non–high-density-lipoprotein (non-HDL) cholesterol; kilocalories, percentage of calories from fat, and number of fruit and vegetable servings consumed per day; and physical activity as measured by the International Physical Activity Questionnaire.\nRESULTS An average item score of ≥3 (moderate distress) discriminated high- from low-distressed subgroups. The 4 DDS17 items with the highest correlations with the DDS17 total (r = .56–.61) were selected. Composites, comprised of 2, 3, and 4 of these items (DDS2, DDS3, DDS4), yielded higher correlations (r=.69–.71). The sensitivity and specificity of the composites were .95 and .85, .93 and .87, and .97 and .86, respectively. The DDS3 had a lower sensitivity and higher percentages of false-negative and false-positive results. All 3 composites significantly discriminated subgroups on HbA1c, non-HDL cholesterol, and kilocalories consumed per day; none discriminated subgroups on fruit and vegetable servings consumed per day; and only the DDS3 yielded significant results on the International Physical Activity Questionnaire. Because of its psychometric properties and brevity, the DDS2 was selected as a screening instrument.\nCONCLUSIONS The DDS2 is a 2-item diabetes distress screening instrument asking respondents to rate on a 6-point scale the degree to which the following items caused distress: (1) feeling overwhelmed by the demands of living with diabetes, and (2) feeling that I am often failing with my diabetes regimen. The DDS17 can be administered to those who have positive findings on the DDS2 to define the content of distress and to direct intervention.","container-title":"The Annals of Family Medicine","DOI":"10.1370/afm.842","ISSN":"1544-1709, 1544-1717","issue":"3","journalAbbreviation":"Ann Fam Med","language":"en","note":"PMID: 18474888","page":"246-252","source":"www.annfammed.org","title":"Development of a Brief Diabetes Distress Screening Instrument","volume":"6","author":[{"family":"Fisher","given":"Lawrence"},{"family":"Glasgow","given":"Russell E."},{"family":"Mullan","given":"Joseph T."},{"family":"Skaff","given":"Marilyn M."},{"family":"Polonsky","given":"William H."}],"issued":{"date-parts":[["2008",5,1]]}}}],"schema":"https://github.com/citation-style-language/schema/raw/master/csl-citation.json"} </w:instrText>
      </w:r>
      <w:r w:rsidR="002B1E59">
        <w:rPr>
          <w:rFonts w:ascii="Calibri" w:hAnsi="Calibri" w:cs="Calibri"/>
          <w:color w:val="000000" w:themeColor="text1"/>
          <w:shd w:val="clear" w:color="auto" w:fill="FFFFFF"/>
          <w:lang w:eastAsia="nl-NL"/>
        </w:rPr>
        <w:fldChar w:fldCharType="separate"/>
      </w:r>
      <w:r w:rsidR="00076F77" w:rsidRPr="00076F77">
        <w:rPr>
          <w:rFonts w:ascii="Calibri" w:hAnsi="Calibri" w:cs="Calibri"/>
        </w:rPr>
        <w:t>(185,186)</w:t>
      </w:r>
      <w:r w:rsidR="002B1E59">
        <w:rPr>
          <w:rFonts w:ascii="Calibri" w:hAnsi="Calibri" w:cs="Calibri"/>
          <w:color w:val="000000" w:themeColor="text1"/>
          <w:shd w:val="clear" w:color="auto" w:fill="FFFFFF"/>
          <w:lang w:eastAsia="nl-NL"/>
        </w:rPr>
        <w:fldChar w:fldCharType="end"/>
      </w:r>
      <w:r w:rsidR="002B1E59">
        <w:rPr>
          <w:rFonts w:ascii="Calibri" w:hAnsi="Calibri" w:cs="Calibri"/>
          <w:color w:val="000000" w:themeColor="text1"/>
          <w:shd w:val="clear" w:color="auto" w:fill="FFFFFF"/>
          <w:lang w:eastAsia="nl-NL"/>
        </w:rPr>
        <w:t xml:space="preserve"> </w:t>
      </w:r>
      <w:r w:rsidR="00EB3925" w:rsidRPr="002553F9">
        <w:rPr>
          <w:rFonts w:ascii="Calibri" w:hAnsi="Calibri" w:cs="Calibri"/>
          <w:color w:val="000000" w:themeColor="text1"/>
          <w:shd w:val="clear" w:color="auto" w:fill="FFFFFF"/>
          <w:lang w:eastAsia="nl-NL"/>
        </w:rPr>
        <w:t xml:space="preserve">are </w:t>
      </w:r>
      <w:r w:rsidR="00EB3925">
        <w:rPr>
          <w:rFonts w:ascii="Calibri" w:hAnsi="Calibri" w:cs="Calibri"/>
          <w:color w:val="000000" w:themeColor="text1"/>
          <w:shd w:val="clear" w:color="auto" w:fill="FFFFFF"/>
          <w:lang w:eastAsia="nl-NL"/>
        </w:rPr>
        <w:t xml:space="preserve">also </w:t>
      </w:r>
      <w:r w:rsidR="00EB3925" w:rsidRPr="002553F9">
        <w:rPr>
          <w:rFonts w:ascii="Calibri" w:hAnsi="Calibri" w:cs="Calibri"/>
          <w:color w:val="000000" w:themeColor="text1"/>
          <w:shd w:val="clear" w:color="auto" w:fill="FFFFFF"/>
          <w:lang w:eastAsia="nl-NL"/>
        </w:rPr>
        <w:t>available</w:t>
      </w:r>
      <w:r w:rsidR="00EB3925">
        <w:rPr>
          <w:rFonts w:ascii="Calibri" w:hAnsi="Calibri" w:cs="Calibri"/>
          <w:color w:val="000000" w:themeColor="text1"/>
          <w:shd w:val="clear" w:color="auto" w:fill="FFFFFF"/>
          <w:lang w:eastAsia="nl-NL"/>
        </w:rPr>
        <w:t xml:space="preserve">. </w:t>
      </w:r>
      <w:r w:rsidRPr="0035461C">
        <w:rPr>
          <w:rFonts w:ascii="Calibri" w:hAnsi="Calibri" w:cs="Calibri"/>
          <w:color w:val="000000" w:themeColor="text1"/>
          <w:shd w:val="clear" w:color="auto" w:fill="FFFFFF"/>
          <w:lang w:eastAsia="nl-NL"/>
        </w:rPr>
        <w:t>Assessment and periodic monitoring of emotional health</w:t>
      </w:r>
      <w:r w:rsidR="00B5208F">
        <w:rPr>
          <w:rFonts w:ascii="Calibri" w:hAnsi="Calibri" w:cs="Calibri"/>
          <w:color w:val="000000" w:themeColor="text1"/>
          <w:shd w:val="clear" w:color="auto" w:fill="FFFFFF"/>
          <w:lang w:eastAsia="nl-NL"/>
        </w:rPr>
        <w:t>, at least on an annual basis,</w:t>
      </w:r>
      <w:r w:rsidRPr="0035461C">
        <w:rPr>
          <w:rFonts w:ascii="Calibri" w:hAnsi="Calibri" w:cs="Calibri"/>
          <w:color w:val="000000" w:themeColor="text1"/>
          <w:shd w:val="clear" w:color="auto" w:fill="FFFFFF"/>
          <w:lang w:eastAsia="nl-NL"/>
        </w:rPr>
        <w:t xml:space="preserve"> combined with the necessary organizational improvements are recommended </w:t>
      </w:r>
      <w:r w:rsidR="00B5208F">
        <w:rPr>
          <w:rFonts w:ascii="Calibri" w:hAnsi="Calibri" w:cs="Calibri"/>
          <w:color w:val="000000" w:themeColor="text1"/>
          <w:shd w:val="clear" w:color="auto" w:fill="FFFFFF"/>
          <w:lang w:eastAsia="nl-NL"/>
        </w:rPr>
        <w:t>to</w:t>
      </w:r>
      <w:r w:rsidR="00B5208F" w:rsidRPr="0035461C">
        <w:rPr>
          <w:rFonts w:ascii="Calibri" w:hAnsi="Calibri" w:cs="Calibri"/>
          <w:color w:val="000000" w:themeColor="text1"/>
          <w:shd w:val="clear" w:color="auto" w:fill="FFFFFF"/>
          <w:lang w:eastAsia="nl-NL"/>
        </w:rPr>
        <w:t xml:space="preserve"> </w:t>
      </w:r>
      <w:r w:rsidRPr="0035461C">
        <w:rPr>
          <w:rFonts w:ascii="Calibri" w:hAnsi="Calibri" w:cs="Calibri"/>
          <w:color w:val="000000" w:themeColor="text1"/>
          <w:shd w:val="clear" w:color="auto" w:fill="FFFFFF"/>
          <w:lang w:eastAsia="nl-NL"/>
        </w:rPr>
        <w:t xml:space="preserve">promote case-finding, emotional wellbeing and patient satisfaction with care </w:t>
      </w:r>
      <w:r w:rsidRPr="0035461C">
        <w:rPr>
          <w:rFonts w:ascii="Calibri" w:hAnsi="Calibri" w:cs="Calibri"/>
          <w:color w:val="000000" w:themeColor="text1"/>
          <w:shd w:val="clear" w:color="auto" w:fill="FFFFFF"/>
          <w:lang w:eastAsia="nl-NL"/>
        </w:rPr>
        <w:fldChar w:fldCharType="begin"/>
      </w:r>
      <w:r w:rsidR="00076F77">
        <w:rPr>
          <w:rFonts w:ascii="Calibri" w:hAnsi="Calibri" w:cs="Calibri"/>
          <w:color w:val="000000" w:themeColor="text1"/>
          <w:shd w:val="clear" w:color="auto" w:fill="FFFFFF"/>
          <w:lang w:eastAsia="nl-NL"/>
        </w:rPr>
        <w:instrText xml:space="preserve"> ADDIN ZOTERO_ITEM CSL_CITATION {"citationID":"yLPRwSDK","properties":{"formattedCitation":"(187,188)","plainCitation":"(187,188)","noteIndex":0},"citationItems":[{"id":11299,"uris":["http://zotero.org/groups/369679/items/YIRHPVC7"],"uri":["http://zotero.org/groups/369679/items/YIRHPVC7"],"itemData":{"id":11299,"type":"article-journal","abstract":"OBJECTIVE: To investigate whether monitoring and discussing psychological well-being in outpatients with diabetes improves mood, glycemic control, and the patient's evaluation of the quality of diabetes care.\nRESEARCH DESIGN AND METHODS: This study was a randomized controlled trial of 461 outpatients with diabetes who were randomly assigned to standard care or to the monitoring condition. In the latter group, the diabetes nurse specialist assessed and discussed psychological well-being with the patient (with an interval of 6 months) in addition to standard care. The computerized Well-being Questionnaire was used for this purpose. Primary outcomes were mood, HbA(1c), and the patient's evaluation of the quality of diabetes care at 1-year follow-up. The number of referrals to the psychologist was analyzed as a secondary outcome. Intention-to-treat analysis was used.\nRESULTS: The monitoring group reported better mood compared with the standard care group, as indicated by significantly lower negative well-being and significantly higher levels of energy, higher general well-being, better mental health, and a more positive evaluation of the quality of the emotional support received from the diabetes nurse. The two groups did not differ for HbA(1c) or in their overall evaluation of the quality of diabetes care. In the monitoring condition, significantly more subjects were referred to the psychologist.\nCONCLUSIONS: Monitoring and discussing psychological well-being as part of routine diabetes outpatient care had favorable effects on the mood of patients but did not affect their HbA(1c). Our results support the recommendation to monitor psychological well-being in patients with diabetes.","container-title":"Diabetes Care","DOI":"10.2337/diacare.24.11.1929","ISSN":"0149-5992","issue":"11","journalAbbreviation":"Diabetes Care","language":"eng","note":"PMID: 11679459","page":"1929-1935","source":"PubMed","title":"Monitoring of psychological well-being in outpatients with diabetes: effects on mood, HbA(1c), and the patient's evaluation of the quality of diabetes care: a randomized controlled trial","title-short":"Monitoring of psychological well-being in outpatients with diabetes","volume":"24","author":[{"family":"Pouwer","given":"F."},{"family":"Snoek","given":"F. J."},{"family":"Ploeg","given":"H. M.","non-dropping-particle":"van der"},{"family":"Adèr","given":"H. J."},{"family":"Heine","given":"R. J."}],"issued":{"date-parts":[["2001",11]]}}},{"id":11302,"uris":["http://zotero.org/groups/369679/items/9HZWVXQ8"],"uri":["http://zotero.org/groups/369679/items/9HZWVXQ8"],"itemData":{"id":11302,"type":"article-journal","abstract":"OBJECTIVE: To test the effects of implementing computer-assisted Monitoring of Individual Needs in Diabetes (MIND) in routine diabetes care on psychological status and glycemic control, identify predictors of poor psychological outcomes, and evaluate care providers' experiences.\nRESEARCH DESIGN AND METHODS: The MIND procedure was implemented as part of the annual review in diabetes clinics across eight countries in a prospective observational study with a 1-year follow-up. MIND encompasses well-being (World Health Organization Five Well-Being Index [WHO-5]), diabetes-related distress (Problem Areas in Diabetes [PAID]), a Life Event Inventory, and the patient's agenda for their consultation. Medical data and agreed case-management actions were retrieved from the charts.\nRESULTS: Of the total 1,567 patients, 891 patients (57%) were monitored at a 1-year follow-up. Twenty-eight percent of the patients screened positive for depression and/or diabetes distress at baseline and considered cases, 17% of whom were receiving psychological care. Cases were significantly more often female and had type 2 diabetes and worse glycemic control compared with noncases. Clinically relevant improvements in WHO-5 and PAID were observed over time in cases, irrespective of referral (effects sizes 0.59 and 0.48, respectively; P &lt; 0.0001). Glycemic control did not change. Female sex, life events, and concomitant chronic diseases were predictors of poor psychological outcomes. MIND was well received by patients and staff.\nCONCLUSIONS: MIND appears suitable for screening and discussion of emotional distress as part of the annual review. Broader dissemination in diabetes care is recommendable, but sustainability will depend on reimbursement and availability of support services.","container-title":"Diabetes Care","DOI":"10.2337/dc11-1326","ISSN":"1935-5548","issue":"11","journalAbbreviation":"Diabetes Care","language":"eng","note":"PMID: 22837364\nPMCID: PMC3476905","page":"2128-2132","source":"PubMed","title":"Monitoring of Individual Needs in Diabetes (MIND)-2: follow-up data from the cross-national Diabetes Attitudes, Wishes, and Needs (DAWN) MIND study","title-short":"Monitoring of Individual Needs in Diabetes (MIND)-2","volume":"35","author":[{"family":"Snoek","given":"Frank J."},{"family":"Kersch","given":"Nancy Y. A."},{"family":"Eldrup","given":"Ebbe"},{"family":"Harman-Boehm","given":"Ilana"},{"family":"Hermanns","given":"Norbert"},{"family":"Kokoszka","given":"Andrzej"},{"family":"Matthews","given":"David R."},{"family":"McGuire","given":"Brian E."},{"family":"Pibernik-Okanović","given":"Mirjana"},{"family":"Singer","given":"Joelle"},{"family":"Wit","given":"Maartje","non-dropping-particle":"de"},{"family":"Skovlund","given":"Søren E."}],"issued":{"date-parts":[["2012",11]]}}}],"schema":"https://github.com/citation-style-language/schema/raw/master/csl-citation.json"} </w:instrText>
      </w:r>
      <w:r w:rsidRPr="0035461C">
        <w:rPr>
          <w:rFonts w:ascii="Calibri" w:hAnsi="Calibri" w:cs="Calibri"/>
          <w:color w:val="000000" w:themeColor="text1"/>
          <w:shd w:val="clear" w:color="auto" w:fill="FFFFFF"/>
          <w:lang w:eastAsia="nl-NL"/>
        </w:rPr>
        <w:fldChar w:fldCharType="separate"/>
      </w:r>
      <w:r w:rsidR="00076F77" w:rsidRPr="00076F77">
        <w:rPr>
          <w:rFonts w:ascii="Calibri" w:hAnsi="Calibri" w:cs="Calibri"/>
        </w:rPr>
        <w:t>(187,188)</w:t>
      </w:r>
      <w:r w:rsidRPr="0035461C">
        <w:rPr>
          <w:rFonts w:ascii="Calibri" w:hAnsi="Calibri" w:cs="Calibri"/>
          <w:color w:val="000000" w:themeColor="text1"/>
          <w:shd w:val="clear" w:color="auto" w:fill="FFFFFF"/>
          <w:lang w:eastAsia="nl-NL"/>
        </w:rPr>
        <w:fldChar w:fldCharType="end"/>
      </w:r>
      <w:r w:rsidRPr="0035461C">
        <w:rPr>
          <w:rFonts w:ascii="Calibri" w:hAnsi="Calibri" w:cs="Calibri"/>
          <w:color w:val="000000" w:themeColor="text1"/>
          <w:shd w:val="clear" w:color="auto" w:fill="FFFFFF"/>
          <w:lang w:eastAsia="nl-NL"/>
        </w:rPr>
        <w:t xml:space="preserve">. </w:t>
      </w:r>
    </w:p>
    <w:p w14:paraId="64DB5E03" w14:textId="380C89BD" w:rsidR="00264FF0" w:rsidRPr="0035461C" w:rsidRDefault="00264FF0" w:rsidP="00264FF0">
      <w:pPr>
        <w:spacing w:before="120"/>
        <w:jc w:val="both"/>
        <w:rPr>
          <w:rFonts w:ascii="Calibri" w:hAnsi="Calibri" w:cs="Calibri"/>
          <w:color w:val="000000" w:themeColor="text1"/>
          <w:lang w:eastAsia="nl-NL"/>
        </w:rPr>
      </w:pPr>
      <w:r w:rsidRPr="0035461C">
        <w:rPr>
          <w:rFonts w:ascii="Calibri" w:hAnsi="Calibri" w:cs="Calibri"/>
          <w:color w:val="000000" w:themeColor="text1"/>
        </w:rPr>
        <w:t xml:space="preserve">Fear of hypoglycaemia affects up to 10% of adults with type 1 diabetes, particularly among those experiencing repeated episodes of </w:t>
      </w:r>
      <w:r w:rsidR="00A765E6">
        <w:rPr>
          <w:rFonts w:ascii="Calibri" w:hAnsi="Calibri" w:cs="Calibri"/>
          <w:color w:val="000000" w:themeColor="text1"/>
        </w:rPr>
        <w:t>level 3 hypo</w:t>
      </w:r>
      <w:r w:rsidRPr="0035461C">
        <w:rPr>
          <w:rFonts w:ascii="Calibri" w:hAnsi="Calibri" w:cs="Calibri"/>
          <w:color w:val="000000" w:themeColor="text1"/>
        </w:rPr>
        <w:t xml:space="preserve">glycaemia </w:t>
      </w:r>
      <w:r w:rsidRPr="0035461C">
        <w:rPr>
          <w:rFonts w:ascii="Calibri" w:hAnsi="Calibri" w:cs="Calibri"/>
          <w:color w:val="000000" w:themeColor="text1"/>
        </w:rPr>
        <w:fldChar w:fldCharType="begin"/>
      </w:r>
      <w:r w:rsidR="00076F77">
        <w:rPr>
          <w:rFonts w:ascii="Calibri" w:hAnsi="Calibri" w:cs="Calibri"/>
          <w:color w:val="000000" w:themeColor="text1"/>
        </w:rPr>
        <w:instrText xml:space="preserve"> ADDIN ZOTERO_ITEM CSL_CITATION {"citationID":"37Agioqr","properties":{"formattedCitation":"(189)","plainCitation":"(189)","noteIndex":0},"citationItems":[{"id":2826,"uris":["http://zotero.org/groups/369679/items/L4T82UY8"],"uri":["http://zotero.org/groups/369679/items/L4T82UY8"],"itemData":{"id":2826,"type":"article-journal","abstract":"OBJECTIVE: In many individuals with diabetes, the unpleasant symptoms and negative consequences associated with hypoglycemia may result in significant anxiety or even a fear of hypoglycemia (FoH). This fear may have significant clinical implications for diabetes management. The aim of this review is to integrate existing research on FoH (its measurement, predictors, correlates, impact and treatment) and discuss its implications for diabetes management and patient education.\nMETHODS: A literature search was conducted using Medline and Embase. The search was limited to journal articles published in English from 1985 to 2007 inclusive. Three hundred and one abstracts were reviewed and 273 were rejected on the basis of non-relevance. In addition to the 28 papers included, six additional papers were identified by further searches and were added to this review.\nRESULTS: FoH appears to be a widespread phenomenon. It is measured primarily through the use of a specific scale, the Hypoglycemic Fear Survey (HFS). There are a number of factors that relate to whether an individual is likely to develop FoH including whether there is a history of hypoglycemia in an individual, length of time since first insulin treatment, and a higher level of variability in blood glucose level. FoH has been linked to both state and trait anxiety although the relationship is complex.\nCONCLUSIONS: There is evidence that FoH may have a significant negative impact on diabetes management, metabolic control and subsequent health outcomes. There is evidence that blood glucose (BG) awareness training and CBT can reduce levels of fear and improve disease management. More research is needed on how FoH arises and the individual variables which predict its development. In addition, well designed research is required to better understand the behavioral and medical impact of FoH, and interventions to reduce it.\nPRACTICE IMPLICATIONS: There is some evidence to suggest that interventions including BG awareness training and cognitive behavioral therapy can reduce levels of fear and improve disease management. While many aspects of FoH require further well-designed research, it is evident that this phenomenon can have a major impact on diabetes management and needs to be specifically addressed in patient education programs.","container-title":"Patient Education and Counseling","DOI":"10.1016/j.pec.2007.05.003","ISSN":"0738-3991","issue":"1","journalAbbreviation":"Patient Educ Couns","language":"eng","note":"PMID: 17582726","page":"10-15","source":"PubMed","title":"A critical review of the literature on fear of hypoglycemia in diabetes: Implications for diabetes management and patient education","title-short":"A critical review of the literature on fear of hypoglycemia in diabetes","volume":"68","author":[{"family":"Wild","given":"Diane"},{"family":"Maltzahn","given":"Robyn","non-dropping-particle":"von"},{"family":"Brohan","given":"Elaine"},{"family":"Christensen","given":"Torsten"},{"family":"Clauson","given":"Per"},{"family":"Gonder-Frederick","given":"Linda"}],"issued":{"date-parts":[["2007",9]]}}}],"schema":"https://github.com/citation-style-language/schema/raw/master/csl-citation.json"} </w:instrText>
      </w:r>
      <w:r w:rsidRPr="0035461C">
        <w:rPr>
          <w:rFonts w:ascii="Calibri" w:hAnsi="Calibri" w:cs="Calibri"/>
          <w:color w:val="000000" w:themeColor="text1"/>
        </w:rPr>
        <w:fldChar w:fldCharType="separate"/>
      </w:r>
      <w:r w:rsidR="00076F77" w:rsidRPr="00076F77">
        <w:rPr>
          <w:rFonts w:ascii="Calibri" w:hAnsi="Calibri" w:cs="Calibri"/>
        </w:rPr>
        <w:t>(189)</w:t>
      </w:r>
      <w:r w:rsidRPr="0035461C">
        <w:rPr>
          <w:rFonts w:ascii="Calibri" w:hAnsi="Calibri" w:cs="Calibri"/>
          <w:color w:val="000000" w:themeColor="text1"/>
        </w:rPr>
        <w:fldChar w:fldCharType="end"/>
      </w:r>
      <w:r w:rsidRPr="0035461C">
        <w:rPr>
          <w:rFonts w:ascii="Calibri" w:hAnsi="Calibri" w:cs="Calibri"/>
          <w:color w:val="000000" w:themeColor="text1"/>
        </w:rPr>
        <w:t xml:space="preserve">. Fear of hypoglycaemia may translate into avoidance behaviours aimed at keeping blood glucose at a ‘safe’ level, resulting in persistent hyperglycaemia </w:t>
      </w:r>
      <w:r w:rsidRPr="0035461C">
        <w:rPr>
          <w:rFonts w:ascii="Calibri" w:hAnsi="Calibri" w:cs="Calibri"/>
          <w:color w:val="000000" w:themeColor="text1"/>
        </w:rPr>
        <w:fldChar w:fldCharType="begin"/>
      </w:r>
      <w:r w:rsidR="00076F77">
        <w:rPr>
          <w:rFonts w:ascii="Calibri" w:hAnsi="Calibri" w:cs="Calibri"/>
          <w:color w:val="000000" w:themeColor="text1"/>
        </w:rPr>
        <w:instrText xml:space="preserve"> ADDIN ZOTERO_ITEM CSL_CITATION {"citationID":"ZQsSMjqg","properties":{"formattedCitation":"(190)","plainCitation":"(190)","noteIndex":0},"citationItems":[{"id":11305,"uris":["http://zotero.org/groups/369679/items/RMCQ6NAS"],"uri":["http://zotero.org/groups/369679/items/RMCQ6NAS"],"itemData":{"id":11305,"type":"chapter","abstract":"Hypoglycaemia is one of the major stressors for people living with insulin-treated diabetes and their relatives. In this chapter the psychological burden of hypoglycaemia and its emotional and behavioural sequelae are discussed. The risk factors for heightened fear of hypoglycaemia are examined, as are ways of assessing fear of hypoglycaemia, and differentiating between adaptive and maladaptive avoidance behaviours. Clinical recommendations are provided for the prevention and management of (extreme) fear of hypoglycaemia, both in persons with type 1 and type 2 diabetes and their families or partners.","container-title":"Hypoglycaemia in Clinical Diabetes","ISBN":"978-1-118-69543-2","language":"en","note":"section: 16\n_eprint: https://onlinelibrary.wiley.com/doi/pdf/10.1002/9781118695432.ch16\nDOI: 10.1002/9781118695432.ch16","page":"323-333","publisher":"John Wiley &amp; Sons, Ltd","source":"Wiley Online Library","title":"Psychological Effects of Hypoglycaemia","URL":"https://onlinelibrary.wiley.com/doi/abs/10.1002/9781118695432.ch16","author":[{"family":"Snoek","given":"Frank J."},{"family":"Hajos","given":"Tibor R. S."},{"family":"Rondags","given":"Stefanie M. P. A."}],"accessed":{"date-parts":[["2021",2,17]]},"issued":{"date-parts":[["2014"]]}}}],"schema":"https://github.com/citation-style-language/schema/raw/master/csl-citation.json"} </w:instrText>
      </w:r>
      <w:r w:rsidRPr="0035461C">
        <w:rPr>
          <w:rFonts w:ascii="Calibri" w:hAnsi="Calibri" w:cs="Calibri"/>
          <w:color w:val="000000" w:themeColor="text1"/>
        </w:rPr>
        <w:fldChar w:fldCharType="separate"/>
      </w:r>
      <w:r w:rsidR="00076F77" w:rsidRPr="00076F77">
        <w:rPr>
          <w:rFonts w:ascii="Calibri" w:hAnsi="Calibri" w:cs="Calibri"/>
        </w:rPr>
        <w:t>(190)</w:t>
      </w:r>
      <w:r w:rsidRPr="0035461C">
        <w:rPr>
          <w:rFonts w:ascii="Calibri" w:hAnsi="Calibri" w:cs="Calibri"/>
          <w:color w:val="000000" w:themeColor="text1"/>
        </w:rPr>
        <w:fldChar w:fldCharType="end"/>
      </w:r>
      <w:r w:rsidRPr="0035461C">
        <w:rPr>
          <w:rFonts w:ascii="Calibri" w:hAnsi="Calibri" w:cs="Calibri"/>
          <w:color w:val="000000" w:themeColor="text1"/>
        </w:rPr>
        <w:t>.</w:t>
      </w:r>
      <w:r w:rsidRPr="0035461C">
        <w:rPr>
          <w:rFonts w:ascii="Calibri" w:hAnsi="Calibri" w:cs="Calibri"/>
          <w:color w:val="000000" w:themeColor="text1"/>
          <w:shd w:val="clear" w:color="auto" w:fill="FFFFFF"/>
          <w:lang w:eastAsia="nl-NL"/>
        </w:rPr>
        <w:t xml:space="preserve"> In cases of problematic fear of hypoglycaemia, administering the Fear of Hypoglycaemia Survey (HFS) can help to identify specific worries and level of severity </w:t>
      </w:r>
      <w:r w:rsidRPr="0035461C">
        <w:rPr>
          <w:rFonts w:ascii="Calibri" w:hAnsi="Calibri" w:cs="Calibri"/>
          <w:color w:val="000000" w:themeColor="text1"/>
          <w:shd w:val="clear" w:color="auto" w:fill="FFFFFF"/>
          <w:lang w:eastAsia="nl-NL"/>
        </w:rPr>
        <w:fldChar w:fldCharType="begin"/>
      </w:r>
      <w:r w:rsidR="00076F77">
        <w:rPr>
          <w:rFonts w:ascii="Calibri" w:hAnsi="Calibri" w:cs="Calibri"/>
          <w:color w:val="000000" w:themeColor="text1"/>
          <w:shd w:val="clear" w:color="auto" w:fill="FFFFFF"/>
          <w:lang w:eastAsia="nl-NL"/>
        </w:rPr>
        <w:instrText xml:space="preserve"> ADDIN ZOTERO_ITEM CSL_CITATION {"citationID":"MZB6LKFY","properties":{"formattedCitation":"(191)","plainCitation":"(191)","noteIndex":0},"citationItems":[{"id":2120,"uris":["http://zotero.org/groups/369679/items/ZMEHMBMC"],"uri":["http://zotero.org/groups/369679/items/ZMEHMBMC"],"itemData":{"id":2120,"type":"article-journal","abstract":"OBJECTIVE: To perform the first comprehensive psychometric evaluation of the Hypoglycemia Fear Survey-II (HFS-II), a measure of the behavioral and affective dimensions of fear of hypoglycemia, using modern test-theory methods, including item-response theory (IRT).\nRESEARCH DESIGN AND METHODS: Surveys completed in four previous studies by 777 adults with type 1 diabetes were aggregated for analysis, with 289 subjects completing both subscales of the HFS-II and 488 subjects completing only the Worry subscale. The aggregated sample (53.3% female, 44.4% using insulin pumps) had a mean age of 41.9 years, diabetes duration of 23.8 years, HbA(1c) value of 7.7%, and 1.4 severe hypoglycemic episodes in the past year. Data analysis included exploratory factor analysis using polychoric correlations and IRT. Factors were analyzed for fit, trait-level locations, point-measure correlations, and separation values.\nRESULTS: Internal and test-retest reliability was good, as well as convergent validity, as demonstrated by significant correlations with other measures of psychological distress. Scores were significantly higher in subjects who had experienced severe hypoglycemia in the past year. Factor analyses validated the two subscales of the HFS-II. Item analyses showed that 12 of 15 items on the Behavior subscale, and all of the items on the Worry subscale had good-fit statistics.\nCONCLUSIONS: The HFS-II is a reliable and valid measure of the fear of hypoglycemia in adults with type 1 diabetes, and factor analyses and IRT support the two separate subscales of the survey.","container-title":"Diabetes Care","DOI":"10.2337/dc10-1343","ISSN":"1935-5548","issue":"4","journalAbbreviation":"Diabetes Care","language":"eng","note":"PMID: 21346182\nPMCID: PMC3064031","page":"801-806","source":"PubMed","title":"Psychometric properties of the hypoglycemia fear survey-ii for adults with type 1 diabetes","volume":"34","author":[{"family":"Gonder-Frederick","given":"Linda A."},{"family":"Schmidt","given":"Karen M."},{"family":"Vajda","given":"Karen A."},{"family":"Greear","given":"Megan L."},{"family":"Singh","given":"Harsimran"},{"family":"Shepard","given":"Jaclyn A."},{"family":"Cox","given":"Daniel J."}],"issued":{"date-parts":[["2011",4]]}}}],"schema":"https://github.com/citation-style-language/schema/raw/master/csl-citation.json"} </w:instrText>
      </w:r>
      <w:r w:rsidRPr="0035461C">
        <w:rPr>
          <w:rFonts w:ascii="Calibri" w:hAnsi="Calibri" w:cs="Calibri"/>
          <w:color w:val="000000" w:themeColor="text1"/>
          <w:shd w:val="clear" w:color="auto" w:fill="FFFFFF"/>
          <w:lang w:eastAsia="nl-NL"/>
        </w:rPr>
        <w:fldChar w:fldCharType="separate"/>
      </w:r>
      <w:r w:rsidR="00076F77" w:rsidRPr="00076F77">
        <w:rPr>
          <w:rFonts w:ascii="Calibri" w:hAnsi="Calibri" w:cs="Calibri"/>
        </w:rPr>
        <w:t>(191)</w:t>
      </w:r>
      <w:r w:rsidRPr="0035461C">
        <w:rPr>
          <w:rFonts w:ascii="Calibri" w:hAnsi="Calibri" w:cs="Calibri"/>
          <w:color w:val="000000" w:themeColor="text1"/>
          <w:shd w:val="clear" w:color="auto" w:fill="FFFFFF"/>
          <w:lang w:eastAsia="nl-NL"/>
        </w:rPr>
        <w:fldChar w:fldCharType="end"/>
      </w:r>
      <w:r w:rsidRPr="0035461C">
        <w:rPr>
          <w:rFonts w:ascii="Calibri" w:hAnsi="Calibri" w:cs="Calibri"/>
          <w:color w:val="000000" w:themeColor="text1"/>
          <w:shd w:val="clear" w:color="auto" w:fill="FFFFFF"/>
          <w:lang w:eastAsia="nl-NL"/>
        </w:rPr>
        <w:t>. Both disproportional high and low fear of hypoglycaemia warrant attention.</w:t>
      </w:r>
    </w:p>
    <w:p w14:paraId="3AE19797" w14:textId="4BC077D5" w:rsidR="003C0858" w:rsidRDefault="00264FF0" w:rsidP="00264FF0">
      <w:pPr>
        <w:shd w:val="clear" w:color="auto" w:fill="FFFFFF"/>
        <w:spacing w:before="120"/>
        <w:jc w:val="both"/>
        <w:rPr>
          <w:rStyle w:val="CommentReference"/>
          <w:rFonts w:ascii="Calibri" w:hAnsi="Calibri" w:cs="Calibri"/>
          <w:color w:val="000000" w:themeColor="text1"/>
          <w:sz w:val="24"/>
          <w:szCs w:val="24"/>
        </w:rPr>
      </w:pPr>
      <w:r w:rsidRPr="0035461C">
        <w:rPr>
          <w:rFonts w:ascii="Calibri" w:hAnsi="Calibri" w:cs="Calibri"/>
          <w:color w:val="000000" w:themeColor="text1"/>
        </w:rPr>
        <w:t xml:space="preserve">Eating disorders, including anorexia nervosa, bulimia nervosa, and binge eating, are over-represented in type 1 diabetes populations, particularly in young women </w:t>
      </w:r>
      <w:r w:rsidRPr="0035461C">
        <w:rPr>
          <w:rFonts w:ascii="Calibri" w:hAnsi="Calibri" w:cs="Calibri"/>
          <w:color w:val="000000" w:themeColor="text1"/>
        </w:rPr>
        <w:fldChar w:fldCharType="begin"/>
      </w:r>
      <w:r w:rsidR="00076F77">
        <w:rPr>
          <w:rFonts w:ascii="Calibri" w:hAnsi="Calibri" w:cs="Calibri"/>
          <w:color w:val="000000" w:themeColor="text1"/>
        </w:rPr>
        <w:instrText xml:space="preserve"> ADDIN ZOTERO_ITEM CSL_CITATION {"citationID":"g1AudL4a","properties":{"formattedCitation":"(192,193)","plainCitation":"(192,193)","noteIndex":0},"citationItems":[{"id":11306,"uris":["http://zotero.org/groups/369679/items/XQYNYRD2"],"uri":["http://zotero.org/groups/369679/items/XQYNYRD2"],"itemData":{"id":11306,"type":"article-journal","abstract":"OBJECTIVE: To determine the prevalence of eating disorders in adolescent females with type 1 diabetes mellitus compared with that in their non-diabetic peers.\nDESIGN: Cross sectional case-control led study.\nSETTING: Diabetes clinics and schools in three Canadian cities.\nSUBJECTS: 356 females aged 12-19 with type 1 diabetes and 1098 age matched non-diabetic controls.\nMAIN OUTCOME MEASURE: Eating disorders meeting Diagnostic and Statistical Manual of Mental Disorders (DSM-IV) criteria.\nRESULTS: Eating disorders that met DSM-IV criteria were more prevalent in diabetic subjects (36, 10%) than in non-diabetic controls (49, 4%) (odds ratio 2.4, 95% confidence interval 1.5 to 3.7; P&lt;0.001). Subthreshold eating disorders were also more common in those with diabetes (49, 14%) than in controls (84, 8%) (odds ratio 1.9, 95% confidence interval 1.3 to 2.8; P&lt;0.001). Mean haemoglobin A(1c) concentration was higher in diabetic subjects with an eating disorder (9.4% (1.8)) than in those without (8.6% (1.6)), P=0.04).\nCONCLUSIONS: DSM-IV and subthreshold eating disorders are almost twice as common in adolescent females with type 1 diabetes as in their non-diabetic peers. In diabetic subjects, eating disorders are associated with insulin omission for weight loss and impaired metabolic control.","container-title":"BMJ (Clinical research ed.)","ISSN":"0959-8138","issue":"7249","journalAbbreviation":"BMJ","language":"eng","note":"PMID: 10845962\nPMCID: PMC27398","page":"1563-1566","source":"PubMed","title":"Eating disorders in adolescent females with and without type 1 diabetes: cross sectional study","title-short":"Eating disorders in adolescent females with and without type 1 diabetes","volume":"320","author":[{"family":"Jones","given":"J. M."},{"family":"Lawson","given":"M. L."},{"family":"Daneman","given":"D."},{"family":"Olmsted","given":"M. P."},{"family":"Rodin","given":"G."}],"issued":{"date-parts":[["2000",6,10]]}}},{"id":2360,"uris":["http://zotero.org/groups/369679/items/GL7NIDEX"],"uri":["http://zotero.org/groups/369679/items/GL7NIDEX"],"itemData":{"id":2360,"type":"article-journal","abstract":"OBJECTIVE Girls and women with type 1 diabetes are at increased risk for developing eating disorders (EDs), and these disorders are associated with serious diabetes-related medical complications. This study describes the longitudinal course of disturbed eating behavior (DEB) and EDs in a cohort with type 1 diabetes.\nRESEARCH DESIGN AND METHODS A total of 126 girls with type 1 diabetes receiving care for diabetes at The Hospital for Sick Children in Toronto participated in a series of seven interview-based assessments of ED behavior and psychopathology over a 14-year period, beginning in late childhood. Survival analysis was used.\nRESULTS Mean age was 11.8 ± 1.5 years at time 1 and 23.7 ± 2.1 years at time 7. At time 7, 32.4% (23/71) met the criteria for a current ED, and an additional 8.5% (6/71) had a subthreshold ED. Mean age at ED onset (full syndrome or below the threshold) was 22.6 years (95% CI 21.6–23.5), and the cumulative probability of onset was 60% by age 25 years. The average time between onset of ED and subsequent ED remission was 4.3 years (95% CI 3.1–5.5), and the cumulative probability of remission was 79% by 6 years after onset. The average time between remission of ED and subsequent recurrence was 6.5 years (95% CI 4.4–8.6), and the cumulative probability of recurrence was 53% by 6 years after remission.\nCONCLUSIONS In this longitudinal study, EDs were common and persistent, and new onset of ED was documented well into adulthood. Further research regarding prevention and treatment for this vulnerable group is urgently needed.","container-title":"Diabetes Care","DOI":"10.2337/dc14-2646","ISSN":"0149-5992, 1935-5548","issue":"7","language":"en","note":"PMID: 25887359","page":"1212-1217","source":"care.diabetesjournals.org","title":"Eating Disorders in Girls and Women With Type 1 Diabetes: A Longitudinal Study of Prevalence, Onset, Remission, and Recurrence","title-short":"Eating Disorders in Girls and Women With Type 1 Diabetes","volume":"38","author":[{"family":"Colton","given":"Patricia A."},{"family":"Olmsted","given":"Marion P."},{"family":"Daneman","given":"Denis"},{"family":"Farquhar","given":"Jamie C."},{"family":"Wong","given":"Harmonie"},{"family":"Muskat","given":"Stephanie"},{"family":"Rodin","given":"Gary M."}],"issued":{"date-parts":[["2015",7,1]]}}}],"schema":"https://github.com/citation-style-language/schema/raw/master/csl-citation.json"} </w:instrText>
      </w:r>
      <w:r w:rsidRPr="0035461C">
        <w:rPr>
          <w:rFonts w:ascii="Calibri" w:hAnsi="Calibri" w:cs="Calibri"/>
          <w:color w:val="000000" w:themeColor="text1"/>
        </w:rPr>
        <w:fldChar w:fldCharType="separate"/>
      </w:r>
      <w:r w:rsidR="00076F77" w:rsidRPr="00076F77">
        <w:rPr>
          <w:rFonts w:ascii="Calibri" w:hAnsi="Calibri" w:cs="Calibri"/>
        </w:rPr>
        <w:t>(192,193)</w:t>
      </w:r>
      <w:r w:rsidRPr="0035461C">
        <w:rPr>
          <w:rFonts w:ascii="Calibri" w:hAnsi="Calibri" w:cs="Calibri"/>
          <w:color w:val="000000" w:themeColor="text1"/>
        </w:rPr>
        <w:fldChar w:fldCharType="end"/>
      </w:r>
      <w:r w:rsidRPr="0035461C">
        <w:rPr>
          <w:rFonts w:ascii="Calibri" w:hAnsi="Calibri" w:cs="Calibri"/>
          <w:color w:val="000000" w:themeColor="text1"/>
        </w:rPr>
        <w:t xml:space="preserve"> but may also occur in men. Insulin omission as a weight loss strategy (’</w:t>
      </w:r>
      <w:proofErr w:type="spellStart"/>
      <w:r w:rsidRPr="0035461C">
        <w:rPr>
          <w:rFonts w:ascii="Calibri" w:hAnsi="Calibri" w:cs="Calibri"/>
          <w:color w:val="000000" w:themeColor="text1"/>
        </w:rPr>
        <w:t>diabulimia</w:t>
      </w:r>
      <w:proofErr w:type="spellEnd"/>
      <w:r w:rsidRPr="0035461C">
        <w:rPr>
          <w:rFonts w:ascii="Calibri" w:hAnsi="Calibri" w:cs="Calibri"/>
          <w:color w:val="000000" w:themeColor="text1"/>
        </w:rPr>
        <w:t xml:space="preserve">’) often starting in teenage years warrants special attention </w:t>
      </w:r>
      <w:r w:rsidRPr="0035461C">
        <w:rPr>
          <w:rFonts w:ascii="Calibri" w:hAnsi="Calibri" w:cs="Calibri"/>
          <w:color w:val="000000" w:themeColor="text1"/>
        </w:rPr>
        <w:fldChar w:fldCharType="begin"/>
      </w:r>
      <w:r w:rsidR="00076F77">
        <w:rPr>
          <w:rFonts w:ascii="Calibri" w:hAnsi="Calibri" w:cs="Calibri"/>
          <w:color w:val="000000" w:themeColor="text1"/>
        </w:rPr>
        <w:instrText xml:space="preserve"> ADDIN ZOTERO_ITEM CSL_CITATION {"citationID":"We1LZ0gg","properties":{"formattedCitation":"(194,195)","plainCitation":"(194,195)","noteIndex":0},"citationItems":[{"id":11311,"uris":["http://zotero.org/groups/369679/items/R8NJCS2G"],"uri":["http://zotero.org/groups/369679/items/R8NJCS2G"],"itemData":{"id":11311,"type":"article-journal","abstract":"OBJECTIVE: Disturbed eating behavior (DEB) is prevalent in youth with type 1 diabetes and is accompanied by an increased risk for complications, morbidity, and mortality. Prospective studies on DEB in the challenging transition to adulthood are scarce. This longitudinal study examined DEB over a 1-year period and investigated the directionality of effects linking DEB to diabetes-specific functioning and depressive symptoms in adolescents and emerging adults.\nRESEARCH DESIGN AND METHODS: Three hundred youth (16-28 years old) with type 1 diabetes participated in a two-wave longitudinal study. Questionnaires measured DEB (Diabetes Eating Problem Survey-Revised [DEPS-R]), self-management, diabetes distress, and depressive symptoms. HbA1c values were obtained from physicians. Mixed ANOVA and cross-lagged analysis were used to examine prospective changes and directionality of effects, respectively.\nRESULTS: Mean DEB remained stable in the total sample, but significant individual differences were observed based on the cutoff score of the DEPS-R: 19% displayed persistent DEB and 8% increased and 7.3% decreased in DEB over time. The remaining individuals scored low on DEB over time. These four groups were differentiated based on insulin restriction, omission, diabetes-specific functioning, and depressive symptoms. Cross-lagged analyses indicated that DEB predicted relative increases in depressive symptoms over time, whereas reciprocal associations with glycemic control were found.\nCONCLUSIONS: This longitudinal study highlights the substantial impact DEB may have in the transition to adulthood, with a substantial portion of youth with type 1 diabetes being at risk for clinical DEB. Prospective pathways linking DEB to functioning were found, emphasizing the clinical relevance of assessing DEB over time.","container-title":"Diabetes Care","DOI":"10.2337/dc19-0445","ISSN":"1935-5548","issue":"9","journalAbbreviation":"Diabetes Care","language":"eng","note":"PMID: 31217162","page":"1637-1644","source":"PubMed","title":"Disturbed Eating Behaviors in Adolescents and Emerging Adults With Type 1 Diabetes: A One-Year Prospective Study","title-short":"Disturbed Eating Behaviors in Adolescents and Emerging Adults With Type 1 Diabetes","volume":"42","author":[{"family":"Luyckx","given":"Koen"},{"family":"Verschueren","given":"Margaux"},{"family":"Palmeroni","given":"Nina"},{"family":"Goethals","given":"Eveline R."},{"family":"Weets","given":"Ilse"},{"family":"Claes","given":"Laurence"}],"issued":{"date-parts":[["2019",9]]}}},{"id":11308,"uris":["http://zotero.org/groups/369679/items/XBU7QGZF"],"uri":["http://zotero.org/groups/369679/items/XBU7QGZF"],"itemData":{"id":11308,"type":"article-journal","abstract":"OBJECTIVE: The purpose of this study was to investigate eating patterns among male and female adolescents with type 1 diabetes (T1D), and the associations with age, zBMI, eating disorder (ED) pathology, intentional insulin omission, and metabolic control.\nMETHOD: The sample consisted of 104 adolescents (58.6% females) with child-onset T1D, mean age of 15.7 years (SD 1.8) and mean zBMI of 0.4 (SD 0.8). The Child Eating Disorder Examination (ChEDE) assessed meal/snack frequency and ED pathology. T1D clinical data was obtained from the Norwegian Childhood Diabetes Registry.\nRESULTS: A significantly lower proportion of females than males (73.8% vs 97.7%) consumed breakfast on a daily basis. Approximately 50% of both genders ate lunch and 90% ate dinner daily. Among females, skipping breakfast was significantly associated with higher global ED psychopathology, shape concerns, self-induced vomiting, binge eating, insulin omission due to shape/weight concerns, and poorer metabolic control. Less frequent lunch consumption was significantly associated with poorer metabolic control. Skipping dinner was significantly associated with older age, higher dietary restraint, eating concerns, self-induced vomiting, and insulin omission. Among males, less frequent consumption of lunch and evening snacks was associated with attitudinal features of ED, including shape/weight concerns and dietary restraint.\nDISCUSSION: Among adolescents with T1D, irregular or infrequent meal consumption appears to signal potential ED pathology, as well as being associated with poorer metabolic control. These findings suggest the importance of routinely assessing eating patterns in adolescents with T1D to improve detection of ED pathology and to facilitate improved metabolic control and the associated risk of somatic complications.","container-title":"Appetite","DOI":"10.1016/j.appet.2017.03.035","ISSN":"1095-8304","journalAbbreviation":"Appetite","language":"eng","note":"PMID: 28351671","page":"226-231","source":"PubMed","title":"Eating patterns in adolescents with type 1 diabetes: Associations with metabolic control, insulin omission, and eating disorder pathology","title-short":"Eating patterns in adolescents with type 1 diabetes","volume":"114","author":[{"family":"Wisting","given":"Line"},{"family":"Reas","given":"Deborah Lynn"},{"family":"Bang","given":"Lasse"},{"family":"Skrivarhaug","given":"Torild"},{"family":"Dahl-Jørgensen","given":"Knut"},{"family":"Rø","given":"Øyvind"}],"issued":{"date-parts":[["2017",7,1]]}}}],"schema":"https://github.com/citation-style-language/schema/raw/master/csl-citation.json"} </w:instrText>
      </w:r>
      <w:r w:rsidRPr="0035461C">
        <w:rPr>
          <w:rFonts w:ascii="Calibri" w:hAnsi="Calibri" w:cs="Calibri"/>
          <w:color w:val="000000" w:themeColor="text1"/>
        </w:rPr>
        <w:fldChar w:fldCharType="separate"/>
      </w:r>
      <w:r w:rsidR="00076F77" w:rsidRPr="00076F77">
        <w:rPr>
          <w:rFonts w:ascii="Calibri" w:hAnsi="Calibri" w:cs="Calibri"/>
        </w:rPr>
        <w:t>(194,195)</w:t>
      </w:r>
      <w:r w:rsidRPr="0035461C">
        <w:rPr>
          <w:rFonts w:ascii="Calibri" w:hAnsi="Calibri" w:cs="Calibri"/>
          <w:color w:val="000000" w:themeColor="text1"/>
        </w:rPr>
        <w:fldChar w:fldCharType="end"/>
      </w:r>
      <w:r w:rsidRPr="0035461C">
        <w:rPr>
          <w:rFonts w:ascii="Calibri" w:hAnsi="Calibri" w:cs="Calibri"/>
          <w:color w:val="000000" w:themeColor="text1"/>
        </w:rPr>
        <w:t>.</w:t>
      </w:r>
      <w:r w:rsidRPr="0035461C">
        <w:rPr>
          <w:rStyle w:val="CommentReference"/>
          <w:rFonts w:ascii="Calibri" w:hAnsi="Calibri" w:cs="Calibri"/>
          <w:color w:val="000000" w:themeColor="text1"/>
          <w:sz w:val="24"/>
          <w:szCs w:val="24"/>
        </w:rPr>
        <w:t xml:space="preserve"> If indicated, screening for eating disorders is advised, using a validated instrument suited for use in people with type 1 diabetes, e.g. the Diabetes Eating Problems Survey-Revised (DEPS-R) or Eating Disorders Inventory – 3 Risk Composite (EDI-3RC) </w:t>
      </w:r>
      <w:r w:rsidRPr="0035461C">
        <w:rPr>
          <w:rStyle w:val="CommentReference"/>
          <w:rFonts w:ascii="Calibri" w:hAnsi="Calibri" w:cs="Calibri"/>
          <w:color w:val="000000" w:themeColor="text1"/>
          <w:sz w:val="24"/>
          <w:szCs w:val="24"/>
        </w:rPr>
        <w:fldChar w:fldCharType="begin"/>
      </w:r>
      <w:r w:rsidR="00076F77">
        <w:rPr>
          <w:rStyle w:val="CommentReference"/>
          <w:rFonts w:ascii="Calibri" w:hAnsi="Calibri" w:cs="Calibri"/>
          <w:color w:val="000000" w:themeColor="text1"/>
          <w:sz w:val="24"/>
          <w:szCs w:val="24"/>
        </w:rPr>
        <w:instrText xml:space="preserve"> ADDIN ZOTERO_ITEM CSL_CITATION {"citationID":"6YArQ4Zz","properties":{"formattedCitation":"(196)","plainCitation":"(196)","noteIndex":0},"citationItems":[{"id":11314,"uris":["http://zotero.org/groups/369679/items/TNXQZ4EC"],"uri":["http://zotero.org/groups/369679/items/TNXQZ4EC"],"itemData":{"id":11314,"type":"article-journal","abstract":"AIM: To describe the presence and type of disturbed eating behaviours and thoughts in a combined male/female Australian sample of adolescents with type 1 diabetes, and examine the association of eating behaviours and thoughts with glycaemic control as evidenced by high glycosylated haemoglobin levels (HbA1c).\nMETHODS: In this cross-sectional descriptive study, 124 adolescents aged 13-18  years were invited to complete three self-administered questionnaires. The Youth Eating Disorder Examination Questionnaire (YEDE-Q) and the Eating Disorder Inventory -3 Risk Composite (EDI-3RC) assessed risk for an eating disorder. The third questionnaire, the Strengths and Difficulties Questionnaire (SDQ) assessed emotional and behavioural concerns. Clinical data were collected from the medical records, routine clinic appointments and the adolescent.\nRESULTS: Any disturbed eating behaviour was reported by approximately one-third of participants (32.3%) and was common in females and males (37.9% vs. 25.9%). Binge eating (17.7%), driven exercise (13.0%) and dietary restraint (8.9%) were the most common disturbed eating behaviours, although restraint was not evident in males. Insulin manipulation/omission (5.6%), vomiting (3.3%), laxative (0.8%) or diuretic use (0.8%) were less common. Regression analysis showed a significant association between HbA1c and more disturbed eating behaviours and thoughts which remained significant when adjusted for confounders.\nCONCLUSIONS: High rates of disturbed eating behaviours and thoughts were seen in this Australian sample of adolescents with type 1 diabetes. High scores on both eating disorder measures were associated with poorer glycaemic control. These results highlight the need to screen for disordered eating in adolescents with type 1 diabetes.","container-title":"Journal of Paediatrics and Child Health","DOI":"10.1111/jpc.12014","ISSN":"1440-1754","issue":"4","journalAbbreviation":"J Paediatr Child Health","language":"eng","note":"PMID: 23199338","page":"E317-323","source":"PubMed","title":"Disturbed eating behaviours and thoughts in Australian adolescents with type 1 diabetes","volume":"49","author":[{"family":"Emden","given":"Helen","non-dropping-particle":"d'"},{"family":"Holden","given":"Libby"},{"family":"McDermott","given":"Brett"},{"family":"Harris","given":"Mark"},{"family":"Gibbons","given":"Kristen"},{"family":"Gledhill","given":"Anne"},{"family":"Cotterill","given":"Andrew"}],"issued":{"date-parts":[["2013",4]]}}}],"schema":"https://github.com/citation-style-language/schema/raw/master/csl-citation.json"} </w:instrText>
      </w:r>
      <w:r w:rsidRPr="0035461C">
        <w:rPr>
          <w:rStyle w:val="CommentReference"/>
          <w:rFonts w:ascii="Calibri" w:hAnsi="Calibri" w:cs="Calibri"/>
          <w:color w:val="000000" w:themeColor="text1"/>
          <w:sz w:val="24"/>
          <w:szCs w:val="24"/>
        </w:rPr>
        <w:fldChar w:fldCharType="separate"/>
      </w:r>
      <w:r w:rsidR="00076F77" w:rsidRPr="00076F77">
        <w:rPr>
          <w:rFonts w:ascii="Calibri" w:hAnsi="Calibri" w:cs="Calibri"/>
        </w:rPr>
        <w:t>(196)</w:t>
      </w:r>
      <w:r w:rsidRPr="0035461C">
        <w:rPr>
          <w:rStyle w:val="CommentReference"/>
          <w:rFonts w:ascii="Calibri" w:hAnsi="Calibri" w:cs="Calibri"/>
          <w:color w:val="000000" w:themeColor="text1"/>
          <w:sz w:val="24"/>
          <w:szCs w:val="24"/>
        </w:rPr>
        <w:fldChar w:fldCharType="end"/>
      </w:r>
      <w:r w:rsidRPr="0035461C">
        <w:rPr>
          <w:rStyle w:val="CommentReference"/>
          <w:rFonts w:ascii="Calibri" w:hAnsi="Calibri" w:cs="Calibri"/>
          <w:color w:val="000000" w:themeColor="text1"/>
          <w:sz w:val="24"/>
          <w:szCs w:val="24"/>
        </w:rPr>
        <w:t>.</w:t>
      </w:r>
      <w:r w:rsidR="00B5208F">
        <w:rPr>
          <w:rStyle w:val="CommentReference"/>
          <w:rFonts w:ascii="Calibri" w:hAnsi="Calibri" w:cs="Calibri"/>
          <w:color w:val="000000" w:themeColor="text1"/>
          <w:sz w:val="24"/>
          <w:szCs w:val="24"/>
        </w:rPr>
        <w:t xml:space="preserve"> </w:t>
      </w:r>
    </w:p>
    <w:p w14:paraId="4EB29159" w14:textId="473AEEA2" w:rsidR="00264FF0" w:rsidRPr="0035461C" w:rsidRDefault="00B5208F" w:rsidP="00264FF0">
      <w:pPr>
        <w:shd w:val="clear" w:color="auto" w:fill="FFFFFF"/>
        <w:spacing w:before="120"/>
        <w:jc w:val="both"/>
        <w:rPr>
          <w:rStyle w:val="CommentReference"/>
          <w:rFonts w:ascii="Calibri" w:hAnsi="Calibri" w:cs="Calibri"/>
          <w:color w:val="000000" w:themeColor="text1"/>
          <w:sz w:val="24"/>
          <w:szCs w:val="24"/>
        </w:rPr>
      </w:pPr>
      <w:r>
        <w:rPr>
          <w:rStyle w:val="CommentReference"/>
          <w:rFonts w:ascii="Calibri" w:hAnsi="Calibri" w:cs="Calibri"/>
          <w:color w:val="000000" w:themeColor="text1"/>
          <w:sz w:val="24"/>
          <w:szCs w:val="24"/>
        </w:rPr>
        <w:t>In case of a positive screen, offering a referral to specialized mental health services is recommended.</w:t>
      </w:r>
    </w:p>
    <w:p w14:paraId="337EF1A1" w14:textId="77777777" w:rsidR="00264FF0" w:rsidRPr="0035461C" w:rsidRDefault="00264FF0" w:rsidP="00264FF0">
      <w:pPr>
        <w:shd w:val="clear" w:color="auto" w:fill="FFFFFF"/>
        <w:spacing w:before="120"/>
        <w:jc w:val="both"/>
        <w:rPr>
          <w:rFonts w:ascii="Calibri" w:hAnsi="Calibri" w:cs="Calibri"/>
          <w:i/>
          <w:color w:val="000000" w:themeColor="text1"/>
          <w:lang w:eastAsia="nl-NL"/>
        </w:rPr>
      </w:pPr>
    </w:p>
    <w:p w14:paraId="28086F5A" w14:textId="77777777" w:rsidR="00264FF0" w:rsidRPr="0035461C" w:rsidRDefault="00264FF0" w:rsidP="00264FF0">
      <w:pPr>
        <w:shd w:val="clear" w:color="auto" w:fill="FFFFFF"/>
        <w:spacing w:before="120"/>
        <w:jc w:val="both"/>
        <w:rPr>
          <w:rFonts w:ascii="Calibri" w:hAnsi="Calibri" w:cs="Calibri"/>
          <w:i/>
          <w:color w:val="000000" w:themeColor="text1"/>
          <w:u w:val="single"/>
          <w:lang w:eastAsia="nl-NL"/>
        </w:rPr>
      </w:pPr>
      <w:r w:rsidRPr="0035461C">
        <w:rPr>
          <w:rFonts w:ascii="Calibri" w:hAnsi="Calibri" w:cs="Calibri"/>
          <w:i/>
          <w:color w:val="000000" w:themeColor="text1"/>
          <w:u w:val="single"/>
          <w:lang w:eastAsia="nl-NL"/>
        </w:rPr>
        <w:t>Social Determinants of Health</w:t>
      </w:r>
    </w:p>
    <w:p w14:paraId="66A49C92" w14:textId="30F48799" w:rsidR="00264FF0" w:rsidRPr="0035461C" w:rsidRDefault="00264FF0" w:rsidP="00264FF0">
      <w:pPr>
        <w:shd w:val="clear" w:color="auto" w:fill="FFFFFF"/>
        <w:spacing w:before="120"/>
        <w:jc w:val="both"/>
        <w:rPr>
          <w:rFonts w:ascii="Calibri" w:hAnsi="Calibri" w:cs="Calibri"/>
          <w:color w:val="000000" w:themeColor="text1"/>
          <w:lang w:eastAsia="nl-NL"/>
        </w:rPr>
      </w:pPr>
      <w:r w:rsidRPr="0035461C">
        <w:rPr>
          <w:rFonts w:ascii="Calibri" w:hAnsi="Calibri" w:cs="Calibri"/>
          <w:color w:val="000000" w:themeColor="text1"/>
          <w:lang w:eastAsia="nl-NL"/>
        </w:rPr>
        <w:t>Social and financial hardships can negatively impact an individual’s mental health, motivation, and capacity to engage in self-management practices, increasing the risk for elevated HbA</w:t>
      </w:r>
      <w:r w:rsidRPr="0035461C">
        <w:rPr>
          <w:rFonts w:ascii="Calibri" w:hAnsi="Calibri" w:cs="Calibri"/>
          <w:color w:val="000000" w:themeColor="text1"/>
          <w:vertAlign w:val="subscript"/>
          <w:lang w:eastAsia="nl-NL"/>
        </w:rPr>
        <w:t>1c</w:t>
      </w:r>
      <w:r w:rsidRPr="0035461C">
        <w:rPr>
          <w:rFonts w:ascii="Calibri" w:hAnsi="Calibri" w:cs="Calibri"/>
          <w:color w:val="000000" w:themeColor="text1"/>
          <w:lang w:eastAsia="nl-NL"/>
        </w:rPr>
        <w:t xml:space="preserve"> and complications.</w:t>
      </w:r>
      <w:r w:rsidR="00E615B3" w:rsidRPr="0035461C">
        <w:rPr>
          <w:rFonts w:ascii="Calibri" w:hAnsi="Calibri" w:cs="Calibri"/>
          <w:color w:val="000000" w:themeColor="text1"/>
          <w:lang w:eastAsia="nl-NL"/>
        </w:rPr>
        <w:t xml:space="preserve"> </w:t>
      </w:r>
      <w:r w:rsidRPr="0035461C">
        <w:rPr>
          <w:rFonts w:ascii="Calibri" w:hAnsi="Calibri" w:cs="Calibri"/>
          <w:color w:val="000000" w:themeColor="text1"/>
          <w:lang w:eastAsia="nl-NL"/>
        </w:rPr>
        <w:t xml:space="preserve">In a review of social determinants of health and diabetes </w:t>
      </w:r>
      <w:r w:rsidRPr="0035461C">
        <w:rPr>
          <w:rFonts w:ascii="Calibri" w:hAnsi="Calibri" w:cs="Calibri"/>
          <w:color w:val="000000" w:themeColor="text1"/>
          <w:lang w:eastAsia="nl-NL"/>
        </w:rPr>
        <w:fldChar w:fldCharType="begin"/>
      </w:r>
      <w:r w:rsidR="00076F77">
        <w:rPr>
          <w:rFonts w:ascii="Calibri" w:hAnsi="Calibri" w:cs="Calibri"/>
          <w:color w:val="000000" w:themeColor="text1"/>
          <w:lang w:eastAsia="nl-NL"/>
        </w:rPr>
        <w:instrText xml:space="preserve"> ADDIN ZOTERO_ITEM CSL_CITATION {"citationID":"IuSoYKEq","properties":{"formattedCitation":"(197)","plainCitation":"(197)","noteIndex":0},"citationItems":[{"id":11316,"uris":["http://zotero.org/groups/369679/items/TTLEICY3"],"uri":["http://zotero.org/groups/369679/items/TTLEICY3"],"itemData":{"id":11316,"type":"article-journal","container-title":"Diabetes Care","DOI":"10.2337/dci20-0053","ISSN":"1935-5548","journalAbbreviation":"Diabetes Care","language":"eng","note":"PMID: 33139407\nPMCID: PMC7783927","source":"PubMed","title":"Social Determinants of Health and Diabetes: A Scientific Review","title-short":"Social Determinants of Health and Diabetes","author":[{"family":"Hill-Briggs","given":"Felicia"},{"family":"Adler","given":"Nancy E."},{"family":"Berkowitz","given":"Seth A."},{"family":"Chin","given":"Marshall H."},{"family":"Gary-Webb","given":"Tiffany L."},{"family":"Navas-Acien","given":"Ana"},{"family":"Thornton","given":"Pamela L."},{"family":"Haire-Joshu","given":"Debra"}],"issued":{"date-parts":[["2020",11,2]]}}}],"schema":"https://github.com/citation-style-language/schema/raw/master/csl-citation.json"} </w:instrText>
      </w:r>
      <w:r w:rsidRPr="0035461C">
        <w:rPr>
          <w:rFonts w:ascii="Calibri" w:hAnsi="Calibri" w:cs="Calibri"/>
          <w:color w:val="000000" w:themeColor="text1"/>
          <w:lang w:eastAsia="nl-NL"/>
        </w:rPr>
        <w:fldChar w:fldCharType="separate"/>
      </w:r>
      <w:r w:rsidR="00076F77" w:rsidRPr="00076F77">
        <w:rPr>
          <w:rFonts w:ascii="Calibri" w:hAnsi="Calibri" w:cs="Calibri"/>
        </w:rPr>
        <w:t>(197)</w:t>
      </w:r>
      <w:r w:rsidRPr="0035461C">
        <w:rPr>
          <w:rFonts w:ascii="Calibri" w:hAnsi="Calibri" w:cs="Calibri"/>
          <w:color w:val="000000" w:themeColor="text1"/>
          <w:lang w:eastAsia="nl-NL"/>
        </w:rPr>
        <w:fldChar w:fldCharType="end"/>
      </w:r>
      <w:r w:rsidRPr="0035461C">
        <w:rPr>
          <w:rFonts w:ascii="Calibri" w:hAnsi="Calibri" w:cs="Calibri"/>
          <w:color w:val="000000" w:themeColor="text1"/>
          <w:lang w:eastAsia="nl-NL"/>
        </w:rPr>
        <w:t xml:space="preserve">, the importance of the following domains is discussed: (a) </w:t>
      </w:r>
      <w:proofErr w:type="spellStart"/>
      <w:r w:rsidRPr="0035461C">
        <w:rPr>
          <w:rFonts w:ascii="Calibri" w:hAnsi="Calibri" w:cs="Calibri"/>
          <w:color w:val="000000" w:themeColor="text1"/>
          <w:lang w:eastAsia="nl-NL"/>
        </w:rPr>
        <w:t>Neighbourhood</w:t>
      </w:r>
      <w:proofErr w:type="spellEnd"/>
      <w:r w:rsidRPr="0035461C">
        <w:rPr>
          <w:rFonts w:ascii="Calibri" w:hAnsi="Calibri" w:cs="Calibri"/>
          <w:color w:val="000000" w:themeColor="text1"/>
          <w:lang w:eastAsia="nl-NL"/>
        </w:rPr>
        <w:t xml:space="preserve"> and physical environment e.g. housing stability; (b) Built environment e.g. walkability, access to green spaces; (c) Environmental exposures e.g. pollution; d) Food access, availability and affordability, and; (e) Healthcare access, affordability and quality.</w:t>
      </w:r>
    </w:p>
    <w:p w14:paraId="541774D0" w14:textId="7B7928DA" w:rsidR="00264FF0" w:rsidRPr="0035461C" w:rsidRDefault="00264FF0" w:rsidP="00264FF0">
      <w:pPr>
        <w:shd w:val="clear" w:color="auto" w:fill="FFFFFF"/>
        <w:spacing w:before="120"/>
        <w:jc w:val="both"/>
        <w:rPr>
          <w:rFonts w:ascii="Calibri" w:hAnsi="Calibri" w:cs="Calibri"/>
          <w:color w:val="000000" w:themeColor="text1"/>
          <w:lang w:eastAsia="nl-NL"/>
        </w:rPr>
      </w:pPr>
      <w:r w:rsidRPr="0035461C">
        <w:rPr>
          <w:rFonts w:ascii="Calibri" w:hAnsi="Calibri" w:cs="Calibri"/>
          <w:color w:val="000000" w:themeColor="text1"/>
          <w:lang w:eastAsia="nl-NL"/>
        </w:rPr>
        <w:t xml:space="preserve">Socioeconomic challenges, particularly the inability to pay for food, insulin, other medications and supplies, need to be recognized and addressed. Several screening tools are available </w:t>
      </w:r>
      <w:r w:rsidRPr="0035461C">
        <w:rPr>
          <w:rFonts w:ascii="Calibri" w:hAnsi="Calibri" w:cs="Calibri"/>
          <w:color w:val="000000" w:themeColor="text1"/>
          <w:lang w:eastAsia="nl-NL"/>
        </w:rPr>
        <w:fldChar w:fldCharType="begin"/>
      </w:r>
      <w:r w:rsidR="00076F77">
        <w:rPr>
          <w:rFonts w:ascii="Calibri" w:hAnsi="Calibri" w:cs="Calibri"/>
          <w:color w:val="000000" w:themeColor="text1"/>
          <w:lang w:eastAsia="nl-NL"/>
        </w:rPr>
        <w:instrText xml:space="preserve"> ADDIN ZOTERO_ITEM CSL_CITATION {"citationID":"3XXqO89i","properties":{"formattedCitation":"(198\\uc0\\u8211{}203)","plainCitation":"(198–203)","noteIndex":0},"citationItems":[{"id":11319,"uris":["http://zotero.org/groups/369679/items/XLCIZ3FS"],"uri":["http://zotero.org/groups/369679/items/XLCIZ3FS"],"itemData":{"id":11319,"type":"webpage","language":"en-us","title":"Tools for Putting SDOH into Action | Social Determinants of Health | CDC","URL":"https://www.cdc.gov/socialdeterminants/tools/index.htm","accessed":{"date-parts":[["2021",2,18]]},"issued":{"date-parts":[["2020",8,19]]}}},{"id":4135,"uris":["http://zotero.org/groups/369679/items/EKACF3GY"],"uri":["http://zotero.org/groups/369679/items/EKACF3GY"],"itemData":{"id":4135,"type":"book","abstract":"Determinants of health—like physical activity levels and living conditions—have traditionally been the concern of public health and have not been linked closely to clinical practice. However, if standardized social and behavioral data can be incorporated into patient electronic health records (EHRs), those data can provide crucial information about factors that influence health and the effectiveness of treatment. Such information is useful for diagnosis, treatment choices, policy, health care system design, and innovations to improve health outcomes and reduce health care costs. Capturing Social and Behavioral Domains and Measures in Electronic Health Records: Phase 2 identifies domains and measures that capture the social determinants of health to inform the development of recommendations for the meaningful use of EHRs. This report is the second part of a two-part study. The Phase 1 report identified 17 domains for inclusion in EHRs. This report pinpoints 12 measures related to 11 of the initial domains and considers the implications of incorporating them into all EHRs. This book includes three chapters from the Phase 1 report in addition to the new Phase 2 material. Standardized use of EHRs that include social and behavioral domains could provide better patient care, improve population health, and enable more informative research. The recommendations of Capturing Social and Behavioral Domains and Measures in Electronic Health Records: Phase 2 will provide valuable information on which to base problem identification, clinical diagnoses, patient treatment, outcomes assessment, and population health measurement.","call-number":"NBK268995","event-place":"Washington (DC)","ISBN":"978-0-309-31242-4","language":"eng","note":"PMID: 25590118","publisher":"National Academies Press (US)","publisher-place":"Washington (DC)","source":"PubMed","title":"Capturing Social and Behavioral Domains and Measures in Electronic Health Records: Phase 2","title-short":"Capturing Social and Behavioral Domains and Measures in Electronic Health Records","URL":"http://www.ncbi.nlm.nih.gov/books/NBK268995/","author":[{"literal":"Committee on the Recommended Social and Behavioral Domains and Measures for Electronic Health Records"},{"literal":"Board on Population Health and Public Health Practice"},{"literal":"Institute of Medicine"}],"accessed":{"date-parts":[["2019",10,25]]},"issued":{"date-parts":[["2015"]]}}},{"id":11324,"uris":["http://zotero.org/groups/369679/items/WCP3VNVU"],"uri":["http://zotero.org/groups/369679/items/WCP3VNVU"],"itemData":{"id":11324,"type":"article-journal","language":"en","page":"2","source":"Zotero","title":"Social Needs Screening Tool","issued":{"date-parts":[["2018"]]}}},{"id":11325,"uris":["http://zotero.org/groups/369679/items/YCSYMIKG"],"uri":["http://zotero.org/groups/369679/items/YCSYMIKG"],"itemData":{"id":11325,"type":"article-journal","abstract":"INTRODUCTION: Social and behavioral factors are known to affect health but are not routinely assessed in medical practice. To date, no studies have assessed a parsimonious panel of measures of social and behavioral determinants of health (SBDs). This study evaluated the panel of SBD measures recommended by the Institute of Medicine and examined the effect of question order.\nMETHODS: Adults, aged ≥18 years, were recruited using ResearchMatch.org for this randomized, parallel design study conducted in 2015 (data analyzed in 2015-2016). Three versions of the SBD measures, sharing the same items but in different orders of presentation (Versions 1-3), were developed. Randomized to six groups, participants completed each version at least 1 week apart (Weeks 1-3). Version order was counterbalanced across each administration and randomization was stratified by gender, race, and age. Main outcomes were effect of question order, completion time, and non-response rates.\nRESULTS: Of 781 participants, 624 (80%) completed the Week 1 questionnaire; median completion time for answering all SBD questions was 5 minutes, 583/624 participants answered all items, and no statistically significant differences associated with question order were observed when comparing responses across all versions. No significant differences in responses within assignment groups over time were found, with the exception of the stress measure for Group 5 (p=0.036).\nCONCLUSION: Question order did not significantly impact participant responses. Time to complete the questionnaire was brief, and non-response rate was low. Findings support the feasibility of using the Institute of Medicine-recommended questionnaire to capture SBDs.","container-title":"American Journal of Preventive Medicine","DOI":"10.1016/j.amepre.2016.07.033","ISSN":"1873-2607","issue":"2","journalAbbreviation":"Am J Prev Med","language":"eng","note":"PMID: 27659121\nPMCID: PMC5253326","page":"199-206","source":"PubMed","title":"Institute of Medicine Measures of Social and Behavioral Determinants of Health: A Feasibility Study","title-short":"Institute of Medicine Measures of Social and Behavioral Determinants of Health","volume":"52","author":[{"family":"Giuse","given":"Nunzia B."},{"family":"Koonce","given":"Taneya Y."},{"family":"Kusnoor","given":"Sheila V."},{"family":"Prather","given":"Aric A."},{"family":"Gottlieb","given":"Laura M."},{"family":"Huang","given":"Li-Ching"},{"family":"Phillips","given":"Sharon E."},{"family":"Shyr","given":"Yu"},{"family":"Adler","given":"Nancy E."},{"family":"Stead","given":"William W."}],"issued":{"date-parts":[["2017",2]]}}},{"id":11328,"uris":["http://zotero.org/groups/369679/items/AVB32HL5"],"uri":["http://zotero.org/groups/369679/items/AVB32HL5"],"itemData":{"id":11328,"type":"article-journal","abstract":"OBJECTIVE: This study aimed to understand the longitudinal relationship between financial, psychosocial, and neighborhood social determinants and glycemic control (HbA1c) in older adults with diabetes.\nRESEARCH DESIGN AND METHODS: Data from 2,662 individuals with self-reported diabetes who participated in the Health and Retirement Study (HRS) were used. Participants were followed from 2006 through 2014. Financial hardship, psychosocial, and neighborhood-level social determinant factors were based on validated surveys from the biennial core interview and RAND data sets. All social determinant factors and measurements of HbA1c from the time period were used and treated as time varying in analyses. SAS PROC GLIMMIX was used to fit a series of hierarchical linear mixed models. Models controlled for nonindependence among the repeated observations using a random intercept and treating each individual participant as a random factor. Survey methods were used to apply HRS weighting.\nRESULTS: Before adjustment for demographics, difficulty paying bills (β = 0.18 [95% CI 0.02, 0.24]) and medication cost nonadherence (0.15 [0.01, 0.29]) were independently associated with increasing HbA1c over time, and social cohesion (-0.05 [-0.10, -0.001]) was independently associated with decreasing HbA1c over time. After adjusting for both demographics and comorbidity count, difficulty paying bills (0.13 [0.03, 0.24]) and religiosity (0.04 [0.001, 0.08]) were independently associated with increasing HbA1c over time.\nCONCLUSIONS: Using a longitudinal cohort of older adults with diabetes, this study found that financial hardship factors, such as difficulty paying bills, were more consistently associated with worsening glycemic control over time than psychosocial and neighborhood factors.","container-title":"Diabetes Care","DOI":"10.2337/dc19-1586","ISSN":"1935-5548","issue":"4","journalAbbreviation":"Diabetes Care","language":"eng","note":"PMID: 32029639\nPMCID: PMC7085811","page":"759-766","source":"PubMed","title":"The Longitudinal Influence of Social Determinants of Health on Glycemic Control in Elderly Adults With Diabetes","volume":"43","author":[{"family":"Walker","given":"Rebekah J."},{"family":"Garacci","given":"Emma"},{"family":"Palatnik","given":"Anna"},{"family":"Ozieh","given":"Mukoso N."},{"family":"Egede","given":"Leonard E."}],"issued":{"date-parts":[["2020",4]]}}},{"id":11413,"uris":["http://zotero.org/groups/369679/items/CWKZMFFU"],"uri":["http://zotero.org/groups/369679/items/CWKZMFFU"],"itemData":{"id":11413,"type":"article-journal","abstract":"INTRODUCTION: Health systems are increasingly interested in addressing the social determinants of health via social risk screening. The objective of this study is to understand the variability in the number and types of social risks overall and in population subgroups among primary care patients routinely screened in a large urban health system.\nMETHODS: Between April and December 2018, a total of 24,633 primary care patients completed a 10-item screener across 19 ambulatory sites within a health system in the Bronx, NY. The prevalence of any social risk and specific social risks was estimated overall and for population subgroups. Wald tests were used to determine statistically significant differences by subgroup. Data were analyzed in winter/spring 2019.\nRESULTS: Twenty percent of patients presented with at least 1 social risk. The most frequently reported risks included housing quality (6.5%) and food insecurity (6.1%). Middle-aged (30-59 years) respondents (24.7%, 95% CI=23.6%, 25.7%) compared with those aged 18-29 years (17.7%, 95% CI=16.4%, 19.2%, p&lt;0.001), and Medicaid patients (24.8%, 95% CI=24.0%, 25.5%) compared with commercially insured patients (11.8%, 95% CI=11.1%, 12.5%, p&lt;0.001), were more likely to report social risks. The strongest predictor of housing quality risk was residing in public housing (15.1%, 95% CI=13.8%, 16.6%) compared with those not in public housing (5.6%, 95% CI=5.3%, 5.9%, p&lt;0.001). Housing quality was the most frequently reported risk for children (aged &lt;18 years) and older adults (aged ≥70 years), whereas, for middle-aged respondents (30-69 years), it was food insecurity.\nCONCLUSIONS: There are important differences in the prevalence of overall and individual social risks by subgroup. These findings should be considered to inform clinical care and social risk screening and interventions.","container-title":"American Journal of Preventive Medicine","DOI":"10.1016/j.amepre.2019.11.011","ISSN":"1873-2607","issue":"4","journalAbbreviation":"Am J Prev Med","language":"eng","note":"PMID: 32199514\nPMCID: PMC7362999","page":"514-525","source":"PubMed","title":"Social Risks Among Primary Care Patients in a Large Urban Health System","volume":"58","author":[{"family":"Heller","given":"Caroline G."},{"family":"Parsons","given":"Amanda S."},{"family":"Chambers","given":"Earle C."},{"family":"Fiori","given":"Kevin P."},{"family":"Rehm","given":"Colin D."}],"issued":{"date-parts":[["2020",4]]}}}],"schema":"https://github.com/citation-style-language/schema/raw/master/csl-citation.json"} </w:instrText>
      </w:r>
      <w:r w:rsidRPr="0035461C">
        <w:rPr>
          <w:rFonts w:ascii="Calibri" w:hAnsi="Calibri" w:cs="Calibri"/>
          <w:color w:val="000000" w:themeColor="text1"/>
          <w:lang w:eastAsia="nl-NL"/>
        </w:rPr>
        <w:fldChar w:fldCharType="separate"/>
      </w:r>
      <w:r w:rsidR="00076F77" w:rsidRPr="00076F77">
        <w:rPr>
          <w:rFonts w:ascii="Calibri" w:hAnsi="Calibri" w:cs="Calibri"/>
        </w:rPr>
        <w:t>(198–203)</w:t>
      </w:r>
      <w:r w:rsidRPr="0035461C">
        <w:rPr>
          <w:rFonts w:ascii="Calibri" w:hAnsi="Calibri" w:cs="Calibri"/>
          <w:color w:val="000000" w:themeColor="text1"/>
          <w:lang w:eastAsia="nl-NL"/>
        </w:rPr>
        <w:fldChar w:fldCharType="end"/>
      </w:r>
      <w:r w:rsidRPr="0035461C">
        <w:rPr>
          <w:rFonts w:ascii="Calibri" w:hAnsi="Calibri" w:cs="Calibri"/>
          <w:color w:val="000000" w:themeColor="text1"/>
          <w:lang w:eastAsia="nl-NL"/>
        </w:rPr>
        <w:t>. Sample questions that have been used include: How hard is it for you to pay for the very basics like food, housing, medical care, and heating? At any time since the last interview or in the last 2 years have you ended up taking less insulin than was prescribed for you because of cost? In the past 12 months has lack of transportation kept you from attending medical appointments or from getting insulin?</w:t>
      </w:r>
      <w:r w:rsidR="00471BEC">
        <w:rPr>
          <w:rFonts w:ascii="Calibri" w:hAnsi="Calibri" w:cs="Calibri"/>
          <w:color w:val="000000" w:themeColor="text1"/>
          <w:lang w:eastAsia="nl-NL"/>
        </w:rPr>
        <w:t xml:space="preserve"> The diabetes team should have access to a social worker and/or links to community resources to help those with these needs.</w:t>
      </w:r>
    </w:p>
    <w:p w14:paraId="22E93F5C" w14:textId="77777777" w:rsidR="00264FF0" w:rsidRPr="0035461C" w:rsidRDefault="00264FF0" w:rsidP="00264FF0">
      <w:pPr>
        <w:spacing w:before="120"/>
        <w:jc w:val="both"/>
        <w:rPr>
          <w:rFonts w:ascii="Calibri" w:hAnsi="Calibri" w:cs="Calibri"/>
          <w:color w:val="000000" w:themeColor="text1"/>
          <w:lang w:eastAsia="nl-NL"/>
        </w:rPr>
      </w:pPr>
      <w:r w:rsidRPr="0035461C">
        <w:rPr>
          <w:rFonts w:ascii="Calibri" w:hAnsi="Calibri" w:cs="Calibri"/>
          <w:color w:val="000000" w:themeColor="text1"/>
          <w:shd w:val="clear" w:color="auto" w:fill="FFFFFF"/>
          <w:lang w:eastAsia="nl-NL"/>
        </w:rPr>
        <w:t> </w:t>
      </w:r>
    </w:p>
    <w:p w14:paraId="69306032" w14:textId="77777777" w:rsidR="00264FF0" w:rsidRPr="0035461C" w:rsidRDefault="00264FF0" w:rsidP="00264FF0">
      <w:pPr>
        <w:spacing w:before="120"/>
        <w:jc w:val="both"/>
        <w:rPr>
          <w:rFonts w:ascii="Calibri" w:hAnsi="Calibri" w:cs="Calibri"/>
          <w:i/>
          <w:color w:val="000000" w:themeColor="text1"/>
          <w:u w:val="single"/>
        </w:rPr>
      </w:pPr>
      <w:r w:rsidRPr="0035461C">
        <w:rPr>
          <w:rFonts w:ascii="Calibri" w:hAnsi="Calibri" w:cs="Calibri"/>
          <w:i/>
          <w:color w:val="000000" w:themeColor="text1"/>
          <w:u w:val="single"/>
        </w:rPr>
        <w:t>Psychosocial interventions</w:t>
      </w:r>
    </w:p>
    <w:p w14:paraId="7FE74BB5" w14:textId="618E086E" w:rsidR="00264FF0" w:rsidRPr="0035461C" w:rsidRDefault="00264FF0" w:rsidP="00264FF0">
      <w:pPr>
        <w:spacing w:before="120"/>
        <w:jc w:val="both"/>
        <w:rPr>
          <w:rFonts w:ascii="Calibri" w:hAnsi="Calibri" w:cs="Calibri"/>
          <w:color w:val="000000" w:themeColor="text1"/>
        </w:rPr>
      </w:pPr>
      <w:r w:rsidRPr="0035461C">
        <w:rPr>
          <w:rFonts w:ascii="Calibri" w:hAnsi="Calibri" w:cs="Calibri"/>
          <w:color w:val="000000" w:themeColor="text1"/>
        </w:rPr>
        <w:t>All members of the diabetes care team have a responsibility for providing psychosocial care</w:t>
      </w:r>
      <w:r w:rsidR="00471BEC">
        <w:rPr>
          <w:rFonts w:ascii="Calibri" w:hAnsi="Calibri" w:cs="Calibri"/>
          <w:color w:val="000000" w:themeColor="text1"/>
        </w:rPr>
        <w:t xml:space="preserve"> as an integral component of diabetes care</w:t>
      </w:r>
      <w:r w:rsidRPr="0035461C">
        <w:rPr>
          <w:rFonts w:ascii="Calibri" w:hAnsi="Calibri" w:cs="Calibri"/>
          <w:color w:val="000000" w:themeColor="text1"/>
        </w:rPr>
        <w:t>. Preferably, the diabetes care team should include a</w:t>
      </w:r>
      <w:r w:rsidR="00B5208F">
        <w:rPr>
          <w:rFonts w:ascii="Calibri" w:hAnsi="Calibri" w:cs="Calibri"/>
          <w:color w:val="000000" w:themeColor="text1"/>
        </w:rPr>
        <w:t xml:space="preserve"> mental health professional (psychiatrist,</w:t>
      </w:r>
      <w:r w:rsidRPr="0035461C">
        <w:rPr>
          <w:rFonts w:ascii="Calibri" w:hAnsi="Calibri" w:cs="Calibri"/>
          <w:color w:val="000000" w:themeColor="text1"/>
        </w:rPr>
        <w:t xml:space="preserve"> psychologist </w:t>
      </w:r>
      <w:r w:rsidR="00471BEC">
        <w:rPr>
          <w:rFonts w:ascii="Calibri" w:hAnsi="Calibri" w:cs="Calibri"/>
          <w:color w:val="000000" w:themeColor="text1"/>
        </w:rPr>
        <w:t>and/</w:t>
      </w:r>
      <w:r w:rsidRPr="0035461C">
        <w:rPr>
          <w:rFonts w:ascii="Calibri" w:hAnsi="Calibri" w:cs="Calibri"/>
          <w:color w:val="000000" w:themeColor="text1"/>
        </w:rPr>
        <w:t>or social worker</w:t>
      </w:r>
      <w:r w:rsidR="00B5208F">
        <w:rPr>
          <w:rFonts w:ascii="Calibri" w:hAnsi="Calibri" w:cs="Calibri"/>
          <w:color w:val="000000" w:themeColor="text1"/>
        </w:rPr>
        <w:t>)</w:t>
      </w:r>
      <w:r w:rsidRPr="0035461C">
        <w:rPr>
          <w:rFonts w:ascii="Calibri" w:hAnsi="Calibri" w:cs="Calibri"/>
          <w:color w:val="000000" w:themeColor="text1"/>
        </w:rPr>
        <w:t xml:space="preserve"> to advise the team and consult with people with diabetes in need of psychosocial support </w:t>
      </w:r>
      <w:r w:rsidRPr="0035461C">
        <w:rPr>
          <w:rFonts w:ascii="Calibri" w:hAnsi="Calibri" w:cs="Calibri"/>
          <w:color w:val="000000" w:themeColor="text1"/>
        </w:rPr>
        <w:fldChar w:fldCharType="begin"/>
      </w:r>
      <w:r w:rsidR="00076F77">
        <w:rPr>
          <w:rFonts w:ascii="Calibri" w:hAnsi="Calibri" w:cs="Calibri"/>
          <w:color w:val="000000" w:themeColor="text1"/>
        </w:rPr>
        <w:instrText xml:space="preserve"> ADDIN ZOTERO_ITEM CSL_CITATION {"citationID":"ehNvpHLW","properties":{"formattedCitation":"(204)","plainCitation":"(204)","noteIndex":0},"citationItems":[{"id":2369,"uris":["http://zotero.org/groups/369679/items/WLR89WSV"],"uri":["http://zotero.org/groups/369679/items/WLR89WSV"],"itemData":{"id":2369,"type":"article-journal","abstract":"Complex environmental, social, behavioral, and emotional factors, known as psychosocial factors, influence living with diabetes, both type 1 and type 2, and achieving satisfactory medical outcomes and psychological well-being. Thus, individuals with diabetes and their families are challenged with complex, multifaceted issues when integrating diabetes care into daily life. To promote optimal medical outcomes and psychological well-being, patient-centered care is essential, defined as “providing care that is respectful of and responsive to individual patient preferences, needs, and values and ensuring that patient values guide all clinical decisions” (1). Practicing personalized, patient-centered psychosocial care requires that communications and interactions, problem identification, psychosocial screening, diagnostic evaluation, and intervention services take into account the context of the person with diabetes (PWD) and the values and preferences of the PWD.\n\nThis article provides diabetes care providers with evidence-based guidelines for psychosocial assessment and care of PWD and their families. Recommendations are based on commonly used clinical models, expert consensus, and tested interventions, taking into account available resources, practice patterns, and practitioner burden. Consideration of life span and disease course factors (Fig. 1) is critical in the psychosocial care of PWD. This Position Statement focuses on the most common psychological factors affecting PWD, including diabetes distress and psychological comorbidities, while also considering the needs of special populations and the context of care.\n\n\n\nFigure 1 \nPsychosocial care for PWD: life and disease course perspectives. *With depressed mood, anxiety, or emotion and conduct disturbance. **Personality traits, coping style, maladaptive health behaviors, or stress-related physiological response. \\***|Examples include changing schools, moving, job/occupational changes, marriage or divorce, or experiencing loss.\n\n\n\n#### Recommendations","container-title":"Diabetes Care","DOI":"10.2337/dc16-2053","ISSN":"0149-5992, 1935-5548","issue":"12","language":"en","note":"PMID: 27879358","page":"2126-2140","source":"care.diabetesjournals.org","title":"Psychosocial Care for People With Diabetes: A Position Statement of the American Diabetes Association","title-short":"Psychosocial Care for People With Diabetes","volume":"39","author":[{"family":"Young-Hyman","given":"Deborah"},{"family":"Groot","given":"Mary","dropping-particle":"de"},{"family":"Hill-Briggs","given":"Felicia"},{"family":"Gonzalez","given":"Jeffrey S."},{"family":"Hood","given":"Korey"},{"family":"Peyrot","given":"Mark"}],"issued":{"date-parts":[["2016",12,1]]}}}],"schema":"https://github.com/citation-style-language/schema/raw/master/csl-citation.json"} </w:instrText>
      </w:r>
      <w:r w:rsidRPr="0035461C">
        <w:rPr>
          <w:rFonts w:ascii="Calibri" w:hAnsi="Calibri" w:cs="Calibri"/>
          <w:color w:val="000000" w:themeColor="text1"/>
        </w:rPr>
        <w:fldChar w:fldCharType="separate"/>
      </w:r>
      <w:r w:rsidR="00076F77" w:rsidRPr="00076F77">
        <w:rPr>
          <w:rFonts w:ascii="Calibri" w:hAnsi="Calibri" w:cs="Calibri"/>
        </w:rPr>
        <w:t>(204)</w:t>
      </w:r>
      <w:r w:rsidRPr="0035461C">
        <w:rPr>
          <w:rFonts w:ascii="Calibri" w:hAnsi="Calibri" w:cs="Calibri"/>
          <w:color w:val="000000" w:themeColor="text1"/>
        </w:rPr>
        <w:fldChar w:fldCharType="end"/>
      </w:r>
      <w:r w:rsidRPr="0035461C">
        <w:rPr>
          <w:rFonts w:ascii="Calibri" w:hAnsi="Calibri" w:cs="Calibri"/>
          <w:color w:val="000000" w:themeColor="text1"/>
        </w:rPr>
        <w:t>.</w:t>
      </w:r>
      <w:r w:rsidRPr="0035461C">
        <w:rPr>
          <w:rFonts w:ascii="Calibri" w:hAnsi="Calibri" w:cs="Calibri"/>
          <w:color w:val="000000" w:themeColor="text1"/>
          <w:lang w:eastAsia="nl-NL"/>
        </w:rPr>
        <w:t xml:space="preserve"> </w:t>
      </w:r>
      <w:r w:rsidRPr="0035461C">
        <w:rPr>
          <w:rFonts w:ascii="Calibri" w:hAnsi="Calibri" w:cs="Calibri"/>
          <w:color w:val="000000" w:themeColor="text1"/>
        </w:rPr>
        <w:t xml:space="preserve">Three levels of psychosocial support can be distinguished, and diabetes teams have an important role in offering diabetes self-management education and support at all three levels. </w:t>
      </w:r>
    </w:p>
    <w:p w14:paraId="67504E05" w14:textId="24E45D35" w:rsidR="00264FF0" w:rsidRPr="0035461C" w:rsidRDefault="00264FF0" w:rsidP="00264FF0">
      <w:pPr>
        <w:spacing w:before="120"/>
        <w:jc w:val="both"/>
        <w:rPr>
          <w:rFonts w:ascii="Calibri" w:hAnsi="Calibri" w:cs="Calibri"/>
          <w:color w:val="000000" w:themeColor="text1"/>
        </w:rPr>
      </w:pPr>
      <w:r w:rsidRPr="0035461C">
        <w:rPr>
          <w:rFonts w:ascii="Calibri" w:hAnsi="Calibri" w:cs="Calibri"/>
          <w:color w:val="000000" w:themeColor="text1"/>
        </w:rPr>
        <w:t xml:space="preserve">At the first level, people living with type 1 diabetes do not require professional mental health care. They may engage in self-help programs and/or receive informal coaching as well as family, peer, and community support to assist them in coping with the psychological demands of self-managing type 1 diabetes as well as socioeconomic challenges. At the second level, which concerns approximately one quarter of individuals with type 1 diabetes, some degree of professional psychosocial support is warranted. Support for social needs can be provided by a social worker and/or community organization. It is important that therapists have a good understanding of diabetes treatments and integrate diabetes management in the psychological treatment. Psychological therapies, including time-limited (online) Cognitive </w:t>
      </w:r>
      <w:proofErr w:type="spellStart"/>
      <w:r w:rsidRPr="0035461C">
        <w:rPr>
          <w:rFonts w:ascii="Calibri" w:hAnsi="Calibri" w:cs="Calibri"/>
          <w:color w:val="000000" w:themeColor="text1"/>
        </w:rPr>
        <w:t>Behavioural</w:t>
      </w:r>
      <w:proofErr w:type="spellEnd"/>
      <w:r w:rsidRPr="0035461C">
        <w:rPr>
          <w:rFonts w:ascii="Calibri" w:hAnsi="Calibri" w:cs="Calibri"/>
          <w:color w:val="000000" w:themeColor="text1"/>
        </w:rPr>
        <w:t xml:space="preserve"> Therapy (CBT), mindfulness and interpersonal therapies are effective with regard to a range of psychological outcomes, including diabetes distress and depression. The effects of psychotherapy on glycaemic levels are generally small but tend to increase when diabetes self-management education is incorporated in the treatment </w:t>
      </w:r>
      <w:r w:rsidRPr="0035461C">
        <w:rPr>
          <w:rFonts w:ascii="Calibri" w:hAnsi="Calibri" w:cs="Calibri"/>
          <w:color w:val="000000" w:themeColor="text1"/>
        </w:rPr>
        <w:fldChar w:fldCharType="begin"/>
      </w:r>
      <w:r w:rsidR="00076F77">
        <w:rPr>
          <w:rFonts w:ascii="Calibri" w:hAnsi="Calibri" w:cs="Calibri"/>
          <w:color w:val="000000" w:themeColor="text1"/>
        </w:rPr>
        <w:instrText xml:space="preserve"> ADDIN ZOTERO_ITEM CSL_CITATION {"citationID":"QvPfE3ur","properties":{"formattedCitation":"(205)","plainCitation":"(205)","noteIndex":0},"citationItems":[{"id":11330,"uris":["http://zotero.org/groups/369679/items/MDM7AEFN"],"uri":["http://zotero.org/groups/369679/items/MDM7AEFN"],"itemData":{"id":11330,"type":"article-journal","abstract":"BACKGROUND: Comorbid depression in diabetes is highly prevalent, negatively impacting well-being and diabetes control. How depression in diabetes is best treated is unknown.\nOBJECTIVE: This systematic review and meta-analysis aims to establish the effectiveness of existing anti-depressant therapies in diabetes.\nMETHODS: DATA SOURCES: PubMed, Psycinfo, Embase and Cochrane library. Study eligibility criteria, participants, interventions: randomized controlled trials (RCTs) evaluating the outcome of treatment by psychotherapy, pharmacotherapy or collaborative care of depression in persons with Type 1 and Type 2 diabetes mellitus.\nSTUDY APPRAISAL: risk of bias assessment; data extraction. Synthesis methods: data synthesis, random model meta analysis and publication bias analysis.\nRESULTS: Meta analysis of 14 RCTs with a total of 1724 patients show that treatment is effective in terms of reduction of depressive symptoms: -0.512; 95% CI -0.633 to -0.390. The combined effect of all interventions on clinical impact is moderate, -0.370; 95% CI -0.470 to -0.271; it is large for psychotherapeutic interventions that are often combined with diabetes self management: -0.581; 95% CI -0.770 to -0.391, n=310 and moderate for pharmacological treatment: -0.467; 95% CI -0.665 to -0.270, n=281. Delivery of collaborative care, which provided a stepped care intervention with a choice of starting with psychotherapy or pharmacotherapy, to a primary care population, yielded an effect size of -0.292; 95% CI -0.429 to -0.155, n=1133; indicating the effect size that can be attained on a population scale. Pharmacotherapy and collaborative care aimed at and succeeded in the reduction of depressive symptoms but, apart from sertraline, had no effect on glycemic control.\nLIMITATIONS: amongst others, the number of RCTs is small.\nCONCLUSION: The treatment of depression in people with diabetes is a necessary step, but improvement of the general medical condition including glycemic control is likely to require simultaneous attention to both conditions. Further research is needed.","container-title":"General Hospital Psychiatry","DOI":"10.1016/j.genhosppsych.2010.03.011","ISSN":"1873-7714","issue":"4","journalAbbreviation":"Gen Hosp Psychiatry","language":"eng","note":"PMID: 20633742","page":"380-395","source":"PubMed","title":"Effect of interventions for major depressive disorder and significant depressive symptoms in patients with diabetes mellitus: a systematic review and meta-analysis","title-short":"Effect of interventions for major depressive disorder and significant depressive symptoms in patients with diabetes mellitus","volume":"32","author":[{"family":"Feltz-Cornelis","given":"Christina M.","non-dropping-particle":"van der"},{"family":"Nuyen","given":"Jasper"},{"family":"Stoop","given":"Corinne"},{"family":"Chan","given":"Juliana"},{"family":"Jacobson","given":"Alan M."},{"family":"Katon","given":"Wayne"},{"family":"Snoek","given":"Frank"},{"family":"Sartorius","given":"Norman"}],"issued":{"date-parts":[["2010",8]]}}}],"schema":"https://github.com/citation-style-language/schema/raw/master/csl-citation.json"} </w:instrText>
      </w:r>
      <w:r w:rsidRPr="0035461C">
        <w:rPr>
          <w:rFonts w:ascii="Calibri" w:hAnsi="Calibri" w:cs="Calibri"/>
          <w:color w:val="000000" w:themeColor="text1"/>
        </w:rPr>
        <w:fldChar w:fldCharType="separate"/>
      </w:r>
      <w:r w:rsidR="00076F77" w:rsidRPr="00076F77">
        <w:rPr>
          <w:rFonts w:ascii="Calibri" w:hAnsi="Calibri" w:cs="Calibri"/>
        </w:rPr>
        <w:t>(205)</w:t>
      </w:r>
      <w:r w:rsidRPr="0035461C">
        <w:rPr>
          <w:rFonts w:ascii="Calibri" w:hAnsi="Calibri" w:cs="Calibri"/>
          <w:color w:val="000000" w:themeColor="text1"/>
        </w:rPr>
        <w:fldChar w:fldCharType="end"/>
      </w:r>
      <w:r w:rsidRPr="0035461C">
        <w:rPr>
          <w:rFonts w:ascii="Calibri" w:hAnsi="Calibri" w:cs="Calibri"/>
          <w:color w:val="000000" w:themeColor="text1"/>
        </w:rPr>
        <w:t xml:space="preserve">. Approximately 5% of the adults with type 1 diabetes are in need of psychiatric treatment (level 3), which may involve psychotropic medication that can impact glycaemic management. Psychiatric comorbidities, such as anorexia nervosa and schizophrenia, require close collaboration between the mental health specialist and diabetes care team </w:t>
      </w:r>
      <w:r w:rsidRPr="0035461C">
        <w:rPr>
          <w:rFonts w:ascii="Calibri" w:hAnsi="Calibri" w:cs="Calibri"/>
          <w:color w:val="000000" w:themeColor="text1"/>
        </w:rPr>
        <w:fldChar w:fldCharType="begin"/>
      </w:r>
      <w:r w:rsidR="00076F77">
        <w:rPr>
          <w:rFonts w:ascii="Calibri" w:hAnsi="Calibri" w:cs="Calibri"/>
          <w:color w:val="000000" w:themeColor="text1"/>
        </w:rPr>
        <w:instrText xml:space="preserve"> ADDIN ZOTERO_ITEM CSL_CITATION {"citationID":"eqQPzp8w","properties":{"formattedCitation":"(206,207)","plainCitation":"(206,207)","noteIndex":0},"citationItems":[{"id":2877,"uris":["http://zotero.org/groups/369679/items/EIUUIILL"],"uri":["http://zotero.org/groups/369679/items/EIUUIILL"],"itemData":{"id":2877,"type":"article-journal","abstract":"People with severe mental illnesses, such as schizophrenia, depression or bipolar disorder, have worse physical health and reduced life expectancy compared to the general population. The excess cardiovascular mortality associated with schizophrenia and bipolar disorder is attributed in part to an increased risk of the modifiable coronary heart disease risk factors; obesity, smoking, diabetes, hypertension and dyslipidaemia. Antipsychotic medication and possibly other psychotropic medication like antidepressants can induce weight gain or worsen other metabolic cardiovascular risk factors. Patients may have limited access to general healthcare with less opportunity for cardiovascular risk screening and prevention than would be expected in a non-psychiatric population. The European Psychiatric Association (EPA), supported by the European Association for the Study of Diabetes (EASD) and the European Society of Cardiology (ESC) published this statement with the aim of improving the care of patients suffering from severe mental illness. The intention is to initiate cooperation and shared care between the different healthcare professionals and to increase the awareness of psychiatrists and primary care physicians caring for patients with severe mental illness to screen and treat cardiovascular risk factors and diabetes.","container-title":"European Psychiatry: The Journal of the Association of European Psychiatrists","DOI":"10.1016/j.eurpsy.2009.01.005","ISSN":"0924-9338","issue":"6","journalAbbreviation":"Eur. Psychiatry","language":"eng","note":"PMID: 19682863","page":"412-424","source":"PubMed","title":"Cardiovascular disease and diabetes in people with severe mental illness position statement from the European Psychiatric Association (EPA), supported by the European Association for the Study of Diabetes (EASD) and the European Society of Cardiology (ESC)","volume":"24","author":[{"family":"De Hert","given":"M."},{"family":"Dekker","given":"J. M."},{"family":"Wood","given":"D."},{"family":"Kahl","given":"K. G."},{"family":"Holt","given":"R. I. G."},{"family":"Möller","given":"H.-J."}],"issued":{"date-parts":[["2009",9]]}}},{"id":11466,"uris":["http://zotero.org/groups/369679/items/8WPJLWW4"],"uri":["http://zotero.org/groups/369679/items/8WPJLWW4"],"itemData":{"id":11466,"type":"article-journal","abstract":"OBJECTIVES: People with severe mental illness (SMI) have a 2- to 3-fold higher risk of developing type 2 diabetes (DM), an increased risk of subsequent DM complications, higher mortality and poorer health-related quality of life. Although mental health professionals have an important role in supporting people with SMI in diabetes management, their primary focus is often on mental health, not physical conditions. Few studies have investigated patients' experiences of living with coexisting SMI and DM to identify their needs for diabetes support from mental health professionals.\nMETHODS: Semistructured interviews were conducted with 15 adults with SMI and DM. Interviews were transcribed and analyzed using systematic text condensation.\nRESULTS: Five themes emerged from the data: 1) mental illness overshadows diabetes management, 2) mental state substantially influences diabetes care, 3) daily diabetes routines are challenging to maintain, 4) diabetes is burdensome and 5) dialogue about diabetes with mental health professionals is infrequent.\nCONCLUSIONS: Self-managing DM is extremely complex for patients who also live with SMI. Diabetes care is strongly influenced by emotional and mental states and the ability to establish daily routines. A need exists to enhance support from mental health professionals to improve DM self-management among people with mental illness. The present findings can inform the development of tailored interventions to support people with mental illness in DM self-management.","container-title":"Canadian Journal of Diabetes","DOI":"10.1016/j.jcjd.2020.02.006","ISSN":"2352-3840","issue":"6","journalAbbreviation":"Can J Diabetes","language":"eng","note":"PMID: 32507647","page":"494-500","source":"PubMed","title":"\"Mental Health Professionals Have Never Mentioned My Diabetes, They Don't Get Into That\": A Qualitative Study of Support Needs in Adults With Type 1 and Type 2 Diabetes and Severe Mental Illness","title-short":"Mental Health Professionals Have Never Mentioned My Diabetes, They Don't Get Into That","volume":"44","author":[{"family":"Stenov","given":"Vibeke"},{"family":"Joensen","given":"Lene Eide"},{"family":"Knudsen","given":"Lenette"},{"family":"Lindqvist Hansen","given":"Dorte"},{"family":"Willaing Tapager","given":"Ingrid"}],"issued":{"date-parts":[["2020",8]]}}}],"schema":"https://github.com/citation-style-language/schema/raw/master/csl-citation.json"} </w:instrText>
      </w:r>
      <w:r w:rsidRPr="0035461C">
        <w:rPr>
          <w:rFonts w:ascii="Calibri" w:hAnsi="Calibri" w:cs="Calibri"/>
          <w:color w:val="000000" w:themeColor="text1"/>
        </w:rPr>
        <w:fldChar w:fldCharType="separate"/>
      </w:r>
      <w:r w:rsidR="00076F77" w:rsidRPr="00076F77">
        <w:rPr>
          <w:rFonts w:ascii="Calibri" w:hAnsi="Calibri" w:cs="Calibri"/>
        </w:rPr>
        <w:t>(206,207)</w:t>
      </w:r>
      <w:r w:rsidRPr="0035461C">
        <w:rPr>
          <w:rFonts w:ascii="Calibri" w:hAnsi="Calibri" w:cs="Calibri"/>
          <w:color w:val="000000" w:themeColor="text1"/>
        </w:rPr>
        <w:fldChar w:fldCharType="end"/>
      </w:r>
      <w:r w:rsidRPr="0035461C">
        <w:rPr>
          <w:rFonts w:ascii="Calibri" w:hAnsi="Calibri" w:cs="Calibri"/>
          <w:color w:val="000000" w:themeColor="text1"/>
        </w:rPr>
        <w:t>.</w:t>
      </w:r>
    </w:p>
    <w:p w14:paraId="6A945C89" w14:textId="77777777" w:rsidR="00264FF0" w:rsidRPr="0035461C" w:rsidRDefault="00264FF0" w:rsidP="001C5BC0">
      <w:pPr>
        <w:spacing w:before="120"/>
        <w:jc w:val="both"/>
        <w:rPr>
          <w:rFonts w:ascii="Calibri" w:hAnsi="Calibri" w:cs="Calibri"/>
          <w:b/>
          <w:bCs/>
        </w:rPr>
      </w:pPr>
    </w:p>
    <w:p w14:paraId="72DE9C06" w14:textId="04928867" w:rsidR="00567D76" w:rsidRPr="0035461C" w:rsidRDefault="00A42893" w:rsidP="001C5BC0">
      <w:pPr>
        <w:spacing w:before="120"/>
        <w:jc w:val="both"/>
        <w:rPr>
          <w:rFonts w:ascii="Calibri" w:hAnsi="Calibri" w:cs="Calibri"/>
          <w:b/>
          <w:bCs/>
        </w:rPr>
      </w:pPr>
      <w:r w:rsidRPr="0035461C">
        <w:rPr>
          <w:rFonts w:ascii="Calibri" w:hAnsi="Calibri" w:cs="Calibri"/>
          <w:b/>
          <w:bCs/>
        </w:rPr>
        <w:t xml:space="preserve">Section </w:t>
      </w:r>
      <w:r w:rsidR="00264FF0" w:rsidRPr="0035461C">
        <w:rPr>
          <w:rFonts w:ascii="Calibri" w:hAnsi="Calibri" w:cs="Calibri"/>
          <w:b/>
          <w:bCs/>
        </w:rPr>
        <w:t>11</w:t>
      </w:r>
      <w:r w:rsidRPr="0035461C">
        <w:rPr>
          <w:rFonts w:ascii="Calibri" w:hAnsi="Calibri" w:cs="Calibri"/>
          <w:b/>
          <w:bCs/>
        </w:rPr>
        <w:t xml:space="preserve">: </w:t>
      </w:r>
      <w:r w:rsidR="00910721" w:rsidRPr="0035461C">
        <w:rPr>
          <w:rFonts w:ascii="Calibri" w:hAnsi="Calibri" w:cs="Calibri"/>
          <w:b/>
          <w:bCs/>
        </w:rPr>
        <w:t>Diabetic Ketoacidosis</w:t>
      </w:r>
    </w:p>
    <w:p w14:paraId="61148C16" w14:textId="477AA9C9" w:rsidR="00567D76" w:rsidRPr="0035461C" w:rsidRDefault="00567D76" w:rsidP="001C5BC0">
      <w:pPr>
        <w:spacing w:before="120"/>
        <w:jc w:val="both"/>
        <w:rPr>
          <w:rFonts w:ascii="Calibri" w:hAnsi="Calibri" w:cs="Calibri"/>
        </w:rPr>
      </w:pPr>
      <w:r w:rsidRPr="0035461C">
        <w:rPr>
          <w:rFonts w:ascii="Calibri" w:hAnsi="Calibri" w:cs="Calibri"/>
        </w:rPr>
        <w:t>Diabetic ketoacidosis (DKA) is a life-threatening but preventable acute complication of type 1 diabetes, characterized by hyperglyc</w:t>
      </w:r>
      <w:r w:rsidR="006E5484" w:rsidRPr="0035461C">
        <w:rPr>
          <w:rFonts w:ascii="Calibri" w:hAnsi="Calibri" w:cs="Calibri"/>
        </w:rPr>
        <w:t>a</w:t>
      </w:r>
      <w:r w:rsidRPr="0035461C">
        <w:rPr>
          <w:rFonts w:ascii="Calibri" w:hAnsi="Calibri" w:cs="Calibri"/>
        </w:rPr>
        <w:t xml:space="preserve">emia, metabolic acidosis, and ketosis. </w:t>
      </w:r>
      <w:r w:rsidR="0019450E" w:rsidRPr="0035461C">
        <w:rPr>
          <w:rFonts w:ascii="Calibri" w:hAnsi="Calibri" w:cs="Calibri"/>
        </w:rPr>
        <w:t xml:space="preserve">There are times when the glucose levels are normal or only minimally elevated. </w:t>
      </w:r>
      <w:r w:rsidRPr="0035461C">
        <w:rPr>
          <w:rFonts w:ascii="Calibri" w:hAnsi="Calibri" w:cs="Calibri"/>
        </w:rPr>
        <w:t xml:space="preserve">The underlying cause is insulin deficiency, either absolute (new diagnosis of type 1 diabetes or omission of insulin in those with diagnosed disease) or relative (increased counter-regulatory hormones due to infection or other stressors without </w:t>
      </w:r>
      <w:r w:rsidR="006E5484" w:rsidRPr="0035461C">
        <w:rPr>
          <w:rFonts w:ascii="Calibri" w:hAnsi="Calibri" w:cs="Calibri"/>
        </w:rPr>
        <w:t xml:space="preserve">an </w:t>
      </w:r>
      <w:r w:rsidRPr="0035461C">
        <w:rPr>
          <w:rFonts w:ascii="Calibri" w:hAnsi="Calibri" w:cs="Calibri"/>
        </w:rPr>
        <w:t xml:space="preserve">adequate increase in insulin doses). </w:t>
      </w:r>
    </w:p>
    <w:p w14:paraId="6C4F1636" w14:textId="66257AF9" w:rsidR="00567D76" w:rsidRPr="0035461C" w:rsidRDefault="00567D76" w:rsidP="001C5BC0">
      <w:pPr>
        <w:spacing w:before="120"/>
        <w:jc w:val="both"/>
        <w:rPr>
          <w:rFonts w:ascii="Calibri" w:hAnsi="Calibri" w:cs="Calibri"/>
        </w:rPr>
      </w:pPr>
      <w:r w:rsidRPr="0035461C">
        <w:rPr>
          <w:rFonts w:ascii="Calibri" w:hAnsi="Calibri" w:cs="Calibri"/>
        </w:rPr>
        <w:t>The prevalence of DKA and risk factors for the complication have been less well studied in adults with type 1 diabetes than in children. In the U</w:t>
      </w:r>
      <w:r w:rsidR="00F35525">
        <w:rPr>
          <w:rFonts w:ascii="Calibri" w:hAnsi="Calibri" w:cs="Calibri"/>
        </w:rPr>
        <w:t>.</w:t>
      </w:r>
      <w:r w:rsidRPr="0035461C">
        <w:rPr>
          <w:rFonts w:ascii="Calibri" w:hAnsi="Calibri" w:cs="Calibri"/>
        </w:rPr>
        <w:t>S</w:t>
      </w:r>
      <w:r w:rsidR="00F35525">
        <w:rPr>
          <w:rFonts w:ascii="Calibri" w:hAnsi="Calibri" w:cs="Calibri"/>
        </w:rPr>
        <w:t>.</w:t>
      </w:r>
      <w:r w:rsidRPr="0035461C">
        <w:rPr>
          <w:rFonts w:ascii="Calibri" w:hAnsi="Calibri" w:cs="Calibri"/>
        </w:rPr>
        <w:t xml:space="preserve">, national surveillance of emergency department visits and hospital admissions suggests a rate of 28 cases per 1000 adults with diabetes per year, with a worrisome increase in </w:t>
      </w:r>
      <w:r w:rsidR="006E5484" w:rsidRPr="0035461C">
        <w:rPr>
          <w:rFonts w:ascii="Calibri" w:hAnsi="Calibri" w:cs="Calibri"/>
        </w:rPr>
        <w:t>emergency department</w:t>
      </w:r>
      <w:r w:rsidRPr="0035461C">
        <w:rPr>
          <w:rFonts w:ascii="Calibri" w:hAnsi="Calibri" w:cs="Calibri"/>
        </w:rPr>
        <w:t xml:space="preserve"> visits and admissions for DKA seen since 2009</w:t>
      </w:r>
      <w:r w:rsidR="0047447F" w:rsidRPr="0035461C">
        <w:rPr>
          <w:rFonts w:ascii="Calibri" w:hAnsi="Calibri" w:cs="Calibri"/>
        </w:rPr>
        <w:t xml:space="preserve"> </w:t>
      </w:r>
      <w:r w:rsidR="00AC743F" w:rsidRPr="0035461C">
        <w:rPr>
          <w:rFonts w:ascii="Calibri" w:hAnsi="Calibri" w:cs="Calibri"/>
        </w:rPr>
        <w:fldChar w:fldCharType="begin"/>
      </w:r>
      <w:r w:rsidR="00076F77">
        <w:rPr>
          <w:rFonts w:ascii="Calibri" w:hAnsi="Calibri" w:cs="Calibri"/>
        </w:rPr>
        <w:instrText xml:space="preserve"> ADDIN ZOTERO_ITEM CSL_CITATION {"citationID":"B2AUMzER","properties":{"formattedCitation":"(208)","plainCitation":"(208)","noteIndex":0},"citationItems":[{"id":11108,"uris":["http://zotero.org/groups/369679/items/DFWCPWZ5"],"uri":["http://zotero.org/groups/369679/items/DFWCPWZ5"],"itemData":{"id":11108,"type":"article-journal","abstract":"OBJECTIVE: To report U.S. national population-based rates and trends in diabetic ketoacidosis (DKA) and hyperglycemic hyperosmolar state (HHS) among adults, in both the emergency department (ED) and inpatient settings.\nRESEARCH DESIGN AND METHODS: We analyzed data from 1 January 2006 through 30 September 2015 from the Nationwide Emergency Department Sample and National Inpatient Sample to characterize ED visits and inpatient admissions with DKA and HHS. We used corresponding year cross-sectional survey data from the National Health Interview Survey to estimate the number of adults ≥18 years with diagnosed diabetes to calculate population-based rates for DKA and HHS in both ED and inpatient settings. Linear trends from 2009 to 2015 were assessed using Joinpoint software.\nRESULTS: In 2014, there were a total of 184,255 and 27,532 events for DKA and HHS, respectively. The majority of DKA events occurred in young adults aged 18-44 years (61.7%) and in adults with type 1 diabetes (70.6%), while HHS events were more prominent in middle-aged adults 45-64 years (47.5%) and in adults with type 2 diabetes (88.1%). Approximately 40% of the hyperglycemic events were in lower-income populations. Overall, event rates for DKA significantly increased from 2009 to 2015 in both ED (annual percentage change [APC] 13.5%) and inpatient settings (APC 8.3%). A similar trend was seen for HHS (APC 16.5% in ED and 6.3% in inpatient). The increase was in all age-groups and in both men and women.\nCONCLUSIONS: Causes of increased rates of hyperglycemic events are unknown. More detailed data are needed to investigate the etiology and determine prevention strategies.","container-title":"Diabetes Care","DOI":"10.2337/dc19-2449","ISSN":"1935-5548","issue":"5","journalAbbreviation":"Diabetes Care","language":"eng","note":"PMID: 32161050\nPMCID: PMC7171947","page":"1057-1064","source":"PubMed","title":"Trends in Emergency Department Visits and Inpatient Admissions for Hyperglycemic Crises in Adults With Diabetes in the U.S., 2006-2015","volume":"43","author":[{"family":"Benoit","given":"Stephen R."},{"family":"Hora","given":"Israel"},{"family":"Pasquel","given":"Francisco J."},{"family":"Gregg","given":"Edward W."},{"family":"Albright","given":"Ann L."},{"family":"Imperatore","given":"Giuseppina"}],"issued":{"date-parts":[["2020",5]]}}}],"schema":"https://github.com/citation-style-language/schema/raw/master/csl-citation.json"} </w:instrText>
      </w:r>
      <w:r w:rsidR="00AC743F" w:rsidRPr="0035461C">
        <w:rPr>
          <w:rFonts w:ascii="Calibri" w:hAnsi="Calibri" w:cs="Calibri"/>
        </w:rPr>
        <w:fldChar w:fldCharType="separate"/>
      </w:r>
      <w:r w:rsidR="00076F77" w:rsidRPr="00076F77">
        <w:rPr>
          <w:rFonts w:ascii="Calibri" w:hAnsi="Calibri" w:cs="Calibri"/>
        </w:rPr>
        <w:t>(208)</w:t>
      </w:r>
      <w:r w:rsidR="00AC743F" w:rsidRPr="0035461C">
        <w:rPr>
          <w:rFonts w:ascii="Calibri" w:hAnsi="Calibri" w:cs="Calibri"/>
        </w:rPr>
        <w:fldChar w:fldCharType="end"/>
      </w:r>
      <w:r w:rsidR="0047447F" w:rsidRPr="0035461C">
        <w:rPr>
          <w:rFonts w:ascii="Calibri" w:hAnsi="Calibri" w:cs="Calibri"/>
        </w:rPr>
        <w:t>.</w:t>
      </w:r>
      <w:r w:rsidRPr="0035461C">
        <w:rPr>
          <w:rFonts w:ascii="Calibri" w:hAnsi="Calibri" w:cs="Calibri"/>
        </w:rPr>
        <w:t xml:space="preserve"> The U.S. Type 1 Diabetes Exchange Clinic Network reported that 4.8% of participants (age 26 to 93 years) had been hospitalized for DKA in the prior year </w:t>
      </w:r>
      <w:r w:rsidR="00957DEC" w:rsidRPr="0035461C">
        <w:rPr>
          <w:rFonts w:ascii="Calibri" w:hAnsi="Calibri" w:cs="Calibri"/>
        </w:rPr>
        <w:fldChar w:fldCharType="begin"/>
      </w:r>
      <w:r w:rsidR="00076F77">
        <w:rPr>
          <w:rFonts w:ascii="Calibri" w:hAnsi="Calibri" w:cs="Calibri"/>
        </w:rPr>
        <w:instrText xml:space="preserve"> ADDIN ZOTERO_ITEM CSL_CITATION {"citationID":"qIwwHDs0","properties":{"formattedCitation":"(41,209)","plainCitation":"(41,209)","noteIndex":0},"citationItems":[{"id":11012,"uris":["http://zotero.org/groups/369679/items/4WPLFB37"],"uri":["http://zotero.org/groups/369679/items/4WPLFB37"],"itemData":{"id":11012,"type":"article-journal","abstract":"CONTEXT: Few studies have assessed factors associated with severe hypoglycemia (SH) and diabetic ketoacidosis (DKA) in adults with type 1 diabetes (T1D).\nOBJECTIVE: Our objective was to determine frequency of and factors associated with the occurrence of SH and DKA in adults with T1D.\nDESIGN AND SETTING: We conducted a cross-sectional analysis from the T1D Exchange clinic registry at 70 U.S. endocrinology centers.\nPATIENTS: Analysis included 7012 participants in the T1D Exchange clinic registry aged 26 to 93 years old with T1D for ≥2 years.\nRESULTS: Higher frequencies of SH and DKA were associated with lower socioeconomic status (P &lt; .001). SH was strongly associated with diabetes duration (P &lt; .001), with 18.6% of those with diabetes ≥40 years having an event in the past 12 months. SH frequency was lowest in those with hemoglobin A1c (HbA1c) levels of 7.0% (53 mmol/mol) to 7.5% (58 mmol/mol), being higher in those with HbA1c levels &lt;7.0% (&lt;53 mmol/mol) or &gt;7.5% (&gt;58 mmol/mol). DKA frequency increased with higher HbA1c levels (P &lt; .001), with 21.0% of those with HbA1c ≥10.0% (≥86 mmol/mol) having an event in the past 12 months.\nCONCLUSIONS: SH and DKA are more common in those with lower socioeconomic status. DKA, most common in those with HbA1c ≥10.0% (≥86 mmol/mol), should be largely preventable. In contrast, SH, most frequent with diabetes ≥40 years duration, cannot be abolished given the limitation of current therapies. To reduce SH in adults with longstanding diabetes, consideration should be given to modifying HbA1c goals, particularly in patients with very low HbA1c levels.","container-title":"The Journal of Clinical Endocrinology and Metabolism","DOI":"10.1210/jc.2013-1589","ISSN":"1945-7197","issue":"8","journalAbbreviation":"J Clin Endocrinol Metab","language":"eng","note":"PMID: 23760624","page":"3411-3419","source":"PubMed","title":"Severe hypoglycemia and diabetic ketoacidosis in adults with type 1 diabetes: results from the T1D Exchange clinic registry","title-short":"Severe hypoglycemia and diabetic ketoacidosis in adults with type 1 diabetes","volume":"98","author":[{"family":"Weinstock","given":"Ruth S."},{"family":"Xing","given":"Dongyuan"},{"family":"Maahs","given":"David M."},{"family":"Michels","given":"Aaron"},{"family":"Rickels","given":"Michael R."},{"family":"Peters","given":"Anne L."},{"family":"Bergenstal","given":"Richard M."},{"family":"Harris","given":"Breanne"},{"family":"Dubose","given":"Stephanie N."},{"family":"Miller","given":"Kellee M."},{"family":"Beck","given":"Roy W."},{"literal":"T1D Exchange Clinic Network"}],"issued":{"date-parts":[["2013",8]]}}},{"id":11111,"uris":["http://zotero.org/groups/369679/items/C4KXMHQF"],"uri":["http://zotero.org/groups/369679/items/C4KXMHQF"],"itemData":{"id":11111,"type":"article-journal","container-title":"Diabetes Care","DOI":"10.2337/dc18-1160","ISSN":"1935-5548","issue":"3","journalAbbreviation":"Diabetes Care","language":"eng","note":"PMID: 30655381","page":"e34-e36","source":"PubMed","title":"Event Rates and Risk Factors for the Development of Diabetic Ketoacidosis in Adult Patients With Type 1 Diabetes: Analysis From the DPV Registry Based on 46,966 Patients","title-short":"Event Rates and Risk Factors for the Development of Diabetic Ketoacidosis in Adult Patients With Type 1 Diabetes","volume":"42","author":[{"family":"Kalscheuer","given":"Hannes"},{"family":"Seufert","given":"Jochen"},{"family":"Lanzinger","given":"Stefanie"},{"family":"Rosenbauer","given":"Joachim"},{"family":"Karges","given":"Wolfram"},{"family":"Bergis","given":"Dominik"},{"family":"Mader","given":"Julia K."},{"family":"Zimny","given":"Stefan"},{"family":"Schmid","given":"Sebastian M."},{"family":"Hummel","given":"Michael"},{"family":"Kerner","given":"Wolfgang"},{"family":"Holl","given":"Reinhard W."},{"literal":"DPV Initiative"}],"issued":{"date-parts":[["2019",3]]}}}],"schema":"https://github.com/citation-style-language/schema/raw/master/csl-citation.json"} </w:instrText>
      </w:r>
      <w:r w:rsidR="00957DEC" w:rsidRPr="0035461C">
        <w:rPr>
          <w:rFonts w:ascii="Calibri" w:hAnsi="Calibri" w:cs="Calibri"/>
        </w:rPr>
        <w:fldChar w:fldCharType="separate"/>
      </w:r>
      <w:r w:rsidR="00076F77" w:rsidRPr="00076F77">
        <w:rPr>
          <w:rFonts w:ascii="Calibri" w:hAnsi="Calibri" w:cs="Calibri"/>
        </w:rPr>
        <w:t>(41,209)</w:t>
      </w:r>
      <w:r w:rsidR="00957DEC" w:rsidRPr="0035461C">
        <w:rPr>
          <w:rFonts w:ascii="Calibri" w:hAnsi="Calibri" w:cs="Calibri"/>
        </w:rPr>
        <w:fldChar w:fldCharType="end"/>
      </w:r>
      <w:r w:rsidR="0047447F" w:rsidRPr="0035461C">
        <w:rPr>
          <w:rFonts w:ascii="Calibri" w:hAnsi="Calibri" w:cs="Calibri"/>
        </w:rPr>
        <w:t>.</w:t>
      </w:r>
      <w:r w:rsidRPr="0035461C">
        <w:rPr>
          <w:rFonts w:ascii="Calibri" w:hAnsi="Calibri" w:cs="Calibri"/>
        </w:rPr>
        <w:t xml:space="preserve"> In a European (predominantly Germany and Austria) registry, adults with type 1 diabetes had DKA at a rate of 2.5 per </w:t>
      </w:r>
      <w:r w:rsidR="0047447F" w:rsidRPr="0035461C">
        <w:rPr>
          <w:rFonts w:ascii="Calibri" w:hAnsi="Calibri" w:cs="Calibri"/>
        </w:rPr>
        <w:t>100</w:t>
      </w:r>
      <w:r w:rsidRPr="0035461C">
        <w:rPr>
          <w:rFonts w:ascii="Calibri" w:hAnsi="Calibri" w:cs="Calibri"/>
        </w:rPr>
        <w:t xml:space="preserve"> patient years</w:t>
      </w:r>
      <w:r w:rsidR="0047447F" w:rsidRPr="0035461C">
        <w:rPr>
          <w:rFonts w:ascii="Calibri" w:hAnsi="Calibri" w:cs="Calibri"/>
        </w:rPr>
        <w:t xml:space="preserve"> </w:t>
      </w:r>
      <w:r w:rsidR="008D7E9A" w:rsidRPr="0035461C">
        <w:rPr>
          <w:rFonts w:ascii="Calibri" w:hAnsi="Calibri" w:cs="Calibri"/>
        </w:rPr>
        <w:fldChar w:fldCharType="begin"/>
      </w:r>
      <w:r w:rsidR="00076F77">
        <w:rPr>
          <w:rFonts w:ascii="Calibri" w:hAnsi="Calibri" w:cs="Calibri"/>
        </w:rPr>
        <w:instrText xml:space="preserve"> ADDIN ZOTERO_ITEM CSL_CITATION {"citationID":"Jaq8Q7Nd","properties":{"formattedCitation":"(209)","plainCitation":"(209)","noteIndex":0},"citationItems":[{"id":11111,"uris":["http://zotero.org/groups/369679/items/C4KXMHQF"],"uri":["http://zotero.org/groups/369679/items/C4KXMHQF"],"itemData":{"id":11111,"type":"article-journal","container-title":"Diabetes Care","DOI":"10.2337/dc18-1160","ISSN":"1935-5548","issue":"3","journalAbbreviation":"Diabetes Care","language":"eng","note":"PMID: 30655381","page":"e34-e36","source":"PubMed","title":"Event Rates and Risk Factors for the Development of Diabetic Ketoacidosis in Adult Patients With Type 1 Diabetes: Analysis From the DPV Registry Based on 46,966 Patients","title-short":"Event Rates and Risk Factors for the Development of Diabetic Ketoacidosis in Adult Patients With Type 1 Diabetes","volume":"42","author":[{"family":"Kalscheuer","given":"Hannes"},{"family":"Seufert","given":"Jochen"},{"family":"Lanzinger","given":"Stefanie"},{"family":"Rosenbauer","given":"Joachim"},{"family":"Karges","given":"Wolfram"},{"family":"Bergis","given":"Dominik"},{"family":"Mader","given":"Julia K."},{"family":"Zimny","given":"Stefan"},{"family":"Schmid","given":"Sebastian M."},{"family":"Hummel","given":"Michael"},{"family":"Kerner","given":"Wolfgang"},{"family":"Holl","given":"Reinhard W."},{"literal":"DPV Initiative"}],"issued":{"date-parts":[["2019",3]]}}}],"schema":"https://github.com/citation-style-language/schema/raw/master/csl-citation.json"} </w:instrText>
      </w:r>
      <w:r w:rsidR="008D7E9A" w:rsidRPr="0035461C">
        <w:rPr>
          <w:rFonts w:ascii="Calibri" w:hAnsi="Calibri" w:cs="Calibri"/>
        </w:rPr>
        <w:fldChar w:fldCharType="separate"/>
      </w:r>
      <w:r w:rsidR="00076F77" w:rsidRPr="00076F77">
        <w:rPr>
          <w:rFonts w:ascii="Calibri" w:hAnsi="Calibri" w:cs="Calibri"/>
        </w:rPr>
        <w:t>(209)</w:t>
      </w:r>
      <w:r w:rsidR="008D7E9A" w:rsidRPr="0035461C">
        <w:rPr>
          <w:rFonts w:ascii="Calibri" w:hAnsi="Calibri" w:cs="Calibri"/>
        </w:rPr>
        <w:fldChar w:fldCharType="end"/>
      </w:r>
      <w:r w:rsidR="0047447F" w:rsidRPr="0035461C">
        <w:rPr>
          <w:rFonts w:ascii="Calibri" w:hAnsi="Calibri" w:cs="Calibri"/>
        </w:rPr>
        <w:t>.</w:t>
      </w:r>
    </w:p>
    <w:p w14:paraId="3113F6E0" w14:textId="641380C4" w:rsidR="00567D76" w:rsidRPr="0035461C" w:rsidRDefault="00567D76" w:rsidP="001C5BC0">
      <w:pPr>
        <w:spacing w:before="120"/>
        <w:jc w:val="both"/>
        <w:rPr>
          <w:rFonts w:ascii="Calibri" w:hAnsi="Calibri" w:cs="Calibri"/>
        </w:rPr>
      </w:pPr>
      <w:r w:rsidRPr="0035461C">
        <w:rPr>
          <w:rFonts w:ascii="Calibri" w:hAnsi="Calibri" w:cs="Calibri"/>
          <w:iCs/>
        </w:rPr>
        <w:t>As DKA occurs repeatedly in some persons with diabetes, risk factors should be identified and approached in a prevention strategy. Some known risk factors are non-modifiable, such as low socioeconomic status, younger age, female sex, and ethnicity</w:t>
      </w:r>
      <w:r w:rsidR="0047447F" w:rsidRPr="0035461C">
        <w:rPr>
          <w:rFonts w:ascii="Calibri" w:hAnsi="Calibri" w:cs="Calibri"/>
          <w:iCs/>
        </w:rPr>
        <w:t xml:space="preserve"> </w:t>
      </w:r>
      <w:r w:rsidR="00E43C51" w:rsidRPr="0035461C">
        <w:rPr>
          <w:rFonts w:ascii="Calibri" w:hAnsi="Calibri" w:cs="Calibri"/>
          <w:iCs/>
        </w:rPr>
        <w:fldChar w:fldCharType="begin"/>
      </w:r>
      <w:r w:rsidR="00076F77">
        <w:rPr>
          <w:rFonts w:ascii="Calibri" w:hAnsi="Calibri" w:cs="Calibri"/>
          <w:iCs/>
        </w:rPr>
        <w:instrText xml:space="preserve"> ADDIN ZOTERO_ITEM CSL_CITATION {"citationID":"xkXsf45X","properties":{"formattedCitation":"(41,209)","plainCitation":"(41,209)","noteIndex":0},"citationItems":[{"id":11012,"uris":["http://zotero.org/groups/369679/items/4WPLFB37"],"uri":["http://zotero.org/groups/369679/items/4WPLFB37"],"itemData":{"id":11012,"type":"article-journal","abstract":"CONTEXT: Few studies have assessed factors associated with severe hypoglycemia (SH) and diabetic ketoacidosis (DKA) in adults with type 1 diabetes (T1D).\nOBJECTIVE: Our objective was to determine frequency of and factors associated with the occurrence of SH and DKA in adults with T1D.\nDESIGN AND SETTING: We conducted a cross-sectional analysis from the T1D Exchange clinic registry at 70 U.S. endocrinology centers.\nPATIENTS: Analysis included 7012 participants in the T1D Exchange clinic registry aged 26 to 93 years old with T1D for ≥2 years.\nRESULTS: Higher frequencies of SH and DKA were associated with lower socioeconomic status (P &lt; .001). SH was strongly associated with diabetes duration (P &lt; .001), with 18.6% of those with diabetes ≥40 years having an event in the past 12 months. SH frequency was lowest in those with hemoglobin A1c (HbA1c) levels of 7.0% (53 mmol/mol) to 7.5% (58 mmol/mol), being higher in those with HbA1c levels &lt;7.0% (&lt;53 mmol/mol) or &gt;7.5% (&gt;58 mmol/mol). DKA frequency increased with higher HbA1c levels (P &lt; .001), with 21.0% of those with HbA1c ≥10.0% (≥86 mmol/mol) having an event in the past 12 months.\nCONCLUSIONS: SH and DKA are more common in those with lower socioeconomic status. DKA, most common in those with HbA1c ≥10.0% (≥86 mmol/mol), should be largely preventable. In contrast, SH, most frequent with diabetes ≥40 years duration, cannot be abolished given the limitation of current therapies. To reduce SH in adults with longstanding diabetes, consideration should be given to modifying HbA1c goals, particularly in patients with very low HbA1c levels.","container-title":"The Journal of Clinical Endocrinology and Metabolism","DOI":"10.1210/jc.2013-1589","ISSN":"1945-7197","issue":"8","journalAbbreviation":"J Clin Endocrinol Metab","language":"eng","note":"PMID: 23760624","page":"3411-3419","source":"PubMed","title":"Severe hypoglycemia and diabetic ketoacidosis in adults with type 1 diabetes: results from the T1D Exchange clinic registry","title-short":"Severe hypoglycemia and diabetic ketoacidosis in adults with type 1 diabetes","volume":"98","author":[{"family":"Weinstock","given":"Ruth S."},{"family":"Xing","given":"Dongyuan"},{"family":"Maahs","given":"David M."},{"family":"Michels","given":"Aaron"},{"family":"Rickels","given":"Michael R."},{"family":"Peters","given":"Anne L."},{"family":"Bergenstal","given":"Richard M."},{"family":"Harris","given":"Breanne"},{"family":"Dubose","given":"Stephanie N."},{"family":"Miller","given":"Kellee M."},{"family":"Beck","given":"Roy W."},{"literal":"T1D Exchange Clinic Network"}],"issued":{"date-parts":[["2013",8]]}}},{"id":11111,"uris":["http://zotero.org/groups/369679/items/C4KXMHQF"],"uri":["http://zotero.org/groups/369679/items/C4KXMHQF"],"itemData":{"id":11111,"type":"article-journal","container-title":"Diabetes Care","DOI":"10.2337/dc18-1160","ISSN":"1935-5548","issue":"3","journalAbbreviation":"Diabetes Care","language":"eng","note":"PMID: 30655381","page":"e34-e36","source":"PubMed","title":"Event Rates and Risk Factors for the Development of Diabetic Ketoacidosis in Adult Patients With Type 1 Diabetes: Analysis From the DPV Registry Based on 46,966 Patients","title-short":"Event Rates and Risk Factors for the Development of Diabetic Ketoacidosis in Adult Patients With Type 1 Diabetes","volume":"42","author":[{"family":"Kalscheuer","given":"Hannes"},{"family":"Seufert","given":"Jochen"},{"family":"Lanzinger","given":"Stefanie"},{"family":"Rosenbauer","given":"Joachim"},{"family":"Karges","given":"Wolfram"},{"family":"Bergis","given":"Dominik"},{"family":"Mader","given":"Julia K."},{"family":"Zimny","given":"Stefan"},{"family":"Schmid","given":"Sebastian M."},{"family":"Hummel","given":"Michael"},{"family":"Kerner","given":"Wolfgang"},{"family":"Holl","given":"Reinhard W."},{"literal":"DPV Initiative"}],"issued":{"date-parts":[["2019",3]]}}}],"schema":"https://github.com/citation-style-language/schema/raw/master/csl-citation.json"} </w:instrText>
      </w:r>
      <w:r w:rsidR="00E43C51" w:rsidRPr="0035461C">
        <w:rPr>
          <w:rFonts w:ascii="Calibri" w:hAnsi="Calibri" w:cs="Calibri"/>
          <w:iCs/>
        </w:rPr>
        <w:fldChar w:fldCharType="separate"/>
      </w:r>
      <w:r w:rsidR="00076F77" w:rsidRPr="00076F77">
        <w:rPr>
          <w:rFonts w:ascii="Calibri" w:hAnsi="Calibri" w:cs="Calibri"/>
        </w:rPr>
        <w:t>(41,209)</w:t>
      </w:r>
      <w:r w:rsidR="00E43C51" w:rsidRPr="0035461C">
        <w:rPr>
          <w:rFonts w:ascii="Calibri" w:hAnsi="Calibri" w:cs="Calibri"/>
          <w:iCs/>
        </w:rPr>
        <w:fldChar w:fldCharType="end"/>
      </w:r>
      <w:r w:rsidR="0047447F" w:rsidRPr="0035461C">
        <w:rPr>
          <w:rFonts w:ascii="Calibri" w:hAnsi="Calibri" w:cs="Calibri"/>
          <w:iCs/>
        </w:rPr>
        <w:t>,</w:t>
      </w:r>
      <w:r w:rsidRPr="0035461C">
        <w:rPr>
          <w:rFonts w:ascii="Calibri" w:hAnsi="Calibri" w:cs="Calibri"/>
          <w:iCs/>
        </w:rPr>
        <w:t xml:space="preserve"> whereas others associated with increased risk of DKA are potentially modifiable. These include having had one previous episode of DKA, high HbA</w:t>
      </w:r>
      <w:r w:rsidRPr="0035461C">
        <w:rPr>
          <w:rFonts w:ascii="Calibri" w:hAnsi="Calibri" w:cs="Calibri"/>
          <w:iCs/>
          <w:vertAlign w:val="subscript"/>
        </w:rPr>
        <w:t>1c</w:t>
      </w:r>
      <w:r w:rsidRPr="0035461C">
        <w:rPr>
          <w:rFonts w:ascii="Calibri" w:hAnsi="Calibri" w:cs="Calibri"/>
          <w:iCs/>
        </w:rPr>
        <w:t>, low self-management skills including omission of insulin therapy, psychiatric disorders, infections, somatic comorbidity, alcohol and drug abuse, and l</w:t>
      </w:r>
      <w:r w:rsidR="0047447F" w:rsidRPr="0035461C">
        <w:rPr>
          <w:rFonts w:ascii="Calibri" w:hAnsi="Calibri" w:cs="Calibri"/>
          <w:iCs/>
        </w:rPr>
        <w:t>ess interaction with the health</w:t>
      </w:r>
      <w:r w:rsidRPr="0035461C">
        <w:rPr>
          <w:rFonts w:ascii="Calibri" w:hAnsi="Calibri" w:cs="Calibri"/>
          <w:iCs/>
        </w:rPr>
        <w:t>care team</w:t>
      </w:r>
      <w:r w:rsidR="0047447F" w:rsidRPr="0035461C">
        <w:rPr>
          <w:rFonts w:ascii="Calibri" w:hAnsi="Calibri" w:cs="Calibri"/>
          <w:iCs/>
        </w:rPr>
        <w:t xml:space="preserve"> </w:t>
      </w:r>
      <w:r w:rsidR="001D5192" w:rsidRPr="0035461C">
        <w:rPr>
          <w:rFonts w:ascii="Calibri" w:hAnsi="Calibri" w:cs="Calibri"/>
          <w:iCs/>
        </w:rPr>
        <w:fldChar w:fldCharType="begin"/>
      </w:r>
      <w:r w:rsidR="00076F77">
        <w:rPr>
          <w:rFonts w:ascii="Calibri" w:hAnsi="Calibri" w:cs="Calibri"/>
          <w:iCs/>
        </w:rPr>
        <w:instrText xml:space="preserve"> ADDIN ZOTERO_ITEM CSL_CITATION {"citationID":"onmqMQbE","properties":{"formattedCitation":"(210\\uc0\\u8211{}212)","plainCitation":"(210–212)","noteIndex":0},"citationItems":[{"id":11114,"uris":["http://zotero.org/groups/369679/items/UCFDRADN"],"uri":["http://zotero.org/groups/369679/items/UCFDRADN"],"itemData":{"id":11114,"type":"article-journal","abstract":"Diabetic ketoacidosis (DKA) is a serious acute complication of type 1 diabetes, which is receiving more attention given the increased DKA risk associated with SGLT inhibitors. Sociodemographic and modifiable risk factors were identified with strong evidence for an increased risk of DKA, including socioeconomic disadvantage, adolescent age (13-25 years), female sex, high HbA1c, previous DKA, and psychiatric comorbidities (eg, eating disorders and depression). Possible prevention strategies, which include the identification of people at risk based on non-modifiable sociodemographic risk factors, are proposed. As a second risk mitigation strategy, structured diabetes self-management education that addresses modifiable risk factors can be used. Evidence has found that structured education leads to reduced DKA rates. Knowledge of these risk factors and potent risk mitigation strategies are important to identify subgroups of people with an elevated DKA risk. This knowledge should also be used when adjunct therapy options with an increased DKA risk are considered. Prevention of DKA in people with type 1 diabetes is an important clinical task, which should also be addressed when SGLT inhibitors are part of therapy.","container-title":"The Lancet. Diabetes &amp; Endocrinology","DOI":"10.1016/S2213-8587(20)30042-5","ISSN":"2213-8595","issue":"5","journalAbbreviation":"Lancet Diabetes Endocrinol","language":"eng","note":"PMID: 32333879","page":"436-446","source":"PubMed","title":"Risk factors and prevention strategies for diabetic ketoacidosis in people with established type 1 diabetes","volume":"8","author":[{"family":"Ehrmann","given":"Dominic"},{"family":"Kulzer","given":"Bernhard"},{"family":"Roos","given":"Timm"},{"family":"Haak","given":"Thomas"},{"family":"Al-Khatib","given":"Mohammed"},{"family":"Hermanns","given":"Norbert"}],"issued":{"date-parts":[["2020",5]]}}},{"id":11116,"uris":["http://zotero.org/groups/369679/items/KBDUCNVK"],"uri":["http://zotero.org/groups/369679/items/KBDUCNVK"],"itemData":{"id":11116,"type":"article-journal","abstract":"OBJECTIVE: We examined the frequency of diabetic ketoacidosis (DKA) in cannabis users compared with nonusers in the T1D Exchange clinic registry (T1DX).\nRESEARCH DESIGN AND METHODS: The association between cannabis use by total substance score for cannabis (TSC) and DKA in the past 12 months was examined using a logistic regression model adjusted for potential confounders among adults in the T1DX.\nRESULTS: Of 932 adults with type 1 diabetes, 61 had a TSC &gt;4, which classified them as moderate cannabis users. Adjusting for sex, age at study visit, and HbA1c, cannabis use was associated with a twofold increase in risk for DKA among adults with type 1 diabetes (odds ratio 2.5 [95% CI 1.0-5.9]).\nCONCLUSIONS: Cannabis use was associated with an increased risk for DKA among adults in the T1DX. Providers should inform their patients of the potential risk of DKA with cannabis use.","container-title":"Diabetes Care","DOI":"10.2337/dc19-0365","ISSN":"1935-5548","issue":"1","journalAbbreviation":"Diabetes Care","language":"eng","note":"PMID: 31628116","page":"247-249","source":"PubMed","title":"Cannabis Use Is Associated With Increased Risk for Diabetic Ketoacidosis in Adults With Type 1 Diabetes: Findings From the T1D Exchange Clinic Registry","title-short":"Cannabis Use Is Associated With Increased Risk for Diabetic Ketoacidosis in Adults With Type 1 Diabetes","volume":"43","author":[{"family":"Kinney","given":"Gregory L."},{"family":"Akturk","given":"Halis K."},{"family":"Taylor","given":"Daniel D."},{"family":"Foster","given":"Nicole C."},{"family":"Shah","given":"Viral N."}],"issued":{"date-parts":[["2020",1]]}}},{"id":11507,"uris":["http://zotero.org/groups/369679/items/BEYYBUM9"],"uri":["http://zotero.org/groups/369679/items/BEYYBUM9"],"itemData":{"id":11507,"type":"article-journal","abstract":"BACKGROUND: Diabetic ketoacidosis (DKA) is a potentially life-threatening but often preventable acute complication of type 1 diabetes (T1D). Understanding clinical and psychosocial characteristics of people with DKA, particularly those with multiple presentations, may aid the development of prevention strategies.\nAIMS: To describe clinical, psychological and demographic factors in adults with diabetic ketoacidosis (DKA) and particularly those factors associated with recurrent admissions.\nMETHODS: A retrospective analysis was performed of all admissions with DKA in people with T1D over a 4-year period from 1st November 2013 to 31st October 2017 at a metropolitan tertiary hospital in Australia. Potential cases were identified by ICD-10 coding data. Data were then manually extracted by clinicians from the electronic medical record.\nRESULTS: There were 154 clinician-adjudicated admissions for DKA among 128 people with T1D. Of these, 16 (13%) had multiple DKA admissions. Forty-one (32%) had a history of depression. The most common factors contributing to presentation included insulin omission (54%), infection (31%), alcohol excess (26%) and new diabetes diagnosis (16%). Compared to people with single admissions, those with recurrent DKA were more likely to smoke (69% vs 27%, p = 0.003), be unemployed (31% vs 11%, p = 0.04) and use illicit substances (44% vs 17%, p = 0.02).\nCONCLUSIONS: There is a high prevalence of psychiatric illness, illicit substance use and social disadvantage among people admitted with DKA, particularly those with recurrent presentations. Insulin omission, often due to inappropriate sick day management, was the most common reason for DKA occurrence. Innovative multidisciplinary models of care are required to address these challenges. This article is protected by copyright. All rights reserved.","container-title":"Internal Medicine Journal","DOI":"10.1111/imj.14877","ISSN":"1445-5994","journalAbbreviation":"Intern Med J","language":"eng","note":"PMID: 32358796","source":"PubMed","title":"Clinical, psychological and demographic factors in a contemporary adult cohort with diabetic ketoacidosis and type 1 diabetes","author":[{"family":"Hare","given":"Matthew J. L."},{"family":"Deitch","given":"Jessica M."},{"family":"Kang","given":"Matthew J. Y."},{"family":"Bach","given":"Leon A."}],"issued":{"date-parts":[["2020",5,2]]}}}],"schema":"https://github.com/citation-style-language/schema/raw/master/csl-citation.json"} </w:instrText>
      </w:r>
      <w:r w:rsidR="001D5192" w:rsidRPr="0035461C">
        <w:rPr>
          <w:rFonts w:ascii="Calibri" w:hAnsi="Calibri" w:cs="Calibri"/>
          <w:iCs/>
        </w:rPr>
        <w:fldChar w:fldCharType="separate"/>
      </w:r>
      <w:r w:rsidR="00076F77" w:rsidRPr="00076F77">
        <w:rPr>
          <w:rFonts w:ascii="Calibri" w:hAnsi="Calibri" w:cs="Calibri"/>
        </w:rPr>
        <w:t>(210–212)</w:t>
      </w:r>
      <w:r w:rsidR="001D5192" w:rsidRPr="0035461C">
        <w:rPr>
          <w:rFonts w:ascii="Calibri" w:hAnsi="Calibri" w:cs="Calibri"/>
          <w:iCs/>
        </w:rPr>
        <w:fldChar w:fldCharType="end"/>
      </w:r>
      <w:r w:rsidR="0047447F" w:rsidRPr="0035461C">
        <w:rPr>
          <w:rFonts w:ascii="Calibri" w:hAnsi="Calibri" w:cs="Calibri"/>
          <w:iCs/>
        </w:rPr>
        <w:t>.</w:t>
      </w:r>
      <w:r w:rsidRPr="0035461C">
        <w:rPr>
          <w:rFonts w:ascii="Calibri" w:hAnsi="Calibri" w:cs="Calibri"/>
          <w:iCs/>
        </w:rPr>
        <w:t xml:space="preserve"> </w:t>
      </w:r>
      <w:r w:rsidRPr="0035461C">
        <w:rPr>
          <w:rFonts w:ascii="Calibri" w:hAnsi="Calibri" w:cs="Calibri"/>
        </w:rPr>
        <w:t>Older studies demonstrated a higher risk of DKA in those using insulin pumps</w:t>
      </w:r>
      <w:r w:rsidR="0047447F" w:rsidRPr="0035461C">
        <w:rPr>
          <w:rFonts w:ascii="Calibri" w:hAnsi="Calibri" w:cs="Calibri"/>
        </w:rPr>
        <w:t xml:space="preserve"> </w:t>
      </w:r>
      <w:r w:rsidRPr="0035461C">
        <w:rPr>
          <w:rFonts w:ascii="Calibri" w:hAnsi="Calibri" w:cs="Calibri"/>
        </w:rPr>
        <w:t>likely due to the lack of depot insulin when continuous delivery of insulin is disrupted</w:t>
      </w:r>
      <w:r w:rsidR="0047447F" w:rsidRPr="0035461C">
        <w:rPr>
          <w:rFonts w:ascii="Calibri" w:hAnsi="Calibri" w:cs="Calibri"/>
        </w:rPr>
        <w:t xml:space="preserve"> </w:t>
      </w:r>
      <w:r w:rsidR="0047447F" w:rsidRPr="0035461C">
        <w:rPr>
          <w:rFonts w:ascii="Calibri" w:hAnsi="Calibri" w:cs="Calibri"/>
        </w:rPr>
        <w:fldChar w:fldCharType="begin"/>
      </w:r>
      <w:r w:rsidR="00076F77">
        <w:rPr>
          <w:rFonts w:ascii="Calibri" w:hAnsi="Calibri" w:cs="Calibri"/>
        </w:rPr>
        <w:instrText xml:space="preserve"> ADDIN ZOTERO_ITEM CSL_CITATION {"citationID":"SxlBxHv3","properties":{"formattedCitation":"(213)","plainCitation":"(213)","noteIndex":0},"citationItems":[{"id":11119,"uris":["http://zotero.org/groups/369679/items/N8KCPAV6"],"uri":["http://zotero.org/groups/369679/items/N8KCPAV6"],"itemData":{"id":11119,"type":"article-journal","abstract":"This study compared external insulin pump treatment using insulin lispro or insulin aspart with multiple daily injections (MDI; four or more injections per day) using insulin glargine and insulin lispro or insulin aspart. An electronic database was used to retrieve various parameters of glycemic control for 515 adult patients with type 1 diabetes. An insulin pump was used by 216 patients, and 299 patients were taking insulin glargine for at least 6 months. The mean age (approximately 33 years), duration of diabetes (approximately 16 years), and duration of treatment (approximately 12 months) were similar for both the pump and insulin glargine groups. The mean (+/-SEM) A1C values were significantly reduced in both groups from the baseline to the end of the study (7.7 +/- 0.1% to 7.5 +/- 0.1% for the pump group and 8.0 +/- 0.1% to 7.7 +/- 0.1% for the insulin glargine group, P&lt; 0.001) with similar weight gain (P&gt; 0.05) in both groups. The insulin glargine group significantly reduced basal insulin intake at follow-up. The premeal boluses were similar throughout the study for both groups. The subjects reporting severe hypoglycemic episodes were similar in the two groups; however, there were 12 cases of diabetic ketoacidosis reported in the pump group and none in the insulin glargine group. Patients with type 1 diabetes can achieve similar glycemic control using insulin glargine with premeal insulin lispro or by using an external infusion pump with insulin lispro or insulin aspart. However, costs and episodes of diabetic ketoacidosis are significantly higher for insulin pump users.","container-title":"Diabetes Technology &amp; Therapeutics","DOI":"10.1089/152091504322783350","ISSN":"1520-9156","issue":"1","journalAbbreviation":"Diabetes Technol Ther","language":"eng","note":"PMID: 15000764","page":"9-15","source":"PubMed","title":"Glycemic parameters with multiple daily injections using insulin glargine versus insulin pump","volume":"6","author":[{"family":"Garg","given":"Satish K."},{"family":"Walker","given":"Andrew J."},{"family":"Hoff","given":"Halsley K."},{"family":"D'Souza","given":"Anna O."},{"family":"Gottlieb","given":"Peter A."},{"family":"Chase","given":"H. Peter"}],"issued":{"date-parts":[["2004",2]]}}}],"schema":"https://github.com/citation-style-language/schema/raw/master/csl-citation.json"} </w:instrText>
      </w:r>
      <w:r w:rsidR="0047447F" w:rsidRPr="0035461C">
        <w:rPr>
          <w:rFonts w:ascii="Calibri" w:hAnsi="Calibri" w:cs="Calibri"/>
        </w:rPr>
        <w:fldChar w:fldCharType="separate"/>
      </w:r>
      <w:r w:rsidR="00076F77" w:rsidRPr="00076F77">
        <w:rPr>
          <w:rFonts w:ascii="Calibri" w:hAnsi="Calibri" w:cs="Calibri"/>
        </w:rPr>
        <w:t>(213)</w:t>
      </w:r>
      <w:r w:rsidR="0047447F" w:rsidRPr="0035461C">
        <w:rPr>
          <w:rFonts w:ascii="Calibri" w:hAnsi="Calibri" w:cs="Calibri"/>
        </w:rPr>
        <w:fldChar w:fldCharType="end"/>
      </w:r>
      <w:r w:rsidRPr="0035461C">
        <w:rPr>
          <w:rFonts w:ascii="Calibri" w:hAnsi="Calibri" w:cs="Calibri"/>
        </w:rPr>
        <w:t>. However, more recent studies have not found this to be the case</w:t>
      </w:r>
      <w:r w:rsidR="004B7D01" w:rsidRPr="0035461C">
        <w:rPr>
          <w:rFonts w:ascii="Calibri" w:hAnsi="Calibri" w:cs="Calibri"/>
        </w:rPr>
        <w:t xml:space="preserve"> </w:t>
      </w:r>
      <w:r w:rsidR="004B7D01" w:rsidRPr="0035461C">
        <w:rPr>
          <w:rFonts w:ascii="Calibri" w:hAnsi="Calibri" w:cs="Calibri"/>
        </w:rPr>
        <w:fldChar w:fldCharType="begin"/>
      </w:r>
      <w:r w:rsidR="00076F77">
        <w:rPr>
          <w:rFonts w:ascii="Calibri" w:hAnsi="Calibri" w:cs="Calibri"/>
        </w:rPr>
        <w:instrText xml:space="preserve"> ADDIN ZOTERO_ITEM CSL_CITATION {"citationID":"Uzs0wy6u","properties":{"formattedCitation":"(41,209,214)","plainCitation":"(41,209,214)","noteIndex":0},"citationItems":[{"id":11012,"uris":["http://zotero.org/groups/369679/items/4WPLFB37"],"uri":["http://zotero.org/groups/369679/items/4WPLFB37"],"itemData":{"id":11012,"type":"article-journal","abstract":"CONTEXT: Few studies have assessed factors associated with severe hypoglycemia (SH) and diabetic ketoacidosis (DKA) in adults with type 1 diabetes (T1D).\nOBJECTIVE: Our objective was to determine frequency of and factors associated with the occurrence of SH and DKA in adults with T1D.\nDESIGN AND SETTING: We conducted a cross-sectional analysis from the T1D Exchange clinic registry at 70 U.S. endocrinology centers.\nPATIENTS: Analysis included 7012 participants in the T1D Exchange clinic registry aged 26 to 93 years old with T1D for ≥2 years.\nRESULTS: Higher frequencies of SH and DKA were associated with lower socioeconomic status (P &lt; .001). SH was strongly associated with diabetes duration (P &lt; .001), with 18.6% of those with diabetes ≥40 years having an event in the past 12 months. SH frequency was lowest in those with hemoglobin A1c (HbA1c) levels of 7.0% (53 mmol/mol) to 7.5% (58 mmol/mol), being higher in those with HbA1c levels &lt;7.0% (&lt;53 mmol/mol) or &gt;7.5% (&gt;58 mmol/mol). DKA frequency increased with higher HbA1c levels (P &lt; .001), with 21.0% of those with HbA1c ≥10.0% (≥86 mmol/mol) having an event in the past 12 months.\nCONCLUSIONS: SH and DKA are more common in those with lower socioeconomic status. DKA, most common in those with HbA1c ≥10.0% (≥86 mmol/mol), should be largely preventable. In contrast, SH, most frequent with diabetes ≥40 years duration, cannot be abolished given the limitation of current therapies. To reduce SH in adults with longstanding diabetes, consideration should be given to modifying HbA1c goals, particularly in patients with very low HbA1c levels.","container-title":"The Journal of Clinical Endocrinology and Metabolism","DOI":"10.1210/jc.2013-1589","ISSN":"1945-7197","issue":"8","journalAbbreviation":"J Clin Endocrinol Metab","language":"eng","note":"PMID: 23760624","page":"3411-3419","source":"PubMed","title":"Severe hypoglycemia and diabetic ketoacidosis in adults with type 1 diabetes: results from the T1D Exchange clinic registry","title-short":"Severe hypoglycemia and diabetic ketoacidosis in adults with type 1 diabetes","volume":"98","author":[{"family":"Weinstock","given":"Ruth S."},{"family":"Xing","given":"Dongyuan"},{"family":"Maahs","given":"David M."},{"family":"Michels","given":"Aaron"},{"family":"Rickels","given":"Michael R."},{"family":"Peters","given":"Anne L."},{"family":"Bergenstal","given":"Richard M."},{"family":"Harris","given":"Breanne"},{"family":"Dubose","given":"Stephanie N."},{"family":"Miller","given":"Kellee M."},{"family":"Beck","given":"Roy W."},{"literal":"T1D Exchange Clinic Network"}],"issued":{"date-parts":[["2013",8]]}}},{"id":11111,"uris":["http://zotero.org/groups/369679/items/C4KXMHQF"],"uri":["http://zotero.org/groups/369679/items/C4KXMHQF"],"itemData":{"id":11111,"type":"article-journal","container-title":"Diabetes Care","DOI":"10.2337/dc18-1160","ISSN":"1935-5548","issue":"3","journalAbbreviation":"Diabetes Care","language":"eng","note":"PMID: 30655381","page":"e34-e36","source":"PubMed","title":"Event Rates and Risk Factors for the Development of Diabetic Ketoacidosis in Adult Patients With Type 1 Diabetes: Analysis From the DPV Registry Based on 46,966 Patients","title-short":"Event Rates and Risk Factors for the Development of Diabetic Ketoacidosis in Adult Patients With Type 1 Diabetes","volume":"42","author":[{"family":"Kalscheuer","given":"Hannes"},{"family":"Seufert","given":"Jochen"},{"family":"Lanzinger","given":"Stefanie"},{"family":"Rosenbauer","given":"Joachim"},{"family":"Karges","given":"Wolfram"},{"family":"Bergis","given":"Dominik"},{"family":"Mader","given":"Julia K."},{"family":"Zimny","given":"Stefan"},{"family":"Schmid","given":"Sebastian M."},{"family":"Hummel","given":"Michael"},{"family":"Kerner","given":"Wolfgang"},{"family":"Holl","given":"Reinhard W."},{"literal":"DPV Initiative"}],"issued":{"date-parts":[["2019",3]]}}},{"id":11121,"uris":["http://zotero.org/groups/369679/items/PL2BS46N"],"uri":["http://zotero.org/groups/369679/items/PL2BS46N"],"itemData":{"id":11121,"type":"article-journal","abstract":"BACKGROUND AND AIMS: The aim of this study was to evaluate the incidence rates of diabetic ketoacidosis (DKA) according to treatment modality in patients with type 1 diabetes (T1D) in Denmark, either multiple daily injections (MDI) or continuous subcutaneous insulin infusion (CSII).\nMATERIALS AND METHODS: A total of 20,902 T1D registered in the Danish Adult Diabetes Database were followed for an average of 5.4 years. Poisson regression analyses with risk time as offset were used to compare differences in rates of DKA between CSII and MDI. Model was adjusted for age, sex, diabetes duration, previous DKA events, and hemoglobin A1c (HbA1c). A modifying effect of number of CSII patients on the DKA rates was tested.\nRESULTS: During 113,731 person-years, 3100 DKA events were registered (53 among CSII). CSII patients were younger (42.3 vs. 47.9 years), a larger proportion was female (59% vs. 43%), had a shorter diabetes duration (19 vs. 21 years), and a lower HbA1c (61.9 vs. 66.6 mmol/mol). There was no significant difference in the incidence rate of DKA between CSII and MDI (rate ratio: 1.30, 95% confidence interval: 0.97-1.76). However, in clinics with at least 250 CSII patients, rates of DKA events were lower among CSII users, while the opposite was true for the smaller clinics (P = 0.016).\nCONCLUSIONS: Delivery of CSII in large diabetes clinics with sufficient support and patient education may ensure that CSII treatment does not lead to an increased risk of DKA.","container-title":"Diabetes Technology &amp; Therapeutics","DOI":"10.1089/dia.2017.0231","ISSN":"1557-8593","issue":"3","journalAbbreviation":"Diabetes Technol Ther","language":"eng","note":"PMID: 29437465","page":"229-234","source":"PubMed","title":"Treatment Modality-Dependent Risk of Diabetic Ketoacidosis in Patients with Type 1 Diabetes: Danish Adult Diabetes Database Study","title-short":"Treatment Modality-Dependent Risk of Diabetic Ketoacidosis in Patients with Type 1 Diabetes","volume":"20","author":[{"family":"Hoshina","given":"Sari"},{"family":"Andersen","given":"Gregers S."},{"family":"Jørgensen","given":"Marit E."},{"family":"Ridderstråle","given":"Martin"},{"family":"Vistisen","given":"Dorte"},{"family":"Andersen","given":"Henrik U."}],"issued":{"date-parts":[["2018",3]]}}}],"schema":"https://github.com/citation-style-language/schema/raw/master/csl-citation.json"} </w:instrText>
      </w:r>
      <w:r w:rsidR="004B7D01" w:rsidRPr="0035461C">
        <w:rPr>
          <w:rFonts w:ascii="Calibri" w:hAnsi="Calibri" w:cs="Calibri"/>
        </w:rPr>
        <w:fldChar w:fldCharType="separate"/>
      </w:r>
      <w:r w:rsidR="00076F77" w:rsidRPr="00076F77">
        <w:rPr>
          <w:rFonts w:ascii="Calibri" w:hAnsi="Calibri" w:cs="Calibri"/>
        </w:rPr>
        <w:t>(41,209,214)</w:t>
      </w:r>
      <w:r w:rsidR="004B7D01" w:rsidRPr="0035461C">
        <w:rPr>
          <w:rFonts w:ascii="Calibri" w:hAnsi="Calibri" w:cs="Calibri"/>
        </w:rPr>
        <w:fldChar w:fldCharType="end"/>
      </w:r>
      <w:r w:rsidRPr="0035461C">
        <w:rPr>
          <w:rFonts w:ascii="Calibri" w:hAnsi="Calibri" w:cs="Calibri"/>
        </w:rPr>
        <w:t>. Adjunctive use of sodium glucose cotransporter (SGLT) inhibitors</w:t>
      </w:r>
      <w:r w:rsidR="006021F2" w:rsidRPr="0035461C">
        <w:rPr>
          <w:rFonts w:ascii="Calibri" w:hAnsi="Calibri" w:cs="Calibri"/>
        </w:rPr>
        <w:t xml:space="preserve"> (see below)</w:t>
      </w:r>
      <w:r w:rsidRPr="0035461C">
        <w:rPr>
          <w:rFonts w:ascii="Calibri" w:hAnsi="Calibri" w:cs="Calibri"/>
        </w:rPr>
        <w:t xml:space="preserve"> in adults with type 1 diabetes increase</w:t>
      </w:r>
      <w:r w:rsidR="0047447F" w:rsidRPr="0035461C">
        <w:rPr>
          <w:rFonts w:ascii="Calibri" w:hAnsi="Calibri" w:cs="Calibri"/>
        </w:rPr>
        <w:t>s the</w:t>
      </w:r>
      <w:r w:rsidRPr="0035461C">
        <w:rPr>
          <w:rFonts w:ascii="Calibri" w:hAnsi="Calibri" w:cs="Calibri"/>
        </w:rPr>
        <w:t xml:space="preserve"> risk of DKA by an absolute rate </w:t>
      </w:r>
      <w:r w:rsidR="0047447F" w:rsidRPr="0035461C">
        <w:rPr>
          <w:rFonts w:ascii="Calibri" w:hAnsi="Calibri" w:cs="Calibri"/>
        </w:rPr>
        <w:t xml:space="preserve">of </w:t>
      </w:r>
      <w:r w:rsidRPr="0035461C">
        <w:rPr>
          <w:rFonts w:ascii="Calibri" w:hAnsi="Calibri" w:cs="Calibri"/>
        </w:rPr>
        <w:t xml:space="preserve">about 4% per year, suggesting the need for intensive </w:t>
      </w:r>
      <w:r w:rsidR="00637A17" w:rsidRPr="0035461C">
        <w:rPr>
          <w:rFonts w:ascii="Calibri" w:hAnsi="Calibri" w:cs="Calibri"/>
        </w:rPr>
        <w:t xml:space="preserve">diabetes </w:t>
      </w:r>
      <w:r w:rsidR="006E5484" w:rsidRPr="0035461C">
        <w:rPr>
          <w:rFonts w:ascii="Calibri" w:hAnsi="Calibri" w:cs="Calibri"/>
        </w:rPr>
        <w:t>self-management</w:t>
      </w:r>
      <w:r w:rsidRPr="0035461C">
        <w:rPr>
          <w:rFonts w:ascii="Calibri" w:hAnsi="Calibri" w:cs="Calibri"/>
        </w:rPr>
        <w:t xml:space="preserve"> education and monitoring</w:t>
      </w:r>
      <w:r w:rsidR="0047447F" w:rsidRPr="0035461C">
        <w:rPr>
          <w:rFonts w:ascii="Calibri" w:hAnsi="Calibri" w:cs="Calibri"/>
        </w:rPr>
        <w:t xml:space="preserve"> </w:t>
      </w:r>
      <w:r w:rsidR="00D80F23" w:rsidRPr="0035461C">
        <w:rPr>
          <w:rFonts w:ascii="Calibri" w:hAnsi="Calibri" w:cs="Calibri"/>
        </w:rPr>
        <w:fldChar w:fldCharType="begin"/>
      </w:r>
      <w:r w:rsidR="00076F77">
        <w:rPr>
          <w:rFonts w:ascii="Calibri" w:hAnsi="Calibri" w:cs="Calibri"/>
        </w:rPr>
        <w:instrText xml:space="preserve"> ADDIN ZOTERO_ITEM CSL_CITATION {"citationID":"F08YU1pR","properties":{"formattedCitation":"(215,216)","plainCitation":"(215,216)","noteIndex":0},"citationItems":[{"id":11123,"uris":["http://zotero.org/groups/369679/items/EC29FDK7"],"uri":["http://zotero.org/groups/369679/items/EC29FDK7"],"itemData":{"id":11123,"type":"article-journal","abstract":"Sodium-glucose cotransporter (SGLT) inhibitors are new oral antidiabetes medications shown to effectively reduce glycated hemoglobin (A1C) and glycemic variability, blood pressure, and body weight without intrinsic properties to cause hypoglycemia in people with type 1 diabetes. However, recent studies, particularly in individuals with type 1 diabetes, have demonstrated increases in the absolute risk of diabetic ketoacidosis (DKA). Some cases presented with near-normal blood glucose levels or mild hyperglycemia, complicating the recognition/diagnosis of DKA and potentially delaying treatment. Several SGLT inhibitors are currently under review by the U.S. Food and Drug Administration and European regulatory agencies as adjuncts to insulin therapy in people with type 1 diabetes. Strategies must be developed and disseminated to the medical community to mitigate the associated DKA risk. This Consensus Report reviews current data regarding SGLT inhibitor use and provides recommendations to enhance the safety of SGLT inhibitors in people with type 1 diabetes.","container-title":"Diabetes Care","DOI":"10.2337/dc18-2316","ISSN":"1935-5548","issue":"6","journalAbbreviation":"Diabetes Care","language":"eng","note":"PMID: 30728224\nPMCID: PMC6973545","page":"1147-1154","source":"PubMed","title":"International Consensus on Risk Management of Diabetic Ketoacidosis in Patients With Type 1 Diabetes Treated With Sodium-Glucose Cotransporter (SGLT) Inhibitors","volume":"42","author":[{"family":"Danne","given":"Thomas"},{"family":"Garg","given":"Satish"},{"family":"Peters","given":"Anne L."},{"family":"Buse","given":"John B."},{"family":"Mathieu","given":"Chantal"},{"family":"Pettus","given":"Jeremy H."},{"family":"Alexander","given":"Charles M."},{"family":"Battelino","given":"Tadej"},{"family":"Ampudia-Blasco","given":"F. Javier"},{"family":"Bode","given":"Bruce W."},{"family":"Cariou","given":"Bertrand"},{"family":"Close","given":"Kelly L."},{"family":"Dandona","given":"Paresh"},{"family":"Dutta","given":"Sanjoy"},{"family":"Ferrannini","given":"Ele"},{"family":"Fourlanos","given":"Spiros"},{"family":"Grunberger","given":"George"},{"family":"Heller","given":"Simon R."},{"family":"Henry","given":"Robert R."},{"family":"Kurian","given":"Martin J."},{"family":"Kushner","given":"Jake A."},{"family":"Oron","given":"Tal"},{"family":"Parkin","given":"Christopher G."},{"family":"Pieber","given":"Thomas R."},{"family":"Rodbard","given":"Helena W."},{"family":"Schatz","given":"Desmond"},{"family":"Skyler","given":"Jay S."},{"family":"Tamborlane","given":"William V."},{"family":"Yokote","given":"Koutaro"},{"family":"Phillip","given":"Moshe"}],"issued":{"date-parts":[["2019",6]]}}},{"id":11126,"uris":["http://zotero.org/groups/369679/items/5C33SK73"],"uri":["http://zotero.org/groups/369679/items/5C33SK73"],"itemData":{"id":11126,"type":"article-journal","abstract":"Recent phase 3 clinical trials have evaluated the impact of adding sodium-glucose co-transporter (SGLT) inhibitors to the type 1 diabetes armamentarium. These trials studied SGLT2 inhibitors (dapagliflozin and empagliflozin) and a dual SGLT1 and SGLT2 inhibitor (sotagliflozin), and demonstrated that these oral non-insulin antihyperglycaemic medications are able not only to improve glycaemic control, but also to reduce body weight and extend time in range without increasing rates of hypoglycaemia in type 1 diabetes. Diabetic ketoacidosis (DKA) is a feature of type 1 diabetes and the risk is increased when SGLT inhibitors are used in type 1 diabetes. To minimize the risk of DKA and still gain the multiple benefits, we developed the \"STOP DKA Protocol \", an easily accessible and practical tool, that provides a risk mitigation strategy for reducing DKA in patients with type 1 diabetes being treated with SGLT inhibitors.","container-title":"Diabetes, Obesity &amp; Metabolism","DOI":"10.1111/dom.13811","ISSN":"1463-1326","issue":"10","journalAbbreviation":"Diabetes Obes Metab","language":"eng","note":"PMID: 31183975","page":"2192-2202","source":"PubMed","title":"Sodium-glucose co-transporter inhibitors, their role in type 1 diabetes treatment and a risk mitigation strategy for preventing diabetic ketoacidosis: The STOP DKA Protocol","title-short":"Sodium-glucose co-transporter inhibitors, their role in type 1 diabetes treatment and a risk mitigation strategy for preventing diabetic ketoacidosis","volume":"21","author":[{"family":"Goldenberg","given":"Ronald M."},{"family":"Gilbert","given":"Jeremy D."},{"family":"Hramiak","given":"Irene M."},{"family":"Woo","given":"Vincent C."},{"family":"Zinman","given":"Bernard"}],"issued":{"date-parts":[["2019",10]]}}}],"schema":"https://github.com/citation-style-language/schema/raw/master/csl-citation.json"} </w:instrText>
      </w:r>
      <w:r w:rsidR="00D80F23" w:rsidRPr="0035461C">
        <w:rPr>
          <w:rFonts w:ascii="Calibri" w:hAnsi="Calibri" w:cs="Calibri"/>
        </w:rPr>
        <w:fldChar w:fldCharType="separate"/>
      </w:r>
      <w:r w:rsidR="00076F77" w:rsidRPr="00076F77">
        <w:rPr>
          <w:rFonts w:ascii="Calibri" w:hAnsi="Calibri" w:cs="Calibri"/>
        </w:rPr>
        <w:t>(215,216)</w:t>
      </w:r>
      <w:r w:rsidR="00D80F23" w:rsidRPr="0035461C">
        <w:rPr>
          <w:rFonts w:ascii="Calibri" w:hAnsi="Calibri" w:cs="Calibri"/>
        </w:rPr>
        <w:fldChar w:fldCharType="end"/>
      </w:r>
      <w:r w:rsidR="0047447F" w:rsidRPr="0035461C">
        <w:rPr>
          <w:rFonts w:ascii="Calibri" w:hAnsi="Calibri" w:cs="Calibri"/>
        </w:rPr>
        <w:t>.</w:t>
      </w:r>
      <w:r w:rsidRPr="0035461C">
        <w:rPr>
          <w:rFonts w:ascii="Calibri" w:hAnsi="Calibri" w:cs="Calibri"/>
        </w:rPr>
        <w:t xml:space="preserve"> DKA in the setting of SGLT inhibitor use is often so-called </w:t>
      </w:r>
      <w:proofErr w:type="spellStart"/>
      <w:r w:rsidRPr="0035461C">
        <w:rPr>
          <w:rFonts w:ascii="Calibri" w:hAnsi="Calibri" w:cs="Calibri"/>
        </w:rPr>
        <w:t>euglyc</w:t>
      </w:r>
      <w:r w:rsidR="006E5484" w:rsidRPr="0035461C">
        <w:rPr>
          <w:rFonts w:ascii="Calibri" w:hAnsi="Calibri" w:cs="Calibri"/>
        </w:rPr>
        <w:t>a</w:t>
      </w:r>
      <w:r w:rsidRPr="0035461C">
        <w:rPr>
          <w:rFonts w:ascii="Calibri" w:hAnsi="Calibri" w:cs="Calibri"/>
        </w:rPr>
        <w:t>emic</w:t>
      </w:r>
      <w:proofErr w:type="spellEnd"/>
      <w:r w:rsidRPr="0035461C">
        <w:rPr>
          <w:rFonts w:ascii="Calibri" w:hAnsi="Calibri" w:cs="Calibri"/>
        </w:rPr>
        <w:t xml:space="preserve"> DKA, with initial case reports describing admission glucose levels of 96-224 mg/</w:t>
      </w:r>
      <w:proofErr w:type="spellStart"/>
      <w:r w:rsidRPr="0035461C">
        <w:rPr>
          <w:rFonts w:ascii="Calibri" w:hAnsi="Calibri" w:cs="Calibri"/>
        </w:rPr>
        <w:t>dL</w:t>
      </w:r>
      <w:proofErr w:type="spellEnd"/>
      <w:r w:rsidRPr="0035461C">
        <w:rPr>
          <w:rFonts w:ascii="Calibri" w:hAnsi="Calibri" w:cs="Calibri"/>
        </w:rPr>
        <w:t xml:space="preserve"> (5.3-12.4 </w:t>
      </w:r>
      <w:proofErr w:type="spellStart"/>
      <w:r w:rsidRPr="0035461C">
        <w:rPr>
          <w:rFonts w:ascii="Calibri" w:hAnsi="Calibri" w:cs="Calibri"/>
        </w:rPr>
        <w:t>mmol</w:t>
      </w:r>
      <w:proofErr w:type="spellEnd"/>
      <w:r w:rsidRPr="0035461C">
        <w:rPr>
          <w:rFonts w:ascii="Calibri" w:hAnsi="Calibri" w:cs="Calibri"/>
        </w:rPr>
        <w:t>/L)</w:t>
      </w:r>
      <w:r w:rsidR="0047447F" w:rsidRPr="0035461C">
        <w:rPr>
          <w:rFonts w:ascii="Calibri" w:hAnsi="Calibri" w:cs="Calibri"/>
        </w:rPr>
        <w:t xml:space="preserve"> </w:t>
      </w:r>
      <w:r w:rsidR="001B06EB" w:rsidRPr="0035461C">
        <w:rPr>
          <w:rFonts w:ascii="Calibri" w:hAnsi="Calibri" w:cs="Calibri"/>
        </w:rPr>
        <w:fldChar w:fldCharType="begin"/>
      </w:r>
      <w:r w:rsidR="00076F77">
        <w:rPr>
          <w:rFonts w:ascii="Calibri" w:hAnsi="Calibri" w:cs="Calibri"/>
        </w:rPr>
        <w:instrText xml:space="preserve"> ADDIN ZOTERO_ITEM CSL_CITATION {"citationID":"PKL274Qo","properties":{"formattedCitation":"(217)","plainCitation":"(217)","noteIndex":0},"citationItems":[{"id":404,"uris":["http://zotero.org/groups/369679/items/CVSC2Z55"],"uri":["http://zotero.org/groups/369679/items/CVSC2Z55"],"itemData":{"id":404,"type":"article-journal","abstract":"OBJECTIVE: Sodium-glucose cotransporter 2 (SGLT-2) inhibitors are the most recently approved antihyperglycemic medications. We sought to describe their association with euglycemic diabetic ketoacidosis (DKA) in hopes that it will enhance recognition of this potentially life-threatening complication.\nRESEARCH DESIGN AND METHODS: Cases identified incidentally are described.\nRESULTS: We identified 13 episodes of SGLT-2 inhibitor-associated euglycemic DKA or ketosis in nine individuals, seven with type 1 diabetes and two with type 2 diabetes, from various practices across the U.S. The absence of significant hyperglycemia in these patients delayed recognition of the emergent nature of the problem by patients and providers.\nCONCLUSIONS: SGLT-2 inhibitors seem to be associated with euglycemic DKA and ketosis, perhaps as a consequence of their noninsulin-dependent glucose clearance, hyperglucagonemia, and volume depletion. Patients with type 1 or type 2 diabetes who experience nausea, vomiting, or malaise, or develop a metabolic acidosis in the setting of SGLT-2 inhibitor therapy, should be promptly evaluated for the presence of urine and/or serum ketones. SGLT-2 inhibitors should only be used with great caution, extensive counseling, and close monitoring in the setting of type 1 diabetes.","container-title":"Diabetes Care","DOI":"10.2337/dc15-0843","ISSN":"1935-5548","journalAbbreviation":"Diabetes Care","language":"ENG","note":"PMID: 26078479","source":"PubMed","title":"Euglycemic Diabetic Ketoacidosis: A Potential Complication of Treatment With Sodium-Glucose Cotransporter 2 Inhibition","title-short":"Euglycemic Diabetic Ketoacidosis","author":[{"family":"Peters","given":"Anne L."},{"family":"Buschur","given":"Elizabeth O."},{"family":"Buse","given":"John B."},{"family":"Cohan","given":"Pejman"},{"family":"Diner","given":"Jamie C."},{"family":"Hirsch","given":"Irl B."}],"issued":{"date-parts":[["2015",6,15]]}}}],"schema":"https://github.com/citation-style-language/schema/raw/master/csl-citation.json"} </w:instrText>
      </w:r>
      <w:r w:rsidR="001B06EB" w:rsidRPr="0035461C">
        <w:rPr>
          <w:rFonts w:ascii="Calibri" w:hAnsi="Calibri" w:cs="Calibri"/>
        </w:rPr>
        <w:fldChar w:fldCharType="separate"/>
      </w:r>
      <w:r w:rsidR="00076F77" w:rsidRPr="00076F77">
        <w:rPr>
          <w:rFonts w:ascii="Calibri" w:hAnsi="Calibri" w:cs="Calibri"/>
        </w:rPr>
        <w:t>(217)</w:t>
      </w:r>
      <w:r w:rsidR="001B06EB" w:rsidRPr="0035461C">
        <w:rPr>
          <w:rFonts w:ascii="Calibri" w:hAnsi="Calibri" w:cs="Calibri"/>
        </w:rPr>
        <w:fldChar w:fldCharType="end"/>
      </w:r>
      <w:r w:rsidR="0047447F" w:rsidRPr="0035461C">
        <w:rPr>
          <w:rFonts w:ascii="Calibri" w:hAnsi="Calibri" w:cs="Calibri"/>
        </w:rPr>
        <w:t>.</w:t>
      </w:r>
      <w:r w:rsidRPr="0035461C">
        <w:rPr>
          <w:rFonts w:ascii="Calibri" w:hAnsi="Calibri" w:cs="Calibri"/>
        </w:rPr>
        <w:t xml:space="preserve"> </w:t>
      </w:r>
    </w:p>
    <w:p w14:paraId="0A2BC894" w14:textId="1D315396" w:rsidR="00F35525" w:rsidRDefault="00567D76" w:rsidP="001C5BC0">
      <w:pPr>
        <w:spacing w:before="120"/>
        <w:jc w:val="both"/>
        <w:rPr>
          <w:rFonts w:ascii="Calibri" w:hAnsi="Calibri" w:cs="Calibri"/>
        </w:rPr>
      </w:pPr>
      <w:r w:rsidRPr="0035461C">
        <w:rPr>
          <w:rFonts w:ascii="Calibri" w:hAnsi="Calibri" w:cs="Calibri"/>
          <w:iCs/>
        </w:rPr>
        <w:t>Diabetes self-management education is an effective tool in reducing DKA risk. Additional medical</w:t>
      </w:r>
      <w:r w:rsidR="005369C6" w:rsidRPr="0035461C">
        <w:rPr>
          <w:rFonts w:ascii="Calibri" w:hAnsi="Calibri" w:cs="Calibri"/>
          <w:iCs/>
        </w:rPr>
        <w:t>,</w:t>
      </w:r>
      <w:r w:rsidRPr="0035461C">
        <w:rPr>
          <w:rFonts w:ascii="Calibri" w:hAnsi="Calibri" w:cs="Calibri"/>
          <w:iCs/>
        </w:rPr>
        <w:t xml:space="preserve"> </w:t>
      </w:r>
      <w:proofErr w:type="spellStart"/>
      <w:r w:rsidRPr="0035461C">
        <w:rPr>
          <w:rFonts w:ascii="Calibri" w:hAnsi="Calibri" w:cs="Calibri"/>
          <w:iCs/>
        </w:rPr>
        <w:t>behavio</w:t>
      </w:r>
      <w:r w:rsidR="006E5484" w:rsidRPr="0035461C">
        <w:rPr>
          <w:rFonts w:ascii="Calibri" w:hAnsi="Calibri" w:cs="Calibri"/>
          <w:iCs/>
        </w:rPr>
        <w:t>u</w:t>
      </w:r>
      <w:r w:rsidRPr="0035461C">
        <w:rPr>
          <w:rFonts w:ascii="Calibri" w:hAnsi="Calibri" w:cs="Calibri"/>
          <w:iCs/>
        </w:rPr>
        <w:t>ral</w:t>
      </w:r>
      <w:proofErr w:type="spellEnd"/>
      <w:r w:rsidRPr="0035461C">
        <w:rPr>
          <w:rFonts w:ascii="Calibri" w:hAnsi="Calibri" w:cs="Calibri"/>
          <w:iCs/>
        </w:rPr>
        <w:t xml:space="preserve"> health interventions</w:t>
      </w:r>
      <w:r w:rsidR="00A2660D">
        <w:rPr>
          <w:rFonts w:ascii="Calibri" w:hAnsi="Calibri" w:cs="Calibri"/>
          <w:iCs/>
        </w:rPr>
        <w:t>, including home ketone testing,</w:t>
      </w:r>
      <w:r w:rsidR="005369C6" w:rsidRPr="0035461C">
        <w:rPr>
          <w:rFonts w:ascii="Calibri" w:hAnsi="Calibri" w:cs="Calibri"/>
          <w:iCs/>
        </w:rPr>
        <w:t xml:space="preserve"> and psychosocial support</w:t>
      </w:r>
      <w:r w:rsidRPr="0035461C">
        <w:rPr>
          <w:rFonts w:ascii="Calibri" w:hAnsi="Calibri" w:cs="Calibri"/>
          <w:iCs/>
        </w:rPr>
        <w:t xml:space="preserve"> are often needed. Telemedicine offers the potential to reach populations with decreased access to care, and 24-hour access to advice about managing hyperglyc</w:t>
      </w:r>
      <w:r w:rsidR="006E5484" w:rsidRPr="0035461C">
        <w:rPr>
          <w:rFonts w:ascii="Calibri" w:hAnsi="Calibri" w:cs="Calibri"/>
          <w:iCs/>
        </w:rPr>
        <w:t>a</w:t>
      </w:r>
      <w:r w:rsidRPr="0035461C">
        <w:rPr>
          <w:rFonts w:ascii="Calibri" w:hAnsi="Calibri" w:cs="Calibri"/>
          <w:iCs/>
        </w:rPr>
        <w:t>emia and ketosis/</w:t>
      </w:r>
      <w:proofErr w:type="spellStart"/>
      <w:r w:rsidRPr="0035461C">
        <w:rPr>
          <w:rFonts w:ascii="Calibri" w:hAnsi="Calibri" w:cs="Calibri"/>
          <w:iCs/>
        </w:rPr>
        <w:t>ketonemia</w:t>
      </w:r>
      <w:proofErr w:type="spellEnd"/>
      <w:r w:rsidRPr="0035461C">
        <w:rPr>
          <w:rFonts w:ascii="Calibri" w:hAnsi="Calibri" w:cs="Calibri"/>
          <w:iCs/>
        </w:rPr>
        <w:t xml:space="preserve"> at home can reduce the risk of hospital admission</w:t>
      </w:r>
      <w:r w:rsidR="0047447F" w:rsidRPr="0035461C">
        <w:rPr>
          <w:rFonts w:ascii="Calibri" w:hAnsi="Calibri" w:cs="Calibri"/>
          <w:iCs/>
        </w:rPr>
        <w:t xml:space="preserve"> </w:t>
      </w:r>
      <w:r w:rsidR="004D1556" w:rsidRPr="0035461C">
        <w:rPr>
          <w:rFonts w:ascii="Calibri" w:hAnsi="Calibri" w:cs="Calibri"/>
          <w:iCs/>
        </w:rPr>
        <w:fldChar w:fldCharType="begin"/>
      </w:r>
      <w:r w:rsidR="00076F77">
        <w:rPr>
          <w:rFonts w:ascii="Calibri" w:hAnsi="Calibri" w:cs="Calibri"/>
          <w:iCs/>
        </w:rPr>
        <w:instrText xml:space="preserve"> ADDIN ZOTERO_ITEM CSL_CITATION {"citationID":"JffQvEYE","properties":{"formattedCitation":"(210)","plainCitation":"(210)","noteIndex":0},"citationItems":[{"id":11114,"uris":["http://zotero.org/groups/369679/items/UCFDRADN"],"uri":["http://zotero.org/groups/369679/items/UCFDRADN"],"itemData":{"id":11114,"type":"article-journal","abstract":"Diabetic ketoacidosis (DKA) is a serious acute complication of type 1 diabetes, which is receiving more attention given the increased DKA risk associated with SGLT inhibitors. Sociodemographic and modifiable risk factors were identified with strong evidence for an increased risk of DKA, including socioeconomic disadvantage, adolescent age (13-25 years), female sex, high HbA1c, previous DKA, and psychiatric comorbidities (eg, eating disorders and depression). Possible prevention strategies, which include the identification of people at risk based on non-modifiable sociodemographic risk factors, are proposed. As a second risk mitigation strategy, structured diabetes self-management education that addresses modifiable risk factors can be used. Evidence has found that structured education leads to reduced DKA rates. Knowledge of these risk factors and potent risk mitigation strategies are important to identify subgroups of people with an elevated DKA risk. This knowledge should also be used when adjunct therapy options with an increased DKA risk are considered. Prevention of DKA in people with type 1 diabetes is an important clinical task, which should also be addressed when SGLT inhibitors are part of therapy.","container-title":"The Lancet. Diabetes &amp; Endocrinology","DOI":"10.1016/S2213-8587(20)30042-5","ISSN":"2213-8595","issue":"5","journalAbbreviation":"Lancet Diabetes Endocrinol","language":"eng","note":"PMID: 32333879","page":"436-446","source":"PubMed","title":"Risk factors and prevention strategies for diabetic ketoacidosis in people with established type 1 diabetes","volume":"8","author":[{"family":"Ehrmann","given":"Dominic"},{"family":"Kulzer","given":"Bernhard"},{"family":"Roos","given":"Timm"},{"family":"Haak","given":"Thomas"},{"family":"Al-Khatib","given":"Mohammed"},{"family":"Hermanns","given":"Norbert"}],"issued":{"date-parts":[["2020",5]]}}}],"schema":"https://github.com/citation-style-language/schema/raw/master/csl-citation.json"} </w:instrText>
      </w:r>
      <w:r w:rsidR="004D1556" w:rsidRPr="0035461C">
        <w:rPr>
          <w:rFonts w:ascii="Calibri" w:hAnsi="Calibri" w:cs="Calibri"/>
          <w:iCs/>
        </w:rPr>
        <w:fldChar w:fldCharType="separate"/>
      </w:r>
      <w:r w:rsidR="00076F77" w:rsidRPr="00076F77">
        <w:rPr>
          <w:rFonts w:ascii="Calibri" w:hAnsi="Calibri" w:cs="Calibri"/>
        </w:rPr>
        <w:t>(210)</w:t>
      </w:r>
      <w:r w:rsidR="004D1556" w:rsidRPr="0035461C">
        <w:rPr>
          <w:rFonts w:ascii="Calibri" w:hAnsi="Calibri" w:cs="Calibri"/>
          <w:iCs/>
        </w:rPr>
        <w:fldChar w:fldCharType="end"/>
      </w:r>
      <w:r w:rsidR="0047447F" w:rsidRPr="0035461C">
        <w:rPr>
          <w:rFonts w:ascii="Calibri" w:hAnsi="Calibri" w:cs="Calibri"/>
          <w:iCs/>
        </w:rPr>
        <w:t>.</w:t>
      </w:r>
      <w:r w:rsidRPr="0035461C">
        <w:rPr>
          <w:rFonts w:ascii="Calibri" w:hAnsi="Calibri" w:cs="Calibri"/>
          <w:iCs/>
        </w:rPr>
        <w:t xml:space="preserve"> </w:t>
      </w:r>
    </w:p>
    <w:p w14:paraId="2CD0A3A8" w14:textId="5132F744" w:rsidR="00567D76" w:rsidRPr="0035461C" w:rsidRDefault="006E5484" w:rsidP="001C5BC0">
      <w:pPr>
        <w:spacing w:before="120"/>
        <w:jc w:val="both"/>
        <w:rPr>
          <w:rFonts w:ascii="Calibri" w:hAnsi="Calibri" w:cs="Calibri"/>
          <w:iCs/>
        </w:rPr>
      </w:pPr>
      <w:r w:rsidRPr="0035461C">
        <w:rPr>
          <w:rFonts w:ascii="Calibri" w:hAnsi="Calibri" w:cs="Calibri"/>
          <w:iCs/>
        </w:rPr>
        <w:t>A detailed description of the management of DKA is beyond the scope of this report but t</w:t>
      </w:r>
      <w:r w:rsidR="00567D76" w:rsidRPr="0035461C">
        <w:rPr>
          <w:rFonts w:ascii="Calibri" w:hAnsi="Calibri" w:cs="Calibri"/>
          <w:iCs/>
        </w:rPr>
        <w:t xml:space="preserve">he general principles of treatment are replacement of fluid, insulin, and potassium. </w:t>
      </w:r>
      <w:r w:rsidR="0059435A">
        <w:rPr>
          <w:rFonts w:ascii="Calibri" w:hAnsi="Calibri" w:cs="Calibri"/>
          <w:iCs/>
        </w:rPr>
        <w:t>D</w:t>
      </w:r>
      <w:r w:rsidR="00567D76" w:rsidRPr="0035461C">
        <w:rPr>
          <w:rFonts w:ascii="Calibri" w:hAnsi="Calibri" w:cs="Calibri"/>
          <w:iCs/>
        </w:rPr>
        <w:t xml:space="preserve">ifferent protocols for DKA treatment </w:t>
      </w:r>
      <w:r w:rsidR="0059435A">
        <w:rPr>
          <w:rFonts w:ascii="Calibri" w:hAnsi="Calibri" w:cs="Calibri"/>
          <w:iCs/>
        </w:rPr>
        <w:t xml:space="preserve">exist </w:t>
      </w:r>
      <w:r w:rsidR="00567D76" w:rsidRPr="0035461C">
        <w:rPr>
          <w:rFonts w:ascii="Calibri" w:hAnsi="Calibri" w:cs="Calibri"/>
          <w:iCs/>
        </w:rPr>
        <w:t>in different parts of the world</w:t>
      </w:r>
      <w:r w:rsidR="0047447F" w:rsidRPr="0035461C">
        <w:rPr>
          <w:rFonts w:ascii="Calibri" w:hAnsi="Calibri" w:cs="Calibri"/>
          <w:iCs/>
        </w:rPr>
        <w:t xml:space="preserve"> </w:t>
      </w:r>
      <w:r w:rsidR="00102142" w:rsidRPr="0035461C">
        <w:rPr>
          <w:rFonts w:ascii="Calibri" w:hAnsi="Calibri" w:cs="Calibri"/>
          <w:iCs/>
        </w:rPr>
        <w:fldChar w:fldCharType="begin"/>
      </w:r>
      <w:r w:rsidR="00076F77">
        <w:rPr>
          <w:rFonts w:ascii="Calibri" w:hAnsi="Calibri" w:cs="Calibri"/>
          <w:iCs/>
        </w:rPr>
        <w:instrText xml:space="preserve"> ADDIN ZOTERO_ITEM CSL_CITATION {"citationID":"OYCYmJR3","properties":{"formattedCitation":"(218,219)","plainCitation":"(218,219)","noteIndex":0},"citationItems":[{"id":11128,"uris":["http://zotero.org/groups/369679/items/G3HCHIDQ"],"uri":["http://zotero.org/groups/369679/items/G3HCHIDQ"],"itemData":{"id":11128,"type":"article-journal","abstract":"PURPOSE OF REVIEW: Diabetic ketoacidosis (DKA) and hyperglycemic hyperosmolar state (HHS) are diabetic emergencies that cause high morbidity and mortality. Their treatment differs in the UK and USA. This review delineates the differences in diagnosis and treatment between the two countries.\nRECENT FINDINGS: Large-scale studies to determine optimal management of DKA and HHS are lacking. The diagnosis of DKA is based on disease severity in the USA, which differs from the UK. The diagnosis of HHS in the USA is based on total rather than effective osmolality. Unlike the USA, the UK has separate guidelines for DKA and HHS. Treatment of DKA and HHS also differs with respect to timing of fluid and insulin initiation. There is considerable overlap but important differences between the UK and USA guidelines for the management of DKA and HHS. Further research needs to be done to delineate a unifying diagnostic and treatment protocol.","container-title":"Current Diabetes Reports","DOI":"10.1007/s11892-017-0857-4","ISSN":"1539-0829","issue":"5","journalAbbreviation":"Curr Diab Rep","language":"eng","note":"PMID: 28364357\nPMCID: PMC5375966","page":"33","source":"PubMed","title":"Treatment of Diabetic Ketoacidosis (DKA)/Hyperglycemic Hyperosmolar State (HHS): Novel Advances in the Management of Hyperglycemic Crises (UK Versus USA)","title-short":"Treatment of Diabetic Ketoacidosis (DKA)/Hyperglycemic Hyperosmolar State (HHS)","volume":"17","author":[{"family":"Dhatariya","given":"Ketan K."},{"family":"Vellanki","given":"Priyathama"}],"issued":{"date-parts":[["2017",5]]}}},{"id":2048,"uris":["http://zotero.org/groups/369679/items/PF9K7RWG"],"uri":["http://zotero.org/groups/369679/items/PF9K7RWG"],"itemData":{"id":2048,"type":"article-journal","abstract":"CONTEXT: Diabetic ketoacidosis (DKA) and hyperglycemic hyperosmolar state (HHS) cause major morbidity and significant mortality in patients with diabetes mellitus. For more than 30 yr, our group, in a series of prospective, randomized clinical studies, has investigated the pathogenesis and evolving strategies of the treatment of hyperglycemic crises. This paper summarizes the results of these prospective studies on the management and pathophysiology of DKA.\nSETTING: Our earliest studies evaluated the comparative efficacy of low-dose vs. pharmacological amounts of insulin and the use of low-dose therapy by various routes in adults and later in children. Subsequent studies evaluated phosphate and bicarbonate therapy, lipid metabolism, ketosis-prone type 2 patients, and use of rapid-acting insulin analogs as well as leptin status, cardiac risk factors, proinflammatory cytokines, and the mechanism of activation of T lymphocytes in hyperglycemic crises.\nMAIN OUTCOME: The information garnered from these studies resulted in the creation of the 2001 American Diabetes Association (ADA) technical review on DKA and HHS as well as the ADA Position and Consensus Paper on the therapy for hyperglycemic crises.\nCONCLUSIONS: Areas of future research include prospective randomized studies to do the following: 1) establish the efficacy of bicarbonate therapy in DKA for a pH less than 6.9; 2) establish the need for a bolus insulin dose in the initial therapy of DKA; 3) determine the pathophysiological mechanisms for the absence of ketosis in HHS; 4) investigate the reasons for elevated proinflammatory cytokines and cardiovascular risk factors; and 5) evaluate the efficacy and cost benefit of using sc regular insulin vs. more expensive insulin analogs on the general ward for the treatment of DKA.","container-title":"The Journal of Clinical Endocrinology and Metabolism","DOI":"10.1210/jc.2007-2577","ISSN":"0021-972X","issue":"5","journalAbbreviation":"J. Clin. Endocrinol. Metab.","language":"eng","note":"PMID: 18270259\nPMCID: PMC2386681","page":"1541-1552","source":"PubMed","title":"Thirty years of personal experience in hyperglycemic crises: diabetic ketoacidosis and hyperglycemic hyperosmolar state","title-short":"Thirty years of personal experience in hyperglycemic crises","volume":"93","author":[{"family":"Kitabchi","given":"Abbas E."},{"family":"Umpierrez","given":"Guillermo E."},{"family":"Fisher","given":"Joseph N."},{"family":"Murphy","given":"Mary Beth"},{"family":"Stentz","given":"Frankie B."}],"issued":{"date-parts":[["2008",5]]}}}],"schema":"https://github.com/citation-style-language/schema/raw/master/csl-citation.json"} </w:instrText>
      </w:r>
      <w:r w:rsidR="00102142" w:rsidRPr="0035461C">
        <w:rPr>
          <w:rFonts w:ascii="Calibri" w:hAnsi="Calibri" w:cs="Calibri"/>
          <w:iCs/>
        </w:rPr>
        <w:fldChar w:fldCharType="separate"/>
      </w:r>
      <w:r w:rsidR="00076F77" w:rsidRPr="00076F77">
        <w:rPr>
          <w:rFonts w:ascii="Calibri" w:hAnsi="Calibri" w:cs="Calibri"/>
        </w:rPr>
        <w:t>(218,219)</w:t>
      </w:r>
      <w:r w:rsidR="00102142" w:rsidRPr="0035461C">
        <w:rPr>
          <w:rFonts w:ascii="Calibri" w:hAnsi="Calibri" w:cs="Calibri"/>
          <w:iCs/>
        </w:rPr>
        <w:fldChar w:fldCharType="end"/>
      </w:r>
      <w:r w:rsidR="0047447F" w:rsidRPr="0035461C">
        <w:rPr>
          <w:rFonts w:ascii="Calibri" w:hAnsi="Calibri" w:cs="Calibri"/>
          <w:iCs/>
        </w:rPr>
        <w:t>.</w:t>
      </w:r>
      <w:r w:rsidR="00567D76" w:rsidRPr="0035461C">
        <w:rPr>
          <w:rFonts w:ascii="Calibri" w:hAnsi="Calibri" w:cs="Calibri"/>
          <w:iCs/>
        </w:rPr>
        <w:t xml:space="preserve"> For further information regarding treatment, refer to previous reviews</w:t>
      </w:r>
      <w:r w:rsidR="0047447F" w:rsidRPr="0035461C">
        <w:rPr>
          <w:rFonts w:ascii="Calibri" w:hAnsi="Calibri" w:cs="Calibri"/>
          <w:iCs/>
        </w:rPr>
        <w:t xml:space="preserve"> </w:t>
      </w:r>
      <w:r w:rsidR="00282EDA" w:rsidRPr="0035461C">
        <w:rPr>
          <w:rFonts w:ascii="Calibri" w:hAnsi="Calibri" w:cs="Calibri"/>
          <w:iCs/>
        </w:rPr>
        <w:fldChar w:fldCharType="begin"/>
      </w:r>
      <w:r w:rsidR="00076F77">
        <w:rPr>
          <w:rFonts w:ascii="Calibri" w:hAnsi="Calibri" w:cs="Calibri"/>
          <w:iCs/>
        </w:rPr>
        <w:instrText xml:space="preserve"> ADDIN ZOTERO_ITEM CSL_CITATION {"citationID":"Y0f91wmj","properties":{"formattedCitation":"(220,221)","plainCitation":"(220,221)","noteIndex":0},"citationItems":[{"id":11408,"uris":["http://zotero.org/groups/369679/items/PZ8ER5W6"],"uri":["http://zotero.org/groups/369679/items/PZ8ER5W6"],"itemData":{"id":11408,"type":"article-journal","abstract":"The Joint British Diabetes Societies guidelines for the management of diabetic ketoacidosis (these do not cover Hyperosmolar Hyperglycaemic Syndrome) are available in full at: (i) http://www.diabetes.org.uk/About_us/Our_Views/Care_recommendations/The-Management-of-Diabetic-Ketoacidosis-in-Adults; (ii)  http://www.diabetes.nhs.uk/publications_and_resources/reports_and_guidance; (iii) http://www.diabetologists-abcd.org.uk/JBDS_DKA_Management.pdf. This article summarizes the main changes from previous guidelines and discusses the rationale for the new recommendations. The key points are: Monitoring of the response to treatment (i) The method of choice for monitoring the response to treatment is bedside measurement of capillary blood ketones using a ketone meter. (ii) If blood ketone measurement is not available, venous pH and bicarbonate should be used in conjunction with bedside blood glucose monitoring to assess treatment response. (iii) Venous blood should be used rather than arterial (unless respiratory problems dictate otherwise) in blood gas analysers. (iv) Intermittent laboratory confirmation of pH, bicarbonate and electrolytes only. Insulin administration (i) Insulin should be infused intravenously at a weight-based fixed rate until the ketosis has resolved. (ii) When the blood glucose falls below 14 mmol/l, 10% glucose should be added to allow the fixed-rate insulin to be continued. (iii) If already taking, long-acting insulin analogues such as insulin glargine (Lantus(®), Sanofi Aventis, Guildford, Surry, UK) or insulin detemir (Levemir(®), Novo Nordisk, Crawley, West Sussex, UK.) should be continued in usual doses. Delivery of care (i) The diabetes specialist team should be involved as soon as possible. (ii) Patients should be nursed in areas where staff are experienced in the management of ketoacidosis.","container-title":"Diabetic Medicine: A Journal of the British Diabetic Association","DOI":"10.1111/j.1464-5491.2011.03246.x","ISSN":"1464-5491","issue":"5","journalAbbreviation":"Diabet Med","language":"eng","note":"PMID: 21255074","page":"508-515","source":"PubMed","title":"Joint British Diabetes Societies guideline for the management of diabetic ketoacidosis","volume":"28","author":[{"family":"Savage","given":"M. W."},{"family":"Dhatariya","given":"K. K."},{"family":"Kilvert","given":"A."},{"family":"Rayman","given":"G."},{"family":"Rees","given":"J. a. E."},{"family":"Courtney","given":"C. H."},{"family":"Hilton","given":"L."},{"family":"Dyer","given":"P. H."},{"family":"Hamersley","given":"M. S."},{"literal":"Joint British Diabetes Societies"}],"issued":{"date-parts":[["2011",5]]}}},{"id":3038,"uris":["http://zotero.org/groups/369679/items/FVWN2ASK"],"uri":["http://zotero.org/groups/369679/items/FVWN2ASK"],"itemData":{"id":3038,"type":"article-journal","abstract":"Diabetic ketoacidosis (DKA), hyperglycaemic hyperosmolar state (HHS) and hypoglycaemia are serious complications of diabetes mellitus that require prompt recognition, diagnosis and treatment. DKA and HHS are characterized by insulinopaenia and severe hyperglycaemia; clinically, these two conditions differ only by the degree of dehydration and the severity of metabolic acidosis. The overall mortality recorded among children and adults with DKA is &lt;1%. Mortality among patients with HHS is ~10-fold higher than that associated with DKA. The prognosis and outcome of patients with DKA or HHS are determined by the severity of dehydration, the presence of comorbidities and age &gt;60 years. The estimated annual cost of hospital treatment for patients experiencing hyperglycaemic crises in the USA exceeds US$2 billion. Hypoglycaemia is a frequent and serious adverse effect of antidiabetic therapy that is associated with both immediate and delayed adverse clinical outcomes, as well as increased economic costs. Inpatients who develop hypoglycaemia are likely to experience a long duration of hospital stay and increased mortality. This Review describes the clinical presentation, precipitating causes, diagnosis and acute management of these diabetic emergencies, including a discussion of practical strategies for their prevention.","container-title":"Nature Reviews. Endocrinology","DOI":"10.1038/nrendo.2016.15","ISSN":"1759-5037","issue":"4","journalAbbreviation":"Nat Rev Endocrinol","language":"eng","note":"PMID: 26893262","page":"222-232","source":"PubMed","title":"Diabetic emergencies - ketoacidosis, hyperglycaemic hyperosmolar state and hypoglycaemia","volume":"12","author":[{"family":"Umpierrez","given":"Guillermo"},{"family":"Korytkowski","given":"Mary"}],"issued":{"date-parts":[["2016",4]]}}}],"schema":"https://github.com/citation-style-language/schema/raw/master/csl-citation.json"} </w:instrText>
      </w:r>
      <w:r w:rsidR="00282EDA" w:rsidRPr="0035461C">
        <w:rPr>
          <w:rFonts w:ascii="Calibri" w:hAnsi="Calibri" w:cs="Calibri"/>
          <w:iCs/>
        </w:rPr>
        <w:fldChar w:fldCharType="separate"/>
      </w:r>
      <w:r w:rsidR="00076F77" w:rsidRPr="00076F77">
        <w:rPr>
          <w:rFonts w:ascii="Calibri" w:hAnsi="Calibri" w:cs="Calibri"/>
        </w:rPr>
        <w:t>(220,221)</w:t>
      </w:r>
      <w:r w:rsidR="00282EDA" w:rsidRPr="0035461C">
        <w:rPr>
          <w:rFonts w:ascii="Calibri" w:hAnsi="Calibri" w:cs="Calibri"/>
          <w:iCs/>
        </w:rPr>
        <w:fldChar w:fldCharType="end"/>
      </w:r>
      <w:r w:rsidR="0047447F" w:rsidRPr="0035461C">
        <w:rPr>
          <w:rFonts w:ascii="Calibri" w:hAnsi="Calibri" w:cs="Calibri"/>
          <w:iCs/>
        </w:rPr>
        <w:t>.</w:t>
      </w:r>
    </w:p>
    <w:p w14:paraId="0715F2A3" w14:textId="77777777" w:rsidR="006E5484" w:rsidRPr="0035461C" w:rsidRDefault="006E5484" w:rsidP="001C5BC0">
      <w:pPr>
        <w:spacing w:before="120"/>
        <w:rPr>
          <w:rFonts w:ascii="Calibri" w:hAnsi="Calibri" w:cs="Calibri"/>
          <w:b/>
          <w:bCs/>
        </w:rPr>
      </w:pPr>
    </w:p>
    <w:p w14:paraId="7E5063EE" w14:textId="017CB391" w:rsidR="00910721" w:rsidRPr="0035461C" w:rsidRDefault="005431A2" w:rsidP="001C5BC0">
      <w:pPr>
        <w:spacing w:before="120"/>
        <w:rPr>
          <w:rFonts w:ascii="Calibri" w:hAnsi="Calibri" w:cs="Calibri"/>
          <w:b/>
          <w:bCs/>
        </w:rPr>
      </w:pPr>
      <w:r w:rsidRPr="0035461C">
        <w:rPr>
          <w:rFonts w:ascii="Calibri" w:hAnsi="Calibri" w:cs="Calibri"/>
          <w:b/>
          <w:bCs/>
        </w:rPr>
        <w:t xml:space="preserve">Section </w:t>
      </w:r>
      <w:r w:rsidR="00264FF0" w:rsidRPr="0035461C">
        <w:rPr>
          <w:rFonts w:ascii="Calibri" w:hAnsi="Calibri" w:cs="Calibri"/>
          <w:b/>
          <w:bCs/>
        </w:rPr>
        <w:t>12</w:t>
      </w:r>
      <w:r w:rsidRPr="0035461C">
        <w:rPr>
          <w:rFonts w:ascii="Calibri" w:hAnsi="Calibri" w:cs="Calibri"/>
          <w:b/>
          <w:bCs/>
        </w:rPr>
        <w:t>:</w:t>
      </w:r>
      <w:r w:rsidR="00E615B3" w:rsidRPr="0035461C">
        <w:rPr>
          <w:rFonts w:ascii="Calibri" w:hAnsi="Calibri" w:cs="Calibri"/>
          <w:b/>
          <w:bCs/>
        </w:rPr>
        <w:t xml:space="preserve"> </w:t>
      </w:r>
      <w:r w:rsidR="00910721" w:rsidRPr="0035461C">
        <w:rPr>
          <w:rFonts w:ascii="Calibri" w:hAnsi="Calibri" w:cs="Calibri"/>
          <w:b/>
          <w:bCs/>
        </w:rPr>
        <w:t>Pancreas and Islet transplantation</w:t>
      </w:r>
    </w:p>
    <w:p w14:paraId="6DA5D92E" w14:textId="0B62CAB3" w:rsidR="00CC2E1F" w:rsidRPr="0035461C" w:rsidRDefault="00910721" w:rsidP="001C5BC0">
      <w:pPr>
        <w:spacing w:before="120"/>
        <w:jc w:val="both"/>
        <w:rPr>
          <w:rFonts w:ascii="Calibri" w:hAnsi="Calibri" w:cs="Calibri"/>
          <w:lang w:val="en-GB"/>
        </w:rPr>
      </w:pPr>
      <w:r w:rsidRPr="0035461C">
        <w:rPr>
          <w:rFonts w:ascii="Calibri" w:hAnsi="Calibri" w:cs="Calibri"/>
          <w:lang w:val="en-GB"/>
        </w:rPr>
        <w:t xml:space="preserve">Whole organ pancreas and pancreatic islet transplantation are currently the only means of clinical </w:t>
      </w:r>
      <w:r w:rsidR="001C5BC0" w:rsidRPr="0035461C">
        <w:rPr>
          <w:rFonts w:ascii="Calibri" w:hAnsi="Calibri" w:cs="Calibri"/>
          <w:lang w:val="en-GB"/>
        </w:rPr>
        <w:t>β</w:t>
      </w:r>
      <w:r w:rsidRPr="0035461C">
        <w:rPr>
          <w:rFonts w:ascii="Calibri" w:hAnsi="Calibri" w:cs="Calibri"/>
          <w:lang w:val="en-GB"/>
        </w:rPr>
        <w:t>-cell replacement</w:t>
      </w:r>
      <w:r w:rsidR="00A40609" w:rsidRPr="0035461C">
        <w:rPr>
          <w:rFonts w:ascii="Calibri" w:hAnsi="Calibri" w:cs="Calibri"/>
          <w:lang w:val="en-GB"/>
        </w:rPr>
        <w:t xml:space="preserve"> (figure </w:t>
      </w:r>
      <w:r w:rsidR="00BC3350" w:rsidRPr="0035461C">
        <w:rPr>
          <w:rFonts w:ascii="Calibri" w:hAnsi="Calibri" w:cs="Calibri"/>
          <w:lang w:val="en-GB"/>
        </w:rPr>
        <w:t>7</w:t>
      </w:r>
      <w:r w:rsidR="00A40609" w:rsidRPr="0035461C">
        <w:rPr>
          <w:rFonts w:ascii="Calibri" w:hAnsi="Calibri" w:cs="Calibri"/>
          <w:lang w:val="en-GB"/>
        </w:rPr>
        <w:t>)</w:t>
      </w:r>
      <w:r w:rsidRPr="0035461C">
        <w:rPr>
          <w:rFonts w:ascii="Calibri" w:hAnsi="Calibri" w:cs="Calibri"/>
          <w:lang w:val="en-GB"/>
        </w:rPr>
        <w:t>. Both therapeutic options can effectively prevent hypoglycaemia</w:t>
      </w:r>
      <w:r w:rsidR="00770097" w:rsidRPr="0035461C">
        <w:rPr>
          <w:rFonts w:ascii="Calibri" w:hAnsi="Calibri" w:cs="Calibri"/>
          <w:lang w:val="en-GB"/>
        </w:rPr>
        <w:t>,</w:t>
      </w:r>
      <w:r w:rsidR="008D3707" w:rsidRPr="0035461C">
        <w:rPr>
          <w:rFonts w:ascii="Calibri" w:hAnsi="Calibri" w:cs="Calibri"/>
          <w:lang w:val="en-GB"/>
        </w:rPr>
        <w:t xml:space="preserve"> </w:t>
      </w:r>
      <w:r w:rsidRPr="0035461C">
        <w:rPr>
          <w:rFonts w:ascii="Calibri" w:hAnsi="Calibri" w:cs="Calibri"/>
          <w:lang w:val="en-GB"/>
        </w:rPr>
        <w:t xml:space="preserve">restore </w:t>
      </w:r>
      <w:proofErr w:type="spellStart"/>
      <w:r w:rsidRPr="0035461C">
        <w:rPr>
          <w:rFonts w:ascii="Calibri" w:hAnsi="Calibri" w:cs="Calibri"/>
          <w:lang w:val="en-GB"/>
        </w:rPr>
        <w:t>normogl</w:t>
      </w:r>
      <w:r w:rsidR="008E0C17" w:rsidRPr="0035461C">
        <w:rPr>
          <w:rFonts w:ascii="Calibri" w:hAnsi="Calibri" w:cs="Calibri"/>
          <w:lang w:val="en-GB"/>
        </w:rPr>
        <w:t>ycaemi</w:t>
      </w:r>
      <w:r w:rsidRPr="0035461C">
        <w:rPr>
          <w:rFonts w:ascii="Calibri" w:hAnsi="Calibri" w:cs="Calibri"/>
          <w:lang w:val="en-GB"/>
        </w:rPr>
        <w:t>a</w:t>
      </w:r>
      <w:proofErr w:type="spellEnd"/>
      <w:r w:rsidR="008D3707" w:rsidRPr="0035461C">
        <w:rPr>
          <w:rFonts w:ascii="Calibri" w:hAnsi="Calibri" w:cs="Calibri"/>
          <w:lang w:val="en-GB"/>
        </w:rPr>
        <w:t>,</w:t>
      </w:r>
      <w:r w:rsidRPr="0035461C">
        <w:rPr>
          <w:rFonts w:ascii="Calibri" w:hAnsi="Calibri" w:cs="Calibri"/>
          <w:lang w:val="en-GB"/>
        </w:rPr>
        <w:t xml:space="preserve"> and </w:t>
      </w:r>
      <w:r w:rsidR="007D4CCC" w:rsidRPr="0035461C">
        <w:rPr>
          <w:rFonts w:ascii="Calibri" w:hAnsi="Calibri" w:cs="Calibri"/>
          <w:lang w:val="en-GB"/>
        </w:rPr>
        <w:t xml:space="preserve">possibly </w:t>
      </w:r>
      <w:r w:rsidRPr="0035461C">
        <w:rPr>
          <w:rFonts w:ascii="Calibri" w:hAnsi="Calibri" w:cs="Calibri"/>
          <w:lang w:val="en-GB"/>
        </w:rPr>
        <w:t xml:space="preserve">stabilize the </w:t>
      </w:r>
      <w:r w:rsidR="00A27062" w:rsidRPr="0035461C">
        <w:rPr>
          <w:rFonts w:ascii="Calibri" w:hAnsi="Calibri" w:cs="Calibri"/>
          <w:lang w:val="en-GB"/>
        </w:rPr>
        <w:t xml:space="preserve">progression of </w:t>
      </w:r>
      <w:r w:rsidRPr="0035461C">
        <w:rPr>
          <w:rFonts w:ascii="Calibri" w:hAnsi="Calibri" w:cs="Calibri"/>
          <w:lang w:val="en-GB"/>
        </w:rPr>
        <w:t>complications of</w:t>
      </w:r>
      <w:r w:rsidR="001C5BC0" w:rsidRPr="0035461C">
        <w:rPr>
          <w:rFonts w:ascii="Calibri" w:hAnsi="Calibri" w:cs="Calibri"/>
          <w:lang w:val="en-GB"/>
        </w:rPr>
        <w:t xml:space="preserve"> type 1 diabetes</w:t>
      </w:r>
      <w:r w:rsidR="0047447F" w:rsidRPr="0035461C">
        <w:rPr>
          <w:rFonts w:ascii="Calibri" w:hAnsi="Calibri" w:cs="Calibri"/>
          <w:lang w:val="en-GB"/>
        </w:rPr>
        <w:t xml:space="preserve"> </w:t>
      </w:r>
      <w:r w:rsidR="00E856D5" w:rsidRPr="0035461C">
        <w:rPr>
          <w:rFonts w:ascii="Calibri" w:hAnsi="Calibri" w:cs="Calibri"/>
          <w:lang w:val="en-GB"/>
        </w:rPr>
        <w:fldChar w:fldCharType="begin"/>
      </w:r>
      <w:r w:rsidR="00076F77">
        <w:rPr>
          <w:rFonts w:ascii="Calibri" w:hAnsi="Calibri" w:cs="Calibri"/>
          <w:lang w:val="en-GB"/>
        </w:rPr>
        <w:instrText xml:space="preserve"> ADDIN ZOTERO_ITEM CSL_CITATION {"citationID":"MhoBC4f0","properties":{"formattedCitation":"(222\\uc0\\u8211{}226)","plainCitation":"(222–226)","noteIndex":0},"citationItems":[{"id":11131,"uris":["http://zotero.org/groups/369679/items/77H6IIRR"],"uri":["http://zotero.org/groups/369679/items/77H6IIRR"],"itemData":{"id":11131,"type":"article-journal","abstract":"For many patients with type 1 diabetes mellitus and selected patients with type 2 diabetes mellitus, a successful pancreas transplant is the only definitive long-term treatment that both restores euglycaemia without the risk of severe hypoglycaemia and prevents, halts or reverses secondary complications. These benefits come at the cost of major surgery and lifelong immunosuppression. Nevertheless, pancreas transplants are safe and effective, with patient survival rates currently &gt;95% at 1 year and &gt;88% at 5 years; graft survival rates are almost 85% at 1 year and &gt;60% at 5 years. The estimated half-life of a pancreas graft is now 7-14 years. The improvements in graft survival are attributable to considerable reductions in technical failures and in immunologic graft losses. Pancreas recipients have reduced mortality compared with waiting candidates or patients with diabetes mellitus who undergo a kidney transplant alone. Pancreas transplants should be more frequently offered to nonuraemic patients with brittle diabetes mellitus to prevent the development of secondary diabetic complications and to avoid the need for a kidney transplant. Although the results of islet transplantation have also improved, islet recipients rarely maintain long-term insulin independence despite the use of multiple organ donor pancreases. Pancreas transplants and islet transplants should be considered complementary, not mutually exclusive, procedures that are chosen on the basis of the individual patient's surgical risk.","container-title":"Nature Reviews. Endocrinology","DOI":"10.1038/nrendo.2013.138","ISSN":"1759-5037","issue":"9","journalAbbreviation":"Nat Rev Endocrinol","language":"eng","note":"PMID: 23897173","page":"555-562","source":"PubMed","title":"The current state of pancreas transplantation","volume":"9","author":[{"family":"Gruessner","given":"Rainer W. G."},{"family":"Gruessner","given":"Angelika C."}],"issued":{"date-parts":[["2013",9]]}}},{"id":1569,"uris":["http://zotero.org/groups/369679/items/RGB2844I"],"uri":["http://zotero.org/groups/369679/items/RGB2844I"],"itemData":{"id":1569,"type":"article-journal","abstract":"OBJECTIVE: To describe trends of primary efficacy and safety outcomes of islet transplantation in type 1 diabetes recipients with severe hypoglycemia from the Collaborative Islet Transplant Registry (CITR) from 1999 to 2010.\nRESEARCH DESIGN AND METHODS: A total of 677 islet transplant-alone or islet-after-kidney recipients with type 1 diabetes in the CITR were analyzed for five primary efficacy outcomes and overall safety to identify any differences by early (1999-2002), mid (2003-2006), or recent (2007-2010) transplant era based on annual follow-up to 5 years.\nRESULTS: Insulin independence at 3 years after transplant improved from 27% in the early era (1999-2002, n = 214) to 37% in the mid (2003-2006, n = 255) and to 44% in the most recent era (2007-2010, n = 208; P = 0.006 for years-by-era; P = 0.01 for era alone). C-peptide ≥0.3 ng/mL, indicative of islet graft function, was retained longer in the most recent era (P &lt; 0.001). Reduction of HbA(1c) and resolution of severe hypoglycemia exhibited enduring long-term effects. Fasting blood glucose stabilization also showed improvements in the most recent era. There were also modest reductions in the occurrence of adverse events. The islet reinfusion rate was lower: 48% by 1 year in 2007-2010 vs. 60-65% in 1999-2006 (P &lt; 0.01). Recipients that ever achieved insulin-independence experienced longer duration of islet graft function (P &lt; 0.001).\nCONCLUSIONS: The CITR shows improvement in primary efficacy and safety outcomes of islet transplantation in recipients who received transplants in 2007-2010 compared with those in 1999-2006, with fewer islet infusions and adverse events per recipient.","container-title":"Diabetes care","DOI":"10.2337/dc12-0063","ISSN":"1935-5548","issue":"7","journalAbbreviation":"Diabetes Care","language":"eng","note":"PMID: 22723582 \nPMCID: PMC3379615","page":"1436-1445","source":"NCBI PubMed","title":"Improvement in outcomes of clinical islet transplantation: 1999-2010","title-short":"Improvement in outcomes of clinical islet transplantation","volume":"35","author":[{"family":"Barton","given":"Franca B"},{"family":"Rickels","given":"Michael R"},{"family":"Alejandro","given":"Rodolfo"},{"family":"Hering","given":"Bernhard J"},{"family":"Wease","given":"Stephen"},{"family":"Naziruddin","given":"Bashoo"},{"family":"Oberholzer","given":"Jose"},{"family":"Odorico","given":"Jon S"},{"family":"Garfinkel","given":"Marc R"},{"family":"Levy","given":"Marlon"},{"family":"Pattou","given":"Francois"},{"family":"Berney","given":"Thierry"},{"family":"Secchi","given":"Antonio"},{"family":"Messinger","given":"Shari"},{"family":"Senior","given":"Peter A"},{"family":"Maffi","given":"Paola"},{"family":"Posselt","given":"Andrew"},{"family":"Stock","given":"Peter G"},{"family":"Kaufman","given":"Dixon B"},{"family":"Luo","given":"Xunrong"},{"family":"Kandeel","given":"Fouad"},{"family":"Cagliero","given":"Enrico"},{"family":"Turgeon","given":"Nicole A"},{"family":"Witkowski","given":"Piotr"},{"family":"Naji","given":"Ali"},{"family":"O'Connell","given":"Philip J"},{"family":"Greenbaum","given":"Carla"},{"family":"Kudva","given":"Yogish C"},{"family":"Brayman","given":"Kenneth L"},{"family":"Aull","given":"Meredith J"},{"family":"Larsen","given":"Christian"},{"family":"Kay","given":"Tom W H"},{"family":"Fernandez","given":"Luis A"},{"family":"Vantyghem","given":"Marie-Christine"},{"family":"Bellin","given":"Melena"},{"family":"Shapiro","given":"A M James"}],"issued":{"date-parts":[["2012",7]]}}},{"id":11133,"uris":["http://zotero.org/groups/369679/items/MJF4A4JY"],"uri":["http://zotero.org/groups/369679/items/MJF4A4JY"],"itemData":{"id":11133,"type":"article-journal","abstract":"Both pancreas and islet transplantations are therapeutic options for complicated type 1 diabetes. Until recent years, outcomes of islet transplantation have been significantly inferior to those of whole pancreas. Islet transplantation is primarily performed alone in patients with severe hypoglycemia, and recent registry reports have suggested that results of islet transplantation alone in this indication may be about to match those of pancreas transplant alone in insulin independence. Figures of 50% insulin independence at 5 years for either procedure have been cited. In this article, we address the question whether islet transplantation has indeed bridged the gap with whole pancreas. Looking at the evidence to answer this question, we propose that although pancreas may still be more efficient in taking recipients off insulin than islets, there are in fact numerous \"gaps\" separating both procedures that must be taken into the equation. These \"gaps\" relate to organ utilization, organ allocation, indication for transplantation, and morbidity. In-depth analysis reveals that islet transplantation, in fact, has an edge on whole pancreas in some of these aspects. Accordingly, attempts should be made to bridge these gaps from both sides to achieve the same level of success with either procedure. More realistically, it is likely that some of these gaps will remain and that both procedures will coexist and complement each other, to ensure that β cell replacement can be successfully implemented in the greatest possible number of patients with type 1 diabetes.","container-title":"Transplantation","DOI":"10.1097/TP.0000000000000288","ISSN":"1534-6080","issue":"6","journalAbbreviation":"Transplantation","language":"eng","note":"PMID: 25029387","page":"593-599","source":"PubMed","title":"Has the gap between pancreas and islet transplantation closed?","volume":"98","author":[{"family":"Niclauss","given":"Nadja"},{"family":"Morel","given":"Philippe"},{"family":"Berney","given":"Thierry"}],"issued":{"date-parts":[["2014",9,27]]}}},{"id":11135,"uris":["http://zotero.org/groups/369679/items/QBIEHJP4"],"uri":["http://zotero.org/groups/369679/items/QBIEHJP4"],"itemData":{"id":11135,"type":"article-journal","abstract":"Insulin represents a life-saving therapy for patients with type 1 diabetes but, despite appropriate treatment, it prevents only partially long-term diabetic complications, while generating fatal hypoglycemic episodes. Islet transplantation gained attention because of its safety, effectiveness, and minimal invasiveness; however it remains a procedure reserved for a selected group of patients. The introduction of the Edmonton Protocol in 2000, based on a newly designed steroid-free immunosuppressive protocol, revamped the course of islet transplantation. The main goal of islet transplantation remains insulin independence, although the effect of islet transplantation can be more comprehensively evaluated in terms of frequency of hypoglycemic episodes and impact on diabetic complications and quality of life. Islet transplantation was shown to have positive consequences on cardiovascular, renal, neurologic, and ocular diabetic complications. The proof of concept for cellular replacement therapy in diabetes has been established with islet transplantation, it only needs to be improved and rendered widely available.","container-title":"Current Diabetes Reports","DOI":"10.1007/s11892-011-0211-1","ISSN":"1539-0829","issue":"5","journalAbbreviation":"Curr Diab Rep","language":"eng","note":"PMID: 21748256","page":"355-363","source":"PubMed","title":"Impact of islet transplantation on diabetes complications and quality of life","volume":"11","author":[{"family":"Bassi","given":"Roberto"},{"family":"Fiorina","given":"Paolo"}],"issued":{"date-parts":[["2011",10]]}}},{"id":11137,"uris":["http://zotero.org/groups/369679/items/X8LVJQST"],"uri":["http://zotero.org/groups/369679/items/X8LVJQST"],"itemData":{"id":11137,"type":"article-journal","abstract":"BACKGROUND: The effect of islet cell transplantation (ICT) on the progression of diabetic microvascular complications is not well understood.\nMETHODS: We have conducted a prospective, crossover, cohort study comparing ICT with intensive medical therapy on the progression of diabetic nephropathy, retinopathy, and neuropathy.\nRESULTS: The rate of decline in glomerular filtration rate is slower after ICT than on medical therapy. There was significantly more progression of retinopathy in medically treated patients than post-ICT. There was a nonsignificant trend for improved nerve conduction velocity post-ICT.\nCONCLUSIONS: ICT is associated with less progression of microvascular complications than intensive medical therapy. Multicenter, randomized trials are needed to further study the role of ICT in slowing the progression of diabetic complications.","container-title":"Transplantation","DOI":"10.1097/TP.0b013e31820437f3","ISSN":"1534-6080","issue":"3","journalAbbreviation":"Transplantation","language":"eng","note":"PMID: 21258272","page":"373-378","source":"PubMed","title":"Reduced progression of diabetic microvascular complications with islet cell transplantation compared with intensive medical therapy","volume":"91","author":[{"family":"Thompson","given":"David M."},{"family":"Meloche","given":"Mark"},{"family":"Ao","given":"Ziliang"},{"family":"Paty","given":"Breay"},{"family":"Keown","given":"Paul"},{"family":"Shapiro","given":"R. Jean"},{"family":"Ho","given":"Stephen"},{"family":"Worsley","given":"Dan"},{"family":"Fung","given":"Michelle"},{"family":"Meneilly","given":"Graydon"},{"family":"Begg","given":"Iain"},{"family":"Al Mehthel","given":"Mohammed"},{"family":"Kondi","given":"Joma"},{"family":"Harris","given":"Claire"},{"family":"Fensom","given":"Blake"},{"family":"Kozak","given":"Sharon E."},{"family":"Tong","given":"Suet On"},{"family":"Trinh","given":"Mary"},{"family":"Warnock","given":"Garth L."}],"issued":{"date-parts":[["2011",2,15]]}}}],"schema":"https://github.com/citation-style-language/schema/raw/master/csl-citation.json"} </w:instrText>
      </w:r>
      <w:r w:rsidR="00E856D5" w:rsidRPr="0035461C">
        <w:rPr>
          <w:rFonts w:ascii="Calibri" w:hAnsi="Calibri" w:cs="Calibri"/>
          <w:lang w:val="en-GB"/>
        </w:rPr>
        <w:fldChar w:fldCharType="separate"/>
      </w:r>
      <w:r w:rsidR="00076F77" w:rsidRPr="00076F77">
        <w:rPr>
          <w:rFonts w:ascii="Calibri" w:hAnsi="Calibri" w:cs="Calibri"/>
        </w:rPr>
        <w:t>(222–226)</w:t>
      </w:r>
      <w:r w:rsidR="00E856D5" w:rsidRPr="0035461C">
        <w:rPr>
          <w:rFonts w:ascii="Calibri" w:hAnsi="Calibri" w:cs="Calibri"/>
          <w:lang w:val="en-GB"/>
        </w:rPr>
        <w:fldChar w:fldCharType="end"/>
      </w:r>
      <w:r w:rsidR="0047447F" w:rsidRPr="0035461C">
        <w:rPr>
          <w:rFonts w:ascii="Calibri" w:hAnsi="Calibri" w:cs="Calibri"/>
          <w:lang w:val="en-GB"/>
        </w:rPr>
        <w:t>.</w:t>
      </w:r>
      <w:r w:rsidRPr="0035461C">
        <w:rPr>
          <w:rFonts w:ascii="Calibri" w:hAnsi="Calibri" w:cs="Calibri"/>
          <w:lang w:val="en-GB"/>
        </w:rPr>
        <w:t xml:space="preserve"> However, chronic systemic immunosuppression is needed in both forms to </w:t>
      </w:r>
      <w:r w:rsidR="008D3707" w:rsidRPr="0035461C">
        <w:rPr>
          <w:rFonts w:ascii="Calibri" w:hAnsi="Calibri" w:cs="Calibri"/>
          <w:lang w:val="en-GB"/>
        </w:rPr>
        <w:t>prevent</w:t>
      </w:r>
      <w:r w:rsidRPr="0035461C">
        <w:rPr>
          <w:rFonts w:ascii="Calibri" w:hAnsi="Calibri" w:cs="Calibri"/>
          <w:lang w:val="en-GB"/>
        </w:rPr>
        <w:t xml:space="preserve"> allogeneic rejection. Therefore, the indication must thoroughly balance risk and benefit</w:t>
      </w:r>
      <w:r w:rsidR="00147D51" w:rsidRPr="0035461C">
        <w:rPr>
          <w:rFonts w:ascii="Calibri" w:hAnsi="Calibri" w:cs="Calibri"/>
          <w:lang w:val="en-GB"/>
        </w:rPr>
        <w:t>, taking into consideration psychological factors as well</w:t>
      </w:r>
      <w:r w:rsidR="00745B5E" w:rsidRPr="0035461C">
        <w:rPr>
          <w:rFonts w:ascii="Calibri" w:hAnsi="Calibri" w:cs="Calibri"/>
          <w:lang w:val="en-GB"/>
        </w:rPr>
        <w:t xml:space="preserve"> </w:t>
      </w:r>
      <w:r w:rsidR="00745B5E" w:rsidRPr="0035461C">
        <w:rPr>
          <w:rFonts w:ascii="Calibri" w:hAnsi="Calibri" w:cs="Calibri"/>
          <w:lang w:val="en-GB"/>
        </w:rPr>
        <w:fldChar w:fldCharType="begin"/>
      </w:r>
      <w:r w:rsidR="00076F77">
        <w:rPr>
          <w:rFonts w:ascii="Calibri" w:hAnsi="Calibri" w:cs="Calibri"/>
          <w:lang w:val="en-GB"/>
        </w:rPr>
        <w:instrText xml:space="preserve"> ADDIN ZOTERO_ITEM CSL_CITATION {"citationID":"y9dTqKcl","properties":{"formattedCitation":"(227)","plainCitation":"(227)","noteIndex":0},"citationItems":[{"id":11509,"uris":["http://zotero.org/groups/369679/items/CSYBU8LG"],"uri":["http://zotero.org/groups/369679/items/CSYBU8LG"],"itemData":{"id":11509,"type":"article-journal","abstract":"Background\nFor selected individuals with type 1 diabetes, pancreatic islet transplantation (IT) prevents recurrent severe hypoglycemia and optimizes glycemia, although ongoing systemic immunosuppression is needed. Our aim was to explore candidates and recipients' expectations of transplantation, their experience of being on the waiting list, and (for recipients) the procedure and life posttransplant.\n\nMethods\nCross-sectional qualitative research design using semistructured interviews with 16 adults (8 pretransplant, 8 posttransplant; from 4 UK centers (n = 13) and 1 Canadian center (n = 3)). Interviews were audio-recorded, transcribed, and underwent inductive thematic analysis.\n\nResults\nInterviewees were aged (mean ± SD) 52 ± 10 years (range, 30-64); duration of diabetes, 36 ± 9 years (range, 21-56); 12 (75%) were women. Narrative accounts centered on expectations, hopes, and realities; decision-making; waiting and uncertainty; the procedure, hospital stay, and follow-up. Expected benefits included fewer severe hypoglycemic episodes, reduced need for insulin, preventing onset/progression of complications and improved psychological well-being. These were realized for most, at least in the short term. Most interviewees described well-informed, shared decision-making with clinicians and family, and managing their expectations. Although life “on the list” could be stressful, and immunosuppressant side effects were severe, interviewees reported “no regrets.” Posttransplant, interviewees experienced increased confidence, through freedom from hypoglycemia and regained glycemic control, which tempered any disappointment about continued reliance on insulin. Most viewed their transplant as a success, though several reflected upon setbacks and hidden hopes for becoming “insulin-free.”\n\nConclusions\nIndependently undertaken interviews demonstrated realistic and balanced expectations of IT and indicate how to optimize the process and support for future IT candidates.","container-title":"Transplantation Direct","DOI":"10.1097/TXD.0000000000000581","ISSN":"2373-8731","issue":"5","journalAbbreviation":"Transplant Direct","note":"PMID: 27500262\nPMCID: PMC4946514","source":"PubMed Central","title":"Well, I Wouldn't be Any Worse Off, Would I, Than I am Now? A Qualitative Study of Decision-Making, Hopes, and Realities of Adults With Type 1 Diabetes Undergoing Islet Cell Transplantation","title-short":"Well, I Wouldn't be Any Worse Off, Would I, Than I am Now?","URL":"https://www.ncbi.nlm.nih.gov/pmc/articles/PMC4946514/","volume":"2","author":[{"family":"Speight","given":"Jane"},{"family":"Woodcock","given":"Alison J."},{"family":"Reaney","given":"Matthew D."},{"family":"Amiel","given":"Stephanie A."},{"family":"Johnson","given":"Paul"},{"family":"Parrott","given":"Neil"},{"family":"Rutter","given":"Martin K."},{"family":"Senior","given":"Peter"},{"family":"Shaw","given":"James A.M."}],"accessed":{"date-parts":[["2021",6,10]]},"issued":{"date-parts":[["2016",4,21]]}}}],"schema":"https://github.com/citation-style-language/schema/raw/master/csl-citation.json"} </w:instrText>
      </w:r>
      <w:r w:rsidR="00745B5E" w:rsidRPr="0035461C">
        <w:rPr>
          <w:rFonts w:ascii="Calibri" w:hAnsi="Calibri" w:cs="Calibri"/>
          <w:lang w:val="en-GB"/>
        </w:rPr>
        <w:fldChar w:fldCharType="separate"/>
      </w:r>
      <w:r w:rsidR="00076F77" w:rsidRPr="00076F77">
        <w:rPr>
          <w:rFonts w:ascii="Calibri" w:hAnsi="Calibri" w:cs="Calibri"/>
        </w:rPr>
        <w:t>(227)</w:t>
      </w:r>
      <w:r w:rsidR="00745B5E" w:rsidRPr="0035461C">
        <w:rPr>
          <w:rFonts w:ascii="Calibri" w:hAnsi="Calibri" w:cs="Calibri"/>
          <w:lang w:val="en-GB"/>
        </w:rPr>
        <w:fldChar w:fldCharType="end"/>
      </w:r>
      <w:r w:rsidR="006021F2" w:rsidRPr="0035461C">
        <w:rPr>
          <w:rFonts w:ascii="Calibri" w:hAnsi="Calibri" w:cs="Calibri"/>
          <w:lang w:val="en-GB"/>
        </w:rPr>
        <w:t xml:space="preserve">. </w:t>
      </w:r>
      <w:r w:rsidR="005F554B" w:rsidRPr="0035461C">
        <w:rPr>
          <w:rFonts w:ascii="Calibri" w:hAnsi="Calibri" w:cs="Calibri"/>
          <w:lang w:val="en-GB"/>
        </w:rPr>
        <w:t>I</w:t>
      </w:r>
      <w:r w:rsidRPr="0035461C">
        <w:rPr>
          <w:rFonts w:ascii="Calibri" w:hAnsi="Calibri" w:cs="Calibri"/>
          <w:lang w:val="en-GB"/>
        </w:rPr>
        <w:t>n the U</w:t>
      </w:r>
      <w:r w:rsidR="00F50693" w:rsidRPr="0035461C">
        <w:rPr>
          <w:rFonts w:ascii="Calibri" w:hAnsi="Calibri" w:cs="Calibri"/>
          <w:lang w:val="en-GB"/>
        </w:rPr>
        <w:t>.S.</w:t>
      </w:r>
      <w:r w:rsidR="007D4CCC" w:rsidRPr="0035461C">
        <w:rPr>
          <w:rFonts w:ascii="Calibri" w:hAnsi="Calibri" w:cs="Calibri"/>
          <w:lang w:val="en-GB"/>
        </w:rPr>
        <w:t>,</w:t>
      </w:r>
      <w:r w:rsidRPr="0035461C">
        <w:rPr>
          <w:rFonts w:ascii="Calibri" w:hAnsi="Calibri" w:cs="Calibri"/>
          <w:lang w:val="en-GB"/>
        </w:rPr>
        <w:t xml:space="preserve"> islet transplantation is not yet approved for clinical use and reimbursemen</w:t>
      </w:r>
      <w:r w:rsidR="00CC2E1F" w:rsidRPr="0035461C">
        <w:rPr>
          <w:rFonts w:ascii="Calibri" w:hAnsi="Calibri" w:cs="Calibri"/>
          <w:lang w:val="en-GB"/>
        </w:rPr>
        <w:t>t.</w:t>
      </w:r>
    </w:p>
    <w:p w14:paraId="3C1ED4C4" w14:textId="692E5C7C" w:rsidR="00910721" w:rsidRPr="0035461C" w:rsidRDefault="00910721" w:rsidP="001C5BC0">
      <w:pPr>
        <w:spacing w:before="120"/>
        <w:jc w:val="both"/>
        <w:rPr>
          <w:rFonts w:ascii="Calibri" w:hAnsi="Calibri" w:cs="Calibri"/>
        </w:rPr>
      </w:pPr>
      <w:r w:rsidRPr="0035461C">
        <w:rPr>
          <w:rFonts w:ascii="Calibri" w:hAnsi="Calibri" w:cs="Calibri"/>
        </w:rPr>
        <w:t xml:space="preserve">Most </w:t>
      </w:r>
      <w:r w:rsidR="001C5BC0" w:rsidRPr="0035461C">
        <w:rPr>
          <w:rFonts w:ascii="Calibri" w:hAnsi="Calibri" w:cs="Calibri"/>
        </w:rPr>
        <w:t xml:space="preserve">whole </w:t>
      </w:r>
      <w:r w:rsidRPr="0035461C">
        <w:rPr>
          <w:rFonts w:ascii="Calibri" w:hAnsi="Calibri" w:cs="Calibri"/>
        </w:rPr>
        <w:t xml:space="preserve">pancreas transplants are performed simultaneously with a kidney transplant (SPK). </w:t>
      </w:r>
      <w:r w:rsidR="001C5BC0" w:rsidRPr="0035461C">
        <w:rPr>
          <w:rFonts w:ascii="Calibri" w:hAnsi="Calibri" w:cs="Calibri"/>
          <w:lang w:val="en-GB"/>
        </w:rPr>
        <w:t>This</w:t>
      </w:r>
      <w:r w:rsidRPr="0035461C">
        <w:rPr>
          <w:rFonts w:ascii="Calibri" w:hAnsi="Calibri" w:cs="Calibri"/>
          <w:lang w:val="en-GB"/>
        </w:rPr>
        <w:t xml:space="preserve"> is the “gold standard” therapy </w:t>
      </w:r>
      <w:r w:rsidR="001C5BC0" w:rsidRPr="0035461C">
        <w:rPr>
          <w:rFonts w:ascii="Calibri" w:hAnsi="Calibri" w:cs="Calibri"/>
          <w:lang w:val="en-GB"/>
        </w:rPr>
        <w:t>for people with type 1 diabetes and</w:t>
      </w:r>
      <w:r w:rsidR="00B92FA7" w:rsidRPr="0035461C">
        <w:rPr>
          <w:rFonts w:ascii="Calibri" w:hAnsi="Calibri" w:cs="Calibri"/>
          <w:lang w:val="en-GB"/>
        </w:rPr>
        <w:t xml:space="preserve"> pre-final or </w:t>
      </w:r>
      <w:r w:rsidRPr="0035461C">
        <w:rPr>
          <w:rFonts w:ascii="Calibri" w:hAnsi="Calibri" w:cs="Calibri"/>
          <w:lang w:val="en-GB"/>
        </w:rPr>
        <w:t xml:space="preserve">end-stage renal disease if no contraindications (malignancies, chronic infections, insufficient </w:t>
      </w:r>
      <w:r w:rsidR="00AF520A" w:rsidRPr="0035461C">
        <w:rPr>
          <w:rFonts w:ascii="Calibri" w:hAnsi="Calibri" w:cs="Calibri"/>
          <w:lang w:val="en-GB"/>
        </w:rPr>
        <w:t>sel</w:t>
      </w:r>
      <w:r w:rsidR="001C5BC0" w:rsidRPr="0035461C">
        <w:rPr>
          <w:rFonts w:ascii="Calibri" w:hAnsi="Calibri" w:cs="Calibri"/>
          <w:lang w:val="en-GB"/>
        </w:rPr>
        <w:t>f-management</w:t>
      </w:r>
      <w:r w:rsidRPr="0035461C">
        <w:rPr>
          <w:rFonts w:ascii="Calibri" w:hAnsi="Calibri" w:cs="Calibri"/>
          <w:lang w:val="en-GB"/>
        </w:rPr>
        <w:t xml:space="preserve">, and severe cardiovascular conditions) are present. </w:t>
      </w:r>
      <w:r w:rsidRPr="0035461C">
        <w:rPr>
          <w:rFonts w:ascii="Calibri" w:hAnsi="Calibri" w:cs="Calibri"/>
        </w:rPr>
        <w:t>Simultaneous pancreas-kidney transplants show a 5-year pancreas graft survival of 83% and are</w:t>
      </w:r>
      <w:r w:rsidR="0015331E" w:rsidRPr="0035461C">
        <w:rPr>
          <w:rFonts w:ascii="Calibri" w:hAnsi="Calibri" w:cs="Calibri"/>
        </w:rPr>
        <w:t xml:space="preserve"> </w:t>
      </w:r>
      <w:r w:rsidRPr="0035461C">
        <w:rPr>
          <w:rFonts w:ascii="Calibri" w:hAnsi="Calibri" w:cs="Calibri"/>
        </w:rPr>
        <w:t>superior to pancreas transplant alone or pancreas after a kidney transplant (55 and 70%</w:t>
      </w:r>
      <w:r w:rsidR="001C5BC0" w:rsidRPr="0035461C">
        <w:rPr>
          <w:rFonts w:ascii="Calibri" w:hAnsi="Calibri" w:cs="Calibri"/>
        </w:rPr>
        <w:t xml:space="preserve"> respectively</w:t>
      </w:r>
      <w:r w:rsidRPr="0035461C">
        <w:rPr>
          <w:rFonts w:ascii="Calibri" w:hAnsi="Calibri" w:cs="Calibri"/>
        </w:rPr>
        <w:t>)</w:t>
      </w:r>
      <w:r w:rsidR="0047447F" w:rsidRPr="0035461C">
        <w:rPr>
          <w:rFonts w:ascii="Calibri" w:hAnsi="Calibri" w:cs="Calibri"/>
        </w:rPr>
        <w:t xml:space="preserve"> </w:t>
      </w:r>
      <w:r w:rsidR="008D41A1" w:rsidRPr="0035461C">
        <w:rPr>
          <w:rFonts w:ascii="Calibri" w:hAnsi="Calibri" w:cs="Calibri"/>
        </w:rPr>
        <w:fldChar w:fldCharType="begin"/>
      </w:r>
      <w:r w:rsidR="00076F77">
        <w:rPr>
          <w:rFonts w:ascii="Calibri" w:hAnsi="Calibri" w:cs="Calibri"/>
        </w:rPr>
        <w:instrText xml:space="preserve"> ADDIN ZOTERO_ITEM CSL_CITATION {"citationID":"4F6npqWp","properties":{"formattedCitation":"(228)","plainCitation":"(228)","noteIndex":0},"citationItems":[{"id":11139,"uris":["http://zotero.org/groups/369679/items/RPBDAGBI"],"uri":["http://zotero.org/groups/369679/items/RPBDAGBI"],"itemData":{"id":11139,"type":"article-journal","abstract":"PURPOSE OF REVIEW: Pancreas transplantation provides the only proven method to restore long-term normoglycemia in patients with insulin-dependent diabetes mellitus. Although many studies describe the very important risk factors for short-term survival of a pancreas transplant, there is not a lot of information available about factors that distinguish short-term from long-term graft function.\nRECENT FINDINGS: The analysis of 18,159 pancreas transplants from the International Pancreas Transplant Registry, performed from 25 July 1978 to 31 December 2005, showed an improvement not only in short-term but also in long-term graft function. Most recent 5-year, 10-year and 20-year graft function for transplants with the appropriate follow-up time showed 80, 68 and 45%, respectively, for simultaneous pancreas/kidney transplants; 62, 46 and 16%, respectively, for pancreas after kidney; and 59, 39 and 12%, respectively, for pancreas transplants alone. Important factors influencing long-term function were factors that described the quality of the deceased donor. Pancreas transplants in younger or African-American recipients showed a higher risk of graft failure. Anti-T-cell induction therapy had a significant impact on long-term survival in solitary transplants.\nSUMMARY: With a careful donor selection, not only short-term but also long-term pancreas graft function and, therefore, good metabolic control can be achieved for the diabetic patient.","container-title":"Current Opinion in Organ Transplantation","DOI":"10.1097/MOT.0b013e32834ee700","ISSN":"1531-7013","issue":"1","journalAbbreviation":"Curr Opin Organ Transplant","language":"eng","note":"PMID: 22186094","page":"100-105","source":"PubMed","title":"Long-term outcome after pancreas transplantation","volume":"17","author":[{"family":"Gruessner","given":"Angelika C."},{"family":"Sutherland","given":"David E. R."},{"family":"Gruessner","given":"Rainer W. G."}],"issued":{"date-parts":[["2012",2]]}}}],"schema":"https://github.com/citation-style-language/schema/raw/master/csl-citation.json"} </w:instrText>
      </w:r>
      <w:r w:rsidR="008D41A1" w:rsidRPr="0035461C">
        <w:rPr>
          <w:rFonts w:ascii="Calibri" w:hAnsi="Calibri" w:cs="Calibri"/>
        </w:rPr>
        <w:fldChar w:fldCharType="separate"/>
      </w:r>
      <w:r w:rsidR="00076F77" w:rsidRPr="00076F77">
        <w:rPr>
          <w:rFonts w:ascii="Calibri" w:hAnsi="Calibri" w:cs="Calibri"/>
        </w:rPr>
        <w:t>(228)</w:t>
      </w:r>
      <w:r w:rsidR="008D41A1" w:rsidRPr="0035461C">
        <w:rPr>
          <w:rFonts w:ascii="Calibri" w:hAnsi="Calibri" w:cs="Calibri"/>
        </w:rPr>
        <w:fldChar w:fldCharType="end"/>
      </w:r>
      <w:r w:rsidR="0047447F" w:rsidRPr="0035461C">
        <w:rPr>
          <w:rFonts w:ascii="Calibri" w:hAnsi="Calibri" w:cs="Calibri"/>
        </w:rPr>
        <w:t>.</w:t>
      </w:r>
      <w:r w:rsidRPr="0035461C">
        <w:rPr>
          <w:rFonts w:ascii="Calibri" w:hAnsi="Calibri" w:cs="Calibri"/>
        </w:rPr>
        <w:t xml:space="preserve"> With a</w:t>
      </w:r>
      <w:r w:rsidR="00934282" w:rsidRPr="0035461C">
        <w:rPr>
          <w:rFonts w:ascii="Calibri" w:hAnsi="Calibri" w:cs="Calibri"/>
        </w:rPr>
        <w:t>n</w:t>
      </w:r>
      <w:r w:rsidRPr="0035461C">
        <w:rPr>
          <w:rFonts w:ascii="Calibri" w:hAnsi="Calibri" w:cs="Calibri"/>
        </w:rPr>
        <w:t xml:space="preserve"> SPK transplant, most recipients can expect amelioration of problematic hypoglyc</w:t>
      </w:r>
      <w:r w:rsidR="001C5BC0" w:rsidRPr="0035461C">
        <w:rPr>
          <w:rFonts w:ascii="Calibri" w:hAnsi="Calibri" w:cs="Calibri"/>
        </w:rPr>
        <w:t>a</w:t>
      </w:r>
      <w:r w:rsidRPr="0035461C">
        <w:rPr>
          <w:rFonts w:ascii="Calibri" w:hAnsi="Calibri" w:cs="Calibri"/>
        </w:rPr>
        <w:t>emia for more than a decade</w:t>
      </w:r>
      <w:r w:rsidR="0047447F" w:rsidRPr="0035461C">
        <w:rPr>
          <w:rFonts w:ascii="Calibri" w:hAnsi="Calibri" w:cs="Calibri"/>
        </w:rPr>
        <w:t xml:space="preserve"> </w:t>
      </w:r>
      <w:r w:rsidR="00247D7A" w:rsidRPr="0035461C">
        <w:rPr>
          <w:rFonts w:ascii="Calibri" w:hAnsi="Calibri" w:cs="Calibri"/>
        </w:rPr>
        <w:fldChar w:fldCharType="begin"/>
      </w:r>
      <w:r w:rsidR="00076F77">
        <w:rPr>
          <w:rFonts w:ascii="Calibri" w:hAnsi="Calibri" w:cs="Calibri"/>
        </w:rPr>
        <w:instrText xml:space="preserve"> ADDIN ZOTERO_ITEM CSL_CITATION {"citationID":"5liFDxO3","properties":{"formattedCitation":"(228\\uc0\\u8211{}230)","plainCitation":"(228–230)","noteIndex":0},"citationItems":[{"id":11139,"uris":["http://zotero.org/groups/369679/items/RPBDAGBI"],"uri":["http://zotero.org/groups/369679/items/RPBDAGBI"],"itemData":{"id":11139,"type":"article-journal","abstract":"PURPOSE OF REVIEW: Pancreas transplantation provides the only proven method to restore long-term normoglycemia in patients with insulin-dependent diabetes mellitus. Although many studies describe the very important risk factors for short-term survival of a pancreas transplant, there is not a lot of information available about factors that distinguish short-term from long-term graft function.\nRECENT FINDINGS: The analysis of 18,159 pancreas transplants from the International Pancreas Transplant Registry, performed from 25 July 1978 to 31 December 2005, showed an improvement not only in short-term but also in long-term graft function. Most recent 5-year, 10-year and 20-year graft function for transplants with the appropriate follow-up time showed 80, 68 and 45%, respectively, for simultaneous pancreas/kidney transplants; 62, 46 and 16%, respectively, for pancreas after kidney; and 59, 39 and 12%, respectively, for pancreas transplants alone. Important factors influencing long-term function were factors that described the quality of the deceased donor. Pancreas transplants in younger or African-American recipients showed a higher risk of graft failure. Anti-T-cell induction therapy had a significant impact on long-term survival in solitary transplants.\nSUMMARY: With a careful donor selection, not only short-term but also long-term pancreas graft function and, therefore, good metabolic control can be achieved for the diabetic patient.","container-title":"Current Opinion in Organ Transplantation","DOI":"10.1097/MOT.0b013e32834ee700","ISSN":"1531-7013","issue":"1","journalAbbreviation":"Curr Opin Organ Transplant","language":"eng","note":"PMID: 22186094","page":"100-105","source":"PubMed","title":"Long-term outcome after pancreas transplantation","volume":"17","author":[{"family":"Gruessner","given":"Angelika C."},{"family":"Sutherland","given":"David E. R."},{"family":"Gruessner","given":"Rainer W. G."}],"issued":{"date-parts":[["2012",2]]}}},{"id":11141,"uris":["http://zotero.org/groups/369679/items/J2N7C97G"],"uri":["http://zotero.org/groups/369679/items/J2N7C97G"],"itemData":{"id":11141,"type":"article-journal","abstract":"OBJECTIVE: Simultaneous pancreas-kidney transplantation (SPK) is a procedure which frees the diabetic patient with end-stage nephropathy from dialysis and daily insulin injections. The purpose of this study is to report long-term outcomes of this procedure, and describe surgical and medical complications.\nMETHODS: The analysis includes 1000 consecutive SPKs performed between 1985 and 2007. Bladder drainage was used in 390 patients and enteric drainage in 610 patients. In 362 patients, SPK transplantation was performed before initiation of dialysis.\nRESULTS: Patient survival at 1, 10, and 20 years is 97%, 80%, and 58%; kidney survival is 91%, 63%, and 38%; and pancreas survival is 88%, 63%, and 36%, respectively. There was no difference (P &gt; 0.19) for patient, kidney, and pancreas survival between bladder and enteric drainage. Major surgical complications for bladder-drained patients were anastomotic leaks, urological complications, and infections. For enteric-drained patients, major surgical complications were infection, bleeding, and enzyme leak. Principal causes of death were myocardial infarction (n = 23), cerebrovascular accident (n = 18), and renal failure (n = 15). Graft failure for the kidney was due to acute rejection (n = 48), chronic rejection (n = 146), and death with a functioning graft (n = 99). Graft failure for the pancreas was caused by chronic graft loss (n = 44), thrombosis (n = 31), rejection (n = 80), and death with a functioning graft (n = 125). A total of 113 patients were retransplanted with either living related or unrelated donor kidneys (n = 64) or deceased donor kidneys (n = 42). Survival for retransplanted kidneys is 84% at 1 year and 68% at 5 years. Surviving bladder-drained patients underwent enteric conversion (&gt;50%) for severe recalcitrant metabolic or urologic complications, most commonly enzyme leaks, hematuria, and recurrent urinary tract infection.\nCONCLUSIONS: Diabetic patients with end-stage renal failure have a poor prognosis without transplantation. Transplantation with SPK provides a marked extension of the patient's life and freedom from insulin injections. Enteric drainage is currently the surgical technique of choice. SPK transplantation should be considered the treatment of choice in this patient population.","container-title":"Annals of Surgery","DOI":"10.1097/SLA.0b013e3181b76d2b","ISSN":"1528-1140","issue":"4","journalAbbreviation":"Ann Surg","language":"eng","note":"PMID: 19730242","page":"618-630","source":"PubMed","title":"One thousand simultaneous pancreas-kidney transplants at a single center with 22-year follow-up","volume":"250","author":[{"family":"Sollinger","given":"Hans W."},{"family":"Odorico","given":"Jon S."},{"family":"Becker","given":"Yolanda T."},{"family":"D'Alessandro","given":"Anthony M."},{"family":"Pirsch","given":"John D."}],"issued":{"date-parts":[["2009",10]]}}},{"id":11143,"uris":["http://zotero.org/groups/369679/items/EFKBCKIY"],"uri":["http://zotero.org/groups/369679/items/EFKBCKIY"],"itemData":{"id":11143,"type":"article-journal","abstract":"OBJECTIVE: In patients with type 1 diabetes and end-stage renal disease, combined transplantation of a kidney together with a pancreas or isolated pancreatic islets are options to improve glycemic control. The aim of this study was to compare their long-term outcome with regard to metabolic control and surgical complication rate, as well as function of the transplanted kidney.\nRESEARCH DESIGN AND METHODS: We conducted a prospective cohort study in consecutive patients receiving either a pancreas or islet transplant simultaneously with or after kidney transplantation (simultaneous pancreas-kidney [SPK]/pancreas-after-kidney [PAK] or simultaneous islet-kidney [SIK]/islet-after-kidney [IAK] transplantation).\nRESULTS: Ninety-four patients who had undergone SPK/PAK transplantation were compared with 38 patients who had undergone SIK/IAK transplantation over a period of up to 13 years. HbA1c levels declined from 7.8 ± 1.3% (62 ± 14 mmol/mol) to 5.9 ± 1.1% (41 ± 12 mmol/mol), and from 8.0 ± 1.3% (64 ± 14 mmol/mol) to 6.5 ± 1.1% (48 ± 12 mmol/mol), respectively, in the SPK/PAK and SIK/IAK groups (P &lt; 0.001 for both) and remained stable during follow-up, despite a reduction in the rate of severe hypoglycemia by &gt;90%. The 5-year insulin independence rate was higher in the SPK/PAK group (73.6 vs. 9.3% in the SIK/IAK group), as was the rate of relaparotomy after transplantation (41.5 vs. 10.5% in the SIK/IAK group). There was no difference in the rate of kidney function decline.\nCONCLUSIONS: During a long-term follow-up, SPK/PAK transplantation as well as SIK/IAK transplantation resulted in a sustained improvement of glycemic control with a slightly higher glycated hemoglobin level in the SIK/IAK group. While insulin independence is more common in whole-organ pancreas recipients, islet transplantation can be conducted with a much lower surgical complication rate and no difference in kidney function decline.","container-title":"Diabetes Care","DOI":"10.2337/dc14-1686","ISSN":"1935-5548","issue":"5","journalAbbreviation":"Diabetes Care","language":"eng","note":"PMID: 25665814","page":"752-759","source":"PubMed","title":"Glycemic Control in Simultaneous Islet-Kidney Versus Pancreas-Kidney Transplantation in Type 1 Diabetes: A Prospective 13-Year Follow-up","title-short":"Glycemic Control in Simultaneous Islet-Kidney Versus Pancreas-Kidney Transplantation in Type 1 Diabetes","volume":"38","author":[{"family":"Lehmann","given":"Roger"},{"family":"Graziano","given":"Jessica"},{"family":"Brockmann","given":"Jens"},{"family":"Pfammatter","given":"Thomas"},{"family":"Kron","given":"Philipp"},{"family":"Rougemont","given":"Olivier","non-dropping-particle":"de"},{"family":"Mueller","given":"Thomas"},{"family":"Zuellig","given":"Richard A."},{"family":"Spinas","given":"Giatgen A."},{"family":"Gerber","given":"Philipp A."}],"issued":{"date-parts":[["2015",5]]}}}],"schema":"https://github.com/citation-style-language/schema/raw/master/csl-citation.json"} </w:instrText>
      </w:r>
      <w:r w:rsidR="00247D7A" w:rsidRPr="0035461C">
        <w:rPr>
          <w:rFonts w:ascii="Calibri" w:hAnsi="Calibri" w:cs="Calibri"/>
        </w:rPr>
        <w:fldChar w:fldCharType="separate"/>
      </w:r>
      <w:r w:rsidR="00076F77" w:rsidRPr="00076F77">
        <w:rPr>
          <w:rFonts w:ascii="Calibri" w:hAnsi="Calibri" w:cs="Calibri"/>
        </w:rPr>
        <w:t>(228–230)</w:t>
      </w:r>
      <w:r w:rsidR="00247D7A" w:rsidRPr="0035461C">
        <w:rPr>
          <w:rFonts w:ascii="Calibri" w:hAnsi="Calibri" w:cs="Calibri"/>
        </w:rPr>
        <w:fldChar w:fldCharType="end"/>
      </w:r>
      <w:r w:rsidR="0047447F" w:rsidRPr="0035461C">
        <w:rPr>
          <w:rFonts w:ascii="Calibri" w:hAnsi="Calibri" w:cs="Calibri"/>
        </w:rPr>
        <w:t>.</w:t>
      </w:r>
    </w:p>
    <w:p w14:paraId="05D52A3D" w14:textId="12A80637" w:rsidR="00910721" w:rsidRPr="0035461C" w:rsidRDefault="00910721" w:rsidP="001C5BC0">
      <w:pPr>
        <w:spacing w:before="120"/>
        <w:jc w:val="both"/>
        <w:rPr>
          <w:rFonts w:ascii="Calibri" w:hAnsi="Calibri" w:cs="Calibri"/>
          <w:color w:val="131313"/>
        </w:rPr>
      </w:pPr>
      <w:r w:rsidRPr="0035461C">
        <w:rPr>
          <w:rFonts w:ascii="Calibri" w:hAnsi="Calibri" w:cs="Calibri"/>
          <w:lang w:val="en-GB"/>
        </w:rPr>
        <w:t xml:space="preserve">Pancreas transplants alone (PTA) are usually performed in </w:t>
      </w:r>
      <w:r w:rsidR="001C5BC0" w:rsidRPr="0035461C">
        <w:rPr>
          <w:rFonts w:ascii="Calibri" w:hAnsi="Calibri" w:cs="Calibri"/>
          <w:lang w:val="en-GB"/>
        </w:rPr>
        <w:t>people</w:t>
      </w:r>
      <w:r w:rsidRPr="0035461C">
        <w:rPr>
          <w:rFonts w:ascii="Calibri" w:hAnsi="Calibri" w:cs="Calibri"/>
          <w:lang w:val="en-GB"/>
        </w:rPr>
        <w:t xml:space="preserve"> who are relatively young (&lt;50 years) and </w:t>
      </w:r>
      <w:r w:rsidR="001C5BC0" w:rsidRPr="0035461C">
        <w:rPr>
          <w:rFonts w:ascii="Calibri" w:hAnsi="Calibri" w:cs="Calibri"/>
          <w:lang w:val="en-GB"/>
        </w:rPr>
        <w:t>do not have obesity</w:t>
      </w:r>
      <w:r w:rsidRPr="0035461C">
        <w:rPr>
          <w:rFonts w:ascii="Calibri" w:hAnsi="Calibri" w:cs="Calibri"/>
          <w:lang w:val="en-GB"/>
        </w:rPr>
        <w:t xml:space="preserve"> (&lt;30 kg/m</w:t>
      </w:r>
      <w:r w:rsidRPr="0035461C">
        <w:rPr>
          <w:rFonts w:ascii="Calibri" w:hAnsi="Calibri" w:cs="Calibri"/>
          <w:vertAlign w:val="superscript"/>
          <w:lang w:val="en-GB"/>
        </w:rPr>
        <w:t>2</w:t>
      </w:r>
      <w:r w:rsidRPr="0035461C">
        <w:rPr>
          <w:rFonts w:ascii="Calibri" w:hAnsi="Calibri" w:cs="Calibri"/>
          <w:lang w:val="en-GB"/>
        </w:rPr>
        <w:t xml:space="preserve">) </w:t>
      </w:r>
      <w:r w:rsidR="00547645" w:rsidRPr="0035461C">
        <w:rPr>
          <w:rFonts w:ascii="Calibri" w:hAnsi="Calibri" w:cs="Calibri"/>
          <w:lang w:val="en-GB"/>
        </w:rPr>
        <w:t>or</w:t>
      </w:r>
      <w:r w:rsidRPr="0035461C">
        <w:rPr>
          <w:rFonts w:ascii="Calibri" w:hAnsi="Calibri" w:cs="Calibri"/>
          <w:lang w:val="en-GB"/>
        </w:rPr>
        <w:t xml:space="preserve"> coronary artery disease. These selection criteria minimize operative mortality (&lt;1%) and reduce early technical pancreas graft loss (&lt;10%)</w:t>
      </w:r>
      <w:r w:rsidR="0047447F" w:rsidRPr="0035461C">
        <w:rPr>
          <w:rFonts w:ascii="Calibri" w:hAnsi="Calibri" w:cs="Calibri"/>
          <w:lang w:val="en-GB"/>
        </w:rPr>
        <w:t xml:space="preserve"> </w:t>
      </w:r>
      <w:r w:rsidR="00823AF9" w:rsidRPr="0035461C">
        <w:rPr>
          <w:rFonts w:ascii="Calibri" w:hAnsi="Calibri" w:cs="Calibri"/>
          <w:lang w:val="en-GB"/>
        </w:rPr>
        <w:fldChar w:fldCharType="begin"/>
      </w:r>
      <w:r w:rsidR="00076F77">
        <w:rPr>
          <w:rFonts w:ascii="Calibri" w:hAnsi="Calibri" w:cs="Calibri"/>
          <w:lang w:val="en-GB"/>
        </w:rPr>
        <w:instrText xml:space="preserve"> ADDIN ZOTERO_ITEM CSL_CITATION {"citationID":"Rj6cpBhi","properties":{"formattedCitation":"(228,231)","plainCitation":"(228,231)","noteIndex":0},"citationItems":[{"id":11139,"uris":["http://zotero.org/groups/369679/items/RPBDAGBI"],"uri":["http://zotero.org/groups/369679/items/RPBDAGBI"],"itemData":{"id":11139,"type":"article-journal","abstract":"PURPOSE OF REVIEW: Pancreas transplantation provides the only proven method to restore long-term normoglycemia in patients with insulin-dependent diabetes mellitus. Although many studies describe the very important risk factors for short-term survival of a pancreas transplant, there is not a lot of information available about factors that distinguish short-term from long-term graft function.\nRECENT FINDINGS: The analysis of 18,159 pancreas transplants from the International Pancreas Transplant Registry, performed from 25 July 1978 to 31 December 2005, showed an improvement not only in short-term but also in long-term graft function. Most recent 5-year, 10-year and 20-year graft function for transplants with the appropriate follow-up time showed 80, 68 and 45%, respectively, for simultaneous pancreas/kidney transplants; 62, 46 and 16%, respectively, for pancreas after kidney; and 59, 39 and 12%, respectively, for pancreas transplants alone. Important factors influencing long-term function were factors that described the quality of the deceased donor. Pancreas transplants in younger or African-American recipients showed a higher risk of graft failure. Anti-T-cell induction therapy had a significant impact on long-term survival in solitary transplants.\nSUMMARY: With a careful donor selection, not only short-term but also long-term pancreas graft function and, therefore, good metabolic control can be achieved for the diabetic patient.","container-title":"Current Opinion in Organ Transplantation","DOI":"10.1097/MOT.0b013e32834ee700","ISSN":"1531-7013","issue":"1","journalAbbreviation":"Curr Opin Organ Transplant","language":"eng","note":"PMID: 22186094","page":"100-105","source":"PubMed","title":"Long-term outcome after pancreas transplantation","volume":"17","author":[{"family":"Gruessner","given":"Angelika C."},{"family":"Sutherland","given":"David E. R."},{"family":"Gruessner","given":"Rainer W. G."}],"issued":{"date-parts":[["2012",2]]}}},{"id":11411,"uris":["http://zotero.org/groups/369679/items/YAULYUWC"],"uri":["http://zotero.org/groups/369679/items/YAULYUWC"],"itemData":{"id":11411,"type":"article-journal","abstract":"Transplant options for the diabetic recipient include pancreas and islet transplantation. Pancreas transplantation has been increasingly performed in the last 3 decades with increasing success rates. Nevertheless, islet transplantation offers the advantage of being less invasive with fewer complications. However, current experience shows that multiple transplants are required to achieve and maintain insulin-independence in the intermediate term, and long-term function remains a problem even with multiple transplants. Early successes with single-donor islet transplants are encouraging and if maintained will largely substitute pancreas transplants. Currently, single-donor islet transplants have been shown to work in recipients with low insulin requirements who receive a pancreas from a donor with high body mass index. However, pancreas transplants from obese donors are associated with increased surgical risk. Therefore, it is logical to preferentially allocate obese donor pancreata to islet recipients. In addition, older donor (50 to 65 years) pancreata could be preferentially allocated to islets since their islet yield is still good, whereas they are associated with decreased survival in whole-organ pancreas transplants. With increasing efficiency and success of islet transplants the criteria for pancreas allocation for islets will need to be periodically reviewed.","container-title":"Transplantation Proceedings","DOI":"10.1016/j.transproceed.2006.01.005","ISSN":"0041-1345","issue":"2","journalAbbreviation":"Transplant Proc","language":"eng","note":"PMID: 16549122","page":"365-367","source":"PubMed","title":"Pancreas versus islet transplantation in diabetes mellitus: How to allocate deceased donor pancreata?","title-short":"Pancreas versus islet transplantation in diabetes mellitus","volume":"38","author":[{"family":"Kandaswamy","given":"R."},{"family":"Sutherland","given":"D. E. R."}],"issued":{"date-parts":[["2006",3]]}}}],"schema":"https://github.com/citation-style-language/schema/raw/master/csl-citation.json"} </w:instrText>
      </w:r>
      <w:r w:rsidR="00823AF9" w:rsidRPr="0035461C">
        <w:rPr>
          <w:rFonts w:ascii="Calibri" w:hAnsi="Calibri" w:cs="Calibri"/>
          <w:lang w:val="en-GB"/>
        </w:rPr>
        <w:fldChar w:fldCharType="separate"/>
      </w:r>
      <w:r w:rsidR="00076F77" w:rsidRPr="00076F77">
        <w:rPr>
          <w:rFonts w:ascii="Calibri" w:hAnsi="Calibri" w:cs="Calibri"/>
        </w:rPr>
        <w:t>(228,231)</w:t>
      </w:r>
      <w:r w:rsidR="00823AF9" w:rsidRPr="0035461C">
        <w:rPr>
          <w:rFonts w:ascii="Calibri" w:hAnsi="Calibri" w:cs="Calibri"/>
          <w:lang w:val="en-GB"/>
        </w:rPr>
        <w:fldChar w:fldCharType="end"/>
      </w:r>
      <w:r w:rsidR="0047447F" w:rsidRPr="0035461C">
        <w:rPr>
          <w:rFonts w:ascii="Calibri" w:hAnsi="Calibri" w:cs="Calibri"/>
          <w:lang w:val="en-GB"/>
        </w:rPr>
        <w:t>.</w:t>
      </w:r>
      <w:r w:rsidRPr="0035461C">
        <w:rPr>
          <w:rFonts w:ascii="Calibri" w:hAnsi="Calibri" w:cs="Calibri"/>
          <w:lang w:val="en-GB"/>
        </w:rPr>
        <w:t xml:space="preserve"> </w:t>
      </w:r>
      <w:r w:rsidR="00547645" w:rsidRPr="0035461C">
        <w:rPr>
          <w:rFonts w:ascii="Calibri" w:hAnsi="Calibri" w:cs="Calibri"/>
          <w:lang w:val="en-GB"/>
        </w:rPr>
        <w:t>The m</w:t>
      </w:r>
      <w:r w:rsidRPr="0035461C">
        <w:rPr>
          <w:rFonts w:ascii="Calibri" w:hAnsi="Calibri" w:cs="Calibri"/>
          <w:lang w:val="en-GB"/>
        </w:rPr>
        <w:t xml:space="preserve">ain indications are </w:t>
      </w:r>
      <w:r w:rsidRPr="0035461C">
        <w:rPr>
          <w:rFonts w:ascii="Calibri" w:hAnsi="Calibri" w:cs="Calibri"/>
          <w:color w:val="131313"/>
        </w:rPr>
        <w:t>a history of frequent, acute, and severe metabolic complications (hypoglyc</w:t>
      </w:r>
      <w:r w:rsidR="00547645" w:rsidRPr="0035461C">
        <w:rPr>
          <w:rFonts w:ascii="Calibri" w:hAnsi="Calibri" w:cs="Calibri"/>
          <w:color w:val="131313"/>
        </w:rPr>
        <w:t>a</w:t>
      </w:r>
      <w:r w:rsidRPr="0035461C">
        <w:rPr>
          <w:rFonts w:ascii="Calibri" w:hAnsi="Calibri" w:cs="Calibri"/>
          <w:color w:val="131313"/>
        </w:rPr>
        <w:t>emia, hyperglyc</w:t>
      </w:r>
      <w:r w:rsidR="00547645" w:rsidRPr="0035461C">
        <w:rPr>
          <w:rFonts w:ascii="Calibri" w:hAnsi="Calibri" w:cs="Calibri"/>
          <w:color w:val="131313"/>
        </w:rPr>
        <w:t>a</w:t>
      </w:r>
      <w:r w:rsidRPr="0035461C">
        <w:rPr>
          <w:rFonts w:ascii="Calibri" w:hAnsi="Calibri" w:cs="Calibri"/>
          <w:color w:val="131313"/>
        </w:rPr>
        <w:t>emia, ketoac</w:t>
      </w:r>
      <w:r w:rsidR="0047447F" w:rsidRPr="0035461C">
        <w:rPr>
          <w:rFonts w:ascii="Calibri" w:hAnsi="Calibri" w:cs="Calibri"/>
          <w:color w:val="131313"/>
        </w:rPr>
        <w:t xml:space="preserve">idosis), clinical and emotional </w:t>
      </w:r>
      <w:r w:rsidRPr="0035461C">
        <w:rPr>
          <w:rFonts w:ascii="Calibri" w:hAnsi="Calibri" w:cs="Calibri"/>
          <w:color w:val="131313"/>
        </w:rPr>
        <w:t>problems with exogenous insulin therapy as to be incapacitating</w:t>
      </w:r>
      <w:r w:rsidR="00ED19CF" w:rsidRPr="0035461C">
        <w:rPr>
          <w:rFonts w:ascii="Calibri" w:hAnsi="Calibri" w:cs="Calibri"/>
          <w:color w:val="131313"/>
        </w:rPr>
        <w:t>,</w:t>
      </w:r>
      <w:r w:rsidRPr="0035461C">
        <w:rPr>
          <w:rFonts w:ascii="Calibri" w:hAnsi="Calibri" w:cs="Calibri"/>
          <w:color w:val="131313"/>
        </w:rPr>
        <w:t xml:space="preserve"> or consistent failure of insulin</w:t>
      </w:r>
      <w:r w:rsidR="00547645" w:rsidRPr="0035461C">
        <w:rPr>
          <w:rFonts w:ascii="Calibri" w:hAnsi="Calibri" w:cs="Calibri"/>
          <w:color w:val="131313"/>
        </w:rPr>
        <w:t>-</w:t>
      </w:r>
      <w:r w:rsidRPr="0035461C">
        <w:rPr>
          <w:rFonts w:ascii="Calibri" w:hAnsi="Calibri" w:cs="Calibri"/>
          <w:color w:val="131313"/>
        </w:rPr>
        <w:t>based management including technological aid</w:t>
      </w:r>
      <w:r w:rsidR="0047447F" w:rsidRPr="0035461C">
        <w:rPr>
          <w:rFonts w:ascii="Calibri" w:hAnsi="Calibri" w:cs="Calibri"/>
          <w:color w:val="131313"/>
        </w:rPr>
        <w:t xml:space="preserve">s </w:t>
      </w:r>
      <w:r w:rsidR="00327774" w:rsidRPr="0035461C">
        <w:rPr>
          <w:rFonts w:ascii="Calibri" w:hAnsi="Calibri" w:cs="Calibri"/>
          <w:color w:val="131313"/>
        </w:rPr>
        <w:fldChar w:fldCharType="begin"/>
      </w:r>
      <w:r w:rsidR="00076F77">
        <w:rPr>
          <w:rFonts w:ascii="Calibri" w:hAnsi="Calibri" w:cs="Calibri"/>
          <w:color w:val="131313"/>
        </w:rPr>
        <w:instrText xml:space="preserve"> ADDIN ZOTERO_ITEM CSL_CITATION {"citationID":"XZOr28CE","properties":{"formattedCitation":"(232)","plainCitation":"(232)","noteIndex":0},"citationItems":[{"id":11146,"uris":["http://zotero.org/groups/369679/items/37TSBFDB"],"uri":["http://zotero.org/groups/369679/items/37TSBFDB"],"itemData":{"id":11146,"type":"article-journal","container-title":"Diabetes Care","DOI":"10.2337/diacare.27.2007.s105","ISSN":"0149-5992","journalAbbreviation":"Diabetes Care","language":"eng","note":"PMID: 14693941","page":"S105","source":"PubMed","title":"Pancreas transplantation in type 1 diabetes","volume":"27 Suppl 1","author":[{"family":"Robertson","given":"Paul"},{"family":"Davis","given":"Connie"},{"family":"Larsen","given":"Jennifer"},{"family":"Stratta","given":"Robert"},{"family":"Sutherland","given":"David E. R."},{"literal":"American Diabetes Association"}],"issued":{"date-parts":[["2004",1]]}}}],"schema":"https://github.com/citation-style-language/schema/raw/master/csl-citation.json"} </w:instrText>
      </w:r>
      <w:r w:rsidR="00327774" w:rsidRPr="0035461C">
        <w:rPr>
          <w:rFonts w:ascii="Calibri" w:hAnsi="Calibri" w:cs="Calibri"/>
          <w:color w:val="131313"/>
        </w:rPr>
        <w:fldChar w:fldCharType="separate"/>
      </w:r>
      <w:r w:rsidR="00076F77" w:rsidRPr="00076F77">
        <w:rPr>
          <w:rFonts w:ascii="Calibri" w:hAnsi="Calibri" w:cs="Calibri"/>
        </w:rPr>
        <w:t>(232)</w:t>
      </w:r>
      <w:r w:rsidR="00327774" w:rsidRPr="0035461C">
        <w:rPr>
          <w:rFonts w:ascii="Calibri" w:hAnsi="Calibri" w:cs="Calibri"/>
          <w:color w:val="131313"/>
        </w:rPr>
        <w:fldChar w:fldCharType="end"/>
      </w:r>
      <w:r w:rsidR="0047447F" w:rsidRPr="0035461C">
        <w:rPr>
          <w:rFonts w:ascii="Calibri" w:hAnsi="Calibri" w:cs="Calibri"/>
          <w:color w:val="131313"/>
        </w:rPr>
        <w:t>.</w:t>
      </w:r>
      <w:r w:rsidRPr="0035461C">
        <w:rPr>
          <w:rFonts w:ascii="Calibri" w:hAnsi="Calibri" w:cs="Calibri"/>
          <w:color w:val="131313"/>
        </w:rPr>
        <w:t xml:space="preserve"> </w:t>
      </w:r>
    </w:p>
    <w:p w14:paraId="5DC22121" w14:textId="0CBCDBC7" w:rsidR="00910721" w:rsidRPr="0035461C" w:rsidRDefault="00910721" w:rsidP="001C5BC0">
      <w:pPr>
        <w:spacing w:before="120"/>
        <w:jc w:val="both"/>
        <w:rPr>
          <w:rFonts w:ascii="Calibri" w:hAnsi="Calibri" w:cs="Calibri"/>
        </w:rPr>
      </w:pPr>
      <w:r w:rsidRPr="0035461C">
        <w:rPr>
          <w:rFonts w:ascii="Calibri" w:hAnsi="Calibri" w:cs="Calibri"/>
        </w:rPr>
        <w:t xml:space="preserve">Islet transplantation, a </w:t>
      </w:r>
      <w:r w:rsidR="00B360B7" w:rsidRPr="0035461C">
        <w:rPr>
          <w:rFonts w:ascii="Calibri" w:hAnsi="Calibri" w:cs="Calibri"/>
        </w:rPr>
        <w:t xml:space="preserve">less </w:t>
      </w:r>
      <w:r w:rsidRPr="0035461C">
        <w:rPr>
          <w:rFonts w:ascii="Calibri" w:hAnsi="Calibri" w:cs="Calibri"/>
        </w:rPr>
        <w:t xml:space="preserve">invasive procedure, is indicated in </w:t>
      </w:r>
      <w:r w:rsidR="00547645" w:rsidRPr="0035461C">
        <w:rPr>
          <w:rFonts w:ascii="Calibri" w:hAnsi="Calibri" w:cs="Calibri"/>
        </w:rPr>
        <w:t>people</w:t>
      </w:r>
      <w:r w:rsidRPr="0035461C">
        <w:rPr>
          <w:rFonts w:ascii="Calibri" w:hAnsi="Calibri" w:cs="Calibri"/>
        </w:rPr>
        <w:t xml:space="preserve"> with excessive glyc</w:t>
      </w:r>
      <w:r w:rsidR="00547645" w:rsidRPr="0035461C">
        <w:rPr>
          <w:rFonts w:ascii="Calibri" w:hAnsi="Calibri" w:cs="Calibri"/>
        </w:rPr>
        <w:t>a</w:t>
      </w:r>
      <w:r w:rsidRPr="0035461C">
        <w:rPr>
          <w:rFonts w:ascii="Calibri" w:hAnsi="Calibri" w:cs="Calibri"/>
        </w:rPr>
        <w:t xml:space="preserve">emic lability and frequent </w:t>
      </w:r>
      <w:r w:rsidR="00A765E6">
        <w:rPr>
          <w:rFonts w:ascii="Calibri" w:hAnsi="Calibri" w:cs="Calibri"/>
        </w:rPr>
        <w:t>level 3 hypo</w:t>
      </w:r>
      <w:r w:rsidRPr="0035461C">
        <w:rPr>
          <w:rFonts w:ascii="Calibri" w:hAnsi="Calibri" w:cs="Calibri"/>
        </w:rPr>
        <w:t>glyc</w:t>
      </w:r>
      <w:r w:rsidR="00547645" w:rsidRPr="0035461C">
        <w:rPr>
          <w:rFonts w:ascii="Calibri" w:hAnsi="Calibri" w:cs="Calibri"/>
        </w:rPr>
        <w:t>a</w:t>
      </w:r>
      <w:r w:rsidRPr="0035461C">
        <w:rPr>
          <w:rFonts w:ascii="Calibri" w:hAnsi="Calibri" w:cs="Calibri"/>
        </w:rPr>
        <w:t xml:space="preserve">emia despite optimal medical therapy and allows for inclusion of older </w:t>
      </w:r>
      <w:r w:rsidR="00547645" w:rsidRPr="0035461C">
        <w:rPr>
          <w:rFonts w:ascii="Calibri" w:hAnsi="Calibri" w:cs="Calibri"/>
        </w:rPr>
        <w:t>people</w:t>
      </w:r>
      <w:r w:rsidRPr="0035461C">
        <w:rPr>
          <w:rFonts w:ascii="Calibri" w:hAnsi="Calibri" w:cs="Calibri"/>
        </w:rPr>
        <w:t xml:space="preserve"> and </w:t>
      </w:r>
      <w:r w:rsidR="00547645" w:rsidRPr="0035461C">
        <w:rPr>
          <w:rFonts w:ascii="Calibri" w:hAnsi="Calibri" w:cs="Calibri"/>
        </w:rPr>
        <w:t>those</w:t>
      </w:r>
      <w:r w:rsidRPr="0035461C">
        <w:rPr>
          <w:rFonts w:ascii="Calibri" w:hAnsi="Calibri" w:cs="Calibri"/>
        </w:rPr>
        <w:t xml:space="preserve"> with coronary artery disease who would not be eligible for a whole-pancreas transplant</w:t>
      </w:r>
      <w:r w:rsidR="0047447F" w:rsidRPr="0035461C">
        <w:rPr>
          <w:rFonts w:ascii="Calibri" w:hAnsi="Calibri" w:cs="Calibri"/>
        </w:rPr>
        <w:t xml:space="preserve"> </w:t>
      </w:r>
      <w:r w:rsidR="00062B06" w:rsidRPr="0035461C">
        <w:rPr>
          <w:rFonts w:ascii="Calibri" w:hAnsi="Calibri" w:cs="Calibri"/>
        </w:rPr>
        <w:fldChar w:fldCharType="begin"/>
      </w:r>
      <w:r w:rsidR="00076F77">
        <w:rPr>
          <w:rFonts w:ascii="Calibri" w:hAnsi="Calibri" w:cs="Calibri"/>
        </w:rPr>
        <w:instrText xml:space="preserve"> ADDIN ZOTERO_ITEM CSL_CITATION {"citationID":"15PoaV7y","properties":{"formattedCitation":"(223,233,234)","plainCitation":"(223,233,234)","noteIndex":0},"citationItems":[{"id":1569,"uris":["http://zotero.org/groups/369679/items/RGB2844I"],"uri":["http://zotero.org/groups/369679/items/RGB2844I"],"itemData":{"id":1569,"type":"article-journal","abstract":"OBJECTIVE: To describe trends of primary efficacy and safety outcomes of islet transplantation in type 1 diabetes recipients with severe hypoglycemia from the Collaborative Islet Transplant Registry (CITR) from 1999 to 2010.\nRESEARCH DESIGN AND METHODS: A total of 677 islet transplant-alone or islet-after-kidney recipients with type 1 diabetes in the CITR were analyzed for five primary efficacy outcomes and overall safety to identify any differences by early (1999-2002), mid (2003-2006), or recent (2007-2010) transplant era based on annual follow-up to 5 years.\nRESULTS: Insulin independence at 3 years after transplant improved from 27% in the early era (1999-2002, n = 214) to 37% in the mid (2003-2006, n = 255) and to 44% in the most recent era (2007-2010, n = 208; P = 0.006 for years-by-era; P = 0.01 for era alone). C-peptide ≥0.3 ng/mL, indicative of islet graft function, was retained longer in the most recent era (P &lt; 0.001). Reduction of HbA(1c) and resolution of severe hypoglycemia exhibited enduring long-term effects. Fasting blood glucose stabilization also showed improvements in the most recent era. There were also modest reductions in the occurrence of adverse events. The islet reinfusion rate was lower: 48% by 1 year in 2007-2010 vs. 60-65% in 1999-2006 (P &lt; 0.01). Recipients that ever achieved insulin-independence experienced longer duration of islet graft function (P &lt; 0.001).\nCONCLUSIONS: The CITR shows improvement in primary efficacy and safety outcomes of islet transplantation in recipients who received transplants in 2007-2010 compared with those in 1999-2006, with fewer islet infusions and adverse events per recipient.","container-title":"Diabetes care","DOI":"10.2337/dc12-0063","ISSN":"1935-5548","issue":"7","journalAbbreviation":"Diabetes Care","language":"eng","note":"PMID: 22723582 \nPMCID: PMC3379615","page":"1436-1445","source":"NCBI PubMed","title":"Improvement in outcomes of clinical islet transplantation: 1999-2010","title-short":"Improvement in outcomes of clinical islet transplantation","volume":"35","author":[{"family":"Barton","given":"Franca B"},{"family":"Rickels","given":"Michael R"},{"family":"Alejandro","given":"Rodolfo"},{"family":"Hering","given":"Bernhard J"},{"family":"Wease","given":"Stephen"},{"family":"Naziruddin","given":"Bashoo"},{"family":"Oberholzer","given":"Jose"},{"family":"Odorico","given":"Jon S"},{"family":"Garfinkel","given":"Marc R"},{"family":"Levy","given":"Marlon"},{"family":"Pattou","given":"Francois"},{"family":"Berney","given":"Thierry"},{"family":"Secchi","given":"Antonio"},{"family":"Messinger","given":"Shari"},{"family":"Senior","given":"Peter A"},{"family":"Maffi","given":"Paola"},{"family":"Posselt","given":"Andrew"},{"family":"Stock","given":"Peter G"},{"family":"Kaufman","given":"Dixon B"},{"family":"Luo","given":"Xunrong"},{"family":"Kandeel","given":"Fouad"},{"family":"Cagliero","given":"Enrico"},{"family":"Turgeon","given":"Nicole A"},{"family":"Witkowski","given":"Piotr"},{"family":"Naji","given":"Ali"},{"family":"O'Connell","given":"Philip J"},{"family":"Greenbaum","given":"Carla"},{"family":"Kudva","given":"Yogish C"},{"family":"Brayman","given":"Kenneth L"},{"family":"Aull","given":"Meredith J"},{"family":"Larsen","given":"Christian"},{"family":"Kay","given":"Tom W H"},{"family":"Fernandez","given":"Luis A"},{"family":"Vantyghem","given":"Marie-Christine"},{"family":"Bellin","given":"Melena"},{"family":"Shapiro","given":"A M James"}],"issued":{"date-parts":[["2012",7]]}}},{"id":11149,"uris":["http://zotero.org/groups/369679/items/943QPJ9L"],"uri":["http://zotero.org/groups/369679/items/943QPJ9L"],"itemData":{"id":11149,"type":"article-journal","abstract":"Currently, the major indications for solitary islet transplantation are recurrent severe hypoglycemia and labile glucose control. Quantifying these problems remains subjective. We have developed a scoring system for both hypoglycemia and glycemic lability, established normative data, and used them in patients who have undergone islet transplantation. A composite hypoglycemic score (HYPO score) was devised based on the frequency, severity, and degree of unawareness of the hypoglycemia. In addition, using 4 weeks of glucose records, a lability index (LI) was calculated based on the change in glucose levels over time and compared with a clinical assessment of glycemic lability. A mean amplitude of glycemic excursions (MAGE) was also calculated based on 2 consecutive days of seven readings each day. These scores were determined in 100 randomly selected subjects with type 1 diabetes from our general clinic to serve as a control group and in patients before and after islet transplantation. The mean age of the control diabetic subjects was 38.4 +/- 1.3 years (+/-SE), with a duration of diabetes of 21.5 +/- 1.1 years. The median HYPO score in the control subjects was 143 (25th to 75th interquartile range: 46-423). The LI in the diabetic control subjects was 223 (25th to 75th interquartile range: 130-329 mmol/l(2)/h.week(-1)). The LI correlated much more closely than the MAGE with the clinical assessment of lability. A HYPO score of &gt; or = 1,047 (90th percentile) or an LI &gt; or = 433 mmol/l(2)/h.week(-1) (90th percentile) indicated serious problems with hypoglycemia or glycemic lability, respectively. The islet transplant patients (n = 51) were 42.1 +/- 1.4 years old, with a duration of diabetes of 25.7 +/- 1.4 years. Islet transplant patients had a mean HYPO score of 1,234 +/- 184 pretransplant, which was significantly higher than that of the control subjects (P &lt; 0.001), which became negligible posttransplantation with the elimination of hypoglycemia. The median LI pretransplant was 497 mmol/l(2)/h.week(-1) (25th to 75th interquartile range: 330-692), significantly higher than that of control subjects (P &lt; 0.001), and fell to 40 (25th to 75th interquartile range: 14-83) within a month after the final transplant. In those who had lost graft function, the LI rose again. The HYPO score and LI provide measures of the extent of problems with hypoglycemia and glycemic lability, respectively, complement the clinical assessment of the problems with glucose control before islet transplantation, and will allow comparison of selection of subjects for transplants between centers.","container-title":"Diabetes","DOI":"10.2337/diabetes.53.4.955","ISSN":"0012-1797","issue":"4","journalAbbreviation":"Diabetes","language":"eng","note":"PMID: 15047610","page":"955-962","source":"PubMed","title":"Assessment of the severity of hypoglycemia and glycemic lability in type 1 diabetic subjects undergoing islet transplantation","volume":"53","author":[{"family":"Ryan","given":"Edmond A."},{"family":"Shandro","given":"Tami"},{"family":"Green","given":"Kristy"},{"family":"Paty","given":"Breay W."},{"family":"Senior","given":"Peter A."},{"family":"Bigam","given":"David"},{"family":"Shapiro","given":"A. M. James"},{"family":"Vantyghem","given":"Marie-Christine"}],"issued":{"date-parts":[["2004",4]]}}},{"id":11152,"uris":["http://zotero.org/groups/369679/items/ZQGX8DF9"],"uri":["http://zotero.org/groups/369679/items/ZQGX8DF9"],"itemData":{"id":11152,"type":"article-journal","abstract":"BACKGROUND: In long-standing type 1 diabetes (T1D), loss of endogenous insulin secretion and glucose dysregulation can lead to severe hypoglycemia and associated complications. Here, we report the serial consistency and the correlation between different scores that characterize glucose dysregulation using self-monitoring of blood glucose (SMBG), in a cohort of T1D individuals being evaluated for transplant eligibility in Clinical Islet Transplantation Consortium trials.\nSUBJECTS AND METHODS: In total, 152 C-peptide-negative T1D subjects with at least one severe hypoglycemia episode in the prior year documented SMBG at enrollment and every 6 months until deemed ineligible or transplanted. SMBG was used to calculate the HYPO score, Lability Index (LI), and mean amplitude of glycemic excursion (MAGE). Additionally, a blinded continuous glucose monitoring system (CGMS) was worn for 72 h at enrollment and every 12 months.\nRESULTS: In this cohort, LI was the most consistent (intraclass correlation coefficient=0.70) over time, followed by the HYPO score (0.51), with MAGE being the least consistent (0.36). Although MAGE and LI were highly correlated with each other, neither correlated with CGMS SD or glucose coefficient of variation (CV). Subjects spent a median of 97 min/day at &lt;54 mg/dL using CGMS. The HYPO score correlated with CGMS time below 54 mg/dL and glucose CV.\nCONCLUSIONS: The HYPO score and LI are more consistent than MAGE in patients with established T1D experiencing severe hypoglycemic events and may be especially useful both for identifying subjects experiencing the greatest difficulty in maintaining glycemic control and for longitudinal assessment of novel interventions.","container-title":"Diabetes Technology &amp; Therapeutics","DOI":"10.1089/dia.2014.0289","ISSN":"1557-8593","issue":"4","journalAbbreviation":"Diabetes Technol Ther","language":"eng","note":"PMID: 25629445\nPMCID: PMC4447028","page":"235-242","source":"PubMed","title":"Consistency of quantitative scores of hypoglycemia severity and glycemic lability and comparison with continuous glucose monitoring system measures in long-standing type 1 diabetes","volume":"17","author":[{"family":"Senior","given":"Peter A."},{"family":"Bellin","given":"Melena D."},{"family":"Alejandro","given":"Rodolfo"},{"family":"Yankey","given":"Jon W."},{"family":"Clarke","given":"William R."},{"family":"Qidwai","given":"Julie C."},{"family":"Schwieger","given":"Traci R."},{"family":"Eggerman","given":"Thomas L."},{"family":"Robien","given":"Mark A."},{"family":"Rickels","given":"Michael R."},{"literal":"Clinical Islet Transplantation Consortium"}],"issued":{"date-parts":[["2015",4]]}}}],"schema":"https://github.com/citation-style-language/schema/raw/master/csl-citation.json"} </w:instrText>
      </w:r>
      <w:r w:rsidR="00062B06" w:rsidRPr="0035461C">
        <w:rPr>
          <w:rFonts w:ascii="Calibri" w:hAnsi="Calibri" w:cs="Calibri"/>
        </w:rPr>
        <w:fldChar w:fldCharType="separate"/>
      </w:r>
      <w:r w:rsidR="00076F77" w:rsidRPr="00076F77">
        <w:rPr>
          <w:rFonts w:ascii="Calibri" w:hAnsi="Calibri" w:cs="Calibri"/>
        </w:rPr>
        <w:t>(223,233,234)</w:t>
      </w:r>
      <w:r w:rsidR="00062B06" w:rsidRPr="0035461C">
        <w:rPr>
          <w:rFonts w:ascii="Calibri" w:hAnsi="Calibri" w:cs="Calibri"/>
        </w:rPr>
        <w:fldChar w:fldCharType="end"/>
      </w:r>
      <w:r w:rsidR="0047447F" w:rsidRPr="0035461C">
        <w:rPr>
          <w:rFonts w:ascii="Calibri" w:hAnsi="Calibri" w:cs="Calibri"/>
        </w:rPr>
        <w:t>.</w:t>
      </w:r>
      <w:r w:rsidRPr="0035461C">
        <w:rPr>
          <w:rFonts w:ascii="Calibri" w:hAnsi="Calibri" w:cs="Calibri"/>
        </w:rPr>
        <w:t xml:space="preserve"> Careful patient selection and protocol optimization have led to substantial clinical improvements</w:t>
      </w:r>
      <w:r w:rsidR="0047447F" w:rsidRPr="0035461C">
        <w:rPr>
          <w:rFonts w:ascii="Calibri" w:hAnsi="Calibri" w:cs="Calibri"/>
        </w:rPr>
        <w:t xml:space="preserve"> </w:t>
      </w:r>
      <w:r w:rsidR="00EE3391" w:rsidRPr="0035461C">
        <w:rPr>
          <w:rFonts w:ascii="Calibri" w:hAnsi="Calibri" w:cs="Calibri"/>
        </w:rPr>
        <w:fldChar w:fldCharType="begin"/>
      </w:r>
      <w:r w:rsidR="00076F77">
        <w:rPr>
          <w:rFonts w:ascii="Calibri" w:hAnsi="Calibri" w:cs="Calibri"/>
        </w:rPr>
        <w:instrText xml:space="preserve"> ADDIN ZOTERO_ITEM CSL_CITATION {"citationID":"rZP7xZD2","properties":{"formattedCitation":"(223)","plainCitation":"(223)","noteIndex":0},"citationItems":[{"id":1569,"uris":["http://zotero.org/groups/369679/items/RGB2844I"],"uri":["http://zotero.org/groups/369679/items/RGB2844I"],"itemData":{"id":1569,"type":"article-journal","abstract":"OBJECTIVE: To describe trends of primary efficacy and safety outcomes of islet transplantation in type 1 diabetes recipients with severe hypoglycemia from the Collaborative Islet Transplant Registry (CITR) from 1999 to 2010.\nRESEARCH DESIGN AND METHODS: A total of 677 islet transplant-alone or islet-after-kidney recipients with type 1 diabetes in the CITR were analyzed for five primary efficacy outcomes and overall safety to identify any differences by early (1999-2002), mid (2003-2006), or recent (2007-2010) transplant era based on annual follow-up to 5 years.\nRESULTS: Insulin independence at 3 years after transplant improved from 27% in the early era (1999-2002, n = 214) to 37% in the mid (2003-2006, n = 255) and to 44% in the most recent era (2007-2010, n = 208; P = 0.006 for years-by-era; P = 0.01 for era alone). C-peptide ≥0.3 ng/mL, indicative of islet graft function, was retained longer in the most recent era (P &lt; 0.001). Reduction of HbA(1c) and resolution of severe hypoglycemia exhibited enduring long-term effects. Fasting blood glucose stabilization also showed improvements in the most recent era. There were also modest reductions in the occurrence of adverse events. The islet reinfusion rate was lower: 48% by 1 year in 2007-2010 vs. 60-65% in 1999-2006 (P &lt; 0.01). Recipients that ever achieved insulin-independence experienced longer duration of islet graft function (P &lt; 0.001).\nCONCLUSIONS: The CITR shows improvement in primary efficacy and safety outcomes of islet transplantation in recipients who received transplants in 2007-2010 compared with those in 1999-2006, with fewer islet infusions and adverse events per recipient.","container-title":"Diabetes care","DOI":"10.2337/dc12-0063","ISSN":"1935-5548","issue":"7","journalAbbreviation":"Diabetes Care","language":"eng","note":"PMID: 22723582 \nPMCID: PMC3379615","page":"1436-1445","source":"NCBI PubMed","title":"Improvement in outcomes of clinical islet transplantation: 1999-2010","title-short":"Improvement in outcomes of clinical islet transplantation","volume":"35","author":[{"family":"Barton","given":"Franca B"},{"family":"Rickels","given":"Michael R"},{"family":"Alejandro","given":"Rodolfo"},{"family":"Hering","given":"Bernhard J"},{"family":"Wease","given":"Stephen"},{"family":"Naziruddin","given":"Bashoo"},{"family":"Oberholzer","given":"Jose"},{"family":"Odorico","given":"Jon S"},{"family":"Garfinkel","given":"Marc R"},{"family":"Levy","given":"Marlon"},{"family":"Pattou","given":"Francois"},{"family":"Berney","given":"Thierry"},{"family":"Secchi","given":"Antonio"},{"family":"Messinger","given":"Shari"},{"family":"Senior","given":"Peter A"},{"family":"Maffi","given":"Paola"},{"family":"Posselt","given":"Andrew"},{"family":"Stock","given":"Peter G"},{"family":"Kaufman","given":"Dixon B"},{"family":"Luo","given":"Xunrong"},{"family":"Kandeel","given":"Fouad"},{"family":"Cagliero","given":"Enrico"},{"family":"Turgeon","given":"Nicole A"},{"family":"Witkowski","given":"Piotr"},{"family":"Naji","given":"Ali"},{"family":"O'Connell","given":"Philip J"},{"family":"Greenbaum","given":"Carla"},{"family":"Kudva","given":"Yogish C"},{"family":"Brayman","given":"Kenneth L"},{"family":"Aull","given":"Meredith J"},{"family":"Larsen","given":"Christian"},{"family":"Kay","given":"Tom W H"},{"family":"Fernandez","given":"Luis A"},{"family":"Vantyghem","given":"Marie-Christine"},{"family":"Bellin","given":"Melena"},{"family":"Shapiro","given":"A M James"}],"issued":{"date-parts":[["2012",7]]}}}],"schema":"https://github.com/citation-style-language/schema/raw/master/csl-citation.json"} </w:instrText>
      </w:r>
      <w:r w:rsidR="00EE3391" w:rsidRPr="0035461C">
        <w:rPr>
          <w:rFonts w:ascii="Calibri" w:hAnsi="Calibri" w:cs="Calibri"/>
        </w:rPr>
        <w:fldChar w:fldCharType="separate"/>
      </w:r>
      <w:r w:rsidR="00076F77" w:rsidRPr="00076F77">
        <w:rPr>
          <w:rFonts w:ascii="Calibri" w:hAnsi="Calibri" w:cs="Calibri"/>
        </w:rPr>
        <w:t>(223)</w:t>
      </w:r>
      <w:r w:rsidR="00EE3391" w:rsidRPr="0035461C">
        <w:rPr>
          <w:rFonts w:ascii="Calibri" w:hAnsi="Calibri" w:cs="Calibri"/>
        </w:rPr>
        <w:fldChar w:fldCharType="end"/>
      </w:r>
      <w:r w:rsidR="0047447F" w:rsidRPr="0035461C">
        <w:rPr>
          <w:rFonts w:ascii="Calibri" w:hAnsi="Calibri" w:cs="Calibri"/>
        </w:rPr>
        <w:t>.</w:t>
      </w:r>
      <w:r w:rsidRPr="0035461C">
        <w:rPr>
          <w:rFonts w:ascii="Calibri" w:hAnsi="Calibri" w:cs="Calibri"/>
        </w:rPr>
        <w:t xml:space="preserve"> Insulin independence can be maintained for 5 years in 50% of recipients</w:t>
      </w:r>
      <w:r w:rsidR="0047447F" w:rsidRPr="0035461C">
        <w:rPr>
          <w:rFonts w:ascii="Calibri" w:hAnsi="Calibri" w:cs="Calibri"/>
        </w:rPr>
        <w:t xml:space="preserve"> </w:t>
      </w:r>
      <w:r w:rsidR="00FA4DC2" w:rsidRPr="0035461C">
        <w:rPr>
          <w:rFonts w:ascii="Calibri" w:hAnsi="Calibri" w:cs="Calibri"/>
        </w:rPr>
        <w:fldChar w:fldCharType="begin"/>
      </w:r>
      <w:r w:rsidR="00076F77">
        <w:rPr>
          <w:rFonts w:ascii="Calibri" w:hAnsi="Calibri" w:cs="Calibri"/>
        </w:rPr>
        <w:instrText xml:space="preserve"> ADDIN ZOTERO_ITEM CSL_CITATION {"citationID":"5UZVu7p6","properties":{"formattedCitation":"(235,236)","plainCitation":"(235,236)","noteIndex":0},"citationItems":[{"id":11155,"uris":["http://zotero.org/groups/369679/items/B5CCQ3P5"],"uri":["http://zotero.org/groups/369679/items/B5CCQ3P5"],"itemData":{"id":11155,"type":"article-journal","abstract":"The seemingly inexorable decline in insulin independence after islet transplant alone (ITA) has raised concern about its clinical utility. We hypothesized that induction immunosuppression therapy determines durability of insulin independence. We analyzed the proportion of insulin-independent patients following final islet infusion in four groups of ITA recipients according to induction immunotherapy: University of Minnesota recipients given FcR nonbinding anti-CD3 antibody alone or T cell depleting antibodies (TCDAb) and TNF-α inhibition (TNF-α-i) (group 1; n = 29); recipients reported to the Collaborative Islet Transplant Registry (CITR) given TCDAb+TNF-α-i (group 2; n = 20); CITR recipients given TCDAb without TNF-α-i (group 3; n = 43); and CITR recipients given IL-2 receptor antibodies (IL-2RAb) alone (group 4; n = 177). Results were compared with outcomes in pancreas transplant alone (PTA) recipients reported to the Scientific Registry of Transplant Recipients (group 5; n = 677). The 5-year insulin independence rates in group 1 (50%) and group 2 (50%) were comparable to outcomes in PTA (group 5: 52%; p&gt;0.05) but significantly higher than in group 3 (0%; p = 0.001) and group 4 (20%; p = 0.02). Induction immunosuppression was significantly associated with 5-year insulin independence (p = 0.03), regardless of maintenance immunosuppression or other factors. These findings support potential for long-term insulin independence after ITA using potent induction therapy, with anti-CD3 Ab or TCDAb+TNF-α-i.","container-title":"American Journal of Transplantation: Official Journal of the American Society of Transplantation and the American Society of Transplant Surgeons","DOI":"10.1111/j.1600-6143.2011.03977.x","ISSN":"1600-6143","issue":"6","journalAbbreviation":"Am J Transplant","language":"eng","note":"PMID: 22494609\nPMCID: PMC3390261","page":"1576-1583","source":"PubMed","title":"Potent induction immunotherapy promotes long-term insulin independence after islet transplantation in type 1 diabetes","volume":"12","author":[{"family":"Bellin","given":"M. D."},{"family":"Barton","given":"F. B."},{"family":"Heitman","given":"A."},{"family":"Harmon","given":"J. V."},{"family":"Kandaswamy","given":"R."},{"family":"Balamurugan","given":"A. N."},{"family":"Sutherland","given":"D. E. R."},{"family":"Alejandro","given":"R."},{"family":"Hering","given":"B. J."}],"issued":{"date-parts":[["2012",6]]}}},{"id":11158,"uris":["http://zotero.org/groups/369679/items/RAAFSF4N"],"uri":["http://zotero.org/groups/369679/items/RAAFSF4N"],"itemData":{"id":11158,"type":"article-journal","abstract":"This report summarizes a 5-year phase 1/2 allogeneic islet transplantation clinical trial conducted at the University of Illinois at Chicago (UIC). Ten patients were enrolled in this single center, open label, and prospective trial in which patients received 1-3 transplants. The first four subjects underwent islet transplantation with the Edmonton immunosuppressive regimen and the remaining six subjects received the UIC immunosuppressive protocol (Edmonton plus etanercept and exenatide). All 10 patients achieved insulin independence after 1-3 transplants. At 5 years of follow-up, 6 of the initial 10 patients were free of exogenous insulin. During the follow-up period, 7 of the 10 patients maintained positive C-peptide levels and a composite hypoglycemic score of 0. Most patients maintained HbA1c levels &lt;6.0 % (42.1 mmol/mol) and a significantly improved β-score. In conclusion, this study demonstrated long-term islet graft function without using T cell depleting induction, with an encouraging outcome that includes 60 % of patients remaining insulin independent after 5 years of initial transplantation.","container-title":"Acta Diabetologica","DOI":"10.1007/s00592-014-0627-6","ISSN":"1432-5233","issue":"5","journalAbbreviation":"Acta Diabetol","language":"eng","note":"PMID: 25034311\nPMCID: PMC4801517","page":"833-843","source":"PubMed","title":"Five-year follow-up of patients with type 1 diabetes transplanted with allogeneic islets: the UIC experience","title-short":"Five-year follow-up of patients with type 1 diabetes transplanted with allogeneic islets","volume":"51","author":[{"family":"Qi","given":"Meirigeng"},{"family":"Kinzer","given":"Katie"},{"family":"Danielson","given":"Kirstie K."},{"family":"Martellotto","given":"Joan"},{"family":"Barbaro","given":"Barbara"},{"family":"Wang","given":"Yong"},{"family":"Bui","given":"James T."},{"family":"Gaba","given":"Ron C."},{"family":"Knuttinen","given":"Grace"},{"family":"Garcia-Roca","given":"Raquel"},{"family":"Tzvetanov","given":"Ivo"},{"family":"Heitman","given":"Andrew"},{"family":"Davis","given":"Maureen"},{"family":"McGarrigle","given":"James J."},{"family":"Benedetti","given":"Enrico"},{"family":"Oberholzer","given":"Jose"}],"issued":{"date-parts":[["2014",10]]}}}],"schema":"https://github.com/citation-style-language/schema/raw/master/csl-citation.json"} </w:instrText>
      </w:r>
      <w:r w:rsidR="00FA4DC2" w:rsidRPr="0035461C">
        <w:rPr>
          <w:rFonts w:ascii="Calibri" w:hAnsi="Calibri" w:cs="Calibri"/>
        </w:rPr>
        <w:fldChar w:fldCharType="separate"/>
      </w:r>
      <w:r w:rsidR="00076F77" w:rsidRPr="00076F77">
        <w:rPr>
          <w:rFonts w:ascii="Calibri" w:hAnsi="Calibri" w:cs="Calibri"/>
        </w:rPr>
        <w:t>(235,236)</w:t>
      </w:r>
      <w:r w:rsidR="00FA4DC2" w:rsidRPr="0035461C">
        <w:rPr>
          <w:rFonts w:ascii="Calibri" w:hAnsi="Calibri" w:cs="Calibri"/>
        </w:rPr>
        <w:fldChar w:fldCharType="end"/>
      </w:r>
      <w:r w:rsidR="0047447F" w:rsidRPr="0035461C">
        <w:rPr>
          <w:rFonts w:ascii="Calibri" w:hAnsi="Calibri" w:cs="Calibri"/>
        </w:rPr>
        <w:t>.</w:t>
      </w:r>
      <w:r w:rsidRPr="0035461C">
        <w:rPr>
          <w:rFonts w:ascii="Calibri" w:hAnsi="Calibri" w:cs="Calibri"/>
        </w:rPr>
        <w:t xml:space="preserve"> Although achievement of insulin independence remains an important objective, several multi</w:t>
      </w:r>
      <w:r w:rsidR="00547645" w:rsidRPr="0035461C">
        <w:rPr>
          <w:rFonts w:ascii="Calibri" w:hAnsi="Calibri" w:cs="Calibri"/>
        </w:rPr>
        <w:t>-</w:t>
      </w:r>
      <w:proofErr w:type="spellStart"/>
      <w:r w:rsidRPr="0035461C">
        <w:rPr>
          <w:rFonts w:ascii="Calibri" w:hAnsi="Calibri" w:cs="Calibri"/>
        </w:rPr>
        <w:t>cent</w:t>
      </w:r>
      <w:r w:rsidR="00547645" w:rsidRPr="0035461C">
        <w:rPr>
          <w:rFonts w:ascii="Calibri" w:hAnsi="Calibri" w:cs="Calibri"/>
        </w:rPr>
        <w:t>r</w:t>
      </w:r>
      <w:r w:rsidRPr="0035461C">
        <w:rPr>
          <w:rFonts w:ascii="Calibri" w:hAnsi="Calibri" w:cs="Calibri"/>
        </w:rPr>
        <w:t>e</w:t>
      </w:r>
      <w:proofErr w:type="spellEnd"/>
      <w:r w:rsidRPr="0035461C">
        <w:rPr>
          <w:rFonts w:ascii="Calibri" w:hAnsi="Calibri" w:cs="Calibri"/>
        </w:rPr>
        <w:t xml:space="preserve"> clinical trials of islet transplants in </w:t>
      </w:r>
      <w:r w:rsidR="00547645" w:rsidRPr="0035461C">
        <w:rPr>
          <w:rFonts w:ascii="Calibri" w:hAnsi="Calibri" w:cs="Calibri"/>
        </w:rPr>
        <w:t>people with type 1 diabetes</w:t>
      </w:r>
      <w:r w:rsidRPr="0035461C">
        <w:rPr>
          <w:rFonts w:ascii="Calibri" w:hAnsi="Calibri" w:cs="Calibri"/>
        </w:rPr>
        <w:t xml:space="preserve"> and problematic hypoglyc</w:t>
      </w:r>
      <w:r w:rsidR="00547645" w:rsidRPr="0035461C">
        <w:rPr>
          <w:rFonts w:ascii="Calibri" w:hAnsi="Calibri" w:cs="Calibri"/>
        </w:rPr>
        <w:t>a</w:t>
      </w:r>
      <w:r w:rsidRPr="0035461C">
        <w:rPr>
          <w:rFonts w:ascii="Calibri" w:hAnsi="Calibri" w:cs="Calibri"/>
        </w:rPr>
        <w:t>emia have adopted a combination of near-normal glyc</w:t>
      </w:r>
      <w:r w:rsidR="00B92FA7" w:rsidRPr="0035461C">
        <w:rPr>
          <w:rFonts w:ascii="Calibri" w:hAnsi="Calibri" w:cs="Calibri"/>
        </w:rPr>
        <w:t>a</w:t>
      </w:r>
      <w:r w:rsidRPr="0035461C">
        <w:rPr>
          <w:rFonts w:ascii="Calibri" w:hAnsi="Calibri" w:cs="Calibri"/>
        </w:rPr>
        <w:t xml:space="preserve">emic </w:t>
      </w:r>
      <w:r w:rsidR="0047447F" w:rsidRPr="0035461C">
        <w:rPr>
          <w:rFonts w:ascii="Calibri" w:hAnsi="Calibri" w:cs="Calibri"/>
        </w:rPr>
        <w:t>levels</w:t>
      </w:r>
      <w:r w:rsidRPr="0035461C">
        <w:rPr>
          <w:rFonts w:ascii="Calibri" w:hAnsi="Calibri" w:cs="Calibri"/>
        </w:rPr>
        <w:t xml:space="preserve"> (HbA</w:t>
      </w:r>
      <w:r w:rsidRPr="0035461C">
        <w:rPr>
          <w:rFonts w:ascii="Calibri" w:hAnsi="Calibri" w:cs="Calibri"/>
          <w:vertAlign w:val="subscript"/>
        </w:rPr>
        <w:t>1c</w:t>
      </w:r>
      <w:r w:rsidR="00547645" w:rsidRPr="0035461C">
        <w:rPr>
          <w:rFonts w:ascii="Calibri" w:hAnsi="Calibri" w:cs="Calibri"/>
        </w:rPr>
        <w:t xml:space="preserve"> &lt;</w:t>
      </w:r>
      <w:r w:rsidRPr="0035461C">
        <w:rPr>
          <w:rFonts w:ascii="Calibri" w:hAnsi="Calibri" w:cs="Calibri"/>
        </w:rPr>
        <w:t>7.0%</w:t>
      </w:r>
      <w:r w:rsidR="00547645" w:rsidRPr="0035461C">
        <w:rPr>
          <w:rFonts w:ascii="Calibri" w:hAnsi="Calibri" w:cs="Calibri"/>
        </w:rPr>
        <w:t xml:space="preserve">, 53 </w:t>
      </w:r>
      <w:proofErr w:type="spellStart"/>
      <w:r w:rsidR="00547645" w:rsidRPr="0035461C">
        <w:rPr>
          <w:rFonts w:ascii="Calibri" w:hAnsi="Calibri" w:cs="Calibri"/>
        </w:rPr>
        <w:t>mmol</w:t>
      </w:r>
      <w:proofErr w:type="spellEnd"/>
      <w:r w:rsidR="00547645" w:rsidRPr="0035461C">
        <w:rPr>
          <w:rFonts w:ascii="Calibri" w:hAnsi="Calibri" w:cs="Calibri"/>
        </w:rPr>
        <w:t>/</w:t>
      </w:r>
      <w:proofErr w:type="spellStart"/>
      <w:r w:rsidR="00547645" w:rsidRPr="0035461C">
        <w:rPr>
          <w:rFonts w:ascii="Calibri" w:hAnsi="Calibri" w:cs="Calibri"/>
        </w:rPr>
        <w:t>mol</w:t>
      </w:r>
      <w:proofErr w:type="spellEnd"/>
      <w:r w:rsidRPr="0035461C">
        <w:rPr>
          <w:rFonts w:ascii="Calibri" w:hAnsi="Calibri" w:cs="Calibri"/>
        </w:rPr>
        <w:t xml:space="preserve">) together with the elimination of </w:t>
      </w:r>
      <w:r w:rsidR="00A765E6">
        <w:rPr>
          <w:rFonts w:ascii="Calibri" w:hAnsi="Calibri" w:cs="Calibri"/>
        </w:rPr>
        <w:t>level 3 hypo</w:t>
      </w:r>
      <w:r w:rsidRPr="0035461C">
        <w:rPr>
          <w:rFonts w:ascii="Calibri" w:hAnsi="Calibri" w:cs="Calibri"/>
        </w:rPr>
        <w:t>gl</w:t>
      </w:r>
      <w:r w:rsidR="008E0C17" w:rsidRPr="0035461C">
        <w:rPr>
          <w:rFonts w:ascii="Calibri" w:hAnsi="Calibri" w:cs="Calibri"/>
        </w:rPr>
        <w:t>ycaemi</w:t>
      </w:r>
      <w:r w:rsidRPr="0035461C">
        <w:rPr>
          <w:rFonts w:ascii="Calibri" w:hAnsi="Calibri" w:cs="Calibri"/>
        </w:rPr>
        <w:t>a as the primary end point and the clinically relevant dual goal of intervention</w:t>
      </w:r>
      <w:r w:rsidR="0047447F" w:rsidRPr="0035461C">
        <w:rPr>
          <w:rFonts w:ascii="Calibri" w:hAnsi="Calibri" w:cs="Calibri"/>
        </w:rPr>
        <w:t xml:space="preserve"> </w:t>
      </w:r>
      <w:r w:rsidR="00FB29D7" w:rsidRPr="0035461C">
        <w:rPr>
          <w:rFonts w:ascii="Calibri" w:hAnsi="Calibri" w:cs="Calibri"/>
        </w:rPr>
        <w:fldChar w:fldCharType="begin"/>
      </w:r>
      <w:r w:rsidR="00076F77">
        <w:rPr>
          <w:rFonts w:ascii="Calibri" w:hAnsi="Calibri" w:cs="Calibri"/>
        </w:rPr>
        <w:instrText xml:space="preserve"> ADDIN ZOTERO_ITEM CSL_CITATION {"citationID":"J65RIT7U","properties":{"formattedCitation":"(237\\uc0\\u8211{}239)","plainCitation":"(237–239)","noteIndex":0},"citationItems":[{"id":11161,"uris":["http://zotero.org/groups/369679/items/BA7J7IA2"],"uri":["http://zotero.org/groups/369679/items/BA7J7IA2"],"itemData":{"id":11161,"type":"webpage","title":"Clinical Islet Transplantation Study (CIT)","URL":"https://www.isletstudy.org/","accessed":{"date-parts":[["2021",2,11]]}}},{"id":11163,"uris":["http://zotero.org/groups/369679/items/CTJVA2AG"],"uri":["http://zotero.org/groups/369679/items/CTJVA2AG"],"itemData":{"id":11163,"type":"article-journal","abstract":"Whilst initial rates of insulin independence following islet transplantation are encouraging, long-term function using the Edmonton Protocol remains a concern. The aim of this single-arm, multicenter study was to evaluate an immunosuppressive protocol of initial antithymocyte globulin (ATG), tacrolimus and mycophenolate mofetil (MMF) followed by switching to sirolimus and MMF. Islets were cultured for 24 h prior to transplantation. The primary end-point was an HbA1c of &lt;7% and cessation of severe hypoglycemia. Seventeen recipients were followed for ≥ 12 months. Nine islet preparations were transported interstate for transplantation. Similar outcomes were achieved at all three centers. Fourteen of the 17 (82%) recipients achieved the primary end-point. Nine (53%) recipients achieved insulin independence for a median of 26 months (range 7-39 months) and 6 (35%) remain insulin independent. All recipients were C-peptide positive for at least 3 months. All subjects with unstimulated C-peptide &gt;0.2 nmol/L had cessation of severe hypoglycemia. Nine of the 17 recipients tolerated switching from tacrolimus to sirolimus with similar graft outcomes. There was a small but significant reduction in renal function in the first 12 months. The combination of islet culture, ATG, tacrolimus and MMF is a viable alternative for islet transplantation.","container-title":"American Journal of Transplantation: Official Journal of the American Society of Transplantation and the American Society of Transplant Surgeons","DOI":"10.1111/ajt.12250","ISSN":"1600-6143","issue":"7","journalAbbreviation":"Am J Transplant","language":"eng","note":"PMID: 23668890","page":"1850-1858","source":"PubMed","title":"Multicenter Australian trial of islet transplantation: improving accessibility and outcomes","title-short":"Multicenter Australian trial of islet transplantation","volume":"13","author":[{"family":"O'Connell","given":"P. J."},{"family":"Holmes-Walker","given":"D. J."},{"family":"Goodman","given":"D."},{"family":"Hawthorne","given":"W. J."},{"family":"Loudovaris","given":"T."},{"family":"Gunton","given":"J. E."},{"family":"Thomas","given":"H. E."},{"family":"Grey","given":"S. T."},{"family":"Drogemuller","given":"C. J."},{"family":"Ward","given":"G. M."},{"family":"Torpy","given":"D. J."},{"family":"Coates","given":"P. T."},{"family":"Kay","given":"T. W."},{"literal":"Australian Islet Transplant Consortium"}],"issued":{"date-parts":[["2013",7]]}}},{"id":11166,"uris":["http://zotero.org/groups/369679/items/JAFASC62"],"uri":["http://zotero.org/groups/369679/items/JAFASC62"],"itemData":{"id":11166,"type":"article-journal","abstract":"The objective was to determine whether metabolic goals have been achieved with locally isolated and transported preparations over the first 3 years of the UK's nationally funded integrated islet transplant program. Twenty islet recipients with C-peptide negative type 1 diabetes and recurrent severe hypoglycemia consented to the study, including standardized meal tolerance tests. Participants received a total of 35 infusions (seven recipients: single graft; 11 recipients: two grafts: two recipients: three grafts). Graft function was maintained in 80% at [median (interquartile range)] 24 (13.5-36) months postfirst transplant. Severe hypoglycemia was reduced from 20 (7-50) episodes/patient-year pretransplant to 0.3 (0-1.6) episodes/patient-year posttransplant (p &lt; 0.001). Resolution of impaired hypoglycemia awareness was confirmed [pretransplant: Gold score 6 (5-7); 24 (13.5-36) months: 3 (1.5-4.5); p &lt; 0.03]. Target HbA1c of &lt;7.0% was attained/maintained in 70% of recipients [pretransplant: 8.0 (7.0-9.6)%; 24 (13.5-36) months: 6.2 (5.7-8.4)%; p &lt; 0.001], with 60% reduction in insulin dose [pretransplant: 0.51 (0.41-0.62) units/kg; 24 (13.5-36) months: 0.20 (0-0.37) units/kg; p &lt; 0.001]. Metabolic outcomes were comparable 12 months posttransplant in those receiving transported versus only locally isolated islets [12 month stimulated C-peptide: transported 788 (114-1764) pmol/L (n = 9); locally isolated 407 (126-830) pmol/L (n = 11); p = 0.32]. Metabolic goals have been attained within the equitably available, fully integrated UK islet transplant program with both transported and locally isolated preparations.","container-title":"American Journal of Transplantation: Official Journal of the American Society of Transplantation and the American Society of Transplant Surgeons","DOI":"10.1111/ajt.12469","ISSN":"1600-6143","issue":"12","journalAbbreviation":"Am J Transplant","language":"eng","note":"PMID: 24119216","page":"3236-3243","source":"PubMed","title":"Attainment of metabolic goals in the integrated UK islet transplant program with locally isolated and transported preparations","volume":"13","author":[{"family":"Brooks","given":"A. M."},{"family":"Walker","given":"N."},{"family":"Aldibbiat","given":"A."},{"family":"Hughes","given":"S."},{"family":"Jones","given":"G."},{"family":"Havilland","given":"J.","non-dropping-particle":"de"},{"family":"Choudhary","given":"P."},{"family":"Huang","given":"G. C."},{"family":"Parrott","given":"N."},{"family":"McGowan","given":"N. W. A."},{"family":"Casey","given":"J."},{"family":"Mumford","given":"L."},{"family":"Barker","given":"P."},{"family":"Burling","given":"K."},{"family":"Hovorka","given":"R."},{"family":"Walker","given":"M."},{"family":"Smith","given":"R. M."},{"family":"Forbes","given":"S."},{"family":"Rutter","given":"M. K."},{"family":"Amiel","given":"S."},{"family":"Rosenthal","given":"M. J."},{"family":"Johnson","given":"P."},{"family":"Shaw","given":"J. a. M."}],"issued":{"date-parts":[["2013",12]]}}}],"schema":"https://github.com/citation-style-language/schema/raw/master/csl-citation.json"} </w:instrText>
      </w:r>
      <w:r w:rsidR="00FB29D7" w:rsidRPr="0035461C">
        <w:rPr>
          <w:rFonts w:ascii="Calibri" w:hAnsi="Calibri" w:cs="Calibri"/>
        </w:rPr>
        <w:fldChar w:fldCharType="separate"/>
      </w:r>
      <w:r w:rsidR="00076F77" w:rsidRPr="00076F77">
        <w:rPr>
          <w:rFonts w:ascii="Calibri" w:hAnsi="Calibri" w:cs="Calibri"/>
        </w:rPr>
        <w:t>(237–239)</w:t>
      </w:r>
      <w:r w:rsidR="00FB29D7" w:rsidRPr="0035461C">
        <w:rPr>
          <w:rFonts w:ascii="Calibri" w:hAnsi="Calibri" w:cs="Calibri"/>
        </w:rPr>
        <w:fldChar w:fldCharType="end"/>
      </w:r>
      <w:r w:rsidR="0047447F" w:rsidRPr="0035461C">
        <w:rPr>
          <w:rFonts w:ascii="Calibri" w:hAnsi="Calibri" w:cs="Calibri"/>
        </w:rPr>
        <w:t>.</w:t>
      </w:r>
      <w:r w:rsidR="00147D51" w:rsidRPr="0035461C">
        <w:rPr>
          <w:rFonts w:ascii="Calibri" w:hAnsi="Calibri" w:cs="Calibri"/>
        </w:rPr>
        <w:t xml:space="preserve"> These outcomes can translate into improved patient-reported outcomes, but research in this area is limited</w:t>
      </w:r>
      <w:r w:rsidR="00857050" w:rsidRPr="0035461C">
        <w:rPr>
          <w:rFonts w:ascii="Calibri" w:hAnsi="Calibri" w:cs="Calibri"/>
        </w:rPr>
        <w:t xml:space="preserve"> </w:t>
      </w:r>
      <w:r w:rsidR="00857050" w:rsidRPr="0035461C">
        <w:rPr>
          <w:rFonts w:ascii="Calibri" w:hAnsi="Calibri" w:cs="Calibri"/>
        </w:rPr>
        <w:fldChar w:fldCharType="begin"/>
      </w:r>
      <w:r w:rsidR="00076F77">
        <w:rPr>
          <w:rFonts w:ascii="Calibri" w:hAnsi="Calibri" w:cs="Calibri"/>
        </w:rPr>
        <w:instrText xml:space="preserve"> ADDIN ZOTERO_ITEM CSL_CITATION {"citationID":"qG95l4Hq","properties":{"formattedCitation":"(240)","plainCitation":"(240)","noteIndex":0},"citationItems":[{"id":11521,"uris":["http://zotero.org/groups/369679/items/A4LN2CSB"],"uri":["http://zotero.org/groups/369679/items/A4LN2CSB"],"itemData":{"id":11521,"type":"article-journal","abstract":"AIMS: For selected individuals with complex Type 1 diabetes, pancreatic islet transplantation (IT) offers the potential of excellent glycaemic control without significant hypoglycaemia, balanced by the need for ongoing systemic immunosuppression. Increasingly, patient-reported outcomes (PROs) are considered alongside biomedical outcomes as a measure of transplant success. PROs in IT have not previously been compared directly with the closest alternate treatment option, pancreas transplant alone (PTA) or pancreas after kidney (PAK).\nMETHODS: We used a Population, Intervention, Comparisons, Outcomes (PICO) strategy to search Scopus and screened 314 references for inclusion.\nRESULTS: Twelve studies [including PRO assessment of PAK, PTA, islet-after kidney (IAK) and islet transplant alone (ITA); n = 7-205] used a total of nine specified and two unspecified PRO measures. Results were mixed but identified some benefits which remained apparent up to 36 months post-transplant, including improvements in fear of hypoglycaemia, as well as some aspects of diabetes-specific quality of life (QoL) and general health status. Negative outcomes included short-term pain associated with the procedure, immunosuppressant side effects and depressed mood associated with loss of graft function.\nCONCLUSIONS: The mixed results may be attributable to limited sample sizes. Also, some PRO measures may lack sensitivity to detect actual changes, as they exclude issues and domains of life likely to be important for QoL post-transplantation and when patients may no longer perceive themselves to have diabetes. Thus, the full impact of islet/pancreas transplantation (alone or after kidney) on QoL is unknown. Furthermore, no studies have assessed patient satisfaction, which may highlight further advantages and disadvantages of transplantation.","container-title":"Diabetic Medicine: A Journal of the British Diabetic Association","DOI":"10.1111/j.1464-5491.2010.03029.x","ISSN":"1464-5491","issue":"7","journalAbbreviation":"Diabet Med","language":"eng","note":"PMID: 20636963","page":"812-822","source":"PubMed","title":"Patient-reported outcomes following islet cell or pancreas transplantation (alone or after kidney) in Type 1 diabetes: a systematic review","title-short":"Patient-reported outcomes following islet cell or pancreas transplantation (alone or after kidney) in Type 1 diabetes","volume":"27","author":[{"family":"Speight","given":"J."},{"family":"Reaney","given":"M. D."},{"family":"Woodcock","given":"A. J."},{"family":"Smith","given":"R. M."},{"family":"Shaw","given":"J. a. M."}],"issued":{"date-parts":[["2010",7]]}}}],"schema":"https://github.com/citation-style-language/schema/raw/master/csl-citation.json"} </w:instrText>
      </w:r>
      <w:r w:rsidR="00857050" w:rsidRPr="0035461C">
        <w:rPr>
          <w:rFonts w:ascii="Calibri" w:hAnsi="Calibri" w:cs="Calibri"/>
        </w:rPr>
        <w:fldChar w:fldCharType="separate"/>
      </w:r>
      <w:r w:rsidR="00076F77" w:rsidRPr="00076F77">
        <w:rPr>
          <w:rFonts w:ascii="Calibri" w:hAnsi="Calibri" w:cs="Calibri"/>
        </w:rPr>
        <w:t>(240)</w:t>
      </w:r>
      <w:r w:rsidR="00857050" w:rsidRPr="0035461C">
        <w:rPr>
          <w:rFonts w:ascii="Calibri" w:hAnsi="Calibri" w:cs="Calibri"/>
        </w:rPr>
        <w:fldChar w:fldCharType="end"/>
      </w:r>
      <w:r w:rsidR="00147D51" w:rsidRPr="0035461C">
        <w:rPr>
          <w:rFonts w:ascii="Calibri" w:hAnsi="Calibri" w:cs="Calibri"/>
        </w:rPr>
        <w:t>.</w:t>
      </w:r>
    </w:p>
    <w:p w14:paraId="3AE3F171" w14:textId="09C06AE3" w:rsidR="00910721" w:rsidRPr="0035461C" w:rsidRDefault="00547645" w:rsidP="00C51194">
      <w:pPr>
        <w:spacing w:before="120"/>
        <w:jc w:val="both"/>
        <w:rPr>
          <w:rFonts w:ascii="Calibri" w:hAnsi="Calibri" w:cs="Calibri"/>
        </w:rPr>
      </w:pPr>
      <w:r w:rsidRPr="0035461C">
        <w:rPr>
          <w:rFonts w:ascii="Calibri" w:hAnsi="Calibri" w:cs="Calibri"/>
        </w:rPr>
        <w:t>R</w:t>
      </w:r>
      <w:r w:rsidR="00910721" w:rsidRPr="0035461C">
        <w:rPr>
          <w:rFonts w:ascii="Calibri" w:hAnsi="Calibri" w:cs="Calibri"/>
        </w:rPr>
        <w:t xml:space="preserve">egardless of the </w:t>
      </w:r>
      <w:r w:rsidRPr="0035461C">
        <w:rPr>
          <w:rFonts w:ascii="Calibri" w:hAnsi="Calibri" w:cs="Calibri"/>
        </w:rPr>
        <w:t>β-</w:t>
      </w:r>
      <w:r w:rsidR="00910721" w:rsidRPr="0035461C">
        <w:rPr>
          <w:rFonts w:ascii="Calibri" w:hAnsi="Calibri" w:cs="Calibri"/>
        </w:rPr>
        <w:t>cell replacement approach (pancreas or islets)</w:t>
      </w:r>
      <w:r w:rsidRPr="0035461C">
        <w:rPr>
          <w:rFonts w:ascii="Calibri" w:hAnsi="Calibri" w:cs="Calibri"/>
        </w:rPr>
        <w:t>,</w:t>
      </w:r>
      <w:r w:rsidR="00910721" w:rsidRPr="0035461C">
        <w:rPr>
          <w:rFonts w:ascii="Calibri" w:hAnsi="Calibri" w:cs="Calibri"/>
        </w:rPr>
        <w:t xml:space="preserve"> the majority of recipients experience reliable prevention of problematic hypoglyc</w:t>
      </w:r>
      <w:r w:rsidRPr="0035461C">
        <w:rPr>
          <w:rFonts w:ascii="Calibri" w:hAnsi="Calibri" w:cs="Calibri"/>
        </w:rPr>
        <w:t>a</w:t>
      </w:r>
      <w:r w:rsidR="00910721" w:rsidRPr="0035461C">
        <w:rPr>
          <w:rFonts w:ascii="Calibri" w:hAnsi="Calibri" w:cs="Calibri"/>
        </w:rPr>
        <w:t>emia with near-normal glyc</w:t>
      </w:r>
      <w:r w:rsidRPr="0035461C">
        <w:rPr>
          <w:rFonts w:ascii="Calibri" w:hAnsi="Calibri" w:cs="Calibri"/>
        </w:rPr>
        <w:t>a</w:t>
      </w:r>
      <w:r w:rsidR="00910721" w:rsidRPr="0035461C">
        <w:rPr>
          <w:rFonts w:ascii="Calibri" w:hAnsi="Calibri" w:cs="Calibri"/>
        </w:rPr>
        <w:t xml:space="preserve">emic </w:t>
      </w:r>
      <w:r w:rsidRPr="0035461C">
        <w:rPr>
          <w:rFonts w:ascii="Calibri" w:hAnsi="Calibri" w:cs="Calibri"/>
        </w:rPr>
        <w:t>levels</w:t>
      </w:r>
      <w:r w:rsidR="00910721" w:rsidRPr="0035461C">
        <w:rPr>
          <w:rFonts w:ascii="Calibri" w:hAnsi="Calibri" w:cs="Calibri"/>
        </w:rPr>
        <w:t xml:space="preserve">. Islet and pancreas transplants are the only approaches to date that confer both sustained recovery from </w:t>
      </w:r>
      <w:r w:rsidR="00CF7AB6">
        <w:rPr>
          <w:rFonts w:ascii="Calibri" w:hAnsi="Calibri" w:cs="Calibri"/>
        </w:rPr>
        <w:t>impaired awareness of hypoglycaemia</w:t>
      </w:r>
      <w:r w:rsidR="00910721" w:rsidRPr="0035461C">
        <w:rPr>
          <w:rFonts w:ascii="Calibri" w:hAnsi="Calibri" w:cs="Calibri"/>
        </w:rPr>
        <w:t xml:space="preserve"> and restoration of glucose counter</w:t>
      </w:r>
      <w:r w:rsidRPr="0035461C">
        <w:rPr>
          <w:rFonts w:ascii="Calibri" w:hAnsi="Calibri" w:cs="Calibri"/>
        </w:rPr>
        <w:t>-</w:t>
      </w:r>
      <w:r w:rsidR="00910721" w:rsidRPr="0035461C">
        <w:rPr>
          <w:rFonts w:ascii="Calibri" w:hAnsi="Calibri" w:cs="Calibri"/>
        </w:rPr>
        <w:t xml:space="preserve">regulation and, thereby, reliable protection from </w:t>
      </w:r>
      <w:r w:rsidR="00A765E6">
        <w:rPr>
          <w:rFonts w:ascii="Calibri" w:hAnsi="Calibri" w:cs="Calibri"/>
        </w:rPr>
        <w:t>level 3 hypo</w:t>
      </w:r>
      <w:r w:rsidRPr="0035461C">
        <w:rPr>
          <w:rFonts w:ascii="Calibri" w:hAnsi="Calibri" w:cs="Calibri"/>
        </w:rPr>
        <w:t>glycaemia</w:t>
      </w:r>
      <w:r w:rsidR="00910721" w:rsidRPr="0035461C">
        <w:rPr>
          <w:rFonts w:ascii="Calibri" w:hAnsi="Calibri" w:cs="Calibri"/>
        </w:rPr>
        <w:t xml:space="preserve"> in </w:t>
      </w:r>
      <w:r w:rsidRPr="0035461C">
        <w:rPr>
          <w:rFonts w:ascii="Calibri" w:hAnsi="Calibri" w:cs="Calibri"/>
        </w:rPr>
        <w:t>people</w:t>
      </w:r>
      <w:r w:rsidR="00910721" w:rsidRPr="0035461C">
        <w:rPr>
          <w:rFonts w:ascii="Calibri" w:hAnsi="Calibri" w:cs="Calibri"/>
        </w:rPr>
        <w:t xml:space="preserve"> with longstanding</w:t>
      </w:r>
      <w:r w:rsidRPr="0035461C">
        <w:rPr>
          <w:rFonts w:ascii="Calibri" w:hAnsi="Calibri" w:cs="Calibri"/>
        </w:rPr>
        <w:t xml:space="preserve"> type 1 diabetes</w:t>
      </w:r>
      <w:r w:rsidR="0047447F" w:rsidRPr="0035461C">
        <w:rPr>
          <w:rFonts w:ascii="Calibri" w:hAnsi="Calibri" w:cs="Calibri"/>
        </w:rPr>
        <w:t xml:space="preserve"> </w:t>
      </w:r>
      <w:r w:rsidR="00677728" w:rsidRPr="0035461C">
        <w:rPr>
          <w:rFonts w:ascii="Calibri" w:hAnsi="Calibri" w:cs="Calibri"/>
        </w:rPr>
        <w:fldChar w:fldCharType="begin"/>
      </w:r>
      <w:r w:rsidR="00076F77">
        <w:rPr>
          <w:rFonts w:ascii="Calibri" w:hAnsi="Calibri" w:cs="Calibri"/>
        </w:rPr>
        <w:instrText xml:space="preserve"> ADDIN ZOTERO_ITEM CSL_CITATION {"citationID":"XywtjIdj","properties":{"formattedCitation":"(241)","plainCitation":"(241)","noteIndex":0},"citationItems":[{"id":409,"uris":["http://zotero.org/groups/369679/items/VS2JR4CT"],"uri":["http://zotero.org/groups/369679/items/VS2JR4CT"],"itemData":{"id":409,"type":"article-journal","abstract":"Problematic hypoglycemia, defined as two or more episodes per year of severe hypoglycemia or as one episode associated with impaired awareness of hypoglycemia, extreme glycemic lability, or major fear and maladaptive behavior, is a challenge, especially for patients with long-standing type 1 diabetes. Individualized therapy for such patients should include a composite target: optimal glucose control without problematic hypoglycemia. Therefore, we propose a tiered, four-stage algorithm based on evidence of efficacy given the limitations of educational, technological, and transplant interventions. All patients with problematic hypoglycemia should undergo structured or hypoglycemia-specific education programs (stage 1). Glycemic and hypoglycemia treatment targets should be individualized and reassessed every 3-6 months. If targets are not met, one diabetes technology-continuous subcutaneous insulin infusion or continuous glucose monitoring-should be added (stage 2). For patients with continued problematic hypoglycemia despite education (stage 1) and one diabetes technology (stage 2), sensor-augmented insulin pumps preferably with an automated low-glucose suspend feature and/or very frequent contact with a specialized hypoglycemia service can reduce hypoglycemia (stage 3). For patients whose problematic hypoglycemia persists, islet or pancreas transplant should be considered (stage 4). This algorithm provides an evidence-informed approach to resolving problematic hypoglycemia; it should be used as a guide, with individual patient circumstances directing suitability and acceptability to ensure the prudent use of technology and scarce transplant resources. Standardized reporting of hypoglycemia outcomes and inclusion of patients with problematic hypoglycemia in studies of new interventions may help to guide future therapeutic strategies.","container-title":"Diabetes Care","DOI":"10.2337/dc15-0090","ISSN":"1935-5548","issue":"6","journalAbbreviation":"Diabetes Care","language":"eng","note":"PMID: 25998294\nPMCID: PMC4439532","page":"1016-1029","source":"PubMed","title":"Evidence-informed clinical practice recommendations for treatment of type 1 diabetes complicated by problematic hypoglycemia","volume":"38","author":[{"family":"Choudhary","given":"Pratik"},{"family":"Rickels","given":"Michael R."},{"family":"Senior","given":"Peter A."},{"family":"Vantyghem","given":"Marie-Christine"},{"family":"Maffi","given":"Paola"},{"family":"Kay","given":"Thomas W."},{"family":"Keymeulen","given":"Bart"},{"family":"Inagaki","given":"Nobuya"},{"family":"Saudek","given":"Frantisek"},{"family":"Lehmann","given":"Roger"},{"family":"Hering","given":"Bernhard J."}],"issued":{"date-parts":[["2015",6]]}}}],"schema":"https://github.com/citation-style-language/schema/raw/master/csl-citation.json"} </w:instrText>
      </w:r>
      <w:r w:rsidR="00677728" w:rsidRPr="0035461C">
        <w:rPr>
          <w:rFonts w:ascii="Calibri" w:hAnsi="Calibri" w:cs="Calibri"/>
        </w:rPr>
        <w:fldChar w:fldCharType="separate"/>
      </w:r>
      <w:r w:rsidR="00076F77" w:rsidRPr="00076F77">
        <w:rPr>
          <w:rFonts w:ascii="Calibri" w:hAnsi="Calibri" w:cs="Calibri"/>
        </w:rPr>
        <w:t>(241)</w:t>
      </w:r>
      <w:r w:rsidR="00677728" w:rsidRPr="0035461C">
        <w:rPr>
          <w:rFonts w:ascii="Calibri" w:hAnsi="Calibri" w:cs="Calibri"/>
        </w:rPr>
        <w:fldChar w:fldCharType="end"/>
      </w:r>
      <w:r w:rsidR="0047447F" w:rsidRPr="0035461C">
        <w:rPr>
          <w:rFonts w:ascii="Calibri" w:hAnsi="Calibri" w:cs="Calibri"/>
        </w:rPr>
        <w:t>.</w:t>
      </w:r>
      <w:r w:rsidR="00AF520A" w:rsidRPr="0035461C">
        <w:rPr>
          <w:rFonts w:ascii="Calibri" w:hAnsi="Calibri" w:cs="Calibri"/>
        </w:rPr>
        <w:t xml:space="preserve"> However, these approaches have not been </w:t>
      </w:r>
      <w:r w:rsidR="00CF1EBE" w:rsidRPr="0035461C">
        <w:rPr>
          <w:rFonts w:ascii="Calibri" w:hAnsi="Calibri" w:cs="Calibri"/>
        </w:rPr>
        <w:t>compared with the</w:t>
      </w:r>
      <w:r w:rsidR="00AF520A" w:rsidRPr="0035461C">
        <w:rPr>
          <w:rFonts w:ascii="Calibri" w:hAnsi="Calibri" w:cs="Calibri"/>
        </w:rPr>
        <w:t xml:space="preserve"> newer systems of hybrid closed loop technology</w:t>
      </w:r>
      <w:r w:rsidR="00192A54">
        <w:rPr>
          <w:rFonts w:ascii="Calibri" w:hAnsi="Calibri" w:cs="Calibri"/>
        </w:rPr>
        <w:t>,</w:t>
      </w:r>
      <w:r w:rsidR="00AF520A" w:rsidRPr="0035461C">
        <w:rPr>
          <w:rFonts w:ascii="Calibri" w:hAnsi="Calibri" w:cs="Calibri"/>
        </w:rPr>
        <w:t xml:space="preserve"> which might </w:t>
      </w:r>
      <w:r w:rsidR="00CF1EBE" w:rsidRPr="0035461C">
        <w:rPr>
          <w:rFonts w:ascii="Calibri" w:hAnsi="Calibri" w:cs="Calibri"/>
        </w:rPr>
        <w:t>render</w:t>
      </w:r>
      <w:r w:rsidR="00AF520A" w:rsidRPr="0035461C">
        <w:rPr>
          <w:rFonts w:ascii="Calibri" w:hAnsi="Calibri" w:cs="Calibri"/>
        </w:rPr>
        <w:t xml:space="preserve"> immunosuppression requiring therapies less necessary</w:t>
      </w:r>
      <w:r w:rsidR="00192A54">
        <w:rPr>
          <w:rFonts w:ascii="Calibri" w:hAnsi="Calibri" w:cs="Calibri"/>
        </w:rPr>
        <w:t>, in large</w:t>
      </w:r>
      <w:r w:rsidR="00C72A5C">
        <w:rPr>
          <w:rFonts w:ascii="Calibri" w:hAnsi="Calibri" w:cs="Calibri"/>
        </w:rPr>
        <w:t>,</w:t>
      </w:r>
      <w:r w:rsidR="00192A54">
        <w:rPr>
          <w:rFonts w:ascii="Calibri" w:hAnsi="Calibri" w:cs="Calibri"/>
        </w:rPr>
        <w:t xml:space="preserve"> long-term studies</w:t>
      </w:r>
      <w:r w:rsidR="00B82C98">
        <w:rPr>
          <w:rFonts w:ascii="Calibri" w:hAnsi="Calibri" w:cs="Calibri"/>
        </w:rPr>
        <w:t xml:space="preserve"> </w:t>
      </w:r>
      <w:r w:rsidR="00B82C98">
        <w:rPr>
          <w:rFonts w:ascii="Calibri" w:hAnsi="Calibri" w:cs="Calibri"/>
        </w:rPr>
        <w:fldChar w:fldCharType="begin"/>
      </w:r>
      <w:r w:rsidR="00076F77">
        <w:rPr>
          <w:rFonts w:ascii="Calibri" w:hAnsi="Calibri" w:cs="Calibri"/>
        </w:rPr>
        <w:instrText xml:space="preserve"> ADDIN ZOTERO_ITEM CSL_CITATION {"citationID":"a2hmjgl4j5n","properties":{"formattedCitation":"(242)","plainCitation":"(242)","noteIndex":0},"citationItems":[{"id":12499,"uris":["http://zotero.org/groups/369679/items/4M9CZURW"],"uri":["http://zotero.org/groups/369679/items/4M9CZURW"],"itemData":{"id":12499,"type":"article-journal","abstract":"BACKGROUND: Islet transplantation is indicated for patients with type 1 diabetes with severe hypoglycaemia or after kidney transplantation. We did a randomised trial to assess the efficacy and safety of islet transplantation compared with insulin therapy in these patients.\nMETHODS: In this multicentre, open-label, randomised controlled trial, we randomly assigned (1:1) patients with type 1 diabetes at 15 university hospitals to receive immediate islet transplantation or intensive insulin therapy (followed by delayed islet transplantation). Eligible patients were aged 18-65 years and had severe hypoglycaemia or hypoglycaemia unawareness, or kidney grafts with poor glycaemic control. We used computer-generated randomisation, stratified by centre and type of patient. Islet recipients were scheduled to receive 11 000 islet equivalents per kg bodyweight in one to three infusions. The primary outcome was proportion of patients with a modified β-score (in which an overall score of 0 was not allocated when stimulated C-peptide was negative) of 6 or higher at 6 months after first islet infusion in the immediate transplantation group or 6 months after randomisation in the insulin group. The primary analysis included all patients who received the allocated intervention; safety was assessed in all patients who received islet infusions. This trial is registered with ClinicalTrials.gov, number NCT01148680, and is completed.\nFINDINGS: Between July 8, 2010, and July 29, 2013, 50 patients were randomly assigned to immediate islet transplantation (n=26) or insulin treatment (n=24), of whom three (one in the immediate islet transplantation group and two in the insulin therapy group) did not receive the allocated intervention. Median follow-up was 184 days (IQR 181-186) in the immediate transplantation group and 185 days (172-201) in the insulin therapy group. At 6 months, 16 (64% [95% CI 43-82]) of 25 patients in the immediate islet transplantation group had a modified β-score of 6 or higher versus none (0% [0-15]) of the 22 patients in the insulin group (p&lt;0·0001). At 12 months after first infusion, bleeding complications had occurred in four (7% [2-18]) of 55 infusions, and a decrease in median glomerular filtration rate from 90·5 mL/min (IQR 76·6-94·0) to 71·8 mL/min (59·0-89·0) was observed in islet recipients who had not previously received a kidney graft and from 63·0 mL/min (55·0-71·0) to 57·0 mL/min (45·5-65·1) in islet recipients who had previously received a kidney graft.\nINTERPRETATION: For the indications assessed in this study, islet transplantation effectively improves metabolic outcomes. Although studies with longer-term follow-up are needed, islet transplantation seems to be a valid option for patients with severe, unstable type 1 diabetes who are not responding to intensive medical treatments. However, immunosuppression can affect kidney function, necessitating careful selection of patients.\nFUNDING: Programme Hospitalier de Recherche Clinique grant from the French Government.","container-title":"The Lancet. Diabetes &amp; Endocrinology","DOI":"10.1016/S2213-8587(18)30078-0","ISSN":"2213-8595","issue":"7","journalAbbreviation":"Lancet Diabetes Endocrinol","language":"eng","note":"PMID: 29776895","page":"527-537","source":"PubMed","title":"Islet transplantation versus insulin therapy in patients with type 1 diabetes with severe hypoglycaemia or poorly controlled glycaemia after kidney transplantation (TRIMECO): a multicentre, randomised controlled trial","title-short":"Islet transplantation versus insulin therapy in patients with type 1 diabetes with severe hypoglycaemia or poorly controlled glycaemia after kidney transplantation (TRIMECO)","volume":"6","author":[{"family":"Lablanche","given":"Sandrine"},{"family":"Vantyghem","given":"Marie-Christine"},{"family":"Kessler","given":"Laurence"},{"family":"Wojtusciszyn","given":"Anne"},{"family":"Borot","given":"Sophie"},{"family":"Thivolet","given":"Charles"},{"family":"Girerd","given":"Sophie"},{"family":"Bosco","given":"Domenico"},{"family":"Bosson","given":"Jean-Luc"},{"family":"Colin","given":"Cyrille"},{"family":"Tetaz","given":"Rachel"},{"family":"Logerot","given":"Sophie"},{"family":"Kerr-Conte","given":"Julie"},{"family":"Renard","given":"Eric"},{"family":"Penfornis","given":"Alfred"},{"family":"Morelon","given":"Emmanuel"},{"family":"Buron","given":"Fanny"},{"family":"Skaare","given":"Kristina"},{"family":"Grguric","given":"Gwen"},{"family":"Camillo-Brault","given":"Coralie"},{"family":"Egelhofer","given":"Harald"},{"family":"Benomar","given":"Kanza"},{"family":"Badet","given":"Lionel"},{"family":"Berney","given":"Thierry"},{"family":"Pattou","given":"François"},{"family":"Benhamou","given":"Pierre-Yves"},{"literal":"TRIMECO trial investigators"}],"issued":{"date-parts":[["2018",7]]}}}],"schema":"https://github.com/citation-style-language/schema/raw/master/csl-citation.json"} </w:instrText>
      </w:r>
      <w:r w:rsidR="00B82C98">
        <w:rPr>
          <w:rFonts w:ascii="Calibri" w:hAnsi="Calibri" w:cs="Calibri"/>
        </w:rPr>
        <w:fldChar w:fldCharType="separate"/>
      </w:r>
      <w:r w:rsidR="00076F77" w:rsidRPr="00076F77">
        <w:rPr>
          <w:rFonts w:ascii="Calibri" w:hAnsi="Calibri" w:cs="Calibri"/>
        </w:rPr>
        <w:t>(242)</w:t>
      </w:r>
      <w:r w:rsidR="00B82C98">
        <w:rPr>
          <w:rFonts w:ascii="Calibri" w:hAnsi="Calibri" w:cs="Calibri"/>
        </w:rPr>
        <w:fldChar w:fldCharType="end"/>
      </w:r>
      <w:r w:rsidR="00AF520A" w:rsidRPr="0035461C">
        <w:rPr>
          <w:rFonts w:ascii="Calibri" w:hAnsi="Calibri" w:cs="Calibri"/>
        </w:rPr>
        <w:t>.</w:t>
      </w:r>
    </w:p>
    <w:p w14:paraId="067A477F" w14:textId="77777777" w:rsidR="00910721" w:rsidRPr="0035461C" w:rsidRDefault="00910721" w:rsidP="001C5BC0">
      <w:pPr>
        <w:spacing w:before="120"/>
        <w:rPr>
          <w:rFonts w:ascii="Calibri" w:hAnsi="Calibri" w:cs="Calibri"/>
          <w:b/>
          <w:bCs/>
        </w:rPr>
      </w:pPr>
    </w:p>
    <w:p w14:paraId="519BD6C9" w14:textId="59F5767B" w:rsidR="00C51194" w:rsidRPr="0035461C" w:rsidRDefault="005431A2" w:rsidP="001C5BC0">
      <w:pPr>
        <w:spacing w:before="120"/>
        <w:rPr>
          <w:rFonts w:ascii="Calibri" w:hAnsi="Calibri" w:cs="Calibri"/>
          <w:b/>
          <w:bCs/>
        </w:rPr>
      </w:pPr>
      <w:r w:rsidRPr="0035461C">
        <w:rPr>
          <w:rFonts w:ascii="Calibri" w:hAnsi="Calibri" w:cs="Calibri"/>
          <w:b/>
          <w:bCs/>
        </w:rPr>
        <w:t xml:space="preserve">Section </w:t>
      </w:r>
      <w:r w:rsidR="00264FF0" w:rsidRPr="0035461C">
        <w:rPr>
          <w:rFonts w:ascii="Calibri" w:hAnsi="Calibri" w:cs="Calibri"/>
          <w:b/>
          <w:bCs/>
        </w:rPr>
        <w:t>13</w:t>
      </w:r>
      <w:r w:rsidRPr="0035461C">
        <w:rPr>
          <w:rFonts w:ascii="Calibri" w:hAnsi="Calibri" w:cs="Calibri"/>
          <w:b/>
          <w:bCs/>
        </w:rPr>
        <w:t>:</w:t>
      </w:r>
      <w:r w:rsidR="00E615B3" w:rsidRPr="0035461C">
        <w:rPr>
          <w:rFonts w:ascii="Calibri" w:hAnsi="Calibri" w:cs="Calibri"/>
          <w:b/>
          <w:bCs/>
        </w:rPr>
        <w:t xml:space="preserve"> </w:t>
      </w:r>
      <w:r w:rsidR="00910721" w:rsidRPr="0035461C">
        <w:rPr>
          <w:rFonts w:ascii="Calibri" w:hAnsi="Calibri" w:cs="Calibri"/>
          <w:b/>
          <w:bCs/>
        </w:rPr>
        <w:t>Adjunctive therapies</w:t>
      </w:r>
    </w:p>
    <w:p w14:paraId="3552AF37" w14:textId="5AC16079" w:rsidR="00C51194" w:rsidRPr="0035461C" w:rsidRDefault="00C51194" w:rsidP="00C51194">
      <w:pPr>
        <w:spacing w:before="120"/>
        <w:jc w:val="both"/>
        <w:rPr>
          <w:rFonts w:ascii="Calibri" w:hAnsi="Calibri" w:cs="Calibri"/>
        </w:rPr>
      </w:pPr>
      <w:r w:rsidRPr="0035461C">
        <w:rPr>
          <w:rFonts w:ascii="Calibri" w:hAnsi="Calibri" w:cs="Calibri"/>
        </w:rPr>
        <w:t>While i</w:t>
      </w:r>
      <w:r w:rsidR="00567D76" w:rsidRPr="0035461C">
        <w:rPr>
          <w:rFonts w:ascii="Calibri" w:hAnsi="Calibri" w:cs="Calibri"/>
        </w:rPr>
        <w:t xml:space="preserve">nsulin therapy is essential </w:t>
      </w:r>
      <w:r w:rsidRPr="0035461C">
        <w:rPr>
          <w:rFonts w:ascii="Calibri" w:hAnsi="Calibri" w:cs="Calibri"/>
        </w:rPr>
        <w:t>for</w:t>
      </w:r>
      <w:r w:rsidR="00567D76" w:rsidRPr="0035461C">
        <w:rPr>
          <w:rFonts w:ascii="Calibri" w:hAnsi="Calibri" w:cs="Calibri"/>
        </w:rPr>
        <w:t xml:space="preserve"> </w:t>
      </w:r>
      <w:r w:rsidRPr="0035461C">
        <w:rPr>
          <w:rFonts w:ascii="Calibri" w:hAnsi="Calibri" w:cs="Calibri"/>
        </w:rPr>
        <w:t>people</w:t>
      </w:r>
      <w:r w:rsidR="00567D76" w:rsidRPr="0035461C">
        <w:rPr>
          <w:rFonts w:ascii="Calibri" w:hAnsi="Calibri" w:cs="Calibri"/>
        </w:rPr>
        <w:t xml:space="preserve"> with </w:t>
      </w:r>
      <w:r w:rsidRPr="0035461C">
        <w:rPr>
          <w:rFonts w:ascii="Calibri" w:hAnsi="Calibri" w:cs="Calibri"/>
        </w:rPr>
        <w:t>type 1 diabetes</w:t>
      </w:r>
      <w:r w:rsidR="00567D76" w:rsidRPr="0035461C">
        <w:rPr>
          <w:rFonts w:ascii="Calibri" w:hAnsi="Calibri" w:cs="Calibri"/>
        </w:rPr>
        <w:t>, obtaining glyc</w:t>
      </w:r>
      <w:r w:rsidRPr="0035461C">
        <w:rPr>
          <w:rFonts w:ascii="Calibri" w:hAnsi="Calibri" w:cs="Calibri"/>
        </w:rPr>
        <w:t>a</w:t>
      </w:r>
      <w:r w:rsidR="00567D76" w:rsidRPr="0035461C">
        <w:rPr>
          <w:rFonts w:ascii="Calibri" w:hAnsi="Calibri" w:cs="Calibri"/>
        </w:rPr>
        <w:t>emic goals with insulin alone is difficult</w:t>
      </w:r>
      <w:r w:rsidRPr="0035461C">
        <w:rPr>
          <w:rFonts w:ascii="Calibri" w:hAnsi="Calibri" w:cs="Calibri"/>
        </w:rPr>
        <w:t xml:space="preserve"> because of the risks of hypoglycaemia. Furthermore, insulin therapy is</w:t>
      </w:r>
      <w:r w:rsidR="00567D76" w:rsidRPr="0035461C">
        <w:rPr>
          <w:rFonts w:ascii="Calibri" w:hAnsi="Calibri" w:cs="Calibri"/>
        </w:rPr>
        <w:t xml:space="preserve"> often associated with </w:t>
      </w:r>
      <w:r w:rsidRPr="0035461C">
        <w:rPr>
          <w:rFonts w:ascii="Calibri" w:hAnsi="Calibri" w:cs="Calibri"/>
        </w:rPr>
        <w:t xml:space="preserve">undesirable </w:t>
      </w:r>
      <w:r w:rsidR="00567D76" w:rsidRPr="0035461C">
        <w:rPr>
          <w:rFonts w:ascii="Calibri" w:hAnsi="Calibri" w:cs="Calibri"/>
        </w:rPr>
        <w:t>weight gain</w:t>
      </w:r>
      <w:r w:rsidR="000E5AB7" w:rsidRPr="0035461C">
        <w:rPr>
          <w:rFonts w:ascii="Calibri" w:hAnsi="Calibri" w:cs="Calibri"/>
        </w:rPr>
        <w:t xml:space="preserve"> which may worsen insulin resistance</w:t>
      </w:r>
      <w:r w:rsidRPr="0035461C">
        <w:rPr>
          <w:rFonts w:ascii="Calibri" w:hAnsi="Calibri" w:cs="Calibri"/>
        </w:rPr>
        <w:t xml:space="preserve">, does not address other </w:t>
      </w:r>
      <w:r w:rsidRPr="0035461C">
        <w:rPr>
          <w:rFonts w:ascii="Calibri" w:hAnsi="Calibri" w:cs="Calibri"/>
          <w:shd w:val="clear" w:color="auto" w:fill="FCFCFC"/>
        </w:rPr>
        <w:t>pathophysiological abnormalities</w:t>
      </w:r>
      <w:r w:rsidR="00A67A21">
        <w:rPr>
          <w:rFonts w:ascii="Calibri" w:hAnsi="Calibri" w:cs="Calibri"/>
          <w:shd w:val="clear" w:color="auto" w:fill="FCFCFC"/>
        </w:rPr>
        <w:t xml:space="preserve"> such as </w:t>
      </w:r>
      <w:r w:rsidR="0047447F" w:rsidRPr="0035461C">
        <w:rPr>
          <w:rFonts w:ascii="Calibri" w:hAnsi="Calibri" w:cs="Calibri"/>
          <w:shd w:val="clear" w:color="auto" w:fill="FCFCFC"/>
        </w:rPr>
        <w:t>α</w:t>
      </w:r>
      <w:r w:rsidRPr="0035461C">
        <w:rPr>
          <w:rFonts w:ascii="Calibri" w:hAnsi="Calibri" w:cs="Calibri"/>
          <w:shd w:val="clear" w:color="auto" w:fill="FCFCFC"/>
        </w:rPr>
        <w:t>-cell dysfunction</w:t>
      </w:r>
      <w:r w:rsidR="00912B68" w:rsidRPr="0035461C">
        <w:rPr>
          <w:rFonts w:ascii="Calibri" w:hAnsi="Calibri" w:cs="Calibri"/>
          <w:shd w:val="clear" w:color="auto" w:fill="FCFCFC"/>
        </w:rPr>
        <w:t>,</w:t>
      </w:r>
      <w:r w:rsidRPr="0035461C">
        <w:rPr>
          <w:rFonts w:ascii="Calibri" w:hAnsi="Calibri" w:cs="Calibri"/>
          <w:shd w:val="clear" w:color="auto" w:fill="FCFCFC"/>
        </w:rPr>
        <w:t xml:space="preserve"> and</w:t>
      </w:r>
      <w:r w:rsidR="00567D76" w:rsidRPr="0035461C">
        <w:rPr>
          <w:rFonts w:ascii="Calibri" w:hAnsi="Calibri" w:cs="Calibri"/>
        </w:rPr>
        <w:t xml:space="preserve"> </w:t>
      </w:r>
      <w:r w:rsidR="003A4349">
        <w:rPr>
          <w:rFonts w:ascii="Calibri" w:hAnsi="Calibri" w:cs="Calibri"/>
        </w:rPr>
        <w:t>does not wholly protect</w:t>
      </w:r>
      <w:r w:rsidRPr="0035461C">
        <w:rPr>
          <w:rFonts w:ascii="Calibri" w:hAnsi="Calibri" w:cs="Calibri"/>
        </w:rPr>
        <w:t xml:space="preserve"> individuals</w:t>
      </w:r>
      <w:r w:rsidR="00567D76" w:rsidRPr="0035461C">
        <w:rPr>
          <w:rFonts w:ascii="Calibri" w:hAnsi="Calibri" w:cs="Calibri"/>
        </w:rPr>
        <w:t xml:space="preserve"> </w:t>
      </w:r>
      <w:r w:rsidR="003A4349">
        <w:rPr>
          <w:rFonts w:ascii="Calibri" w:hAnsi="Calibri" w:cs="Calibri"/>
        </w:rPr>
        <w:t>from</w:t>
      </w:r>
      <w:r w:rsidR="003A4349" w:rsidRPr="0035461C">
        <w:rPr>
          <w:rFonts w:ascii="Calibri" w:hAnsi="Calibri" w:cs="Calibri"/>
        </w:rPr>
        <w:t xml:space="preserve"> </w:t>
      </w:r>
      <w:r w:rsidR="00567D76" w:rsidRPr="0035461C">
        <w:rPr>
          <w:rFonts w:ascii="Calibri" w:hAnsi="Calibri" w:cs="Calibri"/>
        </w:rPr>
        <w:t>an increased risk of cardiovascular disease</w:t>
      </w:r>
      <w:r w:rsidR="004D7D19">
        <w:rPr>
          <w:rFonts w:ascii="Calibri" w:hAnsi="Calibri" w:cs="Calibri"/>
        </w:rPr>
        <w:t xml:space="preserve"> or other complications</w:t>
      </w:r>
      <w:r w:rsidR="00567D76" w:rsidRPr="0035461C">
        <w:rPr>
          <w:rFonts w:ascii="Calibri" w:hAnsi="Calibri" w:cs="Calibri"/>
        </w:rPr>
        <w:t>.</w:t>
      </w:r>
      <w:r w:rsidR="0015331E" w:rsidRPr="0035461C">
        <w:rPr>
          <w:rFonts w:ascii="Calibri" w:hAnsi="Calibri" w:cs="Calibri"/>
        </w:rPr>
        <w:t xml:space="preserve"> </w:t>
      </w:r>
      <w:r w:rsidRPr="0035461C">
        <w:rPr>
          <w:rFonts w:ascii="Calibri" w:hAnsi="Calibri" w:cs="Calibri"/>
        </w:rPr>
        <w:t>A</w:t>
      </w:r>
      <w:r w:rsidR="00567D76" w:rsidRPr="0035461C">
        <w:rPr>
          <w:rFonts w:ascii="Calibri" w:hAnsi="Calibri" w:cs="Calibri"/>
        </w:rPr>
        <w:t>djunctive therapies aim to augment insulin therapy by addressing some of these critical unmet needs.</w:t>
      </w:r>
      <w:r w:rsidR="0015331E" w:rsidRPr="0035461C">
        <w:rPr>
          <w:rFonts w:ascii="Calibri" w:hAnsi="Calibri" w:cs="Calibri"/>
        </w:rPr>
        <w:t xml:space="preserve"> </w:t>
      </w:r>
    </w:p>
    <w:p w14:paraId="5607F396" w14:textId="736A2664" w:rsidR="00C51194" w:rsidRPr="0035461C" w:rsidRDefault="00C51194" w:rsidP="00837318">
      <w:pPr>
        <w:spacing w:before="120"/>
        <w:jc w:val="both"/>
        <w:rPr>
          <w:rFonts w:ascii="Calibri" w:hAnsi="Calibri" w:cs="Calibri"/>
        </w:rPr>
      </w:pPr>
      <w:r w:rsidRPr="0035461C">
        <w:rPr>
          <w:rFonts w:ascii="Calibri" w:hAnsi="Calibri" w:cs="Calibri"/>
        </w:rPr>
        <w:t>To date, although se</w:t>
      </w:r>
      <w:r w:rsidRPr="003A4349">
        <w:rPr>
          <w:rFonts w:asciiTheme="minorHAnsi" w:hAnsiTheme="minorHAnsi" w:cstheme="minorHAnsi"/>
        </w:rPr>
        <w:t>veral drugs have been licensed as adjunctive therapies, the evidence of their effectiveness</w:t>
      </w:r>
      <w:r w:rsidR="003A4349" w:rsidRPr="003A4349">
        <w:rPr>
          <w:rFonts w:asciiTheme="minorHAnsi" w:hAnsiTheme="minorHAnsi" w:cstheme="minorHAnsi"/>
        </w:rPr>
        <w:t xml:space="preserve"> </w:t>
      </w:r>
      <w:r w:rsidR="003A4349" w:rsidRPr="003A4349">
        <w:rPr>
          <w:rFonts w:asciiTheme="minorHAnsi" w:eastAsiaTheme="minorHAnsi" w:hAnsiTheme="minorHAnsi" w:cstheme="minorHAnsi"/>
          <w:color w:val="000000"/>
          <w:lang w:val="en-GB"/>
        </w:rPr>
        <w:t>on clinically-relevant outcomes other than glycaemia, such cardiovascular and renal disease</w:t>
      </w:r>
      <w:r w:rsidRPr="003A4349">
        <w:rPr>
          <w:rFonts w:asciiTheme="minorHAnsi" w:hAnsiTheme="minorHAnsi" w:cstheme="minorHAnsi"/>
        </w:rPr>
        <w:t xml:space="preserve"> is limited</w:t>
      </w:r>
      <w:r w:rsidR="00912B68" w:rsidRPr="003A4349">
        <w:rPr>
          <w:rFonts w:asciiTheme="minorHAnsi" w:hAnsiTheme="minorHAnsi" w:cstheme="minorHAnsi"/>
        </w:rPr>
        <w:t>. I</w:t>
      </w:r>
      <w:r w:rsidRPr="003A4349">
        <w:rPr>
          <w:rFonts w:asciiTheme="minorHAnsi" w:hAnsiTheme="minorHAnsi" w:cstheme="minorHAnsi"/>
        </w:rPr>
        <w:t>t is not possible to make a general recommendation about their use</w:t>
      </w:r>
      <w:r w:rsidR="001A320B" w:rsidRPr="003A4349">
        <w:rPr>
          <w:rFonts w:asciiTheme="minorHAnsi" w:hAnsiTheme="minorHAnsi" w:cstheme="minorHAnsi"/>
        </w:rPr>
        <w:t>,</w:t>
      </w:r>
      <w:r w:rsidRPr="003A4349">
        <w:rPr>
          <w:rFonts w:asciiTheme="minorHAnsi" w:hAnsiTheme="minorHAnsi" w:cstheme="minorHAnsi"/>
        </w:rPr>
        <w:t xml:space="preserve"> but</w:t>
      </w:r>
      <w:r w:rsidR="000E5AB7" w:rsidRPr="003A4349">
        <w:rPr>
          <w:rFonts w:asciiTheme="minorHAnsi" w:hAnsiTheme="minorHAnsi" w:cstheme="minorHAnsi"/>
        </w:rPr>
        <w:t xml:space="preserve"> they</w:t>
      </w:r>
      <w:r w:rsidRPr="003A4349">
        <w:rPr>
          <w:rFonts w:asciiTheme="minorHAnsi" w:hAnsiTheme="minorHAnsi" w:cstheme="minorHAnsi"/>
        </w:rPr>
        <w:t xml:space="preserve"> can be considered in individual cases</w:t>
      </w:r>
      <w:r w:rsidR="00D76F42" w:rsidRPr="003A4349">
        <w:rPr>
          <w:rFonts w:asciiTheme="minorHAnsi" w:hAnsiTheme="minorHAnsi" w:cstheme="minorHAnsi"/>
        </w:rPr>
        <w:t xml:space="preserve"> (table </w:t>
      </w:r>
      <w:r w:rsidR="00226CAE" w:rsidRPr="003A4349">
        <w:rPr>
          <w:rFonts w:asciiTheme="minorHAnsi" w:hAnsiTheme="minorHAnsi" w:cstheme="minorHAnsi"/>
        </w:rPr>
        <w:t>9</w:t>
      </w:r>
      <w:r w:rsidR="00D76F42" w:rsidRPr="003A4349">
        <w:rPr>
          <w:rFonts w:asciiTheme="minorHAnsi" w:hAnsiTheme="minorHAnsi" w:cstheme="minorHAnsi"/>
        </w:rPr>
        <w:t>)</w:t>
      </w:r>
      <w:r w:rsidRPr="003A4349">
        <w:rPr>
          <w:rFonts w:asciiTheme="minorHAnsi" w:hAnsiTheme="minorHAnsi" w:cstheme="minorHAnsi"/>
        </w:rPr>
        <w:t xml:space="preserve">. </w:t>
      </w:r>
      <w:r w:rsidR="000E5AB7" w:rsidRPr="003A4349">
        <w:rPr>
          <w:rFonts w:asciiTheme="minorHAnsi" w:hAnsiTheme="minorHAnsi" w:cstheme="minorHAnsi"/>
        </w:rPr>
        <w:t>However, before these drugs are prescribed, insulin therapy</w:t>
      </w:r>
      <w:r w:rsidR="000E5AB7" w:rsidRPr="0035461C">
        <w:rPr>
          <w:rFonts w:ascii="Calibri" w:hAnsi="Calibri" w:cs="Calibri"/>
        </w:rPr>
        <w:t xml:space="preserve"> should be optimized.</w:t>
      </w:r>
    </w:p>
    <w:p w14:paraId="24D8205E" w14:textId="77777777" w:rsidR="00567D76" w:rsidRPr="0035461C" w:rsidRDefault="00567D76" w:rsidP="001C5BC0">
      <w:pPr>
        <w:spacing w:before="120"/>
        <w:rPr>
          <w:rFonts w:ascii="Calibri" w:hAnsi="Calibri" w:cs="Calibri"/>
          <w:i/>
          <w:u w:val="single"/>
        </w:rPr>
      </w:pPr>
      <w:r w:rsidRPr="0035461C">
        <w:rPr>
          <w:rFonts w:ascii="Calibri" w:hAnsi="Calibri" w:cs="Calibri"/>
          <w:i/>
          <w:u w:val="single"/>
        </w:rPr>
        <w:t>Metformin</w:t>
      </w:r>
    </w:p>
    <w:p w14:paraId="125E7012" w14:textId="184EAD94" w:rsidR="00567D76" w:rsidRPr="0035461C" w:rsidRDefault="00567D76" w:rsidP="00E13E1D">
      <w:pPr>
        <w:spacing w:before="120"/>
        <w:jc w:val="both"/>
        <w:rPr>
          <w:rFonts w:ascii="Calibri" w:hAnsi="Calibri" w:cs="Calibri"/>
        </w:rPr>
      </w:pPr>
      <w:r w:rsidRPr="0035461C">
        <w:rPr>
          <w:rFonts w:ascii="Calibri" w:hAnsi="Calibri" w:cs="Calibri"/>
        </w:rPr>
        <w:t>Metformin has been evaluated in numerous</w:t>
      </w:r>
      <w:r w:rsidR="003A4349">
        <w:rPr>
          <w:rFonts w:ascii="Calibri" w:hAnsi="Calibri" w:cs="Calibri"/>
        </w:rPr>
        <w:t xml:space="preserve"> small</w:t>
      </w:r>
      <w:r w:rsidRPr="0035461C">
        <w:rPr>
          <w:rFonts w:ascii="Calibri" w:hAnsi="Calibri" w:cs="Calibri"/>
        </w:rPr>
        <w:t xml:space="preserve"> trials in </w:t>
      </w:r>
      <w:r w:rsidR="00E13E1D" w:rsidRPr="0035461C">
        <w:rPr>
          <w:rFonts w:ascii="Calibri" w:hAnsi="Calibri" w:cs="Calibri"/>
        </w:rPr>
        <w:t>people</w:t>
      </w:r>
      <w:r w:rsidRPr="0035461C">
        <w:rPr>
          <w:rFonts w:ascii="Calibri" w:hAnsi="Calibri" w:cs="Calibri"/>
        </w:rPr>
        <w:t xml:space="preserve"> with </w:t>
      </w:r>
      <w:r w:rsidR="00E13E1D" w:rsidRPr="0035461C">
        <w:rPr>
          <w:rFonts w:ascii="Calibri" w:hAnsi="Calibri" w:cs="Calibri"/>
        </w:rPr>
        <w:t>type 1 diabetes</w:t>
      </w:r>
      <w:r w:rsidRPr="0035461C">
        <w:rPr>
          <w:rFonts w:ascii="Calibri" w:hAnsi="Calibri" w:cs="Calibri"/>
        </w:rPr>
        <w:t xml:space="preserve"> with hopes that </w:t>
      </w:r>
      <w:r w:rsidR="00E13E1D" w:rsidRPr="0035461C">
        <w:rPr>
          <w:rFonts w:ascii="Calibri" w:hAnsi="Calibri" w:cs="Calibri"/>
        </w:rPr>
        <w:t>its</w:t>
      </w:r>
      <w:r w:rsidRPr="0035461C">
        <w:rPr>
          <w:rFonts w:ascii="Calibri" w:hAnsi="Calibri" w:cs="Calibri"/>
        </w:rPr>
        <w:t xml:space="preserve"> insulin</w:t>
      </w:r>
      <w:r w:rsidR="00912B68" w:rsidRPr="0035461C">
        <w:rPr>
          <w:rFonts w:ascii="Calibri" w:hAnsi="Calibri" w:cs="Calibri"/>
        </w:rPr>
        <w:t>-</w:t>
      </w:r>
      <w:r w:rsidRPr="0035461C">
        <w:rPr>
          <w:rFonts w:ascii="Calibri" w:hAnsi="Calibri" w:cs="Calibri"/>
        </w:rPr>
        <w:t>sensitizing properties would improve glyc</w:t>
      </w:r>
      <w:r w:rsidR="00E13E1D" w:rsidRPr="0035461C">
        <w:rPr>
          <w:rFonts w:ascii="Calibri" w:hAnsi="Calibri" w:cs="Calibri"/>
        </w:rPr>
        <w:t>a</w:t>
      </w:r>
      <w:r w:rsidRPr="0035461C">
        <w:rPr>
          <w:rFonts w:ascii="Calibri" w:hAnsi="Calibri" w:cs="Calibri"/>
        </w:rPr>
        <w:t xml:space="preserve">emic </w:t>
      </w:r>
      <w:r w:rsidR="00E13E1D" w:rsidRPr="0035461C">
        <w:rPr>
          <w:rFonts w:ascii="Calibri" w:hAnsi="Calibri" w:cs="Calibri"/>
        </w:rPr>
        <w:t>management</w:t>
      </w:r>
      <w:r w:rsidRPr="0035461C">
        <w:rPr>
          <w:rFonts w:ascii="Calibri" w:hAnsi="Calibri" w:cs="Calibri"/>
        </w:rPr>
        <w:t xml:space="preserve"> and/or reduce cardiovascular risk</w:t>
      </w:r>
      <w:r w:rsidR="0047447F" w:rsidRPr="0035461C">
        <w:rPr>
          <w:rFonts w:ascii="Calibri" w:hAnsi="Calibri" w:cs="Calibri"/>
        </w:rPr>
        <w:t xml:space="preserve"> </w:t>
      </w:r>
      <w:r w:rsidR="00A568D2" w:rsidRPr="0035461C">
        <w:rPr>
          <w:rFonts w:ascii="Calibri" w:hAnsi="Calibri" w:cs="Calibri"/>
        </w:rPr>
        <w:fldChar w:fldCharType="begin"/>
      </w:r>
      <w:r w:rsidR="00076F77">
        <w:rPr>
          <w:rFonts w:ascii="Calibri" w:hAnsi="Calibri" w:cs="Calibri"/>
        </w:rPr>
        <w:instrText xml:space="preserve"> ADDIN ZOTERO_ITEM CSL_CITATION {"citationID":"a27la8b731r","properties":{"formattedCitation":"(243,244)","plainCitation":"(243,244)","noteIndex":0},"citationItems":[{"id":11169,"uris":["http://zotero.org/groups/369679/items/EYKMQTPS"],"uri":["http://zotero.org/groups/369679/items/EYKMQTPS"],"itemData":{"id":11169,"type":"article-journal","abstract":"Individuals with type 1 diabetes (T1D) frequently fail to achieve glycemic goals and have excess cardiovascular risk and premature death. Adjunctive agents may play a role in reducing morbidity, mortality, and the adverse sequelae of insulin treatment. A surge in type 2 diabetes drug development has revealed agents with benefits beyond glucose lowering, including cardiovascular risk reduction. Could these benefits translate to T1D? Specific trials for T1D demonstrate substantial hemoglobin (Hb)A1c reductions with sodium glucose cotransporter inhibitors (SGLTis) and glucagon-like peptide (GLP)1 agonists, and modest improvements with metformin, dipeptidyl peptidase-4 inhibitor (DPP4i), and pramlintide. Studies exploring cardiovascular risk reduction are warranted. This review synthesizes the emerging literature for researchers and clinicians treating people with T1D. Challenges in T1D research are discussed.","container-title":"Trends in endocrinology and metabolism: TEM","DOI":"10.1016/j.tem.2019.11.007","ISSN":"1879-3061","issue":"2","journalAbbreviation":"Trends Endocrinol Metab","language":"eng","note":"PMID: 31822381","page":"150-164","source":"PubMed","title":"Reducing Type 1 Diabetes Mortality: Role for Adjunctive Therapies?","title-short":"Reducing Type 1 Diabetes Mortality","volume":"31","author":[{"family":"Snaith","given":"Jennifer R."},{"family":"Holmes-Walker","given":"Deborah J."},{"family":"Greenfield","given":"Jerry R."}],"issued":{"date-parts":[["2020",2]]}}},{"id":12498,"uris":["http://zotero.org/groups/369679/items/QGJVN5RH"],"uri":["http://zotero.org/groups/369679/items/QGJVN5RH"],"itemData":{"id":12498,"type":"article-journal","abstract":"BACKGROUND: The incidence of type 1 diabetes mellitus (T1DM) is increasing among youth worldwide, translating to an increased risk ofearly-onset cardiovascular disease (CVD). Mounting studies have shown that metformin may reduce maximal carotidintima-media thickness (cIMT), improve insulin resistance and metabolic control in subjects with T1DM, and thus, may extend cardioprotective benefits. This systematic review and meta-analysis was performed to assess the efficacy and safety of metformin added to insulin therapy on reducing CVD risks and improving metabolism in T1DM.\nMETHODS: PubMed, EMBASE, and the Cochrane Library were systematically searched for randomized controlled trials (RCTs) that compared metformin and insulin combination (duration ≥3 months) to insulin treatment alone in T1DM. Data were expressed as weighted/standardized mean differences (MDs/SMDs) for continuous outcomes and risk ratios (RRs) for dichotomous outcomes, along with 95% confidence intervals (CIs). The Grading of Recommendations Assessment, Development and Evaluation (GRADE) was used to evaluate the overall certainty of the evidence.\nRESULTS: Nineteen RCTs (n = 1540) met the eligibility criteria. Metformin treatment significantly reduced carotid artery intima-media thickness (MD -0.06 mm [95% CI -0.88, -0.28], P &lt; .001). Though no significant difference was found in insulin sensitivity (SMD 2.21 [95% CI -1.88, 6.29], P = .29), the total daily insulin dosage (SMD -0.81 [95% CI -1.25, -0.36], P &lt; .001) along with traditional CVD risk factors showed improvement by better glycaemic control, partial lipid profiles, diastolic blood pressure, and limited weight gain, with neutral effect on diabetic ketoacidosis, lactic acidosis, and hypoglycaemia. However, metformin therapy increased the incidence of gastrointestinal adverse events.\nCONCLUSIONS: Metformin with insulin has the potential to retard the progression of atherosclerosis and provides better metabolic control in patients with T1DM, and thus, providing a potential therapeutic strategy for patients with T1DM on reducing CVD risks.","container-title":"Diabetes/Metabolism Research and Reviews","DOI":"10.1002/dmrr.3334","ISSN":"1520-7560","issue":"6","journalAbbreviation":"Diabetes Metab Res Rev","language":"eng","note":"PMID: 32390336","page":"e3334","source":"PubMed","title":"Vascular and metabolic effects of metformin added to insulin therapy in patients with type 1 diabetes: A systematic review and meta-analysis","title-short":"Vascular and metabolic effects of metformin added to insulin therapy in patients with type 1 diabetes","volume":"36","author":[{"family":"Liu","given":"Ying-Shan"},{"family":"Chen","given":"Chu-Na"},{"family":"Chen","given":"Zhen-Guo"},{"family":"Peng","given":"Yu"},{"family":"Lin","given":"Xiao-Pu"},{"family":"Xu","given":"Ling-Ling"}],"issued":{"date-parts":[["2020",9]]}}}],"schema":"https://github.com/citation-style-language/schema/raw/master/csl-citation.json"} </w:instrText>
      </w:r>
      <w:r w:rsidR="00A568D2" w:rsidRPr="0035461C">
        <w:rPr>
          <w:rFonts w:ascii="Calibri" w:hAnsi="Calibri" w:cs="Calibri"/>
        </w:rPr>
        <w:fldChar w:fldCharType="separate"/>
      </w:r>
      <w:r w:rsidR="00076F77" w:rsidRPr="00076F77">
        <w:rPr>
          <w:rFonts w:ascii="Calibri" w:hAnsi="Calibri" w:cs="Calibri"/>
        </w:rPr>
        <w:t>(243,244)</w:t>
      </w:r>
      <w:r w:rsidR="00A568D2" w:rsidRPr="0035461C">
        <w:rPr>
          <w:rFonts w:ascii="Calibri" w:hAnsi="Calibri" w:cs="Calibri"/>
        </w:rPr>
        <w:fldChar w:fldCharType="end"/>
      </w:r>
      <w:r w:rsidR="0047447F" w:rsidRPr="0035461C">
        <w:rPr>
          <w:rFonts w:ascii="Calibri" w:hAnsi="Calibri" w:cs="Calibri"/>
        </w:rPr>
        <w:t>.</w:t>
      </w:r>
      <w:r w:rsidR="0015331E" w:rsidRPr="0035461C">
        <w:rPr>
          <w:rFonts w:ascii="Calibri" w:hAnsi="Calibri" w:cs="Calibri"/>
        </w:rPr>
        <w:t xml:space="preserve"> </w:t>
      </w:r>
      <w:r w:rsidRPr="0035461C">
        <w:rPr>
          <w:rFonts w:ascii="Calibri" w:hAnsi="Calibri" w:cs="Calibri"/>
        </w:rPr>
        <w:t xml:space="preserve">The largest study to date assessed the use of metformin 1g </w:t>
      </w:r>
      <w:r w:rsidR="00E13E1D" w:rsidRPr="0035461C">
        <w:rPr>
          <w:rFonts w:ascii="Calibri" w:hAnsi="Calibri" w:cs="Calibri"/>
        </w:rPr>
        <w:t>twice daily</w:t>
      </w:r>
      <w:r w:rsidRPr="0035461C">
        <w:rPr>
          <w:rFonts w:ascii="Calibri" w:hAnsi="Calibri" w:cs="Calibri"/>
        </w:rPr>
        <w:t xml:space="preserve"> in </w:t>
      </w:r>
      <w:r w:rsidR="003A4349" w:rsidRPr="0035461C">
        <w:rPr>
          <w:rFonts w:ascii="Calibri" w:hAnsi="Calibri" w:cs="Calibri"/>
        </w:rPr>
        <w:t>4</w:t>
      </w:r>
      <w:r w:rsidR="003A4349">
        <w:rPr>
          <w:rFonts w:ascii="Calibri" w:hAnsi="Calibri" w:cs="Calibri"/>
        </w:rPr>
        <w:t>28</w:t>
      </w:r>
      <w:r w:rsidR="003A4349" w:rsidRPr="0035461C">
        <w:rPr>
          <w:rFonts w:ascii="Calibri" w:hAnsi="Calibri" w:cs="Calibri"/>
        </w:rPr>
        <w:t xml:space="preserve"> </w:t>
      </w:r>
      <w:r w:rsidR="00E13E1D" w:rsidRPr="0035461C">
        <w:rPr>
          <w:rFonts w:ascii="Calibri" w:hAnsi="Calibri" w:cs="Calibri"/>
        </w:rPr>
        <w:t>people</w:t>
      </w:r>
      <w:r w:rsidRPr="0035461C">
        <w:rPr>
          <w:rFonts w:ascii="Calibri" w:hAnsi="Calibri" w:cs="Calibri"/>
        </w:rPr>
        <w:t xml:space="preserve"> with </w:t>
      </w:r>
      <w:r w:rsidR="00E13E1D" w:rsidRPr="0035461C">
        <w:rPr>
          <w:rFonts w:ascii="Calibri" w:hAnsi="Calibri" w:cs="Calibri"/>
        </w:rPr>
        <w:t>type 1 diabetes who were</w:t>
      </w:r>
      <w:r w:rsidRPr="0035461C">
        <w:rPr>
          <w:rFonts w:ascii="Calibri" w:hAnsi="Calibri" w:cs="Calibri"/>
        </w:rPr>
        <w:t xml:space="preserve"> treated for 3 years with </w:t>
      </w:r>
      <w:r w:rsidR="0047447F" w:rsidRPr="0035461C">
        <w:rPr>
          <w:rFonts w:ascii="Calibri" w:hAnsi="Calibri" w:cs="Calibri"/>
        </w:rPr>
        <w:t>a</w:t>
      </w:r>
      <w:r w:rsidRPr="0035461C">
        <w:rPr>
          <w:rFonts w:ascii="Calibri" w:hAnsi="Calibri" w:cs="Calibri"/>
        </w:rPr>
        <w:t xml:space="preserve"> primary endpoint of changes in </w:t>
      </w:r>
      <w:r w:rsidR="006217FA">
        <w:rPr>
          <w:rFonts w:ascii="Calibri" w:hAnsi="Calibri" w:cs="Calibri"/>
        </w:rPr>
        <w:t xml:space="preserve">mean </w:t>
      </w:r>
      <w:r w:rsidRPr="0035461C">
        <w:rPr>
          <w:rFonts w:ascii="Calibri" w:hAnsi="Calibri" w:cs="Calibri"/>
        </w:rPr>
        <w:t>carotid intima</w:t>
      </w:r>
      <w:r w:rsidR="003A4349">
        <w:rPr>
          <w:rFonts w:ascii="Calibri" w:hAnsi="Calibri" w:cs="Calibri"/>
        </w:rPr>
        <w:t>-media</w:t>
      </w:r>
      <w:r w:rsidRPr="0035461C">
        <w:rPr>
          <w:rFonts w:ascii="Calibri" w:hAnsi="Calibri" w:cs="Calibri"/>
        </w:rPr>
        <w:t xml:space="preserve"> thickness, a marker of cardiovascular disease risk.</w:t>
      </w:r>
      <w:r w:rsidR="0015331E" w:rsidRPr="0035461C">
        <w:rPr>
          <w:rFonts w:ascii="Calibri" w:hAnsi="Calibri" w:cs="Calibri"/>
        </w:rPr>
        <w:t xml:space="preserve"> </w:t>
      </w:r>
      <w:r w:rsidRPr="0035461C">
        <w:rPr>
          <w:rFonts w:ascii="Calibri" w:hAnsi="Calibri" w:cs="Calibri"/>
        </w:rPr>
        <w:t xml:space="preserve">The study ultimately found no difference in the primary endpoint, minimal </w:t>
      </w:r>
      <w:r w:rsidR="00E13E1D" w:rsidRPr="0035461C">
        <w:rPr>
          <w:rFonts w:ascii="Calibri" w:hAnsi="Calibri" w:cs="Calibri"/>
        </w:rPr>
        <w:t>and non-sustained</w:t>
      </w:r>
      <w:r w:rsidR="00E13E1D" w:rsidRPr="006217FA">
        <w:rPr>
          <w:rFonts w:asciiTheme="minorHAnsi" w:hAnsiTheme="minorHAnsi" w:cstheme="minorHAnsi"/>
        </w:rPr>
        <w:t xml:space="preserve"> </w:t>
      </w:r>
      <w:r w:rsidRPr="006217FA">
        <w:rPr>
          <w:rFonts w:asciiTheme="minorHAnsi" w:hAnsiTheme="minorHAnsi" w:cstheme="minorHAnsi"/>
        </w:rPr>
        <w:t xml:space="preserve">effects on </w:t>
      </w:r>
      <w:r w:rsidR="00E13E1D" w:rsidRPr="006217FA">
        <w:rPr>
          <w:rFonts w:asciiTheme="minorHAnsi" w:hAnsiTheme="minorHAnsi" w:cstheme="minorHAnsi"/>
        </w:rPr>
        <w:t>HbA</w:t>
      </w:r>
      <w:r w:rsidR="00E13E1D" w:rsidRPr="006217FA">
        <w:rPr>
          <w:rFonts w:asciiTheme="minorHAnsi" w:hAnsiTheme="minorHAnsi" w:cstheme="minorHAnsi"/>
          <w:vertAlign w:val="subscript"/>
        </w:rPr>
        <w:t>1c</w:t>
      </w:r>
      <w:r w:rsidRPr="006217FA">
        <w:rPr>
          <w:rFonts w:asciiTheme="minorHAnsi" w:hAnsiTheme="minorHAnsi" w:cstheme="minorHAnsi"/>
        </w:rPr>
        <w:t>, minimal effects on weight (~1 Kg reduction), and no change in total daily insulin dose</w:t>
      </w:r>
      <w:r w:rsidR="0047447F" w:rsidRPr="006217FA">
        <w:rPr>
          <w:rFonts w:asciiTheme="minorHAnsi" w:hAnsiTheme="minorHAnsi" w:cstheme="minorHAnsi"/>
        </w:rPr>
        <w:t xml:space="preserve"> </w:t>
      </w:r>
      <w:r w:rsidR="004B6F64" w:rsidRPr="006217FA">
        <w:rPr>
          <w:rFonts w:asciiTheme="minorHAnsi" w:hAnsiTheme="minorHAnsi" w:cstheme="minorHAnsi"/>
        </w:rPr>
        <w:fldChar w:fldCharType="begin"/>
      </w:r>
      <w:r w:rsidR="00076F77">
        <w:rPr>
          <w:rFonts w:asciiTheme="minorHAnsi" w:hAnsiTheme="minorHAnsi" w:cstheme="minorHAnsi"/>
        </w:rPr>
        <w:instrText xml:space="preserve"> ADDIN ZOTERO_ITEM CSL_CITATION {"citationID":"KIlwEQLZ","properties":{"formattedCitation":"(245)","plainCitation":"(245)","noteIndex":0},"citationItems":[{"id":2985,"uris":["http://zotero.org/groups/369679/items/4W5XV3LI"],"uri":["http://zotero.org/groups/369679/items/4W5XV3LI"],"itemData":{"id":2985,"type":"article-journal","abstract":"&lt;h2&gt;Summary&lt;/h2&gt;&lt;h3&gt;Background&lt;/h3&gt;&lt;p&gt;Metformin might reduce insulin requirement and improve glycaemia in patients with type 1 diabetes, but whether it has cardiovascular benefits is unknown. We aimed to investigate whether metformin treatment (added to titrated insulin therapy) reduced atherosclerosis, as measured by progression of common carotid artery intima-media thickness (cIMT), in adults with type 1 diabetes at increased risk for cardiovascular disease.&lt;/p&gt;&lt;h3&gt;Methods&lt;/h3&gt;&lt;p&gt;REMOVAL was a double-blind, placebo-controlled trial undertaken at 23 hospital diabetes clinics in five countries (Australia, Canada, Denmark, the Netherlands, and the UK). Adults aged 40 years and older with type 1 diabetes of at least 5 years' duration and at least three of ten specific cardiovascular risk factors were randomly assigned (via an interactive voice response system) to oral metformin 1000 mg twice daily or placebo. Participants and site staff were masked to treatment allocation. The primary outcome was averaged mean far-wall cIMT, quantified annually for 3 years, analysed in a modified intention-to-treat population (all randomly assigned participants with post-randomisation data available for the outcome of interest at any given timepoint, irrespective of subsequent adherence or study participation), using repeated measures regression. Secondary outcomes were HbA&lt;sub&gt;1c&lt;/sub&gt;, LDL cholesterol, estimated glomerular filtration rate (eGFR), incident microalbuminuria (not reported), incident retinopathy, bodyweight, insulin dose, and endothelial function, also analysed in all participants with post-randomisation data available for the outcome of interest at any given timepoint. This trial is registered with ClinicalTrials.gov, number NCT01483560.&lt;/p&gt;&lt;h3&gt;Findings&lt;/h3&gt;&lt;p&gt;Between Dec 14, 2011, and June 24, 2014, 493 participants entered a 3 month run-in to optimise risk factor and glycaemic control (single-blind placebo in the final month). Of 428 randomly assigned patients, 219 were allocated to metformin and 209 to placebo. Progression of mean cIMT was not significantly reduced with metformin (−0·005 mm per year, 95% CI −0·012 to 0·002; p=0·1664), although maximal cIMT (a prespecified tertiary outcome) was significantly reduced (−0·013 mm per year, −0·024 to −0·003; p=0·0093). HbA&lt;sub&gt;1c&lt;/sub&gt; (mean 8·1% [SD 0·9] for metformin and 8·0% [0·8] for placebo at baseline) was reduced on average over 3 years by metformin (−0·13%, 95% CI −0·22 to −0·037; p=0·0060), but this was accounted for by a reduction at the 3-month timepoint (−0·24%, −0·34 to −0·13; p&lt;0·0001) that was not sustained thereafter (p=0·0163 for visit-by-treatment interaction). Bodyweight (−1·17 kg, 95% CI −1·66 to −0·69; p&lt;0·0001) and LDL cholesterol (−0·13 mmol/L, −0·24 to −0·03; p=0·0117) were reduced with metformin over 3 years of treatment, and eGFR was increased (4·0 mL/min per 1·73m&lt;sup&gt;2&lt;/sup&gt;, 2·19 to 5·82; p&lt;0·0001). Insulin requirement was not reduced on average over 3 years (−0·005 units per kg, 95% CI −0·022 to 0·012; p=0·545), but there was a significant visit-by-treatment interaction (p=0·0018). There was no effect on endothelial function as measured by reactive hyperaemia index, or on retinopathy. Discontinuation of treatment in 59 (27%) participants on metformin versus 26 (12%) on placebo (p=0·0002) was mainly due to an excess of gastrointestinal adverse effects, and there was no increase in hypoglycaemia with metformin. Five deaths occurred among patients allocated to metformin and two occurred among those allocated to placebo; none were judged by site principal investigators to be related to study medication.&lt;/p&gt;&lt;h3&gt;Interpretation&lt;/h3&gt;&lt;p&gt;These data do not support use of metformin to improve glycaemic control in adults with long-standing type 1 diabetes as suggested by current guidelines, but suggest that it might have a wider role in cardiovascular risk management.&lt;/p&gt;&lt;h3&gt;Funding&lt;/h3&gt;&lt;p&gt;JDRF.&lt;/p&gt;","container-title":"The Lancet Diabetes &amp; Endocrinology","DOI":"10.1016/S2213-8587(17)30194-8","ISSN":"2213-8587, 2213-8595","issue":"8","journalAbbreviation":"The Lancet Diabetes &amp; Endocrinology","language":"English","note":"PMID: 28615149, 28615149","page":"597-609","source":"www.thelancet.com","title":"Cardiovascular and metabolic effects of metformin in patients with type 1 diabetes (REMOVAL): a double-blind, randomised, placebo-controlled trial","title-short":"Cardiovascular and metabolic effects of metformin in patients with type 1 diabetes (REMOVAL)","volume":"5","author":[{"family":"Petrie","given":"John R."},{"family":"Chaturvedi","given":"Nishi"},{"family":"Ford","given":"Ian"},{"family":"Brouwers","given":"Martijn C. G. J."},{"family":"Greenlaw","given":"Nicola"},{"family":"Tillin","given":"Therese"},{"family":"Hramiak","given":"Irene"},{"family":"Hughes","given":"Alun D."},{"family":"Jenkins","given":"Alicia J."},{"family":"Klein","given":"Barbara E. K."},{"family":"Klein","given":"Ronald"},{"family":"Ooi","given":"Teik C."},{"family":"Rossing","given":"Peter"},{"family":"Stehouwer","given":"Coen D. A."},{"family":"Sattar","given":"Naveed"},{"family":"Colhoun","given":"Helen M."},{"family":"Nickerson","given":"H."},{"family":"Lou","given":"O."},{"family":"Dutta","given":"S."},{"family":"Haw","given":"J."},{"family":"Anderson","given":"C."},{"family":"Kean","given":"S."},{"family":"Thomson","given":"E."},{"family":"Gillespie","given":"L."},{"family":"Gibb","given":"J."},{"family":"Greenlaw","given":"N."},{"family":"Keech","given":"A."},{"family":"Jenkins","given":"A."},{"family":"March","given":"K."},{"family":"Williams","given":"S."},{"family":"Coady","given":"E."},{"family":"Bots","given":"M."},{"family":"Dreyer","given":"J."},{"family":"Jan","given":"T."},{"family":"Sheffy","given":"K."},{"family":"Lusky","given":"R."},{"family":"Peleg","given":"S."},{"family":"Shore","given":"A."},{"family":"Carty","given":"D."},{"family":"Donnan","given":"P."},{"family":"Witham","given":"M."},{"family":"Adler","given":"A."},{"family":"Lonn","given":"E."},{"family":"Rauchhaus","given":"P."},{"family":"Lindsay","given":"R."},{"family":"Brouwers","given":"M."},{"family":"Van-Melckebeke","given":"J."},{"family":"Gillespie","given":"L."},{"family":"Hamill","given":"T."},{"family":"Cuthbertson","given":"L."},{"family":"Murray","given":"A."},{"family":"Jolly","given":"L."},{"family":"Miller","given":"E."},{"family":"Hair","given":"J."},{"family":"Bell","given":"A."},{"family":"Carmichael","given":"S."},{"family":"Douglas","given":"E."},{"family":"Surtees","given":"P."},{"family":"Dinnett","given":"E."},{"family":"Allan","given":"J."},{"family":"Watson","given":"C."},{"family":"McLaughlin","given":"M."},{"family":"Brindley","given":"G."},{"family":"Smillie","given":"E."},{"family":"Motherwell","given":"D."},{"family":"MacDonald","given":"S."},{"family":"Ellis","given":"P."},{"family":"Stuart","given":"D."},{"family":"Travers","given":"M."},{"family":"Brearley","given":"S."},{"family":"Greig","given":"L."},{"family":"Colman","given":"P."},{"family":"Nankervis","given":"A."},{"family":"Forulanos","given":"S."},{"family":"West","given":"D."},{"family":"Vaughan","given":"S."},{"family":"Bjorasen","given":"M."},{"family":"Donlan","given":"J."},{"family":"Vrazas","given":"J."},{"family":"O'Neal","given":"D."},{"family":"Horsburgh","given":"J."},{"family":"Pater","given":"H."},{"family":"Kent","given":"S."},{"family":"Twigg","given":"S."},{"family":"Fulcher","given":"G."},{"family":"Denner","given":"R."},{"family":"Piotrowicz","given":"A."},{"family":"Januszewski","given":"A."},{"family":"Coy","given":"A."},{"family":"Paul","given":"T."},{"family":"McDonald","given":"C."},{"family":"Tereschyn","given":"S."},{"family":"Schmidt","given":"N."},{"family":"Weingert","given":"M."},{"family":"Heard","given":"H."},{"family":"Burke","given":"S."},{"family":"Ooi","given":"T. C."},{"family":"Lochnan","given":"H."},{"family":"Sorisky","given":"A."},{"family":"Keely","given":"E."},{"family":"Malcolm","given":"J."},{"family":"Maranger","given":"J."},{"family":"Favreau","given":"C."},{"family":"Petherick","given":"S."},{"family":"Boles","given":"K."},{"family":"Rossing","given":"P."},{"family":"Hansen","given":"T. W."},{"family":"Lund","given":"S."},{"family":"Hemmingsen","given":"B."},{"family":"Thorogood","given":"N."},{"family":"Green","given":"K."},{"family":"Robinson","given":"T."},{"family":"Abouglilia","given":"K."},{"family":"Nayman","given":"D."},{"family":"Miller","given":"C."},{"family":"Warren","given":"R."},{"family":"Aizawa","given":"K."},{"family":"Balasubramani","given":"M."},{"family":"Toth","given":"S."},{"family":"Harvey","given":"K."},{"family":"Birch","given":"G."},{"family":"Atkin","given":"S."},{"family":"Sathyapalan","given":"T."},{"family":"James","given":"A."},{"family":"Javed","given":"Z."},{"family":"Wilding","given":"J."},{"family":"Martin","given":"B."},{"family":"Birch","given":"S."},{"family":"Wilcox","given":"A."},{"family":"Watson","given":"N."},{"family":"Oliver","given":"N."},{"family":"Jugnee","given":"N."},{"family":"Rutter","given":"M."},{"family":"Turgut","given":"T."},{"family":"Shaju","given":"A."},{"family":"Yau","given":"S."},{"family":"Subin","given":"S."},{"family":"Walker","given":"M."},{"family":"Wake","given":"D."},{"family":"Miller","given":"C."},{"family":"Millward","given":"A."},{"family":"Chong","given":"P."},{"family":"Hibbert","given":"M."},{"family":"George","given":"J."},{"family":"Schaper","given":"N."},{"family":"Pinxt","given":"J."},{"family":"Roodt","given":"J.","dropping-particle":"op het"},{"family":"Phillips","given":"S."},{"family":"Murray","given":"L."},{"family":"Sleigh","given":"L."},{"family":"Collier","given":"A."},{"family":"Sit","given":"L. E."},{"family":"Allan","given":"K."},{"family":"Cook","given":"J."},{"family":"Campbell","given":"K."},{"family":"Hodge","given":"L."},{"family":"Leese","given":"G."},{"family":"Reekie","given":"G."},{"family":"Jaap","given":"A."},{"family":"Sudworth","given":"A."},{"family":"White","given":"A."}],"issued":{"date-parts":[["2017",8,1]]}}}],"schema":"https://github.com/citation-style-language/schema/raw/master/csl-citation.json"} </w:instrText>
      </w:r>
      <w:r w:rsidR="004B6F64" w:rsidRPr="006217FA">
        <w:rPr>
          <w:rFonts w:asciiTheme="minorHAnsi" w:hAnsiTheme="minorHAnsi" w:cstheme="minorHAnsi"/>
        </w:rPr>
        <w:fldChar w:fldCharType="separate"/>
      </w:r>
      <w:r w:rsidR="00076F77" w:rsidRPr="00076F77">
        <w:rPr>
          <w:rFonts w:ascii="Calibri" w:hAnsi="Calibri" w:cs="Calibri"/>
        </w:rPr>
        <w:t>(245)</w:t>
      </w:r>
      <w:r w:rsidR="004B6F64" w:rsidRPr="006217FA">
        <w:rPr>
          <w:rFonts w:asciiTheme="minorHAnsi" w:hAnsiTheme="minorHAnsi" w:cstheme="minorHAnsi"/>
        </w:rPr>
        <w:fldChar w:fldCharType="end"/>
      </w:r>
      <w:r w:rsidR="0047447F" w:rsidRPr="006217FA">
        <w:rPr>
          <w:rFonts w:asciiTheme="minorHAnsi" w:hAnsiTheme="minorHAnsi" w:cstheme="minorHAnsi"/>
        </w:rPr>
        <w:t>.</w:t>
      </w:r>
      <w:r w:rsidR="0015331E" w:rsidRPr="006217FA">
        <w:rPr>
          <w:rFonts w:asciiTheme="minorHAnsi" w:hAnsiTheme="minorHAnsi" w:cstheme="minorHAnsi"/>
        </w:rPr>
        <w:t xml:space="preserve"> </w:t>
      </w:r>
    </w:p>
    <w:p w14:paraId="4BFE25AD" w14:textId="77777777" w:rsidR="00567D76" w:rsidRPr="0035461C" w:rsidRDefault="00567D76" w:rsidP="001C5BC0">
      <w:pPr>
        <w:spacing w:before="120"/>
        <w:rPr>
          <w:rFonts w:ascii="Calibri" w:hAnsi="Calibri" w:cs="Calibri"/>
          <w:i/>
          <w:u w:val="single"/>
        </w:rPr>
      </w:pPr>
      <w:proofErr w:type="spellStart"/>
      <w:r w:rsidRPr="0035461C">
        <w:rPr>
          <w:rFonts w:ascii="Calibri" w:hAnsi="Calibri" w:cs="Calibri"/>
          <w:i/>
          <w:u w:val="single"/>
        </w:rPr>
        <w:t>Pramlintide</w:t>
      </w:r>
      <w:proofErr w:type="spellEnd"/>
    </w:p>
    <w:p w14:paraId="6FF82E18" w14:textId="0382EC13" w:rsidR="00567D76" w:rsidRPr="0035461C" w:rsidRDefault="00567D76" w:rsidP="00D76F42">
      <w:pPr>
        <w:spacing w:before="120"/>
        <w:jc w:val="both"/>
        <w:rPr>
          <w:rFonts w:ascii="Calibri" w:hAnsi="Calibri" w:cs="Calibri"/>
        </w:rPr>
      </w:pPr>
      <w:proofErr w:type="spellStart"/>
      <w:r w:rsidRPr="0035461C">
        <w:rPr>
          <w:rFonts w:ascii="Calibri" w:hAnsi="Calibri" w:cs="Calibri"/>
        </w:rPr>
        <w:t>Pramlintide</w:t>
      </w:r>
      <w:proofErr w:type="spellEnd"/>
      <w:r w:rsidRPr="0035461C">
        <w:rPr>
          <w:rFonts w:ascii="Calibri" w:hAnsi="Calibri" w:cs="Calibri"/>
        </w:rPr>
        <w:t>, an amylin analogue, is approved for therapeutic use in the U</w:t>
      </w:r>
      <w:r w:rsidR="006722DA" w:rsidRPr="0035461C">
        <w:rPr>
          <w:rFonts w:ascii="Calibri" w:hAnsi="Calibri" w:cs="Calibri"/>
        </w:rPr>
        <w:t>.</w:t>
      </w:r>
      <w:r w:rsidRPr="0035461C">
        <w:rPr>
          <w:rFonts w:ascii="Calibri" w:hAnsi="Calibri" w:cs="Calibri"/>
        </w:rPr>
        <w:t>S</w:t>
      </w:r>
      <w:r w:rsidR="006722DA" w:rsidRPr="0035461C">
        <w:rPr>
          <w:rFonts w:ascii="Calibri" w:hAnsi="Calibri" w:cs="Calibri"/>
        </w:rPr>
        <w:t>.</w:t>
      </w:r>
      <w:r w:rsidR="00912B68" w:rsidRPr="0035461C">
        <w:rPr>
          <w:rFonts w:ascii="Calibri" w:hAnsi="Calibri" w:cs="Calibri"/>
        </w:rPr>
        <w:t xml:space="preserve">, but not </w:t>
      </w:r>
      <w:r w:rsidR="006722DA" w:rsidRPr="0035461C">
        <w:rPr>
          <w:rFonts w:ascii="Calibri" w:hAnsi="Calibri" w:cs="Calibri"/>
        </w:rPr>
        <w:t>in Europe</w:t>
      </w:r>
      <w:r w:rsidR="00912B68" w:rsidRPr="0035461C">
        <w:rPr>
          <w:rFonts w:ascii="Calibri" w:hAnsi="Calibri" w:cs="Calibri"/>
        </w:rPr>
        <w:t>,</w:t>
      </w:r>
      <w:r w:rsidRPr="0035461C">
        <w:rPr>
          <w:rFonts w:ascii="Calibri" w:hAnsi="Calibri" w:cs="Calibri"/>
        </w:rPr>
        <w:t xml:space="preserve"> as an adjunctive therapy to insulin.</w:t>
      </w:r>
      <w:r w:rsidR="0015331E" w:rsidRPr="0035461C">
        <w:rPr>
          <w:rFonts w:ascii="Calibri" w:hAnsi="Calibri" w:cs="Calibri"/>
        </w:rPr>
        <w:t xml:space="preserve"> </w:t>
      </w:r>
      <w:r w:rsidRPr="0035461C">
        <w:rPr>
          <w:rFonts w:ascii="Calibri" w:hAnsi="Calibri" w:cs="Calibri"/>
        </w:rPr>
        <w:t>It remains the only FDA</w:t>
      </w:r>
      <w:r w:rsidR="00BA3B4C" w:rsidRPr="0035461C">
        <w:rPr>
          <w:rFonts w:ascii="Calibri" w:hAnsi="Calibri" w:cs="Calibri"/>
        </w:rPr>
        <w:t>-</w:t>
      </w:r>
      <w:r w:rsidRPr="0035461C">
        <w:rPr>
          <w:rFonts w:ascii="Calibri" w:hAnsi="Calibri" w:cs="Calibri"/>
        </w:rPr>
        <w:t xml:space="preserve">approved adjunctive therapy for </w:t>
      </w:r>
      <w:r w:rsidR="00D76F42" w:rsidRPr="0035461C">
        <w:rPr>
          <w:rFonts w:ascii="Calibri" w:hAnsi="Calibri" w:cs="Calibri"/>
        </w:rPr>
        <w:t>type 1 diabetes</w:t>
      </w:r>
      <w:r w:rsidRPr="0035461C">
        <w:rPr>
          <w:rFonts w:ascii="Calibri" w:hAnsi="Calibri" w:cs="Calibri"/>
        </w:rPr>
        <w:t>.</w:t>
      </w:r>
      <w:r w:rsidR="0015331E" w:rsidRPr="0035461C">
        <w:rPr>
          <w:rFonts w:ascii="Calibri" w:hAnsi="Calibri" w:cs="Calibri"/>
        </w:rPr>
        <w:t xml:space="preserve"> </w:t>
      </w:r>
      <w:r w:rsidRPr="0035461C">
        <w:rPr>
          <w:rFonts w:ascii="Calibri" w:hAnsi="Calibri" w:cs="Calibri"/>
        </w:rPr>
        <w:t>Injection prior to meal acts to suppress glucagon secretion, delay gastric emptying, and promote satiety</w:t>
      </w:r>
      <w:r w:rsidR="0047447F" w:rsidRPr="0035461C">
        <w:rPr>
          <w:rFonts w:ascii="Calibri" w:hAnsi="Calibri" w:cs="Calibri"/>
        </w:rPr>
        <w:t xml:space="preserve"> </w:t>
      </w:r>
      <w:r w:rsidR="00AB2648" w:rsidRPr="0035461C">
        <w:rPr>
          <w:rFonts w:ascii="Calibri" w:hAnsi="Calibri" w:cs="Calibri"/>
        </w:rPr>
        <w:fldChar w:fldCharType="begin"/>
      </w:r>
      <w:r w:rsidR="00CE0E7B">
        <w:rPr>
          <w:rFonts w:ascii="Calibri" w:hAnsi="Calibri" w:cs="Calibri"/>
        </w:rPr>
        <w:instrText xml:space="preserve"> ADDIN ZOTERO_ITEM CSL_CITATION {"citationID":"YyqK2NEa","properties":{"formattedCitation":"(246\\uc0\\u8211{}249)","plainCitation":"(246–249)","noteIndex":0},"citationItems":[{"id":11171,"uris":["http://zotero.org/groups/369679/items/XXDZHTXY"],"uri":["http://zotero.org/groups/369679/items/XXDZHTXY"],"itemData":{"id":11171,"type":"article-journal","abstract":"Pramlintide, a human amylin analogue, reduces hyperglycaemia after meals in patients with insulin-dependent diabetes mellitus (IDDM). We investigated whether this was due to delayed gastric emptying. Eight men with uncomplicated IDDM were studied twice in a randomised, double-blind crossover design. Euglycaemia was maintained overnight by intravenous infusion of glucose and/or insulin and the following morning a 5-h infusion of pramlintide 25 micrograms/h or placebo was started at 08.00 hours. At 08.30 hours the patients injected their normal morning insulin dose subcutaneously and 30 min later ate a meal (600 kcal, 50% carbohydrate) of which the solid component was labelled with Technetium-99 m and the liquid with Indium-111 to quantify gastric emptying. Gamma-scintigraphic images were obtained every 20 min for the next 4 h. Insulin and glucose were infused as necessary to maintain blood glucose levels within 3 mmol/l of the pre-meal value. Compared to placebo, pramlintide significantly delayed emptying of both liquid (median lag time 69 vs 7.5 min) and solid (median lag time 150 vs 44.5 min) components of the meal. Pramlintide delayed gastric emptying so much that t50 values could not be calculated for solid or liquid. Amylin agonists such as pramlintide may, therefore, be of value in improving glycaemic control in IDDM by modifying gastric emptying.","container-title":"Diabetologia","DOI":"10.1007/s001250050646","ISSN":"0012-186X","issue":"1","journalAbbreviation":"Diabetologia","language":"eng","note":"PMID: 9028722","page":"82-88","source":"PubMed","title":"Infusion of pramlintide, a human amylin analogue, delays gastric emptying in men with IDDM","volume":"40","author":[{"family":"Kong","given":"M. F."},{"family":"King","given":"P."},{"family":"Macdonald","given":"I. A."},{"family":"Stubbs","given":"T. A."},{"family":"Perkins","given":"A. C."},{"family":"Blackshaw","given":"P. E."},{"family":"Moyses","given":"C."},{"family":"Tattersall","given":"R. B."}],"issued":{"date-parts":[["1997",1]]}}},{"id":11174,"uris":["http://zotero.org/groups/369679/items/8LTLTU8X"],"uri":["http://zotero.org/groups/369679/items/8LTLTU8X"],"itemData":{"id":11174,"type":"article-journal","abstract":"In a previous study we have shown that an intravenous infusion of pramlintide (an analogue of human amylin) delayed gastric emptying, but the dose of pramlintide was supraphysiological in relation to the amylin response to food in non-diabetic subjects. The purpose of this study was to examine the dose response relationship of subcutaneous injections of pramlintide on gastric emptying and to determine whether administration of the drug before one meal has an impact on the subsequent meal. Eleven men with insulin-dependent diabetes mellitus were studied in a double-blind, randomised, four-way crossover design. None had autonomic neuropathy. Euglycaemia was maintained overnight before the study day. At -30 min the patients self-injected their usual morning insulin and at -15 min they injected the study drug (either placebo or 30, 60 or 90 microg pramlintide) subcutaneously. At 0 min they ate a standard meal consisting of a pancake, labelled with 99mTc, and a milkshake containing 3-ortho-methylglucose (3-OMG). Gastric emptying images were obtained for the next 8 h. At 240 min the subjects ate a similar meal, but on this occasion the pancake was labelled with (111)In. All three doses of pramlintide delayed emptying of the solid component of the first meal (p &lt; 0.004) with no significant difference between the drug doses. There were no differences between placebo and pramlintide after the second meal. All three doses of pramlintide resulted in a prolongation in the time to peak plasma 3-OMG level (p &lt; 0.0001) after the first meal but there was no difference after the second meal.","container-title":"Diabetologia","DOI":"10.1007/s001250050949","ISSN":"0012-186X","issue":"5","journalAbbreviation":"Diabetologia","language":"eng","note":"PMID: 9628276","page":"577-583","source":"PubMed","title":"The effect of single doses of pramlintide on gastric emptying of two meals in men with IDDM","volume":"41","author":[{"family":"Kong","given":"M. F."},{"family":"Stubbs","given":"T. A."},{"family":"King","given":"P."},{"family":"Macdonald","given":"I. A."},{"family":"Lambourne","given":"J. E."},{"family":"Blackshaw","given":"P. E."},{"family":"Perkins","given":"A. C."},{"family":"Tattersall","given":"R. B."}],"issued":{"date-parts":[["1998",5]]}}},{"id":11177,"uris":["http://zotero.org/groups/369679/items/GPC8KLSF"],"uri":["http://zotero.org/groups/369679/items/GPC8KLSF"],"itemData":{"id":11177,"type":"article-journal","abstract":"Mealtime amylin replacement with the human amylin analog pramlintide as an adjunct to insulin therapy improves postprandial glycemia and long-term glycemic control in type 1 diabetes. Preclinical animal studies indicate that these complementary effects may result from at least 2 independent mechanisms: a slowing of nutrient delivery to the small intestine and a suppression of nutrient-stimulated glucagon secretion. The former effect of pramlintide has previously been demonstrated in patients with type 1 diabetes. The present studies characterize the effect of pramlintide on postprandial glucagon secretion in this patient population. Plasma glucagon and glucose concentrations were measured before and after a standardized liquid meal in 2 separate randomized, double-blind, placebo-controlled studies of pramlintide administration to patients with type 1 diabetes. In a 2-day crossover study, 18 patients received a 5-hour intravenous infusion of pramlintide (25 microg/h or 50 microg/h) or placebo in addition to subcutaneous (SC) insulin injections. In a 14-day parallel-group study, 84 patients received SC injections of 30, 100, or 300 microg of pramlintide or placebo 3 times daily in addition to SC injections of insulin. In both studies plasma glucagon concentrations increased in response to the meal in the placebo-plus-insulin group but not in any of the pramlintide-treated groups (all pramlintide treatment arms v placebo, P &lt;.05). We conclude that mealtime amylin replacement with pramlintide prevents the abnormal meal-related rise in glucagonemia in insulin-treated patients with type 1 diabetes, an effect that likely contributes to its ability to improve postprandial glucose homeostasis and long-term glycemic control.","container-title":"Metabolism: Clinical and Experimental","DOI":"10.1053/meta.2002.32022","ISSN":"0026-0495","issue":"5","journalAbbreviation":"Metabolism","language":"eng","note":"PMID: 11979398","page":"636-641","source":"PubMed","title":"The human amylin analog, pramlintide, corrects postprandial hyperglucagonemia in patients with type 1 diabetes","volume":"51","author":[{"family":"Fineman","given":"M. S."},{"family":"Koda","given":"J. E."},{"family":"Shen","given":"L. Z."},{"family":"Strobel","given":"S. A."},{"family":"Maggs","given":"D. G."},{"family":"Weyer","given":"C."},{"family":"Kolterman","given":"O. G."}],"issued":{"date-parts":[["2002",5]]}}},{"id":11179,"uris":["http://zotero.org/groups/369679/items/WGN46ZF8"],"uri":["http://zotero.org/groups/369679/items/WGN46ZF8"],"itemData":{"id":11179,"type":"article-journal","abstract":"AIMS/HYPOTHESIS: Long-term trials in insulin-treated subjects with type 2 diabetes have shown that adjunctive treatment with the amylin analogue pramlintide reduces HbA(1)c levels and elicits weight loss. While amylin reduces food intake in rodents, pramlintide's effect on satiety and food intake in humans has not yet been assessed.\nMETHODS: In this randomised, double-blind, placebo-controlled crossover study, 11 insulin-treated men with type 2 diabetes (age 60+/-9 years, BMI 28.9+/-4.8 kg/m(2)) and 15 non-diabetic obese men (age 41+/-21 years, BMI 34.4+/-4.5 kg/m(2)) underwent two standardised meal tests. After fasting overnight, subjects received single subcutaneous injections of either pramlintide (120 microg) or placebo, followed by a preload meal. After 1 h, subjects ate an ad libitum buffet meal. Energy intake and meal duration were measured, as were hunger ratings (using visual analogue scales), and plasma cholecystokinin, glucagon-like peptide-1 and peptide YY concentrations over time.\nRESULTS: Compared with placebo, pramlintide reduced energy intake in both the type 2 diabetes (Delta-202+/-64 kcal, -23+/-8%, p&lt;0.01) and obese (Delta-170+/-68 kcal, -16+/-6%, p&lt;0.02) groups, without affecting meal duration. Hunger and hormonal analyte profiles provided evidence that pramlintide may exert a primary satiogenic effect, independently of other anorexigenic gut peptides.\nCONCLUSIONS/INTERPRETATION: The results indicate that enhanced satiety and reduced food intake may explain the weight loss observed in long-term pramlintide trials.","container-title":"Diabetologia","DOI":"10.1007/s00125-005-1732-4","ISSN":"0012-186X","issue":"5","journalAbbreviation":"Diabetologia","language":"eng","note":"PMID: 15843914","page":"838-848","source":"PubMed","title":"Effect of pramlintide on satiety and food intake in obese subjects and subjects with type 2 diabetes","volume":"48","author":[{"family":"Chapman","given":"I."},{"family":"Parker","given":"B."},{"family":"Doran","given":"S."},{"family":"Feinle-Bisset","given":"C."},{"family":"Wishart","given":"J."},{"family":"Strobel","given":"S."},{"family":"Wang","given":"Y."},{"family":"Burns","given":"C."},{"family":"Lush","given":"C."},{"family":"Weyer","given":"C."},{"family":"Horowitz","given":"M."}],"issued":{"date-parts":[["2005",5]]}}}],"schema":"https://github.com/citation-style-language/schema/raw/master/csl-citation.json"} </w:instrText>
      </w:r>
      <w:r w:rsidR="00AB2648" w:rsidRPr="0035461C">
        <w:rPr>
          <w:rFonts w:ascii="Calibri" w:hAnsi="Calibri" w:cs="Calibri"/>
        </w:rPr>
        <w:fldChar w:fldCharType="separate"/>
      </w:r>
      <w:r w:rsidR="00CE0E7B" w:rsidRPr="00CE0E7B">
        <w:rPr>
          <w:rFonts w:ascii="Calibri" w:hAnsi="Calibri" w:cs="Calibri"/>
        </w:rPr>
        <w:t>(246–249)</w:t>
      </w:r>
      <w:r w:rsidR="00AB2648" w:rsidRPr="0035461C">
        <w:rPr>
          <w:rFonts w:ascii="Calibri" w:hAnsi="Calibri" w:cs="Calibri"/>
        </w:rPr>
        <w:fldChar w:fldCharType="end"/>
      </w:r>
      <w:r w:rsidR="0047447F" w:rsidRPr="0035461C">
        <w:rPr>
          <w:rFonts w:ascii="Calibri" w:hAnsi="Calibri" w:cs="Calibri"/>
        </w:rPr>
        <w:t>.</w:t>
      </w:r>
      <w:r w:rsidR="0015331E" w:rsidRPr="0035461C">
        <w:rPr>
          <w:rFonts w:ascii="Calibri" w:hAnsi="Calibri" w:cs="Calibri"/>
        </w:rPr>
        <w:t xml:space="preserve"> </w:t>
      </w:r>
      <w:r w:rsidRPr="0035461C">
        <w:rPr>
          <w:rFonts w:ascii="Calibri" w:hAnsi="Calibri" w:cs="Calibri"/>
        </w:rPr>
        <w:t xml:space="preserve">Clinical trials have shown a reduction in </w:t>
      </w:r>
      <w:r w:rsidR="00D76F42" w:rsidRPr="0035461C">
        <w:rPr>
          <w:rFonts w:ascii="Calibri" w:hAnsi="Calibri" w:cs="Calibri"/>
        </w:rPr>
        <w:t>Hb</w:t>
      </w:r>
      <w:r w:rsidRPr="0035461C">
        <w:rPr>
          <w:rFonts w:ascii="Calibri" w:hAnsi="Calibri" w:cs="Calibri"/>
        </w:rPr>
        <w:t>A</w:t>
      </w:r>
      <w:r w:rsidRPr="0035461C">
        <w:rPr>
          <w:rFonts w:ascii="Calibri" w:hAnsi="Calibri" w:cs="Calibri"/>
          <w:vertAlign w:val="subscript"/>
        </w:rPr>
        <w:t>1c</w:t>
      </w:r>
      <w:r w:rsidRPr="0035461C">
        <w:rPr>
          <w:rFonts w:ascii="Calibri" w:hAnsi="Calibri" w:cs="Calibri"/>
        </w:rPr>
        <w:t xml:space="preserve"> (0.3-0.4%</w:t>
      </w:r>
      <w:r w:rsidR="00D76F42" w:rsidRPr="0035461C">
        <w:rPr>
          <w:rFonts w:ascii="Calibri" w:hAnsi="Calibri" w:cs="Calibri"/>
        </w:rPr>
        <w:t xml:space="preserve">; 3-4 </w:t>
      </w:r>
      <w:proofErr w:type="spellStart"/>
      <w:r w:rsidR="00D76F42" w:rsidRPr="0035461C">
        <w:rPr>
          <w:rFonts w:ascii="Calibri" w:hAnsi="Calibri" w:cs="Calibri"/>
        </w:rPr>
        <w:t>mmol</w:t>
      </w:r>
      <w:proofErr w:type="spellEnd"/>
      <w:r w:rsidR="00D76F42" w:rsidRPr="0035461C">
        <w:rPr>
          <w:rFonts w:ascii="Calibri" w:hAnsi="Calibri" w:cs="Calibri"/>
        </w:rPr>
        <w:t>/</w:t>
      </w:r>
      <w:proofErr w:type="spellStart"/>
      <w:r w:rsidR="00D76F42" w:rsidRPr="0035461C">
        <w:rPr>
          <w:rFonts w:ascii="Calibri" w:hAnsi="Calibri" w:cs="Calibri"/>
        </w:rPr>
        <w:t>mol</w:t>
      </w:r>
      <w:proofErr w:type="spellEnd"/>
      <w:r w:rsidRPr="0035461C">
        <w:rPr>
          <w:rFonts w:ascii="Calibri" w:hAnsi="Calibri" w:cs="Calibri"/>
        </w:rPr>
        <w:t>) and modest (~1 kg) weight loss</w:t>
      </w:r>
      <w:r w:rsidR="00C8261C" w:rsidRPr="0035461C">
        <w:rPr>
          <w:rFonts w:ascii="Calibri" w:hAnsi="Calibri" w:cs="Calibri"/>
        </w:rPr>
        <w:t xml:space="preserve"> </w:t>
      </w:r>
      <w:r w:rsidR="00A92402" w:rsidRPr="0035461C">
        <w:rPr>
          <w:rFonts w:ascii="Calibri" w:hAnsi="Calibri" w:cs="Calibri"/>
        </w:rPr>
        <w:fldChar w:fldCharType="begin"/>
      </w:r>
      <w:r w:rsidR="00CE0E7B">
        <w:rPr>
          <w:rFonts w:ascii="Calibri" w:hAnsi="Calibri" w:cs="Calibri"/>
        </w:rPr>
        <w:instrText xml:space="preserve"> ADDIN ZOTERO_ITEM CSL_CITATION {"citationID":"K2cPLpUN","properties":{"formattedCitation":"(250\\uc0\\u8211{}253)","plainCitation":"(250–253)","noteIndex":0},"citationItems":[{"id":686,"uris":["http://zotero.org/groups/369679/items/IPRAEMXJ"],"uri":["http://zotero.org/groups/369679/items/IPRAEMXJ"],"itemData":{"id":686,"type":"article-journal","abstract":"OBJECTIVE: To assess the effect of mealtime amylin replacement with pramlintide on long-term glycemic and weight control in patients with type 1 diabetes.\nRESEARCH DESIGN AND METHODS: In a 52-week, double-blind, placebo-controlled, multicenter study, 480 patients with type 1 diabetes were randomized to receive preprandial injections of placebo or 30 microg pramlintide q.i.d., in addition to existing insulin regimens. At week 20, pramlintide-treated patients were re-randomized to 30 or 60 microg pramlintide q.i.d. if decreases from baseline in HbA(1c) were &lt;1% at week 13. Of the 342 patients who completed the 52-week study, 236 individuals ( approximately 70%) elected to participate in a 1-year open-label extension in which all patients received 30 or 60 microg pramlintide q.i.d.\nRESULTS: Treatment with pramlintide led to a mean reduction in HbA(1c) of 0.67% from baseline to week 13 that was significantly (P &lt; 0.0001) greater than the placebo reduction (0.16%), and a significant placebo-corrected treatment difference was sustained through week 52 (P = 0.0071). The greater HbA(1c) reduction was associated with an average weight loss, rather than weight gain, and was not accompanied by an increased overall event rate of severe hypoglycemia. In the open-label extension, mean HbA(1c) levels decreased rapidly in patients receiving pramlintide for the first time and remained at reduced levels in patients who continued pramlintide treatment. The most common adverse events reported by the pramlintide group were mild nausea and anorexia, which both occurred during the initial weeks of treatment and dissipated over time.\nCONCLUSIONS: Mealtime pramlintide treatment as an adjunct to insulin improved long-term glycemic control without inducing weight gain or increasing the overall risk of severe hypoglycemia in patients with type 1 diabetes.","container-title":"Diabetes care","ISSN":"0149-5992","issue":"4","journalAbbreviation":"Diabetes Care","language":"eng","note":"PMID: 11919132","page":"724-730","source":"NCBI PubMed","title":"A randomized study and open-label extension evaluating the long-term efficacy of pramlintide as an adjunct to insulin therapy in type 1 diabetes","volume":"25","author":[{"family":"Whitehouse","given":"Fred"},{"family":"Kruger","given":"Davida F"},{"family":"Fineman","given":"Mark"},{"family":"Shen","given":"Larry"},{"family":"Ruggles","given":"James A"},{"family":"Maggs","given":"David G"},{"family":"Weyer","given":"Christian"},{"family":"Kolterman","given":"Orville G"}],"issued":{"date-parts":[["2002",4]]}}},{"id":11182,"uris":["http://zotero.org/groups/369679/items/RIS2WJ8P"],"uri":["http://zotero.org/groups/369679/items/RIS2WJ8P"],"itemData":{"id":11182,"type":"article-journal","abstract":"The objective of this study was to assess the effect of mealtime amylin replacement with pramlintide on long-term glycemic and weight control in subjects with type 2 diabetes. This 52-week, randomized, placebo-controlled, multicenter, double-blind, dose-ranging study in 538 insulin-treated subjects with type 2 diabetes compared the efficacy and safety of 30-, 75-, or 150-microg doses of pramlintide, a synthetic analogue of the beta-cell hormone amylin, to placebo when injected subcutaneously three times daily (TID) with major meals. Pramlintide therapy led to a mean reduction in HbA1c of 0.9% and 1.0% from baseline to week 13 in the 75- and 150-microg dose groups, which was significant compared to placebo (p = 0.0004 and p = 0.0002, respectively). In the 150-microg dose group, there was a mean reduction in HbA1c of 0.6% from baseline to week 52 (p = 0.0068 compared to placebo). The greater reduction in HbA1c with pramlintide was achieved without increases in insulin use or severe hypoglycemia, and was accompanied by a significant (p &lt; 0.05) reduction in body weight in all dose groups compared to placebo. Three times the proportion of subjects in the 150-microg pramlintide group compared to the placebo group achieved a concomitant reduction in both HbA1c and body weight from baseline to week 52 (48% versus 16%). The most common adverse event reported with pramlintide treatment was nausea, which was mild to moderate and dissipated early in treatment. The results from this study support the safety and efficacy of pramlintide administered three times a day with major meals, in conjunction with insulin therapy, for improving long-term glycemic and weight control in subjects with type 2 diabetes.","container-title":"Diabetes Technology &amp; Therapeutics","DOI":"10.1089/15209150252924094","ISSN":"1520-9156","issue":"1","journalAbbreviation":"Diabetes Technol Ther","language":"eng","note":"PMID: 12017421","page":"51-61","source":"PubMed","title":"Adjunctive therapy with the amylin analogue pramlintide leads to a combined improvement in glycemic and weight control in insulin-treated subjects with type 2 diabetes","volume":"4","author":[{"family":"Ratner","given":"Robert E."},{"family":"Want","given":"Laura L."},{"family":"Fineman","given":"Mark S."},{"family":"Velte","given":"Maggie J."},{"family":"Ruggles","given":"James A."},{"family":"Gottlieb","given":"Alan"},{"family":"Weyer","given":"Christian"},{"family":"Kolterman","given":"Orville G."}],"issued":{"date-parts":[["2002"]]}}},{"id":11184,"uris":["http://zotero.org/groups/369679/items/DKTLK3W3"],"uri":["http://zotero.org/groups/369679/items/DKTLK3W3"],"itemData":{"id":11184,"type":"article-journal","abstract":"OBJECTIVE: Mealtime amylin replacement with the human amylin analog pramlintide, as an adjunct to mealtime insulin replacement, reduces postprandial glucose excursions in patients with type 2 diabetes. The aim of the present study was to assess the long-term efficacy and safety of pramlintide in this patient population.\nRESEARCH DESIGN AND METHODS: In a 52-week, double-blind, placebo-controlled, parallel-group, multicenter study, 656 patients with type 2 diabetes (age 57 +/- 10 years, diabetes duration 12 +/- 7 years, BMI 34.0 +/- 7.0 kg/m(2), HbA(1c) 9.1 +/- 1.2%, mean +/- SD) treated with insulin (alone or in combination with sulfonylureas and/or metformin) were randomized to receive additional preprandial subcutaneous injections of either placebo or pramlintide (60 micro g TID, 90 microg BID, or 120 microg BID).\nRESULTS: Treatment with pramlintide 120 micro g BID led to a sustained reduction from baseline in HbA(1c) (-0.68 and -0.62% at weeks 26 and 52, respectively), which was significantly greater than that seen with placebo (P &lt; 0.05). The proportion of patients achieving an HbA(1c) &lt;8% was approximately twofold greater with pramlintide (120 microg BID) than with placebo (46 vs. 28%, P &lt; 0.05). The glycemic improvement with pramlintide 120 micro g BID was accompanied by a mean weight loss (-1.4 kg vs. +0.7 kg with placebo at week 52, P &lt; 0.05) and occurred without an overall increase in the severe hypoglycemia event rate. The most common adverse event associated with pramlintide use was transient, mild-to-moderate nausea.\nCONCLUSIONS: Mealtime amylin replacement with pramlintide 120 microg BID, as an adjunct to insulin therapy, improves long-term glycemic and weight control in patients with type 2 diabetes.","container-title":"Diabetes Care","DOI":"10.2337/diacare.26.3.784","ISSN":"0149-5992","issue":"3","journalAbbreviation":"Diabetes Care","language":"eng","note":"PMID: 12610038","page":"784-790","source":"PubMed","title":"Pramlintide as an adjunct to insulin therapy improves long-term glycemic and weight control in patients with type 2 diabetes: a 1-year randomized controlled trial","title-short":"Pramlintide as an adjunct to insulin therapy improves long-term glycemic and weight control in patients with type 2 diabetes","volume":"26","author":[{"family":"Hollander","given":"Priscilla A."},{"family":"Levy","given":"Philip"},{"family":"Fineman","given":"Mark S."},{"family":"Maggs","given":"David G."},{"family":"Shen","given":"Larry Z."},{"family":"Strobel","given":"Susan A."},{"family":"Weyer","given":"Christian"},{"family":"Kolterman","given":"Orville G."}],"issued":{"date-parts":[["2003",3]]}}},{"id":11187,"uris":["http://zotero.org/groups/369679/items/VZK2UNL3"],"uri":["http://zotero.org/groups/369679/items/VZK2UNL3"],"itemData":{"id":11187,"type":"article-journal","abstract":"AIMS: The autoimmune-mediated destruction of pancreatic beta-cells in Type 1 diabetes mellitus renders patients deficient in two glucoregulatory peptide hormones, insulin and amylin. With insulin replacement alone, most patients do not achieve glycaemic goals. We aimed to determine the long-term efficacy and safety of adjunctive therapy with pramlintide, a synthetic human amylin analogue, in patients with Type 1 diabetes.\nMETHODS: In a double-blind, placebo-controlled, parallel-group, multicentre study, 651 patients with Type 1 diabetes (age 41 +/- 13 years, HbA(1c) 8.9 +/- 1.0%, mean +/- sd) were randomized to mealtime injections of placebo or varying doses of pramlintide, in addition to their insulin therapy, for 52 weeks.\nRESULTS: Addition of pramlintide [60 microg three times daily (TID) or four times daily (QID)] to insulin led to significant reductions in HbA(1c) from baseline to Week 52 of 0.29% (P &lt; 0.011) and 0.34% (P &lt; 0.001), respectively, compared with a 0.04% reduction in placebo group. Three times the proportion of pramlintide- than placebo-treated patients achieved an HbA(1c) of &lt; 7%. The greater reduction in HbA(1c) with pramlintide was achieved without an increase in concomitant insulin use and was accompanied by a significant reduction in body weight from baseline to Week 52 of 0.4 kg in the 60 microg TID (P &lt; 0.027) or QID (P &lt; 0.040) pramlintide treatment groups, compared with a 0.8-kg gain in body weight in the placebo group. The most common adverse event in pramlintide-treated patients was transient, mild-to-moderate nausea.\nCONCLUSIONS: These results show that mealtime amylin replacement with pramlintide, as an adjunct to insulin therapy, improves long-term glycaemic and weight control in patients with Type 1 diabetes.","container-title":"Diabetic Medicine: A Journal of the British Diabetic Association","DOI":"10.1111/j.1464-5491.2004.01319.x","ISSN":"0742-3071","issue":"11","journalAbbreviation":"Diabet Med","language":"eng","note":"PMID: 15498087","page":"1204-1212","source":"PubMed","title":"Amylin replacement with pramlintide as an adjunct to insulin therapy improves long-term glycaemic and weight control in Type 1 diabetes mellitus: a 1-year, randomized controlled trial","title-short":"Amylin replacement with pramlintide as an adjunct to insulin therapy improves long-term glycaemic and weight control in Type 1 diabetes mellitus","volume":"21","author":[{"family":"Ratner","given":"R. E."},{"family":"Dickey","given":"R."},{"family":"Fineman","given":"M."},{"family":"Maggs","given":"D. G."},{"family":"Shen","given":"L."},{"family":"Strobel","given":"S. A."},{"family":"Weyer","given":"C."},{"family":"Kolterman","given":"O. G."}],"issued":{"date-parts":[["2004",11]]}}}],"schema":"https://github.com/citation-style-language/schema/raw/master/csl-citation.json"} </w:instrText>
      </w:r>
      <w:r w:rsidR="00A92402" w:rsidRPr="0035461C">
        <w:rPr>
          <w:rFonts w:ascii="Calibri" w:hAnsi="Calibri" w:cs="Calibri"/>
        </w:rPr>
        <w:fldChar w:fldCharType="separate"/>
      </w:r>
      <w:r w:rsidR="00CE0E7B" w:rsidRPr="00CE0E7B">
        <w:rPr>
          <w:rFonts w:ascii="Calibri" w:hAnsi="Calibri" w:cs="Calibri"/>
        </w:rPr>
        <w:t>(250–253)</w:t>
      </w:r>
      <w:r w:rsidR="00A92402" w:rsidRPr="0035461C">
        <w:rPr>
          <w:rFonts w:ascii="Calibri" w:hAnsi="Calibri" w:cs="Calibri"/>
        </w:rPr>
        <w:fldChar w:fldCharType="end"/>
      </w:r>
      <w:r w:rsidR="00C8261C" w:rsidRPr="0035461C">
        <w:rPr>
          <w:rFonts w:ascii="Calibri" w:hAnsi="Calibri" w:cs="Calibri"/>
        </w:rPr>
        <w:t>.</w:t>
      </w:r>
      <w:r w:rsidR="0015331E" w:rsidRPr="0035461C">
        <w:rPr>
          <w:rFonts w:ascii="Calibri" w:hAnsi="Calibri" w:cs="Calibri"/>
        </w:rPr>
        <w:t xml:space="preserve"> </w:t>
      </w:r>
      <w:r w:rsidRPr="0035461C">
        <w:rPr>
          <w:rFonts w:ascii="Calibri" w:hAnsi="Calibri" w:cs="Calibri"/>
        </w:rPr>
        <w:t xml:space="preserve">As a result of </w:t>
      </w:r>
      <w:r w:rsidR="00D76F42" w:rsidRPr="0035461C">
        <w:rPr>
          <w:rFonts w:ascii="Calibri" w:hAnsi="Calibri" w:cs="Calibri"/>
        </w:rPr>
        <w:t>its adverse effect</w:t>
      </w:r>
      <w:r w:rsidR="00912B68" w:rsidRPr="0035461C">
        <w:rPr>
          <w:rFonts w:ascii="Calibri" w:hAnsi="Calibri" w:cs="Calibri"/>
        </w:rPr>
        <w:t>s</w:t>
      </w:r>
      <w:r w:rsidRPr="0035461C">
        <w:rPr>
          <w:rFonts w:ascii="Calibri" w:hAnsi="Calibri" w:cs="Calibri"/>
        </w:rPr>
        <w:t xml:space="preserve"> and need for additional injections, clinical uptake of </w:t>
      </w:r>
      <w:proofErr w:type="spellStart"/>
      <w:r w:rsidRPr="0035461C">
        <w:rPr>
          <w:rFonts w:ascii="Calibri" w:hAnsi="Calibri" w:cs="Calibri"/>
        </w:rPr>
        <w:t>pramlintide</w:t>
      </w:r>
      <w:proofErr w:type="spellEnd"/>
      <w:r w:rsidRPr="0035461C">
        <w:rPr>
          <w:rFonts w:ascii="Calibri" w:hAnsi="Calibri" w:cs="Calibri"/>
        </w:rPr>
        <w:t xml:space="preserve"> has been limited.</w:t>
      </w:r>
      <w:r w:rsidR="0015331E" w:rsidRPr="0035461C">
        <w:rPr>
          <w:rFonts w:ascii="Calibri" w:hAnsi="Calibri" w:cs="Calibri"/>
        </w:rPr>
        <w:t xml:space="preserve"> </w:t>
      </w:r>
      <w:r w:rsidRPr="0035461C">
        <w:rPr>
          <w:rFonts w:ascii="Calibri" w:hAnsi="Calibri" w:cs="Calibri"/>
        </w:rPr>
        <w:t xml:space="preserve">However, co-formulations of amylin with insulin are currently in development, as is the possibility of </w:t>
      </w:r>
      <w:r w:rsidR="00774435" w:rsidRPr="0035461C">
        <w:rPr>
          <w:rFonts w:ascii="Calibri" w:hAnsi="Calibri" w:cs="Calibri"/>
        </w:rPr>
        <w:t xml:space="preserve">use of </w:t>
      </w:r>
      <w:proofErr w:type="spellStart"/>
      <w:r w:rsidRPr="0035461C">
        <w:rPr>
          <w:rFonts w:ascii="Calibri" w:hAnsi="Calibri" w:cs="Calibri"/>
        </w:rPr>
        <w:t>pramlintide</w:t>
      </w:r>
      <w:proofErr w:type="spellEnd"/>
      <w:r w:rsidRPr="0035461C">
        <w:rPr>
          <w:rFonts w:ascii="Calibri" w:hAnsi="Calibri" w:cs="Calibri"/>
        </w:rPr>
        <w:t xml:space="preserve"> in pumps</w:t>
      </w:r>
      <w:r w:rsidR="006722DA" w:rsidRPr="0035461C">
        <w:rPr>
          <w:rFonts w:ascii="Calibri" w:hAnsi="Calibri" w:cs="Calibri"/>
        </w:rPr>
        <w:t xml:space="preserve"> or </w:t>
      </w:r>
      <w:r w:rsidRPr="0035461C">
        <w:rPr>
          <w:rFonts w:ascii="Calibri" w:hAnsi="Calibri" w:cs="Calibri"/>
        </w:rPr>
        <w:t xml:space="preserve">artificial pancreas </w:t>
      </w:r>
      <w:r w:rsidR="00AF520A" w:rsidRPr="0035461C">
        <w:rPr>
          <w:rFonts w:ascii="Calibri" w:hAnsi="Calibri" w:cs="Calibri"/>
        </w:rPr>
        <w:t>systems</w:t>
      </w:r>
      <w:r w:rsidR="00CF1EBE" w:rsidRPr="0035461C">
        <w:rPr>
          <w:rFonts w:ascii="Calibri" w:hAnsi="Calibri" w:cs="Calibri"/>
        </w:rPr>
        <w:t>.</w:t>
      </w:r>
    </w:p>
    <w:p w14:paraId="1F0D3D2A" w14:textId="31494417" w:rsidR="00567D76" w:rsidRPr="0035461C" w:rsidRDefault="00567D76" w:rsidP="001C5BC0">
      <w:pPr>
        <w:spacing w:before="120"/>
        <w:rPr>
          <w:rFonts w:ascii="Calibri" w:hAnsi="Calibri" w:cs="Calibri"/>
          <w:i/>
          <w:u w:val="single"/>
        </w:rPr>
      </w:pPr>
      <w:r w:rsidRPr="0035461C">
        <w:rPr>
          <w:rFonts w:ascii="Calibri" w:hAnsi="Calibri" w:cs="Calibri"/>
          <w:i/>
          <w:u w:val="single"/>
        </w:rPr>
        <w:t>G</w:t>
      </w:r>
      <w:r w:rsidR="00D76F42" w:rsidRPr="0035461C">
        <w:rPr>
          <w:rFonts w:ascii="Calibri" w:hAnsi="Calibri" w:cs="Calibri"/>
          <w:i/>
          <w:u w:val="single"/>
        </w:rPr>
        <w:t xml:space="preserve">lucagon like peptide-1 receptor agonists </w:t>
      </w:r>
    </w:p>
    <w:p w14:paraId="3A17A447" w14:textId="65A1F2D1" w:rsidR="00D219E5" w:rsidRPr="0035461C" w:rsidRDefault="00D76F42" w:rsidP="00D219E5">
      <w:pPr>
        <w:spacing w:before="120"/>
        <w:jc w:val="both"/>
        <w:rPr>
          <w:rFonts w:ascii="Calibri" w:hAnsi="Calibri" w:cs="Calibri"/>
        </w:rPr>
      </w:pPr>
      <w:r w:rsidRPr="0035461C">
        <w:rPr>
          <w:rFonts w:ascii="Calibri" w:hAnsi="Calibri" w:cs="Calibri"/>
        </w:rPr>
        <w:t>Glucagon like peptide-1 receptor agonist</w:t>
      </w:r>
      <w:r w:rsidR="006722DA" w:rsidRPr="0035461C">
        <w:rPr>
          <w:rFonts w:ascii="Calibri" w:hAnsi="Calibri" w:cs="Calibri"/>
        </w:rPr>
        <w:t>s</w:t>
      </w:r>
      <w:r w:rsidR="00567D76" w:rsidRPr="0035461C">
        <w:rPr>
          <w:rFonts w:ascii="Calibri" w:hAnsi="Calibri" w:cs="Calibri"/>
        </w:rPr>
        <w:t xml:space="preserve"> have been explored in</w:t>
      </w:r>
      <w:r w:rsidR="00AF520A" w:rsidRPr="0035461C">
        <w:rPr>
          <w:rFonts w:ascii="Calibri" w:hAnsi="Calibri" w:cs="Calibri"/>
        </w:rPr>
        <w:t xml:space="preserve"> people with</w:t>
      </w:r>
      <w:r w:rsidR="00567D76" w:rsidRPr="0035461C">
        <w:rPr>
          <w:rFonts w:ascii="Calibri" w:hAnsi="Calibri" w:cs="Calibri"/>
        </w:rPr>
        <w:t xml:space="preserve"> </w:t>
      </w:r>
      <w:r w:rsidR="00AF520A" w:rsidRPr="0035461C">
        <w:rPr>
          <w:rFonts w:ascii="Calibri" w:hAnsi="Calibri" w:cs="Calibri"/>
        </w:rPr>
        <w:t>t</w:t>
      </w:r>
      <w:r w:rsidRPr="0035461C">
        <w:rPr>
          <w:rFonts w:ascii="Calibri" w:hAnsi="Calibri" w:cs="Calibri"/>
        </w:rPr>
        <w:t xml:space="preserve">ype 1 diabetes for two indications. </w:t>
      </w:r>
      <w:r w:rsidR="003A4349">
        <w:rPr>
          <w:rFonts w:ascii="Calibri" w:hAnsi="Calibri" w:cs="Calibri"/>
        </w:rPr>
        <w:t>The</w:t>
      </w:r>
      <w:r w:rsidR="003A4349" w:rsidRPr="0035461C">
        <w:rPr>
          <w:rFonts w:ascii="Calibri" w:hAnsi="Calibri" w:cs="Calibri"/>
        </w:rPr>
        <w:t xml:space="preserve"> </w:t>
      </w:r>
      <w:r w:rsidRPr="0035461C">
        <w:rPr>
          <w:rFonts w:ascii="Calibri" w:hAnsi="Calibri" w:cs="Calibri"/>
        </w:rPr>
        <w:t>f</w:t>
      </w:r>
      <w:r w:rsidR="00567D76" w:rsidRPr="0035461C">
        <w:rPr>
          <w:rFonts w:ascii="Calibri" w:hAnsi="Calibri" w:cs="Calibri"/>
        </w:rPr>
        <w:t>irst</w:t>
      </w:r>
      <w:r w:rsidRPr="0035461C">
        <w:rPr>
          <w:rFonts w:ascii="Calibri" w:hAnsi="Calibri" w:cs="Calibri"/>
        </w:rPr>
        <w:t xml:space="preserve"> aimed t</w:t>
      </w:r>
      <w:r w:rsidR="00567D76" w:rsidRPr="0035461C">
        <w:rPr>
          <w:rFonts w:ascii="Calibri" w:hAnsi="Calibri" w:cs="Calibri"/>
        </w:rPr>
        <w:t>o ameliorate β-cell decline at the time of diagnosis</w:t>
      </w:r>
      <w:r w:rsidRPr="0035461C">
        <w:rPr>
          <w:rFonts w:ascii="Calibri" w:hAnsi="Calibri" w:cs="Calibri"/>
        </w:rPr>
        <w:t xml:space="preserve"> </w:t>
      </w:r>
      <w:r w:rsidR="00D219E5" w:rsidRPr="0035461C">
        <w:rPr>
          <w:rFonts w:ascii="Calibri" w:hAnsi="Calibri" w:cs="Calibri"/>
        </w:rPr>
        <w:t>and</w:t>
      </w:r>
      <w:r w:rsidR="00567D76" w:rsidRPr="0035461C">
        <w:rPr>
          <w:rFonts w:ascii="Calibri" w:hAnsi="Calibri" w:cs="Calibri"/>
        </w:rPr>
        <w:t xml:space="preserve"> there are ongoing trials </w:t>
      </w:r>
      <w:r w:rsidRPr="0035461C">
        <w:rPr>
          <w:rFonts w:ascii="Calibri" w:hAnsi="Calibri" w:cs="Calibri"/>
        </w:rPr>
        <w:t>of</w:t>
      </w:r>
      <w:r w:rsidR="00567D76" w:rsidRPr="0035461C">
        <w:rPr>
          <w:rFonts w:ascii="Calibri" w:hAnsi="Calibri" w:cs="Calibri"/>
        </w:rPr>
        <w:t xml:space="preserve"> this approach</w:t>
      </w:r>
      <w:r w:rsidR="00D219E5" w:rsidRPr="0035461C">
        <w:rPr>
          <w:rFonts w:ascii="Calibri" w:hAnsi="Calibri" w:cs="Calibri"/>
        </w:rPr>
        <w:t xml:space="preserve">. In one study of 308 people with recently diagnosed type 1 diabetes, liraglutide when used in combination with anti-IL-21 preserved β-cell </w:t>
      </w:r>
      <w:r w:rsidR="003A4349">
        <w:rPr>
          <w:rFonts w:ascii="Calibri" w:hAnsi="Calibri" w:cs="Calibri"/>
        </w:rPr>
        <w:t>function</w:t>
      </w:r>
      <w:r w:rsidR="003A4349" w:rsidRPr="0035461C">
        <w:rPr>
          <w:rFonts w:ascii="Calibri" w:hAnsi="Calibri" w:cs="Calibri"/>
        </w:rPr>
        <w:t xml:space="preserve"> </w:t>
      </w:r>
      <w:r w:rsidR="00165F4E" w:rsidRPr="0035461C">
        <w:rPr>
          <w:rFonts w:ascii="Calibri" w:hAnsi="Calibri" w:cs="Calibri"/>
        </w:rPr>
        <w:fldChar w:fldCharType="begin"/>
      </w:r>
      <w:r w:rsidR="00CE0E7B">
        <w:rPr>
          <w:rFonts w:ascii="Calibri" w:hAnsi="Calibri" w:cs="Calibri"/>
        </w:rPr>
        <w:instrText xml:space="preserve"> ADDIN ZOTERO_ITEM CSL_CITATION {"citationID":"HlyZ5cf9","properties":{"formattedCitation":"(254)","plainCitation":"(254)","noteIndex":0},"citationItems":[{"id":11512,"uris":["http://zotero.org/groups/369679/items/SABBPJWS"],"uri":["http://zotero.org/groups/369679/items/SABBPJWS"],"itemData":{"id":11512,"type":"article-journal","abstract":"BACKGROUND: Type 1 diabetes is characterised by progressive loss of functional β-cell mass, necessitating insulin treatment. We aimed to investigate the hypothesis that combining anti-interleukin (IL)-21 antibody (for low-grade and transient immunomodulation) with liraglutide (to improve β-cell function) could enable β-cell survival with a reduced risk of complications compared with traditional immunomodulation.\nMETHODS: This randomised, parallel-group, placebo-controlled, double-dummy, double-blind, phase 2 trial was done at 94 sites (university hospitals and medical centres) in 17 countries. Eligible participants were adults aged 18-45 years with recently diagnosed type 1 diabetes and residual β-cell function. Individuals with unstable type 1 diabetes (defined by an episode of severe diabetic ketoacidosis within 2 weeks of enrolment) or active or latent chronic infections were excluded. Participants were randomly assigned (1:1:1:1), with stratification by baseline stimulated peak C-peptide concentration (mixed-meal tolerance test [MMTT]), to the combination of anti-IL-21 and liraglutide, anti-IL-21 alone, liraglutide alone, or placebo, all as an adjunct to insulin. Investigators, participants, and funder personnel were masked throughout the treatment period. The primary outcome was the change in MMTT-stimulated C-peptide concentration at week 54 (end of treatment) relative to baseline, measured via the area under the concentration-time curve (AUC) over a 4 h period for the full analysis set (intention-to-treat population consisting of all participants who were randomly assigned). After treatment cessation, participants were followed up for an additional 26-week off-treatment observation period. This trial is registered with ClinicalTrials.gov, NCT02443155.\nFINDINGS: Between Nov 10, 2015, and Feb 27, 2019, 553 adults were assessed for eligibility, of whom 308 were randomly assigned to receive either anti-IL-21 plus liraglutide, anti-IL-21, liraglutide, or placebo (77 assigned to each group). Compared with placebo (ratio to baseline 0·61, 39% decrease), the decrease in MMTT-stimulated C-peptide concentration from baseline to week 54 was significantly smaller with combination treatment (0·90, 10% decrease; estimated treatment ratio 1·48, 95% CI 1·16-1·89; p=0·0017), but not with anti-IL-21 alone (1·23, 0·97-1·57; p=0·093) or liraglutide alone (1·12, 0·87-1·42; p=0·38). Despite greater insulin use in the placebo group, the decrease in HbA1c (a key secondary outcome) at week 54 was greater with all active treatments (-0·50 percentage points) than with placebo (-0·10 percentage points), although the differences versus placebo were not significant. The effects diminished upon treatment cessation. Changes in immune cell subsets across groups were transient and mild (&lt;10% change over time). The most frequently reported adverse events included gastrointestinal disorders, in keeping with the known side-effect profile of liraglutide. The rate of hypoglycaemic events did not differ significantly between active treatment groups and placebo, with an exception of a lower rate in the liraglutide group than in the placebo group during the treatment period. No events of diabetic ketoacidosis were observed. One participant died while on liraglutide (considered unlikely to be related to trial treatment) in connection with three reported adverse events (hypoglycaemic coma, pneumonia, and brain oedema).\nINTERPRETATION: The combination of anti-IL-21 and liraglutide could preserve β-cell function in recently diagnosed type 1 diabetes. The efficacy of this combination appears to be similar to that seen in trials of other disease-modifying interventions in type 1 diabetes, but with a seemingly better safety profile. Efficacy and safety should be further evaluated in a phase 3 trial programme.\nFUNDING: Novo Nordisk.","container-title":"The Lancet. Diabetes &amp; Endocrinology","DOI":"10.1016/S2213-8587(21)00019-X","ISSN":"2213-8595","issue":"4","journalAbbreviation":"Lancet Diabetes Endocrinol","language":"eng","note":"PMID: 33662334","page":"212-224","source":"PubMed","title":"Anti-interleukin-21 antibody and liraglutide for the preservation of β-cell function in adults with recent-onset type 1 diabetes: a randomised, double-blind, placebo-controlled, phase 2 trial","title-short":"Anti-interleukin-21 antibody and liraglutide for the preservation of β-cell function in adults with recent-onset type 1 diabetes","volume":"9","author":[{"family":"Herrath","given":"Matthias","non-dropping-particle":"von"},{"family":"Bain","given":"Stephen C."},{"family":"Bode","given":"Bruce"},{"family":"Clausen","given":"Jesper Ole"},{"family":"Coppieters","given":"Ken"},{"family":"Gaysina","given":"Leylya"},{"family":"Gumprecht","given":"Janusz"},{"family":"Hansen","given":"Troels Krarup"},{"family":"Mathieu","given":"Chantal"},{"family":"Morales","given":"Cristobal"},{"family":"Mosenzon","given":"Ofri"},{"family":"Segel","given":"Stine"},{"family":"Tsoukas","given":"George"},{"family":"Pieber","given":"Thomas R."},{"literal":"Anti-IL-21–liraglutide Study Group investigators and contributors"}],"issued":{"date-parts":[["2021",4]]}}}],"schema":"https://github.com/citation-style-language/schema/raw/master/csl-citation.json"} </w:instrText>
      </w:r>
      <w:r w:rsidR="00165F4E" w:rsidRPr="0035461C">
        <w:rPr>
          <w:rFonts w:ascii="Calibri" w:hAnsi="Calibri" w:cs="Calibri"/>
        </w:rPr>
        <w:fldChar w:fldCharType="separate"/>
      </w:r>
      <w:r w:rsidR="00CE0E7B" w:rsidRPr="00CE0E7B">
        <w:rPr>
          <w:rFonts w:ascii="Calibri" w:hAnsi="Calibri" w:cs="Calibri"/>
        </w:rPr>
        <w:t>(254)</w:t>
      </w:r>
      <w:r w:rsidR="00165F4E" w:rsidRPr="0035461C">
        <w:rPr>
          <w:rFonts w:ascii="Calibri" w:hAnsi="Calibri" w:cs="Calibri"/>
        </w:rPr>
        <w:fldChar w:fldCharType="end"/>
      </w:r>
      <w:r w:rsidR="00567D76" w:rsidRPr="0035461C">
        <w:rPr>
          <w:rFonts w:ascii="Calibri" w:hAnsi="Calibri" w:cs="Calibri"/>
        </w:rPr>
        <w:t>.</w:t>
      </w:r>
      <w:r w:rsidR="0015331E" w:rsidRPr="0035461C">
        <w:rPr>
          <w:rFonts w:ascii="Calibri" w:hAnsi="Calibri" w:cs="Calibri"/>
        </w:rPr>
        <w:t xml:space="preserve"> </w:t>
      </w:r>
      <w:r w:rsidR="007A2C6A" w:rsidRPr="0035461C">
        <w:rPr>
          <w:rFonts w:ascii="Calibri" w:hAnsi="Calibri" w:cs="Calibri"/>
        </w:rPr>
        <w:t>The s</w:t>
      </w:r>
      <w:r w:rsidR="00567D76" w:rsidRPr="0035461C">
        <w:rPr>
          <w:rFonts w:ascii="Calibri" w:hAnsi="Calibri" w:cs="Calibri"/>
        </w:rPr>
        <w:t>econd</w:t>
      </w:r>
      <w:r w:rsidR="007A2C6A" w:rsidRPr="0035461C">
        <w:rPr>
          <w:rFonts w:ascii="Calibri" w:hAnsi="Calibri" w:cs="Calibri"/>
        </w:rPr>
        <w:t xml:space="preserve"> is</w:t>
      </w:r>
      <w:r w:rsidR="00567D76" w:rsidRPr="0035461C">
        <w:rPr>
          <w:rFonts w:ascii="Calibri" w:hAnsi="Calibri" w:cs="Calibri"/>
        </w:rPr>
        <w:t xml:space="preserve"> as an adjunctive therapy in </w:t>
      </w:r>
      <w:r w:rsidR="00912B68" w:rsidRPr="0035461C">
        <w:rPr>
          <w:rFonts w:ascii="Calibri" w:hAnsi="Calibri" w:cs="Calibri"/>
        </w:rPr>
        <w:t xml:space="preserve">established </w:t>
      </w:r>
      <w:r w:rsidR="007A2C6A" w:rsidRPr="0035461C">
        <w:rPr>
          <w:rFonts w:ascii="Calibri" w:hAnsi="Calibri" w:cs="Calibri"/>
        </w:rPr>
        <w:t>type 1 diabetes</w:t>
      </w:r>
      <w:r w:rsidR="00567D76" w:rsidRPr="0035461C">
        <w:rPr>
          <w:rFonts w:ascii="Calibri" w:hAnsi="Calibri" w:cs="Calibri"/>
        </w:rPr>
        <w:t xml:space="preserve"> by blunting glucagon secretion, decreas</w:t>
      </w:r>
      <w:r w:rsidR="00912B68" w:rsidRPr="0035461C">
        <w:rPr>
          <w:rFonts w:ascii="Calibri" w:hAnsi="Calibri" w:cs="Calibri"/>
        </w:rPr>
        <w:t>ing</w:t>
      </w:r>
      <w:r w:rsidR="00567D76" w:rsidRPr="0035461C">
        <w:rPr>
          <w:rFonts w:ascii="Calibri" w:hAnsi="Calibri" w:cs="Calibri"/>
        </w:rPr>
        <w:t xml:space="preserve"> gastric emptying, and promoting satiety</w:t>
      </w:r>
      <w:r w:rsidR="00C8261C" w:rsidRPr="0035461C">
        <w:rPr>
          <w:rFonts w:ascii="Calibri" w:hAnsi="Calibri" w:cs="Calibri"/>
        </w:rPr>
        <w:t xml:space="preserve"> </w:t>
      </w:r>
      <w:r w:rsidR="00AF520A" w:rsidRPr="0035461C">
        <w:rPr>
          <w:rFonts w:ascii="Calibri" w:hAnsi="Calibri" w:cs="Calibri"/>
        </w:rPr>
        <w:t>and weight loss</w:t>
      </w:r>
      <w:r w:rsidR="00C8261C" w:rsidRPr="0035461C">
        <w:rPr>
          <w:rFonts w:ascii="Calibri" w:hAnsi="Calibri" w:cs="Calibri"/>
        </w:rPr>
        <w:t xml:space="preserve"> </w:t>
      </w:r>
      <w:r w:rsidR="00C8261C" w:rsidRPr="0035461C">
        <w:rPr>
          <w:rFonts w:ascii="Calibri" w:hAnsi="Calibri" w:cs="Calibri"/>
        </w:rPr>
        <w:fldChar w:fldCharType="begin"/>
      </w:r>
      <w:r w:rsidR="00CE0E7B">
        <w:rPr>
          <w:rFonts w:ascii="Calibri" w:hAnsi="Calibri" w:cs="Calibri"/>
        </w:rPr>
        <w:instrText xml:space="preserve"> ADDIN ZOTERO_ITEM CSL_CITATION {"citationID":"DstQ0Oju","properties":{"formattedCitation":"(255)","plainCitation":"(255)","noteIndex":0},"citationItems":[{"id":11189,"uris":["http://zotero.org/groups/369679/items/DR2EWEAZ"],"uri":["http://zotero.org/groups/369679/items/DR2EWEAZ"],"itemData":{"id":11189,"type":"article-journal","container-title":"The Lancet. Diabetes &amp; Endocrinology","DOI":"10.1016/S2213-8587(20)30043-7","ISSN":"2213-8595","issue":"4","journalAbbreviation":"Lancet Diabetes Endocrinol","language":"eng","note":"PMID: 32135134","page":"262-264","source":"PubMed","title":"GLP-1 receptor agonists in type 1 diabetes: a MAG1C bullet?","title-short":"GLP-1 receptor agonists in type 1 diabetes","volume":"8","author":[{"family":"Nauck","given":"Michael A."},{"family":"Meier","given":"Juris J."}],"issued":{"date-parts":[["2020",4]]}}}],"schema":"https://github.com/citation-style-language/schema/raw/master/csl-citation.json"} </w:instrText>
      </w:r>
      <w:r w:rsidR="00C8261C" w:rsidRPr="0035461C">
        <w:rPr>
          <w:rFonts w:ascii="Calibri" w:hAnsi="Calibri" w:cs="Calibri"/>
        </w:rPr>
        <w:fldChar w:fldCharType="separate"/>
      </w:r>
      <w:r w:rsidR="00CE0E7B" w:rsidRPr="00CE0E7B">
        <w:rPr>
          <w:rFonts w:ascii="Calibri" w:hAnsi="Calibri" w:cs="Calibri"/>
        </w:rPr>
        <w:t>(255)</w:t>
      </w:r>
      <w:r w:rsidR="00C8261C" w:rsidRPr="0035461C">
        <w:rPr>
          <w:rFonts w:ascii="Calibri" w:hAnsi="Calibri" w:cs="Calibri"/>
        </w:rPr>
        <w:fldChar w:fldCharType="end"/>
      </w:r>
      <w:r w:rsidR="00AF520A" w:rsidRPr="0035461C">
        <w:rPr>
          <w:rFonts w:ascii="Calibri" w:hAnsi="Calibri" w:cs="Calibri"/>
        </w:rPr>
        <w:t>.</w:t>
      </w:r>
      <w:r w:rsidR="0015331E" w:rsidRPr="0035461C">
        <w:rPr>
          <w:rFonts w:ascii="Calibri" w:hAnsi="Calibri" w:cs="Calibri"/>
        </w:rPr>
        <w:t xml:space="preserve"> </w:t>
      </w:r>
      <w:r w:rsidR="00567D76" w:rsidRPr="0035461C">
        <w:rPr>
          <w:rFonts w:ascii="Calibri" w:hAnsi="Calibri" w:cs="Calibri"/>
        </w:rPr>
        <w:t xml:space="preserve">The largest clinical trials </w:t>
      </w:r>
      <w:r w:rsidR="00A858D0" w:rsidRPr="0035461C">
        <w:rPr>
          <w:rFonts w:ascii="Calibri" w:hAnsi="Calibri" w:cs="Calibri"/>
        </w:rPr>
        <w:t>in people with</w:t>
      </w:r>
      <w:r w:rsidR="00567D76" w:rsidRPr="0035461C">
        <w:rPr>
          <w:rFonts w:ascii="Calibri" w:hAnsi="Calibri" w:cs="Calibri"/>
        </w:rPr>
        <w:t xml:space="preserve"> </w:t>
      </w:r>
      <w:r w:rsidR="007A2C6A" w:rsidRPr="0035461C">
        <w:rPr>
          <w:rFonts w:ascii="Calibri" w:hAnsi="Calibri" w:cs="Calibri"/>
        </w:rPr>
        <w:t>type 1 diabetes</w:t>
      </w:r>
      <w:r w:rsidR="00567D76" w:rsidRPr="0035461C">
        <w:rPr>
          <w:rFonts w:ascii="Calibri" w:hAnsi="Calibri" w:cs="Calibri"/>
        </w:rPr>
        <w:t xml:space="preserve"> were conducted with liraglutide and showed decreases in </w:t>
      </w:r>
      <w:r w:rsidR="007A2C6A" w:rsidRPr="0035461C">
        <w:rPr>
          <w:rFonts w:ascii="Calibri" w:hAnsi="Calibri" w:cs="Calibri"/>
        </w:rPr>
        <w:t>HbA</w:t>
      </w:r>
      <w:r w:rsidR="007A2C6A" w:rsidRPr="0035461C">
        <w:rPr>
          <w:rFonts w:ascii="Calibri" w:hAnsi="Calibri" w:cs="Calibri"/>
          <w:vertAlign w:val="subscript"/>
        </w:rPr>
        <w:t>1c</w:t>
      </w:r>
      <w:r w:rsidR="00567D76" w:rsidRPr="0035461C">
        <w:rPr>
          <w:rFonts w:ascii="Calibri" w:hAnsi="Calibri" w:cs="Calibri"/>
        </w:rPr>
        <w:t xml:space="preserve"> at daily dose</w:t>
      </w:r>
      <w:r w:rsidR="00C8261C" w:rsidRPr="0035461C">
        <w:rPr>
          <w:rFonts w:ascii="Calibri" w:hAnsi="Calibri" w:cs="Calibri"/>
        </w:rPr>
        <w:t>s of 1.8 mg</w:t>
      </w:r>
      <w:r w:rsidR="00567D76" w:rsidRPr="0035461C">
        <w:rPr>
          <w:rFonts w:ascii="Calibri" w:hAnsi="Calibri" w:cs="Calibri"/>
        </w:rPr>
        <w:t xml:space="preserve"> (~0.4%</w:t>
      </w:r>
      <w:r w:rsidR="007A2C6A" w:rsidRPr="0035461C">
        <w:rPr>
          <w:rFonts w:ascii="Calibri" w:hAnsi="Calibri" w:cs="Calibri"/>
        </w:rPr>
        <w:t xml:space="preserve">; 4 </w:t>
      </w:r>
      <w:proofErr w:type="spellStart"/>
      <w:r w:rsidR="007A2C6A" w:rsidRPr="0035461C">
        <w:rPr>
          <w:rFonts w:ascii="Calibri" w:hAnsi="Calibri" w:cs="Calibri"/>
        </w:rPr>
        <w:t>mmol</w:t>
      </w:r>
      <w:proofErr w:type="spellEnd"/>
      <w:r w:rsidR="007A2C6A" w:rsidRPr="0035461C">
        <w:rPr>
          <w:rFonts w:ascii="Calibri" w:hAnsi="Calibri" w:cs="Calibri"/>
        </w:rPr>
        <w:t>/</w:t>
      </w:r>
      <w:proofErr w:type="spellStart"/>
      <w:r w:rsidR="007A2C6A" w:rsidRPr="0035461C">
        <w:rPr>
          <w:rFonts w:ascii="Calibri" w:hAnsi="Calibri" w:cs="Calibri"/>
        </w:rPr>
        <w:t>mol</w:t>
      </w:r>
      <w:proofErr w:type="spellEnd"/>
      <w:r w:rsidR="00567D76" w:rsidRPr="0035461C">
        <w:rPr>
          <w:rFonts w:ascii="Calibri" w:hAnsi="Calibri" w:cs="Calibri"/>
        </w:rPr>
        <w:t>), decreases in weight (~5 kg), and reductions in insulin doses</w:t>
      </w:r>
      <w:r w:rsidR="00C8261C" w:rsidRPr="0035461C">
        <w:rPr>
          <w:rFonts w:ascii="Calibri" w:hAnsi="Calibri" w:cs="Calibri"/>
        </w:rPr>
        <w:t xml:space="preserve"> </w:t>
      </w:r>
      <w:r w:rsidR="00A57498" w:rsidRPr="0035461C">
        <w:rPr>
          <w:rFonts w:ascii="Calibri" w:hAnsi="Calibri" w:cs="Calibri"/>
        </w:rPr>
        <w:fldChar w:fldCharType="begin"/>
      </w:r>
      <w:r w:rsidR="00CE0E7B">
        <w:rPr>
          <w:rFonts w:ascii="Calibri" w:hAnsi="Calibri" w:cs="Calibri"/>
        </w:rPr>
        <w:instrText xml:space="preserve"> ADDIN ZOTERO_ITEM CSL_CITATION {"citationID":"JYouoZNj","properties":{"formattedCitation":"(256,257)","plainCitation":"(256,257)","noteIndex":0},"citationItems":[{"id":11191,"uris":["http://zotero.org/groups/369679/items/3M4PJ9RM"],"uri":["http://zotero.org/groups/369679/items/3M4PJ9RM"],"itemData":{"id":11191,"type":"article-journal","abstract":"OBJECTIVE: To investigate whether liraglutide added to treat-to-target insulin improves glycemic control and reduces insulin requirements and body weight in subjects with type 1 diabetes.\nRESEARCH DESIGN AND METHODS: A 52-week, double-blind, treat-to-target trial involving 1,398 adults randomized 3:1 to receive once-daily subcutaneous injections of liraglutide (1.8, 1.2, or 0.6 mg) or placebo added to insulin.\nRESULTS: HbA1c level was reduced 0.34-0.54% (3.7-5.9 mmol/mol) from a mean baseline of 8.2% (66 mmol/mol), and significantly more for liraglutide 1.8 and 1.2 mg compared with placebo (estimated treatment differences [ETDs]: 1.8 mg liraglutide -0.20% [95% CI -0.32; -0.07]; 1.2 mg liraglutide -0.15% [95% CI -0.27; -0.03]; 0.6 mg liraglutide -0.09% [95% CI -0.21; 0.03]). Insulin doses were reduced by the addition of liraglutide 1.8 and 1.2 mg versus placebo (estimated treatment ratios: 1.8 mg liraglutide 0.92 [95% CI 0.88; 0.96]; 1.2 mg liraglutide 0.95 [95% CI 0.91; 0.99]; 0.6 mg liraglutide 1.00 [95% CI 0.96; 1.04]). Mean body weight was significantly reduced in all liraglutide groups compared with placebo ETDs (1.8 mg liraglutide -4.9 kg [95% CI -5.7; -4.2]; 1.2 mg liraglutide -3.6 kg [95% CI -4.3; -2.8]; 0.6 mg liraglutide -2.2 kg [95% CI -2.9; -1.5]). The rate of symptomatic hypoglycemia increased in all liraglutide groups (estimated rate ratios: 1.8 mg liraglutide 1.31 [95% CI 1.07; 1.59]; 1.2 mg liraglutide 1.27 [95% CI 1.03; 1.55]; 0.6 mg liraglutide 1.17 [95% CI 0.97; 1.43]), and hyperglycemia with ketosis increased significantly for liraglutide 1.8 mg only (event rate ratio 2.22 [95% CI 1.13; 4.34]).\nCONCLUSIONS: Liraglutide added to insulin therapy reduced HbA1c levels, total insulin dose, and body weight in a population that was generally representative of subjects with type 1 diabetes, accompanied by increased rates of symptomatic hypoglycemia and hyperglycemia with ketosis, thereby limiting clinical use in this group.","container-title":"Diabetes Care","DOI":"10.2337/dc16-0691","ISSN":"1935-5548","issue":"10","journalAbbreviation":"Diabetes Care","language":"eng","note":"PMID: 27506222","page":"1702-1710","source":"PubMed","title":"Efficacy and Safety of Liraglutide Added to Insulin Treatment in Type 1 Diabetes: The ADJUNCT ONE Treat-To-Target Randomized Trial","title-short":"Efficacy and Safety of Liraglutide Added to Insulin Treatment in Type 1 Diabetes","volume":"39","author":[{"family":"Mathieu","given":"Chantal"},{"family":"Zinman","given":"Bernard"},{"family":"Hemmingsson","given":"Joanna Uddén"},{"family":"Woo","given":"Vincent"},{"family":"Colman","given":"Peter"},{"family":"Christiansen","given":"Erik"},{"family":"Linder","given":"Martin"},{"family":"Bode","given":"Bruce"},{"literal":"ADJUNCT ONE Investigators"}],"issued":{"date-parts":[["2016",10]]}}},{"id":11194,"uris":["http://zotero.org/groups/369679/items/TZ7835SX"],"uri":["http://zotero.org/groups/369679/items/TZ7835SX"],"itemData":{"id":11194,"type":"article-journal","abstract":"OBJECTIVE: To investigate the efficacy and safety of liraglutide added to capped insulin doses in subjects with type 1 diabetes.\nRESEARCH DESIGN AND METHODS: A 26-week, placebo-controlled, double-blind, parallel-group trial enrolling 835 subjects randomized 3:1 receiving once-daily subcutaneous liraglutide (1.8, 1.2, and 0.6 mg) or placebo added to an individually capped total daily dose of insulin.\nRESULTS: Mean baseline glycated hemoglobin (HbA1c) (8.1% [65.0 mmol/mol]) was significantly decreased with liraglutide versus placebo at week 26 (1.8 mg: -0.33% [3.6 mmol/mol]; 1.2 mg: -0.22% [2.4 mmol/mol]; 0.6 mg: -0.23% [2.5 mmol/mol]; placebo: 0.01% [0.1 mmol/mol]). Liraglutide significantly reduced mean body weight (-5.1, -4.0, and -2.5 kg for 1.8, 1.2, and 0.6 mg, respectively) versus placebo (-0.2 kg). Significant reductions in daily insulin dose and increases in quality of life were seen with liraglutide versus placebo. There were higher rates of symptomatic hypoglycemia (21.3 vs. 16.6 events/patient/year; P = 0.03) with liraglutide 1.2 mg vs. placebo and of hyperglycemia with ketosis &gt;1.5 mmol/L with liraglutide 1.8 mg vs. placebo (0.5 vs. 0.1 events/patient/year; P = 0.01).\nCONCLUSIONS: In a broad population of subjects with long-standing type 1 diabetes, liraglutide added to capped insulin reduced HbA1c, body weight, and insulin requirements but with higher rates of hypoglycemia for liraglutide 1.2 mg and hyperglycemia with ketosis for liraglutide 1.8 mg.","container-title":"Diabetes Care","DOI":"10.2337/dc16-0690","ISSN":"1935-5548","issue":"10","journalAbbreviation":"Diabetes Care","language":"eng","note":"PMID: 27493132","page":"1693-1701","source":"PubMed","title":"Efficacy and Safety of Liraglutide Added to Capped Insulin Treatment in Subjects With Type 1 Diabetes: The ADJUNCT TWO Randomized Trial","title-short":"Efficacy and Safety of Liraglutide Added to Capped Insulin Treatment in Subjects With Type 1 Diabetes","volume":"39","author":[{"family":"Ahrén","given":"Bo"},{"family":"Hirsch","given":"Irl B."},{"family":"Pieber","given":"Thomas R."},{"family":"Mathieu","given":"Chantal"},{"family":"Gómez-Peralta","given":"Fernando"},{"family":"Hansen","given":"Troels Krarup"},{"family":"Philotheou","given":"Areti"},{"family":"Birch","given":"Sune"},{"family":"Christiansen","given":"Erik"},{"family":"Jensen","given":"Thomas Jon"},{"family":"Buse","given":"John B."},{"literal":"ADJUNCT TWO Investigators"}],"issued":{"date-parts":[["2016",10]]}}}],"schema":"https://github.com/citation-style-language/schema/raw/master/csl-citation.json"} </w:instrText>
      </w:r>
      <w:r w:rsidR="00A57498" w:rsidRPr="0035461C">
        <w:rPr>
          <w:rFonts w:ascii="Calibri" w:hAnsi="Calibri" w:cs="Calibri"/>
        </w:rPr>
        <w:fldChar w:fldCharType="separate"/>
      </w:r>
      <w:r w:rsidR="00CE0E7B" w:rsidRPr="00CE0E7B">
        <w:rPr>
          <w:rFonts w:ascii="Calibri" w:hAnsi="Calibri" w:cs="Calibri"/>
        </w:rPr>
        <w:t>(256,257)</w:t>
      </w:r>
      <w:r w:rsidR="00A57498" w:rsidRPr="0035461C">
        <w:rPr>
          <w:rFonts w:ascii="Calibri" w:hAnsi="Calibri" w:cs="Calibri"/>
        </w:rPr>
        <w:fldChar w:fldCharType="end"/>
      </w:r>
      <w:r w:rsidR="00C8261C" w:rsidRPr="0035461C">
        <w:rPr>
          <w:rFonts w:ascii="Calibri" w:hAnsi="Calibri" w:cs="Calibri"/>
        </w:rPr>
        <w:t>.</w:t>
      </w:r>
      <w:r w:rsidR="0015331E" w:rsidRPr="0035461C">
        <w:rPr>
          <w:rFonts w:ascii="Calibri" w:hAnsi="Calibri" w:cs="Calibri"/>
        </w:rPr>
        <w:t xml:space="preserve"> </w:t>
      </w:r>
      <w:r w:rsidR="00567D76" w:rsidRPr="0035461C">
        <w:rPr>
          <w:rFonts w:ascii="Calibri" w:hAnsi="Calibri" w:cs="Calibri"/>
        </w:rPr>
        <w:t xml:space="preserve">However, </w:t>
      </w:r>
      <w:r w:rsidR="007A2C6A" w:rsidRPr="0035461C">
        <w:rPr>
          <w:rFonts w:ascii="Calibri" w:hAnsi="Calibri" w:cs="Calibri"/>
        </w:rPr>
        <w:t>increased rates of</w:t>
      </w:r>
      <w:r w:rsidR="00567D76" w:rsidRPr="0035461C">
        <w:rPr>
          <w:rFonts w:ascii="Calibri" w:hAnsi="Calibri" w:cs="Calibri"/>
        </w:rPr>
        <w:t xml:space="preserve"> hypoglyc</w:t>
      </w:r>
      <w:r w:rsidR="007A2C6A" w:rsidRPr="0035461C">
        <w:rPr>
          <w:rFonts w:ascii="Calibri" w:hAnsi="Calibri" w:cs="Calibri"/>
        </w:rPr>
        <w:t>a</w:t>
      </w:r>
      <w:r w:rsidR="00567D76" w:rsidRPr="0035461C">
        <w:rPr>
          <w:rFonts w:ascii="Calibri" w:hAnsi="Calibri" w:cs="Calibri"/>
        </w:rPr>
        <w:t xml:space="preserve">emia and ketosis </w:t>
      </w:r>
      <w:r w:rsidR="00B92FA7" w:rsidRPr="0035461C">
        <w:rPr>
          <w:rFonts w:ascii="Calibri" w:hAnsi="Calibri" w:cs="Calibri"/>
        </w:rPr>
        <w:t>were</w:t>
      </w:r>
      <w:r w:rsidR="00A14C89" w:rsidRPr="0035461C">
        <w:rPr>
          <w:rFonts w:ascii="Calibri" w:hAnsi="Calibri" w:cs="Calibri"/>
        </w:rPr>
        <w:t xml:space="preserve"> shown</w:t>
      </w:r>
      <w:r w:rsidR="00567D76" w:rsidRPr="0035461C">
        <w:rPr>
          <w:rFonts w:ascii="Calibri" w:hAnsi="Calibri" w:cs="Calibri"/>
        </w:rPr>
        <w:t>.</w:t>
      </w:r>
      <w:r w:rsidR="0015331E" w:rsidRPr="0035461C">
        <w:rPr>
          <w:rFonts w:ascii="Calibri" w:hAnsi="Calibri" w:cs="Calibri"/>
        </w:rPr>
        <w:t xml:space="preserve"> </w:t>
      </w:r>
      <w:r w:rsidR="007A2C6A" w:rsidRPr="0035461C">
        <w:rPr>
          <w:rFonts w:ascii="Calibri" w:hAnsi="Calibri" w:cs="Calibri"/>
        </w:rPr>
        <w:t>S</w:t>
      </w:r>
      <w:r w:rsidR="00567D76" w:rsidRPr="0035461C">
        <w:rPr>
          <w:rFonts w:ascii="Calibri" w:hAnsi="Calibri" w:cs="Calibri"/>
        </w:rPr>
        <w:t xml:space="preserve">ubgroup analysis in </w:t>
      </w:r>
      <w:r w:rsidR="007A2C6A" w:rsidRPr="0035461C">
        <w:rPr>
          <w:rFonts w:ascii="Calibri" w:hAnsi="Calibri" w:cs="Calibri"/>
        </w:rPr>
        <w:t>people</w:t>
      </w:r>
      <w:r w:rsidR="00567D76" w:rsidRPr="0035461C">
        <w:rPr>
          <w:rFonts w:ascii="Calibri" w:hAnsi="Calibri" w:cs="Calibri"/>
        </w:rPr>
        <w:t xml:space="preserve"> with residual </w:t>
      </w:r>
      <w:r w:rsidR="007A2C6A" w:rsidRPr="0035461C">
        <w:rPr>
          <w:rFonts w:ascii="Calibri" w:hAnsi="Calibri" w:cs="Calibri"/>
        </w:rPr>
        <w:t>C</w:t>
      </w:r>
      <w:r w:rsidR="00567D76" w:rsidRPr="0035461C">
        <w:rPr>
          <w:rFonts w:ascii="Calibri" w:hAnsi="Calibri" w:cs="Calibri"/>
        </w:rPr>
        <w:t xml:space="preserve">-peptide production suggests greater </w:t>
      </w:r>
      <w:r w:rsidR="007A2C6A" w:rsidRPr="0035461C">
        <w:rPr>
          <w:rFonts w:ascii="Calibri" w:hAnsi="Calibri" w:cs="Calibri"/>
        </w:rPr>
        <w:t>Hb</w:t>
      </w:r>
      <w:r w:rsidR="00567D76" w:rsidRPr="0035461C">
        <w:rPr>
          <w:rFonts w:ascii="Calibri" w:hAnsi="Calibri" w:cs="Calibri"/>
        </w:rPr>
        <w:t>A</w:t>
      </w:r>
      <w:r w:rsidR="00567D76" w:rsidRPr="0035461C">
        <w:rPr>
          <w:rFonts w:ascii="Calibri" w:hAnsi="Calibri" w:cs="Calibri"/>
          <w:vertAlign w:val="subscript"/>
        </w:rPr>
        <w:t>1c</w:t>
      </w:r>
      <w:r w:rsidR="00567D76" w:rsidRPr="0035461C">
        <w:rPr>
          <w:rFonts w:ascii="Calibri" w:hAnsi="Calibri" w:cs="Calibri"/>
        </w:rPr>
        <w:t xml:space="preserve"> reduction and improved safety with lower risk of ketosis.</w:t>
      </w:r>
      <w:r w:rsidR="0015331E" w:rsidRPr="0035461C">
        <w:rPr>
          <w:rFonts w:ascii="Calibri" w:hAnsi="Calibri" w:cs="Calibri"/>
        </w:rPr>
        <w:t xml:space="preserve"> </w:t>
      </w:r>
      <w:r w:rsidR="007A2C6A" w:rsidRPr="0035461C">
        <w:rPr>
          <w:rFonts w:ascii="Calibri" w:hAnsi="Calibri" w:cs="Calibri"/>
        </w:rPr>
        <w:t>Trials in people with type 2 diabetes have shown convincing reductions in cardiovascular events with human GLP-1 analogues</w:t>
      </w:r>
      <w:r w:rsidR="002B6713" w:rsidRPr="0035461C">
        <w:rPr>
          <w:rFonts w:ascii="Calibri" w:hAnsi="Calibri" w:cs="Calibri"/>
        </w:rPr>
        <w:t xml:space="preserve"> </w:t>
      </w:r>
      <w:r w:rsidR="002B6713" w:rsidRPr="0035461C">
        <w:rPr>
          <w:rFonts w:ascii="Calibri" w:hAnsi="Calibri" w:cs="Calibri"/>
        </w:rPr>
        <w:fldChar w:fldCharType="begin"/>
      </w:r>
      <w:r w:rsidR="00CE0E7B">
        <w:rPr>
          <w:rFonts w:ascii="Calibri" w:hAnsi="Calibri" w:cs="Calibri"/>
        </w:rPr>
        <w:instrText xml:space="preserve"> ADDIN ZOTERO_ITEM CSL_CITATION {"citationID":"t9Vjj01K","properties":{"formattedCitation":"(258)","plainCitation":"(258)","noteIndex":0},"citationItems":[{"id":11197,"uris":["http://zotero.org/groups/369679/items/AR4UT9PR"],"uri":["http://zotero.org/groups/369679/items/AR4UT9PR"],"itemData":{"id":11197,"type":"article-journal","abstract":"Glucagon-like peptide 1 receptor agonists (GLP-1 RAs) are emerging as an important therapy to consider for patients with type 2 diabetes (T2D) given this class of treatment's ability to reduce glycated haemoglobin and their associated weight loss and low risk for hypoglycaemia. Additionally, seven cardiovascular outcomes trials (CVOTs) have been performed in the past 4 years using lixisenatide, liraglutide, semaglutide, exenatide, albiglutide, dulaglutide and oral semaglutide. All have found non-inferiority for cardiovascular outcomes, with many finding superiority of these drugs. These findings have transformed our guidelines on pharmacological treatment of T2D. This review article will discuss GLP-1 RA therapy, review the seven CVOTs reported to date and discuss the implications on current guidelines and therapies going forward.","container-title":"Postgraduate Medical Journal","DOI":"10.1136/postgradmedj-2019-137186","ISSN":"1469-0756","issue":"1133","journalAbbreviation":"Postgrad Med J","language":"eng","note":"PMID: 31801807\nPMCID: PMC7042958","page":"156-161","source":"PubMed","title":"An overview of GLP-1 agonists and recent cardiovascular outcomes trials","volume":"96","author":[{"family":"Sheahan","given":"Kelsey H."},{"family":"Wahlberg","given":"Elizabeth A."},{"family":"Gilbert","given":"Matthew P."}],"issued":{"date-parts":[["2020",3]]}}}],"schema":"https://github.com/citation-style-language/schema/raw/master/csl-citation.json"} </w:instrText>
      </w:r>
      <w:r w:rsidR="002B6713" w:rsidRPr="0035461C">
        <w:rPr>
          <w:rFonts w:ascii="Calibri" w:hAnsi="Calibri" w:cs="Calibri"/>
        </w:rPr>
        <w:fldChar w:fldCharType="separate"/>
      </w:r>
      <w:r w:rsidR="00CE0E7B" w:rsidRPr="00CE0E7B">
        <w:rPr>
          <w:rFonts w:ascii="Calibri" w:hAnsi="Calibri" w:cs="Calibri"/>
        </w:rPr>
        <w:t>(258)</w:t>
      </w:r>
      <w:r w:rsidR="002B6713" w:rsidRPr="0035461C">
        <w:rPr>
          <w:rFonts w:ascii="Calibri" w:hAnsi="Calibri" w:cs="Calibri"/>
        </w:rPr>
        <w:fldChar w:fldCharType="end"/>
      </w:r>
      <w:r w:rsidR="007A2C6A" w:rsidRPr="0035461C">
        <w:rPr>
          <w:rFonts w:ascii="Calibri" w:hAnsi="Calibri" w:cs="Calibri"/>
        </w:rPr>
        <w:t>; whether these benefits would also be seen in people with type 1 diabetes is unknown</w:t>
      </w:r>
      <w:r w:rsidR="00924D49" w:rsidRPr="0035461C">
        <w:rPr>
          <w:rFonts w:ascii="Calibri" w:hAnsi="Calibri" w:cs="Calibri"/>
        </w:rPr>
        <w:t>.</w:t>
      </w:r>
      <w:r w:rsidR="00C8261C" w:rsidRPr="0035461C">
        <w:rPr>
          <w:rFonts w:ascii="Calibri" w:hAnsi="Calibri" w:cs="Calibri"/>
        </w:rPr>
        <w:t xml:space="preserve"> </w:t>
      </w:r>
      <w:r w:rsidR="00D219E5" w:rsidRPr="0035461C">
        <w:rPr>
          <w:rFonts w:ascii="Calibri" w:hAnsi="Calibri" w:cs="Calibri"/>
        </w:rPr>
        <w:t>GLP-1 receptor agonists</w:t>
      </w:r>
      <w:r w:rsidR="00461485">
        <w:rPr>
          <w:rFonts w:ascii="Calibri" w:hAnsi="Calibri" w:cs="Calibri"/>
        </w:rPr>
        <w:t xml:space="preserve"> have been approved for management of obesity, but not in people with type 1 diabetes. However, given the clinical trial results</w:t>
      </w:r>
      <w:r w:rsidR="00D77FA7">
        <w:rPr>
          <w:rFonts w:ascii="Calibri" w:hAnsi="Calibri" w:cs="Calibri"/>
        </w:rPr>
        <w:t xml:space="preserve"> in people without type 1 diabetes</w:t>
      </w:r>
      <w:r w:rsidR="00C9777D">
        <w:rPr>
          <w:rFonts w:ascii="Calibri" w:hAnsi="Calibri" w:cs="Calibri"/>
        </w:rPr>
        <w:t xml:space="preserve"> </w:t>
      </w:r>
      <w:r w:rsidR="00C9777D">
        <w:rPr>
          <w:rFonts w:ascii="Calibri" w:hAnsi="Calibri" w:cs="Calibri"/>
        </w:rPr>
        <w:fldChar w:fldCharType="begin"/>
      </w:r>
      <w:r w:rsidR="00CE0E7B">
        <w:rPr>
          <w:rFonts w:ascii="Calibri" w:hAnsi="Calibri" w:cs="Calibri"/>
        </w:rPr>
        <w:instrText xml:space="preserve"> ADDIN ZOTERO_ITEM CSL_CITATION {"citationID":"a2fge5km9vm","properties":{"formattedCitation":"(259)","plainCitation":"(259)","noteIndex":0},"citationItems":[{"id":12497,"uris":["http://zotero.org/groups/369679/items/8AFE4HXY"],"uri":["http://zotero.org/groups/369679/items/8AFE4HXY"],"itemData":{"id":12497,"type":"article-journal","abstract":"BACKGROUND: Obesity is a global health challenge with few pharmacologic options. Whether adults with obesity can achieve weight loss with once-weekly semaglutide at a dose of 2.4 mg as an adjunct to lifestyle intervention has not been confirmed.\nMETHODS: In this double-blind trial, we enrolled 1961 adults with a body-mass index (the weight in kilograms divided by the square of the height in meters) of 30 or greater (≥27 in persons with ≥1 weight-related coexisting condition), who did not have diabetes, and randomly assigned them, in a 2:1 ratio, to 68 weeks of treatment with once-weekly subcutaneous semaglutide (at a dose of 2.4 mg) or placebo, plus lifestyle intervention. The coprimary end points were the percentage change in body weight and weight reduction of at least 5%. The primary estimand (a precise description of the treatment effect reflecting the objective of the clinical trial) assessed effects regardless of treatment discontinuation or rescue interventions.\nRESULTS: The mean change in body weight from baseline to week 68 was -14.9% in the semaglutide group as compared with -2.4% with placebo, for an estimated treatment difference of -12.4 percentage points (95% confidence interval [CI], -13.4 to -11.5; P&lt;0.001). More participants in the semaglutide group than in the placebo group achieved weight reductions of 5% or more (1047 participants [86.4%] vs. 182 [31.5%]), 10% or more (838 [69.1%] vs. 69 [12.0%]), and 15% or more (612 [50.5%] vs. 28 [4.9%]) at week 68 (P&lt;0.001 for all three comparisons of odds). The change in body weight from baseline to week 68 was -15.3 kg in the semaglutide group as compared with -2.6 kg in the placebo group (estimated treatment difference, -12.7 kg; 95% CI, -13.7 to -11.7). Participants who received semaglutide had a greater improvement with respect to cardiometabolic risk factors and a greater increase in participant-reported physical functioning from baseline than those who received placebo. Nausea and diarrhea were the most common adverse events with semaglutide; they were typically transient and mild-to-moderate in severity and subsided with time. More participants in the semaglutide group than in the placebo group discontinued treatment owing to gastrointestinal events (59 [4.5%] vs. 5 [0.8%]).\nCONCLUSIONS: In participants with overweight or obesity, 2.4 mg of semaglutide once weekly plus lifestyle intervention was associated with sustained, clinically relevant reduction in body weight. (Funded by Novo Nordisk; STEP 1 ClinicalTrials.gov number, NCT03548935).","container-title":"The New England Journal of Medicine","DOI":"10.1056/NEJMoa2032183","ISSN":"1533-4406","issue":"11","journalAbbreviation":"N Engl J Med","language":"eng","note":"PMID: 33567185","page":"989","source":"PubMed","title":"Once-Weekly Semaglutide in Adults with Overweight or Obesity","volume":"384","author":[{"family":"Wilding","given":"John P. H."},{"family":"Batterham","given":"Rachel L."},{"family":"Calanna","given":"Salvatore"},{"family":"Davies","given":"Melanie"},{"family":"Van Gaal","given":"Luc F."},{"family":"Lingvay","given":"Ildiko"},{"family":"McGowan","given":"Barbara M."},{"family":"Rosenstock","given":"Julio"},{"family":"Tran","given":"Marie T. D."},{"family":"Wadden","given":"Thomas A."},{"family":"Wharton","given":"Sean"},{"family":"Yokote","given":"Koutaro"},{"family":"Zeuthen","given":"Niels"},{"family":"Kushner","given":"Robert F."},{"literal":"STEP 1 Study Group"}],"issued":{"date-parts":[["2021",3,18]]}}}],"schema":"https://github.com/citation-style-language/schema/raw/master/csl-citation.json"} </w:instrText>
      </w:r>
      <w:r w:rsidR="00C9777D">
        <w:rPr>
          <w:rFonts w:ascii="Calibri" w:hAnsi="Calibri" w:cs="Calibri"/>
        </w:rPr>
        <w:fldChar w:fldCharType="separate"/>
      </w:r>
      <w:r w:rsidR="00CE0E7B" w:rsidRPr="00CE0E7B">
        <w:rPr>
          <w:rFonts w:ascii="Calibri" w:hAnsi="Calibri" w:cs="Calibri"/>
        </w:rPr>
        <w:t>(259)</w:t>
      </w:r>
      <w:r w:rsidR="00C9777D">
        <w:rPr>
          <w:rFonts w:ascii="Calibri" w:hAnsi="Calibri" w:cs="Calibri"/>
        </w:rPr>
        <w:fldChar w:fldCharType="end"/>
      </w:r>
      <w:r w:rsidR="00461485">
        <w:rPr>
          <w:rFonts w:ascii="Calibri" w:hAnsi="Calibri" w:cs="Calibri"/>
        </w:rPr>
        <w:t xml:space="preserve">, these agents </w:t>
      </w:r>
      <w:r w:rsidR="00D219E5" w:rsidRPr="0035461C">
        <w:rPr>
          <w:rFonts w:ascii="Calibri" w:hAnsi="Calibri" w:cs="Calibri"/>
        </w:rPr>
        <w:t xml:space="preserve">may have a role for those </w:t>
      </w:r>
      <w:r w:rsidR="00461485">
        <w:rPr>
          <w:rFonts w:ascii="Calibri" w:hAnsi="Calibri" w:cs="Calibri"/>
        </w:rPr>
        <w:t xml:space="preserve">with type 1 diabetes </w:t>
      </w:r>
      <w:r w:rsidR="00D219E5" w:rsidRPr="0035461C">
        <w:rPr>
          <w:rFonts w:ascii="Calibri" w:hAnsi="Calibri" w:cs="Calibri"/>
        </w:rPr>
        <w:t>who have concomitant obesity.</w:t>
      </w:r>
    </w:p>
    <w:p w14:paraId="717577D2" w14:textId="7C7E4889" w:rsidR="00567D76" w:rsidRPr="0035461C" w:rsidRDefault="00837318" w:rsidP="001C5BC0">
      <w:pPr>
        <w:spacing w:before="120"/>
        <w:rPr>
          <w:rFonts w:ascii="Calibri" w:hAnsi="Calibri" w:cs="Calibri"/>
          <w:i/>
          <w:u w:val="single"/>
        </w:rPr>
      </w:pPr>
      <w:r w:rsidRPr="0035461C">
        <w:rPr>
          <w:rFonts w:ascii="Calibri" w:hAnsi="Calibri" w:cs="Calibri"/>
          <w:i/>
          <w:u w:val="single"/>
        </w:rPr>
        <w:t>Sodium-glucose co-</w:t>
      </w:r>
      <w:r w:rsidR="003F0657" w:rsidRPr="0035461C">
        <w:rPr>
          <w:rFonts w:ascii="Calibri" w:hAnsi="Calibri" w:cs="Calibri"/>
          <w:i/>
          <w:u w:val="single"/>
        </w:rPr>
        <w:t xml:space="preserve">transporter </w:t>
      </w:r>
      <w:r w:rsidRPr="0035461C">
        <w:rPr>
          <w:rFonts w:ascii="Calibri" w:hAnsi="Calibri" w:cs="Calibri"/>
          <w:i/>
          <w:u w:val="single"/>
        </w:rPr>
        <w:t xml:space="preserve">(SGLT) </w:t>
      </w:r>
      <w:r w:rsidR="00567D76" w:rsidRPr="0035461C">
        <w:rPr>
          <w:rFonts w:ascii="Calibri" w:hAnsi="Calibri" w:cs="Calibri"/>
          <w:i/>
          <w:u w:val="single"/>
        </w:rPr>
        <w:t>inhibitors</w:t>
      </w:r>
    </w:p>
    <w:p w14:paraId="6BC10257" w14:textId="611DC932" w:rsidR="009621C2" w:rsidRPr="0035461C" w:rsidRDefault="00567D76" w:rsidP="007A2C6A">
      <w:pPr>
        <w:spacing w:before="120"/>
        <w:jc w:val="both"/>
        <w:rPr>
          <w:rFonts w:ascii="Calibri" w:hAnsi="Calibri" w:cs="Calibri"/>
        </w:rPr>
      </w:pPr>
      <w:r w:rsidRPr="0035461C">
        <w:rPr>
          <w:rFonts w:ascii="Calibri" w:hAnsi="Calibri" w:cs="Calibri"/>
        </w:rPr>
        <w:t xml:space="preserve">In several phase III programs in </w:t>
      </w:r>
      <w:r w:rsidR="007A2C6A" w:rsidRPr="0035461C">
        <w:rPr>
          <w:rFonts w:ascii="Calibri" w:hAnsi="Calibri" w:cs="Calibri"/>
        </w:rPr>
        <w:t>people</w:t>
      </w:r>
      <w:r w:rsidRPr="0035461C">
        <w:rPr>
          <w:rFonts w:ascii="Calibri" w:hAnsi="Calibri" w:cs="Calibri"/>
        </w:rPr>
        <w:t xml:space="preserve"> with </w:t>
      </w:r>
      <w:r w:rsidR="007A2C6A" w:rsidRPr="0035461C">
        <w:rPr>
          <w:rFonts w:ascii="Calibri" w:hAnsi="Calibri" w:cs="Calibri"/>
        </w:rPr>
        <w:t>type 1 diabetes</w:t>
      </w:r>
      <w:r w:rsidRPr="0035461C">
        <w:rPr>
          <w:rFonts w:ascii="Calibri" w:hAnsi="Calibri" w:cs="Calibri"/>
        </w:rPr>
        <w:t>, the use of SGLT</w:t>
      </w:r>
      <w:r w:rsidR="00461485">
        <w:rPr>
          <w:rFonts w:ascii="Calibri" w:hAnsi="Calibri" w:cs="Calibri"/>
        </w:rPr>
        <w:t>-</w:t>
      </w:r>
      <w:r w:rsidR="00794DE0">
        <w:rPr>
          <w:rFonts w:ascii="Calibri" w:hAnsi="Calibri" w:cs="Calibri"/>
        </w:rPr>
        <w:t>1 or SGLT</w:t>
      </w:r>
      <w:r w:rsidR="00461485">
        <w:rPr>
          <w:rFonts w:ascii="Calibri" w:hAnsi="Calibri" w:cs="Calibri"/>
        </w:rPr>
        <w:t>-</w:t>
      </w:r>
      <w:r w:rsidR="00794DE0">
        <w:rPr>
          <w:rFonts w:ascii="Calibri" w:hAnsi="Calibri" w:cs="Calibri"/>
        </w:rPr>
        <w:t>1/2</w:t>
      </w:r>
      <w:r w:rsidRPr="0035461C">
        <w:rPr>
          <w:rFonts w:ascii="Calibri" w:hAnsi="Calibri" w:cs="Calibri"/>
        </w:rPr>
        <w:t xml:space="preserve"> inhibitors reduced HbA</w:t>
      </w:r>
      <w:r w:rsidRPr="0035461C">
        <w:rPr>
          <w:rFonts w:ascii="Calibri" w:hAnsi="Calibri" w:cs="Calibri"/>
          <w:vertAlign w:val="subscript"/>
        </w:rPr>
        <w:t>1c</w:t>
      </w:r>
      <w:r w:rsidRPr="0035461C">
        <w:rPr>
          <w:rFonts w:ascii="Calibri" w:hAnsi="Calibri" w:cs="Calibri"/>
        </w:rPr>
        <w:t>, improved time in range, reduced body weight and improved blood pressure</w:t>
      </w:r>
      <w:r w:rsidR="00C8261C" w:rsidRPr="0035461C">
        <w:rPr>
          <w:rFonts w:ascii="Calibri" w:hAnsi="Calibri" w:cs="Calibri"/>
        </w:rPr>
        <w:t xml:space="preserve"> </w:t>
      </w:r>
      <w:r w:rsidR="009C7D26" w:rsidRPr="0035461C">
        <w:rPr>
          <w:rFonts w:ascii="Calibri" w:hAnsi="Calibri" w:cs="Calibri"/>
        </w:rPr>
        <w:fldChar w:fldCharType="begin"/>
      </w:r>
      <w:r w:rsidR="00076F77">
        <w:rPr>
          <w:rFonts w:ascii="Calibri" w:hAnsi="Calibri" w:cs="Calibri"/>
        </w:rPr>
        <w:instrText xml:space="preserve"> ADDIN ZOTERO_ITEM CSL_CITATION {"citationID":"Ac29BcSM","properties":{"formattedCitation":"(243)","plainCitation":"(243)","noteIndex":0},"citationItems":[{"id":11169,"uris":["http://zotero.org/groups/369679/items/EYKMQTPS"],"uri":["http://zotero.org/groups/369679/items/EYKMQTPS"],"itemData":{"id":11169,"type":"article-journal","abstract":"Individuals with type 1 diabetes (T1D) frequently fail to achieve glycemic goals and have excess cardiovascular risk and premature death. Adjunctive agents may play a role in reducing morbidity, mortality, and the adverse sequelae of insulin treatment. A surge in type 2 diabetes drug development has revealed agents with benefits beyond glucose lowering, including cardiovascular risk reduction. Could these benefits translate to T1D? Specific trials for T1D demonstrate substantial hemoglobin (Hb)A1c reductions with sodium glucose cotransporter inhibitors (SGLTis) and glucagon-like peptide (GLP)1 agonists, and modest improvements with metformin, dipeptidyl peptidase-4 inhibitor (DPP4i), and pramlintide. Studies exploring cardiovascular risk reduction are warranted. This review synthesizes the emerging literature for researchers and clinicians treating people with T1D. Challenges in T1D research are discussed.","container-title":"Trends in endocrinology and metabolism: TEM","DOI":"10.1016/j.tem.2019.11.007","ISSN":"1879-3061","issue":"2","journalAbbreviation":"Trends Endocrinol Metab","language":"eng","note":"PMID: 31822381","page":"150-164","source":"PubMed","title":"Reducing Type 1 Diabetes Mortality: Role for Adjunctive Therapies?","title-short":"Reducing Type 1 Diabetes Mortality","volume":"31","author":[{"family":"Snaith","given":"Jennifer R."},{"family":"Holmes-Walker","given":"Deborah J."},{"family":"Greenfield","given":"Jerry R."}],"issued":{"date-parts":[["2020",2]]}}}],"schema":"https://github.com/citation-style-language/schema/raw/master/csl-citation.json"} </w:instrText>
      </w:r>
      <w:r w:rsidR="009C7D26" w:rsidRPr="0035461C">
        <w:rPr>
          <w:rFonts w:ascii="Calibri" w:hAnsi="Calibri" w:cs="Calibri"/>
        </w:rPr>
        <w:fldChar w:fldCharType="separate"/>
      </w:r>
      <w:r w:rsidR="00076F77" w:rsidRPr="00076F77">
        <w:rPr>
          <w:rFonts w:ascii="Calibri" w:hAnsi="Calibri" w:cs="Calibri"/>
        </w:rPr>
        <w:t>(243)</w:t>
      </w:r>
      <w:r w:rsidR="009C7D26" w:rsidRPr="0035461C">
        <w:rPr>
          <w:rFonts w:ascii="Calibri" w:hAnsi="Calibri" w:cs="Calibri"/>
        </w:rPr>
        <w:fldChar w:fldCharType="end"/>
      </w:r>
      <w:r w:rsidR="00C8261C" w:rsidRPr="0035461C">
        <w:rPr>
          <w:rFonts w:ascii="Calibri" w:hAnsi="Calibri" w:cs="Calibri"/>
        </w:rPr>
        <w:t>.</w:t>
      </w:r>
      <w:r w:rsidRPr="0035461C">
        <w:rPr>
          <w:rFonts w:ascii="Calibri" w:hAnsi="Calibri" w:cs="Calibri"/>
        </w:rPr>
        <w:t xml:space="preserve"> However, an increased rate of diabetic ketoacidosis led to rejection of market authorization for type 1 diabetes by the FDA, whereas the E</w:t>
      </w:r>
      <w:r w:rsidR="006722DA" w:rsidRPr="0035461C">
        <w:rPr>
          <w:rFonts w:ascii="Calibri" w:hAnsi="Calibri" w:cs="Calibri"/>
        </w:rPr>
        <w:t xml:space="preserve">uropean </w:t>
      </w:r>
      <w:r w:rsidRPr="0035461C">
        <w:rPr>
          <w:rFonts w:ascii="Calibri" w:hAnsi="Calibri" w:cs="Calibri"/>
        </w:rPr>
        <w:t>M</w:t>
      </w:r>
      <w:r w:rsidR="006722DA" w:rsidRPr="0035461C">
        <w:rPr>
          <w:rFonts w:ascii="Calibri" w:hAnsi="Calibri" w:cs="Calibri"/>
        </w:rPr>
        <w:t xml:space="preserve">edicines </w:t>
      </w:r>
      <w:r w:rsidRPr="0035461C">
        <w:rPr>
          <w:rFonts w:ascii="Calibri" w:hAnsi="Calibri" w:cs="Calibri"/>
        </w:rPr>
        <w:t>A</w:t>
      </w:r>
      <w:r w:rsidR="006722DA" w:rsidRPr="0035461C">
        <w:rPr>
          <w:rFonts w:ascii="Calibri" w:hAnsi="Calibri" w:cs="Calibri"/>
        </w:rPr>
        <w:t>gency</w:t>
      </w:r>
      <w:r w:rsidRPr="0035461C">
        <w:rPr>
          <w:rFonts w:ascii="Calibri" w:hAnsi="Calibri" w:cs="Calibri"/>
        </w:rPr>
        <w:t xml:space="preserve"> has approved </w:t>
      </w:r>
      <w:r w:rsidR="00D219E5" w:rsidRPr="0035461C">
        <w:rPr>
          <w:rFonts w:ascii="Calibri" w:hAnsi="Calibri" w:cs="Calibri"/>
        </w:rPr>
        <w:t xml:space="preserve">low-dose </w:t>
      </w:r>
      <w:proofErr w:type="spellStart"/>
      <w:r w:rsidRPr="0035461C">
        <w:rPr>
          <w:rFonts w:ascii="Calibri" w:hAnsi="Calibri" w:cs="Calibri"/>
        </w:rPr>
        <w:t>dapagliflozin</w:t>
      </w:r>
      <w:proofErr w:type="spellEnd"/>
      <w:r w:rsidR="00D219E5" w:rsidRPr="0035461C">
        <w:rPr>
          <w:rFonts w:ascii="Calibri" w:hAnsi="Calibri" w:cs="Calibri"/>
        </w:rPr>
        <w:t xml:space="preserve"> (5mg) and </w:t>
      </w:r>
      <w:proofErr w:type="spellStart"/>
      <w:r w:rsidR="00D219E5" w:rsidRPr="0035461C">
        <w:rPr>
          <w:rFonts w:ascii="Calibri" w:hAnsi="Calibri" w:cs="Calibri"/>
        </w:rPr>
        <w:t>sotagliflozin</w:t>
      </w:r>
      <w:proofErr w:type="spellEnd"/>
      <w:r w:rsidR="00D219E5" w:rsidRPr="0035461C">
        <w:rPr>
          <w:rFonts w:ascii="Calibri" w:hAnsi="Calibri" w:cs="Calibri"/>
        </w:rPr>
        <w:t xml:space="preserve"> (200mg)</w:t>
      </w:r>
      <w:r w:rsidR="002D0BE4" w:rsidRPr="0035461C">
        <w:rPr>
          <w:rFonts w:ascii="Calibri" w:hAnsi="Calibri" w:cs="Calibri"/>
        </w:rPr>
        <w:t xml:space="preserve"> for those with a BMI &gt;27 kg/m</w:t>
      </w:r>
      <w:r w:rsidR="002D0BE4" w:rsidRPr="0035461C">
        <w:rPr>
          <w:rFonts w:ascii="Calibri" w:hAnsi="Calibri" w:cs="Calibri"/>
          <w:vertAlign w:val="superscript"/>
        </w:rPr>
        <w:t>2</w:t>
      </w:r>
      <w:r w:rsidR="004836C2" w:rsidRPr="0035461C">
        <w:rPr>
          <w:rFonts w:ascii="Calibri" w:hAnsi="Calibri" w:cs="Calibri"/>
        </w:rPr>
        <w:t xml:space="preserve"> </w:t>
      </w:r>
      <w:r w:rsidR="004836C2" w:rsidRPr="0035461C">
        <w:rPr>
          <w:rFonts w:ascii="Calibri" w:hAnsi="Calibri" w:cs="Calibri"/>
          <w:vertAlign w:val="superscript"/>
        </w:rPr>
        <w:fldChar w:fldCharType="begin"/>
      </w:r>
      <w:r w:rsidR="00CE0E7B">
        <w:rPr>
          <w:rFonts w:ascii="Calibri" w:hAnsi="Calibri" w:cs="Calibri"/>
          <w:vertAlign w:val="superscript"/>
        </w:rPr>
        <w:instrText xml:space="preserve"> ADDIN ZOTERO_ITEM CSL_CITATION {"citationID":"esL6wdWy","properties":{"formattedCitation":"(260)","plainCitation":"(260)","noteIndex":0},"citationItems":[{"id":11200,"uris":["http://zotero.org/groups/369679/items/PKPLM7QW"],"uri":["http://zotero.org/groups/369679/items/PKPLM7QW"],"itemData":{"id":11200,"type":"article-journal","abstract":"Sodium-glucose co-transporter-2 (SGLT2) inhibitors have several beneficial effects in patients with type 2 diabetes, including glucose lowering, weight loss, blood pressure lowering, and a reduced risk of major adverse cardiovascular events. To address high unmet medical need via improved glycaemic control, several clinical trials have been done to assess the efficacy and safety of SGLT2 inhibitors in combination with insulin therapy in patients with type 1 diabetes. In this Personal View, we summarise data from eight clinical trials of canagliflozin, dapagliflozin, empagliflozin, and sotagliflozin in patients with type 1 diabetes. HbA1c-lowering efficacy was greatest at 8-12 weeks of therapy, but the magnitude of HbA1c lowering waned with longer duration of treatment (up to 52 weeks). Data are not yet available to establish for how long glycaemic efficacy could be sustained during long-term therapy in patients with type 1 diabetes. Moreover, SGLT2 inhibitor therapy induces serious adverse events, including a roughly six-times increased risk of diabetic ketoacidosis. The US Food and Drug Administration estimated that one additional case of ketoacidosis will occur for every 26 patient-years of exposure of patients with type 1 diabetes to sotagliflozin therapy. Assuming a case mortality of 0·4%, this estimate translates into 16 additional deaths per year per 100 000 patients with type 1 diabetes undergoing treatment. These considerations raise important questions about the risk-to-benefit profile of SGLT2 inhibitors when used as adjunctive therapy in patients with type 1 diabetes.","container-title":"The Lancet. Diabetes &amp; Endocrinology","DOI":"10.1016/S2213-8587(19)30154-8","ISSN":"2213-8595","issue":"12","journalAbbreviation":"Lancet Diabetes Endocrinol","language":"eng","note":"PMID: 31585721\nPMCID: PMC6872914","page":"949-958","source":"PubMed","title":"SGLT2 inhibitors as adjunctive therapy for type 1 diabetes: balancing benefits and risks","title-short":"SGLT2 inhibitors as adjunctive therapy for type 1 diabetes","volume":"7","author":[{"family":"Taylor","given":"Simeon I."},{"family":"Blau","given":"Jenny E."},{"family":"Rother","given":"Kristina I."},{"family":"Beitelshees","given":"Amber L."}],"issued":{"date-parts":[["2019",12]]}}}],"schema":"https://github.com/citation-style-language/schema/raw/master/csl-citation.json"} </w:instrText>
      </w:r>
      <w:r w:rsidR="004836C2" w:rsidRPr="0035461C">
        <w:rPr>
          <w:rFonts w:ascii="Calibri" w:hAnsi="Calibri" w:cs="Calibri"/>
          <w:vertAlign w:val="superscript"/>
        </w:rPr>
        <w:fldChar w:fldCharType="separate"/>
      </w:r>
      <w:r w:rsidR="00CE0E7B" w:rsidRPr="00CE0E7B">
        <w:rPr>
          <w:rFonts w:ascii="Calibri" w:hAnsi="Calibri" w:cs="Calibri"/>
        </w:rPr>
        <w:t>(260)</w:t>
      </w:r>
      <w:r w:rsidR="004836C2" w:rsidRPr="0035461C">
        <w:rPr>
          <w:rFonts w:ascii="Calibri" w:hAnsi="Calibri" w:cs="Calibri"/>
          <w:vertAlign w:val="superscript"/>
        </w:rPr>
        <w:fldChar w:fldCharType="end"/>
      </w:r>
      <w:r w:rsidR="00C8261C" w:rsidRPr="0035461C">
        <w:rPr>
          <w:rFonts w:ascii="Calibri" w:hAnsi="Calibri" w:cs="Calibri"/>
        </w:rPr>
        <w:t>.</w:t>
      </w:r>
      <w:r w:rsidR="0015331E" w:rsidRPr="0035461C">
        <w:rPr>
          <w:rFonts w:ascii="Calibri" w:hAnsi="Calibri" w:cs="Calibri"/>
        </w:rPr>
        <w:t xml:space="preserve"> </w:t>
      </w:r>
      <w:r w:rsidRPr="0035461C">
        <w:rPr>
          <w:rFonts w:ascii="Calibri" w:hAnsi="Calibri" w:cs="Calibri"/>
        </w:rPr>
        <w:t>While no risk mitigation strategies have been proven to lower the risk of DKA, a consensus statement on SGLT2</w:t>
      </w:r>
      <w:r w:rsidR="003F0657" w:rsidRPr="0035461C">
        <w:rPr>
          <w:rFonts w:ascii="Calibri" w:hAnsi="Calibri" w:cs="Calibri"/>
        </w:rPr>
        <w:t xml:space="preserve"> </w:t>
      </w:r>
      <w:r w:rsidRPr="0035461C">
        <w:rPr>
          <w:rFonts w:ascii="Calibri" w:hAnsi="Calibri" w:cs="Calibri"/>
        </w:rPr>
        <w:t>i</w:t>
      </w:r>
      <w:r w:rsidR="003F0657" w:rsidRPr="0035461C">
        <w:rPr>
          <w:rFonts w:ascii="Calibri" w:hAnsi="Calibri" w:cs="Calibri"/>
        </w:rPr>
        <w:t>nhibitors</w:t>
      </w:r>
      <w:r w:rsidRPr="0035461C">
        <w:rPr>
          <w:rFonts w:ascii="Calibri" w:hAnsi="Calibri" w:cs="Calibri"/>
        </w:rPr>
        <w:t xml:space="preserve"> and DKA</w:t>
      </w:r>
      <w:r w:rsidR="00511A1F" w:rsidRPr="0035461C">
        <w:rPr>
          <w:rFonts w:ascii="Calibri" w:hAnsi="Calibri" w:cs="Calibri"/>
        </w:rPr>
        <w:t xml:space="preserve"> suggested</w:t>
      </w:r>
      <w:r w:rsidR="00305950" w:rsidRPr="0035461C">
        <w:rPr>
          <w:rFonts w:ascii="Calibri" w:hAnsi="Calibri" w:cs="Calibri"/>
        </w:rPr>
        <w:t xml:space="preserve"> careful patient selection, appropriate insulin dose adjustment to avoid </w:t>
      </w:r>
      <w:proofErr w:type="spellStart"/>
      <w:r w:rsidR="00305950" w:rsidRPr="0035461C">
        <w:rPr>
          <w:rFonts w:ascii="Calibri" w:hAnsi="Calibri" w:cs="Calibri"/>
        </w:rPr>
        <w:t>insulinopaenia</w:t>
      </w:r>
      <w:proofErr w:type="spellEnd"/>
      <w:r w:rsidR="0057529E" w:rsidRPr="0035461C">
        <w:rPr>
          <w:rFonts w:ascii="Calibri" w:hAnsi="Calibri" w:cs="Calibri"/>
        </w:rPr>
        <w:t>, starting with a low dose of SGLT2</w:t>
      </w:r>
      <w:r w:rsidR="003F0657" w:rsidRPr="0035461C">
        <w:rPr>
          <w:rFonts w:ascii="Calibri" w:hAnsi="Calibri" w:cs="Calibri"/>
        </w:rPr>
        <w:t xml:space="preserve"> </w:t>
      </w:r>
      <w:r w:rsidR="0057529E" w:rsidRPr="0035461C">
        <w:rPr>
          <w:rFonts w:ascii="Calibri" w:hAnsi="Calibri" w:cs="Calibri"/>
        </w:rPr>
        <w:t>i</w:t>
      </w:r>
      <w:r w:rsidR="003F0657" w:rsidRPr="0035461C">
        <w:rPr>
          <w:rFonts w:ascii="Calibri" w:hAnsi="Calibri" w:cs="Calibri"/>
        </w:rPr>
        <w:t>nhibitors</w:t>
      </w:r>
      <w:r w:rsidR="00305950" w:rsidRPr="0035461C">
        <w:rPr>
          <w:rFonts w:ascii="Calibri" w:hAnsi="Calibri" w:cs="Calibri"/>
        </w:rPr>
        <w:t xml:space="preserve"> and regular ketone measurements</w:t>
      </w:r>
      <w:r w:rsidR="0057529E" w:rsidRPr="0035461C">
        <w:rPr>
          <w:rFonts w:ascii="Calibri" w:hAnsi="Calibri" w:cs="Calibri"/>
        </w:rPr>
        <w:t xml:space="preserve"> with prompt action </w:t>
      </w:r>
      <w:r w:rsidR="00C8261C" w:rsidRPr="0035461C">
        <w:rPr>
          <w:rFonts w:ascii="Calibri" w:hAnsi="Calibri" w:cs="Calibri"/>
        </w:rPr>
        <w:t xml:space="preserve">to </w:t>
      </w:r>
      <w:r w:rsidR="003A4349">
        <w:rPr>
          <w:rFonts w:ascii="Calibri" w:hAnsi="Calibri" w:cs="Calibri"/>
        </w:rPr>
        <w:t xml:space="preserve">address </w:t>
      </w:r>
      <w:r w:rsidR="0057529E" w:rsidRPr="0035461C">
        <w:rPr>
          <w:rFonts w:ascii="Calibri" w:hAnsi="Calibri" w:cs="Calibri"/>
        </w:rPr>
        <w:t>elevated values</w:t>
      </w:r>
      <w:r w:rsidR="00305950" w:rsidRPr="0035461C">
        <w:rPr>
          <w:rFonts w:ascii="Calibri" w:hAnsi="Calibri" w:cs="Calibri"/>
        </w:rPr>
        <w:t xml:space="preserve"> as sensible precautions aimed at preventing DKA</w:t>
      </w:r>
      <w:r w:rsidR="00C8261C" w:rsidRPr="0035461C">
        <w:rPr>
          <w:rFonts w:ascii="Calibri" w:hAnsi="Calibri" w:cs="Calibri"/>
        </w:rPr>
        <w:t xml:space="preserve"> </w:t>
      </w:r>
      <w:r w:rsidR="009C2566" w:rsidRPr="0035461C">
        <w:rPr>
          <w:rFonts w:ascii="Calibri" w:hAnsi="Calibri" w:cs="Calibri"/>
        </w:rPr>
        <w:fldChar w:fldCharType="begin"/>
      </w:r>
      <w:r w:rsidR="00076F77">
        <w:rPr>
          <w:rFonts w:ascii="Calibri" w:hAnsi="Calibri" w:cs="Calibri"/>
        </w:rPr>
        <w:instrText xml:space="preserve"> ADDIN ZOTERO_ITEM CSL_CITATION {"citationID":"HOKsbvpm","properties":{"formattedCitation":"(215)","plainCitation":"(215)","noteIndex":0},"citationItems":[{"id":11123,"uris":["http://zotero.org/groups/369679/items/EC29FDK7"],"uri":["http://zotero.org/groups/369679/items/EC29FDK7"],"itemData":{"id":11123,"type":"article-journal","abstract":"Sodium-glucose cotransporter (SGLT) inhibitors are new oral antidiabetes medications shown to effectively reduce glycated hemoglobin (A1C) and glycemic variability, blood pressure, and body weight without intrinsic properties to cause hypoglycemia in people with type 1 diabetes. However, recent studies, particularly in individuals with type 1 diabetes, have demonstrated increases in the absolute risk of diabetic ketoacidosis (DKA). Some cases presented with near-normal blood glucose levels or mild hyperglycemia, complicating the recognition/diagnosis of DKA and potentially delaying treatment. Several SGLT inhibitors are currently under review by the U.S. Food and Drug Administration and European regulatory agencies as adjuncts to insulin therapy in people with type 1 diabetes. Strategies must be developed and disseminated to the medical community to mitigate the associated DKA risk. This Consensus Report reviews current data regarding SGLT inhibitor use and provides recommendations to enhance the safety of SGLT inhibitors in people with type 1 diabetes.","container-title":"Diabetes Care","DOI":"10.2337/dc18-2316","ISSN":"1935-5548","issue":"6","journalAbbreviation":"Diabetes Care","language":"eng","note":"PMID: 30728224\nPMCID: PMC6973545","page":"1147-1154","source":"PubMed","title":"International Consensus on Risk Management of Diabetic Ketoacidosis in Patients With Type 1 Diabetes Treated With Sodium-Glucose Cotransporter (SGLT) Inhibitors","volume":"42","author":[{"family":"Danne","given":"Thomas"},{"family":"Garg","given":"Satish"},{"family":"Peters","given":"Anne L."},{"family":"Buse","given":"John B."},{"family":"Mathieu","given":"Chantal"},{"family":"Pettus","given":"Jeremy H."},{"family":"Alexander","given":"Charles M."},{"family":"Battelino","given":"Tadej"},{"family":"Ampudia-Blasco","given":"F. Javier"},{"family":"Bode","given":"Bruce W."},{"family":"Cariou","given":"Bertrand"},{"family":"Close","given":"Kelly L."},{"family":"Dandona","given":"Paresh"},{"family":"Dutta","given":"Sanjoy"},{"family":"Ferrannini","given":"Ele"},{"family":"Fourlanos","given":"Spiros"},{"family":"Grunberger","given":"George"},{"family":"Heller","given":"Simon R."},{"family":"Henry","given":"Robert R."},{"family":"Kurian","given":"Martin J."},{"family":"Kushner","given":"Jake A."},{"family":"Oron","given":"Tal"},{"family":"Parkin","given":"Christopher G."},{"family":"Pieber","given":"Thomas R."},{"family":"Rodbard","given":"Helena W."},{"family":"Schatz","given":"Desmond"},{"family":"Skyler","given":"Jay S."},{"family":"Tamborlane","given":"William V."},{"family":"Yokote","given":"Koutaro"},{"family":"Phillip","given":"Moshe"}],"issued":{"date-parts":[["2019",6]]}}}],"schema":"https://github.com/citation-style-language/schema/raw/master/csl-citation.json"} </w:instrText>
      </w:r>
      <w:r w:rsidR="009C2566" w:rsidRPr="0035461C">
        <w:rPr>
          <w:rFonts w:ascii="Calibri" w:hAnsi="Calibri" w:cs="Calibri"/>
        </w:rPr>
        <w:fldChar w:fldCharType="separate"/>
      </w:r>
      <w:r w:rsidR="00076F77" w:rsidRPr="00076F77">
        <w:rPr>
          <w:rFonts w:ascii="Calibri" w:hAnsi="Calibri" w:cs="Calibri"/>
        </w:rPr>
        <w:t>(215)</w:t>
      </w:r>
      <w:r w:rsidR="009C2566" w:rsidRPr="0035461C">
        <w:rPr>
          <w:rFonts w:ascii="Calibri" w:hAnsi="Calibri" w:cs="Calibri"/>
        </w:rPr>
        <w:fldChar w:fldCharType="end"/>
      </w:r>
      <w:r w:rsidR="00C8261C" w:rsidRPr="0035461C">
        <w:rPr>
          <w:rFonts w:ascii="Calibri" w:hAnsi="Calibri" w:cs="Calibri"/>
        </w:rPr>
        <w:t>.</w:t>
      </w:r>
      <w:r w:rsidRPr="0035461C">
        <w:rPr>
          <w:rFonts w:ascii="Calibri" w:hAnsi="Calibri" w:cs="Calibri"/>
        </w:rPr>
        <w:t xml:space="preserve"> </w:t>
      </w:r>
    </w:p>
    <w:p w14:paraId="4FB24EC4" w14:textId="348AFA51" w:rsidR="00567D76" w:rsidRPr="0035461C" w:rsidRDefault="00567D76" w:rsidP="00264FF0">
      <w:pPr>
        <w:spacing w:before="120"/>
        <w:jc w:val="both"/>
        <w:rPr>
          <w:rFonts w:ascii="Calibri" w:hAnsi="Calibri" w:cs="Calibri"/>
        </w:rPr>
      </w:pPr>
      <w:r w:rsidRPr="0035461C">
        <w:rPr>
          <w:rFonts w:ascii="Calibri" w:hAnsi="Calibri" w:cs="Calibri"/>
        </w:rPr>
        <w:t xml:space="preserve">In </w:t>
      </w:r>
      <w:r w:rsidR="00A858D0" w:rsidRPr="0035461C">
        <w:rPr>
          <w:rFonts w:ascii="Calibri" w:hAnsi="Calibri" w:cs="Calibri"/>
        </w:rPr>
        <w:t>people with t</w:t>
      </w:r>
      <w:r w:rsidRPr="0035461C">
        <w:rPr>
          <w:rFonts w:ascii="Calibri" w:hAnsi="Calibri" w:cs="Calibri"/>
        </w:rPr>
        <w:t xml:space="preserve">ype </w:t>
      </w:r>
      <w:r w:rsidRPr="00461485">
        <w:rPr>
          <w:rFonts w:asciiTheme="minorHAnsi" w:hAnsiTheme="minorHAnsi" w:cstheme="minorHAnsi"/>
        </w:rPr>
        <w:t>2 diabetes, improved cardiovascular outcomes, mainly due to a reduction in congestive heart failure, and improved renal outcomes have been established, but</w:t>
      </w:r>
      <w:r w:rsidR="003A4349" w:rsidRPr="00461485">
        <w:rPr>
          <w:rFonts w:asciiTheme="minorHAnsi" w:hAnsiTheme="minorHAnsi" w:cstheme="minorHAnsi"/>
        </w:rPr>
        <w:t xml:space="preserve"> </w:t>
      </w:r>
      <w:r w:rsidR="003A4349" w:rsidRPr="00461485">
        <w:rPr>
          <w:rFonts w:asciiTheme="minorHAnsi" w:eastAsiaTheme="minorHAnsi" w:hAnsiTheme="minorHAnsi" w:cstheme="minorHAnsi"/>
          <w:color w:val="000000"/>
          <w:lang w:val="en-GB"/>
        </w:rPr>
        <w:t>there are only limited data</w:t>
      </w:r>
      <w:r w:rsidR="000B3082" w:rsidRPr="00461485">
        <w:rPr>
          <w:rFonts w:asciiTheme="minorHAnsi" w:eastAsiaTheme="minorHAnsi" w:hAnsiTheme="minorHAnsi" w:cstheme="minorHAnsi"/>
          <w:color w:val="000000"/>
          <w:lang w:val="en-GB"/>
        </w:rPr>
        <w:t xml:space="preserve"> on</w:t>
      </w:r>
      <w:r w:rsidR="003A4349" w:rsidRPr="00461485">
        <w:rPr>
          <w:rFonts w:asciiTheme="minorHAnsi" w:eastAsiaTheme="minorHAnsi" w:hAnsiTheme="minorHAnsi" w:cstheme="minorHAnsi"/>
          <w:color w:val="000000"/>
          <w:lang w:val="en-GB"/>
        </w:rPr>
        <w:t xml:space="preserve"> </w:t>
      </w:r>
      <w:r w:rsidRPr="00461485">
        <w:rPr>
          <w:rFonts w:asciiTheme="minorHAnsi" w:hAnsiTheme="minorHAnsi" w:cstheme="minorHAnsi"/>
        </w:rPr>
        <w:t xml:space="preserve">the applicability of </w:t>
      </w:r>
      <w:r w:rsidR="007A2C6A" w:rsidRPr="00461485">
        <w:rPr>
          <w:rFonts w:asciiTheme="minorHAnsi" w:hAnsiTheme="minorHAnsi" w:cstheme="minorHAnsi"/>
        </w:rPr>
        <w:t>thes</w:t>
      </w:r>
      <w:r w:rsidR="00D870AE" w:rsidRPr="00461485">
        <w:rPr>
          <w:rFonts w:asciiTheme="minorHAnsi" w:hAnsiTheme="minorHAnsi" w:cstheme="minorHAnsi"/>
        </w:rPr>
        <w:t>e</w:t>
      </w:r>
      <w:r w:rsidRPr="00461485">
        <w:rPr>
          <w:rFonts w:asciiTheme="minorHAnsi" w:hAnsiTheme="minorHAnsi" w:cstheme="minorHAnsi"/>
        </w:rPr>
        <w:t xml:space="preserve"> </w:t>
      </w:r>
      <w:r w:rsidR="000B3082" w:rsidRPr="00461485">
        <w:rPr>
          <w:rFonts w:asciiTheme="minorHAnsi" w:hAnsiTheme="minorHAnsi" w:cstheme="minorHAnsi"/>
        </w:rPr>
        <w:t xml:space="preserve">findings </w:t>
      </w:r>
      <w:r w:rsidRPr="00461485">
        <w:rPr>
          <w:rFonts w:asciiTheme="minorHAnsi" w:hAnsiTheme="minorHAnsi" w:cstheme="minorHAnsi"/>
        </w:rPr>
        <w:t xml:space="preserve">to </w:t>
      </w:r>
      <w:r w:rsidR="007A2C6A" w:rsidRPr="00461485">
        <w:rPr>
          <w:rFonts w:asciiTheme="minorHAnsi" w:hAnsiTheme="minorHAnsi" w:cstheme="minorHAnsi"/>
        </w:rPr>
        <w:t>people with type 1 diabetes</w:t>
      </w:r>
      <w:r w:rsidRPr="00461485">
        <w:rPr>
          <w:rFonts w:asciiTheme="minorHAnsi" w:hAnsiTheme="minorHAnsi" w:cstheme="minorHAnsi"/>
        </w:rPr>
        <w:t xml:space="preserve"> </w:t>
      </w:r>
      <w:r w:rsidR="00802FBD" w:rsidRPr="00461485">
        <w:rPr>
          <w:rFonts w:asciiTheme="minorHAnsi" w:hAnsiTheme="minorHAnsi" w:cstheme="minorHAnsi"/>
        </w:rPr>
        <w:fldChar w:fldCharType="begin"/>
      </w:r>
      <w:r w:rsidR="00CE0E7B">
        <w:rPr>
          <w:rFonts w:asciiTheme="minorHAnsi" w:hAnsiTheme="minorHAnsi" w:cstheme="minorHAnsi"/>
        </w:rPr>
        <w:instrText xml:space="preserve"> ADDIN ZOTERO_ITEM CSL_CITATION {"citationID":"a2gitmps65c","properties":{"formattedCitation":"(261,262)","plainCitation":"(261,262)","noteIndex":0},"citationItems":[{"id":3895,"uris":["http://zotero.org/groups/369679/items/PC9WS4MZ"],"uri":["http://zotero.org/groups/369679/items/PC9WS4MZ"],"itemData":{"id":3895,"type":"article-journal","abstract":"&lt;h2&gt;Summary&lt;/h2&gt;&lt;h3&gt;Background&lt;/h3&gt;&lt;p&gt;The magnitude of effect of sodium-glucose cotransporter-2 inhibitors (SGLT2i) on specific cardiovascular and renal outcomes and whether heterogeneity is based on key baseline characteristics remains undefined.&lt;/p&gt;&lt;h3&gt;Methods&lt;/h3&gt;&lt;p&gt;We did a systematic review and meta-analysis of randomised, placebo-controlled, cardiovascular outcome trials of SGLT2i in patients with type 2 diabetes. We searched PubMed and Embase for trials published up to Sept 24, 2018. Data search and extraction were completed with a standardised data form and any discrepancies were resolved by consensus. Efficacy outcomes included major adverse cardiovascular events (myocardial infarction, stroke, or cardiovascular death), the composite of cardiovascular death or hospitalisation for heart failure, and progression of renal disease. Hazard ratios (HRs) with 95% CIs were pooled across trials, and efficacy outcomes were stratified by baseline presence of atherosclerotic cardiovascular disease, heart failure, and degree of renal function.&lt;/p&gt;&lt;h3&gt;Findings&lt;/h3&gt;&lt;p&gt;We included data from three identified trials and 34 322 patients (60·2% with established atherosclerotic cardiovascular disease), with 3342 major adverse cardiovascular events, 2028 cardiovascular deaths or hospitalisation sfor heart failure events, and 766 renal composite outcomes. SGLT2i reduced major adverse cardiovascular events by 11% (HR 0·89 [95% CI 0·83–0·96], p=0·0014), with benefit only seen in patients with atherosclerotic cardiovascular disease (0·86 [0·80–0·93]) and not in those without (1·00 [0·87–1·16], p for interaction=0·0501). SGLT2i reduced the risk of cardiovascular death or hospitalisation for heart failure by 23% (0·77 [0·71–0·84], p&lt;0·0001), with a similar benefit in patients with and without atherosclerotic cardiovascular disease and with and without a history of heart failure. SGLT2i reduced the risk of progression of renal disease by 45% (0·55 [0·48–0·64], p&lt;0·0001), with a similar benefit in those with and without atherosclerotic cardiovascular disease. The magnitude of benefit of SGLT2i varied with baseline renal function, with greater reductions in hospitalisations for heart failure (p for interaction=0·0073) and lesser reductions in progression of renal disease (p for interaction=0·0258) in patients with more severe kidney disease at baseline.&lt;/p&gt;&lt;h3&gt;Interpretation&lt;/h3&gt;&lt;p&gt;SGLT2i have moderate benefits on atherosclerotic major adverse cardiovascular events that seem confined to patients with established atherosclerotic cardiovascular disease. However, they have robust benefits on reducing hospitalisation for heart failure and progression of renal disease regardless of existing atherosclerotic cardiovascular disease or a history of heart failure.&lt;/p&gt;&lt;h3&gt;Funding&lt;/h3&gt;&lt;p&gt;None.&lt;/p&gt;","container-title":"The Lancet","DOI":"10.1016/S0140-6736(18)32590-X","ISSN":"0140-6736, 1474-547X","issue":"10166","journalAbbreviation":"The Lancet","language":"English","note":"PMID: 30424892","page":"31-39","source":"www.thelancet.com","title":"SGLT2 inhibitors for primary and secondary prevention of cardiovascular and renal outcomes in type 2 diabetes: a systematic review and meta-analysis of cardiovascular outcome trials","title-short":"SGLT2 inhibitors for primary and secondary prevention of cardiovascular and renal outcomes in type 2 diabetes","volume":"393","author":[{"family":"Zelniker","given":"Thomas A."},{"family":"Wiviott","given":"Stephen D."},{"family":"Raz","given":"Itamar"},{"family":"Im","given":"Kyungah"},{"family":"Goodrich","given":"Erica L."},{"family":"Bonaca","given":"Marc P."},{"family":"Mosenzon","given":"Ofri"},{"family":"Kato","given":"Eri T."},{"family":"Cahn","given":"Avivit"},{"family":"Furtado","given":"Remo H. M."},{"family":"Bhatt","given":"Deepak L."},{"family":"Leiter","given":"Lawrence A."},{"family":"McGuire","given":"Darren K."},{"family":"Wilding","given":"John P. H."},{"family":"Sabatine","given":"Marc S."}],"issued":{"date-parts":[["2019",1,5]]}}},{"id":12496,"uris":["http://zotero.org/groups/369679/items/BP9VUPNC"],"uri":["http://zotero.org/groups/369679/items/BP9VUPNC"],"itemData":{"id":12496,"type":"article-journal","abstract":"BACKGROUND: The DEPICT-1 and DEPICT-2 studies showed that dapagliflozin as an adjunct to insulin in individuals with inadequately controlled type 1 diabetes improved glycaemic control and bodyweight, without increase in risk of hypoglycaemia. We aimed to determine the effect of dapagliflozin on urinary albumin-to-creatinine ratio (UACR) and estimated glomerular filtration rate (eGFR) using pooled data from the DEPICT studies.\nMETHODS: In this post-hoc analysis, we used data pooled from both DEPICT studies (DEPICT-1 ran from Nov 11, 2014, to Aug 25, 2017; DEPICT-2 ran from July 8, 2015, to April 18, 2018), in which participants were aged 18-75 years, with inadequately controlled type 1 diabetes and with a baseline UACR of at least 30 mg/g. In the DEPICT studies, participants were randomly assigned (1:1:1) to receive dapagliflozin (5 mg or 10 mg) or placebo all plus insulin, for 24 weeks, with a 28-week long-term extension (ie, 52 weeks in total). In this post-hoc analysis, we assessed the percentage change from baseline in UACR and in eGFR, up to 52 weeks. UACR, eGFR, and safety were assessed in all eligible participants who had received at least one dose of study drug. HbA1c, bodyweight, and systolic blood pressure were assessed in all participants who received at least one dose of study drug during the first 24-week period, and who had a baseline and any post-baseline assessment for that parameter. The DEPICT trials were registered with ClinicalTrials.gov, NCT02268214 (DEPICT-1), NCT02460978 (DEPICT-2), and are now complete.\nRESULTS: 251 participants with albuminuria at baseline were included in this post-hoc analysis; of whom 80 (32%) had been randomly assigned to dapagliflozin 5 mg, 84 (33%) to dapagliflozin 10 mg, and 87 (35%) to placebo. Compared with placebo, treatment with both dapagliflozin doses improved UACR over 52 weeks. At week 52, mean difference in change from baseline versus placebo in UACR was -13·3% (95% CI -37·2 to 19·8) for dapagliflozin 5 mg and -31·1% (-49·9 to -5·2) for dapagliflozin 10 mg. No notable change from baseline was seen in eGFR, with a mean difference in change from baseline versus placebo of 3·27 mL/min per 1·73 m2 (95% CI -0·92 to 7·45) for dapagliflozin 5 mg and 2·12 mL/min per 1·73 m2 (-2·03 to 6·27) for dapagliflozin 10 mg. Similar proportions of participants in each treatment group had adverse events and serious adverse events, including hypoglycaemia and diabetic ketoacidosis; no new safety signals were identified in this population.\nINTERPRETATION: Treatment with dapagliflozin resulted in UACR reduction, which might provide renoprotective benefits in individuals with type 1 diabetes and albuminuria. Dedicated prospective studies are needed to confirm these findings as prespecified endpoints.\nFUNDING: AstraZeneca.","container-title":"The Lancet. Diabetes &amp; Endocrinology","DOI":"10.1016/S2213-8587(20)30280-1","ISSN":"2213-8595","issue":"10","journalAbbreviation":"Lancet Diabetes Endocrinol","language":"eng","note":"PMID: 32946821","page":"845-854","source":"PubMed","title":"Effect of dapagliflozin as an adjunct to insulin over 52 weeks in individuals with type 1 diabetes: post-hoc renal analysis of the DEPICT randomised controlled trials","title-short":"Effect of dapagliflozin as an adjunct to insulin over 52 weeks in individuals with type 1 diabetes","volume":"8","author":[{"family":"Groop","given":"Per-Henrik"},{"family":"Dandona","given":"Paresh"},{"family":"Phillip","given":"Moshe"},{"family":"Gillard","given":"Pieter"},{"family":"Edelman","given":"Steven"},{"family":"Jendle","given":"Johan"},{"family":"Xu","given":"John"},{"family":"Scheerer","given":"Markus F."},{"family":"Thoren","given":"Fredrik"},{"family":"Iqbal","given":"Nayyar"},{"family":"Repetto","given":"Enrico"},{"family":"Mathieu","given":"Chantal"}],"issued":{"date-parts":[["2020",10]]}}}],"schema":"https://github.com/citation-style-language/schema/raw/master/csl-citation.json"} </w:instrText>
      </w:r>
      <w:r w:rsidR="00802FBD" w:rsidRPr="00461485">
        <w:rPr>
          <w:rFonts w:asciiTheme="minorHAnsi" w:hAnsiTheme="minorHAnsi" w:cstheme="minorHAnsi"/>
        </w:rPr>
        <w:fldChar w:fldCharType="separate"/>
      </w:r>
      <w:r w:rsidR="00CE0E7B" w:rsidRPr="00CE0E7B">
        <w:rPr>
          <w:rFonts w:ascii="Calibri" w:hAnsi="Calibri" w:cs="Calibri"/>
        </w:rPr>
        <w:t>(261,262)</w:t>
      </w:r>
      <w:r w:rsidR="00802FBD" w:rsidRPr="00461485">
        <w:rPr>
          <w:rFonts w:asciiTheme="minorHAnsi" w:hAnsiTheme="minorHAnsi" w:cstheme="minorHAnsi"/>
        </w:rPr>
        <w:fldChar w:fldCharType="end"/>
      </w:r>
      <w:r w:rsidR="00C8261C" w:rsidRPr="00461485">
        <w:rPr>
          <w:rFonts w:asciiTheme="minorHAnsi" w:hAnsiTheme="minorHAnsi" w:cstheme="minorHAnsi"/>
        </w:rPr>
        <w:t>.</w:t>
      </w:r>
      <w:r w:rsidR="0015331E" w:rsidRPr="00461485">
        <w:rPr>
          <w:rFonts w:asciiTheme="minorHAnsi" w:hAnsiTheme="minorHAnsi" w:cstheme="minorHAnsi"/>
        </w:rPr>
        <w:t xml:space="preserve"> </w:t>
      </w:r>
      <w:r w:rsidR="00A858D0" w:rsidRPr="00461485">
        <w:rPr>
          <w:rFonts w:asciiTheme="minorHAnsi" w:hAnsiTheme="minorHAnsi" w:cstheme="minorHAnsi"/>
        </w:rPr>
        <w:t>However, increasingly</w:t>
      </w:r>
      <w:r w:rsidR="009621C2" w:rsidRPr="00461485">
        <w:rPr>
          <w:rFonts w:asciiTheme="minorHAnsi" w:hAnsiTheme="minorHAnsi" w:cstheme="minorHAnsi"/>
        </w:rPr>
        <w:t>,</w:t>
      </w:r>
      <w:r w:rsidR="00A858D0" w:rsidRPr="00461485">
        <w:rPr>
          <w:rFonts w:asciiTheme="minorHAnsi" w:hAnsiTheme="minorHAnsi" w:cstheme="minorHAnsi"/>
        </w:rPr>
        <w:t xml:space="preserve"> data on SGLT2</w:t>
      </w:r>
      <w:r w:rsidR="009621C2" w:rsidRPr="00461485">
        <w:rPr>
          <w:rFonts w:asciiTheme="minorHAnsi" w:hAnsiTheme="minorHAnsi" w:cstheme="minorHAnsi"/>
        </w:rPr>
        <w:t xml:space="preserve"> inhibitors have</w:t>
      </w:r>
      <w:r w:rsidR="00A858D0" w:rsidRPr="00461485">
        <w:rPr>
          <w:rFonts w:asciiTheme="minorHAnsi" w:hAnsiTheme="minorHAnsi" w:cstheme="minorHAnsi"/>
        </w:rPr>
        <w:t xml:space="preserve"> shown renal and heart failure benefit</w:t>
      </w:r>
      <w:r w:rsidR="00C8261C" w:rsidRPr="00461485">
        <w:rPr>
          <w:rFonts w:asciiTheme="minorHAnsi" w:hAnsiTheme="minorHAnsi" w:cstheme="minorHAnsi"/>
        </w:rPr>
        <w:t>s</w:t>
      </w:r>
      <w:r w:rsidR="00A858D0" w:rsidRPr="00461485">
        <w:rPr>
          <w:rFonts w:asciiTheme="minorHAnsi" w:hAnsiTheme="minorHAnsi" w:cstheme="minorHAnsi"/>
        </w:rPr>
        <w:t xml:space="preserve"> in people without diabetes</w:t>
      </w:r>
      <w:r w:rsidR="00381A2C" w:rsidRPr="00461485">
        <w:rPr>
          <w:rFonts w:asciiTheme="minorHAnsi" w:hAnsiTheme="minorHAnsi" w:cstheme="minorHAnsi"/>
        </w:rPr>
        <w:t xml:space="preserve"> suggesting that people with </w:t>
      </w:r>
      <w:r w:rsidR="009621C2" w:rsidRPr="00461485">
        <w:rPr>
          <w:rFonts w:asciiTheme="minorHAnsi" w:hAnsiTheme="minorHAnsi" w:cstheme="minorHAnsi"/>
        </w:rPr>
        <w:t>type 1 diabetes</w:t>
      </w:r>
      <w:r w:rsidR="00381A2C" w:rsidRPr="00461485">
        <w:rPr>
          <w:rFonts w:asciiTheme="minorHAnsi" w:hAnsiTheme="minorHAnsi" w:cstheme="minorHAnsi"/>
        </w:rPr>
        <w:t xml:space="preserve"> </w:t>
      </w:r>
      <w:r w:rsidR="00014492" w:rsidRPr="00461485">
        <w:rPr>
          <w:rFonts w:asciiTheme="minorHAnsi" w:hAnsiTheme="minorHAnsi" w:cstheme="minorHAnsi"/>
        </w:rPr>
        <w:t xml:space="preserve">and these comorbidities may </w:t>
      </w:r>
      <w:r w:rsidR="009621C2" w:rsidRPr="00461485">
        <w:rPr>
          <w:rFonts w:asciiTheme="minorHAnsi" w:hAnsiTheme="minorHAnsi" w:cstheme="minorHAnsi"/>
        </w:rPr>
        <w:t xml:space="preserve">also </w:t>
      </w:r>
      <w:r w:rsidR="00014492" w:rsidRPr="00461485">
        <w:rPr>
          <w:rFonts w:asciiTheme="minorHAnsi" w:hAnsiTheme="minorHAnsi" w:cstheme="minorHAnsi"/>
        </w:rPr>
        <w:t>benefit</w:t>
      </w:r>
      <w:r w:rsidR="009621C2" w:rsidRPr="00461485">
        <w:rPr>
          <w:rFonts w:asciiTheme="minorHAnsi" w:hAnsiTheme="minorHAnsi" w:cstheme="minorHAnsi"/>
        </w:rPr>
        <w:t>.</w:t>
      </w:r>
    </w:p>
    <w:p w14:paraId="39FD73B1" w14:textId="77777777" w:rsidR="00910721" w:rsidRPr="0035461C" w:rsidRDefault="00910721" w:rsidP="001C5BC0">
      <w:pPr>
        <w:spacing w:before="120"/>
        <w:rPr>
          <w:rFonts w:ascii="Calibri" w:hAnsi="Calibri" w:cs="Calibri"/>
          <w:u w:val="single"/>
        </w:rPr>
      </w:pPr>
    </w:p>
    <w:p w14:paraId="3FCD3358" w14:textId="7DC5074C" w:rsidR="00910721" w:rsidRPr="0035461C" w:rsidRDefault="005431A2" w:rsidP="001C5BC0">
      <w:pPr>
        <w:spacing w:before="120"/>
        <w:rPr>
          <w:rFonts w:ascii="Calibri" w:hAnsi="Calibri" w:cs="Calibri"/>
          <w:b/>
          <w:bCs/>
        </w:rPr>
      </w:pPr>
      <w:r w:rsidRPr="0035461C">
        <w:rPr>
          <w:rFonts w:ascii="Calibri" w:hAnsi="Calibri" w:cs="Calibri"/>
          <w:b/>
          <w:bCs/>
        </w:rPr>
        <w:t>Section 1</w:t>
      </w:r>
      <w:r w:rsidR="00A42893" w:rsidRPr="0035461C">
        <w:rPr>
          <w:rFonts w:ascii="Calibri" w:hAnsi="Calibri" w:cs="Calibri"/>
          <w:b/>
          <w:bCs/>
        </w:rPr>
        <w:t>4</w:t>
      </w:r>
      <w:r w:rsidRPr="0035461C">
        <w:rPr>
          <w:rFonts w:ascii="Calibri" w:hAnsi="Calibri" w:cs="Calibri"/>
          <w:b/>
          <w:bCs/>
        </w:rPr>
        <w:t>:</w:t>
      </w:r>
      <w:r w:rsidR="00E615B3" w:rsidRPr="0035461C">
        <w:rPr>
          <w:rFonts w:ascii="Calibri" w:hAnsi="Calibri" w:cs="Calibri"/>
          <w:b/>
          <w:bCs/>
        </w:rPr>
        <w:t xml:space="preserve"> </w:t>
      </w:r>
      <w:r w:rsidR="00910721" w:rsidRPr="0035461C">
        <w:rPr>
          <w:rFonts w:ascii="Calibri" w:hAnsi="Calibri" w:cs="Calibri"/>
          <w:b/>
          <w:bCs/>
        </w:rPr>
        <w:t>Special populations</w:t>
      </w:r>
    </w:p>
    <w:p w14:paraId="18125E88" w14:textId="352359AE" w:rsidR="00910721" w:rsidRPr="0035461C" w:rsidRDefault="00D3598D" w:rsidP="001C5BC0">
      <w:pPr>
        <w:spacing w:before="120"/>
        <w:rPr>
          <w:rFonts w:ascii="Calibri" w:hAnsi="Calibri" w:cs="Calibri"/>
          <w:bCs/>
          <w:i/>
          <w:u w:val="single"/>
        </w:rPr>
      </w:pPr>
      <w:r w:rsidRPr="0035461C">
        <w:rPr>
          <w:rFonts w:ascii="Calibri" w:hAnsi="Calibri" w:cs="Calibri"/>
          <w:bCs/>
          <w:i/>
          <w:u w:val="single"/>
        </w:rPr>
        <w:t>P</w:t>
      </w:r>
      <w:r w:rsidR="00910721" w:rsidRPr="0035461C">
        <w:rPr>
          <w:rFonts w:ascii="Calibri" w:hAnsi="Calibri" w:cs="Calibri"/>
          <w:bCs/>
          <w:i/>
          <w:u w:val="single"/>
        </w:rPr>
        <w:t>regnancy</w:t>
      </w:r>
      <w:r w:rsidRPr="0035461C">
        <w:rPr>
          <w:rFonts w:ascii="Calibri" w:hAnsi="Calibri" w:cs="Calibri"/>
          <w:bCs/>
          <w:i/>
          <w:u w:val="single"/>
        </w:rPr>
        <w:t xml:space="preserve"> including pre-conception and post-natal care</w:t>
      </w:r>
    </w:p>
    <w:p w14:paraId="4B72B41D" w14:textId="2D63FA48" w:rsidR="00981294" w:rsidRPr="0035461C" w:rsidRDefault="009F1CCB" w:rsidP="009F1CCB">
      <w:pPr>
        <w:spacing w:before="120"/>
        <w:jc w:val="both"/>
        <w:rPr>
          <w:rFonts w:ascii="Calibri" w:hAnsi="Calibri" w:cs="Calibri"/>
        </w:rPr>
      </w:pPr>
      <w:r w:rsidRPr="0035461C">
        <w:rPr>
          <w:rFonts w:ascii="Calibri" w:hAnsi="Calibri" w:cs="Calibri"/>
        </w:rPr>
        <w:t>Both maternal and fetal pregnancy outcomes are worse in women with type 1 diabetes compared with women without diabetes. Hyperglycaemia before and during pregnancy increases the risk of complications in the pregnant woman and developing fetus and also affects further child development. Thus, women should be supported to achieve blood glucose ranges close to those seen in pregnant women without diabetes</w:t>
      </w:r>
      <w:r w:rsidR="00927A4F" w:rsidRPr="0035461C">
        <w:rPr>
          <w:rFonts w:ascii="Calibri" w:hAnsi="Calibri" w:cs="Calibri"/>
        </w:rPr>
        <w:t xml:space="preserve"> </w:t>
      </w:r>
      <w:r w:rsidRPr="0035461C">
        <w:rPr>
          <w:rFonts w:ascii="Calibri" w:hAnsi="Calibri" w:cs="Calibri"/>
        </w:rPr>
        <w:t>with a</w:t>
      </w:r>
      <w:r w:rsidR="006722DA" w:rsidRPr="0035461C">
        <w:rPr>
          <w:rFonts w:ascii="Calibri" w:hAnsi="Calibri" w:cs="Calibri"/>
        </w:rPr>
        <w:t>n</w:t>
      </w:r>
      <w:r w:rsidRPr="0035461C">
        <w:rPr>
          <w:rFonts w:ascii="Calibri" w:hAnsi="Calibri" w:cs="Calibri"/>
        </w:rPr>
        <w:t xml:space="preserve"> HbA</w:t>
      </w:r>
      <w:r w:rsidRPr="0035461C">
        <w:rPr>
          <w:rFonts w:ascii="Calibri" w:hAnsi="Calibri" w:cs="Calibri"/>
          <w:vertAlign w:val="subscript"/>
        </w:rPr>
        <w:t>1c</w:t>
      </w:r>
      <w:r w:rsidRPr="0035461C">
        <w:rPr>
          <w:rFonts w:ascii="Calibri" w:hAnsi="Calibri" w:cs="Calibri"/>
        </w:rPr>
        <w:t xml:space="preserve"> </w:t>
      </w:r>
      <w:r w:rsidR="006722DA" w:rsidRPr="0035461C">
        <w:rPr>
          <w:rFonts w:ascii="Calibri" w:hAnsi="Calibri" w:cs="Calibri"/>
        </w:rPr>
        <w:t xml:space="preserve">target </w:t>
      </w:r>
      <w:r w:rsidRPr="0035461C">
        <w:rPr>
          <w:rFonts w:ascii="Calibri" w:hAnsi="Calibri" w:cs="Calibri"/>
        </w:rPr>
        <w:t xml:space="preserve">of ≤6.5% (48 </w:t>
      </w:r>
      <w:proofErr w:type="spellStart"/>
      <w:r w:rsidRPr="0035461C">
        <w:rPr>
          <w:rFonts w:ascii="Calibri" w:hAnsi="Calibri" w:cs="Calibri"/>
        </w:rPr>
        <w:t>mmol</w:t>
      </w:r>
      <w:proofErr w:type="spellEnd"/>
      <w:r w:rsidRPr="0035461C">
        <w:rPr>
          <w:rFonts w:ascii="Calibri" w:hAnsi="Calibri" w:cs="Calibri"/>
        </w:rPr>
        <w:t>/</w:t>
      </w:r>
      <w:proofErr w:type="spellStart"/>
      <w:r w:rsidRPr="0035461C">
        <w:rPr>
          <w:rFonts w:ascii="Calibri" w:hAnsi="Calibri" w:cs="Calibri"/>
        </w:rPr>
        <w:t>mol</w:t>
      </w:r>
      <w:proofErr w:type="spellEnd"/>
      <w:r w:rsidRPr="0035461C">
        <w:rPr>
          <w:rFonts w:ascii="Calibri" w:hAnsi="Calibri" w:cs="Calibri"/>
        </w:rPr>
        <w:t>)</w:t>
      </w:r>
      <w:r w:rsidR="00927A4F" w:rsidRPr="0035461C">
        <w:rPr>
          <w:rFonts w:ascii="Calibri" w:hAnsi="Calibri" w:cs="Calibri"/>
        </w:rPr>
        <w:t xml:space="preserve"> </w:t>
      </w:r>
      <w:r w:rsidR="00927A4F" w:rsidRPr="0035461C">
        <w:rPr>
          <w:rFonts w:ascii="Calibri" w:hAnsi="Calibri" w:cs="Calibri"/>
        </w:rPr>
        <w:fldChar w:fldCharType="begin"/>
      </w:r>
      <w:r w:rsidR="00CE0E7B">
        <w:rPr>
          <w:rFonts w:ascii="Calibri" w:hAnsi="Calibri" w:cs="Calibri"/>
        </w:rPr>
        <w:instrText xml:space="preserve"> ADDIN ZOTERO_ITEM CSL_CITATION {"citationID":"cMkc8eTd","properties":{"formattedCitation":"(263,264)","plainCitation":"(263,264)","noteIndex":0},"citationItems":[{"id":947,"uris":["http://zotero.org/groups/369679/items/GK97RUZK"],"uri":["http://zotero.org/groups/369679/items/GK97RUZK"],"itemData":{"id":947,"type":"article-journal","abstract":"OBJECTIVE: To study the association between peri-conceptional A1C and serious adverse pregnancy outcome (congenital malformations and perinatal mortality).\nRESEARCH DESIGN AND METHODS: Prospective data were collected in 933 singleton pregnancies complicated by type 1 diabetes.\nRESULTS: The risk of serious adverse outcome at different A1C levels was compared with the background population. The risk was significantly higher when peri-conceptional A1C exceeded 6.9%, and the risk tended to increase gradually with increasing A1C. Women with A1C exceeding 10.4% had a very high risk of 16%. Congenital malformation rate increased significantly at A1C above 10.4%, whereas perinatal mortality was increased even at A1C below 6.9%.\nCONCLUSIONS: These results support recent guidelines of preconceptional A1C levels &lt;7% in women with type 1 diabetes.","container-title":"Diabetes Care","DOI":"10.2337/dc08-2061","ISSN":"1935-5548","issue":"6","journalAbbreviation":"Diabetes Care","language":"eng","note":"PMID: 19265024 \nPMCID: PMC2681038","page":"1046-1048","source":"NCBI PubMed","title":"Peri-conceptional A1C and risk of serious adverse pregnancy outcome in 933 women with type 1 diabetes","volume":"32","author":[{"family":"Jensen","given":"Dorte M."},{"family":"Korsholm","given":"Lars"},{"family":"Ovesen","given":"Per"},{"family":"Beck-Nielsen","given":"Henning"},{"family":"Moelsted-Pedersen","given":"Lars"},{"family":"Westergaard","given":"Jes G."},{"family":"Moeller","given":"Margrethe"},{"family":"Damm","given":"Peter"}],"issued":{"date-parts":[["2009",6]]}}},{"id":11335,"uris":["http://zotero.org/groups/369679/items/UUU7XS39"],"uri":["http://zotero.org/groups/369679/items/UUU7XS39"],"itemData":{"id":11335,"type":"article-journal","abstract":"OBJECTIVE: To compare contemporary pregnancy outcomes in women with and without type 1 diabetes, and to examine the effects of obesity and glycaemic control on these outcomes.\nDESIGN AND SETTING: Historical cohort study in a specialist diabetes and maternity network in Victoria.\nPARTICIPANTS: All singleton births (at least 20 weeks' gestation), 2010-2013, were analysed: 107 pregnancies to women with type 1 diabetes and 27 075 pregnancies to women without diabetes. Women with type 2 diabetes or gestational diabetes were excluded.\nMETHODS: Data were extracted from the Birthing Outcomes System database; associations between type 1 diabetes and pregnancy outcomes were analysed by multivariable regression.\nMAIN OUTCOME MEASURES: Mode of birth; maternal and neonatal outcomes.\nRESULTS: The mean body mass index was higher for women with type 1 diabetes than for women without diabetes (mean, 27.3 kg/m(2) [SD, 5.0] v 25.7 kg/m(2) [SD, 5.9]; P = 0.01); the median gestation period for their babies was shorter (median, 37.3 weeks [IQR, 34.6-38.1] v 39.4 weeks [IQR, 38.4-40.4]; P &lt; 0.001) and they were more likely to be large for gestational age (LGA) (adjusted odds ratio [aOR], 7.9; 95% CI, 5.3-11.8). Women with type 1 diabetes were more likely to have had labour induced (aOR, 3.0; 95% CI, 2.0-4.5), a caesarean delivery (aOR, 4.6; 95% CI, 3.1-7.0), or a pre-term birth (aOR, 6.7; 95% CI, 4.5-10.0); their babies were more likely to have shoulder dystocia (aOR, 8.2; 95% CI, 3.6-18.7), hypoglycaemia (aOR, 10.3; 95% CI, 6.8-15.6), jaundice (aOR, 5.1; 95% CI, 3.3-7.7), respiratory distress (aOR, 2.5; 95% CI, 1.4-4.4) or to suffer perinatal death (aOR, 4.3; 95% CI, 1.9-9.9). In women with type 1 diabetes, greater obesity was associated with increased odds for an LGA baby or congenital malformation, and increased HbA1c levels were associated with pre-term birth and perinatal death.\nCONCLUSION: Women with type 1 diabetes, even when managed in a specialist setting, still experience adverse obstetric and neonatal outcomes. Poor glycaemic control is not wholly responsible for adverse outcomes, reinforcing the importance of other risk factors, such as obesity and weight gain.","container-title":"The Medical Journal of Australia","DOI":"10.5694/mja16.00443","ISSN":"1326-5377","issue":"4","journalAbbreviation":"Med J Aust","language":"eng","note":"PMID: 27510344","page":"162-167","source":"PubMed","title":"Contemporary type 1 diabetes pregnancy outcomes: impact of obesity and glycaemic control","title-short":"Contemporary type 1 diabetes pregnancy outcomes","volume":"205","author":[{"family":"Abell","given":"Sally K."},{"family":"Boyle","given":"Jacqueline A."},{"family":"Courten","given":"Barbora","non-dropping-particle":"de"},{"family":"Knight","given":"Michelle"},{"family":"Ranasinha","given":"Sanjeeva"},{"family":"Regan","given":"John"},{"family":"Soldatos","given":"Georgia"},{"family":"Wallace","given":"Euan M."},{"family":"Zoungas","given":"Sophia"},{"family":"Teede","given":"Helena J."}],"issued":{"date-parts":[["2016",8,15]]}}}],"schema":"https://github.com/citation-style-language/schema/raw/master/csl-citation.json"} </w:instrText>
      </w:r>
      <w:r w:rsidR="00927A4F" w:rsidRPr="0035461C">
        <w:rPr>
          <w:rFonts w:ascii="Calibri" w:hAnsi="Calibri" w:cs="Calibri"/>
        </w:rPr>
        <w:fldChar w:fldCharType="separate"/>
      </w:r>
      <w:r w:rsidR="00CE0E7B" w:rsidRPr="00CE0E7B">
        <w:rPr>
          <w:rFonts w:ascii="Calibri" w:hAnsi="Calibri" w:cs="Calibri"/>
        </w:rPr>
        <w:t>(263,264)</w:t>
      </w:r>
      <w:r w:rsidR="00927A4F" w:rsidRPr="0035461C">
        <w:rPr>
          <w:rFonts w:ascii="Calibri" w:hAnsi="Calibri" w:cs="Calibri"/>
        </w:rPr>
        <w:fldChar w:fldCharType="end"/>
      </w:r>
      <w:r w:rsidRPr="0035461C">
        <w:rPr>
          <w:rFonts w:ascii="Calibri" w:hAnsi="Calibri" w:cs="Calibri"/>
        </w:rPr>
        <w:t xml:space="preserve">. </w:t>
      </w:r>
      <w:r w:rsidR="00981294" w:rsidRPr="0035461C">
        <w:rPr>
          <w:rFonts w:ascii="Calibri" w:hAnsi="Calibri" w:cs="Calibri"/>
        </w:rPr>
        <w:t>The woman should aim for fasting and pre-meals glucose concentrations below 95 mg/</w:t>
      </w:r>
      <w:proofErr w:type="spellStart"/>
      <w:r w:rsidR="00981294" w:rsidRPr="0035461C">
        <w:rPr>
          <w:rFonts w:ascii="Calibri" w:hAnsi="Calibri" w:cs="Calibri"/>
        </w:rPr>
        <w:t>dL</w:t>
      </w:r>
      <w:proofErr w:type="spellEnd"/>
      <w:r w:rsidR="00981294" w:rsidRPr="0035461C">
        <w:rPr>
          <w:rFonts w:ascii="Calibri" w:hAnsi="Calibri" w:cs="Calibri"/>
        </w:rPr>
        <w:t xml:space="preserve"> (5.3 </w:t>
      </w:r>
      <w:proofErr w:type="spellStart"/>
      <w:r w:rsidR="00981294" w:rsidRPr="0035461C">
        <w:rPr>
          <w:rFonts w:ascii="Calibri" w:hAnsi="Calibri" w:cs="Calibri"/>
        </w:rPr>
        <w:t>mmol</w:t>
      </w:r>
      <w:proofErr w:type="spellEnd"/>
      <w:r w:rsidR="00981294" w:rsidRPr="0035461C">
        <w:rPr>
          <w:rFonts w:ascii="Calibri" w:hAnsi="Calibri" w:cs="Calibri"/>
        </w:rPr>
        <w:t>/L) and post-prandial values of below 140 mg/</w:t>
      </w:r>
      <w:proofErr w:type="spellStart"/>
      <w:r w:rsidR="00981294" w:rsidRPr="0035461C">
        <w:rPr>
          <w:rFonts w:ascii="Calibri" w:hAnsi="Calibri" w:cs="Calibri"/>
        </w:rPr>
        <w:t>dL</w:t>
      </w:r>
      <w:proofErr w:type="spellEnd"/>
      <w:r w:rsidR="00981294" w:rsidRPr="0035461C">
        <w:rPr>
          <w:rFonts w:ascii="Calibri" w:hAnsi="Calibri" w:cs="Calibri"/>
        </w:rPr>
        <w:t xml:space="preserve"> (7.8 </w:t>
      </w:r>
      <w:proofErr w:type="spellStart"/>
      <w:r w:rsidR="00981294" w:rsidRPr="0035461C">
        <w:rPr>
          <w:rFonts w:ascii="Calibri" w:hAnsi="Calibri" w:cs="Calibri"/>
        </w:rPr>
        <w:t>mmol</w:t>
      </w:r>
      <w:proofErr w:type="spellEnd"/>
      <w:r w:rsidR="00981294" w:rsidRPr="0035461C">
        <w:rPr>
          <w:rFonts w:ascii="Calibri" w:hAnsi="Calibri" w:cs="Calibri"/>
        </w:rPr>
        <w:t>/L) 1 hour after a meal and below 120 mg/</w:t>
      </w:r>
      <w:proofErr w:type="spellStart"/>
      <w:r w:rsidR="00981294" w:rsidRPr="0035461C">
        <w:rPr>
          <w:rFonts w:ascii="Calibri" w:hAnsi="Calibri" w:cs="Calibri"/>
        </w:rPr>
        <w:t>dL</w:t>
      </w:r>
      <w:proofErr w:type="spellEnd"/>
      <w:r w:rsidR="00981294" w:rsidRPr="0035461C">
        <w:rPr>
          <w:rFonts w:ascii="Calibri" w:hAnsi="Calibri" w:cs="Calibri"/>
        </w:rPr>
        <w:t xml:space="preserve"> (6.7 </w:t>
      </w:r>
      <w:proofErr w:type="spellStart"/>
      <w:r w:rsidR="00981294" w:rsidRPr="0035461C">
        <w:rPr>
          <w:rFonts w:ascii="Calibri" w:hAnsi="Calibri" w:cs="Calibri"/>
        </w:rPr>
        <w:t>mmol</w:t>
      </w:r>
      <w:proofErr w:type="spellEnd"/>
      <w:r w:rsidR="00981294" w:rsidRPr="0035461C">
        <w:rPr>
          <w:rFonts w:ascii="Calibri" w:hAnsi="Calibri" w:cs="Calibri"/>
        </w:rPr>
        <w:t xml:space="preserve">/L) 2 hours after a meal. </w:t>
      </w:r>
      <w:r w:rsidR="00D95A2A" w:rsidRPr="0035461C">
        <w:rPr>
          <w:rFonts w:ascii="Calibri" w:hAnsi="Calibri" w:cs="Calibri"/>
        </w:rPr>
        <w:t>A</w:t>
      </w:r>
      <w:r w:rsidR="00A349A3" w:rsidRPr="0035461C">
        <w:rPr>
          <w:rFonts w:ascii="Calibri" w:hAnsi="Calibri" w:cs="Calibri"/>
        </w:rPr>
        <w:t>lthough CGM is not approved</w:t>
      </w:r>
      <w:r w:rsidR="00D95A2A" w:rsidRPr="0035461C">
        <w:rPr>
          <w:rFonts w:ascii="Calibri" w:hAnsi="Calibri" w:cs="Calibri"/>
        </w:rPr>
        <w:t xml:space="preserve"> in the U</w:t>
      </w:r>
      <w:r w:rsidR="00BA3B4C" w:rsidRPr="0035461C">
        <w:rPr>
          <w:rFonts w:ascii="Calibri" w:hAnsi="Calibri" w:cs="Calibri"/>
        </w:rPr>
        <w:t>.</w:t>
      </w:r>
      <w:r w:rsidR="00D95A2A" w:rsidRPr="0035461C">
        <w:rPr>
          <w:rFonts w:ascii="Calibri" w:hAnsi="Calibri" w:cs="Calibri"/>
        </w:rPr>
        <w:t>S</w:t>
      </w:r>
      <w:r w:rsidR="00BA3B4C" w:rsidRPr="0035461C">
        <w:rPr>
          <w:rFonts w:ascii="Calibri" w:hAnsi="Calibri" w:cs="Calibri"/>
        </w:rPr>
        <w:t>.</w:t>
      </w:r>
      <w:r w:rsidR="00A349A3" w:rsidRPr="0035461C">
        <w:rPr>
          <w:rFonts w:ascii="Calibri" w:hAnsi="Calibri" w:cs="Calibri"/>
        </w:rPr>
        <w:t xml:space="preserve"> for use of pregnancy and no studies in pregnancy have used CGM alone</w:t>
      </w:r>
      <w:r w:rsidR="00D95A2A" w:rsidRPr="0035461C">
        <w:rPr>
          <w:rFonts w:ascii="Calibri" w:hAnsi="Calibri" w:cs="Calibri"/>
        </w:rPr>
        <w:t>, the CONCEPTT trial showed that when C</w:t>
      </w:r>
      <w:r w:rsidR="00A349A3" w:rsidRPr="0035461C">
        <w:rPr>
          <w:rFonts w:ascii="Calibri" w:hAnsi="Calibri" w:cs="Calibri"/>
        </w:rPr>
        <w:t xml:space="preserve">GM </w:t>
      </w:r>
      <w:r w:rsidR="00D95A2A" w:rsidRPr="0035461C">
        <w:rPr>
          <w:rFonts w:ascii="Calibri" w:hAnsi="Calibri" w:cs="Calibri"/>
        </w:rPr>
        <w:t>was used in conjunction with BGM, CGM was associated with better pregnancy</w:t>
      </w:r>
      <w:r w:rsidR="00E014C2" w:rsidRPr="0035461C">
        <w:rPr>
          <w:rFonts w:ascii="Calibri" w:hAnsi="Calibri" w:cs="Calibri"/>
        </w:rPr>
        <w:t xml:space="preserve"> </w:t>
      </w:r>
      <w:r w:rsidR="00636B71" w:rsidRPr="0035461C">
        <w:rPr>
          <w:rFonts w:ascii="Calibri" w:hAnsi="Calibri" w:cs="Calibri"/>
        </w:rPr>
        <w:t xml:space="preserve">outcomes </w:t>
      </w:r>
      <w:r w:rsidR="00E014C2" w:rsidRPr="0035461C">
        <w:rPr>
          <w:rFonts w:ascii="Calibri" w:hAnsi="Calibri" w:cs="Calibri"/>
        </w:rPr>
        <w:fldChar w:fldCharType="begin"/>
      </w:r>
      <w:r w:rsidR="00CE0E7B">
        <w:rPr>
          <w:rFonts w:ascii="Calibri" w:hAnsi="Calibri" w:cs="Calibri"/>
        </w:rPr>
        <w:instrText xml:space="preserve"> ADDIN ZOTERO_ITEM CSL_CITATION {"citationID":"kPDJw3Fb","properties":{"formattedCitation":"(265)","plainCitation":"(265)","noteIndex":0},"citationItems":[{"id":3702,"uris":["http://zotero.org/groups/369679/items/MJKPWHXL"],"uri":["http://zotero.org/groups/369679/items/MJKPWHXL"],"itemData":{"id":3702,"type":"article-journal","abstract":"BACKGROUND: Pregnant women with type 1 diabetes are a high-risk population who are recommended to strive for optimal glucose control, but neonatal outcomes attributed to maternal hyperglycaemia remain suboptimal. Our aim was to examine the effectiveness of continuous glucose monitoring (CGM) on maternal glucose control and obstetric and neonatal health outcomes.\nMETHODS: In this multicentre, open-label, randomised controlled trial, we recruited women aged 18-40 years with type 1 diabetes for a minimum of 12 months who were receiving intensive insulin therapy. Participants were pregnant (≤13 weeks and 6 days' gestation) or planning pregnancy from 31 hospitals in Canada, England, Scotland, Spain, Italy, Ireland, and the USA. We ran two trials in parallel for pregnant participants and for participants planning pregnancy. In both trials, participants were randomly assigned to either CGM in addition to capillary glucose monitoring or capillary glucose monitoring alone. Randomisation was stratified by insulin delivery (pump or injections) and baseline glycated haemoglobin (HbA1c). The primary outcome was change in HbA1c from randomisation to 34 weeks' gestation in pregnant women and to 24 weeks or conception in women planning pregnancy, and was assessed in all randomised participants with baseline assessments. Secondary outcomes included obstetric and neonatal health outcomes, assessed with all available data without imputation. This trial is registered with ClinicalTrials.gov, number NCT01788527.\nFINDINGS: Between March 25, 2013, and March 22, 2016, we randomly assigned 325 women (215 pregnant, 110 planning pregnancy) to capillary glucose monitoring with CGM (108 pregnant and 53 planning pregnancy) or without (107 pregnant and 57 planning pregnancy). We found a small difference in HbA1c in pregnant women using CGM (mean difference -0·19%; 95% CI -0·34 to -0·03; p=0·0207). Pregnant CGM users spent more time in target (68% vs 61%; p=0·0034) and less time hyperglycaemic (27% vs 32%; p=0·0279) than did pregnant control participants, with comparable severe hypoglycaemia episodes (18 CGM and 21 control) and time spent hypoglycaemic (3% vs 4%; p=0·10). Neonatal health outcomes were significantly improved, with lower incidence of large for gestational age (odds ratio 0·51, 95% CI 0·28 to 0·90; p=0·0210), fewer neonatal intensive care admissions lasting more than 24 h (0·48; 0·26 to 0·86; p=0·0157), fewer incidences of neonatal hypoglycaemia (0·45; 0·22 to 0·89; p=0·0250), and 1-day shorter length of hospital stay (p=0·0091). We found no apparent benefit of CGM in women planning pregnancy. Adverse events occurred in 51 (48%) of CGM participants and 43 (40%) of control participants in the pregnancy trial, and in 12 (27%) of CGM participants and 21 (37%) of control participants in the planning pregnancy trial. Serious adverse events occurred in 13 (6%) participants in the pregnancy trial (eight [7%] CGM, five [5%] control) and in three (3%) participants in the planning pregnancy trial (two [4%] CGM and one [2%] control). The most common adverse events were skin reactions occurring in 49 (48%) of 103 CGM participants and eight (8%) of 104 control participants during pregnancy and in 23 (44%) of 52 CGM participants and five (9%) of 57 control participants in the planning pregnancy trial. The most common serious adverse events were gastrointestinal (nausea and vomiting in four participants during pregnancy and three participants planning pregnancy).\nINTERPRETATION: Use of CGM during pregnancy in patients with type 1 diabetes is associated with improved neonatal outcomes, which are likely to be attributed to reduced exposure to maternal hyperglycaemia. CGM should be offered to all pregnant women with type 1 diabetes using intensive insulin therapy. This study is the first to indicate potential for improvements in non-glycaemic health outcomes from CGM use.\nFUNDING: Juvenile Diabetes Research Foundation, Canadian Clinical Trials Network, and National Institute for Health Research.","container-title":"Lancet (London, England)","DOI":"10.1016/S0140-6736(17)32400-5","ISSN":"1474-547X","issue":"10110","journalAbbreviation":"Lancet","language":"eng","note":"PMID: 28923465\nPMCID: PMC5713979","page":"2347-2359","source":"PubMed","title":"Continuous glucose monitoring in pregnant women with type 1 diabetes (CONCEPTT): a multicentre international randomised controlled trial","title-short":"Continuous glucose monitoring in pregnant women with type 1 diabetes (CONCEPTT)","volume":"390","author":[{"family":"Feig","given":"Denice S."},{"family":"Donovan","given":"Lois E."},{"family":"Corcoy","given":"Rosa"},{"family":"Murphy","given":"Kellie E."},{"family":"Amiel","given":"Stephanie A."},{"family":"Hunt","given":"Katharine F."},{"family":"Asztalos","given":"Elizabeth"},{"family":"Barrett","given":"Jon F. R."},{"family":"Sanchez","given":"J. Johanna"},{"family":"Leiva","given":"Alberto","non-dropping-particle":"de"},{"family":"Hod","given":"Moshe"},{"family":"Jovanovic","given":"Lois"},{"family":"Keely","given":"Erin"},{"family":"McManus","given":"Ruth"},{"family":"Hutton","given":"Eileen K."},{"family":"Meek","given":"Claire L."},{"family":"Stewart","given":"Zoe A."},{"family":"Wysocki","given":"Tim"},{"family":"O'Brien","given":"Robert"},{"family":"Ruedy","given":"Katrina"},{"family":"Kollman","given":"Craig"},{"family":"Tomlinson","given":"George"},{"family":"Murphy","given":"Helen R."},{"literal":"CONCEPTT Collaborative Group"}],"issued":{"date-parts":[["2017",11,25]]}}}],"schema":"https://github.com/citation-style-language/schema/raw/master/csl-citation.json"} </w:instrText>
      </w:r>
      <w:r w:rsidR="00E014C2" w:rsidRPr="0035461C">
        <w:rPr>
          <w:rFonts w:ascii="Calibri" w:hAnsi="Calibri" w:cs="Calibri"/>
        </w:rPr>
        <w:fldChar w:fldCharType="separate"/>
      </w:r>
      <w:r w:rsidR="00CE0E7B" w:rsidRPr="00CE0E7B">
        <w:rPr>
          <w:rFonts w:ascii="Calibri" w:hAnsi="Calibri" w:cs="Calibri"/>
        </w:rPr>
        <w:t>(265)</w:t>
      </w:r>
      <w:r w:rsidR="00E014C2" w:rsidRPr="0035461C">
        <w:rPr>
          <w:rFonts w:ascii="Calibri" w:hAnsi="Calibri" w:cs="Calibri"/>
        </w:rPr>
        <w:fldChar w:fldCharType="end"/>
      </w:r>
      <w:r w:rsidR="00957FA2">
        <w:rPr>
          <w:rFonts w:ascii="Calibri" w:hAnsi="Calibri" w:cs="Calibri"/>
        </w:rPr>
        <w:t xml:space="preserve"> and is widely recommended in Europe</w:t>
      </w:r>
      <w:r w:rsidR="00280FD0" w:rsidRPr="0035461C">
        <w:rPr>
          <w:rFonts w:ascii="Calibri" w:hAnsi="Calibri" w:cs="Calibri"/>
        </w:rPr>
        <w:t xml:space="preserve">. </w:t>
      </w:r>
      <w:r w:rsidR="00D95A2A" w:rsidRPr="0035461C">
        <w:rPr>
          <w:rFonts w:ascii="Calibri" w:hAnsi="Calibri" w:cs="Calibri"/>
        </w:rPr>
        <w:t>M</w:t>
      </w:r>
      <w:r w:rsidR="00280FD0" w:rsidRPr="0035461C">
        <w:rPr>
          <w:rFonts w:ascii="Calibri" w:hAnsi="Calibri" w:cs="Calibri"/>
        </w:rPr>
        <w:t>any women rely on CGM during pregnancy and its use should be encouraged with the</w:t>
      </w:r>
      <w:r w:rsidR="00975907" w:rsidRPr="0035461C">
        <w:rPr>
          <w:rFonts w:ascii="Calibri" w:hAnsi="Calibri" w:cs="Calibri"/>
        </w:rPr>
        <w:t xml:space="preserve"> caveat that BGM should be performed if there are concerns that the CGM reading </w:t>
      </w:r>
      <w:r w:rsidR="00A2567E" w:rsidRPr="0035461C">
        <w:rPr>
          <w:rFonts w:ascii="Calibri" w:hAnsi="Calibri" w:cs="Calibri"/>
        </w:rPr>
        <w:t>is</w:t>
      </w:r>
      <w:r w:rsidR="00975907" w:rsidRPr="0035461C">
        <w:rPr>
          <w:rFonts w:ascii="Calibri" w:hAnsi="Calibri" w:cs="Calibri"/>
        </w:rPr>
        <w:t xml:space="preserve"> </w:t>
      </w:r>
      <w:r w:rsidR="00BA3B4C" w:rsidRPr="0035461C">
        <w:rPr>
          <w:rFonts w:ascii="Calibri" w:hAnsi="Calibri" w:cs="Calibri"/>
        </w:rPr>
        <w:t>in</w:t>
      </w:r>
      <w:r w:rsidR="00975907" w:rsidRPr="0035461C">
        <w:rPr>
          <w:rFonts w:ascii="Calibri" w:hAnsi="Calibri" w:cs="Calibri"/>
        </w:rPr>
        <w:t>accurate.</w:t>
      </w:r>
      <w:r w:rsidR="00E615B3" w:rsidRPr="0035461C">
        <w:rPr>
          <w:rFonts w:ascii="Calibri" w:hAnsi="Calibri" w:cs="Calibri"/>
        </w:rPr>
        <w:t xml:space="preserve"> </w:t>
      </w:r>
      <w:r w:rsidR="00957FA2">
        <w:rPr>
          <w:rFonts w:ascii="Calibri" w:hAnsi="Calibri" w:cs="Calibri"/>
        </w:rPr>
        <w:t xml:space="preserve">When CGM </w:t>
      </w:r>
      <w:r w:rsidR="00B656D3">
        <w:rPr>
          <w:rFonts w:ascii="Calibri" w:hAnsi="Calibri" w:cs="Calibri"/>
        </w:rPr>
        <w:t xml:space="preserve">is </w:t>
      </w:r>
      <w:r w:rsidR="00957FA2">
        <w:rPr>
          <w:rFonts w:ascii="Calibri" w:hAnsi="Calibri" w:cs="Calibri"/>
        </w:rPr>
        <w:t xml:space="preserve">used in pregnancy, the target range is lower than outside pregnancy (63-140 mg/dl; 3.5 – 7.8 </w:t>
      </w:r>
      <w:proofErr w:type="spellStart"/>
      <w:r w:rsidR="00957FA2">
        <w:rPr>
          <w:rFonts w:ascii="Calibri" w:hAnsi="Calibri" w:cs="Calibri"/>
        </w:rPr>
        <w:t>mmol</w:t>
      </w:r>
      <w:proofErr w:type="spellEnd"/>
      <w:r w:rsidR="00957FA2">
        <w:rPr>
          <w:rFonts w:ascii="Calibri" w:hAnsi="Calibri" w:cs="Calibri"/>
        </w:rPr>
        <w:t xml:space="preserve">/l). </w:t>
      </w:r>
    </w:p>
    <w:p w14:paraId="53E8FAA7" w14:textId="503ABC68" w:rsidR="005F6A42" w:rsidRDefault="009F1CCB" w:rsidP="005F6A42">
      <w:pPr>
        <w:spacing w:before="120"/>
        <w:jc w:val="both"/>
        <w:rPr>
          <w:rFonts w:ascii="Calibri" w:hAnsi="Calibri" w:cs="Calibri"/>
        </w:rPr>
      </w:pPr>
      <w:r w:rsidRPr="0035461C">
        <w:rPr>
          <w:rFonts w:ascii="Calibri" w:hAnsi="Calibri" w:cs="Calibri"/>
        </w:rPr>
        <w:t xml:space="preserve">The major limiting step to achieving </w:t>
      </w:r>
      <w:proofErr w:type="spellStart"/>
      <w:r w:rsidRPr="0035461C">
        <w:rPr>
          <w:rFonts w:ascii="Calibri" w:hAnsi="Calibri" w:cs="Calibri"/>
        </w:rPr>
        <w:t>normoglycaemia</w:t>
      </w:r>
      <w:proofErr w:type="spellEnd"/>
      <w:r w:rsidRPr="0035461C">
        <w:rPr>
          <w:rFonts w:ascii="Calibri" w:hAnsi="Calibri" w:cs="Calibri"/>
        </w:rPr>
        <w:t xml:space="preserve"> is hypoglycaemia which occurs more frequently in the first half of pregnancy, in part because of diminished awareness of hypoglycaemia</w:t>
      </w:r>
      <w:r w:rsidR="00D3598D" w:rsidRPr="0035461C">
        <w:rPr>
          <w:rFonts w:ascii="Calibri" w:hAnsi="Calibri" w:cs="Calibri"/>
        </w:rPr>
        <w:t xml:space="preserve"> and pregnancy associated nausea and vomiting</w:t>
      </w:r>
      <w:r w:rsidR="00927A4F" w:rsidRPr="0035461C">
        <w:rPr>
          <w:rFonts w:ascii="Calibri" w:hAnsi="Calibri" w:cs="Calibri"/>
        </w:rPr>
        <w:t xml:space="preserve"> </w:t>
      </w:r>
      <w:r w:rsidR="005C7238" w:rsidRPr="0035461C">
        <w:rPr>
          <w:rFonts w:ascii="Calibri" w:hAnsi="Calibri" w:cs="Calibri"/>
        </w:rPr>
        <w:fldChar w:fldCharType="begin"/>
      </w:r>
      <w:r w:rsidR="00CE0E7B">
        <w:rPr>
          <w:rFonts w:ascii="Calibri" w:hAnsi="Calibri" w:cs="Calibri"/>
        </w:rPr>
        <w:instrText xml:space="preserve"> ADDIN ZOTERO_ITEM CSL_CITATION {"citationID":"kqJBIech","properties":{"formattedCitation":"(266)","plainCitation":"(266)","noteIndex":0},"citationItems":[{"id":11337,"uris":["http://zotero.org/groups/369679/items/HV6NBZAF"],"uri":["http://zotero.org/groups/369679/items/HV6NBZAF"],"itemData":{"id":11337,"type":"article-journal","abstract":"OBJECTIVE: In pregnancy with type 1 diabetes, we evaluated occurrence of mild and severe hypoglycemia and analyzed the influence of strict metabolic control, nausea, vomiting, and other potential predictors of occurrence of severe hypoglycemia.\nRESEARCH DESIGN AND METHODS: A prospective observational study of 108 consecutive pregnant women with type 1 diabetes was conducted. At 8, 14, 21, 27, and 33 weeks of gestation, patients performed self-monitored plasma glucose (SMPG) (eight/day) for 3 days and completed a questionnaire on nausea, vomiting, hypoglycemia awareness, and history of mild (managed by the patient) and severe (requiring assistance from others) hypoglycemia.\nRESULTS: Forty-nine (45%) women experienced 178 severe hypoglycemic events, corresponding to 5.3, 2.4, and 0.5 events/patient-year in the first, second, and third trimesters, respectively. The incidence of mild hypoglycemia was 5.5 events/patient-week in early pregnancy and decreased throughout pregnancy (P &lt; 0.0001), regardless of presence of severe hypoglycemia. Prevalence of nausea and vomiting, mild hypoglycemia, and fraction of SMPG readings &lt;/=3.9 mmol/l did not differ between women with and without severe hypoglycemia. A1C, median SMPG, and fluctuations in SMPG decreased during pregnancy, with no differences between women with and without severe hypoglycemia. Logistic regression analysis identified history of severe hypoglycemia the year preceding pregnancy (odds ratio 3.3 [95% CI 1.2-9.2]) and impaired awareness or unawareness (3.2 [1.2-8.2]) as independent predictors for severe hypoglycemia.\nCONCLUSIONS: In pregnancy with type 1 diabetes, the incidence of mild and severe hypoglycemia was highest in early pregnancy, although metabolic control was tighter in the last part of pregnancy. Predictors for severe hypoglycemia were history of severe hypoglycemia and impaired awareness.","container-title":"Diabetes Care","DOI":"10.2337/dc07-1066","ISSN":"1935-5548","issue":"1","journalAbbreviation":"Diabetes Care","language":"eng","note":"PMID: 17909091","page":"9-14","source":"PubMed","title":"Hypoglycemia in pregnant women with type 1 diabetes: predictors and role of metabolic control","title-short":"Hypoglycemia in pregnant women with type 1 diabetes","volume":"31","author":[{"family":"Nielsen","given":"Lene Ringholm"},{"family":"Pedersen-Bjergaard","given":"Ulrik"},{"family":"Thorsteinsson","given":"Birger"},{"family":"Johansen","given":"Marianne"},{"family":"Damm","given":"Peter"},{"family":"Mathiesen","given":"Elisabeth R."}],"issued":{"date-parts":[["2008",1]]}}}],"schema":"https://github.com/citation-style-language/schema/raw/master/csl-citation.json"} </w:instrText>
      </w:r>
      <w:r w:rsidR="005C7238" w:rsidRPr="0035461C">
        <w:rPr>
          <w:rFonts w:ascii="Calibri" w:hAnsi="Calibri" w:cs="Calibri"/>
        </w:rPr>
        <w:fldChar w:fldCharType="separate"/>
      </w:r>
      <w:r w:rsidR="00CE0E7B" w:rsidRPr="00CE0E7B">
        <w:rPr>
          <w:rFonts w:ascii="Calibri" w:hAnsi="Calibri" w:cs="Calibri"/>
        </w:rPr>
        <w:t>(266)</w:t>
      </w:r>
      <w:r w:rsidR="005C7238" w:rsidRPr="0035461C">
        <w:rPr>
          <w:rFonts w:ascii="Calibri" w:hAnsi="Calibri" w:cs="Calibri"/>
        </w:rPr>
        <w:fldChar w:fldCharType="end"/>
      </w:r>
      <w:r w:rsidR="00927A4F" w:rsidRPr="0035461C">
        <w:rPr>
          <w:rFonts w:ascii="Calibri" w:hAnsi="Calibri" w:cs="Calibri"/>
        </w:rPr>
        <w:t>.</w:t>
      </w:r>
      <w:r w:rsidR="0010590D" w:rsidRPr="0035461C">
        <w:rPr>
          <w:rFonts w:ascii="Calibri" w:hAnsi="Calibri" w:cs="Calibri"/>
        </w:rPr>
        <w:t xml:space="preserve"> </w:t>
      </w:r>
      <w:r w:rsidRPr="0035461C">
        <w:rPr>
          <w:rFonts w:ascii="Calibri" w:hAnsi="Calibri" w:cs="Calibri"/>
        </w:rPr>
        <w:t>Pregnant women with type 1 diabetes are at risk of DKA at lower blood glucose levels than the non-pregnant state and should receive education on diabetic ketoacidosis prevention and detection</w:t>
      </w:r>
      <w:r w:rsidR="00927A4F" w:rsidRPr="0035461C">
        <w:rPr>
          <w:rFonts w:ascii="Calibri" w:hAnsi="Calibri" w:cs="Calibri"/>
        </w:rPr>
        <w:t xml:space="preserve"> </w:t>
      </w:r>
      <w:r w:rsidR="0049791D" w:rsidRPr="0035461C">
        <w:rPr>
          <w:rFonts w:ascii="Calibri" w:hAnsi="Calibri" w:cs="Calibri"/>
        </w:rPr>
        <w:fldChar w:fldCharType="begin"/>
      </w:r>
      <w:r w:rsidR="00CE0E7B">
        <w:rPr>
          <w:rFonts w:ascii="Calibri" w:hAnsi="Calibri" w:cs="Calibri"/>
        </w:rPr>
        <w:instrText xml:space="preserve"> ADDIN ZOTERO_ITEM CSL_CITATION {"citationID":"NojdPEPy","properties":{"formattedCitation":"(267)","plainCitation":"(267)","noteIndex":0},"citationItems":[{"id":11340,"uris":["http://zotero.org/groups/369679/items/35ZNEMF2"],"uri":["http://zotero.org/groups/369679/items/35ZNEMF2"],"itemData":{"id":11340,"type":"article-journal","abstract":"Pregnancies complicated by diabetic ketoacidosis are associated with increased rates of perinatal morbidity and mortality. A high index of suspicion is required, because diabetic ketoacidosis onset in pregnancy can be insidious, usually at lower glucose levels, and often progresses more rapidly as compared with nonpregnancy. Morbidity and mortality can be reduced with early detection of precipitating factors (ie, infection, intractable vomiting, inadequate insulin management or inappropriate insulin cessation, β-sympathomimetic use, steroid administration for fetal lung maturation), prompt hospitalization, and targeted therapy with intensive monitoring. A multidisciplinary approach including a maternal-fetal medicine physician, medical endocrinology specialists familiar with the physiologic changes in pregnancy, an obstetric anesthesiologist, and skilled nursing is paramount. Management principles include aggressive volume replacement, initiation of intravenous insulin therapy, correction of acidosis, correction of electrolyte abnormalities and management of precipitating factors, as well as monitoring of maternal-fetal response to treatment. When diabetic ketoacidosis occurs after 24 weeks of gestation, fetal status should be continuously monitored given associated fetal hypoxemia and acidosis. The decision for delivery can be challenging and must be based on gestational age as well as maternal-fetal responses to therapy. The natural inclination is to proceed with emergent delivery for nonreassuring fetal status that is frequently present during the acute episode, but it is imperative to correct the maternal metabolic abnormalities first, because both maternal and fetal conditions will likewise improve. Prevention strategies should include education of diabetic pregnant women about the risks of diabetic ketoacidosis, precipitating factors, and the importance of reporting signs and symptoms in a timely fashion.","container-title":"Obstetrics and Gynecology","DOI":"10.1097/AOG.0000000000000060","ISSN":"1873-233X","issue":"1","journalAbbreviation":"Obstet Gynecol","language":"eng","note":"PMID: 24463678","page":"167-178","source":"PubMed","title":"Diabetic ketoacidosis in pregnancy","volume":"123","author":[{"family":"Sibai","given":"Baha M."},{"family":"Viteri","given":"Oscar A."}],"issued":{"date-parts":[["2014",1]]}}}],"schema":"https://github.com/citation-style-language/schema/raw/master/csl-citation.json"} </w:instrText>
      </w:r>
      <w:r w:rsidR="0049791D" w:rsidRPr="0035461C">
        <w:rPr>
          <w:rFonts w:ascii="Calibri" w:hAnsi="Calibri" w:cs="Calibri"/>
        </w:rPr>
        <w:fldChar w:fldCharType="separate"/>
      </w:r>
      <w:r w:rsidR="00CE0E7B" w:rsidRPr="00CE0E7B">
        <w:rPr>
          <w:rFonts w:ascii="Calibri" w:hAnsi="Calibri" w:cs="Calibri"/>
        </w:rPr>
        <w:t>(267)</w:t>
      </w:r>
      <w:r w:rsidR="0049791D" w:rsidRPr="0035461C">
        <w:rPr>
          <w:rFonts w:ascii="Calibri" w:hAnsi="Calibri" w:cs="Calibri"/>
        </w:rPr>
        <w:fldChar w:fldCharType="end"/>
      </w:r>
      <w:r w:rsidR="00927A4F" w:rsidRPr="0035461C">
        <w:rPr>
          <w:rFonts w:ascii="Calibri" w:hAnsi="Calibri" w:cs="Calibri"/>
        </w:rPr>
        <w:t>.</w:t>
      </w:r>
      <w:r w:rsidRPr="0035461C">
        <w:rPr>
          <w:rFonts w:ascii="Calibri" w:hAnsi="Calibri" w:cs="Calibri"/>
        </w:rPr>
        <w:t xml:space="preserve"> Postpartum breastfeeding, erratic sleep and eating schedules may increase </w:t>
      </w:r>
      <w:r w:rsidR="0010590D" w:rsidRPr="0035461C">
        <w:rPr>
          <w:rFonts w:ascii="Calibri" w:hAnsi="Calibri" w:cs="Calibri"/>
        </w:rPr>
        <w:t xml:space="preserve">the risk of </w:t>
      </w:r>
      <w:r w:rsidRPr="0035461C">
        <w:rPr>
          <w:rFonts w:ascii="Calibri" w:hAnsi="Calibri" w:cs="Calibri"/>
        </w:rPr>
        <w:t>hypoglyc</w:t>
      </w:r>
      <w:r w:rsidR="0010590D" w:rsidRPr="0035461C">
        <w:rPr>
          <w:rFonts w:ascii="Calibri" w:hAnsi="Calibri" w:cs="Calibri"/>
        </w:rPr>
        <w:t>ae</w:t>
      </w:r>
      <w:r w:rsidRPr="0035461C">
        <w:rPr>
          <w:rFonts w:ascii="Calibri" w:hAnsi="Calibri" w:cs="Calibri"/>
        </w:rPr>
        <w:t xml:space="preserve">mia and insulin dosing may </w:t>
      </w:r>
      <w:r w:rsidR="0010590D" w:rsidRPr="0035461C">
        <w:rPr>
          <w:rFonts w:ascii="Calibri" w:hAnsi="Calibri" w:cs="Calibri"/>
        </w:rPr>
        <w:t>require adjustment</w:t>
      </w:r>
      <w:r w:rsidR="00927A4F" w:rsidRPr="0035461C">
        <w:rPr>
          <w:rFonts w:ascii="Calibri" w:hAnsi="Calibri" w:cs="Calibri"/>
        </w:rPr>
        <w:t xml:space="preserve"> </w:t>
      </w:r>
      <w:r w:rsidR="006A65AE" w:rsidRPr="0035461C">
        <w:rPr>
          <w:rFonts w:ascii="Calibri" w:hAnsi="Calibri" w:cs="Calibri"/>
        </w:rPr>
        <w:fldChar w:fldCharType="begin"/>
      </w:r>
      <w:r w:rsidR="00CE0E7B">
        <w:rPr>
          <w:rFonts w:ascii="Calibri" w:hAnsi="Calibri" w:cs="Calibri"/>
        </w:rPr>
        <w:instrText xml:space="preserve"> ADDIN ZOTERO_ITEM CSL_CITATION {"citationID":"Zc2YsHUR","properties":{"formattedCitation":"(268,269)","plainCitation":"(268,269)","noteIndex":0},"citationItems":[{"id":3102,"uris":["http://zotero.org/groups/369679/items/BR3JMGT5"],"uri":["http://zotero.org/groups/369679/items/BR3JMGT5"],"itemData":{"id":3102,"type":"article-journal","abstract":"Objective To compare postpartum with preconception insulin doses in well-controlled (HbA1c ≤ 7.4%) type 1 diabetes mellitus (T1DM) and to characterize differences in postpartum insulin dosing based on infant feeding. Study Design The primary outcome in this retrospective cohort was the change in total daily insulin (TDI) from preconception to postpartum. Insulin administration (continuous subcutaneous insulin infusion [CSII] vs. multiple daily injections [MDI]), HbA1c, body mass index (BMI), and infant feeding were abstracted. Results We identified 44 women with T1DM and HbA1c ≤ 7.4%. Preconception mean BMI was 24.6 ± 3.6 kg/m(2) and median (interquartile range [IQR]) HbA1c was 6.4 (6.0-6.9)%. Of these, 73% used CSII and 27% used MDI. Additionally, 80% of patients reported exclusive breastfeeding, 7% were exclusively formula feeding, and 13% used both breast milk and formula. Median (IQR) preconception TDI was 0.64 (0.49-0.69) U/kg/day, and postpartum: 0.39 (0.30-0.50) U/kg/day. Postpartum TDI was 34% lower than preconception TDI (p = 0.02). There was no difference in the postpartum TDI in patients who were breast versus formula feeding or when comparing CSII with MDI. Conclusion There was a significant decrease in the TDI required postpartum when compared with preconception. Dosages do not seem to be impacted by administration route or breastfeeding. These findings warrant consideration when dosing postpartum insulin in patients with T1DM.","container-title":"American Journal of Perinatology","DOI":"10.1055/s-0036-1571323","ISSN":"1098-8785","issue":"7","journalAbbreviation":"Am J Perinatol","language":"eng","note":"PMID: 26862721","page":"683-687","source":"PubMed","title":"Changes in Postpartum Insulin Requirements for Patients with Well-Controlled Type 1 Diabetes","volume":"33","author":[{"family":"Roeder","given":"Hilary A."},{"family":"Moore","given":"Thomas R."},{"family":"Ramos","given":"Gladys A."}],"issued":{"date-parts":[["2016"]]}}},{"id":11342,"uris":["http://zotero.org/groups/369679/items/JXTK37AS"],"uri":["http://zotero.org/groups/369679/items/JXTK37AS"],"itemData":{"id":11342,"type":"article-journal","container-title":"BMJ (Clinical research ed.)","DOI":"10.1136/bmj.298.6684.1357","ISSN":"0959-8138","issue":"6684","journalAbbreviation":"BMJ","language":"eng","note":"PMID: 2502253\nPMCID: PMC1836645","page":"1357-1358","source":"PubMed","title":"Insulin requirements of diabetic women who breast feed","volume":"298","author":[{"family":"Davies","given":"H. A."},{"family":"Clark","given":"J. D."},{"family":"Dalton","given":"K. J."},{"family":"Edwards","given":"O. M."}],"issued":{"date-parts":[["1989",5,20]]}}}],"schema":"https://github.com/citation-style-language/schema/raw/master/csl-citation.json"} </w:instrText>
      </w:r>
      <w:r w:rsidR="006A65AE" w:rsidRPr="0035461C">
        <w:rPr>
          <w:rFonts w:ascii="Calibri" w:hAnsi="Calibri" w:cs="Calibri"/>
        </w:rPr>
        <w:fldChar w:fldCharType="separate"/>
      </w:r>
      <w:r w:rsidR="00CE0E7B" w:rsidRPr="00CE0E7B">
        <w:rPr>
          <w:rFonts w:ascii="Calibri" w:hAnsi="Calibri" w:cs="Calibri"/>
        </w:rPr>
        <w:t>(268,269)</w:t>
      </w:r>
      <w:r w:rsidR="006A65AE" w:rsidRPr="0035461C">
        <w:rPr>
          <w:rFonts w:ascii="Calibri" w:hAnsi="Calibri" w:cs="Calibri"/>
        </w:rPr>
        <w:fldChar w:fldCharType="end"/>
      </w:r>
      <w:r w:rsidR="00927A4F" w:rsidRPr="0035461C">
        <w:rPr>
          <w:rFonts w:ascii="Calibri" w:hAnsi="Calibri" w:cs="Calibri"/>
        </w:rPr>
        <w:t>.</w:t>
      </w:r>
    </w:p>
    <w:p w14:paraId="02D9921D" w14:textId="10A3FC20" w:rsidR="005F6A42" w:rsidRDefault="00C54FBC" w:rsidP="00C54FBC">
      <w:pPr>
        <w:spacing w:before="120"/>
        <w:jc w:val="both"/>
        <w:rPr>
          <w:rFonts w:asciiTheme="minorHAnsi" w:hAnsiTheme="minorHAnsi" w:cstheme="minorHAnsi"/>
          <w:color w:val="000000"/>
        </w:rPr>
      </w:pPr>
      <w:r w:rsidRPr="0035461C">
        <w:rPr>
          <w:rFonts w:ascii="Calibri" w:hAnsi="Calibri" w:cs="Calibri"/>
        </w:rPr>
        <w:t xml:space="preserve">The management of pregnancy begins before conception as a planned pregnancy is associated with improved outcomes for both the women and offspring. </w:t>
      </w:r>
      <w:r w:rsidR="007721AC" w:rsidRPr="0035461C">
        <w:rPr>
          <w:rFonts w:ascii="Calibri" w:hAnsi="Calibri" w:cs="Calibri"/>
        </w:rPr>
        <w:t xml:space="preserve">Effective contraception should be used until the woman is ready for pregnancy. </w:t>
      </w:r>
      <w:r w:rsidR="005F6A42" w:rsidRPr="007D20F3">
        <w:rPr>
          <w:rFonts w:asciiTheme="minorHAnsi" w:hAnsiTheme="minorHAnsi" w:cstheme="minorHAnsi"/>
          <w:color w:val="000000"/>
        </w:rPr>
        <w:t xml:space="preserve">Choice of a safe and reliable method of contraception should be </w:t>
      </w:r>
      <w:r w:rsidR="005F6A42">
        <w:rPr>
          <w:rFonts w:asciiTheme="minorHAnsi" w:hAnsiTheme="minorHAnsi" w:cstheme="minorHAnsi"/>
          <w:color w:val="000000"/>
        </w:rPr>
        <w:t>based</w:t>
      </w:r>
      <w:r w:rsidR="005F6A42" w:rsidRPr="007D20F3">
        <w:rPr>
          <w:rFonts w:asciiTheme="minorHAnsi" w:hAnsiTheme="minorHAnsi" w:cstheme="minorHAnsi"/>
          <w:color w:val="000000"/>
        </w:rPr>
        <w:t xml:space="preserve"> on the preference of the woman</w:t>
      </w:r>
      <w:r w:rsidR="005F6A42">
        <w:rPr>
          <w:rFonts w:asciiTheme="minorHAnsi" w:hAnsiTheme="minorHAnsi" w:cstheme="minorHAnsi"/>
          <w:color w:val="000000"/>
        </w:rPr>
        <w:t>, her</w:t>
      </w:r>
      <w:r w:rsidR="005F6A42" w:rsidRPr="007D20F3">
        <w:rPr>
          <w:rFonts w:asciiTheme="minorHAnsi" w:hAnsiTheme="minorHAnsi" w:cstheme="minorHAnsi"/>
          <w:color w:val="000000"/>
        </w:rPr>
        <w:t xml:space="preserve"> individual risk factors</w:t>
      </w:r>
      <w:r w:rsidR="005F6A42">
        <w:rPr>
          <w:rFonts w:asciiTheme="minorHAnsi" w:hAnsiTheme="minorHAnsi" w:cstheme="minorHAnsi"/>
          <w:color w:val="000000"/>
        </w:rPr>
        <w:t>,</w:t>
      </w:r>
      <w:r w:rsidR="005F6A42" w:rsidRPr="007D20F3">
        <w:rPr>
          <w:rFonts w:asciiTheme="minorHAnsi" w:hAnsiTheme="minorHAnsi" w:cstheme="minorHAnsi"/>
          <w:color w:val="000000"/>
        </w:rPr>
        <w:t xml:space="preserve"> such as the presence of micro or </w:t>
      </w:r>
      <w:proofErr w:type="spellStart"/>
      <w:r w:rsidR="005F6A42" w:rsidRPr="007D20F3">
        <w:rPr>
          <w:rFonts w:asciiTheme="minorHAnsi" w:hAnsiTheme="minorHAnsi" w:cstheme="minorHAnsi"/>
          <w:color w:val="000000"/>
        </w:rPr>
        <w:t>macrovascular</w:t>
      </w:r>
      <w:proofErr w:type="spellEnd"/>
      <w:r w:rsidR="005F6A42" w:rsidRPr="007D20F3">
        <w:rPr>
          <w:rFonts w:asciiTheme="minorHAnsi" w:hAnsiTheme="minorHAnsi" w:cstheme="minorHAnsi"/>
          <w:color w:val="000000"/>
        </w:rPr>
        <w:t xml:space="preserve"> complications</w:t>
      </w:r>
      <w:r w:rsidR="005F6A42">
        <w:rPr>
          <w:rFonts w:asciiTheme="minorHAnsi" w:hAnsiTheme="minorHAnsi" w:cstheme="minorHAnsi"/>
          <w:color w:val="000000"/>
        </w:rPr>
        <w:t>, and</w:t>
      </w:r>
      <w:r w:rsidR="005F6A42" w:rsidRPr="007D20F3">
        <w:rPr>
          <w:rFonts w:asciiTheme="minorHAnsi" w:hAnsiTheme="minorHAnsi" w:cstheme="minorHAnsi"/>
          <w:color w:val="000000"/>
        </w:rPr>
        <w:t xml:space="preserve"> the WHO Medical Eligibility Criteria for Contraceptive Use</w:t>
      </w:r>
      <w:r w:rsidR="00BE38E7">
        <w:rPr>
          <w:rFonts w:asciiTheme="minorHAnsi" w:hAnsiTheme="minorHAnsi" w:cstheme="minorHAnsi"/>
          <w:color w:val="000000"/>
        </w:rPr>
        <w:t xml:space="preserve"> </w:t>
      </w:r>
      <w:r w:rsidR="00BE38E7">
        <w:rPr>
          <w:rFonts w:asciiTheme="minorHAnsi" w:hAnsiTheme="minorHAnsi" w:cstheme="minorHAnsi"/>
          <w:color w:val="000000"/>
        </w:rPr>
        <w:fldChar w:fldCharType="begin"/>
      </w:r>
      <w:r w:rsidR="00CE0E7B">
        <w:rPr>
          <w:rFonts w:asciiTheme="minorHAnsi" w:hAnsiTheme="minorHAnsi" w:cstheme="minorHAnsi"/>
          <w:color w:val="000000"/>
        </w:rPr>
        <w:instrText xml:space="preserve"> ADDIN ZOTERO_ITEM CSL_CITATION {"citationID":"a9bcu5p69q","properties":{"formattedCitation":"(270)","plainCitation":"(270)","noteIndex":0},"citationItems":[{"id":12495,"uris":["http://zotero.org/groups/369679/items/3YGWTUFA"],"uri":["http://zotero.org/groups/369679/items/3YGWTUFA"],"itemData":{"id":12495,"type":"webpage","abstract":"This wheel contains the medical eligibility criteria for starting use of contraceptives based on 5th edition, 2015 of WHO Medical Eligibility Criteria for Contraceptive Use.","container-title":"WHO","note":"publisher: World Health Organization","title":"WHO | Medical eligibility criteria &lt;b&gt;wheel&lt;/b&gt; for contraceptive use","URL":"http://www.who.int/reproductivehealth/publications/family_planning/mec-wheel-5th/en/","accessed":{"date-parts":[["2021",7,16]]}}}],"schema":"https://github.com/citation-style-language/schema/raw/master/csl-citation.json"} </w:instrText>
      </w:r>
      <w:r w:rsidR="00BE38E7">
        <w:rPr>
          <w:rFonts w:asciiTheme="minorHAnsi" w:hAnsiTheme="minorHAnsi" w:cstheme="minorHAnsi"/>
          <w:color w:val="000000"/>
        </w:rPr>
        <w:fldChar w:fldCharType="separate"/>
      </w:r>
      <w:r w:rsidR="00CE0E7B" w:rsidRPr="00CE0E7B">
        <w:rPr>
          <w:rFonts w:ascii="Calibri" w:hAnsi="Calibri" w:cs="Calibri"/>
        </w:rPr>
        <w:t>(270)</w:t>
      </w:r>
      <w:r w:rsidR="00BE38E7">
        <w:rPr>
          <w:rFonts w:asciiTheme="minorHAnsi" w:hAnsiTheme="minorHAnsi" w:cstheme="minorHAnsi"/>
          <w:color w:val="000000"/>
        </w:rPr>
        <w:fldChar w:fldCharType="end"/>
      </w:r>
      <w:r w:rsidR="005F6A42">
        <w:rPr>
          <w:rFonts w:asciiTheme="minorHAnsi" w:hAnsiTheme="minorHAnsi" w:cstheme="minorHAnsi"/>
          <w:color w:val="000000"/>
        </w:rPr>
        <w:t>.</w:t>
      </w:r>
    </w:p>
    <w:p w14:paraId="5011E8E1" w14:textId="048F270B" w:rsidR="00C54FBC" w:rsidRPr="0035461C" w:rsidRDefault="00C54FBC" w:rsidP="00C54FBC">
      <w:pPr>
        <w:spacing w:before="120"/>
        <w:jc w:val="both"/>
        <w:rPr>
          <w:rFonts w:ascii="Calibri" w:hAnsi="Calibri" w:cs="Calibri"/>
        </w:rPr>
      </w:pPr>
      <w:r w:rsidRPr="0035461C">
        <w:rPr>
          <w:rFonts w:ascii="Calibri" w:hAnsi="Calibri" w:cs="Calibri"/>
        </w:rPr>
        <w:t xml:space="preserve">All women of child-bearing age with type 1 diabetes should be informed about the importance of seeking professional help prior to trying to conceive; this provides an opportunity not only to improve glycaemic management but to offer folic acid to </w:t>
      </w:r>
      <w:r w:rsidR="006F0E55" w:rsidRPr="0035461C">
        <w:rPr>
          <w:rFonts w:ascii="Calibri" w:hAnsi="Calibri" w:cs="Calibri"/>
        </w:rPr>
        <w:t xml:space="preserve">prevent </w:t>
      </w:r>
      <w:r w:rsidRPr="0035461C">
        <w:rPr>
          <w:rFonts w:ascii="Calibri" w:hAnsi="Calibri" w:cs="Calibri"/>
        </w:rPr>
        <w:t>neural tube defects, screen for diabetes-related complications</w:t>
      </w:r>
      <w:r w:rsidR="00FF0611" w:rsidRPr="0035461C">
        <w:rPr>
          <w:rFonts w:ascii="Calibri" w:hAnsi="Calibri" w:cs="Calibri"/>
        </w:rPr>
        <w:t>,</w:t>
      </w:r>
      <w:r w:rsidRPr="0035461C">
        <w:rPr>
          <w:rFonts w:ascii="Calibri" w:hAnsi="Calibri" w:cs="Calibri"/>
        </w:rPr>
        <w:t xml:space="preserve"> and stop potentially teratogenic medications. </w:t>
      </w:r>
    </w:p>
    <w:p w14:paraId="380584F1" w14:textId="44D17045" w:rsidR="00C54FBC" w:rsidRPr="0035461C" w:rsidRDefault="00C54FBC" w:rsidP="006722DA">
      <w:pPr>
        <w:spacing w:before="120"/>
        <w:jc w:val="both"/>
        <w:rPr>
          <w:rFonts w:ascii="Calibri" w:hAnsi="Calibri" w:cs="Calibri"/>
        </w:rPr>
      </w:pPr>
      <w:r w:rsidRPr="0035461C">
        <w:rPr>
          <w:rFonts w:ascii="Calibri" w:hAnsi="Calibri" w:cs="Calibri"/>
        </w:rPr>
        <w:t>Diabetes in pregnancy is best managed by a</w:t>
      </w:r>
      <w:r w:rsidR="00910721" w:rsidRPr="0035461C">
        <w:rPr>
          <w:rFonts w:ascii="Calibri" w:hAnsi="Calibri" w:cs="Calibri"/>
        </w:rPr>
        <w:t xml:space="preserve"> multidisciplinary team including a diabetologist/endocrinologist, obstetrician, dietitian, diabetes </w:t>
      </w:r>
      <w:r w:rsidRPr="0035461C">
        <w:rPr>
          <w:rFonts w:ascii="Calibri" w:hAnsi="Calibri" w:cs="Calibri"/>
        </w:rPr>
        <w:t>nurse/</w:t>
      </w:r>
      <w:r w:rsidR="00910721" w:rsidRPr="0035461C">
        <w:rPr>
          <w:rFonts w:ascii="Calibri" w:hAnsi="Calibri" w:cs="Calibri"/>
        </w:rPr>
        <w:t>educator</w:t>
      </w:r>
      <w:r w:rsidR="00F60915" w:rsidRPr="0035461C">
        <w:rPr>
          <w:rFonts w:ascii="Calibri" w:hAnsi="Calibri" w:cs="Calibri"/>
        </w:rPr>
        <w:t>,</w:t>
      </w:r>
      <w:r w:rsidR="00927A4F" w:rsidRPr="0035461C">
        <w:rPr>
          <w:rFonts w:ascii="Calibri" w:hAnsi="Calibri" w:cs="Calibri"/>
        </w:rPr>
        <w:t xml:space="preserve"> and diabetes midwife</w:t>
      </w:r>
      <w:r w:rsidR="00910721" w:rsidRPr="0035461C">
        <w:rPr>
          <w:rFonts w:ascii="Calibri" w:hAnsi="Calibri" w:cs="Calibri"/>
        </w:rPr>
        <w:t>.</w:t>
      </w:r>
      <w:r w:rsidR="006722DA" w:rsidRPr="0035461C">
        <w:rPr>
          <w:rFonts w:ascii="Calibri" w:hAnsi="Calibri" w:cs="Calibri"/>
        </w:rPr>
        <w:t xml:space="preserve"> </w:t>
      </w:r>
      <w:r w:rsidRPr="0035461C">
        <w:rPr>
          <w:rFonts w:ascii="Calibri" w:hAnsi="Calibri" w:cs="Calibri"/>
        </w:rPr>
        <w:t>A detailed description of the management of pregnancy in women with type 1 diabetes is beyond the scope of this report but is available elsewhere</w:t>
      </w:r>
      <w:r w:rsidR="00927A4F" w:rsidRPr="0035461C">
        <w:rPr>
          <w:rFonts w:ascii="Calibri" w:hAnsi="Calibri" w:cs="Calibri"/>
        </w:rPr>
        <w:t xml:space="preserve"> </w:t>
      </w:r>
      <w:r w:rsidR="00D57657" w:rsidRPr="0035461C">
        <w:rPr>
          <w:rFonts w:ascii="Calibri" w:hAnsi="Calibri" w:cs="Calibri"/>
        </w:rPr>
        <w:fldChar w:fldCharType="begin"/>
      </w:r>
      <w:r w:rsidR="00CE0E7B">
        <w:rPr>
          <w:rFonts w:ascii="Calibri" w:hAnsi="Calibri" w:cs="Calibri"/>
        </w:rPr>
        <w:instrText xml:space="preserve"> ADDIN ZOTERO_ITEM CSL_CITATION {"citationID":"5mW86TBO","properties":{"formattedCitation":"(271,272)","plainCitation":"(271,272)","noteIndex":0},"citationItems":[{"id":11347,"uris":["http://zotero.org/groups/369679/items/XK5FDJKJ"],"uri":["http://zotero.org/groups/369679/items/XK5FDJKJ"],"itemData":{"id":11347,"type":"article-journal","abstract":"The American Diabetes Association (ADA) \"Standards of Medical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(https://doi.org/10.2337/dc21-SPPC), are responsible for updating the Standards of Care annually, or more frequently as warranted. For a detailed description of ADA standards, statements, and reports, as well as the evidence-grading system for ADA's clinical practice recommendations, please refer to the Standards of Care Introduction (https://doi.org/10.2337/dc21-SINT). Readers who wish to comment on the Standards of Care are invited to do so at professional.diabetes.org/SOC.","container-title":"Diabetes Care","DOI":"10.2337/dc21-S014","ISSN":"1935-5548","issue":"Suppl 1","journalAbbreviation":"Diabetes Care","language":"eng","note":"PMID: 33298425","page":"S200-S210","source":"PubMed","title":"14. Management of Diabetes in Pregnancy: Standards of Medical Care in Diabetes-2021","title-short":"14. Management of Diabetes in Pregnancy","volume":"44","author":[{"literal":"American Diabetes Association"}],"issued":{"date-parts":[["2021",1]]}}},{"id":11350,"uris":["http://zotero.org/groups/369679/items/87BA2NRH"],"uri":["http://zotero.org/groups/369679/items/87BA2NRH"],"itemData":{"id":11350,"type":"webpage","language":"eng","note":"publisher: NICE","title":"Overview | Diabetes in pregnancy: management from preconception to the postnatal period | Guidance | NICE","title-short":"Overview | Diabetes in pregnancy","URL":"https://www.nice.org.uk/guidance/ng3","accessed":{"date-parts":[["2021",2,18]]}}}],"schema":"https://github.com/citation-style-language/schema/raw/master/csl-citation.json"} </w:instrText>
      </w:r>
      <w:r w:rsidR="00D57657" w:rsidRPr="0035461C">
        <w:rPr>
          <w:rFonts w:ascii="Calibri" w:hAnsi="Calibri" w:cs="Calibri"/>
        </w:rPr>
        <w:fldChar w:fldCharType="separate"/>
      </w:r>
      <w:r w:rsidR="00CE0E7B" w:rsidRPr="00CE0E7B">
        <w:rPr>
          <w:rFonts w:ascii="Calibri" w:hAnsi="Calibri" w:cs="Calibri"/>
        </w:rPr>
        <w:t>(271,272)</w:t>
      </w:r>
      <w:r w:rsidR="00D57657" w:rsidRPr="0035461C">
        <w:rPr>
          <w:rFonts w:ascii="Calibri" w:hAnsi="Calibri" w:cs="Calibri"/>
        </w:rPr>
        <w:fldChar w:fldCharType="end"/>
      </w:r>
      <w:r w:rsidR="00927A4F" w:rsidRPr="0035461C">
        <w:rPr>
          <w:rFonts w:ascii="Calibri" w:hAnsi="Calibri" w:cs="Calibri"/>
        </w:rPr>
        <w:t>.</w:t>
      </w:r>
      <w:r w:rsidRPr="0035461C">
        <w:rPr>
          <w:rFonts w:ascii="Calibri" w:hAnsi="Calibri" w:cs="Calibri"/>
        </w:rPr>
        <w:t xml:space="preserve"> </w:t>
      </w:r>
    </w:p>
    <w:p w14:paraId="39FB4739" w14:textId="76CD15CD" w:rsidR="00910721" w:rsidRPr="0035461C" w:rsidRDefault="00910721" w:rsidP="001C5BC0">
      <w:pPr>
        <w:spacing w:before="120"/>
        <w:rPr>
          <w:rFonts w:ascii="Calibri" w:hAnsi="Calibri" w:cs="Calibri"/>
        </w:rPr>
      </w:pPr>
    </w:p>
    <w:p w14:paraId="77E81FE2" w14:textId="2834359D" w:rsidR="00910721" w:rsidRPr="0035461C" w:rsidRDefault="00D3598D" w:rsidP="001C5BC0">
      <w:pPr>
        <w:spacing w:before="120"/>
        <w:rPr>
          <w:rFonts w:ascii="Calibri" w:hAnsi="Calibri" w:cs="Calibri"/>
          <w:bCs/>
          <w:i/>
          <w:u w:val="single"/>
        </w:rPr>
      </w:pPr>
      <w:r w:rsidRPr="0035461C">
        <w:rPr>
          <w:rFonts w:ascii="Calibri" w:hAnsi="Calibri" w:cs="Calibri"/>
          <w:bCs/>
          <w:i/>
          <w:u w:val="single"/>
        </w:rPr>
        <w:t>O</w:t>
      </w:r>
      <w:r w:rsidR="00910721" w:rsidRPr="0035461C">
        <w:rPr>
          <w:rFonts w:ascii="Calibri" w:hAnsi="Calibri" w:cs="Calibri"/>
          <w:bCs/>
          <w:i/>
          <w:u w:val="single"/>
        </w:rPr>
        <w:t>lder</w:t>
      </w:r>
      <w:r w:rsidR="00EA7FC2" w:rsidRPr="0035461C">
        <w:rPr>
          <w:rFonts w:ascii="Calibri" w:hAnsi="Calibri" w:cs="Calibri"/>
          <w:bCs/>
          <w:i/>
          <w:u w:val="single"/>
        </w:rPr>
        <w:t xml:space="preserve"> people with type 1 diabetes</w:t>
      </w:r>
    </w:p>
    <w:p w14:paraId="21F4EED4" w14:textId="149C3126" w:rsidR="00910721" w:rsidRDefault="00910721" w:rsidP="00732E58">
      <w:pPr>
        <w:spacing w:before="120"/>
        <w:jc w:val="both"/>
        <w:rPr>
          <w:rFonts w:ascii="Calibri" w:hAnsi="Calibri" w:cs="Calibri"/>
        </w:rPr>
      </w:pPr>
      <w:r w:rsidRPr="0035461C">
        <w:rPr>
          <w:rFonts w:ascii="Calibri" w:hAnsi="Calibri" w:cs="Calibri"/>
        </w:rPr>
        <w:t xml:space="preserve">Insulin regimens in older adults should be individualized and patient safety </w:t>
      </w:r>
      <w:r w:rsidR="00EA7FC2" w:rsidRPr="0035461C">
        <w:rPr>
          <w:rFonts w:ascii="Calibri" w:hAnsi="Calibri" w:cs="Calibri"/>
        </w:rPr>
        <w:t>is</w:t>
      </w:r>
      <w:r w:rsidRPr="0035461C">
        <w:rPr>
          <w:rFonts w:ascii="Calibri" w:hAnsi="Calibri" w:cs="Calibri"/>
        </w:rPr>
        <w:t xml:space="preserve"> a key priority. Glyc</w:t>
      </w:r>
      <w:r w:rsidR="00EA7FC2" w:rsidRPr="0035461C">
        <w:rPr>
          <w:rFonts w:ascii="Calibri" w:hAnsi="Calibri" w:cs="Calibri"/>
        </w:rPr>
        <w:t>a</w:t>
      </w:r>
      <w:r w:rsidRPr="0035461C">
        <w:rPr>
          <w:rFonts w:ascii="Calibri" w:hAnsi="Calibri" w:cs="Calibri"/>
        </w:rPr>
        <w:t xml:space="preserve">emic targets should be based on functional status and life expectancy, rather than </w:t>
      </w:r>
      <w:r w:rsidR="00927A4F" w:rsidRPr="0035461C">
        <w:rPr>
          <w:rFonts w:ascii="Calibri" w:hAnsi="Calibri" w:cs="Calibri"/>
        </w:rPr>
        <w:t xml:space="preserve">chronological </w:t>
      </w:r>
      <w:r w:rsidRPr="0035461C">
        <w:rPr>
          <w:rFonts w:ascii="Calibri" w:hAnsi="Calibri" w:cs="Calibri"/>
        </w:rPr>
        <w:t xml:space="preserve">age. As older </w:t>
      </w:r>
      <w:r w:rsidR="00EA7FC2" w:rsidRPr="0035461C">
        <w:rPr>
          <w:rFonts w:ascii="Calibri" w:hAnsi="Calibri" w:cs="Calibri"/>
        </w:rPr>
        <w:t>adults with type 1 diabetes</w:t>
      </w:r>
      <w:r w:rsidRPr="0035461C">
        <w:rPr>
          <w:rFonts w:ascii="Calibri" w:hAnsi="Calibri" w:cs="Calibri"/>
        </w:rPr>
        <w:t xml:space="preserve"> are especially vulnerable to hypoglyc</w:t>
      </w:r>
      <w:r w:rsidR="00EA7FC2" w:rsidRPr="0035461C">
        <w:rPr>
          <w:rFonts w:ascii="Calibri" w:hAnsi="Calibri" w:cs="Calibri"/>
        </w:rPr>
        <w:t>a</w:t>
      </w:r>
      <w:r w:rsidRPr="0035461C">
        <w:rPr>
          <w:rFonts w:ascii="Calibri" w:hAnsi="Calibri" w:cs="Calibri"/>
        </w:rPr>
        <w:t>emia, target glucose values should be adjusted to minimize the occurrence of hypoglyc</w:t>
      </w:r>
      <w:r w:rsidR="00EA7FC2" w:rsidRPr="0035461C">
        <w:rPr>
          <w:rFonts w:ascii="Calibri" w:hAnsi="Calibri" w:cs="Calibri"/>
        </w:rPr>
        <w:t>a</w:t>
      </w:r>
      <w:r w:rsidRPr="0035461C">
        <w:rPr>
          <w:rFonts w:ascii="Calibri" w:hAnsi="Calibri" w:cs="Calibri"/>
        </w:rPr>
        <w:t xml:space="preserve">emic events. Since in some older </w:t>
      </w:r>
      <w:r w:rsidR="00EA7FC2" w:rsidRPr="0035461C">
        <w:rPr>
          <w:rFonts w:ascii="Calibri" w:hAnsi="Calibri" w:cs="Calibri"/>
        </w:rPr>
        <w:t>adult</w:t>
      </w:r>
      <w:r w:rsidR="00BA3B4C" w:rsidRPr="0035461C">
        <w:rPr>
          <w:rFonts w:ascii="Calibri" w:hAnsi="Calibri" w:cs="Calibri"/>
        </w:rPr>
        <w:t>s</w:t>
      </w:r>
      <w:r w:rsidRPr="0035461C">
        <w:rPr>
          <w:rFonts w:ascii="Calibri" w:hAnsi="Calibri" w:cs="Calibri"/>
        </w:rPr>
        <w:t xml:space="preserve"> with type 1 diabetes, administration of insulin may become more difﬁcult, simplification of insulin management may be justified in cases of individuals with complications, </w:t>
      </w:r>
      <w:r w:rsidR="00BA3B4C" w:rsidRPr="0035461C">
        <w:rPr>
          <w:rFonts w:ascii="Calibri" w:hAnsi="Calibri" w:cs="Calibri"/>
        </w:rPr>
        <w:t xml:space="preserve">or </w:t>
      </w:r>
      <w:r w:rsidRPr="0035461C">
        <w:rPr>
          <w:rFonts w:ascii="Calibri" w:hAnsi="Calibri" w:cs="Calibri"/>
        </w:rPr>
        <w:t>functional or cognitive impairment.</w:t>
      </w:r>
      <w:r w:rsidR="00EA7FC2" w:rsidRPr="0035461C">
        <w:rPr>
          <w:rFonts w:ascii="Calibri" w:hAnsi="Calibri" w:cs="Calibri"/>
        </w:rPr>
        <w:t xml:space="preserve"> </w:t>
      </w:r>
      <w:r w:rsidRPr="0035461C">
        <w:rPr>
          <w:rFonts w:ascii="Calibri" w:hAnsi="Calibri" w:cs="Calibri"/>
        </w:rPr>
        <w:t>The us</w:t>
      </w:r>
      <w:r w:rsidR="00BA3B4C" w:rsidRPr="0035461C">
        <w:rPr>
          <w:rFonts w:ascii="Calibri" w:hAnsi="Calibri" w:cs="Calibri"/>
        </w:rPr>
        <w:t>e</w:t>
      </w:r>
      <w:r w:rsidRPr="0035461C">
        <w:rPr>
          <w:rFonts w:ascii="Calibri" w:hAnsi="Calibri" w:cs="Calibri"/>
        </w:rPr>
        <w:t xml:space="preserve"> of advanced technologies in older individuals </w:t>
      </w:r>
      <w:r w:rsidR="00BA3B4C" w:rsidRPr="0035461C">
        <w:rPr>
          <w:rFonts w:ascii="Calibri" w:hAnsi="Calibri" w:cs="Calibri"/>
        </w:rPr>
        <w:t>is</w:t>
      </w:r>
      <w:r w:rsidRPr="0035461C">
        <w:rPr>
          <w:rFonts w:ascii="Calibri" w:hAnsi="Calibri" w:cs="Calibri"/>
        </w:rPr>
        <w:t xml:space="preserve"> useful and should not be discontinued or</w:t>
      </w:r>
      <w:r w:rsidRPr="0035461C">
        <w:rPr>
          <w:rFonts w:ascii="Calibri" w:hAnsi="Calibri" w:cs="Calibri"/>
          <w:i/>
        </w:rPr>
        <w:t xml:space="preserve"> a priori</w:t>
      </w:r>
      <w:r w:rsidRPr="0035461C">
        <w:rPr>
          <w:rFonts w:ascii="Calibri" w:hAnsi="Calibri" w:cs="Calibri"/>
        </w:rPr>
        <w:t xml:space="preserve"> excluded because of the older age</w:t>
      </w:r>
      <w:r w:rsidR="00896918" w:rsidRPr="0035461C">
        <w:rPr>
          <w:rFonts w:ascii="Calibri" w:hAnsi="Calibri" w:cs="Calibri"/>
        </w:rPr>
        <w:t xml:space="preserve"> </w:t>
      </w:r>
      <w:r w:rsidR="00115B69" w:rsidRPr="0035461C">
        <w:rPr>
          <w:rFonts w:ascii="Calibri" w:hAnsi="Calibri" w:cs="Calibri"/>
        </w:rPr>
        <w:fldChar w:fldCharType="begin"/>
      </w:r>
      <w:r w:rsidR="00CE0E7B">
        <w:rPr>
          <w:rFonts w:ascii="Calibri" w:hAnsi="Calibri" w:cs="Calibri"/>
        </w:rPr>
        <w:instrText xml:space="preserve"> ADDIN ZOTERO_ITEM CSL_CITATION {"citationID":"ZQ9AuJWf","properties":{"formattedCitation":"(78,273)","plainCitation":"(78,273)","noteIndex":0},"citationItems":[{"id":10737,"uris":["http://zotero.org/groups/369679/items/CVCMVLDC"],"uri":["http://zotero.org/groups/369679/items/CVCMVLDC"],"itemData":{"id":10737,"type":"article-journal","abstract":"Importance: Continuous glucose monitoring (CGM) provides real-time assessment of glucose levels and may be beneficial in reducing hypoglycemia in older adults with type 1 diabetes.\nObjective: To determine whether CGM is effective in reducing hypoglycemia compared with standard blood glucose monitoring (BGM) in older adults with type 1 diabetes.\nDesign, Setting, and Participants: Randomized clinical trial conducted at 22 endocrinology practices in the United States among 203 adults at least 60 years of age with type 1 diabetes.\nInterventions: Participants were randomly assigned in a 1:1 ratio to use CGM (n = 103) or standard BGM (n = 100).\nMain Outcomes and Measures: The primary outcome was CGM-measured percentage of time that sensor glucose values were less than 70 mg/dL during 6 months of follow-up. There were 31 prespecified secondary outcomes, including additional CGM metrics for hypoglycemia, hyperglycemia, and glucose control; hemoglobin A1c (HbA1c); and cognition and patient-reported outcomes, with adjustment for multiple comparisons to control for false-discovery rate.\nResults: Of the 203 participants (median age, 68 [interquartile range {IQR}, 65-71] years; median type 1 diabetes duration, 36 [IQR, 25-48] years; 52% female; 53% insulin pump use; mean HbA1c, 7.5% [SD, 0.9%]), 83% used CGM at least 6 days per week during month 6. Median time with glucose levels less than 70 mg/dL was 5.1% (73 minutes per day) at baseline and 2.7% (39 minutes per day) during follow-up in the CGM group vs 4.7% (68 minutes per day) and 4.9% (70 minutes per day), respectively, in the standard BGM group (adjusted treatment difference, -1.9% (-27 minutes per day); 95% CI, -2.8% to -1.1% [-40 to -16 minutes per day]; P &lt;.001). Of the 31 prespecified secondary end points, there were statistically significant differences for all 9 CGM metrics, 6 of 7 HbA1c outcomes, and none of the 15 cognitive and patient-reported outcomes. Mean HbA1c decreased in the CGM group compared with the standard BGM group (adjusted group difference, -0.3%; 95% CI, -0.4% to -0.1%; P &lt;.001). The most commonly reported adverse events using CGM and standard BGM, respectively, were severe hypoglycemia (1 and 10), fractures (5 and 1), falls (4 and 3), and emergency department visits (6 and 8).\nConclusions and Relevance: Among adults aged 60 years or older with type 1 diabetes, continuous glucose monitoring compared with standard blood glucose monitoring resulted in a small but statistically significant improvement in hypoglycemia over 6 months. Further research is needed to understand the long-term clinical benefit.\nTrial Registration: ClinicalTrials.gov Identifier: NCT03240432.","container-title":"JAMA","DOI":"10.1001/jama.2020.6928","ISSN":"1538-3598","issue":"23","journalAbbreviation":"JAMA","language":"eng","note":"PMID: 32543682\nPMCID: PMC7298607","page":"2397-2406","source":"PubMed","title":"Effect of Continuous Glucose Monitoring on Hypoglycemia in Older Adults With Type 1 Diabetes: A Randomized Clinical Trial","title-short":"Effect of Continuous Glucose Monitoring on Hypoglycemia in Older Adults With Type 1 Diabetes","volume":"323","author":[{"family":"Pratley","given":"Richard E."},{"family":"Kanapka","given":"Lauren G."},{"family":"Rickels","given":"Michael R."},{"family":"Ahmann","given":"Andrew"},{"family":"Aleppo","given":"Grazia"},{"family":"Beck","given":"Roy"},{"family":"Bhargava","given":"Anuj"},{"family":"Bode","given":"Bruce W."},{"family":"Carlson","given":"Anders"},{"family":"Chaytor","given":"Naomi S."},{"family":"Fox","given":"D. Steven"},{"family":"Goland","given":"Robin"},{"family":"Hirsch","given":"Irl B."},{"family":"Kruger","given":"Davida"},{"family":"Kudva","given":"Yogish C."},{"family":"Levy","given":"Carol"},{"family":"McGill","given":"Janet B."},{"family":"Peters","given":"Anne"},{"family":"Philipson","given":"Louis"},{"family":"Philis-Tsimikas","given":"Athena"},{"family":"Pop-Busui","given":"Rodica"},{"family":"Shah","given":"Viral N."},{"family":"Thompson","given":"Michael"},{"family":"Vendrame","given":"Francesco"},{"family":"Verdejo","given":"Alandra"},{"family":"Weinstock","given":"Ruth S."},{"family":"Young","given":"Laura"},{"family":"Miller","given":"Kellee M."},{"literal":"Wireless Innovation for Seniors With Diabetes Mellitus (WISDM) Study Group"}],"issued":{"date-parts":[["2020"]],"season":"16"}}},{"id":3637,"uris":["http://zotero.org/groups/369679/items/P4XIYYRB"],"uri":["http://zotero.org/groups/369679/items/P4XIYYRB"],"itemData":{"id":3637,"type":"article-journal","abstract":"IN BRIEF Older adults with diabetes present unique challenges and require considerations that are not traditionally associated with diabetes management. In this review, we focus on issues that are unique to the older population and provide practical guidance for clincians who care for them.","container-title":"Diabetes Spectrum","DOI":"10.2337/ds18-0033","ISSN":"1040-9165, 1944-7353","issue":"3","language":"en","page":"245-253","source":"spectrum.diabetesjournals.org","title":"Diabetes Management in the Elderly","volume":"31","author":[{"family":"Leung","given":"Erika"},{"family":"Wongrakpanich","given":"Supakanya"},{"family":"Munshi","given":"Medha N."}],"issued":{"date-parts":[["2018",8,1]]}}}],"schema":"https://github.com/citation-style-language/schema/raw/master/csl-citation.json"} </w:instrText>
      </w:r>
      <w:r w:rsidR="00115B69" w:rsidRPr="0035461C">
        <w:rPr>
          <w:rFonts w:ascii="Calibri" w:hAnsi="Calibri" w:cs="Calibri"/>
        </w:rPr>
        <w:fldChar w:fldCharType="separate"/>
      </w:r>
      <w:r w:rsidR="00CE0E7B" w:rsidRPr="00CE0E7B">
        <w:rPr>
          <w:rFonts w:ascii="Calibri" w:hAnsi="Calibri" w:cs="Calibri"/>
        </w:rPr>
        <w:t>(78,273)</w:t>
      </w:r>
      <w:r w:rsidR="00115B69" w:rsidRPr="0035461C">
        <w:rPr>
          <w:rFonts w:ascii="Calibri" w:hAnsi="Calibri" w:cs="Calibri"/>
        </w:rPr>
        <w:fldChar w:fldCharType="end"/>
      </w:r>
      <w:r w:rsidR="00896918" w:rsidRPr="0035461C">
        <w:rPr>
          <w:rFonts w:ascii="Calibri" w:hAnsi="Calibri" w:cs="Calibri"/>
        </w:rPr>
        <w:t>.</w:t>
      </w:r>
    </w:p>
    <w:p w14:paraId="5E9B70D3" w14:textId="77777777" w:rsidR="00C72A5C" w:rsidRPr="0035461C" w:rsidRDefault="00C72A5C" w:rsidP="00732E58">
      <w:pPr>
        <w:spacing w:before="120"/>
        <w:jc w:val="both"/>
        <w:rPr>
          <w:rFonts w:ascii="Calibri" w:hAnsi="Calibri" w:cs="Calibri"/>
        </w:rPr>
      </w:pPr>
    </w:p>
    <w:p w14:paraId="4C7B09C4" w14:textId="73D5C7B7" w:rsidR="00910721" w:rsidRPr="0035461C" w:rsidRDefault="00D3598D" w:rsidP="00732E58">
      <w:pPr>
        <w:spacing w:before="120"/>
        <w:jc w:val="both"/>
        <w:rPr>
          <w:rFonts w:ascii="Calibri" w:hAnsi="Calibri" w:cs="Calibri"/>
          <w:bCs/>
          <w:i/>
          <w:u w:val="single"/>
        </w:rPr>
      </w:pPr>
      <w:r w:rsidRPr="0035461C">
        <w:rPr>
          <w:rFonts w:ascii="Calibri" w:hAnsi="Calibri" w:cs="Calibri"/>
          <w:bCs/>
          <w:i/>
          <w:u w:val="single"/>
        </w:rPr>
        <w:t>P</w:t>
      </w:r>
      <w:r w:rsidR="00EA7FC2" w:rsidRPr="0035461C">
        <w:rPr>
          <w:rFonts w:ascii="Calibri" w:hAnsi="Calibri" w:cs="Calibri"/>
          <w:bCs/>
          <w:i/>
          <w:u w:val="single"/>
        </w:rPr>
        <w:t xml:space="preserve">eople </w:t>
      </w:r>
      <w:r w:rsidR="00910721" w:rsidRPr="0035461C">
        <w:rPr>
          <w:rFonts w:ascii="Calibri" w:hAnsi="Calibri" w:cs="Calibri"/>
          <w:bCs/>
          <w:i/>
          <w:u w:val="single"/>
        </w:rPr>
        <w:t xml:space="preserve">with late complications of </w:t>
      </w:r>
      <w:r w:rsidR="00EA7FC2" w:rsidRPr="0035461C">
        <w:rPr>
          <w:rFonts w:ascii="Calibri" w:hAnsi="Calibri" w:cs="Calibri"/>
          <w:bCs/>
          <w:i/>
          <w:u w:val="single"/>
        </w:rPr>
        <w:t>type 1 diabetes</w:t>
      </w:r>
    </w:p>
    <w:p w14:paraId="7B5A6998" w14:textId="5062466F" w:rsidR="00910721" w:rsidRPr="0035461C" w:rsidRDefault="007721AC" w:rsidP="00732E58">
      <w:pPr>
        <w:spacing w:before="120"/>
        <w:jc w:val="both"/>
        <w:rPr>
          <w:rFonts w:ascii="Calibri" w:hAnsi="Calibri" w:cs="Calibri"/>
        </w:rPr>
      </w:pPr>
      <w:r w:rsidRPr="0035461C">
        <w:rPr>
          <w:rFonts w:ascii="Calibri" w:hAnsi="Calibri" w:cs="Calibri"/>
        </w:rPr>
        <w:t>As there is no evidence that</w:t>
      </w:r>
      <w:r w:rsidR="00EA7FC2" w:rsidRPr="0035461C">
        <w:rPr>
          <w:rFonts w:ascii="Calibri" w:hAnsi="Calibri" w:cs="Calibri"/>
        </w:rPr>
        <w:t xml:space="preserve"> i</w:t>
      </w:r>
      <w:r w:rsidR="00910721" w:rsidRPr="0035461C">
        <w:rPr>
          <w:rFonts w:ascii="Calibri" w:hAnsi="Calibri" w:cs="Calibri"/>
        </w:rPr>
        <w:t>ntensive glyc</w:t>
      </w:r>
      <w:r w:rsidR="00EA7FC2" w:rsidRPr="0035461C">
        <w:rPr>
          <w:rFonts w:ascii="Calibri" w:hAnsi="Calibri" w:cs="Calibri"/>
        </w:rPr>
        <w:t>a</w:t>
      </w:r>
      <w:r w:rsidR="00910721" w:rsidRPr="0035461C">
        <w:rPr>
          <w:rFonts w:ascii="Calibri" w:hAnsi="Calibri" w:cs="Calibri"/>
        </w:rPr>
        <w:t xml:space="preserve">emic </w:t>
      </w:r>
      <w:r w:rsidR="00EA7FC2" w:rsidRPr="0035461C">
        <w:rPr>
          <w:rFonts w:ascii="Calibri" w:hAnsi="Calibri" w:cs="Calibri"/>
        </w:rPr>
        <w:t>management</w:t>
      </w:r>
      <w:r w:rsidR="00910721" w:rsidRPr="0035461C">
        <w:rPr>
          <w:rFonts w:ascii="Calibri" w:hAnsi="Calibri" w:cs="Calibri"/>
        </w:rPr>
        <w:t xml:space="preserve"> slow</w:t>
      </w:r>
      <w:r w:rsidRPr="0035461C">
        <w:rPr>
          <w:rFonts w:ascii="Calibri" w:hAnsi="Calibri" w:cs="Calibri"/>
        </w:rPr>
        <w:t>s</w:t>
      </w:r>
      <w:r w:rsidR="00910721" w:rsidRPr="0035461C">
        <w:rPr>
          <w:rFonts w:ascii="Calibri" w:hAnsi="Calibri" w:cs="Calibri"/>
        </w:rPr>
        <w:t xml:space="preserve"> the progression of late, microvascular complications of diabetes</w:t>
      </w:r>
      <w:r w:rsidR="003D7E3B" w:rsidRPr="0035461C">
        <w:rPr>
          <w:rFonts w:ascii="Calibri" w:hAnsi="Calibri" w:cs="Calibri"/>
        </w:rPr>
        <w:t>, glycaemic</w:t>
      </w:r>
      <w:r w:rsidR="00910721" w:rsidRPr="0035461C">
        <w:rPr>
          <w:rFonts w:ascii="Calibri" w:hAnsi="Calibri" w:cs="Calibri"/>
        </w:rPr>
        <w:t xml:space="preserve"> targets in individuals with </w:t>
      </w:r>
      <w:r w:rsidR="00380E0D" w:rsidRPr="0035461C">
        <w:rPr>
          <w:rFonts w:ascii="Calibri" w:hAnsi="Calibri" w:cs="Calibri"/>
        </w:rPr>
        <w:t xml:space="preserve">advanced </w:t>
      </w:r>
      <w:r w:rsidR="00910721" w:rsidRPr="0035461C">
        <w:rPr>
          <w:rFonts w:ascii="Calibri" w:hAnsi="Calibri" w:cs="Calibri"/>
        </w:rPr>
        <w:t xml:space="preserve">complications should be individualized and based on </w:t>
      </w:r>
      <w:r w:rsidR="00BA3B4C" w:rsidRPr="0035461C">
        <w:rPr>
          <w:rFonts w:ascii="Calibri" w:hAnsi="Calibri" w:cs="Calibri"/>
        </w:rPr>
        <w:t>the</w:t>
      </w:r>
      <w:r w:rsidR="00380E0D" w:rsidRPr="0035461C">
        <w:rPr>
          <w:rFonts w:ascii="Calibri" w:hAnsi="Calibri" w:cs="Calibri"/>
        </w:rPr>
        <w:t xml:space="preserve"> </w:t>
      </w:r>
      <w:r w:rsidR="00910721" w:rsidRPr="0035461C">
        <w:rPr>
          <w:rFonts w:ascii="Calibri" w:hAnsi="Calibri" w:cs="Calibri"/>
        </w:rPr>
        <w:t>balance of risks and benefits</w:t>
      </w:r>
      <w:r w:rsidR="00896918" w:rsidRPr="0035461C">
        <w:rPr>
          <w:rFonts w:ascii="Calibri" w:hAnsi="Calibri" w:cs="Calibri"/>
        </w:rPr>
        <w:t xml:space="preserve"> </w:t>
      </w:r>
      <w:r w:rsidR="006B3379" w:rsidRPr="0035461C">
        <w:rPr>
          <w:rFonts w:ascii="Calibri" w:hAnsi="Calibri" w:cs="Calibri"/>
        </w:rPr>
        <w:fldChar w:fldCharType="begin"/>
      </w:r>
      <w:r w:rsidR="00CE0E7B">
        <w:rPr>
          <w:rFonts w:ascii="Calibri" w:hAnsi="Calibri" w:cs="Calibri"/>
        </w:rPr>
        <w:instrText xml:space="preserve"> ADDIN ZOTERO_ITEM CSL_CITATION {"citationID":"9kprtGPX","properties":{"formattedCitation":"(39,274)","plainCitation":"(39,274)","noteIndex":0},"citationItems":[{"id":3865,"uris":["http://zotero.org/groups/369679/items/GDLTZHA3"],"uri":["http://zotero.org/groups/369679/items/GDLTZHA3"],"itemData":{"id":3865,"type":"article-journal","abstract":"BACKGROUND: Long-term microvascular and neurologic complications cause major morbidity and mortality in patients with insulin-dependent diabetes mellitus (IDDM). We examined whether intensive treatment with the goal of maintaining blood glucose concentrations close to the normal range could decrease the frequency and severity of these complications.\nMETHODS: A total of 1441 patients with IDDM--726 with no retinopathy at base line (the primary-prevention cohort) and 715 with mild retinopathy (the secondary-intervention cohort) were randomly assigned to intensive therapy administered either with an external insulin pump or by three or more daily insulin injections and guided by frequent blood glucose monitoring or to conventional therapy with one or two daily insulin injections. The patients were followed for a mean of 6.5 years, and the appearance and progression of retinopathy and other complications were assessed regularly.\nRESULTS: In the primary-prevention cohort, intensive therapy reduced the adjusted mean risk for the development of retinopathy by 76 percent (95 percent confidence interval, 62 to 85 percent), as compared with conventional therapy. In the secondary-intervention cohort, intensive therapy slowed the progression of retinopathy by 54 percent (95 percent confidence interval, 39 to 66 percent) and reduced the development of proliferative or severe nonproliferative retinopathy by 47 percent (95 percent confidence interval, 14 to 67 percent). In the two cohorts combined, intensive therapy reduced the occurrence of microalbuminuria (urinary albumin excretion of &gt; or = 40 mg per 24 hours) by 39 percent (95 percent confidence interval, 21 to 52 percent), that of albuminuria (urinary albumin excretion of &gt; or = 300 mg per 24 hours) by 54 percent (95 percent confidence interval 19 to 74 percent), and that of clinical neuropathy by 60 percent (95 percent confidence interval, 38 to 74 percent). The chief adverse event associated with intensive therapy was a two-to-threefold increase in severe hypoglycemia.\nCONCLUSIONS: Intensive therapy effectively delays the onset and slows the progression of diabetic retinopathy, nephropathy, and neuropathy in patients with IDDM.","container-title":"The New England Journal of Medicine","DOI":"10.1056/NEJM199309303291401","ISSN":"0028-4793","issue":"14","journalAbbreviation":"N. Engl. J. Med.","language":"eng","note":"PMID: 8366922","page":"977-986","source":"PubMed","title":"The effect of intensive treatment of diabetes on the development and progression of long-term complications in insulin-dependent diabetes mellitus","volume":"329","author":[{"literal":"Diabetes Control and Complications Trial Research Group"},{"family":"Nathan","given":"D. M."},{"family":"Genuth","given":"S."},{"family":"Lachin","given":"J."},{"family":"Cleary","given":"P."},{"family":"Crofford","given":"O."},{"family":"Davis","given":"M."},{"family":"Rand","given":"L."},{"family":"Siebert","given":"C."}],"issued":{"date-parts":[["1993"]],"season":"30"}}},{"id":11354,"uris":["http://zotero.org/groups/369679/items/JL3L8ZMF"],"uri":["http://zotero.org/groups/369679/items/JL3L8ZMF"],"itemData":{"id":11354,"type":"article-journal","abstract":"Tight blood glucose control has been speculated to reduce late complications in insulin-dependent diabetics but results from individual studies have been inconsistent. We have done a meta-analysis of sixteen randomised trials of intensive therapy to estimate its impact on the progression of diabetic retinopathy and nephropathy and the risks of severe side-effects. In the intensive therapy group, the risk of retinopathy progression was insignificantly higher after 6-12 months of intensive control (odds ratio [OR] 2.11). After more than two years of intensive therapy the risk of retinopathy progression was lower (OR 0.49 [95% confidence interval 0.28-0.85], p = 0.011). The risk of nephropathy progression was also decreased significantly (OR 0.34 [0.20-0.58], p &lt; 0.001). The incidence of severe hypoglycaemia increased by 9.1 episodes per 100 person-years (95% Cl -1.4 to +19.6) in the intensively treated patients. The incidence of diabetic ketoacidosis increased by 12.6 episodes per 100 person-years (95% Cl, 8.7-16.5) in the patients on continuous subcutaneous insulin infusion. Long-term intensive blood glucose control significantly reduces the risk of diabetic retinopathy and nephropathy progression but long-term continuous subcutaneous insulin infusion was associated with an increased incidence of diabetic ketoacidosis, and intensive therapy may cause more severe hypoglycaemic reactions.","container-title":"Lancet (London, England)","DOI":"10.1016/0140-6736(93)90816-y","ISSN":"0140-6736","issue":"8856","journalAbbreviation":"Lancet","language":"eng","note":"PMID: 8098449","page":"1306-1309","source":"PubMed","title":"Meta-analysis of effects of intensive blood-glucose control on late complications of type I diabetes","volume":"341","author":[{"family":"Wang","given":"P. H."},{"family":"Lau","given":"J."},{"family":"Chalmers","given":"T. C."}],"issued":{"date-parts":[["1993",5,22]]}}}],"schema":"https://github.com/citation-style-language/schema/raw/master/csl-citation.json"} </w:instrText>
      </w:r>
      <w:r w:rsidR="006B3379" w:rsidRPr="0035461C">
        <w:rPr>
          <w:rFonts w:ascii="Calibri" w:hAnsi="Calibri" w:cs="Calibri"/>
        </w:rPr>
        <w:fldChar w:fldCharType="separate"/>
      </w:r>
      <w:r w:rsidR="00CE0E7B" w:rsidRPr="00CE0E7B">
        <w:rPr>
          <w:rFonts w:ascii="Calibri" w:hAnsi="Calibri" w:cs="Calibri"/>
        </w:rPr>
        <w:t>(39,274)</w:t>
      </w:r>
      <w:r w:rsidR="006B3379" w:rsidRPr="0035461C">
        <w:rPr>
          <w:rFonts w:ascii="Calibri" w:hAnsi="Calibri" w:cs="Calibri"/>
        </w:rPr>
        <w:fldChar w:fldCharType="end"/>
      </w:r>
      <w:r w:rsidR="00896918" w:rsidRPr="0035461C">
        <w:rPr>
          <w:rFonts w:ascii="Calibri" w:hAnsi="Calibri" w:cs="Calibri"/>
        </w:rPr>
        <w:t>.</w:t>
      </w:r>
      <w:r w:rsidR="00910721" w:rsidRPr="0035461C">
        <w:rPr>
          <w:rFonts w:ascii="Calibri" w:hAnsi="Calibri" w:cs="Calibri"/>
        </w:rPr>
        <w:t xml:space="preserve"> Diabetes management may be particularly challenging in</w:t>
      </w:r>
      <w:r w:rsidR="003D7E3B" w:rsidRPr="0035461C">
        <w:rPr>
          <w:rFonts w:ascii="Calibri" w:hAnsi="Calibri" w:cs="Calibri"/>
        </w:rPr>
        <w:t xml:space="preserve"> i</w:t>
      </w:r>
      <w:r w:rsidR="00910721" w:rsidRPr="0035461C">
        <w:rPr>
          <w:rFonts w:ascii="Calibri" w:hAnsi="Calibri" w:cs="Calibri"/>
        </w:rPr>
        <w:t>ndividuals with chronic kidney disease who may be at an increased risk of hypoglyc</w:t>
      </w:r>
      <w:r w:rsidR="003D7E3B" w:rsidRPr="0035461C">
        <w:rPr>
          <w:rFonts w:ascii="Calibri" w:hAnsi="Calibri" w:cs="Calibri"/>
        </w:rPr>
        <w:t>a</w:t>
      </w:r>
      <w:r w:rsidR="00910721" w:rsidRPr="0035461C">
        <w:rPr>
          <w:rFonts w:ascii="Calibri" w:hAnsi="Calibri" w:cs="Calibri"/>
        </w:rPr>
        <w:t xml:space="preserve">emia and in whom </w:t>
      </w:r>
      <w:r w:rsidR="003D7E3B" w:rsidRPr="0035461C">
        <w:rPr>
          <w:rFonts w:ascii="Calibri" w:hAnsi="Calibri" w:cs="Calibri"/>
        </w:rPr>
        <w:t>HbA</w:t>
      </w:r>
      <w:r w:rsidR="003D7E3B" w:rsidRPr="0035461C">
        <w:rPr>
          <w:rFonts w:ascii="Calibri" w:hAnsi="Calibri" w:cs="Calibri"/>
          <w:vertAlign w:val="subscript"/>
        </w:rPr>
        <w:t>1c</w:t>
      </w:r>
      <w:r w:rsidR="00910721" w:rsidRPr="0035461C">
        <w:rPr>
          <w:rFonts w:ascii="Calibri" w:hAnsi="Calibri" w:cs="Calibri"/>
        </w:rPr>
        <w:t xml:space="preserve"> can be falsely low</w:t>
      </w:r>
      <w:r w:rsidR="00896918" w:rsidRPr="0035461C">
        <w:rPr>
          <w:rFonts w:ascii="Calibri" w:hAnsi="Calibri" w:cs="Calibri"/>
        </w:rPr>
        <w:t xml:space="preserve"> </w:t>
      </w:r>
      <w:r w:rsidR="0087013F" w:rsidRPr="0035461C">
        <w:rPr>
          <w:rFonts w:ascii="Calibri" w:hAnsi="Calibri" w:cs="Calibri"/>
        </w:rPr>
        <w:fldChar w:fldCharType="begin"/>
      </w:r>
      <w:r w:rsidR="00CE0E7B">
        <w:rPr>
          <w:rFonts w:ascii="Calibri" w:hAnsi="Calibri" w:cs="Calibri"/>
        </w:rPr>
        <w:instrText xml:space="preserve"> ADDIN ZOTERO_ITEM CSL_CITATION {"citationID":"0cjOKGIU","properties":{"formattedCitation":"(275)","plainCitation":"(275)","noteIndex":0},"citationItems":[{"id":11358,"uris":["http://zotero.org/groups/369679/items/P3SXQEFB"],"uri":["http://zotero.org/groups/369679/items/P3SXQEFB"],"itemData":{"id":11358,"type":"article-journal","abstract":"The incidence and prevalence of diabetes mellitus (DM) continue to grow markedly throughout the world, due primarily to the increase in type 2 DM (T2DM). Although improvements in DM and hypertension management have reduced the proportion of diabetic individuals who develop chronic kidney disease (CKD) and progress to end-stage renal disease (ESRD), the sheer increase in people developing DM will have a major impact on dialysis and transplant needs. This KDIGO conference addressed a number of controversial areas in the management of DM patients with CKD, including aspects of screening for CKD with measurements of albuminuria and estimated glomerular filtration rate (eGFR); defining treatment outcomes; glycemic management in both those developing CKD and those with ESRD; hypertension goals and management, including blockers of the renin-angiotensin-aldosterone system; and lipid management.","container-title":"Kidney International","DOI":"10.1038/ki.2014.128","ISSN":"1523-1755","issue":"1","journalAbbreviation":"Kidney Int","language":"eng","note":"PMID: 24786708\nPMCID: PMC4214898","page":"20-30","source":"PubMed","title":"Diabetic kidney disease: a clinical update from Kidney Disease: Improving Global Outcomes","title-short":"Diabetic kidney disease","volume":"87","author":[{"family":"Molitch","given":"Mark E."},{"family":"Adler","given":"Amanda I."},{"family":"Flyvbjerg","given":"Allan"},{"family":"Nelson","given":"Robert G."},{"family":"So","given":"Wing-Yee"},{"family":"Wanner","given":"Christoph"},{"family":"Kasiske","given":"Bertram L."},{"family":"Wheeler","given":"David C."},{"family":"Zeeuw","given":"Dick","non-dropping-particle":"de"},{"family":"Mogensen","given":"Carl E."}],"issued":{"date-parts":[["2015",1]]}}}],"schema":"https://github.com/citation-style-language/schema/raw/master/csl-citation.json"} </w:instrText>
      </w:r>
      <w:r w:rsidR="0087013F" w:rsidRPr="0035461C">
        <w:rPr>
          <w:rFonts w:ascii="Calibri" w:hAnsi="Calibri" w:cs="Calibri"/>
        </w:rPr>
        <w:fldChar w:fldCharType="separate"/>
      </w:r>
      <w:r w:rsidR="00CE0E7B" w:rsidRPr="00CE0E7B">
        <w:rPr>
          <w:rFonts w:ascii="Calibri" w:hAnsi="Calibri" w:cs="Calibri"/>
        </w:rPr>
        <w:t>(275)</w:t>
      </w:r>
      <w:r w:rsidR="0087013F" w:rsidRPr="0035461C">
        <w:rPr>
          <w:rFonts w:ascii="Calibri" w:hAnsi="Calibri" w:cs="Calibri"/>
        </w:rPr>
        <w:fldChar w:fldCharType="end"/>
      </w:r>
      <w:r w:rsidR="003D7E3B" w:rsidRPr="0035461C">
        <w:rPr>
          <w:rFonts w:ascii="Calibri" w:hAnsi="Calibri" w:cs="Calibri"/>
        </w:rPr>
        <w:t xml:space="preserve"> and in people </w:t>
      </w:r>
      <w:r w:rsidR="00910721" w:rsidRPr="0035461C">
        <w:rPr>
          <w:rFonts w:ascii="Calibri" w:hAnsi="Calibri" w:cs="Calibri"/>
        </w:rPr>
        <w:t>with gastroparesis and unpredictable rate</w:t>
      </w:r>
      <w:r w:rsidR="00C95934" w:rsidRPr="0035461C">
        <w:rPr>
          <w:rFonts w:ascii="Calibri" w:hAnsi="Calibri" w:cs="Calibri"/>
        </w:rPr>
        <w:t xml:space="preserve">s </w:t>
      </w:r>
      <w:r w:rsidR="00910721" w:rsidRPr="0035461C">
        <w:rPr>
          <w:rFonts w:ascii="Calibri" w:hAnsi="Calibri" w:cs="Calibri"/>
        </w:rPr>
        <w:t>of food absorption</w:t>
      </w:r>
      <w:r w:rsidR="00896918" w:rsidRPr="0035461C">
        <w:rPr>
          <w:rFonts w:ascii="Calibri" w:hAnsi="Calibri" w:cs="Calibri"/>
        </w:rPr>
        <w:t xml:space="preserve"> </w:t>
      </w:r>
      <w:r w:rsidR="00706F12" w:rsidRPr="0035461C">
        <w:rPr>
          <w:rFonts w:ascii="Calibri" w:hAnsi="Calibri" w:cs="Calibri"/>
        </w:rPr>
        <w:fldChar w:fldCharType="begin"/>
      </w:r>
      <w:r w:rsidR="00CE0E7B">
        <w:rPr>
          <w:rFonts w:ascii="Calibri" w:hAnsi="Calibri" w:cs="Calibri"/>
        </w:rPr>
        <w:instrText xml:space="preserve"> ADDIN ZOTERO_ITEM CSL_CITATION {"citationID":"c7EECgrd","properties":{"formattedCitation":"(276)","plainCitation":"(276)","noteIndex":0},"citationItems":[{"id":11361,"uris":["http://zotero.org/groups/369679/items/88KUJY39"],"uri":["http://zotero.org/groups/369679/items/88KUJY39"],"itemData":{"id":11361,"type":"article-journal","abstract":"OBJECTIVE: To better understand the prevalence and impact of gastroparesis in the T1D Exchange clinic registry database.\nMETHODS: The analysis included 7107 adult participants with T1D across 45 sites (median age 46years. and median duration 24years). Linear and logistic regression models were used to assess the association of gastroparesis vs. no gastroparesis (obtained from medical record) with demographic characteristics, glycemic control and diabetes complications.\nRESULTS: Among 7107 registry participants, 340 (4.8%) had a clinical diagnosis of gastroparesis. Females were more likely to have gastroparesis compared with males (5.8% vs. 3.5%, P&lt;0.001). Participants with gastroparesis compared with those without gastroparesis were older (median age 49.4 vs. 45.3years, P&lt;0.001), had a longer duration of T1D (median duration 32 vs. 23years, P&lt;0.001), higher mean HbA1c (8.1% vs. 7.7% [65 vs. 61mmol/mol], P&lt;0.001), more frequent severe hypoglycemia (25% vs. 11% with ≥1 event in the past 12months, P&lt;0.001), lower socio-economic status, less likely to be using CGM and insulin pump and greater prevalence of microvascular and neuropathic complications than participants without gastroparesis.\nCONCLUSION: Gastroparesis is associated with higher risk of severe hypoglycemia despite higher HbA1c levels than in T1D patients without gastroparesis. The increased presence of multiple long-term complications and overall poor glycemic control in these subjects emphasizes the need to establish diagnostic protocols for earlier diagnosis, achieve tighter glycemic control with more extensive use of insulin pumps and continuous glucose monitoring, and the need for wider availability of medical therapies for treatment of diabetic gastroparesis.","container-title":"Journal of Diabetes and Its Complications","DOI":"10.1016/j.jdiacomp.2017.08.014","ISSN":"1873-460X","issue":"12","journalAbbreviation":"J Diabetes Complications","language":"eng","note":"PMID: 28989086\nPMCID: PMC7172031","page":"1669-1673","source":"PubMed","title":"Reported gastroparesis in adults with type 1 diabetes (T1D) from the T1D Exchange clinic registry","volume":"31","author":[{"family":"Aleppo","given":"Grazia"},{"family":"Calhoun","given":"Peter"},{"family":"Foster","given":"Nicole C."},{"family":"Maahs","given":"David M."},{"family":"Shah","given":"Viral N."},{"family":"Miller","given":"Kellee M."},{"literal":"T1D Exchange Clinic Network"}],"issued":{"date-parts":[["2017",12]]}}}],"schema":"https://github.com/citation-style-language/schema/raw/master/csl-citation.json"} </w:instrText>
      </w:r>
      <w:r w:rsidR="00706F12" w:rsidRPr="0035461C">
        <w:rPr>
          <w:rFonts w:ascii="Calibri" w:hAnsi="Calibri" w:cs="Calibri"/>
        </w:rPr>
        <w:fldChar w:fldCharType="separate"/>
      </w:r>
      <w:r w:rsidR="00CE0E7B" w:rsidRPr="00CE0E7B">
        <w:rPr>
          <w:rFonts w:ascii="Calibri" w:hAnsi="Calibri" w:cs="Calibri"/>
        </w:rPr>
        <w:t>(276)</w:t>
      </w:r>
      <w:r w:rsidR="00706F12" w:rsidRPr="0035461C">
        <w:rPr>
          <w:rFonts w:ascii="Calibri" w:hAnsi="Calibri" w:cs="Calibri"/>
        </w:rPr>
        <w:fldChar w:fldCharType="end"/>
      </w:r>
      <w:r w:rsidR="00896918" w:rsidRPr="0035461C">
        <w:rPr>
          <w:rFonts w:ascii="Calibri" w:hAnsi="Calibri" w:cs="Calibri"/>
        </w:rPr>
        <w:t>.</w:t>
      </w:r>
      <w:r w:rsidR="00732E58" w:rsidRPr="0035461C">
        <w:rPr>
          <w:rFonts w:ascii="Calibri" w:hAnsi="Calibri" w:cs="Calibri"/>
        </w:rPr>
        <w:t xml:space="preserve"> </w:t>
      </w:r>
      <w:r w:rsidR="00910721" w:rsidRPr="0035461C">
        <w:rPr>
          <w:rFonts w:ascii="Calibri" w:hAnsi="Calibri" w:cs="Calibri"/>
        </w:rPr>
        <w:t>The rate of optimizing glyc</w:t>
      </w:r>
      <w:r w:rsidR="00732E58" w:rsidRPr="0035461C">
        <w:rPr>
          <w:rFonts w:ascii="Calibri" w:hAnsi="Calibri" w:cs="Calibri"/>
        </w:rPr>
        <w:t>a</w:t>
      </w:r>
      <w:r w:rsidR="00910721" w:rsidRPr="0035461C">
        <w:rPr>
          <w:rFonts w:ascii="Calibri" w:hAnsi="Calibri" w:cs="Calibri"/>
        </w:rPr>
        <w:t>emi</w:t>
      </w:r>
      <w:r w:rsidR="00896918" w:rsidRPr="0035461C">
        <w:rPr>
          <w:rFonts w:ascii="Calibri" w:hAnsi="Calibri" w:cs="Calibri"/>
        </w:rPr>
        <w:t>a</w:t>
      </w:r>
      <w:r w:rsidR="00910721" w:rsidRPr="0035461C">
        <w:rPr>
          <w:rFonts w:ascii="Calibri" w:hAnsi="Calibri" w:cs="Calibri"/>
        </w:rPr>
        <w:t xml:space="preserve"> in this group of </w:t>
      </w:r>
      <w:r w:rsidR="00732E58" w:rsidRPr="0035461C">
        <w:rPr>
          <w:rFonts w:ascii="Calibri" w:hAnsi="Calibri" w:cs="Calibri"/>
        </w:rPr>
        <w:t>people</w:t>
      </w:r>
      <w:r w:rsidR="00910721" w:rsidRPr="0035461C">
        <w:rPr>
          <w:rFonts w:ascii="Calibri" w:hAnsi="Calibri" w:cs="Calibri"/>
        </w:rPr>
        <w:t xml:space="preserve"> should also be individualized</w:t>
      </w:r>
      <w:r w:rsidR="00732E58" w:rsidRPr="0035461C">
        <w:rPr>
          <w:rFonts w:ascii="Calibri" w:hAnsi="Calibri" w:cs="Calibri"/>
        </w:rPr>
        <w:t xml:space="preserve"> as r</w:t>
      </w:r>
      <w:r w:rsidR="00910721" w:rsidRPr="0035461C">
        <w:rPr>
          <w:rFonts w:ascii="Calibri" w:hAnsi="Calibri" w:cs="Calibri"/>
        </w:rPr>
        <w:t>apid improvement may be associated with transient early worsening of retinopathy or the development of acute painful neuropathy</w:t>
      </w:r>
      <w:r w:rsidR="00896918" w:rsidRPr="0035461C">
        <w:rPr>
          <w:rFonts w:ascii="Calibri" w:hAnsi="Calibri" w:cs="Calibri"/>
        </w:rPr>
        <w:t xml:space="preserve"> </w:t>
      </w:r>
      <w:r w:rsidR="00EA1D92" w:rsidRPr="0035461C">
        <w:rPr>
          <w:rFonts w:ascii="Calibri" w:hAnsi="Calibri" w:cs="Calibri"/>
        </w:rPr>
        <w:fldChar w:fldCharType="begin"/>
      </w:r>
      <w:r w:rsidR="00CE0E7B">
        <w:rPr>
          <w:rFonts w:ascii="Calibri" w:hAnsi="Calibri" w:cs="Calibri"/>
        </w:rPr>
        <w:instrText xml:space="preserve"> ADDIN ZOTERO_ITEM CSL_CITATION {"citationID":"rh7LJBl2","properties":{"formattedCitation":"(277,278)","plainCitation":"(277,278)","noteIndex":0},"citationItems":[{"id":11364,"uris":["http://zotero.org/groups/369679/items/AQYLX82V"],"uri":["http://zotero.org/groups/369679/items/AQYLX82V"],"itemData":{"id":11364,"type":"article-journal","abstract":"OBJECTIVES: To document the frequency, importance of, and risk factors for \"early worsening\" of diabetic retinopathy in the Diabetes Control and Complications Trial (DCCT).\nMETHODS: The DCCT was a multicenter, randomized clinical trial comparing intensive vs conventional treatment in insulin-dependent diabetic patients who had no to moderate nonproliferative retinopathy. Retinopathy severity was assessed in 7-field stereoscopic fundus photographs taken at baseline and every 6 months. For this study, worsening was defined as progression of 3 steps or more on the Early Treatment Diabetic Retinopathy Study final scale, as the development of soft exudates and/or intraretinal microvascular abnormalities, as the development of clinically important retinopathy, or as any of the above, and was considered \"early\" if it occurred between baseline and 12-month follow-up visits.\nRESULTS: Early worsening was observed at the 6- and/or 12-month visit in 13.1% of 711 patients assigned to intensive treatment and in 7.6% of 728 patients assigned to conventional treatment (odds ratio, 2.06; P &lt; .001); recovery had occurred at the 18-month visit in 51% and 55% of these groups, respectively (P = .39). The risk of 3-step or greater progression from the retinopathy level present 18 months after entry into the trial was greater in patients who previously had had early worsening than in those who had not. However, the large long-term risk reduction with intensive treatment was such that outcomes in intensively treated patients who had early worsening were similar to or more favorable than outcomes in conventionally treated patients who had not. The most important risk factors for early worsening were higher hemoglobin A1c level at screening and reduction of this level during the first 6 months after randomization. We found no evidence to suggest that more gradual reduction of glycemia might be associated with less risk of early worsening. Early worsening led to high-risk proliferative retinopathy in 2 patients and to clinically significant macular edema in 3; all responded well to treatment.\nCONCLUSIONS: In the DCCT, the long-term benefits of intensive insulin treatment greatly outweighed the risks of early worsening. Although no case of early worsening was associated with serious visual loss, our results are consistent with previous reports of sight-threatening worsening when intensive treatment is initiated in patients with long-standing poor glycemic control, particularly if retinopathy is at or past the moderate nonproliferative stage. Ophthalmologic monitoring before initiation of intensive treatment and at 3-month intervals for 6 to 12 months thereafter seems appropriate for such patients. In patients whose retinopathy is already approaching the high-risk stage, it may be prudent to delay the initiation of intensive treatment until photocoagulation can be completed, particularly if hemoglobin A1c is high.","container-title":"Archives of Ophthalmology (Chicago, Ill.: 1960)","DOI":"10.1001/archopht.116.7.874","ISSN":"0003-9950","issue":"7","journalAbbreviation":"Arch Ophthalmol","language":"eng","note":"PMID: 9682700","page":"874-886","source":"PubMed","title":"Early worsening of diabetic retinopathy in the Diabetes Control and Complications Trial","volume":"116","issued":{"date-parts":[["1998",7]]}}},{"id":11367,"uris":["http://zotero.org/groups/369679/items/JWL46AHC"],"uri":["http://zotero.org/groups/369679/items/JWL46AHC"],"itemData":{"id":11367,"type":"article-journal","abstract":"A case of acute painful diabetic neuropathy that followed the establishment of strict glycaemic control using continuous subcutaneous insulin infusion is described. Sural nerve biopsy shortly after the onset of the acute painful syndrome showed no evidence of active nerve fibre degeneration; instead, the appearances were those of a chronic neuropathy with prominent regenerative activity. The suggestion is made that adequate diabetic control promoted regeneration and that the pain may have been related to the ectopic generation of impulses in regenerating axon sprouts.","container-title":"Acta Neuropathologica","DOI":"10.1007/BF00685978","ISSN":"0001-6322","issue":"2","journalAbbreviation":"Acta Neuropathol","language":"eng","note":"PMID: 3825515","page":"157-163","source":"PubMed","title":"Acute painful diabetic neuropathy precipitated by strict glycaemic control","volume":"72","author":[{"family":"Llewelyn","given":"J. G."},{"family":"Thomas","given":"P. K."},{"family":"Fonseca","given":"V."},{"family":"King","given":"R. H."},{"family":"Dandona","given":"P."}],"issued":{"date-parts":[["1986"]]}}}],"schema":"https://github.com/citation-style-language/schema/raw/master/csl-citation.json"} </w:instrText>
      </w:r>
      <w:r w:rsidR="00EA1D92" w:rsidRPr="0035461C">
        <w:rPr>
          <w:rFonts w:ascii="Calibri" w:hAnsi="Calibri" w:cs="Calibri"/>
        </w:rPr>
        <w:fldChar w:fldCharType="separate"/>
      </w:r>
      <w:r w:rsidR="00CE0E7B" w:rsidRPr="00CE0E7B">
        <w:rPr>
          <w:rFonts w:ascii="Calibri" w:hAnsi="Calibri" w:cs="Calibri"/>
        </w:rPr>
        <w:t>(277,278)</w:t>
      </w:r>
      <w:r w:rsidR="00EA1D92" w:rsidRPr="0035461C">
        <w:rPr>
          <w:rFonts w:ascii="Calibri" w:hAnsi="Calibri" w:cs="Calibri"/>
        </w:rPr>
        <w:fldChar w:fldCharType="end"/>
      </w:r>
      <w:r w:rsidR="00896918" w:rsidRPr="0035461C">
        <w:rPr>
          <w:rFonts w:ascii="Calibri" w:hAnsi="Calibri" w:cs="Calibri"/>
        </w:rPr>
        <w:t>.</w:t>
      </w:r>
      <w:r w:rsidR="00910721" w:rsidRPr="0035461C">
        <w:rPr>
          <w:rFonts w:ascii="Calibri" w:hAnsi="Calibri" w:cs="Calibri"/>
        </w:rPr>
        <w:t xml:space="preserve"> In </w:t>
      </w:r>
      <w:r w:rsidR="00732E58" w:rsidRPr="0035461C">
        <w:rPr>
          <w:rFonts w:ascii="Calibri" w:hAnsi="Calibri" w:cs="Calibri"/>
        </w:rPr>
        <w:t>people</w:t>
      </w:r>
      <w:r w:rsidR="00910721" w:rsidRPr="0035461C">
        <w:rPr>
          <w:rFonts w:ascii="Calibri" w:hAnsi="Calibri" w:cs="Calibri"/>
        </w:rPr>
        <w:t xml:space="preserve"> with cardiovascular complications</w:t>
      </w:r>
      <w:r w:rsidR="00732E58" w:rsidRPr="0035461C">
        <w:rPr>
          <w:rFonts w:ascii="Calibri" w:hAnsi="Calibri" w:cs="Calibri"/>
        </w:rPr>
        <w:t>,</w:t>
      </w:r>
      <w:r w:rsidR="00910721" w:rsidRPr="0035461C">
        <w:rPr>
          <w:rFonts w:ascii="Calibri" w:hAnsi="Calibri" w:cs="Calibri"/>
        </w:rPr>
        <w:t xml:space="preserve"> hypoglyc</w:t>
      </w:r>
      <w:r w:rsidR="00732E58" w:rsidRPr="0035461C">
        <w:rPr>
          <w:rFonts w:ascii="Calibri" w:hAnsi="Calibri" w:cs="Calibri"/>
        </w:rPr>
        <w:t>a</w:t>
      </w:r>
      <w:r w:rsidR="00910721" w:rsidRPr="0035461C">
        <w:rPr>
          <w:rFonts w:ascii="Calibri" w:hAnsi="Calibri" w:cs="Calibri"/>
        </w:rPr>
        <w:t>emia avoidance should be one of the management priorities</w:t>
      </w:r>
      <w:r w:rsidR="00896918" w:rsidRPr="0035461C">
        <w:rPr>
          <w:rFonts w:ascii="Calibri" w:hAnsi="Calibri" w:cs="Calibri"/>
        </w:rPr>
        <w:t xml:space="preserve"> </w:t>
      </w:r>
      <w:r w:rsidR="004A025F" w:rsidRPr="0035461C">
        <w:rPr>
          <w:rFonts w:ascii="Calibri" w:hAnsi="Calibri" w:cs="Calibri"/>
        </w:rPr>
        <w:fldChar w:fldCharType="begin"/>
      </w:r>
      <w:r w:rsidR="00CE0E7B">
        <w:rPr>
          <w:rFonts w:ascii="Calibri" w:hAnsi="Calibri" w:cs="Calibri"/>
        </w:rPr>
        <w:instrText xml:space="preserve"> ADDIN ZOTERO_ITEM CSL_CITATION {"citationID":"sdefBVyM","properties":{"formattedCitation":"(279)","plainCitation":"(279)","noteIndex":0},"citationItems":[{"id":11369,"uris":["http://zotero.org/groups/369679/items/RRHQYIS4"],"uri":["http://zotero.org/groups/369679/items/RRHQYIS4"],"itemData":{"id":11369,"type":"article-journal","container-title":"Diabetes Care","DOI":"10.2337/dc14-1720","ISSN":"1935-5548","issue":"10","journalAbbreviation":"Diabetes Care","language":"eng","note":"PMID: 25114297\nPMCID: PMC4170130","page":"2843-2863","source":"PubMed","title":"Type 1 diabetes mellitus and cardiovascular disease: a scientific statement from the American Heart Association and American Diabetes Association","title-short":"Type 1 diabetes mellitus and cardiovascular disease","volume":"37","author":[{"family":"Ferranti","given":"Sarah D.","non-dropping-particle":"de"},{"family":"Boer","given":"Ian H.","non-dropping-particle":"de"},{"family":"Fonseca","given":"Vivian"},{"family":"Fox","given":"Caroline S."},{"family":"Golden","given":"Sherita Hill"},{"family":"Lavie","given":"Carl J."},{"family":"Magge","given":"Sheela N."},{"family":"Marx","given":"Nikolaus"},{"family":"McGuire","given":"Darren K."},{"family":"Orchard","given":"Trevor J."},{"family":"Zinman","given":"Bernard"},{"family":"Eckel","given":"Robert H."}],"issued":{"date-parts":[["2014",10]]}}}],"schema":"https://github.com/citation-style-language/schema/raw/master/csl-citation.json"} </w:instrText>
      </w:r>
      <w:r w:rsidR="004A025F" w:rsidRPr="0035461C">
        <w:rPr>
          <w:rFonts w:ascii="Calibri" w:hAnsi="Calibri" w:cs="Calibri"/>
        </w:rPr>
        <w:fldChar w:fldCharType="separate"/>
      </w:r>
      <w:r w:rsidR="00CE0E7B" w:rsidRPr="00CE0E7B">
        <w:rPr>
          <w:rFonts w:ascii="Calibri" w:hAnsi="Calibri" w:cs="Calibri"/>
        </w:rPr>
        <w:t>(279)</w:t>
      </w:r>
      <w:r w:rsidR="004A025F" w:rsidRPr="0035461C">
        <w:rPr>
          <w:rFonts w:ascii="Calibri" w:hAnsi="Calibri" w:cs="Calibri"/>
        </w:rPr>
        <w:fldChar w:fldCharType="end"/>
      </w:r>
      <w:r w:rsidR="00896918" w:rsidRPr="0035461C">
        <w:rPr>
          <w:rFonts w:ascii="Calibri" w:hAnsi="Calibri" w:cs="Calibri"/>
        </w:rPr>
        <w:t>.</w:t>
      </w:r>
      <w:r w:rsidR="00910721" w:rsidRPr="0035461C">
        <w:rPr>
          <w:rFonts w:ascii="Calibri" w:hAnsi="Calibri" w:cs="Calibri"/>
        </w:rPr>
        <w:t xml:space="preserve"> </w:t>
      </w:r>
    </w:p>
    <w:p w14:paraId="5691EAC6" w14:textId="77777777" w:rsidR="00910721" w:rsidRPr="0035461C" w:rsidRDefault="00910721" w:rsidP="00732E58">
      <w:pPr>
        <w:spacing w:before="120"/>
        <w:jc w:val="both"/>
        <w:rPr>
          <w:rFonts w:ascii="Calibri" w:hAnsi="Calibri" w:cs="Calibri"/>
        </w:rPr>
      </w:pPr>
    </w:p>
    <w:p w14:paraId="36E87FD4" w14:textId="5F1AFB3D" w:rsidR="00910721" w:rsidRPr="0035461C" w:rsidRDefault="005431A2" w:rsidP="00732E58">
      <w:pPr>
        <w:spacing w:before="120"/>
        <w:jc w:val="both"/>
        <w:rPr>
          <w:rFonts w:ascii="Calibri" w:hAnsi="Calibri" w:cs="Calibri"/>
          <w:b/>
          <w:bCs/>
        </w:rPr>
      </w:pPr>
      <w:r w:rsidRPr="0035461C">
        <w:rPr>
          <w:rFonts w:ascii="Calibri" w:hAnsi="Calibri" w:cs="Calibri"/>
          <w:b/>
          <w:bCs/>
        </w:rPr>
        <w:t>Section 1</w:t>
      </w:r>
      <w:r w:rsidR="00A42893" w:rsidRPr="0035461C">
        <w:rPr>
          <w:rFonts w:ascii="Calibri" w:hAnsi="Calibri" w:cs="Calibri"/>
          <w:b/>
          <w:bCs/>
        </w:rPr>
        <w:t>5</w:t>
      </w:r>
      <w:r w:rsidRPr="0035461C">
        <w:rPr>
          <w:rFonts w:ascii="Calibri" w:hAnsi="Calibri" w:cs="Calibri"/>
          <w:b/>
          <w:bCs/>
        </w:rPr>
        <w:t>:</w:t>
      </w:r>
      <w:r w:rsidR="00E615B3" w:rsidRPr="0035461C">
        <w:rPr>
          <w:rFonts w:ascii="Calibri" w:hAnsi="Calibri" w:cs="Calibri"/>
          <w:b/>
          <w:bCs/>
        </w:rPr>
        <w:t xml:space="preserve"> </w:t>
      </w:r>
      <w:r w:rsidR="00910721" w:rsidRPr="0035461C">
        <w:rPr>
          <w:rFonts w:ascii="Calibri" w:hAnsi="Calibri" w:cs="Calibri"/>
          <w:b/>
          <w:bCs/>
        </w:rPr>
        <w:t>In</w:t>
      </w:r>
      <w:r w:rsidR="00A269A9" w:rsidRPr="0035461C">
        <w:rPr>
          <w:rFonts w:ascii="Calibri" w:hAnsi="Calibri" w:cs="Calibri"/>
          <w:b/>
          <w:bCs/>
        </w:rPr>
        <w:t>-</w:t>
      </w:r>
      <w:r w:rsidR="00910721" w:rsidRPr="0035461C">
        <w:rPr>
          <w:rFonts w:ascii="Calibri" w:hAnsi="Calibri" w:cs="Calibri"/>
          <w:b/>
          <w:bCs/>
        </w:rPr>
        <w:t>patient Management of Type 1 Diabetes</w:t>
      </w:r>
    </w:p>
    <w:p w14:paraId="25CFD442" w14:textId="4343566F" w:rsidR="007C1BFE" w:rsidRDefault="00910721" w:rsidP="00EA2C67">
      <w:pPr>
        <w:spacing w:before="120"/>
        <w:jc w:val="both"/>
        <w:rPr>
          <w:rFonts w:asciiTheme="minorHAnsi" w:eastAsia="Calibri" w:hAnsiTheme="minorHAnsi" w:cstheme="minorHAnsi"/>
          <w:color w:val="000000"/>
          <w:bdr w:val="none" w:sz="0" w:space="0" w:color="auto" w:frame="1"/>
          <w:shd w:val="clear" w:color="auto" w:fill="FFFFFF"/>
        </w:rPr>
      </w:pPr>
      <w:r w:rsidRPr="0035461C">
        <w:rPr>
          <w:rFonts w:ascii="Calibri" w:hAnsi="Calibri" w:cs="Calibri"/>
        </w:rPr>
        <w:t>There have been no large</w:t>
      </w:r>
      <w:r w:rsidR="00293E98">
        <w:rPr>
          <w:rFonts w:ascii="Calibri" w:hAnsi="Calibri" w:cs="Calibri"/>
        </w:rPr>
        <w:t xml:space="preserve"> RCT</w:t>
      </w:r>
      <w:r w:rsidRPr="0035461C">
        <w:rPr>
          <w:rFonts w:ascii="Calibri" w:hAnsi="Calibri" w:cs="Calibri"/>
        </w:rPr>
        <w:t xml:space="preserve">s specifically </w:t>
      </w:r>
      <w:r w:rsidR="00732E58" w:rsidRPr="0035461C">
        <w:rPr>
          <w:rFonts w:ascii="Calibri" w:hAnsi="Calibri" w:cs="Calibri"/>
        </w:rPr>
        <w:t>assessing</w:t>
      </w:r>
      <w:r w:rsidRPr="0035461C">
        <w:rPr>
          <w:rFonts w:ascii="Calibri" w:hAnsi="Calibri" w:cs="Calibri"/>
        </w:rPr>
        <w:t xml:space="preserve"> glyc</w:t>
      </w:r>
      <w:r w:rsidR="00732E58" w:rsidRPr="0035461C">
        <w:rPr>
          <w:rFonts w:ascii="Calibri" w:hAnsi="Calibri" w:cs="Calibri"/>
        </w:rPr>
        <w:t>a</w:t>
      </w:r>
      <w:r w:rsidRPr="0035461C">
        <w:rPr>
          <w:rFonts w:ascii="Calibri" w:hAnsi="Calibri" w:cs="Calibri"/>
        </w:rPr>
        <w:t xml:space="preserve">emic targets for </w:t>
      </w:r>
      <w:r w:rsidR="00732E58" w:rsidRPr="0035461C">
        <w:rPr>
          <w:rFonts w:ascii="Calibri" w:hAnsi="Calibri" w:cs="Calibri"/>
        </w:rPr>
        <w:t>in-patients</w:t>
      </w:r>
      <w:r w:rsidRPr="0035461C">
        <w:rPr>
          <w:rFonts w:ascii="Calibri" w:hAnsi="Calibri" w:cs="Calibri"/>
        </w:rPr>
        <w:t xml:space="preserve"> with </w:t>
      </w:r>
      <w:r w:rsidR="00732E58" w:rsidRPr="0035461C">
        <w:rPr>
          <w:rFonts w:ascii="Calibri" w:hAnsi="Calibri" w:cs="Calibri"/>
        </w:rPr>
        <w:t>type 1 diabetes</w:t>
      </w:r>
      <w:r w:rsidRPr="0035461C">
        <w:rPr>
          <w:rFonts w:ascii="Calibri" w:hAnsi="Calibri" w:cs="Calibri"/>
        </w:rPr>
        <w:t>.</w:t>
      </w:r>
      <w:r w:rsidR="0015331E" w:rsidRPr="0035461C">
        <w:rPr>
          <w:rFonts w:ascii="Calibri" w:hAnsi="Calibri" w:cs="Calibri"/>
        </w:rPr>
        <w:t xml:space="preserve"> </w:t>
      </w:r>
      <w:r w:rsidRPr="0035461C">
        <w:rPr>
          <w:rFonts w:ascii="Calibri" w:hAnsi="Calibri" w:cs="Calibri"/>
        </w:rPr>
        <w:t xml:space="preserve">Therefore, type 2 </w:t>
      </w:r>
      <w:r w:rsidR="00896918" w:rsidRPr="0035461C">
        <w:rPr>
          <w:rFonts w:ascii="Calibri" w:hAnsi="Calibri" w:cs="Calibri"/>
        </w:rPr>
        <w:t xml:space="preserve">diabetes </w:t>
      </w:r>
      <w:r w:rsidRPr="0035461C">
        <w:rPr>
          <w:rFonts w:ascii="Calibri" w:hAnsi="Calibri" w:cs="Calibri"/>
        </w:rPr>
        <w:t>guidelines should be followed</w:t>
      </w:r>
      <w:r w:rsidR="00896918" w:rsidRPr="0035461C">
        <w:rPr>
          <w:rFonts w:ascii="Calibri" w:hAnsi="Calibri" w:cs="Calibri"/>
        </w:rPr>
        <w:t>,</w:t>
      </w:r>
      <w:r w:rsidRPr="0035461C">
        <w:rPr>
          <w:rFonts w:ascii="Calibri" w:hAnsi="Calibri" w:cs="Calibri"/>
        </w:rPr>
        <w:t xml:space="preserve"> which recommend target glucose ranges of 140-180 mg/dl </w:t>
      </w:r>
      <w:r w:rsidR="00732E58" w:rsidRPr="0035461C">
        <w:rPr>
          <w:rFonts w:ascii="Calibri" w:hAnsi="Calibri" w:cs="Calibri"/>
        </w:rPr>
        <w:t xml:space="preserve">(7.8-10.0 </w:t>
      </w:r>
      <w:proofErr w:type="spellStart"/>
      <w:r w:rsidR="00732E58" w:rsidRPr="0035461C">
        <w:rPr>
          <w:rFonts w:ascii="Calibri" w:hAnsi="Calibri" w:cs="Calibri"/>
        </w:rPr>
        <w:t>mmol</w:t>
      </w:r>
      <w:proofErr w:type="spellEnd"/>
      <w:r w:rsidR="00732E58" w:rsidRPr="0035461C">
        <w:rPr>
          <w:rFonts w:ascii="Calibri" w:hAnsi="Calibri" w:cs="Calibri"/>
        </w:rPr>
        <w:t xml:space="preserve">/l) </w:t>
      </w:r>
      <w:r w:rsidRPr="0035461C">
        <w:rPr>
          <w:rFonts w:ascii="Calibri" w:hAnsi="Calibri" w:cs="Calibri"/>
        </w:rPr>
        <w:t>for the majority of non-critically and critically ill patients</w:t>
      </w:r>
      <w:r w:rsidR="00856F47" w:rsidRPr="0035461C">
        <w:rPr>
          <w:rFonts w:ascii="Calibri" w:hAnsi="Calibri" w:cs="Calibri"/>
        </w:rPr>
        <w:t xml:space="preserve"> </w:t>
      </w:r>
      <w:r w:rsidR="00C51DC3" w:rsidRPr="0035461C">
        <w:rPr>
          <w:rFonts w:ascii="Calibri" w:hAnsi="Calibri" w:cs="Calibri"/>
        </w:rPr>
        <w:fldChar w:fldCharType="begin"/>
      </w:r>
      <w:r w:rsidR="00CE0E7B">
        <w:rPr>
          <w:rFonts w:ascii="Calibri" w:hAnsi="Calibri" w:cs="Calibri"/>
        </w:rPr>
        <w:instrText xml:space="preserve"> ADDIN ZOTERO_ITEM CSL_CITATION {"citationID":"FKa19xks","properties":{"formattedCitation":"(280)","plainCitation":"(280)","noteIndex":0},"citationItems":[{"id":11456,"uris":["http://zotero.org/groups/369679/items/C7C8H3RR"],"uri":["http://zotero.org/groups/369679/items/C7C8H3RR"],"itemData":{"id":11456,"type":"article-journal","abstract":"The American Diabetes Association (ADA) \"Standards of Medical Care in Diabetes\" includes the ADA's current clinical practice recommendations and is intended to provide the components of diabetes care, general treatment goals and guidelines, and tools to evaluate quality of care. Members of the ADA Professional Practice Committee, a multidisciplinary expert committee (https://doi.org/10.2337/dc21-SPPC), are responsible for updating the Standards of Care annually, or more frequently as warranted. For a detailed description of ADA standards, statements, and reports, as well as the evidence-grading system for ADA's clinical practice recommendations, please refer to the Standards of Care Introduction (https://doi.org/10.2337/dc21-SINT). Readers who wish to comment on the Standards of Care are invited to do so at professional.diabetes.org/SOC.","container-title":"Diabetes Care","DOI":"10.2337/dc21-S015","ISSN":"1935-5548","issue":"Suppl 1","journalAbbreviation":"Diabetes Care","language":"eng","note":"PMID: 33298426","page":"S211-S220","source":"PubMed","title":"15. Diabetes Care in the Hospital: Standards of Medical Care in Diabetes-2021","title-short":"15. Diabetes Care in the Hospital","volume":"44","author":[{"literal":"American Diabetes Association"}],"issued":{"date-parts":[["2021",1]]}}}],"schema":"https://github.com/citation-style-language/schema/raw/master/csl-citation.json"} </w:instrText>
      </w:r>
      <w:r w:rsidR="00C51DC3" w:rsidRPr="0035461C">
        <w:rPr>
          <w:rFonts w:ascii="Calibri" w:hAnsi="Calibri" w:cs="Calibri"/>
        </w:rPr>
        <w:fldChar w:fldCharType="separate"/>
      </w:r>
      <w:r w:rsidR="00CE0E7B" w:rsidRPr="00CE0E7B">
        <w:rPr>
          <w:rFonts w:ascii="Calibri" w:hAnsi="Calibri" w:cs="Calibri"/>
        </w:rPr>
        <w:t>(280)</w:t>
      </w:r>
      <w:r w:rsidR="00C51DC3" w:rsidRPr="0035461C">
        <w:rPr>
          <w:rFonts w:ascii="Calibri" w:hAnsi="Calibri" w:cs="Calibri"/>
        </w:rPr>
        <w:fldChar w:fldCharType="end"/>
      </w:r>
      <w:r w:rsidR="00856F47" w:rsidRPr="0035461C">
        <w:rPr>
          <w:rFonts w:ascii="Calibri" w:hAnsi="Calibri" w:cs="Calibri"/>
        </w:rPr>
        <w:t>.</w:t>
      </w:r>
      <w:r w:rsidR="0015331E" w:rsidRPr="0035461C">
        <w:rPr>
          <w:rFonts w:ascii="Calibri" w:hAnsi="Calibri" w:cs="Calibri"/>
        </w:rPr>
        <w:t xml:space="preserve"> </w:t>
      </w:r>
      <w:r w:rsidRPr="0035461C">
        <w:rPr>
          <w:rFonts w:ascii="Calibri" w:hAnsi="Calibri" w:cs="Calibri"/>
        </w:rPr>
        <w:t xml:space="preserve">However, it is important that the care team recognizes key differences between type 1 </w:t>
      </w:r>
      <w:r w:rsidR="00732E58" w:rsidRPr="0035461C">
        <w:rPr>
          <w:rFonts w:ascii="Calibri" w:hAnsi="Calibri" w:cs="Calibri"/>
        </w:rPr>
        <w:t xml:space="preserve">diabetes </w:t>
      </w:r>
      <w:r w:rsidRPr="0035461C">
        <w:rPr>
          <w:rFonts w:ascii="Calibri" w:hAnsi="Calibri" w:cs="Calibri"/>
        </w:rPr>
        <w:t xml:space="preserve">and type 2 </w:t>
      </w:r>
      <w:r w:rsidR="00732E58" w:rsidRPr="0035461C">
        <w:rPr>
          <w:rFonts w:ascii="Calibri" w:hAnsi="Calibri" w:cs="Calibri"/>
        </w:rPr>
        <w:t>diabetes</w:t>
      </w:r>
      <w:r w:rsidRPr="0035461C">
        <w:rPr>
          <w:rFonts w:ascii="Calibri" w:hAnsi="Calibri" w:cs="Calibri"/>
        </w:rPr>
        <w:t>.</w:t>
      </w:r>
      <w:r w:rsidR="0015331E" w:rsidRPr="0035461C">
        <w:rPr>
          <w:rFonts w:ascii="Calibri" w:hAnsi="Calibri" w:cs="Calibri"/>
        </w:rPr>
        <w:t xml:space="preserve"> </w:t>
      </w:r>
      <w:r w:rsidR="00732E58" w:rsidRPr="0035461C">
        <w:rPr>
          <w:rFonts w:ascii="Calibri" w:hAnsi="Calibri" w:cs="Calibri"/>
        </w:rPr>
        <w:t>People</w:t>
      </w:r>
      <w:r w:rsidRPr="0035461C">
        <w:rPr>
          <w:rFonts w:ascii="Calibri" w:hAnsi="Calibri" w:cs="Calibri"/>
        </w:rPr>
        <w:t xml:space="preserve"> with </w:t>
      </w:r>
      <w:r w:rsidR="00732E58" w:rsidRPr="0035461C">
        <w:rPr>
          <w:rFonts w:ascii="Calibri" w:hAnsi="Calibri" w:cs="Calibri"/>
        </w:rPr>
        <w:t>type 1 diabetes</w:t>
      </w:r>
      <w:r w:rsidR="00B279F3">
        <w:rPr>
          <w:rFonts w:ascii="Calibri" w:hAnsi="Calibri" w:cs="Calibri"/>
        </w:rPr>
        <w:t>, particularly those with concomitant chronic kidney disease,</w:t>
      </w:r>
      <w:r w:rsidRPr="0035461C">
        <w:rPr>
          <w:rFonts w:ascii="Calibri" w:hAnsi="Calibri" w:cs="Calibri"/>
        </w:rPr>
        <w:t xml:space="preserve"> are at higher risk </w:t>
      </w:r>
      <w:r w:rsidR="007B02BF" w:rsidRPr="0035461C">
        <w:rPr>
          <w:rFonts w:ascii="Calibri" w:hAnsi="Calibri" w:cs="Calibri"/>
        </w:rPr>
        <w:t xml:space="preserve">of </w:t>
      </w:r>
      <w:r w:rsidRPr="0035461C">
        <w:rPr>
          <w:rFonts w:ascii="Calibri" w:hAnsi="Calibri" w:cs="Calibri"/>
        </w:rPr>
        <w:t>hypoglyc</w:t>
      </w:r>
      <w:r w:rsidR="00732E58" w:rsidRPr="0035461C">
        <w:rPr>
          <w:rFonts w:ascii="Calibri" w:hAnsi="Calibri" w:cs="Calibri"/>
        </w:rPr>
        <w:t>a</w:t>
      </w:r>
      <w:r w:rsidRPr="0035461C">
        <w:rPr>
          <w:rFonts w:ascii="Calibri" w:hAnsi="Calibri" w:cs="Calibri"/>
        </w:rPr>
        <w:t>emia</w:t>
      </w:r>
      <w:r w:rsidR="00DF4965" w:rsidRPr="0035461C">
        <w:rPr>
          <w:rFonts w:ascii="Calibri" w:hAnsi="Calibri" w:cs="Calibri"/>
        </w:rPr>
        <w:t>,</w:t>
      </w:r>
      <w:r w:rsidRPr="0035461C">
        <w:rPr>
          <w:rFonts w:ascii="Calibri" w:hAnsi="Calibri" w:cs="Calibri"/>
        </w:rPr>
        <w:t xml:space="preserve"> which </w:t>
      </w:r>
      <w:r w:rsidR="00732E58" w:rsidRPr="0035461C">
        <w:rPr>
          <w:rFonts w:ascii="Calibri" w:hAnsi="Calibri" w:cs="Calibri"/>
        </w:rPr>
        <w:t>should be avoided by</w:t>
      </w:r>
      <w:r w:rsidRPr="0035461C">
        <w:rPr>
          <w:rFonts w:ascii="Calibri" w:hAnsi="Calibri" w:cs="Calibri"/>
        </w:rPr>
        <w:t xml:space="preserve"> careful insulin and carbohydrate matching</w:t>
      </w:r>
      <w:r w:rsidR="00F84E04" w:rsidRPr="0035461C">
        <w:rPr>
          <w:rFonts w:ascii="Calibri" w:hAnsi="Calibri" w:cs="Calibri"/>
        </w:rPr>
        <w:t xml:space="preserve"> </w:t>
      </w:r>
      <w:r w:rsidR="00F84E04" w:rsidRPr="0035461C">
        <w:rPr>
          <w:rFonts w:ascii="Calibri" w:hAnsi="Calibri" w:cs="Calibri"/>
        </w:rPr>
        <w:fldChar w:fldCharType="begin"/>
      </w:r>
      <w:r w:rsidR="00076F77">
        <w:rPr>
          <w:rFonts w:ascii="Calibri" w:hAnsi="Calibri" w:cs="Calibri"/>
        </w:rPr>
        <w:instrText xml:space="preserve"> ADDIN ZOTERO_ITEM CSL_CITATION {"citationID":"NKtCqpUw","properties":{"formattedCitation":"(128)","plainCitation":"(128)","noteIndex":0},"citationItems":[{"id":11375,"uris":["http://zotero.org/groups/369679/items/CLIK9Q9W"],"uri":["http://zotero.org/groups/369679/items/CLIK9Q9W"],"itemData":{"id":11375,"type":"article-journal","abstract":"Iatrogenic hypoglycemia, typically the result of the interplay of therapeutic hyperinsulinemia and compromised defenses resulting in hypoglycemia-associated autonomic failure (HAAF) in diabetes, is a problem for people with type 1 diabetes mellitus (T1DM). It causes recurrent morbidity is sometimes fatal, leads to recurrent hypoglycemia, and precludes euglycemia over a lifetime of T1DM. Risk factors include those that result in relative or absolute insulin excess and those indicative of HAAF in diabetes. Elimination of hypoglycemia from the lives of people with T1DM will likely be accomplished by new treatment methods that provide plasma glucose-regulated insulin replacement or secretion.","container-title":"Endocrinology and Metabolism Clinics of North America","DOI":"10.1016/j.ecl.2010.05.003","ISSN":"1558-4410","issue":"3","journalAbbreviation":"Endocrinol Metab Clin North Am","language":"eng","note":"PMID: 20723825\nPMCID: PMC2923455","page":"641-654","source":"PubMed","title":"Hypoglycemia in type 1 diabetes mellitus","volume":"39","author":[{"family":"Cryer","given":"Philip E."}],"issued":{"date-parts":[["2010",9]]}}}],"schema":"https://github.com/citation-style-language/schema/raw/master/csl-citation.json"} </w:instrText>
      </w:r>
      <w:r w:rsidR="00F84E04" w:rsidRPr="0035461C">
        <w:rPr>
          <w:rFonts w:ascii="Calibri" w:hAnsi="Calibri" w:cs="Calibri"/>
        </w:rPr>
        <w:fldChar w:fldCharType="separate"/>
      </w:r>
      <w:r w:rsidR="00076F77" w:rsidRPr="00076F77">
        <w:rPr>
          <w:rFonts w:ascii="Calibri" w:hAnsi="Calibri" w:cs="Calibri"/>
        </w:rPr>
        <w:t>(128)</w:t>
      </w:r>
      <w:r w:rsidR="00F84E04" w:rsidRPr="0035461C">
        <w:rPr>
          <w:rFonts w:ascii="Calibri" w:hAnsi="Calibri" w:cs="Calibri"/>
        </w:rPr>
        <w:fldChar w:fldCharType="end"/>
      </w:r>
      <w:r w:rsidRPr="0035461C">
        <w:rPr>
          <w:rFonts w:ascii="Calibri" w:hAnsi="Calibri" w:cs="Calibri"/>
        </w:rPr>
        <w:t>.</w:t>
      </w:r>
      <w:r w:rsidR="0015331E" w:rsidRPr="0035461C">
        <w:rPr>
          <w:rFonts w:ascii="Calibri" w:hAnsi="Calibri" w:cs="Calibri"/>
        </w:rPr>
        <w:t xml:space="preserve"> </w:t>
      </w:r>
      <w:r w:rsidRPr="0035461C">
        <w:rPr>
          <w:rFonts w:ascii="Calibri" w:hAnsi="Calibri" w:cs="Calibri"/>
        </w:rPr>
        <w:t xml:space="preserve">Furthermore, </w:t>
      </w:r>
      <w:r w:rsidR="00732E58" w:rsidRPr="0035461C">
        <w:rPr>
          <w:rFonts w:ascii="Calibri" w:hAnsi="Calibri" w:cs="Calibri"/>
        </w:rPr>
        <w:t>people with type 1 diabetes</w:t>
      </w:r>
      <w:r w:rsidRPr="0035461C">
        <w:rPr>
          <w:rFonts w:ascii="Calibri" w:hAnsi="Calibri" w:cs="Calibri"/>
        </w:rPr>
        <w:t xml:space="preserve"> are at high risk </w:t>
      </w:r>
      <w:r w:rsidR="00732E58" w:rsidRPr="0035461C">
        <w:rPr>
          <w:rFonts w:ascii="Calibri" w:hAnsi="Calibri" w:cs="Calibri"/>
        </w:rPr>
        <w:t>of</w:t>
      </w:r>
      <w:r w:rsidRPr="0035461C">
        <w:rPr>
          <w:rFonts w:ascii="Calibri" w:hAnsi="Calibri" w:cs="Calibri"/>
        </w:rPr>
        <w:t xml:space="preserve"> developing ketosis if insulin is withheld</w:t>
      </w:r>
      <w:r w:rsidR="00E075E9" w:rsidRPr="0035461C">
        <w:rPr>
          <w:rFonts w:ascii="Calibri" w:hAnsi="Calibri" w:cs="Calibri"/>
        </w:rPr>
        <w:t xml:space="preserve"> </w:t>
      </w:r>
      <w:r w:rsidR="00E075E9" w:rsidRPr="0035461C">
        <w:rPr>
          <w:rFonts w:ascii="Calibri" w:hAnsi="Calibri" w:cs="Calibri"/>
        </w:rPr>
        <w:fldChar w:fldCharType="begin"/>
      </w:r>
      <w:r w:rsidR="00CE0E7B">
        <w:rPr>
          <w:rFonts w:ascii="Calibri" w:hAnsi="Calibri" w:cs="Calibri"/>
        </w:rPr>
        <w:instrText xml:space="preserve"> ADDIN ZOTERO_ITEM CSL_CITATION {"citationID":"GSZ7c1JB","properties":{"formattedCitation":"(281)","plainCitation":"(281)","noteIndex":0},"citationItems":[{"id":11378,"uris":["http://zotero.org/groups/369679/items/D4275XA2"],"uri":["http://zotero.org/groups/369679/items/D4275XA2"],"itemData":{"id":11378,"type":"article-journal","abstract":"Diabetic ketoacidosis (DKA) is the most common hyperglycemic emergency in patients with diabetes mellitus. DKA most often occurs in patients with type 1 diabetes, but patients with type 2 diabetes are susceptible to DKA under stressful conditions, such as trauma, surgery, or infections. DKA is reported to be responsible for more than 100 000 hospital admissions per year in the US, and accounts for 4-9% of all hospital discharge summaries among patients with diabetes. Treatment of patients with DKA uses significant healthcare resources and accounts for 1 out of every 4 healthcare dollars spent on direct medical care for adult patients with type 1 diabetes in the US. Recent studies using standardized written guidelines for therapy have demonstrated a mortality rate of less than 5%, with higher mortality rates observed in elderly patients and those with concomitant life-threatening illnesses. Worldwide, infection is the most common precipitating cause for DKA, occurring in 30-50% of cases. Urinary tract infection and pneumonia account for the majority of infections. Other precipitating causes are intercurrent illnesses (i.e., surgery, trauma, myocardial ischemia, pancreatitis), psychological stress, and non-compliance with insulin therapy. The triad of uncontrolled hyperglycemia, metabolic acidosis and increased total body ketone concentration characterizes DKA. These metabolic derangements result from the combination of absolute or relative insulin deficiency and increased levels of counter-regulatory hormones (glucagon, catecholamines, cortisol, and growth hormone). Successful treatment of DKA requires frequent monitoring of patients, correction of hypovolemia and hyperglycemia, replacement of electrolyte losses, and careful search for the precipitating cause. Since the majority of DKA cases occur in patients with a known history of diabetes, this acute metabolic complication should be largely preventable through early detection, and by the education of patients, healthcare professionals, and the general public. The frequency of hospitalizations for DKA has been reduced following diabetes education programs, improved follow-up care, and access to medical advice. Novel approaches to patient education incorporating a variety of healthcare beliefs and socioeconomic issues are critical to an effective prevention program.","container-title":"Treatments in Endocrinology","DOI":"10.2165/00024677-200302020-00003","ISSN":"1175-6349","issue":"2","journalAbbreviation":"Treat Endocrinol","language":"eng","note":"PMID: 15871546","page":"95-108","source":"PubMed","title":"Diabetic ketoacidosis: risk factors and management strategies","title-short":"Diabetic ketoacidosis","volume":"2","author":[{"family":"Umpierrez","given":"Guillermo E."},{"family":"Kitabchi","given":"Abbas E."}],"issued":{"date-parts":[["2003"]]}}}],"schema":"https://github.com/citation-style-language/schema/raw/master/csl-citation.json"} </w:instrText>
      </w:r>
      <w:r w:rsidR="00E075E9" w:rsidRPr="0035461C">
        <w:rPr>
          <w:rFonts w:ascii="Calibri" w:hAnsi="Calibri" w:cs="Calibri"/>
        </w:rPr>
        <w:fldChar w:fldCharType="separate"/>
      </w:r>
      <w:r w:rsidR="00CE0E7B" w:rsidRPr="00CE0E7B">
        <w:rPr>
          <w:rFonts w:ascii="Calibri" w:hAnsi="Calibri" w:cs="Calibri"/>
        </w:rPr>
        <w:t>(281)</w:t>
      </w:r>
      <w:r w:rsidR="00E075E9" w:rsidRPr="0035461C">
        <w:rPr>
          <w:rFonts w:ascii="Calibri" w:hAnsi="Calibri" w:cs="Calibri"/>
        </w:rPr>
        <w:fldChar w:fldCharType="end"/>
      </w:r>
      <w:r w:rsidRPr="0035461C">
        <w:rPr>
          <w:rFonts w:ascii="Calibri" w:hAnsi="Calibri" w:cs="Calibri"/>
        </w:rPr>
        <w:t>.</w:t>
      </w:r>
      <w:r w:rsidR="0015331E" w:rsidRPr="0035461C">
        <w:rPr>
          <w:rFonts w:ascii="Calibri" w:hAnsi="Calibri" w:cs="Calibri"/>
        </w:rPr>
        <w:t xml:space="preserve"> </w:t>
      </w:r>
      <w:r w:rsidR="00147D51" w:rsidRPr="0035461C">
        <w:rPr>
          <w:rFonts w:ascii="Calibri" w:hAnsi="Calibri" w:cs="Calibri"/>
        </w:rPr>
        <w:t xml:space="preserve">People with type 1 diabetes often find the in-patient care of their diabetes stressful and disempowering. </w:t>
      </w:r>
      <w:r w:rsidR="00794DE0" w:rsidRPr="00794DE0">
        <w:rPr>
          <w:rFonts w:ascii="Calibri" w:hAnsi="Calibri" w:cs="Calibri"/>
        </w:rPr>
        <w:t>A major issue for some in-patient</w:t>
      </w:r>
      <w:r w:rsidR="00794DE0">
        <w:rPr>
          <w:rFonts w:ascii="Calibri" w:hAnsi="Calibri" w:cs="Calibri"/>
        </w:rPr>
        <w:t>s with type 1 diabetes</w:t>
      </w:r>
      <w:r w:rsidR="00794DE0" w:rsidRPr="00794DE0">
        <w:rPr>
          <w:rFonts w:ascii="Calibri" w:hAnsi="Calibri" w:cs="Calibri"/>
        </w:rPr>
        <w:t xml:space="preserve"> care is coping with fixed meal timings. </w:t>
      </w:r>
      <w:r w:rsidRPr="0035461C">
        <w:rPr>
          <w:rFonts w:ascii="Calibri" w:hAnsi="Calibri" w:cs="Calibri"/>
        </w:rPr>
        <w:t xml:space="preserve">Therefore, </w:t>
      </w:r>
      <w:r w:rsidR="00732E58" w:rsidRPr="0035461C">
        <w:rPr>
          <w:rFonts w:ascii="Calibri" w:hAnsi="Calibri" w:cs="Calibri"/>
        </w:rPr>
        <w:t>in-patient</w:t>
      </w:r>
      <w:r w:rsidR="003F11A5" w:rsidRPr="0035461C">
        <w:rPr>
          <w:rFonts w:ascii="Calibri" w:hAnsi="Calibri" w:cs="Calibri"/>
        </w:rPr>
        <w:t>s</w:t>
      </w:r>
      <w:r w:rsidR="00732E58" w:rsidRPr="0035461C">
        <w:rPr>
          <w:rFonts w:ascii="Calibri" w:hAnsi="Calibri" w:cs="Calibri"/>
        </w:rPr>
        <w:t xml:space="preserve"> with type 1 diabetes should be </w:t>
      </w:r>
      <w:r w:rsidRPr="0035461C">
        <w:rPr>
          <w:rFonts w:ascii="Calibri" w:hAnsi="Calibri" w:cs="Calibri"/>
        </w:rPr>
        <w:t>clearly identif</w:t>
      </w:r>
      <w:r w:rsidR="00732E58" w:rsidRPr="0035461C">
        <w:rPr>
          <w:rFonts w:ascii="Calibri" w:hAnsi="Calibri" w:cs="Calibri"/>
        </w:rPr>
        <w:t>ied</w:t>
      </w:r>
      <w:r w:rsidRPr="0035461C">
        <w:rPr>
          <w:rFonts w:ascii="Calibri" w:hAnsi="Calibri" w:cs="Calibri"/>
        </w:rPr>
        <w:t xml:space="preserve"> to avoid common errors such as </w:t>
      </w:r>
      <w:r w:rsidR="00732E58" w:rsidRPr="0035461C">
        <w:rPr>
          <w:rFonts w:ascii="Calibri" w:hAnsi="Calibri" w:cs="Calibri"/>
        </w:rPr>
        <w:t>omission of</w:t>
      </w:r>
      <w:r w:rsidRPr="0035461C">
        <w:rPr>
          <w:rFonts w:ascii="Calibri" w:hAnsi="Calibri" w:cs="Calibri"/>
        </w:rPr>
        <w:t xml:space="preserve"> mealtime insulin or </w:t>
      </w:r>
      <w:r w:rsidR="00732E58" w:rsidRPr="0035461C">
        <w:rPr>
          <w:rFonts w:ascii="Calibri" w:hAnsi="Calibri" w:cs="Calibri"/>
        </w:rPr>
        <w:t>with</w:t>
      </w:r>
      <w:r w:rsidRPr="0035461C">
        <w:rPr>
          <w:rFonts w:ascii="Calibri" w:hAnsi="Calibri" w:cs="Calibri"/>
        </w:rPr>
        <w:t xml:space="preserve">holding </w:t>
      </w:r>
      <w:r w:rsidR="00732E58" w:rsidRPr="0035461C">
        <w:rPr>
          <w:rFonts w:ascii="Calibri" w:hAnsi="Calibri" w:cs="Calibri"/>
        </w:rPr>
        <w:t xml:space="preserve">of </w:t>
      </w:r>
      <w:r w:rsidRPr="0035461C">
        <w:rPr>
          <w:rFonts w:ascii="Calibri" w:hAnsi="Calibri" w:cs="Calibri"/>
        </w:rPr>
        <w:t>basal insulin for procedures</w:t>
      </w:r>
      <w:r w:rsidR="00732E58" w:rsidRPr="0035461C">
        <w:rPr>
          <w:rFonts w:ascii="Calibri" w:hAnsi="Calibri" w:cs="Calibri"/>
        </w:rPr>
        <w:t xml:space="preserve"> or </w:t>
      </w:r>
      <w:r w:rsidRPr="009D4E13">
        <w:rPr>
          <w:rFonts w:ascii="Calibri" w:hAnsi="Calibri" w:cs="Calibri"/>
        </w:rPr>
        <w:t>surger</w:t>
      </w:r>
      <w:r w:rsidR="00732E58" w:rsidRPr="009D4E13">
        <w:rPr>
          <w:rFonts w:ascii="Calibri" w:hAnsi="Calibri" w:cs="Calibri"/>
        </w:rPr>
        <w:t>y</w:t>
      </w:r>
      <w:r w:rsidRPr="009D4E13">
        <w:rPr>
          <w:rFonts w:ascii="Calibri" w:hAnsi="Calibri" w:cs="Calibri"/>
        </w:rPr>
        <w:t>.</w:t>
      </w:r>
      <w:r w:rsidR="00B56F51" w:rsidRPr="009269D3">
        <w:rPr>
          <w:rFonts w:asciiTheme="minorHAnsi" w:eastAsia="Calibri" w:hAnsiTheme="minorHAnsi" w:cstheme="minorHAnsi"/>
          <w:color w:val="000000"/>
          <w:bdr w:val="none" w:sz="0" w:space="0" w:color="auto" w:frame="1"/>
          <w:shd w:val="clear" w:color="auto" w:fill="FFFFFF"/>
        </w:rPr>
        <w:t xml:space="preserve"> </w:t>
      </w:r>
    </w:p>
    <w:p w14:paraId="5CACC7F3" w14:textId="199B826E" w:rsidR="00910721" w:rsidRPr="0035461C" w:rsidRDefault="009269D3" w:rsidP="00EA2C67">
      <w:pPr>
        <w:spacing w:before="120"/>
        <w:jc w:val="both"/>
        <w:rPr>
          <w:rFonts w:ascii="Calibri" w:hAnsi="Calibri" w:cs="Calibri"/>
        </w:rPr>
      </w:pPr>
      <w:r>
        <w:rPr>
          <w:rFonts w:ascii="Calibri" w:hAnsi="Calibri" w:cs="Calibri"/>
        </w:rPr>
        <w:t>I</w:t>
      </w:r>
      <w:r w:rsidRPr="00794DE0">
        <w:rPr>
          <w:rFonts w:ascii="Calibri" w:hAnsi="Calibri" w:cs="Calibri"/>
        </w:rPr>
        <w:t xml:space="preserve">n-patient services </w:t>
      </w:r>
      <w:r>
        <w:rPr>
          <w:rFonts w:ascii="Calibri" w:hAnsi="Calibri" w:cs="Calibri"/>
        </w:rPr>
        <w:t>should</w:t>
      </w:r>
      <w:r w:rsidRPr="00794DE0">
        <w:rPr>
          <w:rFonts w:ascii="Calibri" w:hAnsi="Calibri" w:cs="Calibri"/>
        </w:rPr>
        <w:t xml:space="preserve"> have protocols to </w:t>
      </w:r>
      <w:r>
        <w:rPr>
          <w:rFonts w:ascii="Calibri" w:hAnsi="Calibri" w:cs="Calibri"/>
        </w:rPr>
        <w:t>allow people who can monitor their glucose and self-administer insulin</w:t>
      </w:r>
      <w:r w:rsidRPr="00794DE0">
        <w:rPr>
          <w:rFonts w:ascii="Calibri" w:hAnsi="Calibri" w:cs="Calibri"/>
        </w:rPr>
        <w:t xml:space="preserve"> safely</w:t>
      </w:r>
      <w:r>
        <w:rPr>
          <w:rFonts w:ascii="Calibri" w:hAnsi="Calibri" w:cs="Calibri"/>
        </w:rPr>
        <w:t xml:space="preserve"> to do so. </w:t>
      </w:r>
      <w:r>
        <w:rPr>
          <w:rFonts w:asciiTheme="minorHAnsi" w:eastAsia="Calibri" w:hAnsiTheme="minorHAnsi" w:cstheme="minorHAnsi"/>
          <w:color w:val="000000"/>
          <w:bdr w:val="none" w:sz="0" w:space="0" w:color="auto" w:frame="1"/>
          <w:shd w:val="clear" w:color="auto" w:fill="FFFFFF"/>
        </w:rPr>
        <w:t>Similarly, p</w:t>
      </w:r>
      <w:r w:rsidR="00B56F51" w:rsidRPr="009269D3">
        <w:rPr>
          <w:rFonts w:asciiTheme="minorHAnsi" w:eastAsia="Calibri" w:hAnsiTheme="minorHAnsi" w:cstheme="minorHAnsi"/>
          <w:color w:val="000000"/>
          <w:bdr w:val="none" w:sz="0" w:space="0" w:color="auto" w:frame="1"/>
          <w:shd w:val="clear" w:color="auto" w:fill="FFFFFF"/>
        </w:rPr>
        <w:t>atients using diabetes devices should be allowed to use them in an inpatient setting or during outpatient procedures when proper supervision is availabl</w:t>
      </w:r>
      <w:r w:rsidR="007C1BFE">
        <w:rPr>
          <w:rFonts w:asciiTheme="minorHAnsi" w:eastAsia="Calibri" w:hAnsiTheme="minorHAnsi" w:cstheme="minorHAnsi"/>
          <w:color w:val="000000"/>
          <w:bdr w:val="none" w:sz="0" w:space="0" w:color="auto" w:frame="1"/>
          <w:shd w:val="clear" w:color="auto" w:fill="FFFFFF"/>
        </w:rPr>
        <w:t>e and the patient/caregiver is capable of managing the device(s)</w:t>
      </w:r>
      <w:r w:rsidR="001360CD">
        <w:rPr>
          <w:rFonts w:asciiTheme="minorHAnsi" w:eastAsia="Calibri" w:hAnsiTheme="minorHAnsi" w:cstheme="minorHAnsi"/>
          <w:color w:val="000000"/>
          <w:bdr w:val="none" w:sz="0" w:space="0" w:color="auto" w:frame="1"/>
          <w:shd w:val="clear" w:color="auto" w:fill="FFFFFF"/>
        </w:rPr>
        <w:t xml:space="preserve"> </w:t>
      </w:r>
      <w:r w:rsidR="001360CD">
        <w:rPr>
          <w:rFonts w:asciiTheme="minorHAnsi" w:eastAsia="Calibri" w:hAnsiTheme="minorHAnsi" w:cstheme="minorHAnsi"/>
          <w:color w:val="000000"/>
          <w:bdr w:val="none" w:sz="0" w:space="0" w:color="auto" w:frame="1"/>
          <w:shd w:val="clear" w:color="auto" w:fill="FFFFFF"/>
        </w:rPr>
        <w:fldChar w:fldCharType="begin"/>
      </w:r>
      <w:r w:rsidR="00CE0E7B">
        <w:rPr>
          <w:rFonts w:asciiTheme="minorHAnsi" w:eastAsia="Calibri" w:hAnsiTheme="minorHAnsi" w:cstheme="minorHAnsi"/>
          <w:color w:val="000000"/>
          <w:bdr w:val="none" w:sz="0" w:space="0" w:color="auto" w:frame="1"/>
          <w:shd w:val="clear" w:color="auto" w:fill="FFFFFF"/>
        </w:rPr>
        <w:instrText xml:space="preserve"> ADDIN ZOTERO_ITEM CSL_CITATION {"citationID":"a1t2undmcu7","properties":{"formattedCitation":"(282)","plainCitation":"(282)","noteIndex":0},"citationItems":[{"id":12494,"uris":["http://zotero.org/groups/369679/items/RQV35IFH"],"uri":["http://zotero.org/groups/369679/items/RQV35IFH"],"itemData":{"id":12494,"type":"article-journal","abstract":"This article is the work product of the Continuous Glucose Monitor and Automated Insulin Dosing Systems in the Hospital Consensus Guideline Panel, which was organized by Diabetes Technology Society and met virtually on April 23, 2020. The guideline panel consisted of 24 international experts in the use of continuous glucose monitors (CGMs) and automated insulin dosing (AID) systems representing adult endocrinology, pediatric endocrinology, obstetrics and gynecology, advanced practice nursing, diabetes care and education, clinical chemistry, bioengineering, and product liability law. The panelists reviewed the medical literature pertaining to five topics: (1) continuation of home CGMs after hospitalization, (2) initiation of CGMs in the hospital, (3) continuation of AID systems in the hospital, (4) logistics and hands-on care of hospitalized patients using CGMs and AID systems, and (5) data management of CGMs and AID systems in the hospital. The panelists then developed three types of recommendations for each topic, including clinical practice (to use the technology optimally), research (to improve the safety and effectiveness of the technology), and hospital policies (to build an environment for facilitating use of these devices) for each of the five topics. The panelists voted on 78 proposed recommendations. Based on the panel vote, 77 recommendations were classified as either strong or mild. One recommendation failed to reach consensus. Additional research is needed on CGMs and AID systems in the hospital setting regarding device accuracy, practices for deployment, data management, and achievable outcomes. This guideline is intended to support these technologies for the management of hospitalized patients with diabetes.","container-title":"Journal of Diabetes Science and Technology","DOI":"10.1177/1932296820954163","ISSN":"1932-2968","issue":"6","journalAbbreviation":"J Diabetes Sci Technol","language":"eng","note":"PMID: 32985262\nPMCID: PMC7645140","page":"1035-1064","source":"PubMed","title":"Continuous Glucose Monitors and Automated Insulin Dosing Systems in the Hospital Consensus Guideline","volume":"14","author":[{"family":"Galindo","given":"Rodolfo J."},{"family":"Umpierrez","given":"Guillermo E."},{"family":"Rushakoff","given":"Robert J."},{"family":"Basu","given":"Ananda"},{"family":"Lohnes","given":"Suzanne"},{"family":"Nichols","given":"James H."},{"family":"Spanakis","given":"Elias K."},{"family":"Espinoza","given":"Juan"},{"family":"Palermo","given":"Nadine E."},{"family":"Awadjie","given":"Dessa Garnett"},{"family":"Bak","given":"Leigh"},{"family":"Buckingham","given":"Bruce"},{"family":"Cook","given":"Curtiss B."},{"family":"Freckmann","given":"Guido"},{"family":"Heinemann","given":"Lutz"},{"family":"Hovorka","given":"Roman"},{"family":"Mathioudakis","given":"Nestoras"},{"family":"Newman","given":"Tonya"},{"family":"O'Neal","given":"David N."},{"family":"Rickert","given":"Michaela"},{"family":"Sacks","given":"David B."},{"family":"Seley","given":"Jane Jeffrie"},{"family":"Wallia","given":"Amisha"},{"family":"Shang","given":"Trisha"},{"family":"Zhang","given":"Jennifer Y."},{"family":"Han","given":"Julia"},{"family":"Klonoff","given":"David C."}],"issued":{"date-parts":[["2020",11]]}}}],"schema":"https://github.com/citation-style-language/schema/raw/master/csl-citation.json"} </w:instrText>
      </w:r>
      <w:r w:rsidR="001360CD">
        <w:rPr>
          <w:rFonts w:asciiTheme="minorHAnsi" w:eastAsia="Calibri" w:hAnsiTheme="minorHAnsi" w:cstheme="minorHAnsi"/>
          <w:color w:val="000000"/>
          <w:bdr w:val="none" w:sz="0" w:space="0" w:color="auto" w:frame="1"/>
          <w:shd w:val="clear" w:color="auto" w:fill="FFFFFF"/>
        </w:rPr>
        <w:fldChar w:fldCharType="separate"/>
      </w:r>
      <w:r w:rsidR="00CE0E7B" w:rsidRPr="00CE0E7B">
        <w:rPr>
          <w:rFonts w:ascii="Calibri" w:hAnsi="Calibri" w:cs="Calibri"/>
        </w:rPr>
        <w:t>(282)</w:t>
      </w:r>
      <w:r w:rsidR="001360CD">
        <w:rPr>
          <w:rFonts w:asciiTheme="minorHAnsi" w:eastAsia="Calibri" w:hAnsiTheme="minorHAnsi" w:cstheme="minorHAnsi"/>
          <w:color w:val="000000"/>
          <w:bdr w:val="none" w:sz="0" w:space="0" w:color="auto" w:frame="1"/>
          <w:shd w:val="clear" w:color="auto" w:fill="FFFFFF"/>
        </w:rPr>
        <w:fldChar w:fldCharType="end"/>
      </w:r>
      <w:r w:rsidR="007C1BFE">
        <w:rPr>
          <w:rFonts w:asciiTheme="minorHAnsi" w:eastAsia="Calibri" w:hAnsiTheme="minorHAnsi" w:cstheme="minorHAnsi"/>
          <w:color w:val="000000"/>
          <w:bdr w:val="none" w:sz="0" w:space="0" w:color="auto" w:frame="1"/>
          <w:shd w:val="clear" w:color="auto" w:fill="FFFFFF"/>
        </w:rPr>
        <w:t xml:space="preserve">. </w:t>
      </w:r>
      <w:r w:rsidR="00910721" w:rsidRPr="0035461C">
        <w:rPr>
          <w:rFonts w:ascii="Calibri" w:hAnsi="Calibri" w:cs="Calibri"/>
        </w:rPr>
        <w:t xml:space="preserve">Whenever a dedicated </w:t>
      </w:r>
      <w:r w:rsidR="00732E58" w:rsidRPr="0035461C">
        <w:rPr>
          <w:rFonts w:ascii="Calibri" w:hAnsi="Calibri" w:cs="Calibri"/>
        </w:rPr>
        <w:t xml:space="preserve">in-patient </w:t>
      </w:r>
      <w:r w:rsidR="00910721" w:rsidRPr="0035461C">
        <w:rPr>
          <w:rFonts w:ascii="Calibri" w:hAnsi="Calibri" w:cs="Calibri"/>
        </w:rPr>
        <w:t>diabetes service is available, they should be consulted for glyc</w:t>
      </w:r>
      <w:r w:rsidR="00732E58" w:rsidRPr="0035461C">
        <w:rPr>
          <w:rFonts w:ascii="Calibri" w:hAnsi="Calibri" w:cs="Calibri"/>
        </w:rPr>
        <w:t>a</w:t>
      </w:r>
      <w:r w:rsidR="00910721" w:rsidRPr="0035461C">
        <w:rPr>
          <w:rFonts w:ascii="Calibri" w:hAnsi="Calibri" w:cs="Calibri"/>
        </w:rPr>
        <w:t xml:space="preserve">emic </w:t>
      </w:r>
      <w:r w:rsidR="00732E58" w:rsidRPr="0035461C">
        <w:rPr>
          <w:rFonts w:ascii="Calibri" w:hAnsi="Calibri" w:cs="Calibri"/>
        </w:rPr>
        <w:t>management</w:t>
      </w:r>
      <w:r w:rsidR="00910721" w:rsidRPr="0035461C">
        <w:rPr>
          <w:rFonts w:ascii="Calibri" w:hAnsi="Calibri" w:cs="Calibri"/>
        </w:rPr>
        <w:t xml:space="preserve">, </w:t>
      </w:r>
      <w:r w:rsidR="00603562" w:rsidRPr="0035461C">
        <w:rPr>
          <w:rFonts w:ascii="Calibri" w:hAnsi="Calibri" w:cs="Calibri"/>
        </w:rPr>
        <w:t xml:space="preserve">diabetes self-management </w:t>
      </w:r>
      <w:r w:rsidR="00910721" w:rsidRPr="0035461C">
        <w:rPr>
          <w:rFonts w:ascii="Calibri" w:hAnsi="Calibri" w:cs="Calibri"/>
        </w:rPr>
        <w:t>education</w:t>
      </w:r>
      <w:r w:rsidR="00603562" w:rsidRPr="0035461C">
        <w:rPr>
          <w:rFonts w:ascii="Calibri" w:hAnsi="Calibri" w:cs="Calibri"/>
        </w:rPr>
        <w:t xml:space="preserve"> and support</w:t>
      </w:r>
      <w:r w:rsidR="00910721" w:rsidRPr="0035461C">
        <w:rPr>
          <w:rFonts w:ascii="Calibri" w:hAnsi="Calibri" w:cs="Calibri"/>
        </w:rPr>
        <w:t>, and discharge planning</w:t>
      </w:r>
      <w:r w:rsidR="003637A7" w:rsidRPr="0035461C">
        <w:rPr>
          <w:rFonts w:ascii="Calibri" w:hAnsi="Calibri" w:cs="Calibri"/>
        </w:rPr>
        <w:t xml:space="preserve"> </w:t>
      </w:r>
      <w:r w:rsidR="003637A7" w:rsidRPr="0035461C">
        <w:rPr>
          <w:rFonts w:ascii="Calibri" w:hAnsi="Calibri" w:cs="Calibri"/>
        </w:rPr>
        <w:fldChar w:fldCharType="begin"/>
      </w:r>
      <w:r w:rsidR="00CE0E7B">
        <w:rPr>
          <w:rFonts w:ascii="Calibri" w:hAnsi="Calibri" w:cs="Calibri"/>
        </w:rPr>
        <w:instrText xml:space="preserve"> ADDIN ZOTERO_ITEM CSL_CITATION {"citationID":"OIYOJvSZ","properties":{"formattedCitation":"(283)","plainCitation":"(283)","noteIndex":0},"citationItems":[{"id":11380,"uris":["http://zotero.org/groups/369679/items/8VMMQSG9"],"uri":["http://zotero.org/groups/369679/items/8VMMQSG9"],"itemData":{"id":11380,"type":"article-journal","abstract":"PURPOSE OF REVIEW: The purpose of this article was to review recent guideline recommendations on glycemic target, glucose monitoring, and therapeutic strategies, while providing practical recommendations for the management of medical and surgical patients with type 1 diabetes (T1D) admitted to critical and non-critical care settings.\nRECENT FINDINGS: Studies evaluating safety and efficacy of insulin pump therapy, continuous glucose monitoring, electronic glucose management systems, and closed loop systems for the inpatient management of hyperglycemia are described. Due to the increased prevalence and life expectancy of patients with type 1 diabetes, a growing number of these patients require hospitalization every year. Inpatient diabetes management is complex and is best provided by a multidisciplinary diabetes team. In the absence of such resource, providers and health care staff must become familiar with the features of this condition to avoid complications such as severe hyperglycemia, ketoacidosis, hypoglycemia, or glycemic variability. We reviewed most recent guidelines and relevant literature in the topic to provide practical recommendations for the inpatient management of patients with T1D.","container-title":"Current Diabetes Reports","DOI":"10.1007/s11892-017-0919-7","ISSN":"1539-0829","issue":"10","journalAbbreviation":"Curr Diab Rep","language":"eng","note":"PMID: 28913745","page":"98","source":"PubMed","title":"Management of Type 1 Diabetes in the Hospital Setting","volume":"17","author":[{"family":"Mendez","given":"Carlos E."},{"family":"Umpierrez","given":"Guillermo E."}],"issued":{"date-parts":[["2017",9,14]]}}}],"schema":"https://github.com/citation-style-language/schema/raw/master/csl-citation.json"} </w:instrText>
      </w:r>
      <w:r w:rsidR="003637A7" w:rsidRPr="0035461C">
        <w:rPr>
          <w:rFonts w:ascii="Calibri" w:hAnsi="Calibri" w:cs="Calibri"/>
        </w:rPr>
        <w:fldChar w:fldCharType="separate"/>
      </w:r>
      <w:r w:rsidR="00CE0E7B" w:rsidRPr="00CE0E7B">
        <w:rPr>
          <w:rFonts w:ascii="Calibri" w:hAnsi="Calibri" w:cs="Calibri"/>
        </w:rPr>
        <w:t>(283)</w:t>
      </w:r>
      <w:r w:rsidR="003637A7" w:rsidRPr="0035461C">
        <w:rPr>
          <w:rFonts w:ascii="Calibri" w:hAnsi="Calibri" w:cs="Calibri"/>
        </w:rPr>
        <w:fldChar w:fldCharType="end"/>
      </w:r>
      <w:r w:rsidR="00910721" w:rsidRPr="0035461C">
        <w:rPr>
          <w:rFonts w:ascii="Calibri" w:hAnsi="Calibri" w:cs="Calibri"/>
        </w:rPr>
        <w:t>.</w:t>
      </w:r>
      <w:r w:rsidR="0015331E" w:rsidRPr="0035461C">
        <w:rPr>
          <w:rFonts w:ascii="Calibri" w:hAnsi="Calibri" w:cs="Calibri"/>
        </w:rPr>
        <w:t xml:space="preserve"> </w:t>
      </w:r>
      <w:r w:rsidR="00910721" w:rsidRPr="0035461C">
        <w:rPr>
          <w:rFonts w:ascii="Calibri" w:hAnsi="Calibri" w:cs="Calibri"/>
        </w:rPr>
        <w:t>Finally, the use of diabetes technology (CGM and insulin pumps) can be continued in select</w:t>
      </w:r>
      <w:r w:rsidR="00896918" w:rsidRPr="0035461C">
        <w:rPr>
          <w:rFonts w:ascii="Calibri" w:hAnsi="Calibri" w:cs="Calibri"/>
        </w:rPr>
        <w:t>ed</w:t>
      </w:r>
      <w:r w:rsidR="00910721" w:rsidRPr="0035461C">
        <w:rPr>
          <w:rFonts w:ascii="Calibri" w:hAnsi="Calibri" w:cs="Calibri"/>
        </w:rPr>
        <w:t>, non-critically ill patients, with clear mentation, and previous training</w:t>
      </w:r>
      <w:r w:rsidR="00732E58" w:rsidRPr="0035461C">
        <w:rPr>
          <w:rFonts w:ascii="Calibri" w:hAnsi="Calibri" w:cs="Calibri"/>
        </w:rPr>
        <w:t xml:space="preserve"> and </w:t>
      </w:r>
      <w:r w:rsidR="00910721" w:rsidRPr="0035461C">
        <w:rPr>
          <w:rFonts w:ascii="Calibri" w:hAnsi="Calibri" w:cs="Calibri"/>
        </w:rPr>
        <w:t>education</w:t>
      </w:r>
      <w:r w:rsidR="000F269B" w:rsidRPr="0035461C">
        <w:rPr>
          <w:rFonts w:ascii="Calibri" w:hAnsi="Calibri" w:cs="Calibri"/>
        </w:rPr>
        <w:t xml:space="preserve"> </w:t>
      </w:r>
      <w:r w:rsidR="000F269B" w:rsidRPr="0035461C">
        <w:rPr>
          <w:rFonts w:ascii="Calibri" w:hAnsi="Calibri" w:cs="Calibri"/>
        </w:rPr>
        <w:fldChar w:fldCharType="begin"/>
      </w:r>
      <w:r w:rsidR="00CE0E7B">
        <w:rPr>
          <w:rFonts w:ascii="Calibri" w:hAnsi="Calibri" w:cs="Calibri"/>
        </w:rPr>
        <w:instrText xml:space="preserve"> ADDIN ZOTERO_ITEM CSL_CITATION {"citationID":"zhKKhfiU","properties":{"formattedCitation":"(284,285)","plainCitation":"(284,285)","noteIndex":0},"citationItems":[{"id":11382,"uris":["http://zotero.org/groups/369679/items/44NP3GJU"],"uri":["http://zotero.org/groups/369679/items/44NP3GJU"],"itemData":{"id":11382,"type":"article-journal","abstract":"OBJECTIVE: To analyze data on inpatient insulin pump use and examine staff compliance with hospital procedures, glycemic control, and safety.\nMETHODS: We conducted a retrospective review of charts and bedside glucose data for patients who had been receiving outpatient insulin pump therapy and were admitted to our teaching hospital between November 1, 2005, and February 8, 2008.\nRESULTS: During the study period, there were 50 hospitalizations involving 35 patients who had been receiving outpatient insulin pump therapy. The mean age and duration of diabetes of the 35 patients was 55 years and 32 years, respectively. Sixty-six percent were women, and 91% had type 1 diabetes. Patients in 31 of the hospitalizations (62%) were deemed candidates for continued insulin pump therapy during their stay. Of the 31 hospitalizations, 80% had the presence of the pump documented at admission; 100% had an admission glucose value; 77% had documentation of signed patient consent; 81% had evidence of completed preprinted insulin pump orders; 77% received an endocrine consultation; and 68% had a completed bedside flow sheet. Patients continuing insulin pump therapy had mean bedside glucose levels similar to those whose pump therapy was discontinued (P = .11); however, the proportion of hypoglycemic events was lower among insulin pump users (P&lt;.01) than among nonusers.\nCONCLUSIONS: Insulin pump therapy is safe for select inpatients. Overall, staff compliance with procedures was high, although we identified areas for improvement. Continued study is needed on the effectiveness of insulin pump therapy in controlling inpatient hyperglycemia.","container-title":"Endocrine Practice: Official Journal of the American College of Endocrinology and the American Association of Clinical Endocrinologists","DOI":"10.4158/EP.15.1.24","ISSN":"1934-2403","issue":"1","journalAbbreviation":"Endocr Pract","language":"eng","note":"PMID: 19211393","page":"24-29","source":"PubMed","title":"Continuous subcutaneous insulin infusion (insulin pump) therapy can be safely used in the hospital in select patients","volume":"15","author":[{"family":"Bailon","given":"Rachel M."},{"family":"Partlow","given":"Brenda J."},{"family":"Miller-Cage","given":"Victoria"},{"family":"Boyle","given":"Mary E."},{"family":"Castro","given":"Janna C."},{"family":"Bourgeois","given":"Peggy B."},{"family":"Cook","given":"Curtiss B."}],"issued":{"date-parts":[["2009",2]]}}},{"id":11384,"uris":["http://zotero.org/groups/369679/items/GLLDW2R4"],"uri":["http://zotero.org/groups/369679/items/GLLDW2R4"],"itemData":{"id":11384,"type":"article-journal","abstract":"PURPOSE: Individuals whose diabetes is being treated in the outpatient setting via an insulin pump often wish to maintain this therapy during hospitalization. The authors propose guidelines for management of patients on insulin pumps who require a hospital admission.\nMETHODS: A collaborative interinstitutional task force reviewed current available information regarding the use of insulin pumps in the hospital.\nRESULTS: There was little information in the medical literature on how to manage individuals on established insulin pump therapy during a hospital stay. The task force believed that a policy that promotes patient independence through continuation of insulin pump therapy while ensuring patient safety was possible. A set of contraindications for continued use of pump therapy in the hospital are proposed. A sample patient consent form and order set are presented. Finally, measures that can be used to assess effectiveness of an inpatient insulin pump policy are outlined.\nCONCLUSIONS: Patients on established insulin pump therapy do not necessarily have to discontinue treatment while hospitalized. However, clear policies and procedures should be established at the institutional level to guide continued use of the technology in the acute care setting.","container-title":"The Diabetes Educator","DOI":"10.1177/0145721705281563","ISSN":"0145-7217","issue":"6","journalAbbreviation":"Diabetes Educ","language":"eng","note":"PMID: 16288092","page":"849-857","source":"PubMed","title":"Use of continuous subcutaneous insulin infusion (insulin pump) therapy in the hospital setting: proposed guidelines and outcome measures","title-short":"Use of continuous subcutaneous insulin infusion (insulin pump) therapy in the hospital setting","volume":"31","author":[{"family":"Cook","given":"Curtiss B."},{"family":"Boyle","given":"Mary E."},{"family":"Cisar","given":"Nancy S."},{"family":"Miller-Cage","given":"Victoria"},{"family":"Bourgeois","given":"Peggy"},{"family":"Roust","given":"Lori R."},{"family":"Smith","given":"Steven A."},{"family":"Zimmerman","given":"Richard S."}],"issued":{"date-parts":[["2005",12]]}}}],"schema":"https://github.com/citation-style-language/schema/raw/master/csl-citation.json"} </w:instrText>
      </w:r>
      <w:r w:rsidR="000F269B" w:rsidRPr="0035461C">
        <w:rPr>
          <w:rFonts w:ascii="Calibri" w:hAnsi="Calibri" w:cs="Calibri"/>
        </w:rPr>
        <w:fldChar w:fldCharType="separate"/>
      </w:r>
      <w:r w:rsidR="00CE0E7B" w:rsidRPr="00CE0E7B">
        <w:rPr>
          <w:rFonts w:ascii="Calibri" w:hAnsi="Calibri" w:cs="Calibri"/>
        </w:rPr>
        <w:t>(284,285)</w:t>
      </w:r>
      <w:r w:rsidR="000F269B" w:rsidRPr="0035461C">
        <w:rPr>
          <w:rFonts w:ascii="Calibri" w:hAnsi="Calibri" w:cs="Calibri"/>
        </w:rPr>
        <w:fldChar w:fldCharType="end"/>
      </w:r>
      <w:r w:rsidR="00910721" w:rsidRPr="0035461C">
        <w:rPr>
          <w:rFonts w:ascii="Calibri" w:hAnsi="Calibri" w:cs="Calibri"/>
        </w:rPr>
        <w:t>.</w:t>
      </w:r>
      <w:r w:rsidR="0015331E" w:rsidRPr="0035461C">
        <w:rPr>
          <w:rFonts w:ascii="Calibri" w:hAnsi="Calibri" w:cs="Calibri"/>
        </w:rPr>
        <w:t xml:space="preserve"> </w:t>
      </w:r>
      <w:r w:rsidR="00910721" w:rsidRPr="0035461C">
        <w:rPr>
          <w:rFonts w:ascii="Calibri" w:hAnsi="Calibri" w:cs="Calibri"/>
        </w:rPr>
        <w:t xml:space="preserve">Institutions should develop clear guidelines </w:t>
      </w:r>
      <w:r w:rsidR="00EA2C67" w:rsidRPr="0035461C">
        <w:rPr>
          <w:rFonts w:ascii="Calibri" w:hAnsi="Calibri" w:cs="Calibri"/>
        </w:rPr>
        <w:t xml:space="preserve">to manage in-patient type 1 diabetes safely. </w:t>
      </w:r>
    </w:p>
    <w:p w14:paraId="3ADBDA21" w14:textId="77777777" w:rsidR="00BA3B4C" w:rsidRPr="0035461C" w:rsidRDefault="00BA3B4C" w:rsidP="00EA2C67">
      <w:pPr>
        <w:spacing w:before="120"/>
        <w:jc w:val="both"/>
        <w:rPr>
          <w:rFonts w:ascii="Calibri" w:hAnsi="Calibri" w:cs="Calibri"/>
          <w:b/>
          <w:bCs/>
        </w:rPr>
      </w:pPr>
    </w:p>
    <w:p w14:paraId="690194A9" w14:textId="141C3514" w:rsidR="00567D76" w:rsidRPr="0035461C" w:rsidRDefault="005431A2" w:rsidP="001C5BC0">
      <w:pPr>
        <w:spacing w:before="120"/>
        <w:rPr>
          <w:rFonts w:ascii="Calibri" w:hAnsi="Calibri" w:cs="Calibri"/>
          <w:b/>
          <w:bCs/>
        </w:rPr>
      </w:pPr>
      <w:r w:rsidRPr="0035461C">
        <w:rPr>
          <w:rFonts w:ascii="Calibri" w:hAnsi="Calibri" w:cs="Calibri"/>
          <w:b/>
          <w:bCs/>
        </w:rPr>
        <w:t>Section 1</w:t>
      </w:r>
      <w:r w:rsidR="00A42893" w:rsidRPr="0035461C">
        <w:rPr>
          <w:rFonts w:ascii="Calibri" w:hAnsi="Calibri" w:cs="Calibri"/>
          <w:b/>
          <w:bCs/>
        </w:rPr>
        <w:t>6</w:t>
      </w:r>
      <w:r w:rsidRPr="0035461C">
        <w:rPr>
          <w:rFonts w:ascii="Calibri" w:hAnsi="Calibri" w:cs="Calibri"/>
          <w:b/>
          <w:bCs/>
        </w:rPr>
        <w:t>:</w:t>
      </w:r>
      <w:r w:rsidR="00E615B3" w:rsidRPr="0035461C">
        <w:rPr>
          <w:rFonts w:ascii="Calibri" w:hAnsi="Calibri" w:cs="Calibri"/>
          <w:b/>
          <w:bCs/>
        </w:rPr>
        <w:t xml:space="preserve"> </w:t>
      </w:r>
      <w:r w:rsidR="00567D76" w:rsidRPr="0035461C">
        <w:rPr>
          <w:rFonts w:ascii="Calibri" w:hAnsi="Calibri" w:cs="Calibri"/>
          <w:b/>
          <w:bCs/>
        </w:rPr>
        <w:t>Emergent and Future Perspectives</w:t>
      </w:r>
      <w:r w:rsidR="00567D76" w:rsidRPr="0035461C">
        <w:rPr>
          <w:rFonts w:ascii="Calibri" w:hAnsi="Calibri" w:cs="Calibri"/>
        </w:rPr>
        <w:t xml:space="preserve"> </w:t>
      </w:r>
    </w:p>
    <w:p w14:paraId="2704B0E4" w14:textId="15FC3A9B" w:rsidR="00567D76" w:rsidRPr="0035461C" w:rsidRDefault="00567D76" w:rsidP="00620751">
      <w:pPr>
        <w:spacing w:before="120"/>
        <w:jc w:val="both"/>
        <w:rPr>
          <w:rFonts w:ascii="Calibri" w:hAnsi="Calibri" w:cs="Calibri"/>
        </w:rPr>
      </w:pPr>
      <w:r w:rsidRPr="0035461C">
        <w:rPr>
          <w:rFonts w:ascii="Calibri" w:hAnsi="Calibri" w:cs="Calibri"/>
        </w:rPr>
        <w:t>Both xenotransplantation</w:t>
      </w:r>
      <w:r w:rsidR="00FD7F47">
        <w:rPr>
          <w:rFonts w:ascii="Calibri" w:hAnsi="Calibri" w:cs="Calibri"/>
        </w:rPr>
        <w:t xml:space="preserve"> with porcine islets</w:t>
      </w:r>
      <w:r w:rsidRPr="0035461C">
        <w:rPr>
          <w:rFonts w:ascii="Calibri" w:hAnsi="Calibri" w:cs="Calibri"/>
        </w:rPr>
        <w:t xml:space="preserve"> and </w:t>
      </w:r>
      <w:r w:rsidR="00FD7F47">
        <w:rPr>
          <w:rFonts w:ascii="Calibri" w:hAnsi="Calibri" w:cs="Calibri"/>
        </w:rPr>
        <w:t xml:space="preserve">human </w:t>
      </w:r>
      <w:r w:rsidRPr="0035461C">
        <w:rPr>
          <w:rFonts w:ascii="Calibri" w:hAnsi="Calibri" w:cs="Calibri"/>
        </w:rPr>
        <w:t>stem cells are under investigation to solve the problem of limited availability of donors for pancreas or islet transplantation</w:t>
      </w:r>
      <w:r w:rsidR="00AC1C7F" w:rsidRPr="0035461C">
        <w:rPr>
          <w:rFonts w:ascii="Calibri" w:hAnsi="Calibri" w:cs="Calibri"/>
        </w:rPr>
        <w:t xml:space="preserve"> </w:t>
      </w:r>
      <w:r w:rsidR="00AC1C7F" w:rsidRPr="0035461C">
        <w:rPr>
          <w:rFonts w:ascii="Calibri" w:hAnsi="Calibri" w:cs="Calibri"/>
        </w:rPr>
        <w:fldChar w:fldCharType="begin"/>
      </w:r>
      <w:r w:rsidR="00CE0E7B">
        <w:rPr>
          <w:rFonts w:ascii="Calibri" w:hAnsi="Calibri" w:cs="Calibri"/>
        </w:rPr>
        <w:instrText xml:space="preserve"> ADDIN ZOTERO_ITEM CSL_CITATION {"citationID":"mRmosnxo","properties":{"formattedCitation":"(286)","plainCitation":"(286)","noteIndex":0},"citationItems":[{"id":11386,"uris":["http://zotero.org/groups/369679/items/TXS65UFI"],"uri":["http://zotero.org/groups/369679/items/TXS65UFI"],"itemData":{"id":11386,"type":"article-journal","abstract":"Diabetes mellitus, which affects more than 463 million people globally, is caused by the autoimmune ablation or functional loss of insulin-producing β-cells, and prevalence is projected to continue rising over the next decades. Generating β-cells to mitigate the aberrant glucose homeostasis manifested in the disease has remained elusive. Substantial advances have been made in producing mature β-cells from human pluripotent stem cells that respond appropriately to dynamic changes in glucose concentrations in vitro and rapidly function in vivo following transplantation in mice. Other potential avenues to produce functional β-cells include: transdifferentiation of closely related cell types (for example, other pancreatic islet cells such as α-cells, or other cells derived from endoderm); the engineering of non-β-cells that are capable of modulating blood sugar; and the construction of synthetic 'cells' or particles mimicking functional aspects of β-cells. This Review focuses on the current status of generating β-cells via these diverse routes, highlighting the unique advantages and challenges of each approach. Given the remarkable progress in this field, scalable bioengineering processes are also discussed for the realization of the therapeutic potential of derived β-cells.","container-title":"Nature Reviews. Endocrinology","DOI":"10.1038/s41574-020-0375-3","ISSN":"1759-5037","issue":"9","journalAbbreviation":"Nat Rev Endocrinol","language":"eng","note":"PMID: 32587391","page":"506-518","source":"PubMed","title":"Emerging routes to the generation of functional β-cells for diabetes mellitus cell therapy","volume":"16","author":[{"family":"Nair","given":"Gopika G."},{"family":"Tzanakakis","given":"Emmanuel S."},{"family":"Hebrok","given":"Matthias"}],"issued":{"date-parts":[["2020",9]]}}}],"schema":"https://github.com/citation-style-language/schema/raw/master/csl-citation.json"} </w:instrText>
      </w:r>
      <w:r w:rsidR="00AC1C7F" w:rsidRPr="0035461C">
        <w:rPr>
          <w:rFonts w:ascii="Calibri" w:hAnsi="Calibri" w:cs="Calibri"/>
        </w:rPr>
        <w:fldChar w:fldCharType="separate"/>
      </w:r>
      <w:r w:rsidR="00CE0E7B" w:rsidRPr="00CE0E7B">
        <w:rPr>
          <w:rFonts w:ascii="Calibri" w:hAnsi="Calibri" w:cs="Calibri"/>
        </w:rPr>
        <w:t>(286)</w:t>
      </w:r>
      <w:r w:rsidR="00AC1C7F" w:rsidRPr="0035461C">
        <w:rPr>
          <w:rFonts w:ascii="Calibri" w:hAnsi="Calibri" w:cs="Calibri"/>
        </w:rPr>
        <w:fldChar w:fldCharType="end"/>
      </w:r>
      <w:r w:rsidRPr="0035461C">
        <w:rPr>
          <w:rFonts w:ascii="Calibri" w:hAnsi="Calibri" w:cs="Calibri"/>
        </w:rPr>
        <w:t>.</w:t>
      </w:r>
      <w:r w:rsidR="0015331E" w:rsidRPr="0035461C">
        <w:rPr>
          <w:rFonts w:ascii="Calibri" w:hAnsi="Calibri" w:cs="Calibri"/>
        </w:rPr>
        <w:t xml:space="preserve"> </w:t>
      </w:r>
      <w:r w:rsidRPr="0035461C">
        <w:rPr>
          <w:rFonts w:ascii="Calibri" w:hAnsi="Calibri" w:cs="Calibri"/>
        </w:rPr>
        <w:t xml:space="preserve">Stem cell strategies </w:t>
      </w:r>
      <w:r w:rsidR="00620751" w:rsidRPr="0035461C">
        <w:rPr>
          <w:rFonts w:ascii="Calibri" w:hAnsi="Calibri" w:cs="Calibri"/>
        </w:rPr>
        <w:t>have used</w:t>
      </w:r>
      <w:r w:rsidRPr="0035461C">
        <w:rPr>
          <w:rFonts w:ascii="Calibri" w:hAnsi="Calibri" w:cs="Calibri"/>
        </w:rPr>
        <w:t xml:space="preserve"> </w:t>
      </w:r>
      <w:r w:rsidR="00620751" w:rsidRPr="0035461C">
        <w:rPr>
          <w:rFonts w:ascii="Calibri" w:hAnsi="Calibri" w:cs="Calibri"/>
        </w:rPr>
        <w:t>either</w:t>
      </w:r>
      <w:r w:rsidRPr="0035461C">
        <w:rPr>
          <w:rFonts w:ascii="Calibri" w:hAnsi="Calibri" w:cs="Calibri"/>
        </w:rPr>
        <w:t xml:space="preserve"> patient specific</w:t>
      </w:r>
      <w:r w:rsidR="00620751" w:rsidRPr="0035461C">
        <w:rPr>
          <w:rFonts w:ascii="Calibri" w:hAnsi="Calibri" w:cs="Calibri"/>
        </w:rPr>
        <w:t xml:space="preserve"> stem cell</w:t>
      </w:r>
      <w:r w:rsidR="00565ACE" w:rsidRPr="0035461C">
        <w:rPr>
          <w:rFonts w:ascii="Calibri" w:hAnsi="Calibri" w:cs="Calibri"/>
        </w:rPr>
        <w:t xml:space="preserve">s or </w:t>
      </w:r>
      <w:r w:rsidR="00FD7F47">
        <w:rPr>
          <w:rFonts w:ascii="Calibri" w:hAnsi="Calibri" w:cs="Calibri"/>
        </w:rPr>
        <w:t>universal</w:t>
      </w:r>
      <w:r w:rsidR="00FD7F47" w:rsidRPr="0035461C">
        <w:rPr>
          <w:rFonts w:ascii="Calibri" w:hAnsi="Calibri" w:cs="Calibri"/>
        </w:rPr>
        <w:t xml:space="preserve"> </w:t>
      </w:r>
      <w:r w:rsidR="00565ACE" w:rsidRPr="0035461C">
        <w:rPr>
          <w:rFonts w:ascii="Calibri" w:hAnsi="Calibri" w:cs="Calibri"/>
        </w:rPr>
        <w:t xml:space="preserve">allogeneic cells. In the former, the patient’s own stem cells are </w:t>
      </w:r>
      <w:r w:rsidRPr="0035461C">
        <w:rPr>
          <w:rFonts w:ascii="Calibri" w:hAnsi="Calibri" w:cs="Calibri"/>
        </w:rPr>
        <w:t>reprogramm</w:t>
      </w:r>
      <w:r w:rsidR="00565ACE" w:rsidRPr="0035461C">
        <w:rPr>
          <w:rFonts w:ascii="Calibri" w:hAnsi="Calibri" w:cs="Calibri"/>
        </w:rPr>
        <w:t>ed</w:t>
      </w:r>
      <w:r w:rsidRPr="0035461C">
        <w:rPr>
          <w:rFonts w:ascii="Calibri" w:hAnsi="Calibri" w:cs="Calibri"/>
        </w:rPr>
        <w:t xml:space="preserve"> or transdifferentiat</w:t>
      </w:r>
      <w:r w:rsidR="00565ACE" w:rsidRPr="0035461C">
        <w:rPr>
          <w:rFonts w:ascii="Calibri" w:hAnsi="Calibri" w:cs="Calibri"/>
        </w:rPr>
        <w:t xml:space="preserve">ed </w:t>
      </w:r>
      <w:r w:rsidRPr="0035461C">
        <w:rPr>
          <w:rFonts w:ascii="Calibri" w:hAnsi="Calibri" w:cs="Calibri"/>
        </w:rPr>
        <w:t xml:space="preserve">to become </w:t>
      </w:r>
      <w:r w:rsidR="00565ACE" w:rsidRPr="0035461C">
        <w:rPr>
          <w:rFonts w:ascii="Calibri" w:hAnsi="Calibri" w:cs="Calibri"/>
        </w:rPr>
        <w:t>β</w:t>
      </w:r>
      <w:r w:rsidR="003C6FF9" w:rsidRPr="0035461C">
        <w:rPr>
          <w:rFonts w:ascii="Calibri" w:hAnsi="Calibri" w:cs="Calibri"/>
        </w:rPr>
        <w:t xml:space="preserve"> </w:t>
      </w:r>
      <w:r w:rsidRPr="0035461C">
        <w:rPr>
          <w:rFonts w:ascii="Calibri" w:hAnsi="Calibri" w:cs="Calibri"/>
        </w:rPr>
        <w:t>cells</w:t>
      </w:r>
      <w:r w:rsidR="00565ACE" w:rsidRPr="0035461C">
        <w:rPr>
          <w:rFonts w:ascii="Calibri" w:hAnsi="Calibri" w:cs="Calibri"/>
        </w:rPr>
        <w:t xml:space="preserve">. By contrast, </w:t>
      </w:r>
      <w:r w:rsidRPr="0035461C">
        <w:rPr>
          <w:rFonts w:ascii="Calibri" w:hAnsi="Calibri" w:cs="Calibri"/>
        </w:rPr>
        <w:t>generic allogeneic cells may be used for multiple patients and centrally produced</w:t>
      </w:r>
      <w:r w:rsidR="00565ACE" w:rsidRPr="0035461C">
        <w:rPr>
          <w:rFonts w:ascii="Calibri" w:hAnsi="Calibri" w:cs="Calibri"/>
        </w:rPr>
        <w:t xml:space="preserve"> from</w:t>
      </w:r>
      <w:r w:rsidRPr="0035461C">
        <w:rPr>
          <w:rFonts w:ascii="Calibri" w:hAnsi="Calibri" w:cs="Calibri"/>
        </w:rPr>
        <w:t xml:space="preserve"> a bank of embryonic stem cells (</w:t>
      </w:r>
      <w:proofErr w:type="spellStart"/>
      <w:r w:rsidRPr="0035461C">
        <w:rPr>
          <w:rFonts w:ascii="Calibri" w:hAnsi="Calibri" w:cs="Calibri"/>
        </w:rPr>
        <w:t>hESCs</w:t>
      </w:r>
      <w:proofErr w:type="spellEnd"/>
      <w:r w:rsidRPr="0035461C">
        <w:rPr>
          <w:rFonts w:ascii="Calibri" w:hAnsi="Calibri" w:cs="Calibri"/>
        </w:rPr>
        <w:t>) or of induced pluripotent stem cells (</w:t>
      </w:r>
      <w:proofErr w:type="spellStart"/>
      <w:r w:rsidRPr="0035461C">
        <w:rPr>
          <w:rFonts w:ascii="Calibri" w:hAnsi="Calibri" w:cs="Calibri"/>
        </w:rPr>
        <w:t>iPSCs</w:t>
      </w:r>
      <w:proofErr w:type="spellEnd"/>
      <w:r w:rsidRPr="0035461C">
        <w:rPr>
          <w:rFonts w:ascii="Calibri" w:hAnsi="Calibri" w:cs="Calibri"/>
        </w:rPr>
        <w:t>).</w:t>
      </w:r>
      <w:r w:rsidR="0015331E" w:rsidRPr="0035461C">
        <w:rPr>
          <w:rFonts w:ascii="Calibri" w:hAnsi="Calibri" w:cs="Calibri"/>
        </w:rPr>
        <w:t xml:space="preserve"> </w:t>
      </w:r>
      <w:r w:rsidRPr="0035461C">
        <w:rPr>
          <w:rFonts w:ascii="Calibri" w:hAnsi="Calibri" w:cs="Calibri"/>
        </w:rPr>
        <w:t>One of the key issues is protecting the cells from immune attack, both rejection and recurrent autoimmunity.</w:t>
      </w:r>
      <w:r w:rsidR="0015331E" w:rsidRPr="0035461C">
        <w:rPr>
          <w:rFonts w:ascii="Calibri" w:hAnsi="Calibri" w:cs="Calibri"/>
        </w:rPr>
        <w:t xml:space="preserve"> </w:t>
      </w:r>
      <w:r w:rsidRPr="0035461C">
        <w:rPr>
          <w:rFonts w:ascii="Calibri" w:hAnsi="Calibri" w:cs="Calibri"/>
        </w:rPr>
        <w:t>Three general strategies are being investigated – [1] immunosu</w:t>
      </w:r>
      <w:r w:rsidR="00565ACE" w:rsidRPr="0035461C">
        <w:rPr>
          <w:rFonts w:ascii="Calibri" w:hAnsi="Calibri" w:cs="Calibri"/>
        </w:rPr>
        <w:t>p</w:t>
      </w:r>
      <w:r w:rsidRPr="0035461C">
        <w:rPr>
          <w:rFonts w:ascii="Calibri" w:hAnsi="Calibri" w:cs="Calibri"/>
        </w:rPr>
        <w:t xml:space="preserve">pressive or immunomodulatory drugs, [2] use of a physical barrier </w:t>
      </w:r>
      <w:r w:rsidRPr="0035461C">
        <w:rPr>
          <w:rFonts w:ascii="Calibri" w:hAnsi="Calibri" w:cs="Calibri"/>
          <w:lang w:bidi="mr-IN"/>
        </w:rPr>
        <w:t>e.g. e</w:t>
      </w:r>
      <w:r w:rsidRPr="0035461C">
        <w:rPr>
          <w:rFonts w:ascii="Calibri" w:hAnsi="Calibri" w:cs="Calibri"/>
        </w:rPr>
        <w:t>ncapsulation</w:t>
      </w:r>
      <w:r w:rsidR="00E64AE4" w:rsidRPr="0035461C">
        <w:rPr>
          <w:rFonts w:ascii="Calibri" w:hAnsi="Calibri" w:cs="Calibri"/>
        </w:rPr>
        <w:t xml:space="preserve"> </w:t>
      </w:r>
      <w:r w:rsidR="00E64AE4" w:rsidRPr="0035461C">
        <w:rPr>
          <w:rFonts w:ascii="Calibri" w:hAnsi="Calibri" w:cs="Calibri"/>
        </w:rPr>
        <w:fldChar w:fldCharType="begin"/>
      </w:r>
      <w:r w:rsidR="00CE0E7B">
        <w:rPr>
          <w:rFonts w:ascii="Calibri" w:hAnsi="Calibri" w:cs="Calibri"/>
        </w:rPr>
        <w:instrText xml:space="preserve"> ADDIN ZOTERO_ITEM CSL_CITATION {"citationID":"8EH6XgQc","properties":{"formattedCitation":"(287)","plainCitation":"(287)","noteIndex":0},"citationItems":[{"id":11388,"uris":["http://zotero.org/groups/369679/items/3YJ5YI65"],"uri":["http://zotero.org/groups/369679/items/3YJ5YI65"],"itemData":{"id":11388,"type":"article-journal","abstract":"Type 1 diabetes is an autoimmune disorder in which the immune system attacks and destroys insulin-producing islet cells of the pancreas. Although islet transplantation has proved to be successful for some patients with type 1 diabetes, its widespread use is limited by islet donor shortage and the requirement for lifelong immunosuppression. An encapsulation strategy that can prevent the rejection of xenogeneic islets or of stem cell-derived allogeneic islets can potentially eliminate both of these barriers. Although encapsulation technology has met several challenges, the convergence of expertise in materials, nanotechnology, stem cell biology and immunology is allowing us to get closer to the goal of encapsulated islet cell therapy for humans.","container-title":"Nature Reviews. Drug Discovery","DOI":"10.1038/nrd.2016.232","ISSN":"1474-1784","issue":"5","journalAbbreviation":"Nat Rev Drug Discov","language":"eng","note":"PMID: 28008169","page":"338-350","source":"PubMed","title":"Advances in islet encapsulation technologies","volume":"16","author":[{"family":"Desai","given":"Tejal"},{"family":"Shea","given":"Lonnie D."}],"issued":{"date-parts":[["2017",5]]}}}],"schema":"https://github.com/citation-style-language/schema/raw/master/csl-citation.json"} </w:instrText>
      </w:r>
      <w:r w:rsidR="00E64AE4" w:rsidRPr="0035461C">
        <w:rPr>
          <w:rFonts w:ascii="Calibri" w:hAnsi="Calibri" w:cs="Calibri"/>
        </w:rPr>
        <w:fldChar w:fldCharType="separate"/>
      </w:r>
      <w:r w:rsidR="00CE0E7B" w:rsidRPr="00CE0E7B">
        <w:rPr>
          <w:rFonts w:ascii="Calibri" w:hAnsi="Calibri" w:cs="Calibri"/>
        </w:rPr>
        <w:t>(287)</w:t>
      </w:r>
      <w:r w:rsidR="00E64AE4" w:rsidRPr="0035461C">
        <w:rPr>
          <w:rFonts w:ascii="Calibri" w:hAnsi="Calibri" w:cs="Calibri"/>
        </w:rPr>
        <w:fldChar w:fldCharType="end"/>
      </w:r>
      <w:r w:rsidRPr="0035461C">
        <w:rPr>
          <w:rFonts w:ascii="Calibri" w:hAnsi="Calibri" w:cs="Calibri"/>
        </w:rPr>
        <w:t>, and [3] gene editing for immune evasion and/or immune protection</w:t>
      </w:r>
      <w:r w:rsidR="00E11524" w:rsidRPr="0035461C">
        <w:rPr>
          <w:rFonts w:ascii="Calibri" w:hAnsi="Calibri" w:cs="Calibri"/>
        </w:rPr>
        <w:t xml:space="preserve"> </w:t>
      </w:r>
      <w:r w:rsidR="00E11524" w:rsidRPr="0035461C">
        <w:rPr>
          <w:rFonts w:ascii="Calibri" w:hAnsi="Calibri" w:cs="Calibri"/>
        </w:rPr>
        <w:fldChar w:fldCharType="begin"/>
      </w:r>
      <w:r w:rsidR="00CE0E7B">
        <w:rPr>
          <w:rFonts w:ascii="Calibri" w:hAnsi="Calibri" w:cs="Calibri"/>
        </w:rPr>
        <w:instrText xml:space="preserve"> ADDIN ZOTERO_ITEM CSL_CITATION {"citationID":"f0C4h4eZ","properties":{"formattedCitation":"(288)","plainCitation":"(288)","noteIndex":0},"citationItems":[{"id":11390,"uris":["http://zotero.org/groups/369679/items/PLGUMXCY"],"uri":["http://zotero.org/groups/369679/items/PLGUMXCY"],"itemData":{"id":11390,"type":"article-journal","abstract":"Human pluripotent stem cells (hPSCs) with knockout or mutant alleles can be generated using custom-engineered nucleases. Transcription activator-like effector nucleases (TALENs) and clustered regularly interspaced short palindromic repeats (CRISPR)-Cas9 nucleases are the most commonly employed technologies for editing hPSC genomes. In this Protocol Review, we provide a brief overview of custom-engineered nucleases in the context of gene editing in hPSCs with a focus on the application of TALENs and CRISPR/Cas9. We will highlight the advantages and disadvantages of each method and discuss theoretical and technical considerations for experimental design.","container-title":"Cell Stem Cell","DOI":"10.1016/j.stem.2015.12.002","ISSN":"1875-9777","issue":"1","journalAbbreviation":"Cell Stem Cell","language":"eng","note":"PMID: 26748756\nPMCID: PMC4709030","page":"53-65","source":"PubMed","title":"Genome Editing in Human Pluripotent Stem Cells: Approaches, Pitfalls, and Solutions","title-short":"Genome Editing in Human Pluripotent Stem Cells","volume":"18","author":[{"family":"Hendriks","given":"William T."},{"family":"Warren","given":"Curtis R."},{"family":"Cowan","given":"Chad A."}],"issued":{"date-parts":[["2016",1,7]]}}}],"schema":"https://github.com/citation-style-language/schema/raw/master/csl-citation.json"} </w:instrText>
      </w:r>
      <w:r w:rsidR="00E11524" w:rsidRPr="0035461C">
        <w:rPr>
          <w:rFonts w:ascii="Calibri" w:hAnsi="Calibri" w:cs="Calibri"/>
        </w:rPr>
        <w:fldChar w:fldCharType="separate"/>
      </w:r>
      <w:r w:rsidR="00CE0E7B" w:rsidRPr="00CE0E7B">
        <w:rPr>
          <w:rFonts w:ascii="Calibri" w:hAnsi="Calibri" w:cs="Calibri"/>
        </w:rPr>
        <w:t>(288)</w:t>
      </w:r>
      <w:r w:rsidR="00E11524" w:rsidRPr="0035461C">
        <w:rPr>
          <w:rFonts w:ascii="Calibri" w:hAnsi="Calibri" w:cs="Calibri"/>
        </w:rPr>
        <w:fldChar w:fldCharType="end"/>
      </w:r>
      <w:r w:rsidRPr="0035461C">
        <w:rPr>
          <w:rFonts w:ascii="Calibri" w:hAnsi="Calibri" w:cs="Calibri"/>
        </w:rPr>
        <w:t>.</w:t>
      </w:r>
      <w:r w:rsidR="0015331E" w:rsidRPr="0035461C">
        <w:rPr>
          <w:rFonts w:ascii="Calibri" w:hAnsi="Calibri" w:cs="Calibri"/>
        </w:rPr>
        <w:t xml:space="preserve"> </w:t>
      </w:r>
      <w:r w:rsidR="00565ACE" w:rsidRPr="0035461C">
        <w:rPr>
          <w:rFonts w:ascii="Calibri" w:hAnsi="Calibri" w:cs="Calibri"/>
        </w:rPr>
        <w:t>B</w:t>
      </w:r>
      <w:r w:rsidRPr="0035461C">
        <w:rPr>
          <w:rFonts w:ascii="Calibri" w:hAnsi="Calibri" w:cs="Calibri"/>
        </w:rPr>
        <w:t xml:space="preserve">oth academic and commercial </w:t>
      </w:r>
      <w:r w:rsidR="00565ACE" w:rsidRPr="0035461C">
        <w:rPr>
          <w:rFonts w:ascii="Calibri" w:hAnsi="Calibri" w:cs="Calibri"/>
        </w:rPr>
        <w:t>groups</w:t>
      </w:r>
      <w:r w:rsidRPr="0035461C">
        <w:rPr>
          <w:rFonts w:ascii="Calibri" w:hAnsi="Calibri" w:cs="Calibri"/>
        </w:rPr>
        <w:t xml:space="preserve"> are pursuing these approaches and some are already in clinical trials.</w:t>
      </w:r>
    </w:p>
    <w:p w14:paraId="432CF688" w14:textId="22E8FB9C" w:rsidR="002D2ABB" w:rsidRPr="00440FCE" w:rsidRDefault="00567D76" w:rsidP="002D2ABB">
      <w:pPr>
        <w:spacing w:before="120"/>
        <w:jc w:val="both"/>
        <w:rPr>
          <w:rFonts w:ascii="Calibri" w:hAnsi="Calibri" w:cs="Calibri"/>
        </w:rPr>
      </w:pPr>
      <w:r w:rsidRPr="0035461C">
        <w:rPr>
          <w:rFonts w:ascii="Calibri" w:hAnsi="Calibri" w:cs="Calibri"/>
        </w:rPr>
        <w:t xml:space="preserve">Immunotherapy approaches are being evaluated for their potential </w:t>
      </w:r>
      <w:r w:rsidR="00632127">
        <w:rPr>
          <w:rFonts w:ascii="Calibri" w:hAnsi="Calibri" w:cs="Calibri"/>
        </w:rPr>
        <w:t>use in Stage 1 (</w:t>
      </w:r>
      <w:r w:rsidR="00233CD8">
        <w:rPr>
          <w:rFonts w:ascii="Calibri" w:hAnsi="Calibri" w:cs="Calibri"/>
        </w:rPr>
        <w:t>≥</w:t>
      </w:r>
      <w:r w:rsidR="00632127">
        <w:rPr>
          <w:rFonts w:ascii="Calibri" w:hAnsi="Calibri" w:cs="Calibri"/>
        </w:rPr>
        <w:t xml:space="preserve">2 islet autoantibodies but </w:t>
      </w:r>
      <w:proofErr w:type="spellStart"/>
      <w:r w:rsidR="00632127">
        <w:rPr>
          <w:rFonts w:ascii="Calibri" w:hAnsi="Calibri" w:cs="Calibri"/>
        </w:rPr>
        <w:t>normoglycaemia</w:t>
      </w:r>
      <w:proofErr w:type="spellEnd"/>
      <w:r w:rsidR="00632127">
        <w:rPr>
          <w:rFonts w:ascii="Calibri" w:hAnsi="Calibri" w:cs="Calibri"/>
        </w:rPr>
        <w:t xml:space="preserve">) or Stage 2 (autoantibodies and </w:t>
      </w:r>
      <w:proofErr w:type="spellStart"/>
      <w:r w:rsidR="00632127">
        <w:rPr>
          <w:rFonts w:ascii="Calibri" w:hAnsi="Calibri" w:cs="Calibri"/>
        </w:rPr>
        <w:t>dysglycaemia</w:t>
      </w:r>
      <w:proofErr w:type="spellEnd"/>
      <w:r w:rsidR="00632127">
        <w:rPr>
          <w:rFonts w:ascii="Calibri" w:hAnsi="Calibri" w:cs="Calibri"/>
        </w:rPr>
        <w:t xml:space="preserve">) </w:t>
      </w:r>
      <w:r w:rsidR="00565ACE" w:rsidRPr="0035461C">
        <w:rPr>
          <w:rFonts w:ascii="Calibri" w:hAnsi="Calibri" w:cs="Calibri"/>
        </w:rPr>
        <w:t>to</w:t>
      </w:r>
      <w:r w:rsidRPr="0035461C">
        <w:rPr>
          <w:rFonts w:ascii="Calibri" w:hAnsi="Calibri" w:cs="Calibri"/>
        </w:rPr>
        <w:t xml:space="preserve"> prevent </w:t>
      </w:r>
      <w:r w:rsidR="00632127">
        <w:rPr>
          <w:rFonts w:ascii="Calibri" w:hAnsi="Calibri" w:cs="Calibri"/>
        </w:rPr>
        <w:t xml:space="preserve">Stage 3 </w:t>
      </w:r>
      <w:r w:rsidRPr="0035461C">
        <w:rPr>
          <w:rFonts w:ascii="Calibri" w:hAnsi="Calibri" w:cs="Calibri"/>
        </w:rPr>
        <w:t xml:space="preserve">clinical </w:t>
      </w:r>
      <w:r w:rsidR="00565ACE" w:rsidRPr="0035461C">
        <w:rPr>
          <w:rFonts w:ascii="Calibri" w:hAnsi="Calibri" w:cs="Calibri"/>
        </w:rPr>
        <w:t>type 1 diabetes</w:t>
      </w:r>
      <w:r w:rsidRPr="0035461C">
        <w:rPr>
          <w:rFonts w:ascii="Calibri" w:hAnsi="Calibri" w:cs="Calibri"/>
        </w:rPr>
        <w:t xml:space="preserve">, and for </w:t>
      </w:r>
      <w:r w:rsidR="00565ACE" w:rsidRPr="0035461C">
        <w:rPr>
          <w:rFonts w:ascii="Calibri" w:hAnsi="Calibri" w:cs="Calibri"/>
        </w:rPr>
        <w:t xml:space="preserve">the </w:t>
      </w:r>
      <w:r w:rsidRPr="0035461C">
        <w:rPr>
          <w:rFonts w:ascii="Calibri" w:hAnsi="Calibri" w:cs="Calibri"/>
        </w:rPr>
        <w:t xml:space="preserve">preservation of </w:t>
      </w:r>
      <w:r w:rsidR="00565ACE" w:rsidRPr="0035461C">
        <w:rPr>
          <w:rFonts w:ascii="Calibri" w:hAnsi="Calibri" w:cs="Calibri"/>
        </w:rPr>
        <w:t>β</w:t>
      </w:r>
      <w:r w:rsidRPr="0035461C">
        <w:rPr>
          <w:rFonts w:ascii="Calibri" w:hAnsi="Calibri" w:cs="Calibri"/>
        </w:rPr>
        <w:t xml:space="preserve">-cell function </w:t>
      </w:r>
      <w:r w:rsidR="00597B6C">
        <w:rPr>
          <w:rFonts w:ascii="Calibri" w:hAnsi="Calibri" w:cs="Calibri"/>
        </w:rPr>
        <w:t xml:space="preserve">before and </w:t>
      </w:r>
      <w:r w:rsidRPr="0035461C">
        <w:rPr>
          <w:rFonts w:ascii="Calibri" w:hAnsi="Calibri" w:cs="Calibri"/>
        </w:rPr>
        <w:t xml:space="preserve">shortly after onset of </w:t>
      </w:r>
      <w:r w:rsidR="00233CD8">
        <w:rPr>
          <w:rFonts w:ascii="Calibri" w:hAnsi="Calibri" w:cs="Calibri"/>
        </w:rPr>
        <w:t xml:space="preserve">Stage 3 </w:t>
      </w:r>
      <w:r w:rsidRPr="0035461C">
        <w:rPr>
          <w:rFonts w:ascii="Calibri" w:hAnsi="Calibri" w:cs="Calibri"/>
        </w:rPr>
        <w:t xml:space="preserve">clinical </w:t>
      </w:r>
      <w:r w:rsidR="00565ACE" w:rsidRPr="0035461C">
        <w:rPr>
          <w:rFonts w:ascii="Calibri" w:hAnsi="Calibri" w:cs="Calibri"/>
        </w:rPr>
        <w:t>type 1 diabetes</w:t>
      </w:r>
      <w:r w:rsidR="00BC7C97" w:rsidRPr="0035461C">
        <w:rPr>
          <w:rFonts w:ascii="Calibri" w:hAnsi="Calibri" w:cs="Calibri"/>
        </w:rPr>
        <w:t xml:space="preserve"> </w:t>
      </w:r>
      <w:r w:rsidR="00BC7C97" w:rsidRPr="0035461C">
        <w:rPr>
          <w:rFonts w:ascii="Calibri" w:hAnsi="Calibri" w:cs="Calibri"/>
        </w:rPr>
        <w:fldChar w:fldCharType="begin"/>
      </w:r>
      <w:r w:rsidR="00CE0E7B">
        <w:rPr>
          <w:rFonts w:ascii="Calibri" w:hAnsi="Calibri" w:cs="Calibri"/>
        </w:rPr>
        <w:instrText xml:space="preserve"> ADDIN ZOTERO_ITEM CSL_CITATION {"citationID":"aPexZjng","properties":{"formattedCitation":"(289)","plainCitation":"(289)","noteIndex":0},"citationItems":[{"id":11393,"uris":["http://zotero.org/groups/369679/items/6ICBXRFH"],"uri":["http://zotero.org/groups/369679/items/6ICBXRFH"],"itemData":{"id":11393,"type":"article-journal","abstract":"Over several decades, studies have described the progression of autoimmune diabetes, from the first appearance of autoantibodies until, and after, the diagnosis of clinical disease with hyperglycaemia and insulin dependence. Despite the improved management of type 1 diabetes with exogenous insulin, most patients do not meet clinical glycaemic goals, and diabetes remains an important medical problem that affects children and adults. Clinical and preclinical studies have suggested strategies to prevent the diagnosis of type 1 diabetes in people at risk, but the outcomes of previous clinical trials have not met their primary endpoints of disease prevention or delay. The results from the TN-10 teplizumab prevention trial show that the diagnosis of type 1 diabetes can be delayed by treatment with a FcR non-binding monoclonal antibody to CD3 in people at high risk for disease. This Series paper discusses how this clinical achievement raises new questions about for whom, and when, immunological strategies might be developed to prevent type 1 diabetes, and how to achieve this goal.","container-title":"Lancet (London, England)","DOI":"10.1016/S0140-6736(19)32127-0","ISSN":"1474-547X","issue":"10205","journalAbbreviation":"Lancet","language":"eng","note":"PMID: 31533907","page":"1286-1296","source":"PubMed","title":"Changing the landscape for type 1 diabetes: the first step to prevention","title-short":"Changing the landscape for type 1 diabetes","volume":"394","author":[{"family":"Dayan","given":"Colin M."},{"family":"Korah","given":"Maria"},{"family":"Tatovic","given":"Danijela"},{"family":"Bundy","given":"Brian N."},{"family":"Herold","given":"Kevan C."}],"issued":{"date-parts":[["2019",10,5]]}}}],"schema":"https://github.com/citation-style-language/schema/raw/master/csl-citation.json"} </w:instrText>
      </w:r>
      <w:r w:rsidR="00BC7C97" w:rsidRPr="0035461C">
        <w:rPr>
          <w:rFonts w:ascii="Calibri" w:hAnsi="Calibri" w:cs="Calibri"/>
        </w:rPr>
        <w:fldChar w:fldCharType="separate"/>
      </w:r>
      <w:r w:rsidR="00CE0E7B" w:rsidRPr="00CE0E7B">
        <w:rPr>
          <w:rFonts w:ascii="Calibri" w:hAnsi="Calibri" w:cs="Calibri"/>
        </w:rPr>
        <w:t>(289)</w:t>
      </w:r>
      <w:r w:rsidR="00BC7C97" w:rsidRPr="0035461C">
        <w:rPr>
          <w:rFonts w:ascii="Calibri" w:hAnsi="Calibri" w:cs="Calibri"/>
        </w:rPr>
        <w:fldChar w:fldCharType="end"/>
      </w:r>
      <w:r w:rsidRPr="0035461C">
        <w:rPr>
          <w:rFonts w:ascii="Calibri" w:hAnsi="Calibri" w:cs="Calibri"/>
        </w:rPr>
        <w:t>.</w:t>
      </w:r>
      <w:r w:rsidR="0015331E" w:rsidRPr="0035461C">
        <w:rPr>
          <w:rFonts w:ascii="Calibri" w:hAnsi="Calibri" w:cs="Calibri"/>
        </w:rPr>
        <w:t xml:space="preserve"> </w:t>
      </w:r>
      <w:r w:rsidRPr="0035461C">
        <w:rPr>
          <w:rFonts w:ascii="Calibri" w:hAnsi="Calibri" w:cs="Calibri"/>
        </w:rPr>
        <w:t>Many interventions have been tested in clinical trials</w:t>
      </w:r>
      <w:r w:rsidR="008561D0" w:rsidRPr="0035461C">
        <w:rPr>
          <w:rFonts w:ascii="Calibri" w:hAnsi="Calibri" w:cs="Calibri"/>
        </w:rPr>
        <w:t>,</w:t>
      </w:r>
      <w:r w:rsidR="00565ACE" w:rsidRPr="0035461C">
        <w:rPr>
          <w:rFonts w:ascii="Calibri" w:hAnsi="Calibri" w:cs="Calibri"/>
        </w:rPr>
        <w:t xml:space="preserve"> but</w:t>
      </w:r>
      <w:r w:rsidR="003C6FF9" w:rsidRPr="0035461C">
        <w:rPr>
          <w:rFonts w:ascii="Calibri" w:hAnsi="Calibri" w:cs="Calibri"/>
        </w:rPr>
        <w:t xml:space="preserve"> </w:t>
      </w:r>
      <w:r w:rsidR="00565ACE" w:rsidRPr="0035461C">
        <w:rPr>
          <w:rFonts w:ascii="Calibri" w:hAnsi="Calibri" w:cs="Calibri"/>
        </w:rPr>
        <w:t>to</w:t>
      </w:r>
      <w:r w:rsidRPr="0035461C">
        <w:rPr>
          <w:rFonts w:ascii="Calibri" w:hAnsi="Calibri" w:cs="Calibri"/>
        </w:rPr>
        <w:t xml:space="preserve"> date</w:t>
      </w:r>
      <w:r w:rsidR="003C6FF9" w:rsidRPr="0035461C">
        <w:rPr>
          <w:rFonts w:ascii="Calibri" w:hAnsi="Calibri" w:cs="Calibri"/>
        </w:rPr>
        <w:t xml:space="preserve"> </w:t>
      </w:r>
      <w:r w:rsidRPr="0035461C">
        <w:rPr>
          <w:rFonts w:ascii="Calibri" w:hAnsi="Calibri" w:cs="Calibri"/>
        </w:rPr>
        <w:t xml:space="preserve">the most promising results have been from the anti-CD3 monoclonal antibody </w:t>
      </w:r>
      <w:proofErr w:type="spellStart"/>
      <w:r w:rsidRPr="0035461C">
        <w:rPr>
          <w:rFonts w:ascii="Calibri" w:hAnsi="Calibri" w:cs="Calibri"/>
        </w:rPr>
        <w:t>teplizumab</w:t>
      </w:r>
      <w:proofErr w:type="spellEnd"/>
      <w:r w:rsidR="001434CC" w:rsidRPr="0035461C">
        <w:rPr>
          <w:rFonts w:ascii="Calibri" w:hAnsi="Calibri" w:cs="Calibri"/>
        </w:rPr>
        <w:t>,</w:t>
      </w:r>
      <w:r w:rsidRPr="0035461C">
        <w:rPr>
          <w:rFonts w:ascii="Calibri" w:hAnsi="Calibri" w:cs="Calibri"/>
        </w:rPr>
        <w:t xml:space="preserve"> from low-dose anti-</w:t>
      </w:r>
      <w:proofErr w:type="spellStart"/>
      <w:r w:rsidRPr="0035461C">
        <w:rPr>
          <w:rFonts w:ascii="Calibri" w:hAnsi="Calibri" w:cs="Calibri"/>
        </w:rPr>
        <w:t>thymocyte</w:t>
      </w:r>
      <w:proofErr w:type="spellEnd"/>
      <w:r w:rsidRPr="0035461C">
        <w:rPr>
          <w:rFonts w:ascii="Calibri" w:hAnsi="Calibri" w:cs="Calibri"/>
        </w:rPr>
        <w:t xml:space="preserve"> globulin</w:t>
      </w:r>
      <w:r w:rsidR="001434CC" w:rsidRPr="0035461C">
        <w:rPr>
          <w:rFonts w:ascii="Calibri" w:hAnsi="Calibri" w:cs="Calibri"/>
        </w:rPr>
        <w:t xml:space="preserve"> (ATG), and from the anti-TNF drug, </w:t>
      </w:r>
      <w:proofErr w:type="spellStart"/>
      <w:r w:rsidR="001434CC" w:rsidRPr="0035461C">
        <w:rPr>
          <w:rFonts w:ascii="Calibri" w:hAnsi="Calibri" w:cs="Calibri"/>
        </w:rPr>
        <w:t>golimumab</w:t>
      </w:r>
      <w:proofErr w:type="spellEnd"/>
      <w:r w:rsidR="001434CC" w:rsidRPr="0035461C">
        <w:rPr>
          <w:rFonts w:ascii="Calibri" w:hAnsi="Calibri" w:cs="Calibri"/>
        </w:rPr>
        <w:t>. These</w:t>
      </w:r>
      <w:r w:rsidRPr="0035461C">
        <w:rPr>
          <w:rFonts w:ascii="Calibri" w:hAnsi="Calibri" w:cs="Calibri"/>
        </w:rPr>
        <w:t xml:space="preserve"> have shown promise in preserving </w:t>
      </w:r>
      <w:r w:rsidR="00896918" w:rsidRPr="0035461C">
        <w:rPr>
          <w:rFonts w:ascii="Calibri" w:hAnsi="Calibri" w:cs="Calibri"/>
        </w:rPr>
        <w:t>β-</w:t>
      </w:r>
      <w:r w:rsidRPr="0035461C">
        <w:rPr>
          <w:rFonts w:ascii="Calibri" w:hAnsi="Calibri" w:cs="Calibri"/>
        </w:rPr>
        <w:t xml:space="preserve">cell function in recent onset </w:t>
      </w:r>
      <w:r w:rsidR="00565ACE" w:rsidRPr="0035461C">
        <w:rPr>
          <w:rFonts w:ascii="Calibri" w:hAnsi="Calibri" w:cs="Calibri"/>
        </w:rPr>
        <w:t>type 1 diabetes</w:t>
      </w:r>
      <w:r w:rsidRPr="0035461C">
        <w:rPr>
          <w:rFonts w:ascii="Calibri" w:hAnsi="Calibri" w:cs="Calibri"/>
        </w:rPr>
        <w:t xml:space="preserve">, and </w:t>
      </w:r>
      <w:proofErr w:type="spellStart"/>
      <w:r w:rsidRPr="0035461C">
        <w:rPr>
          <w:rFonts w:ascii="Calibri" w:hAnsi="Calibri" w:cs="Calibri"/>
        </w:rPr>
        <w:t>teplizumab</w:t>
      </w:r>
      <w:proofErr w:type="spellEnd"/>
      <w:r w:rsidRPr="0035461C">
        <w:rPr>
          <w:rFonts w:ascii="Calibri" w:hAnsi="Calibri" w:cs="Calibri"/>
        </w:rPr>
        <w:t xml:space="preserve"> also has delayed the clinical onset of </w:t>
      </w:r>
      <w:r w:rsidR="00565ACE" w:rsidRPr="0035461C">
        <w:rPr>
          <w:rFonts w:ascii="Calibri" w:hAnsi="Calibri" w:cs="Calibri"/>
        </w:rPr>
        <w:t>type 1 diabetes</w:t>
      </w:r>
      <w:r w:rsidRPr="0035461C">
        <w:rPr>
          <w:rFonts w:ascii="Calibri" w:hAnsi="Calibri" w:cs="Calibri"/>
        </w:rPr>
        <w:t>.</w:t>
      </w:r>
      <w:r w:rsidR="0015331E" w:rsidRPr="0035461C">
        <w:rPr>
          <w:rFonts w:ascii="Calibri" w:hAnsi="Calibri" w:cs="Calibri"/>
        </w:rPr>
        <w:t xml:space="preserve"> </w:t>
      </w:r>
      <w:r w:rsidR="00565ACE" w:rsidRPr="0035461C">
        <w:rPr>
          <w:rFonts w:ascii="Calibri" w:hAnsi="Calibri" w:cs="Calibri"/>
        </w:rPr>
        <w:t>Several</w:t>
      </w:r>
      <w:r w:rsidRPr="0035461C">
        <w:rPr>
          <w:rFonts w:ascii="Calibri" w:hAnsi="Calibri" w:cs="Calibri"/>
        </w:rPr>
        <w:t xml:space="preserve"> other trials are underway with the hope of not only preserving but even improving </w:t>
      </w:r>
      <w:r w:rsidR="00896918" w:rsidRPr="0035461C">
        <w:rPr>
          <w:rFonts w:ascii="Calibri" w:hAnsi="Calibri" w:cs="Calibri"/>
        </w:rPr>
        <w:t>β-</w:t>
      </w:r>
      <w:r w:rsidRPr="0035461C">
        <w:rPr>
          <w:rFonts w:ascii="Calibri" w:hAnsi="Calibri" w:cs="Calibri"/>
        </w:rPr>
        <w:t>cell funct</w:t>
      </w:r>
      <w:r w:rsidRPr="00440FCE">
        <w:rPr>
          <w:rFonts w:ascii="Calibri" w:hAnsi="Calibri" w:cs="Calibri"/>
        </w:rPr>
        <w:t xml:space="preserve">ion and being able to interdict the </w:t>
      </w:r>
      <w:r w:rsidR="00565ACE" w:rsidRPr="00440FCE">
        <w:rPr>
          <w:rFonts w:ascii="Calibri" w:hAnsi="Calibri" w:cs="Calibri"/>
        </w:rPr>
        <w:t>type 1 diabetes</w:t>
      </w:r>
      <w:r w:rsidRPr="00440FCE">
        <w:rPr>
          <w:rFonts w:ascii="Calibri" w:hAnsi="Calibri" w:cs="Calibri"/>
        </w:rPr>
        <w:t xml:space="preserve"> disease process sufficiently to prevent</w:t>
      </w:r>
      <w:r w:rsidR="002D2ABB" w:rsidRPr="00440FCE">
        <w:rPr>
          <w:rFonts w:ascii="Calibri" w:hAnsi="Calibri" w:cs="Calibri"/>
        </w:rPr>
        <w:t xml:space="preserve"> the development of the disease.</w:t>
      </w:r>
    </w:p>
    <w:p w14:paraId="7A2B9072" w14:textId="77777777" w:rsidR="002D2ABB" w:rsidRPr="00440FCE" w:rsidRDefault="002D2ABB" w:rsidP="002D2ABB">
      <w:pPr>
        <w:spacing w:before="120"/>
        <w:jc w:val="both"/>
        <w:rPr>
          <w:rFonts w:ascii="Calibri" w:hAnsi="Calibri" w:cs="Calibri"/>
        </w:rPr>
      </w:pPr>
      <w:r w:rsidRPr="00440FCE">
        <w:rPr>
          <w:rFonts w:ascii="Calibri" w:hAnsi="Calibri" w:cs="Calibri"/>
          <w:b/>
          <w:bCs/>
        </w:rPr>
        <w:t>Section 17: Conclusion</w:t>
      </w:r>
    </w:p>
    <w:p w14:paraId="2CF5B4BD" w14:textId="53BA0925" w:rsidR="002D2ABB" w:rsidRPr="002D2ABB" w:rsidRDefault="002D2ABB" w:rsidP="002D2ABB">
      <w:pPr>
        <w:spacing w:before="120"/>
        <w:jc w:val="both"/>
        <w:rPr>
          <w:rFonts w:ascii="Calibri" w:hAnsi="Calibri" w:cs="Calibri"/>
        </w:rPr>
      </w:pPr>
      <w:r w:rsidRPr="00440FCE">
        <w:rPr>
          <w:rFonts w:ascii="Calibri" w:hAnsi="Calibri" w:cs="Calibri"/>
          <w:bCs/>
        </w:rPr>
        <w:t xml:space="preserve">This report has covered many areas of the management of type 1 diabetes, however, the writing group recognizes that huge gaps exist in our knowledge in the </w:t>
      </w:r>
      <w:r w:rsidR="00057AF8" w:rsidRPr="00440FCE">
        <w:rPr>
          <w:rFonts w:ascii="Calibri" w:hAnsi="Calibri" w:cs="Calibri"/>
          <w:bCs/>
        </w:rPr>
        <w:t xml:space="preserve">prevention, </w:t>
      </w:r>
      <w:r w:rsidRPr="00440FCE">
        <w:rPr>
          <w:rFonts w:ascii="Calibri" w:hAnsi="Calibri" w:cs="Calibri"/>
          <w:bCs/>
        </w:rPr>
        <w:t xml:space="preserve">diagnosis and treatment of the disease. </w:t>
      </w:r>
      <w:r w:rsidRPr="00440FCE">
        <w:rPr>
          <w:rFonts w:ascii="Calibri" w:hAnsi="Calibri" w:cs="Calibri"/>
          <w:color w:val="000000"/>
          <w:shd w:val="clear" w:color="auto" w:fill="FFFFFF"/>
        </w:rPr>
        <w:t xml:space="preserve">People with type 1 diabetes deserve better higher quality research evidence on which to determine their optimal care. We were also aware of the inequalities in treatment experienced by many people with type 1 diabetes and </w:t>
      </w:r>
      <w:r w:rsidR="005C7EAD" w:rsidRPr="00440FCE">
        <w:rPr>
          <w:rFonts w:ascii="Calibri" w:hAnsi="Calibri" w:cs="Calibri"/>
          <w:color w:val="000000"/>
          <w:shd w:val="clear" w:color="auto" w:fill="FFFFFF"/>
        </w:rPr>
        <w:t xml:space="preserve">we must </w:t>
      </w:r>
      <w:r w:rsidRPr="00440FCE">
        <w:rPr>
          <w:rFonts w:ascii="Calibri" w:hAnsi="Calibri" w:cs="Calibri"/>
          <w:color w:val="000000"/>
          <w:shd w:val="clear" w:color="auto" w:fill="FFFFFF"/>
        </w:rPr>
        <w:t>advoca</w:t>
      </w:r>
      <w:r w:rsidR="005C7EAD" w:rsidRPr="00440FCE">
        <w:rPr>
          <w:rFonts w:ascii="Calibri" w:hAnsi="Calibri" w:cs="Calibri"/>
          <w:color w:val="000000"/>
          <w:shd w:val="clear" w:color="auto" w:fill="FFFFFF"/>
        </w:rPr>
        <w:t xml:space="preserve">te for better services </w:t>
      </w:r>
      <w:r w:rsidRPr="00440FCE">
        <w:rPr>
          <w:rFonts w:ascii="Calibri" w:hAnsi="Calibri" w:cs="Calibri"/>
          <w:color w:val="000000"/>
          <w:shd w:val="clear" w:color="auto" w:fill="FFFFFF"/>
        </w:rPr>
        <w:t>to ensure that all with type 1 diabetes have access to the care they need.</w:t>
      </w:r>
    </w:p>
    <w:p w14:paraId="1CDC597B" w14:textId="26DD8A6F" w:rsidR="002D2ABB" w:rsidRPr="0035461C" w:rsidRDefault="002D2ABB" w:rsidP="00E71E04">
      <w:pPr>
        <w:spacing w:before="120"/>
        <w:jc w:val="both"/>
        <w:rPr>
          <w:rFonts w:ascii="Calibri" w:hAnsi="Calibri" w:cs="Calibri"/>
        </w:rPr>
      </w:pPr>
    </w:p>
    <w:p w14:paraId="696F508A" w14:textId="48D5B577" w:rsidR="00314FE6" w:rsidRPr="0035461C" w:rsidRDefault="00B61240" w:rsidP="00314FE6">
      <w:pPr>
        <w:rPr>
          <w:rFonts w:ascii="Calibri" w:hAnsi="Calibri" w:cs="Calibri"/>
          <w:b/>
          <w:bCs/>
        </w:rPr>
      </w:pPr>
      <w:r w:rsidRPr="0035461C">
        <w:rPr>
          <w:rFonts w:ascii="Calibri" w:hAnsi="Calibri" w:cs="Calibri"/>
          <w:b/>
          <w:bCs/>
        </w:rPr>
        <w:br w:type="page"/>
      </w:r>
      <w:r w:rsidR="00314FE6" w:rsidRPr="0035461C">
        <w:rPr>
          <w:rFonts w:ascii="Calibri" w:hAnsi="Calibri" w:cs="Calibri"/>
          <w:b/>
          <w:bCs/>
        </w:rPr>
        <w:t xml:space="preserve">Table 1: Glycaemic targets for </w:t>
      </w:r>
      <w:r w:rsidR="00264FF0" w:rsidRPr="0035461C">
        <w:rPr>
          <w:rFonts w:ascii="Calibri" w:hAnsi="Calibri" w:cs="Calibri"/>
          <w:b/>
          <w:bCs/>
        </w:rPr>
        <w:t xml:space="preserve">most </w:t>
      </w:r>
      <w:r w:rsidR="00314FE6" w:rsidRPr="0035461C">
        <w:rPr>
          <w:rFonts w:ascii="Calibri" w:hAnsi="Calibri" w:cs="Calibri"/>
          <w:b/>
          <w:bCs/>
        </w:rPr>
        <w:t>adults with type 1 diabetes</w:t>
      </w:r>
    </w:p>
    <w:p w14:paraId="37820D0C" w14:textId="77777777" w:rsidR="00896918" w:rsidRPr="0035461C" w:rsidRDefault="00896918" w:rsidP="00314FE6">
      <w:pPr>
        <w:rPr>
          <w:rFonts w:ascii="Calibri" w:hAnsi="Calibri" w:cs="Calibri"/>
        </w:rPr>
      </w:pPr>
    </w:p>
    <w:tbl>
      <w:tblPr>
        <w:tblStyle w:val="TableGrid"/>
        <w:tblW w:w="0" w:type="auto"/>
        <w:tblLook w:val="04A0" w:firstRow="1" w:lastRow="0" w:firstColumn="1" w:lastColumn="0" w:noHBand="0" w:noVBand="1"/>
      </w:tblPr>
      <w:tblGrid>
        <w:gridCol w:w="4508"/>
        <w:gridCol w:w="4508"/>
      </w:tblGrid>
      <w:tr w:rsidR="00314FE6" w:rsidRPr="0035461C" w14:paraId="46A52E84" w14:textId="77777777" w:rsidTr="00314FE6">
        <w:tc>
          <w:tcPr>
            <w:tcW w:w="4508" w:type="dxa"/>
            <w:tcBorders>
              <w:top w:val="single" w:sz="4" w:space="0" w:color="auto"/>
              <w:left w:val="single" w:sz="4" w:space="0" w:color="auto"/>
              <w:bottom w:val="single" w:sz="4" w:space="0" w:color="auto"/>
              <w:right w:val="single" w:sz="4" w:space="0" w:color="auto"/>
            </w:tcBorders>
            <w:hideMark/>
          </w:tcPr>
          <w:p w14:paraId="6E71BB8F" w14:textId="17C4C51E" w:rsidR="00314FE6" w:rsidRPr="0035461C" w:rsidRDefault="00314FE6" w:rsidP="005041CD">
            <w:pPr>
              <w:pStyle w:val="section1nextPara"/>
              <w:spacing w:before="120" w:after="120" w:line="240" w:lineRule="auto"/>
              <w:ind w:firstLine="0"/>
              <w:rPr>
                <w:rFonts w:ascii="Calibri" w:hAnsi="Calibri" w:cs="Calibri"/>
                <w:bCs/>
                <w:sz w:val="24"/>
                <w:szCs w:val="24"/>
                <w:lang w:val="en-US"/>
              </w:rPr>
            </w:pPr>
            <w:r w:rsidRPr="0035461C">
              <w:rPr>
                <w:rFonts w:ascii="Calibri" w:hAnsi="Calibri" w:cs="Calibri"/>
                <w:bCs/>
                <w:sz w:val="24"/>
                <w:szCs w:val="24"/>
                <w:lang w:val="en-US"/>
              </w:rPr>
              <w:t>HbA</w:t>
            </w:r>
            <w:r w:rsidRPr="0035461C">
              <w:rPr>
                <w:rFonts w:ascii="Calibri" w:hAnsi="Calibri" w:cs="Calibri"/>
                <w:bCs/>
                <w:sz w:val="24"/>
                <w:szCs w:val="24"/>
                <w:vertAlign w:val="subscript"/>
                <w:lang w:val="en-US"/>
              </w:rPr>
              <w:t>1c</w:t>
            </w:r>
            <w:r w:rsidRPr="0035461C">
              <w:rPr>
                <w:rFonts w:ascii="Calibri" w:hAnsi="Calibri" w:cs="Calibri"/>
                <w:bCs/>
                <w:sz w:val="24"/>
                <w:szCs w:val="24"/>
                <w:lang w:val="en-US"/>
              </w:rPr>
              <w:t xml:space="preserve"> </w:t>
            </w:r>
          </w:p>
        </w:tc>
        <w:tc>
          <w:tcPr>
            <w:tcW w:w="4508" w:type="dxa"/>
            <w:tcBorders>
              <w:top w:val="single" w:sz="4" w:space="0" w:color="auto"/>
              <w:left w:val="single" w:sz="4" w:space="0" w:color="auto"/>
              <w:bottom w:val="single" w:sz="4" w:space="0" w:color="auto"/>
              <w:right w:val="single" w:sz="4" w:space="0" w:color="auto"/>
            </w:tcBorders>
            <w:hideMark/>
          </w:tcPr>
          <w:p w14:paraId="1C355FB4" w14:textId="7472C850" w:rsidR="00314FE6" w:rsidRPr="0035461C" w:rsidRDefault="00314FE6">
            <w:pPr>
              <w:pStyle w:val="section1nextPara"/>
              <w:spacing w:before="120" w:after="120" w:line="240" w:lineRule="auto"/>
              <w:ind w:firstLine="0"/>
              <w:rPr>
                <w:rFonts w:ascii="Calibri" w:hAnsi="Calibri" w:cs="Calibri"/>
                <w:sz w:val="24"/>
                <w:szCs w:val="24"/>
              </w:rPr>
            </w:pPr>
            <w:r w:rsidRPr="0035461C">
              <w:rPr>
                <w:rFonts w:ascii="Calibri" w:hAnsi="Calibri" w:cs="Calibri"/>
                <w:sz w:val="24"/>
                <w:szCs w:val="24"/>
              </w:rPr>
              <w:t xml:space="preserve">&lt;7.0% (53 </w:t>
            </w:r>
            <w:proofErr w:type="spellStart"/>
            <w:r w:rsidRPr="0035461C">
              <w:rPr>
                <w:rFonts w:ascii="Calibri" w:hAnsi="Calibri" w:cs="Calibri"/>
                <w:sz w:val="24"/>
                <w:szCs w:val="24"/>
              </w:rPr>
              <w:t>mmol</w:t>
            </w:r>
            <w:proofErr w:type="spellEnd"/>
            <w:r w:rsidRPr="0035461C">
              <w:rPr>
                <w:rFonts w:ascii="Calibri" w:hAnsi="Calibri" w:cs="Calibri"/>
                <w:sz w:val="24"/>
                <w:szCs w:val="24"/>
              </w:rPr>
              <w:t>/</w:t>
            </w:r>
            <w:proofErr w:type="spellStart"/>
            <w:r w:rsidRPr="0035461C">
              <w:rPr>
                <w:rFonts w:ascii="Calibri" w:hAnsi="Calibri" w:cs="Calibri"/>
                <w:sz w:val="24"/>
                <w:szCs w:val="24"/>
              </w:rPr>
              <w:t>mol</w:t>
            </w:r>
            <w:proofErr w:type="spellEnd"/>
            <w:r w:rsidRPr="0035461C">
              <w:rPr>
                <w:rFonts w:ascii="Calibri" w:hAnsi="Calibri" w:cs="Calibri"/>
                <w:sz w:val="24"/>
                <w:szCs w:val="24"/>
              </w:rPr>
              <w:t>)</w:t>
            </w:r>
          </w:p>
        </w:tc>
      </w:tr>
      <w:tr w:rsidR="005041CD" w:rsidRPr="0035461C" w14:paraId="59A8129D" w14:textId="77777777" w:rsidTr="00314FE6">
        <w:tc>
          <w:tcPr>
            <w:tcW w:w="4508" w:type="dxa"/>
            <w:tcBorders>
              <w:top w:val="single" w:sz="4" w:space="0" w:color="auto"/>
              <w:left w:val="single" w:sz="4" w:space="0" w:color="auto"/>
              <w:bottom w:val="single" w:sz="4" w:space="0" w:color="auto"/>
              <w:right w:val="single" w:sz="4" w:space="0" w:color="auto"/>
            </w:tcBorders>
          </w:tcPr>
          <w:p w14:paraId="08CA7AA1" w14:textId="6D0A6F6E" w:rsidR="005041CD" w:rsidRPr="0035461C" w:rsidRDefault="005041CD">
            <w:pPr>
              <w:pStyle w:val="section1nextPara"/>
              <w:spacing w:before="120" w:after="120" w:line="240" w:lineRule="auto"/>
              <w:ind w:firstLine="0"/>
              <w:rPr>
                <w:rFonts w:ascii="Calibri" w:hAnsi="Calibri" w:cs="Calibri"/>
                <w:bCs/>
                <w:sz w:val="24"/>
                <w:szCs w:val="24"/>
                <w:lang w:val="en-US"/>
              </w:rPr>
            </w:pPr>
            <w:r>
              <w:rPr>
                <w:rFonts w:ascii="Calibri" w:hAnsi="Calibri" w:cs="Calibri"/>
                <w:bCs/>
                <w:sz w:val="24"/>
                <w:szCs w:val="24"/>
                <w:lang w:val="en-US"/>
              </w:rPr>
              <w:t>GMI</w:t>
            </w:r>
          </w:p>
        </w:tc>
        <w:tc>
          <w:tcPr>
            <w:tcW w:w="4508" w:type="dxa"/>
            <w:tcBorders>
              <w:top w:val="single" w:sz="4" w:space="0" w:color="auto"/>
              <w:left w:val="single" w:sz="4" w:space="0" w:color="auto"/>
              <w:bottom w:val="single" w:sz="4" w:space="0" w:color="auto"/>
              <w:right w:val="single" w:sz="4" w:space="0" w:color="auto"/>
            </w:tcBorders>
          </w:tcPr>
          <w:p w14:paraId="5ACF316D" w14:textId="0BBDC47F" w:rsidR="005041CD" w:rsidRPr="0035461C" w:rsidRDefault="005041CD">
            <w:pPr>
              <w:pStyle w:val="section1nextPara"/>
              <w:spacing w:before="120" w:after="120" w:line="240" w:lineRule="auto"/>
              <w:ind w:firstLine="0"/>
              <w:rPr>
                <w:rFonts w:ascii="Calibri" w:hAnsi="Calibri" w:cs="Calibri"/>
                <w:sz w:val="24"/>
                <w:szCs w:val="24"/>
              </w:rPr>
            </w:pPr>
            <w:r w:rsidRPr="0035461C">
              <w:rPr>
                <w:rFonts w:ascii="Calibri" w:hAnsi="Calibri" w:cs="Calibri"/>
                <w:sz w:val="24"/>
                <w:szCs w:val="24"/>
              </w:rPr>
              <w:t xml:space="preserve">&lt;7.0% (53 </w:t>
            </w:r>
            <w:proofErr w:type="spellStart"/>
            <w:r w:rsidRPr="0035461C">
              <w:rPr>
                <w:rFonts w:ascii="Calibri" w:hAnsi="Calibri" w:cs="Calibri"/>
                <w:sz w:val="24"/>
                <w:szCs w:val="24"/>
              </w:rPr>
              <w:t>mmol</w:t>
            </w:r>
            <w:proofErr w:type="spellEnd"/>
            <w:r w:rsidRPr="0035461C">
              <w:rPr>
                <w:rFonts w:ascii="Calibri" w:hAnsi="Calibri" w:cs="Calibri"/>
                <w:sz w:val="24"/>
                <w:szCs w:val="24"/>
              </w:rPr>
              <w:t>/</w:t>
            </w:r>
            <w:proofErr w:type="spellStart"/>
            <w:r w:rsidRPr="0035461C">
              <w:rPr>
                <w:rFonts w:ascii="Calibri" w:hAnsi="Calibri" w:cs="Calibri"/>
                <w:sz w:val="24"/>
                <w:szCs w:val="24"/>
              </w:rPr>
              <w:t>mol</w:t>
            </w:r>
            <w:proofErr w:type="spellEnd"/>
            <w:r w:rsidRPr="0035461C">
              <w:rPr>
                <w:rFonts w:ascii="Calibri" w:hAnsi="Calibri" w:cs="Calibri"/>
                <w:sz w:val="24"/>
                <w:szCs w:val="24"/>
              </w:rPr>
              <w:t>)</w:t>
            </w:r>
          </w:p>
        </w:tc>
      </w:tr>
      <w:tr w:rsidR="00314FE6" w:rsidRPr="0035461C" w14:paraId="06E3904D" w14:textId="77777777" w:rsidTr="003C6FF9">
        <w:trPr>
          <w:trHeight w:val="559"/>
        </w:trPr>
        <w:tc>
          <w:tcPr>
            <w:tcW w:w="4508" w:type="dxa"/>
            <w:tcBorders>
              <w:top w:val="single" w:sz="4" w:space="0" w:color="auto"/>
              <w:left w:val="single" w:sz="4" w:space="0" w:color="auto"/>
              <w:bottom w:val="single" w:sz="4" w:space="0" w:color="auto"/>
              <w:right w:val="single" w:sz="4" w:space="0" w:color="auto"/>
            </w:tcBorders>
            <w:hideMark/>
          </w:tcPr>
          <w:p w14:paraId="49F66BA6" w14:textId="468716C5" w:rsidR="00314FE6" w:rsidRPr="0035461C" w:rsidRDefault="00314FE6" w:rsidP="00D1486F">
            <w:pPr>
              <w:pStyle w:val="section1nextPara"/>
              <w:spacing w:before="120" w:after="120" w:line="240" w:lineRule="auto"/>
              <w:ind w:firstLine="0"/>
              <w:rPr>
                <w:rFonts w:ascii="Calibri" w:hAnsi="Calibri" w:cs="Calibri"/>
                <w:bCs/>
                <w:sz w:val="24"/>
                <w:szCs w:val="24"/>
                <w:lang w:val="en-US"/>
              </w:rPr>
            </w:pPr>
            <w:r w:rsidRPr="0035461C">
              <w:rPr>
                <w:rFonts w:ascii="Calibri" w:hAnsi="Calibri" w:cs="Calibri"/>
                <w:bCs/>
                <w:sz w:val="24"/>
                <w:szCs w:val="24"/>
                <w:lang w:val="en-US"/>
              </w:rPr>
              <w:t>Pre-prandial glucose</w:t>
            </w:r>
          </w:p>
        </w:tc>
        <w:tc>
          <w:tcPr>
            <w:tcW w:w="4508" w:type="dxa"/>
            <w:tcBorders>
              <w:top w:val="single" w:sz="4" w:space="0" w:color="auto"/>
              <w:left w:val="single" w:sz="4" w:space="0" w:color="auto"/>
              <w:bottom w:val="single" w:sz="4" w:space="0" w:color="auto"/>
              <w:right w:val="single" w:sz="4" w:space="0" w:color="auto"/>
            </w:tcBorders>
          </w:tcPr>
          <w:p w14:paraId="6568F749" w14:textId="38BA8B17" w:rsidR="00314FE6" w:rsidRPr="0035461C" w:rsidRDefault="00314FE6" w:rsidP="003C6FF9">
            <w:pPr>
              <w:pStyle w:val="section1nextPara"/>
              <w:spacing w:before="120" w:after="120" w:line="240" w:lineRule="auto"/>
              <w:ind w:firstLine="0"/>
              <w:rPr>
                <w:rFonts w:ascii="Calibri" w:hAnsi="Calibri" w:cs="Calibri"/>
                <w:bCs/>
                <w:sz w:val="24"/>
                <w:szCs w:val="24"/>
                <w:lang w:val="en-US"/>
              </w:rPr>
            </w:pPr>
            <w:r w:rsidRPr="0035461C">
              <w:rPr>
                <w:rFonts w:ascii="Calibri" w:hAnsi="Calibri" w:cs="Calibri"/>
                <w:sz w:val="24"/>
                <w:szCs w:val="24"/>
              </w:rPr>
              <w:t>80–130 mg/</w:t>
            </w:r>
            <w:proofErr w:type="spellStart"/>
            <w:r w:rsidRPr="0035461C">
              <w:rPr>
                <w:rFonts w:ascii="Calibri" w:hAnsi="Calibri" w:cs="Calibri"/>
                <w:sz w:val="24"/>
                <w:szCs w:val="24"/>
              </w:rPr>
              <w:t>dL</w:t>
            </w:r>
            <w:proofErr w:type="spellEnd"/>
            <w:r w:rsidRPr="0035461C">
              <w:rPr>
                <w:rFonts w:ascii="Calibri" w:hAnsi="Calibri" w:cs="Calibri"/>
                <w:sz w:val="24"/>
                <w:szCs w:val="24"/>
              </w:rPr>
              <w:t xml:space="preserve"> (4.4–7.2 </w:t>
            </w:r>
            <w:proofErr w:type="spellStart"/>
            <w:r w:rsidRPr="0035461C">
              <w:rPr>
                <w:rFonts w:ascii="Calibri" w:hAnsi="Calibri" w:cs="Calibri"/>
                <w:sz w:val="24"/>
                <w:szCs w:val="24"/>
              </w:rPr>
              <w:t>mmol</w:t>
            </w:r>
            <w:proofErr w:type="spellEnd"/>
            <w:r w:rsidRPr="0035461C">
              <w:rPr>
                <w:rFonts w:ascii="Calibri" w:hAnsi="Calibri" w:cs="Calibri"/>
                <w:sz w:val="24"/>
                <w:szCs w:val="24"/>
              </w:rPr>
              <w:t>/L)</w:t>
            </w:r>
          </w:p>
        </w:tc>
      </w:tr>
      <w:tr w:rsidR="00314FE6" w:rsidRPr="0035461C" w14:paraId="55287400" w14:textId="77777777" w:rsidTr="00314FE6">
        <w:tc>
          <w:tcPr>
            <w:tcW w:w="4508" w:type="dxa"/>
            <w:tcBorders>
              <w:top w:val="single" w:sz="4" w:space="0" w:color="auto"/>
              <w:left w:val="single" w:sz="4" w:space="0" w:color="auto"/>
              <w:bottom w:val="single" w:sz="4" w:space="0" w:color="auto"/>
              <w:right w:val="single" w:sz="4" w:space="0" w:color="auto"/>
            </w:tcBorders>
            <w:hideMark/>
          </w:tcPr>
          <w:p w14:paraId="63239936" w14:textId="320E7AF8" w:rsidR="00314FE6" w:rsidRPr="0035461C" w:rsidRDefault="00314FE6" w:rsidP="00D1486F">
            <w:pPr>
              <w:pStyle w:val="section1nextPara"/>
              <w:spacing w:before="120" w:after="120" w:line="240" w:lineRule="auto"/>
              <w:ind w:firstLine="0"/>
              <w:rPr>
                <w:rFonts w:ascii="Calibri" w:hAnsi="Calibri" w:cs="Calibri"/>
                <w:bCs/>
                <w:sz w:val="24"/>
                <w:szCs w:val="24"/>
                <w:lang w:val="en-US"/>
              </w:rPr>
            </w:pPr>
            <w:r w:rsidRPr="0035461C">
              <w:rPr>
                <w:rFonts w:ascii="Calibri" w:hAnsi="Calibri" w:cs="Calibri"/>
                <w:bCs/>
                <w:sz w:val="24"/>
                <w:szCs w:val="24"/>
                <w:lang w:val="en-US"/>
              </w:rPr>
              <w:t xml:space="preserve">1-2 </w:t>
            </w:r>
            <w:proofErr w:type="spellStart"/>
            <w:r w:rsidRPr="0035461C">
              <w:rPr>
                <w:rFonts w:ascii="Calibri" w:hAnsi="Calibri" w:cs="Calibri"/>
                <w:bCs/>
                <w:sz w:val="24"/>
                <w:szCs w:val="24"/>
                <w:lang w:val="en-US"/>
              </w:rPr>
              <w:t>hr</w:t>
            </w:r>
            <w:proofErr w:type="spellEnd"/>
            <w:r w:rsidRPr="0035461C">
              <w:rPr>
                <w:rFonts w:ascii="Calibri" w:hAnsi="Calibri" w:cs="Calibri"/>
                <w:bCs/>
                <w:sz w:val="24"/>
                <w:szCs w:val="24"/>
                <w:lang w:val="en-US"/>
              </w:rPr>
              <w:t xml:space="preserve"> post-prandial glucose</w:t>
            </w:r>
          </w:p>
        </w:tc>
        <w:tc>
          <w:tcPr>
            <w:tcW w:w="4508" w:type="dxa"/>
            <w:tcBorders>
              <w:top w:val="single" w:sz="4" w:space="0" w:color="auto"/>
              <w:left w:val="single" w:sz="4" w:space="0" w:color="auto"/>
              <w:bottom w:val="single" w:sz="4" w:space="0" w:color="auto"/>
              <w:right w:val="single" w:sz="4" w:space="0" w:color="auto"/>
            </w:tcBorders>
            <w:hideMark/>
          </w:tcPr>
          <w:p w14:paraId="67B99225" w14:textId="067DFAC7" w:rsidR="00314FE6" w:rsidRPr="0035461C" w:rsidRDefault="00314FE6">
            <w:pPr>
              <w:pStyle w:val="section1nextPara"/>
              <w:spacing w:before="120" w:after="120" w:line="240" w:lineRule="auto"/>
              <w:ind w:firstLine="0"/>
              <w:rPr>
                <w:rFonts w:ascii="Calibri" w:hAnsi="Calibri" w:cs="Calibri"/>
                <w:sz w:val="24"/>
                <w:szCs w:val="24"/>
              </w:rPr>
            </w:pPr>
            <w:r w:rsidRPr="0035461C">
              <w:rPr>
                <w:rFonts w:ascii="Calibri" w:hAnsi="Calibri" w:cs="Calibri"/>
                <w:sz w:val="24"/>
                <w:szCs w:val="24"/>
              </w:rPr>
              <w:t>&lt;180 mg/</w:t>
            </w:r>
            <w:proofErr w:type="spellStart"/>
            <w:r w:rsidRPr="0035461C">
              <w:rPr>
                <w:rFonts w:ascii="Calibri" w:hAnsi="Calibri" w:cs="Calibri"/>
                <w:sz w:val="24"/>
                <w:szCs w:val="24"/>
              </w:rPr>
              <w:t>dL</w:t>
            </w:r>
            <w:proofErr w:type="spellEnd"/>
            <w:r w:rsidRPr="0035461C">
              <w:rPr>
                <w:rFonts w:ascii="Calibri" w:hAnsi="Calibri" w:cs="Calibri"/>
                <w:sz w:val="24"/>
                <w:szCs w:val="24"/>
              </w:rPr>
              <w:t xml:space="preserve"> (10.0 </w:t>
            </w:r>
            <w:proofErr w:type="spellStart"/>
            <w:r w:rsidRPr="0035461C">
              <w:rPr>
                <w:rFonts w:ascii="Calibri" w:hAnsi="Calibri" w:cs="Calibri"/>
                <w:sz w:val="24"/>
                <w:szCs w:val="24"/>
              </w:rPr>
              <w:t>mmol</w:t>
            </w:r>
            <w:proofErr w:type="spellEnd"/>
            <w:r w:rsidRPr="0035461C">
              <w:rPr>
                <w:rFonts w:ascii="Calibri" w:hAnsi="Calibri" w:cs="Calibri"/>
                <w:sz w:val="24"/>
                <w:szCs w:val="24"/>
              </w:rPr>
              <w:t>/L)</w:t>
            </w:r>
          </w:p>
        </w:tc>
      </w:tr>
      <w:tr w:rsidR="00314FE6" w:rsidRPr="0035461C" w14:paraId="7F0764C7" w14:textId="77777777" w:rsidTr="00314FE6">
        <w:tc>
          <w:tcPr>
            <w:tcW w:w="4508" w:type="dxa"/>
            <w:tcBorders>
              <w:top w:val="single" w:sz="4" w:space="0" w:color="auto"/>
              <w:left w:val="single" w:sz="4" w:space="0" w:color="auto"/>
              <w:bottom w:val="single" w:sz="4" w:space="0" w:color="auto"/>
              <w:right w:val="single" w:sz="4" w:space="0" w:color="auto"/>
            </w:tcBorders>
            <w:hideMark/>
          </w:tcPr>
          <w:p w14:paraId="0BF706AF" w14:textId="77777777" w:rsidR="00314FE6" w:rsidRPr="0035461C" w:rsidRDefault="00314FE6">
            <w:pPr>
              <w:pStyle w:val="section1nextPara"/>
              <w:spacing w:before="120" w:after="120" w:line="240" w:lineRule="auto"/>
              <w:ind w:firstLine="0"/>
              <w:rPr>
                <w:rFonts w:ascii="Calibri" w:hAnsi="Calibri" w:cs="Calibri"/>
                <w:bCs/>
                <w:sz w:val="24"/>
                <w:szCs w:val="24"/>
                <w:lang w:val="en-US"/>
              </w:rPr>
            </w:pPr>
            <w:r w:rsidRPr="0035461C">
              <w:rPr>
                <w:rFonts w:ascii="Calibri" w:hAnsi="Calibri" w:cs="Calibri"/>
                <w:bCs/>
                <w:sz w:val="24"/>
                <w:szCs w:val="24"/>
                <w:lang w:val="en-US"/>
              </w:rPr>
              <w:t>Time in range</w:t>
            </w:r>
          </w:p>
        </w:tc>
        <w:tc>
          <w:tcPr>
            <w:tcW w:w="4508" w:type="dxa"/>
            <w:tcBorders>
              <w:top w:val="single" w:sz="4" w:space="0" w:color="auto"/>
              <w:left w:val="single" w:sz="4" w:space="0" w:color="auto"/>
              <w:bottom w:val="single" w:sz="4" w:space="0" w:color="auto"/>
              <w:right w:val="single" w:sz="4" w:space="0" w:color="auto"/>
            </w:tcBorders>
            <w:hideMark/>
          </w:tcPr>
          <w:p w14:paraId="1EC82385" w14:textId="72FADB0E" w:rsidR="00314FE6" w:rsidRPr="0035461C" w:rsidRDefault="00314FE6">
            <w:pPr>
              <w:pStyle w:val="section1nextPara"/>
              <w:spacing w:before="120" w:after="120" w:line="240" w:lineRule="auto"/>
              <w:ind w:firstLine="0"/>
              <w:rPr>
                <w:rFonts w:ascii="Calibri" w:hAnsi="Calibri" w:cs="Calibri"/>
                <w:bCs/>
                <w:sz w:val="24"/>
                <w:szCs w:val="24"/>
                <w:lang w:val="en-US"/>
              </w:rPr>
            </w:pPr>
            <w:r w:rsidRPr="0035461C">
              <w:rPr>
                <w:rFonts w:ascii="Calibri" w:hAnsi="Calibri" w:cs="Calibri"/>
                <w:bCs/>
                <w:sz w:val="24"/>
                <w:szCs w:val="24"/>
                <w:lang w:val="en-US"/>
              </w:rPr>
              <w:t>&gt;70%</w:t>
            </w:r>
          </w:p>
        </w:tc>
      </w:tr>
      <w:tr w:rsidR="00314FE6" w:rsidRPr="0035461C" w14:paraId="57CC7FB3" w14:textId="77777777" w:rsidTr="00314FE6">
        <w:tc>
          <w:tcPr>
            <w:tcW w:w="4508" w:type="dxa"/>
            <w:tcBorders>
              <w:top w:val="single" w:sz="4" w:space="0" w:color="auto"/>
              <w:left w:val="single" w:sz="4" w:space="0" w:color="auto"/>
              <w:bottom w:val="single" w:sz="4" w:space="0" w:color="auto"/>
              <w:right w:val="single" w:sz="4" w:space="0" w:color="auto"/>
            </w:tcBorders>
          </w:tcPr>
          <w:p w14:paraId="59B220B9" w14:textId="77777777" w:rsidR="00314FE6" w:rsidRPr="0035461C" w:rsidRDefault="00314FE6">
            <w:pPr>
              <w:pStyle w:val="section1nextPara"/>
              <w:spacing w:before="120" w:line="240" w:lineRule="auto"/>
              <w:ind w:firstLine="0"/>
              <w:rPr>
                <w:rFonts w:ascii="Calibri" w:hAnsi="Calibri" w:cs="Calibri"/>
                <w:bCs/>
                <w:sz w:val="24"/>
                <w:szCs w:val="24"/>
                <w:lang w:val="en-US"/>
              </w:rPr>
            </w:pPr>
            <w:r w:rsidRPr="0035461C">
              <w:rPr>
                <w:rFonts w:ascii="Calibri" w:hAnsi="Calibri" w:cs="Calibri"/>
                <w:bCs/>
                <w:sz w:val="24"/>
                <w:szCs w:val="24"/>
                <w:lang w:val="en-US"/>
              </w:rPr>
              <w:t>Time below range</w:t>
            </w:r>
          </w:p>
          <w:p w14:paraId="219E51EB" w14:textId="77777777" w:rsidR="00314FE6" w:rsidRPr="0035461C" w:rsidRDefault="00314FE6">
            <w:pPr>
              <w:pStyle w:val="section1nextPara"/>
              <w:spacing w:line="240" w:lineRule="auto"/>
              <w:ind w:firstLine="0"/>
              <w:rPr>
                <w:rFonts w:ascii="Calibri" w:hAnsi="Calibri" w:cs="Calibri"/>
                <w:bCs/>
                <w:sz w:val="24"/>
                <w:szCs w:val="24"/>
                <w:lang w:val="en-US"/>
              </w:rPr>
            </w:pPr>
          </w:p>
          <w:p w14:paraId="51B96FC0" w14:textId="65F9B6F3" w:rsidR="00314FE6" w:rsidRPr="0035461C" w:rsidRDefault="00314FE6" w:rsidP="00314FE6">
            <w:pPr>
              <w:pStyle w:val="ListParagraph"/>
              <w:numPr>
                <w:ilvl w:val="0"/>
                <w:numId w:val="17"/>
              </w:numPr>
              <w:autoSpaceDE w:val="0"/>
              <w:autoSpaceDN w:val="0"/>
              <w:adjustRightInd w:val="0"/>
              <w:spacing w:after="0" w:line="240" w:lineRule="auto"/>
              <w:ind w:left="714" w:hanging="357"/>
              <w:jc w:val="both"/>
              <w:rPr>
                <w:rFonts w:ascii="Calibri" w:hAnsi="Calibri" w:cs="Calibri"/>
                <w:sz w:val="24"/>
                <w:lang w:val="pl-PL"/>
              </w:rPr>
            </w:pPr>
            <w:r w:rsidRPr="0035461C">
              <w:rPr>
                <w:rFonts w:ascii="Calibri" w:hAnsi="Calibri" w:cs="Calibri"/>
                <w:sz w:val="24"/>
                <w:lang w:val="pl-PL"/>
              </w:rPr>
              <w:t xml:space="preserve">% of readings and time </w:t>
            </w:r>
            <w:r w:rsidR="00976B1A">
              <w:rPr>
                <w:rFonts w:ascii="Calibri" w:hAnsi="Calibri" w:cs="Calibri"/>
                <w:sz w:val="24"/>
                <w:lang w:val="pl-PL"/>
              </w:rPr>
              <w:t>&lt;70</w:t>
            </w:r>
            <w:r w:rsidRPr="0035461C">
              <w:rPr>
                <w:rFonts w:ascii="Calibri" w:hAnsi="Calibri" w:cs="Calibri"/>
                <w:sz w:val="24"/>
                <w:lang w:val="pl-PL"/>
              </w:rPr>
              <w:t xml:space="preserve"> mg/dL (3.</w:t>
            </w:r>
            <w:r w:rsidR="00976B1A">
              <w:rPr>
                <w:rFonts w:ascii="Calibri" w:hAnsi="Calibri" w:cs="Calibri"/>
                <w:sz w:val="24"/>
                <w:lang w:val="pl-PL"/>
              </w:rPr>
              <w:t>9</w:t>
            </w:r>
            <w:r w:rsidRPr="0035461C">
              <w:rPr>
                <w:rFonts w:ascii="Calibri" w:hAnsi="Calibri" w:cs="Calibri"/>
                <w:sz w:val="24"/>
                <w:lang w:val="pl-PL"/>
              </w:rPr>
              <w:t xml:space="preserve"> mmol/L)</w:t>
            </w:r>
            <w:r w:rsidR="00D1486F">
              <w:rPr>
                <w:rFonts w:ascii="Calibri" w:hAnsi="Calibri" w:cs="Calibri"/>
                <w:sz w:val="24"/>
                <w:lang w:val="pl-PL"/>
              </w:rPr>
              <w:t>:</w:t>
            </w:r>
            <w:r w:rsidRPr="0035461C">
              <w:rPr>
                <w:rFonts w:ascii="Calibri" w:hAnsi="Calibri" w:cs="Calibri"/>
                <w:sz w:val="24"/>
                <w:lang w:val="pl-PL"/>
              </w:rPr>
              <w:t xml:space="preserve"> Level 1</w:t>
            </w:r>
            <w:r w:rsidR="00976B1A">
              <w:rPr>
                <w:rFonts w:ascii="Calibri" w:hAnsi="Calibri" w:cs="Calibri"/>
                <w:sz w:val="24"/>
                <w:lang w:val="pl-PL"/>
              </w:rPr>
              <w:t xml:space="preserve"> and level 2</w:t>
            </w:r>
          </w:p>
          <w:p w14:paraId="5200E840" w14:textId="06CCFC99" w:rsidR="00314FE6" w:rsidRPr="0035461C" w:rsidRDefault="00314FE6" w:rsidP="00314FE6">
            <w:pPr>
              <w:pStyle w:val="ListParagraph"/>
              <w:numPr>
                <w:ilvl w:val="0"/>
                <w:numId w:val="17"/>
              </w:numPr>
              <w:autoSpaceDE w:val="0"/>
              <w:autoSpaceDN w:val="0"/>
              <w:adjustRightInd w:val="0"/>
              <w:spacing w:after="0" w:line="240" w:lineRule="auto"/>
              <w:ind w:left="714" w:hanging="357"/>
              <w:jc w:val="both"/>
              <w:rPr>
                <w:rFonts w:ascii="Calibri" w:hAnsi="Calibri" w:cs="Calibri"/>
                <w:sz w:val="24"/>
                <w:lang w:val="pl-PL"/>
              </w:rPr>
            </w:pPr>
            <w:r w:rsidRPr="0035461C">
              <w:rPr>
                <w:rFonts w:ascii="Calibri" w:hAnsi="Calibri" w:cs="Calibri"/>
                <w:sz w:val="24"/>
                <w:lang w:val="pl-PL"/>
              </w:rPr>
              <w:t>% of readings and time &lt;54 mg/dL (&lt;3.0 mmol/L)</w:t>
            </w:r>
            <w:r w:rsidR="00D1486F">
              <w:rPr>
                <w:rFonts w:ascii="Calibri" w:hAnsi="Calibri" w:cs="Calibri"/>
                <w:sz w:val="24"/>
                <w:lang w:val="pl-PL"/>
              </w:rPr>
              <w:t>:</w:t>
            </w:r>
            <w:r w:rsidRPr="0035461C">
              <w:rPr>
                <w:rFonts w:ascii="Calibri" w:hAnsi="Calibri" w:cs="Calibri"/>
                <w:sz w:val="24"/>
                <w:lang w:val="pl-PL"/>
              </w:rPr>
              <w:t xml:space="preserve"> Level 2</w:t>
            </w:r>
          </w:p>
        </w:tc>
        <w:tc>
          <w:tcPr>
            <w:tcW w:w="4508" w:type="dxa"/>
            <w:tcBorders>
              <w:top w:val="single" w:sz="4" w:space="0" w:color="auto"/>
              <w:left w:val="single" w:sz="4" w:space="0" w:color="auto"/>
              <w:bottom w:val="single" w:sz="4" w:space="0" w:color="auto"/>
              <w:right w:val="single" w:sz="4" w:space="0" w:color="auto"/>
            </w:tcBorders>
          </w:tcPr>
          <w:p w14:paraId="6B606B85" w14:textId="03D3F2D6" w:rsidR="00314FE6" w:rsidRPr="0035461C" w:rsidRDefault="00314FE6">
            <w:pPr>
              <w:pStyle w:val="section1nextPara"/>
              <w:spacing w:line="240" w:lineRule="auto"/>
              <w:ind w:firstLine="0"/>
              <w:rPr>
                <w:rFonts w:ascii="Calibri" w:hAnsi="Calibri" w:cs="Calibri"/>
                <w:bCs/>
                <w:sz w:val="24"/>
                <w:szCs w:val="24"/>
                <w:lang w:val="en-US"/>
              </w:rPr>
            </w:pPr>
          </w:p>
          <w:p w14:paraId="3EAD1D5B" w14:textId="485C8121" w:rsidR="00081EE5" w:rsidRPr="0035461C" w:rsidRDefault="00081EE5">
            <w:pPr>
              <w:pStyle w:val="section1nextPara"/>
              <w:spacing w:line="240" w:lineRule="auto"/>
              <w:ind w:firstLine="0"/>
              <w:rPr>
                <w:rFonts w:ascii="Calibri" w:hAnsi="Calibri" w:cs="Calibri"/>
                <w:bCs/>
                <w:sz w:val="24"/>
                <w:szCs w:val="24"/>
                <w:lang w:val="en-US"/>
              </w:rPr>
            </w:pPr>
          </w:p>
          <w:p w14:paraId="6D09B491" w14:textId="77777777" w:rsidR="00314FE6" w:rsidRPr="0035461C" w:rsidRDefault="00314FE6" w:rsidP="00081EE5">
            <w:pPr>
              <w:pStyle w:val="section1nextPara"/>
              <w:spacing w:before="120" w:line="240" w:lineRule="auto"/>
              <w:ind w:firstLine="0"/>
              <w:rPr>
                <w:rFonts w:ascii="Calibri" w:hAnsi="Calibri" w:cs="Calibri"/>
                <w:bCs/>
                <w:sz w:val="24"/>
                <w:szCs w:val="24"/>
                <w:lang w:val="en-US"/>
              </w:rPr>
            </w:pPr>
            <w:r w:rsidRPr="0035461C">
              <w:rPr>
                <w:rFonts w:ascii="Calibri" w:hAnsi="Calibri" w:cs="Calibri"/>
                <w:bCs/>
                <w:sz w:val="24"/>
                <w:szCs w:val="24"/>
                <w:lang w:val="en-US"/>
              </w:rPr>
              <w:t>&lt;4%</w:t>
            </w:r>
          </w:p>
          <w:p w14:paraId="28610435" w14:textId="77777777" w:rsidR="00314FE6" w:rsidRPr="0035461C" w:rsidRDefault="00314FE6">
            <w:pPr>
              <w:pStyle w:val="section1nextPara"/>
              <w:spacing w:line="240" w:lineRule="auto"/>
              <w:ind w:firstLine="0"/>
              <w:rPr>
                <w:rFonts w:ascii="Calibri" w:hAnsi="Calibri" w:cs="Calibri"/>
                <w:bCs/>
                <w:sz w:val="24"/>
                <w:szCs w:val="24"/>
                <w:lang w:val="en-US"/>
              </w:rPr>
            </w:pPr>
          </w:p>
          <w:p w14:paraId="2CEB1D87" w14:textId="77777777" w:rsidR="00314FE6" w:rsidRPr="0035461C" w:rsidRDefault="00314FE6">
            <w:pPr>
              <w:pStyle w:val="section1nextPara"/>
              <w:spacing w:line="240" w:lineRule="auto"/>
              <w:ind w:firstLine="0"/>
              <w:rPr>
                <w:rFonts w:ascii="Calibri" w:hAnsi="Calibri" w:cs="Calibri"/>
                <w:bCs/>
                <w:sz w:val="24"/>
                <w:szCs w:val="24"/>
                <w:lang w:val="en-US"/>
              </w:rPr>
            </w:pPr>
            <w:r w:rsidRPr="0035461C">
              <w:rPr>
                <w:rFonts w:ascii="Calibri" w:hAnsi="Calibri" w:cs="Calibri"/>
                <w:bCs/>
                <w:sz w:val="24"/>
                <w:szCs w:val="24"/>
                <w:lang w:val="en-US"/>
              </w:rPr>
              <w:t>&lt;1%</w:t>
            </w:r>
          </w:p>
          <w:p w14:paraId="52D88754" w14:textId="77777777" w:rsidR="00314FE6" w:rsidRPr="0035461C" w:rsidRDefault="00314FE6">
            <w:pPr>
              <w:pStyle w:val="section1nextPara"/>
              <w:spacing w:before="120" w:after="120" w:line="240" w:lineRule="auto"/>
              <w:ind w:firstLine="0"/>
              <w:rPr>
                <w:rFonts w:ascii="Calibri" w:hAnsi="Calibri" w:cs="Calibri"/>
                <w:bCs/>
                <w:sz w:val="24"/>
                <w:szCs w:val="24"/>
                <w:lang w:val="en-US"/>
              </w:rPr>
            </w:pPr>
          </w:p>
        </w:tc>
      </w:tr>
      <w:tr w:rsidR="00314FE6" w:rsidRPr="0035461C" w14:paraId="6DA9B16C" w14:textId="77777777" w:rsidTr="00314FE6">
        <w:tc>
          <w:tcPr>
            <w:tcW w:w="4508" w:type="dxa"/>
            <w:tcBorders>
              <w:top w:val="single" w:sz="4" w:space="0" w:color="auto"/>
              <w:left w:val="single" w:sz="4" w:space="0" w:color="auto"/>
              <w:bottom w:val="single" w:sz="4" w:space="0" w:color="auto"/>
              <w:right w:val="single" w:sz="4" w:space="0" w:color="auto"/>
            </w:tcBorders>
          </w:tcPr>
          <w:p w14:paraId="5B4BDC3A" w14:textId="77777777" w:rsidR="00314FE6" w:rsidRPr="0035461C" w:rsidRDefault="00314FE6">
            <w:pPr>
              <w:pStyle w:val="section1nextPara"/>
              <w:spacing w:before="120" w:line="240" w:lineRule="auto"/>
              <w:ind w:firstLine="0"/>
              <w:rPr>
                <w:rFonts w:ascii="Calibri" w:hAnsi="Calibri" w:cs="Calibri"/>
                <w:bCs/>
                <w:sz w:val="24"/>
                <w:szCs w:val="24"/>
                <w:lang w:val="en-US"/>
              </w:rPr>
            </w:pPr>
            <w:r w:rsidRPr="0035461C">
              <w:rPr>
                <w:rFonts w:ascii="Calibri" w:hAnsi="Calibri" w:cs="Calibri"/>
                <w:bCs/>
                <w:sz w:val="24"/>
                <w:szCs w:val="24"/>
                <w:lang w:val="en-US"/>
              </w:rPr>
              <w:t>Time above range</w:t>
            </w:r>
          </w:p>
          <w:p w14:paraId="084C93FC" w14:textId="77777777" w:rsidR="00314FE6" w:rsidRPr="0035461C" w:rsidRDefault="00314FE6">
            <w:pPr>
              <w:pStyle w:val="section1nextPara"/>
              <w:spacing w:line="240" w:lineRule="auto"/>
              <w:ind w:firstLine="0"/>
              <w:rPr>
                <w:rFonts w:ascii="Calibri" w:hAnsi="Calibri" w:cs="Calibri"/>
                <w:bCs/>
                <w:sz w:val="24"/>
                <w:szCs w:val="24"/>
                <w:lang w:val="en-US"/>
              </w:rPr>
            </w:pPr>
          </w:p>
          <w:p w14:paraId="7CD5E822" w14:textId="3C1EC82A" w:rsidR="00314FE6" w:rsidRPr="0035461C" w:rsidRDefault="00314FE6" w:rsidP="00314FE6">
            <w:pPr>
              <w:pStyle w:val="ListParagraph"/>
              <w:numPr>
                <w:ilvl w:val="0"/>
                <w:numId w:val="18"/>
              </w:numPr>
              <w:autoSpaceDE w:val="0"/>
              <w:autoSpaceDN w:val="0"/>
              <w:adjustRightInd w:val="0"/>
              <w:spacing w:after="0" w:line="240" w:lineRule="auto"/>
              <w:jc w:val="both"/>
              <w:rPr>
                <w:rFonts w:ascii="Calibri" w:hAnsi="Calibri" w:cs="Calibri"/>
                <w:sz w:val="24"/>
                <w:szCs w:val="24"/>
                <w:lang w:val="pl-PL"/>
              </w:rPr>
            </w:pPr>
            <w:r w:rsidRPr="0035461C">
              <w:rPr>
                <w:rFonts w:ascii="Calibri" w:hAnsi="Calibri" w:cs="Calibri"/>
                <w:sz w:val="24"/>
                <w:szCs w:val="24"/>
                <w:lang w:val="pl-PL"/>
              </w:rPr>
              <w:t xml:space="preserve">% of readings and time </w:t>
            </w:r>
            <w:r w:rsidR="00976B1A">
              <w:rPr>
                <w:rFonts w:ascii="Calibri" w:hAnsi="Calibri" w:cs="Calibri"/>
                <w:sz w:val="24"/>
                <w:szCs w:val="24"/>
                <w:lang w:val="pl-PL"/>
              </w:rPr>
              <w:t>&gt;</w:t>
            </w:r>
            <w:r w:rsidRPr="0035461C">
              <w:rPr>
                <w:rFonts w:ascii="Calibri" w:hAnsi="Calibri" w:cs="Calibri"/>
                <w:sz w:val="24"/>
                <w:szCs w:val="24"/>
                <w:lang w:val="pl-PL"/>
              </w:rPr>
              <w:t>18</w:t>
            </w:r>
            <w:r w:rsidR="00976B1A">
              <w:rPr>
                <w:rFonts w:ascii="Calibri" w:hAnsi="Calibri" w:cs="Calibri"/>
                <w:sz w:val="24"/>
                <w:szCs w:val="24"/>
                <w:lang w:val="pl-PL"/>
              </w:rPr>
              <w:t>0</w:t>
            </w:r>
            <w:r w:rsidRPr="0035461C">
              <w:rPr>
                <w:rFonts w:ascii="Calibri" w:hAnsi="Calibri" w:cs="Calibri"/>
                <w:sz w:val="24"/>
                <w:szCs w:val="24"/>
                <w:lang w:val="pl-PL"/>
              </w:rPr>
              <w:t xml:space="preserve"> mg/dL (10.</w:t>
            </w:r>
            <w:r w:rsidR="00976B1A">
              <w:rPr>
                <w:rFonts w:ascii="Calibri" w:hAnsi="Calibri" w:cs="Calibri"/>
                <w:sz w:val="24"/>
                <w:szCs w:val="24"/>
                <w:lang w:val="pl-PL"/>
              </w:rPr>
              <w:t>0</w:t>
            </w:r>
            <w:r w:rsidRPr="0035461C">
              <w:rPr>
                <w:rFonts w:ascii="Calibri" w:hAnsi="Calibri" w:cs="Calibri"/>
                <w:sz w:val="24"/>
                <w:szCs w:val="24"/>
                <w:lang w:val="pl-PL"/>
              </w:rPr>
              <w:t xml:space="preserve"> mmol/L)</w:t>
            </w:r>
            <w:r w:rsidR="00D1486F">
              <w:rPr>
                <w:rFonts w:ascii="Calibri" w:hAnsi="Calibri" w:cs="Calibri"/>
                <w:sz w:val="24"/>
                <w:szCs w:val="24"/>
                <w:lang w:val="pl-PL"/>
              </w:rPr>
              <w:t>:</w:t>
            </w:r>
            <w:r w:rsidRPr="0035461C">
              <w:rPr>
                <w:rFonts w:ascii="Calibri" w:hAnsi="Calibri" w:cs="Calibri"/>
                <w:sz w:val="24"/>
                <w:szCs w:val="24"/>
                <w:lang w:val="pl-PL"/>
              </w:rPr>
              <w:t xml:space="preserve"> Level 1</w:t>
            </w:r>
            <w:r w:rsidR="00976B1A">
              <w:rPr>
                <w:rFonts w:ascii="Calibri" w:hAnsi="Calibri" w:cs="Calibri"/>
                <w:sz w:val="24"/>
                <w:szCs w:val="24"/>
                <w:lang w:val="pl-PL"/>
              </w:rPr>
              <w:t xml:space="preserve"> and level 2</w:t>
            </w:r>
          </w:p>
          <w:p w14:paraId="35376C65" w14:textId="0F60EB6C" w:rsidR="00314FE6" w:rsidRPr="0035461C" w:rsidRDefault="00314FE6" w:rsidP="00314FE6">
            <w:pPr>
              <w:pStyle w:val="ListParagraph"/>
              <w:numPr>
                <w:ilvl w:val="0"/>
                <w:numId w:val="18"/>
              </w:numPr>
              <w:autoSpaceDE w:val="0"/>
              <w:autoSpaceDN w:val="0"/>
              <w:adjustRightInd w:val="0"/>
              <w:spacing w:after="120" w:line="240" w:lineRule="auto"/>
              <w:ind w:left="714" w:hanging="357"/>
              <w:jc w:val="both"/>
              <w:rPr>
                <w:rFonts w:ascii="Calibri" w:hAnsi="Calibri" w:cs="Calibri"/>
                <w:sz w:val="24"/>
                <w:szCs w:val="24"/>
                <w:lang w:val="pl-PL"/>
              </w:rPr>
            </w:pPr>
            <w:r w:rsidRPr="0035461C">
              <w:rPr>
                <w:rFonts w:ascii="Calibri" w:hAnsi="Calibri" w:cs="Calibri"/>
                <w:sz w:val="24"/>
                <w:szCs w:val="24"/>
                <w:lang w:val="pl-PL"/>
              </w:rPr>
              <w:t>% of readings and time &gt;250 mg/dL (&gt;13.9 mmol/L)</w:t>
            </w:r>
            <w:r w:rsidR="00D1486F">
              <w:rPr>
                <w:rFonts w:ascii="Calibri" w:hAnsi="Calibri" w:cs="Calibri"/>
                <w:sz w:val="24"/>
                <w:szCs w:val="24"/>
                <w:lang w:val="pl-PL"/>
              </w:rPr>
              <w:t>:</w:t>
            </w:r>
            <w:r w:rsidRPr="0035461C">
              <w:rPr>
                <w:rFonts w:ascii="Calibri" w:hAnsi="Calibri" w:cs="Calibri"/>
                <w:sz w:val="24"/>
                <w:szCs w:val="24"/>
                <w:lang w:val="pl-PL"/>
              </w:rPr>
              <w:t xml:space="preserve"> Level 2</w:t>
            </w:r>
          </w:p>
        </w:tc>
        <w:tc>
          <w:tcPr>
            <w:tcW w:w="4508" w:type="dxa"/>
            <w:tcBorders>
              <w:top w:val="single" w:sz="4" w:space="0" w:color="auto"/>
              <w:left w:val="single" w:sz="4" w:space="0" w:color="auto"/>
              <w:bottom w:val="single" w:sz="4" w:space="0" w:color="auto"/>
              <w:right w:val="single" w:sz="4" w:space="0" w:color="auto"/>
            </w:tcBorders>
          </w:tcPr>
          <w:p w14:paraId="60026CF6" w14:textId="77777777" w:rsidR="00314FE6" w:rsidRPr="0035461C" w:rsidRDefault="00314FE6">
            <w:pPr>
              <w:pStyle w:val="section1nextPara"/>
              <w:spacing w:line="240" w:lineRule="auto"/>
              <w:ind w:firstLine="0"/>
              <w:rPr>
                <w:rFonts w:ascii="Calibri" w:hAnsi="Calibri" w:cs="Calibri"/>
                <w:bCs/>
                <w:sz w:val="24"/>
                <w:szCs w:val="24"/>
                <w:lang w:val="en-US"/>
              </w:rPr>
            </w:pPr>
          </w:p>
          <w:p w14:paraId="175A4730" w14:textId="77777777" w:rsidR="00081EE5" w:rsidRPr="0035461C" w:rsidRDefault="00081EE5">
            <w:pPr>
              <w:pStyle w:val="section1nextPara"/>
              <w:spacing w:line="240" w:lineRule="auto"/>
              <w:ind w:firstLine="0"/>
              <w:rPr>
                <w:rFonts w:ascii="Calibri" w:hAnsi="Calibri" w:cs="Calibri"/>
                <w:bCs/>
                <w:sz w:val="24"/>
                <w:szCs w:val="24"/>
                <w:lang w:val="en-US"/>
              </w:rPr>
            </w:pPr>
          </w:p>
          <w:p w14:paraId="581AF84D" w14:textId="58E6633E" w:rsidR="00314FE6" w:rsidRPr="0035461C" w:rsidRDefault="00314FE6" w:rsidP="00081EE5">
            <w:pPr>
              <w:pStyle w:val="section1nextPara"/>
              <w:spacing w:before="120" w:line="240" w:lineRule="auto"/>
              <w:ind w:firstLine="0"/>
              <w:rPr>
                <w:rFonts w:ascii="Calibri" w:hAnsi="Calibri" w:cs="Calibri"/>
                <w:bCs/>
                <w:sz w:val="24"/>
                <w:szCs w:val="24"/>
                <w:lang w:val="en-US"/>
              </w:rPr>
            </w:pPr>
            <w:r w:rsidRPr="0035461C">
              <w:rPr>
                <w:rFonts w:ascii="Calibri" w:hAnsi="Calibri" w:cs="Calibri"/>
                <w:bCs/>
                <w:sz w:val="24"/>
                <w:szCs w:val="24"/>
                <w:lang w:val="en-US"/>
              </w:rPr>
              <w:t>&lt;25%</w:t>
            </w:r>
          </w:p>
          <w:p w14:paraId="1DB48122" w14:textId="77777777" w:rsidR="00314FE6" w:rsidRPr="0035461C" w:rsidRDefault="00314FE6">
            <w:pPr>
              <w:pStyle w:val="section1nextPara"/>
              <w:spacing w:line="240" w:lineRule="auto"/>
              <w:ind w:firstLine="0"/>
              <w:rPr>
                <w:rFonts w:ascii="Calibri" w:hAnsi="Calibri" w:cs="Calibri"/>
                <w:bCs/>
                <w:sz w:val="24"/>
                <w:szCs w:val="24"/>
                <w:lang w:val="en-US"/>
              </w:rPr>
            </w:pPr>
          </w:p>
          <w:p w14:paraId="30CAC30E" w14:textId="77777777" w:rsidR="00314FE6" w:rsidRPr="0035461C" w:rsidRDefault="00314FE6">
            <w:pPr>
              <w:pStyle w:val="section1nextPara"/>
              <w:spacing w:line="240" w:lineRule="auto"/>
              <w:ind w:firstLine="0"/>
              <w:rPr>
                <w:rFonts w:ascii="Calibri" w:hAnsi="Calibri" w:cs="Calibri"/>
                <w:bCs/>
                <w:sz w:val="24"/>
                <w:szCs w:val="24"/>
                <w:lang w:val="en-US"/>
              </w:rPr>
            </w:pPr>
            <w:r w:rsidRPr="0035461C">
              <w:rPr>
                <w:rFonts w:ascii="Calibri" w:hAnsi="Calibri" w:cs="Calibri"/>
                <w:bCs/>
                <w:sz w:val="24"/>
                <w:szCs w:val="24"/>
                <w:lang w:val="en-US"/>
              </w:rPr>
              <w:t>&lt;5%</w:t>
            </w:r>
          </w:p>
        </w:tc>
      </w:tr>
      <w:tr w:rsidR="00314FE6" w:rsidRPr="0035461C" w14:paraId="741EC2CB" w14:textId="77777777" w:rsidTr="00314FE6">
        <w:tc>
          <w:tcPr>
            <w:tcW w:w="4508" w:type="dxa"/>
            <w:tcBorders>
              <w:top w:val="single" w:sz="4" w:space="0" w:color="auto"/>
              <w:left w:val="single" w:sz="4" w:space="0" w:color="auto"/>
              <w:bottom w:val="single" w:sz="4" w:space="0" w:color="auto"/>
              <w:right w:val="single" w:sz="4" w:space="0" w:color="auto"/>
            </w:tcBorders>
            <w:hideMark/>
          </w:tcPr>
          <w:p w14:paraId="22086510" w14:textId="77777777" w:rsidR="00314FE6" w:rsidRPr="0035461C" w:rsidRDefault="00314FE6">
            <w:pPr>
              <w:autoSpaceDE w:val="0"/>
              <w:autoSpaceDN w:val="0"/>
              <w:adjustRightInd w:val="0"/>
              <w:spacing w:before="120" w:after="120"/>
              <w:jc w:val="both"/>
              <w:rPr>
                <w:rFonts w:ascii="Calibri" w:hAnsi="Calibri" w:cs="Calibri"/>
                <w:bCs/>
                <w:lang w:val="pl-PL"/>
              </w:rPr>
            </w:pPr>
            <w:r w:rsidRPr="0035461C">
              <w:rPr>
                <w:rFonts w:ascii="Calibri" w:hAnsi="Calibri" w:cs="Calibri"/>
                <w:lang w:val="pl-PL"/>
              </w:rPr>
              <w:t xml:space="preserve">Glycaemic variability (%CV) </w:t>
            </w:r>
          </w:p>
        </w:tc>
        <w:tc>
          <w:tcPr>
            <w:tcW w:w="4508" w:type="dxa"/>
            <w:tcBorders>
              <w:top w:val="single" w:sz="4" w:space="0" w:color="auto"/>
              <w:left w:val="single" w:sz="4" w:space="0" w:color="auto"/>
              <w:bottom w:val="single" w:sz="4" w:space="0" w:color="auto"/>
              <w:right w:val="single" w:sz="4" w:space="0" w:color="auto"/>
            </w:tcBorders>
            <w:hideMark/>
          </w:tcPr>
          <w:p w14:paraId="3719CEC9" w14:textId="6632572A" w:rsidR="00314FE6" w:rsidRPr="0035461C" w:rsidRDefault="00976B1A">
            <w:pPr>
              <w:pStyle w:val="section1nextPara"/>
              <w:spacing w:before="120" w:after="120" w:line="240" w:lineRule="auto"/>
              <w:ind w:firstLine="0"/>
              <w:rPr>
                <w:rFonts w:ascii="Calibri" w:hAnsi="Calibri" w:cs="Calibri"/>
                <w:bCs/>
                <w:sz w:val="24"/>
                <w:szCs w:val="24"/>
                <w:lang w:val="en-US"/>
              </w:rPr>
            </w:pPr>
            <w:r w:rsidRPr="005041CD">
              <w:rPr>
                <w:rFonts w:ascii="Calibri" w:hAnsi="Calibri" w:cs="Calibri"/>
                <w:color w:val="auto"/>
                <w:sz w:val="24"/>
                <w:szCs w:val="28"/>
                <w:u w:val="single"/>
              </w:rPr>
              <w:t>&lt;</w:t>
            </w:r>
            <w:r w:rsidR="00314FE6" w:rsidRPr="005041CD">
              <w:rPr>
                <w:rFonts w:ascii="Calibri" w:hAnsi="Calibri" w:cs="Calibri"/>
                <w:bCs/>
                <w:color w:val="auto"/>
                <w:sz w:val="24"/>
                <w:szCs w:val="24"/>
                <w:lang w:val="en-US"/>
              </w:rPr>
              <w:t>36%</w:t>
            </w:r>
          </w:p>
        </w:tc>
      </w:tr>
    </w:tbl>
    <w:p w14:paraId="5B23D46A" w14:textId="0509BDBD" w:rsidR="00314FE6" w:rsidRPr="003C5DF6" w:rsidRDefault="00314FE6" w:rsidP="00314FE6">
      <w:pPr>
        <w:pStyle w:val="section1nextPara"/>
        <w:spacing w:before="120" w:after="120" w:line="240" w:lineRule="auto"/>
        <w:ind w:firstLine="0"/>
        <w:rPr>
          <w:rFonts w:ascii="Calibri" w:hAnsi="Calibri" w:cs="Calibri"/>
          <w:sz w:val="24"/>
          <w:szCs w:val="24"/>
        </w:rPr>
      </w:pPr>
      <w:r w:rsidRPr="0035461C">
        <w:rPr>
          <w:rFonts w:ascii="Calibri" w:hAnsi="Calibri" w:cs="Calibri"/>
          <w:bCs/>
          <w:sz w:val="24"/>
          <w:szCs w:val="24"/>
          <w:lang w:val="en-US"/>
        </w:rPr>
        <w:t>All glycaemic targets should be individualized and agreed with the person with diabetes. HbA</w:t>
      </w:r>
      <w:r w:rsidRPr="0035461C">
        <w:rPr>
          <w:rFonts w:ascii="Calibri" w:hAnsi="Calibri" w:cs="Calibri"/>
          <w:bCs/>
          <w:sz w:val="24"/>
          <w:szCs w:val="24"/>
          <w:vertAlign w:val="subscript"/>
          <w:lang w:val="en-US"/>
        </w:rPr>
        <w:t>1c</w:t>
      </w:r>
      <w:r w:rsidRPr="0035461C">
        <w:rPr>
          <w:rFonts w:ascii="Calibri" w:hAnsi="Calibri" w:cs="Calibri"/>
          <w:bCs/>
          <w:sz w:val="24"/>
          <w:szCs w:val="24"/>
          <w:lang w:val="en-US"/>
        </w:rPr>
        <w:t xml:space="preserve">: </w:t>
      </w:r>
      <w:proofErr w:type="spellStart"/>
      <w:r w:rsidRPr="0035461C">
        <w:rPr>
          <w:rFonts w:ascii="Calibri" w:hAnsi="Calibri" w:cs="Calibri"/>
          <w:bCs/>
          <w:sz w:val="24"/>
          <w:szCs w:val="24"/>
          <w:lang w:val="en-US"/>
        </w:rPr>
        <w:t>Haemoglobin</w:t>
      </w:r>
      <w:proofErr w:type="spellEnd"/>
      <w:r w:rsidRPr="0035461C">
        <w:rPr>
          <w:rFonts w:ascii="Calibri" w:hAnsi="Calibri" w:cs="Calibri"/>
          <w:bCs/>
          <w:sz w:val="24"/>
          <w:szCs w:val="24"/>
          <w:lang w:val="en-US"/>
        </w:rPr>
        <w:t xml:space="preserve"> </w:t>
      </w:r>
      <w:proofErr w:type="gramStart"/>
      <w:r w:rsidRPr="0035461C">
        <w:rPr>
          <w:rFonts w:ascii="Calibri" w:hAnsi="Calibri" w:cs="Calibri"/>
          <w:bCs/>
          <w:sz w:val="24"/>
          <w:szCs w:val="24"/>
          <w:lang w:val="en-US"/>
        </w:rPr>
        <w:t>A</w:t>
      </w:r>
      <w:r w:rsidRPr="0035461C">
        <w:rPr>
          <w:rFonts w:ascii="Calibri" w:hAnsi="Calibri" w:cs="Calibri"/>
          <w:bCs/>
          <w:sz w:val="24"/>
          <w:szCs w:val="24"/>
          <w:vertAlign w:val="subscript"/>
          <w:lang w:val="en-US"/>
        </w:rPr>
        <w:t>1c</w:t>
      </w:r>
      <w:proofErr w:type="gramEnd"/>
      <w:r w:rsidRPr="0035461C">
        <w:rPr>
          <w:rFonts w:ascii="Calibri" w:hAnsi="Calibri" w:cs="Calibri"/>
          <w:bCs/>
          <w:sz w:val="24"/>
          <w:szCs w:val="24"/>
          <w:lang w:val="en-US"/>
        </w:rPr>
        <w:t>; GMI:</w:t>
      </w:r>
      <w:r w:rsidRPr="0035461C">
        <w:rPr>
          <w:rFonts w:ascii="Calibri" w:hAnsi="Calibri" w:cs="Calibri"/>
          <w:sz w:val="24"/>
          <w:szCs w:val="24"/>
        </w:rPr>
        <w:t xml:space="preserve"> Glucose Managem</w:t>
      </w:r>
      <w:r w:rsidRPr="003C5DF6">
        <w:rPr>
          <w:rFonts w:ascii="Calibri" w:hAnsi="Calibri" w:cs="Calibri"/>
          <w:sz w:val="24"/>
          <w:szCs w:val="24"/>
        </w:rPr>
        <w:t xml:space="preserve">ent Indicator. </w:t>
      </w:r>
      <w:r w:rsidR="0009661D">
        <w:rPr>
          <w:rFonts w:ascii="Calibri" w:hAnsi="Calibri" w:cs="Calibri"/>
          <w:sz w:val="24"/>
          <w:szCs w:val="24"/>
        </w:rPr>
        <w:t>L</w:t>
      </w:r>
      <w:r w:rsidR="00521C9F">
        <w:rPr>
          <w:rFonts w:ascii="Calibri" w:hAnsi="Calibri" w:cs="Calibri"/>
          <w:sz w:val="24"/>
          <w:szCs w:val="24"/>
        </w:rPr>
        <w:t>ower</w:t>
      </w:r>
      <w:r w:rsidR="007F182D">
        <w:rPr>
          <w:rFonts w:ascii="Calibri" w:hAnsi="Calibri" w:cs="Calibri"/>
          <w:sz w:val="24"/>
          <w:szCs w:val="24"/>
        </w:rPr>
        <w:t xml:space="preserve"> or higher target</w:t>
      </w:r>
      <w:r w:rsidR="0009661D">
        <w:rPr>
          <w:rFonts w:ascii="Calibri" w:hAnsi="Calibri" w:cs="Calibri"/>
          <w:sz w:val="24"/>
          <w:szCs w:val="24"/>
        </w:rPr>
        <w:t>s</w:t>
      </w:r>
      <w:r w:rsidR="007F182D">
        <w:rPr>
          <w:rFonts w:ascii="Calibri" w:hAnsi="Calibri" w:cs="Calibri"/>
          <w:sz w:val="24"/>
          <w:szCs w:val="24"/>
        </w:rPr>
        <w:t xml:space="preserve"> may be appropriate according to individual characteristics. A</w:t>
      </w:r>
      <w:r w:rsidR="00521C9F">
        <w:rPr>
          <w:rFonts w:ascii="Calibri" w:hAnsi="Calibri" w:cs="Calibri"/>
          <w:sz w:val="24"/>
          <w:szCs w:val="24"/>
        </w:rPr>
        <w:t xml:space="preserve"> </w:t>
      </w:r>
      <w:r w:rsidR="004C58EF">
        <w:rPr>
          <w:rFonts w:ascii="Calibri" w:hAnsi="Calibri" w:cs="Calibri"/>
          <w:sz w:val="24"/>
          <w:szCs w:val="24"/>
        </w:rPr>
        <w:t xml:space="preserve">post-prandial </w:t>
      </w:r>
      <w:r w:rsidR="007F182D">
        <w:rPr>
          <w:rFonts w:ascii="Calibri" w:hAnsi="Calibri" w:cs="Calibri"/>
          <w:sz w:val="24"/>
          <w:szCs w:val="24"/>
        </w:rPr>
        <w:t xml:space="preserve">glucose </w:t>
      </w:r>
      <w:r w:rsidR="00521C9F">
        <w:rPr>
          <w:rFonts w:ascii="Calibri" w:hAnsi="Calibri" w:cs="Calibri"/>
          <w:sz w:val="24"/>
          <w:szCs w:val="24"/>
        </w:rPr>
        <w:t xml:space="preserve">target of </w:t>
      </w:r>
      <w:r w:rsidR="00521C9F" w:rsidRPr="0009661D">
        <w:rPr>
          <w:rFonts w:ascii="Calibri" w:hAnsi="Calibri" w:cs="Calibri"/>
          <w:sz w:val="24"/>
          <w:szCs w:val="24"/>
        </w:rPr>
        <w:t xml:space="preserve">&lt;140mg/dl (7.8 </w:t>
      </w:r>
      <w:proofErr w:type="spellStart"/>
      <w:r w:rsidR="00521C9F" w:rsidRPr="0009661D">
        <w:rPr>
          <w:rFonts w:ascii="Calibri" w:hAnsi="Calibri" w:cs="Calibri"/>
          <w:sz w:val="24"/>
          <w:szCs w:val="24"/>
        </w:rPr>
        <w:t>mmol</w:t>
      </w:r>
      <w:proofErr w:type="spellEnd"/>
      <w:r w:rsidR="00521C9F" w:rsidRPr="0009661D">
        <w:rPr>
          <w:rFonts w:ascii="Calibri" w:hAnsi="Calibri" w:cs="Calibri"/>
          <w:sz w:val="24"/>
          <w:szCs w:val="24"/>
        </w:rPr>
        <w:t xml:space="preserve">/l) may be recommended if this can be achieved safely. </w:t>
      </w:r>
      <w:r w:rsidR="0009661D" w:rsidRPr="0009661D">
        <w:rPr>
          <w:rFonts w:ascii="Calibri" w:hAnsi="Calibri" w:cs="Calibri"/>
          <w:sz w:val="24"/>
          <w:szCs w:val="24"/>
        </w:rPr>
        <w:t>Higher goals in those with limited life expectancy or where the harms of treatment are greater than the benefits are recommended</w:t>
      </w:r>
      <w:r w:rsidR="0009661D">
        <w:rPr>
          <w:rFonts w:ascii="Calibri" w:hAnsi="Calibri" w:cs="Calibri"/>
          <w:sz w:val="24"/>
          <w:szCs w:val="24"/>
        </w:rPr>
        <w:t xml:space="preserve">. </w:t>
      </w:r>
      <w:r w:rsidR="004C58EF" w:rsidRPr="004C58EF">
        <w:rPr>
          <w:rFonts w:ascii="Calibri" w:hAnsi="Calibri" w:cs="Calibri"/>
          <w:sz w:val="24"/>
          <w:szCs w:val="24"/>
        </w:rPr>
        <w:t xml:space="preserve">In some </w:t>
      </w:r>
      <w:r w:rsidR="0009661D" w:rsidRPr="003C5DF6">
        <w:rPr>
          <w:rFonts w:ascii="Calibri" w:hAnsi="Calibri" w:cs="Calibri"/>
          <w:sz w:val="24"/>
          <w:szCs w:val="24"/>
          <w:shd w:val="clear" w:color="auto" w:fill="FFFFFF"/>
        </w:rPr>
        <w:t xml:space="preserve">individuals at notably higher risk for </w:t>
      </w:r>
      <w:r w:rsidR="0009661D">
        <w:rPr>
          <w:rFonts w:ascii="Calibri" w:hAnsi="Calibri" w:cs="Calibri"/>
          <w:sz w:val="24"/>
          <w:szCs w:val="24"/>
          <w:shd w:val="clear" w:color="auto" w:fill="FFFFFF"/>
        </w:rPr>
        <w:t>level 3 hypo</w:t>
      </w:r>
      <w:r w:rsidR="0009661D" w:rsidRPr="003C5DF6">
        <w:rPr>
          <w:rFonts w:ascii="Calibri" w:hAnsi="Calibri" w:cs="Calibri"/>
          <w:sz w:val="24"/>
          <w:szCs w:val="24"/>
          <w:shd w:val="clear" w:color="auto" w:fill="FFFFFF"/>
        </w:rPr>
        <w:t>glyc</w:t>
      </w:r>
      <w:r w:rsidR="0009661D">
        <w:rPr>
          <w:rFonts w:ascii="Calibri" w:hAnsi="Calibri" w:cs="Calibri"/>
          <w:sz w:val="24"/>
          <w:szCs w:val="24"/>
          <w:shd w:val="clear" w:color="auto" w:fill="FFFFFF"/>
        </w:rPr>
        <w:t>a</w:t>
      </w:r>
      <w:r w:rsidR="0009661D" w:rsidRPr="003C5DF6">
        <w:rPr>
          <w:rFonts w:ascii="Calibri" w:hAnsi="Calibri" w:cs="Calibri"/>
          <w:sz w:val="24"/>
          <w:szCs w:val="24"/>
          <w:shd w:val="clear" w:color="auto" w:fill="FFFFFF"/>
        </w:rPr>
        <w:t>emia</w:t>
      </w:r>
      <w:r w:rsidR="004C58EF" w:rsidRPr="004C58EF">
        <w:rPr>
          <w:rFonts w:ascii="Calibri" w:hAnsi="Calibri" w:cs="Calibri"/>
          <w:sz w:val="24"/>
          <w:szCs w:val="24"/>
        </w:rPr>
        <w:t>, it may be necessary to increase the glucose target range</w:t>
      </w:r>
      <w:r w:rsidR="004C58EF" w:rsidRPr="004C58EF">
        <w:rPr>
          <w:rFonts w:ascii="Calibri" w:hAnsi="Calibri" w:cs="Calibri"/>
          <w:sz w:val="24"/>
          <w:szCs w:val="24"/>
          <w:lang w:val="pl-PL"/>
        </w:rPr>
        <w:t xml:space="preserve"> </w:t>
      </w:r>
      <w:r w:rsidR="004C58EF">
        <w:rPr>
          <w:rFonts w:ascii="Calibri" w:hAnsi="Calibri" w:cs="Calibri"/>
          <w:sz w:val="24"/>
          <w:szCs w:val="24"/>
          <w:lang w:val="pl-PL"/>
        </w:rPr>
        <w:t>to</w:t>
      </w:r>
      <w:r w:rsidR="004C58EF" w:rsidRPr="004C58EF">
        <w:rPr>
          <w:rFonts w:ascii="Calibri" w:hAnsi="Calibri" w:cs="Calibri"/>
          <w:sz w:val="24"/>
          <w:szCs w:val="24"/>
          <w:lang w:val="pl-PL"/>
        </w:rPr>
        <w:t xml:space="preserve"> decreas</w:t>
      </w:r>
      <w:r w:rsidR="004C58EF">
        <w:rPr>
          <w:rFonts w:ascii="Calibri" w:hAnsi="Calibri" w:cs="Calibri"/>
          <w:sz w:val="24"/>
          <w:szCs w:val="24"/>
          <w:lang w:val="pl-PL"/>
        </w:rPr>
        <w:t>e</w:t>
      </w:r>
      <w:r w:rsidR="004C58EF" w:rsidRPr="004C58EF">
        <w:rPr>
          <w:rFonts w:ascii="Calibri" w:hAnsi="Calibri" w:cs="Calibri"/>
          <w:sz w:val="24"/>
          <w:szCs w:val="24"/>
          <w:lang w:val="pl-PL"/>
        </w:rPr>
        <w:t xml:space="preserve"> the time b</w:t>
      </w:r>
      <w:r w:rsidR="004C58EF">
        <w:rPr>
          <w:rFonts w:ascii="Calibri" w:hAnsi="Calibri" w:cs="Calibri"/>
          <w:sz w:val="24"/>
          <w:szCs w:val="24"/>
          <w:lang w:val="pl-PL"/>
        </w:rPr>
        <w:t>elow range</w:t>
      </w:r>
      <w:r w:rsidR="003C5DF6">
        <w:rPr>
          <w:rFonts w:ascii="Calibri" w:hAnsi="Calibri" w:cs="Calibri"/>
          <w:sz w:val="24"/>
          <w:szCs w:val="24"/>
        </w:rPr>
        <w:t xml:space="preserve">. </w:t>
      </w:r>
      <w:r w:rsidRPr="0035461C">
        <w:rPr>
          <w:rFonts w:ascii="Calibri" w:hAnsi="Calibri" w:cs="Calibri"/>
          <w:sz w:val="24"/>
          <w:szCs w:val="24"/>
          <w:lang w:val="en-US"/>
        </w:rPr>
        <w:t>Some studies suggest that lower %CV targets (&lt;33%) provide additional protection against hypoglycaemia.</w:t>
      </w:r>
    </w:p>
    <w:p w14:paraId="3397EED5" w14:textId="0898CB4A" w:rsidR="002F4A3C" w:rsidRPr="0035461C" w:rsidRDefault="002F4A3C" w:rsidP="00314FE6">
      <w:pPr>
        <w:rPr>
          <w:rFonts w:ascii="Calibri" w:hAnsi="Calibri" w:cs="Calibri"/>
        </w:rPr>
      </w:pPr>
    </w:p>
    <w:p w14:paraId="5AD1586E" w14:textId="77777777" w:rsidR="00B61240" w:rsidRPr="0035461C" w:rsidRDefault="00B61240">
      <w:pPr>
        <w:rPr>
          <w:rFonts w:ascii="Calibri" w:eastAsia="SimSun" w:hAnsi="Calibri" w:cs="Calibri"/>
          <w:b/>
          <w:bCs/>
          <w:color w:val="000000"/>
          <w:lang w:eastAsia="zh-CN"/>
        </w:rPr>
      </w:pPr>
    </w:p>
    <w:p w14:paraId="33C78804" w14:textId="77777777" w:rsidR="00B61240" w:rsidRPr="0035461C" w:rsidRDefault="00B61240" w:rsidP="00A567B5">
      <w:pPr>
        <w:pStyle w:val="section1nextPara"/>
        <w:spacing w:before="120" w:after="120" w:line="240" w:lineRule="auto"/>
        <w:ind w:firstLine="0"/>
        <w:rPr>
          <w:rFonts w:ascii="Calibri" w:hAnsi="Calibri" w:cs="Calibri"/>
          <w:b/>
          <w:bCs/>
          <w:sz w:val="24"/>
          <w:szCs w:val="24"/>
          <w:lang w:val="en-US"/>
        </w:rPr>
      </w:pPr>
    </w:p>
    <w:p w14:paraId="184FA023" w14:textId="77777777" w:rsidR="001D7091" w:rsidRPr="0035461C" w:rsidRDefault="001D7091">
      <w:pPr>
        <w:rPr>
          <w:rFonts w:ascii="Calibri" w:eastAsia="SimSun" w:hAnsi="Calibri" w:cs="Calibri"/>
          <w:b/>
          <w:bCs/>
          <w:color w:val="000000"/>
          <w:lang w:eastAsia="zh-CN"/>
        </w:rPr>
      </w:pPr>
      <w:r w:rsidRPr="0035461C">
        <w:rPr>
          <w:rFonts w:ascii="Calibri" w:hAnsi="Calibri" w:cs="Calibri"/>
          <w:b/>
          <w:bCs/>
        </w:rPr>
        <w:br w:type="page"/>
      </w:r>
    </w:p>
    <w:p w14:paraId="61934F55" w14:textId="1D31BDEB" w:rsidR="00A567B5" w:rsidRPr="0035461C" w:rsidRDefault="00B61240" w:rsidP="00A567B5">
      <w:pPr>
        <w:pStyle w:val="section1nextPara"/>
        <w:spacing w:before="120" w:after="120" w:line="240" w:lineRule="auto"/>
        <w:ind w:firstLine="0"/>
        <w:rPr>
          <w:rFonts w:ascii="Calibri" w:hAnsi="Calibri" w:cs="Calibri"/>
          <w:b/>
          <w:bCs/>
          <w:sz w:val="24"/>
          <w:szCs w:val="24"/>
          <w:lang w:val="en-US"/>
        </w:rPr>
      </w:pPr>
      <w:r w:rsidRPr="0035461C">
        <w:rPr>
          <w:rFonts w:ascii="Calibri" w:hAnsi="Calibri" w:cs="Calibri"/>
          <w:b/>
          <w:bCs/>
          <w:sz w:val="24"/>
          <w:szCs w:val="24"/>
          <w:lang w:val="en-US"/>
        </w:rPr>
        <w:t xml:space="preserve">Table 2: </w:t>
      </w:r>
      <w:r w:rsidR="00A567B5" w:rsidRPr="0035461C">
        <w:rPr>
          <w:rFonts w:ascii="Calibri" w:hAnsi="Calibri" w:cs="Calibri"/>
          <w:b/>
          <w:bCs/>
          <w:sz w:val="24"/>
          <w:szCs w:val="24"/>
          <w:lang w:val="en-US"/>
        </w:rPr>
        <w:t>Schedule of Care</w:t>
      </w:r>
    </w:p>
    <w:tbl>
      <w:tblPr>
        <w:tblStyle w:val="TableGrid"/>
        <w:tblW w:w="0" w:type="auto"/>
        <w:tblLook w:val="04A0" w:firstRow="1" w:lastRow="0" w:firstColumn="1" w:lastColumn="0" w:noHBand="0" w:noVBand="1"/>
      </w:tblPr>
      <w:tblGrid>
        <w:gridCol w:w="2547"/>
        <w:gridCol w:w="6469"/>
      </w:tblGrid>
      <w:tr w:rsidR="00A567B5" w:rsidRPr="0035461C" w14:paraId="316C4F11" w14:textId="77777777" w:rsidTr="00B61240">
        <w:tc>
          <w:tcPr>
            <w:tcW w:w="2547" w:type="dxa"/>
          </w:tcPr>
          <w:p w14:paraId="6E0FCECB" w14:textId="26F6B910" w:rsidR="00A567B5" w:rsidRPr="0035461C" w:rsidRDefault="00A567B5" w:rsidP="00A567B5">
            <w:pPr>
              <w:rPr>
                <w:rFonts w:ascii="Calibri" w:hAnsi="Calibri" w:cs="Calibri"/>
                <w:b/>
              </w:rPr>
            </w:pPr>
            <w:r w:rsidRPr="0035461C">
              <w:rPr>
                <w:rFonts w:ascii="Calibri" w:hAnsi="Calibri" w:cs="Calibri"/>
                <w:b/>
              </w:rPr>
              <w:t>Medical and Family History</w:t>
            </w:r>
          </w:p>
        </w:tc>
        <w:tc>
          <w:tcPr>
            <w:tcW w:w="6469" w:type="dxa"/>
          </w:tcPr>
          <w:p w14:paraId="624E9EA0" w14:textId="77777777" w:rsidR="00A567B5" w:rsidRPr="0035461C" w:rsidRDefault="00A567B5" w:rsidP="00A567B5">
            <w:pPr>
              <w:rPr>
                <w:rFonts w:ascii="Calibri" w:hAnsi="Calibri" w:cs="Calibri"/>
              </w:rPr>
            </w:pPr>
            <w:r w:rsidRPr="0035461C">
              <w:rPr>
                <w:rFonts w:ascii="Calibri" w:hAnsi="Calibri" w:cs="Calibri"/>
              </w:rPr>
              <w:t>Diabetes History</w:t>
            </w:r>
          </w:p>
          <w:p w14:paraId="7D283923" w14:textId="77777777" w:rsidR="00A567B5" w:rsidRPr="0035461C" w:rsidRDefault="00A567B5" w:rsidP="0060377A">
            <w:pPr>
              <w:pStyle w:val="ListParagraph"/>
              <w:numPr>
                <w:ilvl w:val="0"/>
                <w:numId w:val="5"/>
              </w:numPr>
              <w:rPr>
                <w:rFonts w:ascii="Calibri" w:hAnsi="Calibri" w:cs="Calibri"/>
              </w:rPr>
            </w:pPr>
            <w:r w:rsidRPr="0035461C">
              <w:rPr>
                <w:rFonts w:ascii="Calibri" w:hAnsi="Calibri" w:cs="Calibri"/>
              </w:rPr>
              <w:t xml:space="preserve">Date of diagnosis </w:t>
            </w:r>
          </w:p>
          <w:p w14:paraId="0B24EBD4" w14:textId="77777777" w:rsidR="00A567B5" w:rsidRPr="0035461C" w:rsidRDefault="00A567B5" w:rsidP="0060377A">
            <w:pPr>
              <w:pStyle w:val="ListParagraph"/>
              <w:numPr>
                <w:ilvl w:val="0"/>
                <w:numId w:val="5"/>
              </w:numPr>
              <w:rPr>
                <w:rFonts w:ascii="Calibri" w:hAnsi="Calibri" w:cs="Calibri"/>
              </w:rPr>
            </w:pPr>
            <w:r w:rsidRPr="0035461C">
              <w:rPr>
                <w:rFonts w:ascii="Calibri" w:hAnsi="Calibri" w:cs="Calibri"/>
              </w:rPr>
              <w:t>Presentation at onset</w:t>
            </w:r>
          </w:p>
          <w:p w14:paraId="2277DE16" w14:textId="77777777" w:rsidR="00A567B5" w:rsidRPr="0035461C" w:rsidRDefault="00A567B5" w:rsidP="0060377A">
            <w:pPr>
              <w:pStyle w:val="ListParagraph"/>
              <w:numPr>
                <w:ilvl w:val="0"/>
                <w:numId w:val="5"/>
              </w:numPr>
              <w:rPr>
                <w:rFonts w:ascii="Calibri" w:hAnsi="Calibri" w:cs="Calibri"/>
              </w:rPr>
            </w:pPr>
            <w:r w:rsidRPr="0035461C">
              <w:rPr>
                <w:rFonts w:ascii="Calibri" w:hAnsi="Calibri" w:cs="Calibri"/>
              </w:rPr>
              <w:t>Islet autoantibodies (date)</w:t>
            </w:r>
          </w:p>
          <w:p w14:paraId="6B8FC310" w14:textId="77777777" w:rsidR="00A567B5" w:rsidRPr="0035461C" w:rsidRDefault="00A567B5" w:rsidP="0060377A">
            <w:pPr>
              <w:pStyle w:val="ListParagraph"/>
              <w:numPr>
                <w:ilvl w:val="0"/>
                <w:numId w:val="5"/>
              </w:numPr>
              <w:rPr>
                <w:rFonts w:ascii="Calibri" w:hAnsi="Calibri" w:cs="Calibri"/>
              </w:rPr>
            </w:pPr>
            <w:r w:rsidRPr="0035461C">
              <w:rPr>
                <w:rFonts w:ascii="Calibri" w:hAnsi="Calibri" w:cs="Calibri"/>
              </w:rPr>
              <w:t>C-peptide (date)</w:t>
            </w:r>
          </w:p>
          <w:p w14:paraId="49F472FB" w14:textId="2A3101A0" w:rsidR="00A567B5" w:rsidRPr="0035461C" w:rsidRDefault="00A567B5" w:rsidP="0060377A">
            <w:pPr>
              <w:pStyle w:val="ListParagraph"/>
              <w:numPr>
                <w:ilvl w:val="0"/>
                <w:numId w:val="5"/>
              </w:numPr>
              <w:rPr>
                <w:rFonts w:ascii="Calibri" w:hAnsi="Calibri" w:cs="Calibri"/>
              </w:rPr>
            </w:pPr>
            <w:r w:rsidRPr="0035461C">
              <w:rPr>
                <w:rFonts w:ascii="Calibri" w:hAnsi="Calibri" w:cs="Calibri"/>
              </w:rPr>
              <w:t xml:space="preserve">Episodes DKA or </w:t>
            </w:r>
            <w:r w:rsidR="00A765E6">
              <w:rPr>
                <w:rFonts w:ascii="Calibri" w:hAnsi="Calibri" w:cs="Calibri"/>
              </w:rPr>
              <w:t>level 3 hypo</w:t>
            </w:r>
            <w:r w:rsidRPr="0035461C">
              <w:rPr>
                <w:rFonts w:ascii="Calibri" w:hAnsi="Calibri" w:cs="Calibri"/>
              </w:rPr>
              <w:t>glycaemia</w:t>
            </w:r>
          </w:p>
          <w:p w14:paraId="41EBD6E8" w14:textId="4E45950D" w:rsidR="00A567B5" w:rsidRPr="0035461C" w:rsidRDefault="00A567B5" w:rsidP="0060377A">
            <w:pPr>
              <w:pStyle w:val="ListParagraph"/>
              <w:numPr>
                <w:ilvl w:val="0"/>
                <w:numId w:val="5"/>
              </w:numPr>
              <w:rPr>
                <w:rFonts w:ascii="Calibri" w:hAnsi="Calibri" w:cs="Calibri"/>
              </w:rPr>
            </w:pPr>
            <w:r w:rsidRPr="0035461C">
              <w:rPr>
                <w:rFonts w:ascii="Calibri" w:hAnsi="Calibri" w:cs="Calibri"/>
              </w:rPr>
              <w:t>Hypoglycaemia awareness</w:t>
            </w:r>
          </w:p>
          <w:p w14:paraId="0FA06650" w14:textId="6CD76E76" w:rsidR="00A567B5" w:rsidRPr="0035461C" w:rsidRDefault="00A567B5" w:rsidP="00A567B5">
            <w:pPr>
              <w:rPr>
                <w:rFonts w:ascii="Calibri" w:hAnsi="Calibri" w:cs="Calibri"/>
              </w:rPr>
            </w:pPr>
            <w:r w:rsidRPr="0035461C">
              <w:rPr>
                <w:rFonts w:ascii="Calibri" w:hAnsi="Calibri" w:cs="Calibri"/>
              </w:rPr>
              <w:t>Family history</w:t>
            </w:r>
            <w:r w:rsidR="00E615B3" w:rsidRPr="0035461C">
              <w:rPr>
                <w:rFonts w:ascii="Calibri" w:hAnsi="Calibri" w:cs="Calibri"/>
              </w:rPr>
              <w:t xml:space="preserve"> </w:t>
            </w:r>
          </w:p>
          <w:p w14:paraId="1781D159" w14:textId="039E430F" w:rsidR="00A567B5" w:rsidRPr="0035461C" w:rsidRDefault="00A567B5" w:rsidP="0060377A">
            <w:pPr>
              <w:pStyle w:val="ListParagraph"/>
              <w:numPr>
                <w:ilvl w:val="0"/>
                <w:numId w:val="6"/>
              </w:numPr>
              <w:rPr>
                <w:rFonts w:ascii="Calibri" w:hAnsi="Calibri" w:cs="Calibri"/>
              </w:rPr>
            </w:pPr>
            <w:r w:rsidRPr="0035461C">
              <w:rPr>
                <w:rFonts w:ascii="Calibri" w:hAnsi="Calibri" w:cs="Calibri"/>
              </w:rPr>
              <w:t>Type 1 diabetes or type 2 diabetes in first degree relative</w:t>
            </w:r>
            <w:r w:rsidR="00B10C7C" w:rsidRPr="0035461C">
              <w:rPr>
                <w:rFonts w:ascii="Calibri" w:hAnsi="Calibri" w:cs="Calibri"/>
              </w:rPr>
              <w:t>s</w:t>
            </w:r>
          </w:p>
          <w:p w14:paraId="6A490557" w14:textId="77777777" w:rsidR="00A567B5" w:rsidRPr="0035461C" w:rsidRDefault="00A567B5" w:rsidP="0060377A">
            <w:pPr>
              <w:pStyle w:val="ListParagraph"/>
              <w:numPr>
                <w:ilvl w:val="0"/>
                <w:numId w:val="6"/>
              </w:numPr>
              <w:rPr>
                <w:rFonts w:ascii="Calibri" w:hAnsi="Calibri" w:cs="Calibri"/>
              </w:rPr>
            </w:pPr>
            <w:r w:rsidRPr="0035461C">
              <w:rPr>
                <w:rFonts w:ascii="Calibri" w:hAnsi="Calibri" w:cs="Calibri"/>
              </w:rPr>
              <w:t>Other autoimmune disorders</w:t>
            </w:r>
          </w:p>
          <w:p w14:paraId="0E5EDBC9" w14:textId="77777777" w:rsidR="00A567B5" w:rsidRPr="0035461C" w:rsidRDefault="00A567B5" w:rsidP="00A567B5">
            <w:pPr>
              <w:rPr>
                <w:rFonts w:ascii="Calibri" w:hAnsi="Calibri" w:cs="Calibri"/>
              </w:rPr>
            </w:pPr>
            <w:r w:rsidRPr="0035461C">
              <w:rPr>
                <w:rFonts w:ascii="Calibri" w:hAnsi="Calibri" w:cs="Calibri"/>
              </w:rPr>
              <w:t>Personal history of chronic complications</w:t>
            </w:r>
          </w:p>
          <w:p w14:paraId="3504FB85" w14:textId="77777777" w:rsidR="000A70FE" w:rsidRPr="0035461C" w:rsidRDefault="000A70FE" w:rsidP="0060377A">
            <w:pPr>
              <w:pStyle w:val="ListParagraph"/>
              <w:numPr>
                <w:ilvl w:val="0"/>
                <w:numId w:val="7"/>
              </w:numPr>
              <w:rPr>
                <w:rFonts w:ascii="Calibri" w:hAnsi="Calibri" w:cs="Calibri"/>
              </w:rPr>
            </w:pPr>
            <w:r w:rsidRPr="0035461C">
              <w:rPr>
                <w:rFonts w:ascii="Calibri" w:hAnsi="Calibri" w:cs="Calibri"/>
              </w:rPr>
              <w:t>Microvascular</w:t>
            </w:r>
          </w:p>
          <w:p w14:paraId="106EECFF" w14:textId="27D42815" w:rsidR="000A70FE" w:rsidRPr="0035461C" w:rsidRDefault="000A70FE" w:rsidP="0060377A">
            <w:pPr>
              <w:pStyle w:val="ListParagraph"/>
              <w:numPr>
                <w:ilvl w:val="1"/>
                <w:numId w:val="7"/>
              </w:numPr>
              <w:rPr>
                <w:rFonts w:ascii="Calibri" w:hAnsi="Calibri" w:cs="Calibri"/>
              </w:rPr>
            </w:pPr>
            <w:r w:rsidRPr="0035461C">
              <w:rPr>
                <w:rFonts w:ascii="Calibri" w:hAnsi="Calibri" w:cs="Calibri"/>
              </w:rPr>
              <w:t>R</w:t>
            </w:r>
            <w:r w:rsidR="00A567B5" w:rsidRPr="0035461C">
              <w:rPr>
                <w:rFonts w:ascii="Calibri" w:hAnsi="Calibri" w:cs="Calibri"/>
              </w:rPr>
              <w:t xml:space="preserve">etinopathy, macular edema, laser/injection therapy, </w:t>
            </w:r>
            <w:r w:rsidRPr="0035461C">
              <w:rPr>
                <w:rFonts w:ascii="Calibri" w:hAnsi="Calibri" w:cs="Calibri"/>
              </w:rPr>
              <w:t>Date of last retinal evaluation (exam or photos)</w:t>
            </w:r>
          </w:p>
          <w:p w14:paraId="7C5F1A82" w14:textId="348A38C1" w:rsidR="000A70FE" w:rsidRPr="0035461C" w:rsidRDefault="000A70FE" w:rsidP="0060377A">
            <w:pPr>
              <w:pStyle w:val="ListParagraph"/>
              <w:numPr>
                <w:ilvl w:val="1"/>
                <w:numId w:val="7"/>
              </w:numPr>
              <w:rPr>
                <w:rFonts w:ascii="Calibri" w:hAnsi="Calibri" w:cs="Calibri"/>
              </w:rPr>
            </w:pPr>
            <w:r w:rsidRPr="0035461C">
              <w:rPr>
                <w:rFonts w:ascii="Calibri" w:hAnsi="Calibri" w:cs="Calibri"/>
              </w:rPr>
              <w:t>P</w:t>
            </w:r>
            <w:r w:rsidR="00A567B5" w:rsidRPr="0035461C">
              <w:rPr>
                <w:rFonts w:ascii="Calibri" w:hAnsi="Calibri" w:cs="Calibri"/>
              </w:rPr>
              <w:t>eripheral ne</w:t>
            </w:r>
            <w:r w:rsidRPr="0035461C">
              <w:rPr>
                <w:rFonts w:ascii="Calibri" w:hAnsi="Calibri" w:cs="Calibri"/>
              </w:rPr>
              <w:t>uropathy, autonomic neuropathy</w:t>
            </w:r>
          </w:p>
          <w:p w14:paraId="68226730" w14:textId="180A1EFD" w:rsidR="00A567B5" w:rsidRPr="0035461C" w:rsidRDefault="004839DD" w:rsidP="0060377A">
            <w:pPr>
              <w:pStyle w:val="ListParagraph"/>
              <w:numPr>
                <w:ilvl w:val="1"/>
                <w:numId w:val="7"/>
              </w:numPr>
              <w:rPr>
                <w:rFonts w:ascii="Calibri" w:hAnsi="Calibri" w:cs="Calibri"/>
              </w:rPr>
            </w:pPr>
            <w:r w:rsidRPr="0035461C">
              <w:rPr>
                <w:rFonts w:ascii="Calibri" w:hAnsi="Calibri" w:cs="Calibri"/>
              </w:rPr>
              <w:t>N</w:t>
            </w:r>
            <w:r w:rsidR="00A567B5" w:rsidRPr="0035461C">
              <w:rPr>
                <w:rFonts w:ascii="Calibri" w:hAnsi="Calibri" w:cs="Calibri"/>
              </w:rPr>
              <w:t xml:space="preserve">ephropathy </w:t>
            </w:r>
          </w:p>
          <w:p w14:paraId="6164ECDC" w14:textId="77777777" w:rsidR="000A70FE" w:rsidRPr="0035461C" w:rsidRDefault="000A70FE" w:rsidP="0060377A">
            <w:pPr>
              <w:pStyle w:val="ListParagraph"/>
              <w:numPr>
                <w:ilvl w:val="0"/>
                <w:numId w:val="7"/>
              </w:numPr>
              <w:rPr>
                <w:rFonts w:ascii="Calibri" w:hAnsi="Calibri" w:cs="Calibri"/>
              </w:rPr>
            </w:pPr>
            <w:proofErr w:type="spellStart"/>
            <w:r w:rsidRPr="0035461C">
              <w:rPr>
                <w:rFonts w:ascii="Calibri" w:hAnsi="Calibri" w:cs="Calibri"/>
              </w:rPr>
              <w:t>Macrovascular</w:t>
            </w:r>
            <w:proofErr w:type="spellEnd"/>
          </w:p>
          <w:p w14:paraId="05592A7F" w14:textId="056D1DE2" w:rsidR="00A567B5" w:rsidRPr="0035461C" w:rsidRDefault="004839DD" w:rsidP="0060377A">
            <w:pPr>
              <w:pStyle w:val="ListParagraph"/>
              <w:numPr>
                <w:ilvl w:val="1"/>
                <w:numId w:val="7"/>
              </w:numPr>
              <w:rPr>
                <w:rFonts w:ascii="Calibri" w:hAnsi="Calibri" w:cs="Calibri"/>
              </w:rPr>
            </w:pPr>
            <w:r w:rsidRPr="0035461C">
              <w:rPr>
                <w:rFonts w:ascii="Calibri" w:hAnsi="Calibri" w:cs="Calibri"/>
              </w:rPr>
              <w:t>H</w:t>
            </w:r>
            <w:r w:rsidR="00A567B5" w:rsidRPr="0035461C">
              <w:rPr>
                <w:rFonts w:ascii="Calibri" w:hAnsi="Calibri" w:cs="Calibri"/>
              </w:rPr>
              <w:t>eart, cerebrovascul</w:t>
            </w:r>
            <w:r w:rsidR="000A70FE" w:rsidRPr="0035461C">
              <w:rPr>
                <w:rFonts w:ascii="Calibri" w:hAnsi="Calibri" w:cs="Calibri"/>
              </w:rPr>
              <w:t xml:space="preserve">ar and peripheral arterial </w:t>
            </w:r>
            <w:r w:rsidR="00A567B5" w:rsidRPr="0035461C">
              <w:rPr>
                <w:rFonts w:ascii="Calibri" w:hAnsi="Calibri" w:cs="Calibri"/>
              </w:rPr>
              <w:t>disease</w:t>
            </w:r>
          </w:p>
          <w:p w14:paraId="06775879" w14:textId="3C492F3C" w:rsidR="00A567B5" w:rsidRPr="0035461C" w:rsidRDefault="00A567B5" w:rsidP="0060377A">
            <w:pPr>
              <w:pStyle w:val="ListParagraph"/>
              <w:numPr>
                <w:ilvl w:val="0"/>
                <w:numId w:val="7"/>
              </w:numPr>
              <w:rPr>
                <w:rFonts w:ascii="Calibri" w:hAnsi="Calibri" w:cs="Calibri"/>
              </w:rPr>
            </w:pPr>
            <w:r w:rsidRPr="0035461C">
              <w:rPr>
                <w:rFonts w:ascii="Calibri" w:hAnsi="Calibri" w:cs="Calibri"/>
              </w:rPr>
              <w:t>Foot ulcers</w:t>
            </w:r>
            <w:r w:rsidR="000A70FE" w:rsidRPr="0035461C">
              <w:rPr>
                <w:rFonts w:ascii="Calibri" w:hAnsi="Calibri" w:cs="Calibri"/>
              </w:rPr>
              <w:t xml:space="preserve"> or a</w:t>
            </w:r>
            <w:r w:rsidRPr="0035461C">
              <w:rPr>
                <w:rFonts w:ascii="Calibri" w:hAnsi="Calibri" w:cs="Calibri"/>
              </w:rPr>
              <w:t>mputations</w:t>
            </w:r>
          </w:p>
          <w:p w14:paraId="5FFFB3FA" w14:textId="77777777" w:rsidR="00A567B5" w:rsidRPr="0035461C" w:rsidRDefault="00A567B5" w:rsidP="00A567B5">
            <w:pPr>
              <w:rPr>
                <w:rFonts w:ascii="Calibri" w:hAnsi="Calibri" w:cs="Calibri"/>
              </w:rPr>
            </w:pPr>
            <w:r w:rsidRPr="0035461C">
              <w:rPr>
                <w:rFonts w:ascii="Calibri" w:hAnsi="Calibri" w:cs="Calibri"/>
              </w:rPr>
              <w:t>Personal history of common comorbidities</w:t>
            </w:r>
          </w:p>
          <w:p w14:paraId="6FA875EE" w14:textId="77777777" w:rsidR="00A567B5" w:rsidRPr="0035461C" w:rsidRDefault="00A567B5" w:rsidP="0060377A">
            <w:pPr>
              <w:pStyle w:val="ListParagraph"/>
              <w:numPr>
                <w:ilvl w:val="0"/>
                <w:numId w:val="8"/>
              </w:numPr>
              <w:rPr>
                <w:rFonts w:ascii="Calibri" w:hAnsi="Calibri" w:cs="Calibri"/>
              </w:rPr>
            </w:pPr>
            <w:r w:rsidRPr="0035461C">
              <w:rPr>
                <w:rFonts w:ascii="Calibri" w:hAnsi="Calibri" w:cs="Calibri"/>
              </w:rPr>
              <w:t>Autoimmune disorders (thyroid, coeliac, others)*</w:t>
            </w:r>
          </w:p>
          <w:p w14:paraId="2CC10BD2" w14:textId="77777777" w:rsidR="00A567B5" w:rsidRPr="0035461C" w:rsidRDefault="00A567B5" w:rsidP="0060377A">
            <w:pPr>
              <w:pStyle w:val="ListParagraph"/>
              <w:numPr>
                <w:ilvl w:val="0"/>
                <w:numId w:val="8"/>
              </w:numPr>
              <w:rPr>
                <w:rFonts w:ascii="Calibri" w:hAnsi="Calibri" w:cs="Calibri"/>
              </w:rPr>
            </w:pPr>
            <w:r w:rsidRPr="0035461C">
              <w:rPr>
                <w:rFonts w:ascii="Calibri" w:hAnsi="Calibri" w:cs="Calibri"/>
              </w:rPr>
              <w:t>Hypertension</w:t>
            </w:r>
          </w:p>
          <w:p w14:paraId="04EF418C" w14:textId="304BB3DB" w:rsidR="00A567B5" w:rsidRPr="0035461C" w:rsidRDefault="00A567B5" w:rsidP="0060377A">
            <w:pPr>
              <w:pStyle w:val="ListParagraph"/>
              <w:numPr>
                <w:ilvl w:val="0"/>
                <w:numId w:val="8"/>
              </w:numPr>
              <w:rPr>
                <w:rFonts w:ascii="Calibri" w:hAnsi="Calibri" w:cs="Calibri"/>
              </w:rPr>
            </w:pPr>
            <w:r w:rsidRPr="0035461C">
              <w:rPr>
                <w:rFonts w:ascii="Calibri" w:hAnsi="Calibri" w:cs="Calibri"/>
              </w:rPr>
              <w:t xml:space="preserve">Lipid disorder </w:t>
            </w:r>
          </w:p>
          <w:p w14:paraId="633FA369" w14:textId="47102D0A" w:rsidR="00D477AD" w:rsidRPr="0035461C" w:rsidRDefault="00D477AD" w:rsidP="0060377A">
            <w:pPr>
              <w:pStyle w:val="ListParagraph"/>
              <w:numPr>
                <w:ilvl w:val="0"/>
                <w:numId w:val="8"/>
              </w:numPr>
              <w:rPr>
                <w:rFonts w:ascii="Calibri" w:hAnsi="Calibri" w:cs="Calibri"/>
              </w:rPr>
            </w:pPr>
            <w:r w:rsidRPr="0035461C">
              <w:rPr>
                <w:rFonts w:ascii="Calibri" w:hAnsi="Calibri" w:cs="Calibri"/>
              </w:rPr>
              <w:t>Overweight and obesity</w:t>
            </w:r>
          </w:p>
          <w:p w14:paraId="529CC248" w14:textId="499A8688" w:rsidR="00D477AD" w:rsidRPr="0035461C" w:rsidRDefault="00D477AD" w:rsidP="0060377A">
            <w:pPr>
              <w:pStyle w:val="ListParagraph"/>
              <w:numPr>
                <w:ilvl w:val="0"/>
                <w:numId w:val="8"/>
              </w:numPr>
              <w:rPr>
                <w:rFonts w:ascii="Calibri" w:hAnsi="Calibri" w:cs="Calibri"/>
              </w:rPr>
            </w:pPr>
            <w:r w:rsidRPr="0035461C">
              <w:rPr>
                <w:rFonts w:ascii="Calibri" w:hAnsi="Calibri" w:cs="Calibri"/>
              </w:rPr>
              <w:t>Eating disorders</w:t>
            </w:r>
          </w:p>
          <w:p w14:paraId="69B24B8F" w14:textId="77777777" w:rsidR="00A567B5" w:rsidRPr="0035461C" w:rsidRDefault="00A567B5" w:rsidP="0060377A">
            <w:pPr>
              <w:pStyle w:val="ListParagraph"/>
              <w:numPr>
                <w:ilvl w:val="0"/>
                <w:numId w:val="8"/>
              </w:numPr>
              <w:rPr>
                <w:rFonts w:ascii="Calibri" w:hAnsi="Calibri" w:cs="Calibri"/>
              </w:rPr>
            </w:pPr>
            <w:r w:rsidRPr="0035461C">
              <w:rPr>
                <w:rFonts w:ascii="Calibri" w:hAnsi="Calibri" w:cs="Calibri"/>
              </w:rPr>
              <w:t>Hearing loss</w:t>
            </w:r>
          </w:p>
          <w:p w14:paraId="78099386" w14:textId="77777777" w:rsidR="00A567B5" w:rsidRPr="0035461C" w:rsidRDefault="00A567B5" w:rsidP="0060377A">
            <w:pPr>
              <w:pStyle w:val="ListParagraph"/>
              <w:numPr>
                <w:ilvl w:val="0"/>
                <w:numId w:val="8"/>
              </w:numPr>
              <w:rPr>
                <w:rFonts w:ascii="Calibri" w:hAnsi="Calibri" w:cs="Calibri"/>
              </w:rPr>
            </w:pPr>
            <w:r w:rsidRPr="0035461C">
              <w:rPr>
                <w:rFonts w:ascii="Calibri" w:hAnsi="Calibri" w:cs="Calibri"/>
              </w:rPr>
              <w:t>Sleep disorder</w:t>
            </w:r>
          </w:p>
          <w:p w14:paraId="226D6F12" w14:textId="77777777" w:rsidR="00A567B5" w:rsidRPr="0035461C" w:rsidRDefault="00A567B5" w:rsidP="0060377A">
            <w:pPr>
              <w:pStyle w:val="ListParagraph"/>
              <w:numPr>
                <w:ilvl w:val="0"/>
                <w:numId w:val="8"/>
              </w:numPr>
              <w:rPr>
                <w:rFonts w:ascii="Calibri" w:hAnsi="Calibri" w:cs="Calibri"/>
              </w:rPr>
            </w:pPr>
            <w:proofErr w:type="spellStart"/>
            <w:r w:rsidRPr="0035461C">
              <w:rPr>
                <w:rFonts w:ascii="Calibri" w:hAnsi="Calibri" w:cs="Calibri"/>
              </w:rPr>
              <w:t>Dermopathy</w:t>
            </w:r>
            <w:proofErr w:type="spellEnd"/>
          </w:p>
          <w:p w14:paraId="0D2E79CF" w14:textId="52926A80" w:rsidR="000A70FE" w:rsidRPr="0035461C" w:rsidRDefault="00A567B5" w:rsidP="0060377A">
            <w:pPr>
              <w:pStyle w:val="ListParagraph"/>
              <w:numPr>
                <w:ilvl w:val="0"/>
                <w:numId w:val="8"/>
              </w:numPr>
              <w:rPr>
                <w:rFonts w:ascii="Calibri" w:hAnsi="Calibri" w:cs="Calibri"/>
              </w:rPr>
            </w:pPr>
            <w:r w:rsidRPr="0035461C">
              <w:rPr>
                <w:rFonts w:ascii="Calibri" w:hAnsi="Calibri" w:cs="Calibri"/>
              </w:rPr>
              <w:t>Fractures</w:t>
            </w:r>
          </w:p>
          <w:p w14:paraId="1C4041B0" w14:textId="231D4DA3" w:rsidR="00353D2E" w:rsidRPr="0035461C" w:rsidRDefault="00353D2E" w:rsidP="0060377A">
            <w:pPr>
              <w:pStyle w:val="ListParagraph"/>
              <w:numPr>
                <w:ilvl w:val="0"/>
                <w:numId w:val="8"/>
              </w:numPr>
              <w:rPr>
                <w:rFonts w:ascii="Calibri" w:hAnsi="Calibri" w:cs="Calibri"/>
              </w:rPr>
            </w:pPr>
            <w:r w:rsidRPr="0035461C">
              <w:rPr>
                <w:rFonts w:ascii="Calibri" w:hAnsi="Calibri" w:cs="Calibri"/>
              </w:rPr>
              <w:t>Joint and soft tissue disorders</w:t>
            </w:r>
          </w:p>
          <w:p w14:paraId="710AC4B7" w14:textId="77777777" w:rsidR="00B51C49" w:rsidRDefault="00353D2E" w:rsidP="00E615B3">
            <w:pPr>
              <w:pStyle w:val="ListParagraph"/>
              <w:numPr>
                <w:ilvl w:val="1"/>
                <w:numId w:val="8"/>
              </w:numPr>
              <w:rPr>
                <w:rFonts w:ascii="Calibri" w:hAnsi="Calibri" w:cs="Calibri"/>
              </w:rPr>
            </w:pPr>
            <w:proofErr w:type="spellStart"/>
            <w:r w:rsidRPr="0035461C">
              <w:rPr>
                <w:rFonts w:ascii="Calibri" w:hAnsi="Calibri" w:cs="Calibri"/>
              </w:rPr>
              <w:t>Cheiroarthropathy</w:t>
            </w:r>
            <w:proofErr w:type="spellEnd"/>
          </w:p>
          <w:p w14:paraId="560C8013" w14:textId="4E827C30" w:rsidR="00353D2E" w:rsidRPr="0035461C" w:rsidRDefault="00B51C49" w:rsidP="00E615B3">
            <w:pPr>
              <w:pStyle w:val="ListParagraph"/>
              <w:numPr>
                <w:ilvl w:val="1"/>
                <w:numId w:val="8"/>
              </w:numPr>
              <w:rPr>
                <w:rFonts w:ascii="Calibri" w:hAnsi="Calibri" w:cs="Calibri"/>
              </w:rPr>
            </w:pPr>
            <w:r>
              <w:rPr>
                <w:rFonts w:ascii="Calibri" w:hAnsi="Calibri" w:cs="Calibri"/>
              </w:rPr>
              <w:t>Trigger finger</w:t>
            </w:r>
            <w:r w:rsidR="00353D2E" w:rsidRPr="0035461C">
              <w:rPr>
                <w:rFonts w:ascii="Calibri" w:hAnsi="Calibri" w:cs="Calibri"/>
              </w:rPr>
              <w:t xml:space="preserve"> </w:t>
            </w:r>
          </w:p>
          <w:p w14:paraId="609F22C3" w14:textId="5161B155" w:rsidR="00353D2E" w:rsidRPr="0035461C" w:rsidRDefault="00353D2E" w:rsidP="00E615B3">
            <w:pPr>
              <w:pStyle w:val="ListParagraph"/>
              <w:numPr>
                <w:ilvl w:val="1"/>
                <w:numId w:val="8"/>
              </w:numPr>
              <w:rPr>
                <w:rFonts w:ascii="Calibri" w:hAnsi="Calibri" w:cs="Calibri"/>
              </w:rPr>
            </w:pPr>
            <w:r w:rsidRPr="0035461C">
              <w:rPr>
                <w:rFonts w:ascii="Calibri" w:hAnsi="Calibri" w:cs="Calibri"/>
              </w:rPr>
              <w:t>Capsulitis</w:t>
            </w:r>
          </w:p>
          <w:p w14:paraId="2BDCF062" w14:textId="378845B7" w:rsidR="00353D2E" w:rsidRPr="0035461C" w:rsidRDefault="00353D2E" w:rsidP="00E615B3">
            <w:pPr>
              <w:pStyle w:val="ListParagraph"/>
              <w:numPr>
                <w:ilvl w:val="1"/>
                <w:numId w:val="8"/>
              </w:numPr>
              <w:rPr>
                <w:rFonts w:ascii="Calibri" w:hAnsi="Calibri" w:cs="Calibri"/>
              </w:rPr>
            </w:pPr>
            <w:r w:rsidRPr="0035461C">
              <w:rPr>
                <w:rFonts w:ascii="Calibri" w:hAnsi="Calibri" w:cs="Calibri"/>
              </w:rPr>
              <w:t>Carpal tunnel syndrome</w:t>
            </w:r>
          </w:p>
          <w:p w14:paraId="01E75261" w14:textId="4C677E28" w:rsidR="00EE4A76" w:rsidRPr="0035461C" w:rsidRDefault="00EE4A76" w:rsidP="00EE4A76">
            <w:pPr>
              <w:pStyle w:val="ListParagraph"/>
              <w:numPr>
                <w:ilvl w:val="0"/>
                <w:numId w:val="8"/>
              </w:numPr>
              <w:rPr>
                <w:rFonts w:ascii="Calibri" w:hAnsi="Calibri" w:cs="Calibri"/>
              </w:rPr>
            </w:pPr>
            <w:r w:rsidRPr="0035461C">
              <w:rPr>
                <w:rFonts w:ascii="Calibri" w:hAnsi="Calibri" w:cs="Calibri"/>
              </w:rPr>
              <w:t xml:space="preserve">Dental </w:t>
            </w:r>
            <w:r w:rsidR="00272C57">
              <w:rPr>
                <w:rFonts w:ascii="Calibri" w:hAnsi="Calibri" w:cs="Calibri"/>
              </w:rPr>
              <w:t xml:space="preserve">and gum </w:t>
            </w:r>
            <w:r w:rsidRPr="0035461C">
              <w:rPr>
                <w:rFonts w:ascii="Calibri" w:hAnsi="Calibri" w:cs="Calibri"/>
              </w:rPr>
              <w:t>health</w:t>
            </w:r>
          </w:p>
          <w:p w14:paraId="2255849A" w14:textId="77777777" w:rsidR="00A567B5" w:rsidRPr="0035461C" w:rsidRDefault="00A567B5" w:rsidP="000A70FE">
            <w:pPr>
              <w:rPr>
                <w:rFonts w:ascii="Calibri" w:hAnsi="Calibri" w:cs="Calibri"/>
              </w:rPr>
            </w:pPr>
            <w:r w:rsidRPr="0035461C">
              <w:rPr>
                <w:rFonts w:ascii="Calibri" w:hAnsi="Calibri" w:cs="Calibri"/>
              </w:rPr>
              <w:t>Pregnancy and birth control history</w:t>
            </w:r>
          </w:p>
          <w:p w14:paraId="64C9F7B6" w14:textId="77777777" w:rsidR="004839DD" w:rsidRPr="0035461C" w:rsidRDefault="004839DD" w:rsidP="004839DD">
            <w:pPr>
              <w:rPr>
                <w:rFonts w:ascii="Calibri" w:hAnsi="Calibri" w:cs="Calibri"/>
              </w:rPr>
            </w:pPr>
            <w:r w:rsidRPr="0035461C">
              <w:rPr>
                <w:rFonts w:ascii="Calibri" w:hAnsi="Calibri" w:cs="Calibri"/>
              </w:rPr>
              <w:t>Immunization history</w:t>
            </w:r>
          </w:p>
          <w:p w14:paraId="6F7D3522" w14:textId="108A3D12" w:rsidR="004839DD" w:rsidRPr="0035461C" w:rsidRDefault="004839DD" w:rsidP="000A70FE">
            <w:pPr>
              <w:rPr>
                <w:rFonts w:ascii="Calibri" w:hAnsi="Calibri" w:cs="Calibri"/>
              </w:rPr>
            </w:pPr>
          </w:p>
        </w:tc>
      </w:tr>
      <w:tr w:rsidR="00A567B5" w:rsidRPr="0035461C" w14:paraId="0BD678E1" w14:textId="77777777" w:rsidTr="00B61240">
        <w:tc>
          <w:tcPr>
            <w:tcW w:w="2547" w:type="dxa"/>
          </w:tcPr>
          <w:p w14:paraId="23220071" w14:textId="499F7C5C" w:rsidR="00A567B5" w:rsidRPr="0035461C" w:rsidRDefault="00D477AD" w:rsidP="000A70FE">
            <w:pPr>
              <w:rPr>
                <w:rFonts w:ascii="Calibri" w:hAnsi="Calibri" w:cs="Calibri"/>
                <w:b/>
              </w:rPr>
            </w:pPr>
            <w:r w:rsidRPr="0035461C">
              <w:rPr>
                <w:rFonts w:ascii="Calibri" w:hAnsi="Calibri" w:cs="Calibri"/>
                <w:b/>
              </w:rPr>
              <w:t>Additional Behavioral Factors</w:t>
            </w:r>
          </w:p>
        </w:tc>
        <w:tc>
          <w:tcPr>
            <w:tcW w:w="6469" w:type="dxa"/>
          </w:tcPr>
          <w:p w14:paraId="5763D485" w14:textId="0E998C26" w:rsidR="000A70FE" w:rsidRPr="0035461C" w:rsidRDefault="000A70FE" w:rsidP="004839DD">
            <w:pPr>
              <w:rPr>
                <w:rFonts w:ascii="Calibri" w:hAnsi="Calibri" w:cs="Calibri"/>
              </w:rPr>
            </w:pPr>
            <w:r w:rsidRPr="0035461C">
              <w:rPr>
                <w:rFonts w:ascii="Calibri" w:hAnsi="Calibri" w:cs="Calibri"/>
              </w:rPr>
              <w:t>Diet</w:t>
            </w:r>
            <w:r w:rsidR="00D477AD" w:rsidRPr="0035461C">
              <w:rPr>
                <w:rFonts w:ascii="Calibri" w:hAnsi="Calibri" w:cs="Calibri"/>
              </w:rPr>
              <w:t xml:space="preserve"> and Nutrition</w:t>
            </w:r>
          </w:p>
          <w:p w14:paraId="35984D94" w14:textId="77777777" w:rsidR="004839DD" w:rsidRPr="0035461C" w:rsidRDefault="000A70FE" w:rsidP="0060377A">
            <w:pPr>
              <w:pStyle w:val="ListParagraph"/>
              <w:numPr>
                <w:ilvl w:val="0"/>
                <w:numId w:val="3"/>
              </w:numPr>
              <w:rPr>
                <w:rFonts w:ascii="Calibri" w:hAnsi="Calibri" w:cs="Calibri"/>
              </w:rPr>
            </w:pPr>
            <w:r w:rsidRPr="0035461C">
              <w:rPr>
                <w:rFonts w:ascii="Calibri" w:hAnsi="Calibri" w:cs="Calibri"/>
              </w:rPr>
              <w:t>Use of carbohydrate counting</w:t>
            </w:r>
          </w:p>
          <w:p w14:paraId="5D755ED9" w14:textId="7BD85741" w:rsidR="000A70FE" w:rsidRPr="0035461C" w:rsidRDefault="000A70FE" w:rsidP="0060377A">
            <w:pPr>
              <w:pStyle w:val="ListParagraph"/>
              <w:numPr>
                <w:ilvl w:val="0"/>
                <w:numId w:val="3"/>
              </w:numPr>
              <w:rPr>
                <w:rFonts w:ascii="Calibri" w:hAnsi="Calibri" w:cs="Calibri"/>
              </w:rPr>
            </w:pPr>
            <w:r w:rsidRPr="0035461C">
              <w:rPr>
                <w:rFonts w:ascii="Calibri" w:hAnsi="Calibri" w:cs="Calibri"/>
              </w:rPr>
              <w:t>Weight history</w:t>
            </w:r>
          </w:p>
          <w:p w14:paraId="7AC48079" w14:textId="6E0A79F3" w:rsidR="000A70FE" w:rsidRPr="0035461C" w:rsidRDefault="000A70FE" w:rsidP="004839DD">
            <w:pPr>
              <w:rPr>
                <w:rFonts w:ascii="Calibri" w:hAnsi="Calibri" w:cs="Calibri"/>
              </w:rPr>
            </w:pPr>
            <w:r w:rsidRPr="0035461C">
              <w:rPr>
                <w:rFonts w:ascii="Calibri" w:hAnsi="Calibri" w:cs="Calibri"/>
              </w:rPr>
              <w:t>Physical activity</w:t>
            </w:r>
          </w:p>
          <w:p w14:paraId="2F965CBB" w14:textId="77777777" w:rsidR="00A567B5" w:rsidRPr="0035461C" w:rsidRDefault="000A70FE" w:rsidP="004839DD">
            <w:pPr>
              <w:rPr>
                <w:rFonts w:ascii="Calibri" w:hAnsi="Calibri" w:cs="Calibri"/>
              </w:rPr>
            </w:pPr>
            <w:r w:rsidRPr="0035461C">
              <w:rPr>
                <w:rFonts w:ascii="Calibri" w:hAnsi="Calibri" w:cs="Calibri"/>
              </w:rPr>
              <w:t>Smoking, alcohol, substance use</w:t>
            </w:r>
          </w:p>
          <w:p w14:paraId="6A77AA8B" w14:textId="00A6978A" w:rsidR="00D477AD" w:rsidRPr="0035461C" w:rsidRDefault="00D477AD" w:rsidP="004839DD">
            <w:pPr>
              <w:rPr>
                <w:rFonts w:ascii="Calibri" w:hAnsi="Calibri" w:cs="Calibri"/>
              </w:rPr>
            </w:pPr>
            <w:r w:rsidRPr="0035461C">
              <w:rPr>
                <w:rFonts w:ascii="Calibri" w:hAnsi="Calibri" w:cs="Calibri"/>
              </w:rPr>
              <w:t>Sleep</w:t>
            </w:r>
          </w:p>
        </w:tc>
      </w:tr>
      <w:tr w:rsidR="00A567B5" w:rsidRPr="0035461C" w14:paraId="2FFE5466" w14:textId="77777777" w:rsidTr="00B61240">
        <w:tc>
          <w:tcPr>
            <w:tcW w:w="2547" w:type="dxa"/>
          </w:tcPr>
          <w:p w14:paraId="3DE8162C" w14:textId="486B33E2" w:rsidR="00A567B5" w:rsidRPr="0035461C" w:rsidRDefault="000A70FE" w:rsidP="000A70FE">
            <w:pPr>
              <w:rPr>
                <w:rFonts w:ascii="Calibri" w:hAnsi="Calibri" w:cs="Calibri"/>
                <w:b/>
              </w:rPr>
            </w:pPr>
            <w:r w:rsidRPr="0035461C">
              <w:rPr>
                <w:rFonts w:ascii="Calibri" w:hAnsi="Calibri" w:cs="Calibri"/>
                <w:b/>
              </w:rPr>
              <w:t>Diabetes Management</w:t>
            </w:r>
          </w:p>
        </w:tc>
        <w:tc>
          <w:tcPr>
            <w:tcW w:w="6469" w:type="dxa"/>
          </w:tcPr>
          <w:p w14:paraId="1F12CF9E" w14:textId="77777777" w:rsidR="000A70FE" w:rsidRPr="0035461C" w:rsidRDefault="000A70FE" w:rsidP="004839DD">
            <w:pPr>
              <w:rPr>
                <w:rFonts w:ascii="Calibri" w:hAnsi="Calibri" w:cs="Calibri"/>
              </w:rPr>
            </w:pPr>
            <w:r w:rsidRPr="0035461C">
              <w:rPr>
                <w:rFonts w:ascii="Calibri" w:hAnsi="Calibri" w:cs="Calibri"/>
              </w:rPr>
              <w:t>Current insulin regimen</w:t>
            </w:r>
          </w:p>
          <w:p w14:paraId="64DA1F46" w14:textId="069AD3C3" w:rsidR="000A70FE" w:rsidRDefault="003F0657" w:rsidP="0060377A">
            <w:pPr>
              <w:pStyle w:val="ListParagraph"/>
              <w:numPr>
                <w:ilvl w:val="0"/>
                <w:numId w:val="4"/>
              </w:numPr>
              <w:rPr>
                <w:rFonts w:ascii="Calibri" w:hAnsi="Calibri" w:cs="Calibri"/>
              </w:rPr>
            </w:pPr>
            <w:r w:rsidRPr="0035461C">
              <w:rPr>
                <w:rFonts w:ascii="Calibri" w:hAnsi="Calibri" w:cs="Calibri"/>
              </w:rPr>
              <w:t>Multiple daily injections</w:t>
            </w:r>
          </w:p>
          <w:p w14:paraId="30065DAF" w14:textId="5097C942" w:rsidR="0088079A" w:rsidRDefault="0088079A" w:rsidP="0088079A">
            <w:pPr>
              <w:pStyle w:val="ListParagraph"/>
              <w:numPr>
                <w:ilvl w:val="1"/>
                <w:numId w:val="4"/>
              </w:numPr>
              <w:rPr>
                <w:rFonts w:ascii="Calibri" w:hAnsi="Calibri" w:cs="Calibri"/>
              </w:rPr>
            </w:pPr>
            <w:r>
              <w:rPr>
                <w:rFonts w:ascii="Calibri" w:hAnsi="Calibri" w:cs="Calibri"/>
              </w:rPr>
              <w:t xml:space="preserve">Pens including </w:t>
            </w:r>
            <w:r w:rsidR="005041CD">
              <w:rPr>
                <w:rFonts w:ascii="Calibri" w:hAnsi="Calibri" w:cs="Calibri"/>
              </w:rPr>
              <w:t>connected insulin</w:t>
            </w:r>
            <w:r>
              <w:rPr>
                <w:rFonts w:ascii="Calibri" w:hAnsi="Calibri" w:cs="Calibri"/>
              </w:rPr>
              <w:t xml:space="preserve"> pens</w:t>
            </w:r>
          </w:p>
          <w:p w14:paraId="374D316C" w14:textId="77777777" w:rsidR="005041CD" w:rsidRDefault="0088079A" w:rsidP="0088079A">
            <w:pPr>
              <w:pStyle w:val="ListParagraph"/>
              <w:numPr>
                <w:ilvl w:val="1"/>
                <w:numId w:val="4"/>
              </w:numPr>
              <w:rPr>
                <w:rFonts w:ascii="Calibri" w:hAnsi="Calibri" w:cs="Calibri"/>
              </w:rPr>
            </w:pPr>
            <w:r>
              <w:rPr>
                <w:rFonts w:ascii="Calibri" w:hAnsi="Calibri" w:cs="Calibri"/>
              </w:rPr>
              <w:t>Syringes</w:t>
            </w:r>
          </w:p>
          <w:p w14:paraId="7CBAA5BF" w14:textId="1A625DF0" w:rsidR="0088079A" w:rsidRPr="0088079A" w:rsidRDefault="005041CD" w:rsidP="0088079A">
            <w:pPr>
              <w:pStyle w:val="ListParagraph"/>
              <w:numPr>
                <w:ilvl w:val="1"/>
                <w:numId w:val="4"/>
              </w:numPr>
              <w:rPr>
                <w:rFonts w:ascii="Calibri" w:hAnsi="Calibri" w:cs="Calibri"/>
              </w:rPr>
            </w:pPr>
            <w:r>
              <w:rPr>
                <w:rFonts w:ascii="Calibri" w:hAnsi="Calibri" w:cs="Calibri"/>
              </w:rPr>
              <w:t>N</w:t>
            </w:r>
            <w:r w:rsidR="0088079A">
              <w:rPr>
                <w:rFonts w:ascii="Calibri" w:hAnsi="Calibri" w:cs="Calibri"/>
              </w:rPr>
              <w:t>eedles</w:t>
            </w:r>
          </w:p>
          <w:p w14:paraId="40305B78" w14:textId="77777777" w:rsidR="000A70FE" w:rsidRPr="0035461C" w:rsidRDefault="000A70FE" w:rsidP="0060377A">
            <w:pPr>
              <w:pStyle w:val="ListParagraph"/>
              <w:numPr>
                <w:ilvl w:val="0"/>
                <w:numId w:val="4"/>
              </w:numPr>
              <w:rPr>
                <w:rFonts w:ascii="Calibri" w:hAnsi="Calibri" w:cs="Calibri"/>
              </w:rPr>
            </w:pPr>
            <w:r w:rsidRPr="0035461C">
              <w:rPr>
                <w:rFonts w:ascii="Calibri" w:hAnsi="Calibri" w:cs="Calibri"/>
              </w:rPr>
              <w:t xml:space="preserve">Insulin pump (type/model): </w:t>
            </w:r>
          </w:p>
          <w:p w14:paraId="71C93FD6" w14:textId="77777777" w:rsidR="000A70FE" w:rsidRPr="0035461C" w:rsidRDefault="000A70FE" w:rsidP="0060377A">
            <w:pPr>
              <w:pStyle w:val="ListParagraph"/>
              <w:numPr>
                <w:ilvl w:val="1"/>
                <w:numId w:val="4"/>
              </w:numPr>
              <w:rPr>
                <w:rFonts w:ascii="Calibri" w:hAnsi="Calibri" w:cs="Calibri"/>
              </w:rPr>
            </w:pPr>
            <w:r w:rsidRPr="0035461C">
              <w:rPr>
                <w:rFonts w:ascii="Calibri" w:hAnsi="Calibri" w:cs="Calibri"/>
              </w:rPr>
              <w:t>Settings</w:t>
            </w:r>
          </w:p>
          <w:p w14:paraId="7914C728" w14:textId="77777777" w:rsidR="000A70FE" w:rsidRPr="0035461C" w:rsidRDefault="000A70FE" w:rsidP="0060377A">
            <w:pPr>
              <w:pStyle w:val="ListParagraph"/>
              <w:numPr>
                <w:ilvl w:val="1"/>
                <w:numId w:val="4"/>
              </w:numPr>
              <w:rPr>
                <w:rFonts w:ascii="Calibri" w:hAnsi="Calibri" w:cs="Calibri"/>
              </w:rPr>
            </w:pPr>
            <w:r w:rsidRPr="0035461C">
              <w:rPr>
                <w:rFonts w:ascii="Calibri" w:hAnsi="Calibri" w:cs="Calibri"/>
              </w:rPr>
              <w:t xml:space="preserve">Back-up injection plan </w:t>
            </w:r>
          </w:p>
          <w:p w14:paraId="75B8FE62" w14:textId="77777777" w:rsidR="004839DD" w:rsidRPr="0035461C" w:rsidRDefault="000A70FE" w:rsidP="004839DD">
            <w:pPr>
              <w:rPr>
                <w:rFonts w:ascii="Calibri" w:hAnsi="Calibri" w:cs="Calibri"/>
              </w:rPr>
            </w:pPr>
            <w:r w:rsidRPr="0035461C">
              <w:rPr>
                <w:rFonts w:ascii="Calibri" w:hAnsi="Calibri" w:cs="Calibri"/>
              </w:rPr>
              <w:t>Other diabetes medications</w:t>
            </w:r>
          </w:p>
          <w:p w14:paraId="3B74837A" w14:textId="5CEFC72D" w:rsidR="004839DD" w:rsidRPr="0035461C" w:rsidRDefault="004839DD" w:rsidP="004839DD">
            <w:pPr>
              <w:rPr>
                <w:rFonts w:ascii="Calibri" w:hAnsi="Calibri" w:cs="Calibri"/>
              </w:rPr>
            </w:pPr>
            <w:r w:rsidRPr="0035461C">
              <w:rPr>
                <w:rFonts w:ascii="Calibri" w:hAnsi="Calibri" w:cs="Calibri"/>
              </w:rPr>
              <w:t>Blood glucose monitoring</w:t>
            </w:r>
          </w:p>
          <w:p w14:paraId="76CC2C21" w14:textId="42A5661D" w:rsidR="004839DD" w:rsidRPr="0035461C" w:rsidRDefault="004839DD" w:rsidP="0060377A">
            <w:pPr>
              <w:pStyle w:val="ListParagraph"/>
              <w:numPr>
                <w:ilvl w:val="0"/>
                <w:numId w:val="4"/>
              </w:numPr>
              <w:rPr>
                <w:rFonts w:ascii="Calibri" w:hAnsi="Calibri" w:cs="Calibri"/>
              </w:rPr>
            </w:pPr>
            <w:r w:rsidRPr="0035461C">
              <w:rPr>
                <w:rFonts w:ascii="Calibri" w:hAnsi="Calibri" w:cs="Calibri"/>
              </w:rPr>
              <w:t>T</w:t>
            </w:r>
            <w:r w:rsidR="000A70FE" w:rsidRPr="0035461C">
              <w:rPr>
                <w:rFonts w:ascii="Calibri" w:hAnsi="Calibri" w:cs="Calibri"/>
              </w:rPr>
              <w:t>ype of meter/strips</w:t>
            </w:r>
          </w:p>
          <w:p w14:paraId="59014B44" w14:textId="77777777" w:rsidR="004839DD" w:rsidRPr="0035461C" w:rsidRDefault="000A70FE" w:rsidP="0060377A">
            <w:pPr>
              <w:pStyle w:val="ListParagraph"/>
              <w:numPr>
                <w:ilvl w:val="0"/>
                <w:numId w:val="4"/>
              </w:numPr>
              <w:rPr>
                <w:rFonts w:ascii="Calibri" w:hAnsi="Calibri" w:cs="Calibri"/>
              </w:rPr>
            </w:pPr>
            <w:r w:rsidRPr="0035461C">
              <w:rPr>
                <w:rFonts w:ascii="Calibri" w:hAnsi="Calibri" w:cs="Calibri"/>
              </w:rPr>
              <w:t>Frequency of use</w:t>
            </w:r>
          </w:p>
          <w:p w14:paraId="522931E8" w14:textId="498CB40E" w:rsidR="004839DD" w:rsidRPr="0035461C" w:rsidRDefault="004839DD" w:rsidP="0060377A">
            <w:pPr>
              <w:pStyle w:val="ListParagraph"/>
              <w:numPr>
                <w:ilvl w:val="0"/>
                <w:numId w:val="4"/>
              </w:numPr>
              <w:rPr>
                <w:rFonts w:ascii="Calibri" w:hAnsi="Calibri" w:cs="Calibri"/>
              </w:rPr>
            </w:pPr>
            <w:r w:rsidRPr="0035461C">
              <w:rPr>
                <w:rFonts w:ascii="Calibri" w:hAnsi="Calibri" w:cs="Calibri"/>
              </w:rPr>
              <w:t>M</w:t>
            </w:r>
            <w:r w:rsidR="000A70FE" w:rsidRPr="0035461C">
              <w:rPr>
                <w:rFonts w:ascii="Calibri" w:hAnsi="Calibri" w:cs="Calibri"/>
              </w:rPr>
              <w:t>ean (SD), range</w:t>
            </w:r>
          </w:p>
          <w:p w14:paraId="712822A8" w14:textId="0EE19CF1" w:rsidR="000A70FE" w:rsidRPr="0035461C" w:rsidRDefault="004839DD" w:rsidP="0060377A">
            <w:pPr>
              <w:pStyle w:val="ListParagraph"/>
              <w:numPr>
                <w:ilvl w:val="0"/>
                <w:numId w:val="4"/>
              </w:numPr>
              <w:rPr>
                <w:rFonts w:ascii="Calibri" w:hAnsi="Calibri" w:cs="Calibri"/>
              </w:rPr>
            </w:pPr>
            <w:r w:rsidRPr="0035461C">
              <w:rPr>
                <w:rFonts w:ascii="Calibri" w:hAnsi="Calibri" w:cs="Calibri"/>
              </w:rPr>
              <w:t>P</w:t>
            </w:r>
            <w:r w:rsidR="000A70FE" w:rsidRPr="0035461C">
              <w:rPr>
                <w:rFonts w:ascii="Calibri" w:hAnsi="Calibri" w:cs="Calibri"/>
              </w:rPr>
              <w:t xml:space="preserve">attern </w:t>
            </w:r>
          </w:p>
          <w:p w14:paraId="11F72C7A" w14:textId="77777777" w:rsidR="004839DD" w:rsidRPr="0035461C" w:rsidRDefault="000A70FE" w:rsidP="004839DD">
            <w:pPr>
              <w:rPr>
                <w:rFonts w:ascii="Calibri" w:hAnsi="Calibri" w:cs="Calibri"/>
              </w:rPr>
            </w:pPr>
            <w:r w:rsidRPr="0035461C">
              <w:rPr>
                <w:rFonts w:ascii="Calibri" w:hAnsi="Calibri" w:cs="Calibri"/>
              </w:rPr>
              <w:t>C</w:t>
            </w:r>
            <w:r w:rsidR="004839DD" w:rsidRPr="0035461C">
              <w:rPr>
                <w:rFonts w:ascii="Calibri" w:hAnsi="Calibri" w:cs="Calibri"/>
              </w:rPr>
              <w:t>ontinuous glucose monitoring</w:t>
            </w:r>
          </w:p>
          <w:p w14:paraId="1D786F55" w14:textId="77777777" w:rsidR="004839DD" w:rsidRPr="0035461C" w:rsidRDefault="004839DD" w:rsidP="0060377A">
            <w:pPr>
              <w:pStyle w:val="ListParagraph"/>
              <w:numPr>
                <w:ilvl w:val="0"/>
                <w:numId w:val="4"/>
              </w:numPr>
              <w:rPr>
                <w:rFonts w:ascii="Calibri" w:hAnsi="Calibri" w:cs="Calibri"/>
              </w:rPr>
            </w:pPr>
            <w:r w:rsidRPr="0035461C">
              <w:rPr>
                <w:rFonts w:ascii="Calibri" w:hAnsi="Calibri" w:cs="Calibri"/>
              </w:rPr>
              <w:t>T</w:t>
            </w:r>
            <w:r w:rsidR="000A70FE" w:rsidRPr="0035461C">
              <w:rPr>
                <w:rFonts w:ascii="Calibri" w:hAnsi="Calibri" w:cs="Calibri"/>
              </w:rPr>
              <w:t>ype/model</w:t>
            </w:r>
          </w:p>
          <w:p w14:paraId="3F939F0D" w14:textId="77777777" w:rsidR="004839DD" w:rsidRPr="0035461C" w:rsidRDefault="004839DD" w:rsidP="0060377A">
            <w:pPr>
              <w:pStyle w:val="ListParagraph"/>
              <w:numPr>
                <w:ilvl w:val="0"/>
                <w:numId w:val="4"/>
              </w:numPr>
              <w:rPr>
                <w:rFonts w:ascii="Calibri" w:hAnsi="Calibri" w:cs="Calibri"/>
              </w:rPr>
            </w:pPr>
            <w:r w:rsidRPr="0035461C">
              <w:rPr>
                <w:rFonts w:ascii="Calibri" w:hAnsi="Calibri" w:cs="Calibri"/>
              </w:rPr>
              <w:t>Data s</w:t>
            </w:r>
            <w:r w:rsidR="000A70FE" w:rsidRPr="0035461C">
              <w:rPr>
                <w:rFonts w:ascii="Calibri" w:hAnsi="Calibri" w:cs="Calibri"/>
              </w:rPr>
              <w:t>har</w:t>
            </w:r>
            <w:r w:rsidRPr="0035461C">
              <w:rPr>
                <w:rFonts w:ascii="Calibri" w:hAnsi="Calibri" w:cs="Calibri"/>
              </w:rPr>
              <w:t>ing</w:t>
            </w:r>
            <w:r w:rsidR="000A70FE" w:rsidRPr="0035461C">
              <w:rPr>
                <w:rFonts w:ascii="Calibri" w:hAnsi="Calibri" w:cs="Calibri"/>
              </w:rPr>
              <w:t>: if yes with whom</w:t>
            </w:r>
          </w:p>
          <w:p w14:paraId="6E159F6E" w14:textId="15BA0041" w:rsidR="000A70FE" w:rsidRPr="0035461C" w:rsidRDefault="004839DD" w:rsidP="0060377A">
            <w:pPr>
              <w:pStyle w:val="ListParagraph"/>
              <w:numPr>
                <w:ilvl w:val="0"/>
                <w:numId w:val="4"/>
              </w:numPr>
              <w:rPr>
                <w:rFonts w:ascii="Calibri" w:hAnsi="Calibri" w:cs="Calibri"/>
              </w:rPr>
            </w:pPr>
            <w:proofErr w:type="spellStart"/>
            <w:r w:rsidRPr="0035461C">
              <w:rPr>
                <w:rFonts w:ascii="Calibri" w:hAnsi="Calibri" w:cs="Calibri"/>
              </w:rPr>
              <w:t>G</w:t>
            </w:r>
            <w:r w:rsidR="000A70FE" w:rsidRPr="0035461C">
              <w:rPr>
                <w:rFonts w:ascii="Calibri" w:hAnsi="Calibri" w:cs="Calibri"/>
              </w:rPr>
              <w:t>lucometrics</w:t>
            </w:r>
            <w:proofErr w:type="spellEnd"/>
          </w:p>
          <w:p w14:paraId="5C45F7BA" w14:textId="51D92A4D" w:rsidR="000A70FE" w:rsidRPr="0035461C" w:rsidRDefault="004839DD" w:rsidP="0060377A">
            <w:pPr>
              <w:pStyle w:val="ListParagraph"/>
              <w:numPr>
                <w:ilvl w:val="0"/>
                <w:numId w:val="4"/>
              </w:numPr>
              <w:rPr>
                <w:rFonts w:ascii="Calibri" w:hAnsi="Calibri" w:cs="Calibri"/>
              </w:rPr>
            </w:pPr>
            <w:r w:rsidRPr="0035461C">
              <w:rPr>
                <w:rFonts w:ascii="Calibri" w:hAnsi="Calibri" w:cs="Calibri"/>
              </w:rPr>
              <w:t>Pattern</w:t>
            </w:r>
          </w:p>
          <w:p w14:paraId="204C06B8" w14:textId="77777777" w:rsidR="00353D2E" w:rsidRPr="0035461C" w:rsidRDefault="00353D2E" w:rsidP="00F614AA">
            <w:pPr>
              <w:rPr>
                <w:rFonts w:ascii="Calibri" w:hAnsi="Calibri" w:cs="Calibri"/>
              </w:rPr>
            </w:pPr>
            <w:r w:rsidRPr="0035461C">
              <w:rPr>
                <w:rFonts w:ascii="Calibri" w:hAnsi="Calibri" w:cs="Calibri"/>
              </w:rPr>
              <w:t>Glucagon prescribed</w:t>
            </w:r>
          </w:p>
          <w:p w14:paraId="41B87D42" w14:textId="764AAB13" w:rsidR="00353D2E" w:rsidRPr="0035461C" w:rsidRDefault="00353D2E" w:rsidP="004839DD">
            <w:pPr>
              <w:rPr>
                <w:rFonts w:ascii="Calibri" w:hAnsi="Calibri" w:cs="Calibri"/>
              </w:rPr>
            </w:pPr>
            <w:r w:rsidRPr="0035461C">
              <w:rPr>
                <w:rFonts w:ascii="Calibri" w:hAnsi="Calibri" w:cs="Calibri"/>
              </w:rPr>
              <w:t>Ketone testing supplies prescribed (where available)</w:t>
            </w:r>
          </w:p>
          <w:p w14:paraId="0BA765F0" w14:textId="1C674B17" w:rsidR="000A70FE" w:rsidRPr="0035461C" w:rsidRDefault="000A70FE" w:rsidP="004839DD">
            <w:pPr>
              <w:rPr>
                <w:rFonts w:ascii="Calibri" w:hAnsi="Calibri" w:cs="Calibri"/>
              </w:rPr>
            </w:pPr>
            <w:r w:rsidRPr="0035461C">
              <w:rPr>
                <w:rFonts w:ascii="Calibri" w:hAnsi="Calibri" w:cs="Calibri"/>
              </w:rPr>
              <w:t>Software/app use</w:t>
            </w:r>
          </w:p>
        </w:tc>
      </w:tr>
      <w:tr w:rsidR="00A567B5" w:rsidRPr="0035461C" w14:paraId="42F57241" w14:textId="77777777" w:rsidTr="00B61240">
        <w:tc>
          <w:tcPr>
            <w:tcW w:w="2547" w:type="dxa"/>
          </w:tcPr>
          <w:p w14:paraId="4AF886F9" w14:textId="36474B51" w:rsidR="00A567B5" w:rsidRPr="0035461C" w:rsidRDefault="004839DD" w:rsidP="004839DD">
            <w:pPr>
              <w:rPr>
                <w:rFonts w:ascii="Calibri" w:hAnsi="Calibri" w:cs="Calibri"/>
                <w:b/>
              </w:rPr>
            </w:pPr>
            <w:r w:rsidRPr="0035461C">
              <w:rPr>
                <w:rFonts w:ascii="Calibri" w:hAnsi="Calibri" w:cs="Calibri"/>
                <w:b/>
              </w:rPr>
              <w:t>Psychosocial Issues</w:t>
            </w:r>
          </w:p>
        </w:tc>
        <w:tc>
          <w:tcPr>
            <w:tcW w:w="6469" w:type="dxa"/>
          </w:tcPr>
          <w:p w14:paraId="75199589" w14:textId="77777777" w:rsidR="00D477AD" w:rsidRPr="0035461C" w:rsidRDefault="00D477AD" w:rsidP="004839DD">
            <w:pPr>
              <w:rPr>
                <w:rFonts w:ascii="Calibri" w:hAnsi="Calibri" w:cs="Calibri"/>
              </w:rPr>
            </w:pPr>
            <w:r w:rsidRPr="0035461C">
              <w:rPr>
                <w:rFonts w:ascii="Calibri" w:hAnsi="Calibri" w:cs="Calibri"/>
              </w:rPr>
              <w:t>Monitor psychological well-being</w:t>
            </w:r>
          </w:p>
          <w:p w14:paraId="2F000F92" w14:textId="77777777" w:rsidR="00D477AD" w:rsidRPr="0035461C" w:rsidRDefault="00D477AD" w:rsidP="00D477AD">
            <w:pPr>
              <w:pStyle w:val="ListParagraph"/>
              <w:numPr>
                <w:ilvl w:val="0"/>
                <w:numId w:val="20"/>
              </w:numPr>
              <w:rPr>
                <w:rFonts w:ascii="Calibri" w:hAnsi="Calibri" w:cs="Calibri"/>
              </w:rPr>
            </w:pPr>
            <w:r w:rsidRPr="0035461C">
              <w:rPr>
                <w:rFonts w:ascii="Calibri" w:hAnsi="Calibri" w:cs="Calibri"/>
              </w:rPr>
              <w:t>diabetes-specific distress</w:t>
            </w:r>
          </w:p>
          <w:p w14:paraId="718096EB" w14:textId="77777777" w:rsidR="00D477AD" w:rsidRPr="0035461C" w:rsidRDefault="00D477AD" w:rsidP="00D477AD">
            <w:pPr>
              <w:pStyle w:val="ListParagraph"/>
              <w:numPr>
                <w:ilvl w:val="0"/>
                <w:numId w:val="20"/>
              </w:numPr>
              <w:rPr>
                <w:rFonts w:ascii="Calibri" w:hAnsi="Calibri" w:cs="Calibri"/>
              </w:rPr>
            </w:pPr>
            <w:r w:rsidRPr="0035461C">
              <w:rPr>
                <w:rFonts w:ascii="Calibri" w:hAnsi="Calibri" w:cs="Calibri"/>
              </w:rPr>
              <w:t>depressive symptoms</w:t>
            </w:r>
          </w:p>
          <w:p w14:paraId="62DDC55A" w14:textId="4BA54232" w:rsidR="00D477AD" w:rsidRPr="0035461C" w:rsidRDefault="00D477AD" w:rsidP="00D477AD">
            <w:pPr>
              <w:pStyle w:val="ListParagraph"/>
              <w:numPr>
                <w:ilvl w:val="0"/>
                <w:numId w:val="20"/>
              </w:numPr>
              <w:rPr>
                <w:rFonts w:ascii="Calibri" w:hAnsi="Calibri" w:cs="Calibri"/>
              </w:rPr>
            </w:pPr>
            <w:r w:rsidRPr="0035461C">
              <w:rPr>
                <w:rFonts w:ascii="Calibri" w:hAnsi="Calibri" w:cs="Calibri"/>
              </w:rPr>
              <w:t>anxiety symptoms</w:t>
            </w:r>
          </w:p>
          <w:p w14:paraId="5BD5D706" w14:textId="7AED71BE" w:rsidR="00D477AD" w:rsidRPr="0035461C" w:rsidRDefault="00D477AD" w:rsidP="00D477AD">
            <w:pPr>
              <w:rPr>
                <w:rFonts w:ascii="Calibri" w:hAnsi="Calibri" w:cs="Calibri"/>
              </w:rPr>
            </w:pPr>
            <w:r w:rsidRPr="0035461C">
              <w:rPr>
                <w:rFonts w:ascii="Calibri" w:hAnsi="Calibri" w:cs="Calibri"/>
              </w:rPr>
              <w:t>Consider also the potential presence of fear of hypoglycaemia and disordered eating</w:t>
            </w:r>
          </w:p>
          <w:p w14:paraId="1144ACD9" w14:textId="77777777" w:rsidR="004839DD" w:rsidRPr="0035461C" w:rsidRDefault="004839DD" w:rsidP="004839DD">
            <w:pPr>
              <w:rPr>
                <w:rFonts w:ascii="Calibri" w:hAnsi="Calibri" w:cs="Calibri"/>
              </w:rPr>
            </w:pPr>
            <w:r w:rsidRPr="0035461C">
              <w:rPr>
                <w:rFonts w:ascii="Calibri" w:hAnsi="Calibri" w:cs="Calibri"/>
              </w:rPr>
              <w:t>Screen for social determinants of health and social support</w:t>
            </w:r>
          </w:p>
          <w:p w14:paraId="3B5EE7F5" w14:textId="0A6817C2" w:rsidR="00A567B5" w:rsidRPr="0035461C" w:rsidRDefault="004839DD" w:rsidP="004839DD">
            <w:pPr>
              <w:rPr>
                <w:rFonts w:ascii="Calibri" w:hAnsi="Calibri" w:cs="Calibri"/>
                <w:b/>
                <w:bCs/>
              </w:rPr>
            </w:pPr>
            <w:r w:rsidRPr="0035461C">
              <w:rPr>
                <w:rFonts w:ascii="Calibri" w:hAnsi="Calibri" w:cs="Calibri"/>
              </w:rPr>
              <w:t>Assess cognitive status</w:t>
            </w:r>
          </w:p>
        </w:tc>
      </w:tr>
      <w:tr w:rsidR="00A567B5" w:rsidRPr="0035461C" w14:paraId="7A994CDD" w14:textId="77777777" w:rsidTr="00B61240">
        <w:tc>
          <w:tcPr>
            <w:tcW w:w="2547" w:type="dxa"/>
          </w:tcPr>
          <w:p w14:paraId="5D2CEFB1" w14:textId="00C2D450" w:rsidR="00A567B5" w:rsidRPr="0035461C" w:rsidRDefault="004839DD" w:rsidP="004839DD">
            <w:pPr>
              <w:pStyle w:val="section1nextPara"/>
              <w:spacing w:before="120" w:after="120" w:line="240" w:lineRule="auto"/>
              <w:ind w:firstLine="0"/>
              <w:jc w:val="left"/>
              <w:rPr>
                <w:rFonts w:ascii="Calibri" w:hAnsi="Calibri" w:cs="Calibri"/>
                <w:b/>
                <w:bCs/>
                <w:sz w:val="22"/>
                <w:szCs w:val="24"/>
                <w:lang w:val="en-US"/>
              </w:rPr>
            </w:pPr>
            <w:r w:rsidRPr="0035461C">
              <w:rPr>
                <w:rFonts w:ascii="Calibri" w:hAnsi="Calibri" w:cs="Calibri"/>
                <w:b/>
                <w:sz w:val="22"/>
                <w:szCs w:val="24"/>
              </w:rPr>
              <w:t>Diabetes Self-Management Education and Support</w:t>
            </w:r>
          </w:p>
        </w:tc>
        <w:tc>
          <w:tcPr>
            <w:tcW w:w="6469" w:type="dxa"/>
          </w:tcPr>
          <w:p w14:paraId="45B61A02" w14:textId="77777777" w:rsidR="004839DD" w:rsidRPr="0035461C" w:rsidRDefault="004839DD" w:rsidP="004839DD">
            <w:pPr>
              <w:rPr>
                <w:rFonts w:ascii="Calibri" w:hAnsi="Calibri" w:cs="Calibri"/>
              </w:rPr>
            </w:pPr>
            <w:r w:rsidRPr="0035461C">
              <w:rPr>
                <w:rFonts w:ascii="Calibri" w:hAnsi="Calibri" w:cs="Calibri"/>
              </w:rPr>
              <w:t>Assess and plan for meeting individual needs</w:t>
            </w:r>
          </w:p>
          <w:p w14:paraId="36E3A1FB" w14:textId="73F70AB8" w:rsidR="004839DD" w:rsidRPr="0035461C" w:rsidRDefault="004839DD" w:rsidP="0060377A">
            <w:pPr>
              <w:pStyle w:val="ListParagraph"/>
              <w:numPr>
                <w:ilvl w:val="0"/>
                <w:numId w:val="12"/>
              </w:numPr>
              <w:rPr>
                <w:rFonts w:ascii="Calibri" w:hAnsi="Calibri" w:cs="Calibri"/>
              </w:rPr>
            </w:pPr>
            <w:r w:rsidRPr="0035461C">
              <w:rPr>
                <w:rFonts w:ascii="Calibri" w:hAnsi="Calibri" w:cs="Calibri"/>
              </w:rPr>
              <w:t xml:space="preserve">Consider contraception and pregnancy planning </w:t>
            </w:r>
          </w:p>
          <w:p w14:paraId="1FF44F77" w14:textId="5BE003E8" w:rsidR="00A567B5" w:rsidRPr="0035461C" w:rsidRDefault="00A567B5" w:rsidP="004839DD">
            <w:pPr>
              <w:rPr>
                <w:rFonts w:ascii="Calibri" w:hAnsi="Calibri" w:cs="Calibri"/>
              </w:rPr>
            </w:pPr>
          </w:p>
        </w:tc>
      </w:tr>
      <w:tr w:rsidR="00A567B5" w:rsidRPr="0035461C" w14:paraId="17466C71" w14:textId="77777777" w:rsidTr="00B61240">
        <w:tc>
          <w:tcPr>
            <w:tcW w:w="2547" w:type="dxa"/>
          </w:tcPr>
          <w:p w14:paraId="6626A2CF" w14:textId="66FCC6D5" w:rsidR="00A567B5" w:rsidRPr="0035461C" w:rsidRDefault="004839DD" w:rsidP="00A567B5">
            <w:pPr>
              <w:pStyle w:val="section1nextPara"/>
              <w:spacing w:before="120" w:after="120" w:line="240" w:lineRule="auto"/>
              <w:ind w:firstLine="0"/>
              <w:rPr>
                <w:rFonts w:ascii="Calibri" w:hAnsi="Calibri" w:cs="Calibri"/>
                <w:b/>
                <w:bCs/>
                <w:sz w:val="22"/>
                <w:szCs w:val="24"/>
                <w:lang w:val="en-US"/>
              </w:rPr>
            </w:pPr>
            <w:r w:rsidRPr="0035461C">
              <w:rPr>
                <w:rFonts w:ascii="Calibri" w:hAnsi="Calibri" w:cs="Calibri"/>
                <w:b/>
                <w:sz w:val="22"/>
                <w:szCs w:val="24"/>
              </w:rPr>
              <w:t>Physical Examination</w:t>
            </w:r>
          </w:p>
        </w:tc>
        <w:tc>
          <w:tcPr>
            <w:tcW w:w="6469" w:type="dxa"/>
          </w:tcPr>
          <w:p w14:paraId="747C9EB0" w14:textId="77777777" w:rsidR="004839DD" w:rsidRPr="0035461C" w:rsidRDefault="004839DD" w:rsidP="004839DD">
            <w:pPr>
              <w:rPr>
                <w:rFonts w:ascii="Calibri" w:hAnsi="Calibri" w:cs="Calibri"/>
              </w:rPr>
            </w:pPr>
            <w:r w:rsidRPr="0035461C">
              <w:rPr>
                <w:rFonts w:ascii="Calibri" w:hAnsi="Calibri" w:cs="Calibri"/>
              </w:rPr>
              <w:t>Height</w:t>
            </w:r>
          </w:p>
          <w:p w14:paraId="564A1FB2" w14:textId="282F7CC6" w:rsidR="004839DD" w:rsidRPr="0035461C" w:rsidRDefault="004839DD" w:rsidP="004839DD">
            <w:pPr>
              <w:rPr>
                <w:rFonts w:ascii="Calibri" w:hAnsi="Calibri" w:cs="Calibri"/>
              </w:rPr>
            </w:pPr>
            <w:r w:rsidRPr="0035461C">
              <w:rPr>
                <w:rFonts w:ascii="Calibri" w:hAnsi="Calibri" w:cs="Calibri"/>
              </w:rPr>
              <w:t>Weight, BMI: every visit</w:t>
            </w:r>
          </w:p>
          <w:p w14:paraId="74AEE107" w14:textId="12884388" w:rsidR="004839DD" w:rsidRPr="0035461C" w:rsidRDefault="004839DD" w:rsidP="004839DD">
            <w:pPr>
              <w:rPr>
                <w:rFonts w:ascii="Calibri" w:hAnsi="Calibri" w:cs="Calibri"/>
              </w:rPr>
            </w:pPr>
            <w:r w:rsidRPr="0035461C">
              <w:rPr>
                <w:rFonts w:ascii="Calibri" w:hAnsi="Calibri" w:cs="Calibri"/>
              </w:rPr>
              <w:t>Blood pressure</w:t>
            </w:r>
            <w:r w:rsidR="00353D2E" w:rsidRPr="0035461C">
              <w:rPr>
                <w:rFonts w:ascii="Calibri" w:hAnsi="Calibri" w:cs="Calibri"/>
              </w:rPr>
              <w:t xml:space="preserve"> and pulse</w:t>
            </w:r>
            <w:r w:rsidRPr="0035461C">
              <w:rPr>
                <w:rFonts w:ascii="Calibri" w:hAnsi="Calibri" w:cs="Calibri"/>
              </w:rPr>
              <w:t>:</w:t>
            </w:r>
            <w:r w:rsidR="00E615B3" w:rsidRPr="0035461C">
              <w:rPr>
                <w:rFonts w:ascii="Calibri" w:hAnsi="Calibri" w:cs="Calibri"/>
              </w:rPr>
              <w:t xml:space="preserve"> </w:t>
            </w:r>
            <w:r w:rsidRPr="0035461C">
              <w:rPr>
                <w:rFonts w:ascii="Calibri" w:hAnsi="Calibri" w:cs="Calibri"/>
              </w:rPr>
              <w:t>At least once a year</w:t>
            </w:r>
          </w:p>
          <w:p w14:paraId="138BF6B8" w14:textId="77777777" w:rsidR="004839DD" w:rsidRPr="0035461C" w:rsidRDefault="004839DD" w:rsidP="004839DD">
            <w:pPr>
              <w:rPr>
                <w:rFonts w:ascii="Calibri" w:hAnsi="Calibri" w:cs="Calibri"/>
              </w:rPr>
            </w:pPr>
            <w:r w:rsidRPr="0035461C">
              <w:rPr>
                <w:rFonts w:ascii="Calibri" w:hAnsi="Calibri" w:cs="Calibri"/>
              </w:rPr>
              <w:t>Skin including injection/infusion sites</w:t>
            </w:r>
          </w:p>
          <w:p w14:paraId="73FBC2ED" w14:textId="105E7219" w:rsidR="004839DD" w:rsidRPr="0035461C" w:rsidRDefault="004839DD" w:rsidP="0060377A">
            <w:pPr>
              <w:pStyle w:val="ListParagraph"/>
              <w:numPr>
                <w:ilvl w:val="0"/>
                <w:numId w:val="12"/>
              </w:numPr>
              <w:rPr>
                <w:rFonts w:ascii="Calibri" w:hAnsi="Calibri" w:cs="Calibri"/>
              </w:rPr>
            </w:pPr>
            <w:r w:rsidRPr="0035461C">
              <w:rPr>
                <w:rFonts w:ascii="Calibri" w:hAnsi="Calibri" w:cs="Calibri"/>
              </w:rPr>
              <w:t>every visit if skin complaints or erratic glucose readings, otherwise annual</w:t>
            </w:r>
          </w:p>
          <w:p w14:paraId="56CFDBFE" w14:textId="77777777" w:rsidR="004839DD" w:rsidRPr="0035461C" w:rsidRDefault="004839DD" w:rsidP="004839DD">
            <w:pPr>
              <w:rPr>
                <w:rFonts w:ascii="Calibri" w:hAnsi="Calibri" w:cs="Calibri"/>
              </w:rPr>
            </w:pPr>
            <w:r w:rsidRPr="0035461C">
              <w:rPr>
                <w:rFonts w:ascii="Calibri" w:hAnsi="Calibri" w:cs="Calibri"/>
              </w:rPr>
              <w:t xml:space="preserve">Cardiovascular: </w:t>
            </w:r>
          </w:p>
          <w:p w14:paraId="1C71E1D4" w14:textId="1BE5B7FB" w:rsidR="004839DD" w:rsidRPr="0035461C" w:rsidRDefault="004839DD" w:rsidP="0060377A">
            <w:pPr>
              <w:pStyle w:val="ListParagraph"/>
              <w:numPr>
                <w:ilvl w:val="0"/>
                <w:numId w:val="12"/>
              </w:numPr>
              <w:rPr>
                <w:rFonts w:ascii="Calibri" w:hAnsi="Calibri" w:cs="Calibri"/>
              </w:rPr>
            </w:pPr>
            <w:r w:rsidRPr="0035461C">
              <w:rPr>
                <w:rFonts w:ascii="Calibri" w:hAnsi="Calibri" w:cs="Calibri"/>
              </w:rPr>
              <w:t>Annual; more often if previous abnormality or symptoms</w:t>
            </w:r>
          </w:p>
          <w:p w14:paraId="7CC007A5" w14:textId="77777777" w:rsidR="004839DD" w:rsidRPr="0035461C" w:rsidRDefault="004839DD" w:rsidP="004839DD">
            <w:pPr>
              <w:rPr>
                <w:rFonts w:ascii="Calibri" w:hAnsi="Calibri" w:cs="Calibri"/>
              </w:rPr>
            </w:pPr>
            <w:r w:rsidRPr="0035461C">
              <w:rPr>
                <w:rFonts w:ascii="Calibri" w:hAnsi="Calibri" w:cs="Calibri"/>
              </w:rPr>
              <w:t>Feet</w:t>
            </w:r>
          </w:p>
          <w:p w14:paraId="7340C805" w14:textId="3E98B0AD" w:rsidR="00A567B5" w:rsidRPr="0035461C" w:rsidRDefault="004839DD" w:rsidP="0060377A">
            <w:pPr>
              <w:pStyle w:val="ListParagraph"/>
              <w:numPr>
                <w:ilvl w:val="0"/>
                <w:numId w:val="12"/>
              </w:numPr>
              <w:rPr>
                <w:rFonts w:ascii="Calibri" w:hAnsi="Calibri" w:cs="Calibri"/>
                <w:b/>
                <w:bCs/>
              </w:rPr>
            </w:pPr>
            <w:r w:rsidRPr="0035461C">
              <w:rPr>
                <w:rFonts w:ascii="Calibri" w:hAnsi="Calibri" w:cs="Calibri"/>
              </w:rPr>
              <w:t>Every visit if peripheral vascular disease, neuropathy, foot complaints or history of foot ulcer; otherwise annual</w:t>
            </w:r>
          </w:p>
        </w:tc>
      </w:tr>
      <w:tr w:rsidR="00A567B5" w:rsidRPr="0035461C" w14:paraId="63137B71" w14:textId="77777777" w:rsidTr="00B61240">
        <w:tc>
          <w:tcPr>
            <w:tcW w:w="2547" w:type="dxa"/>
          </w:tcPr>
          <w:p w14:paraId="03BAF203" w14:textId="3F792564" w:rsidR="00A567B5" w:rsidRPr="0035461C" w:rsidRDefault="004839DD" w:rsidP="004839DD">
            <w:pPr>
              <w:pStyle w:val="section1nextPara"/>
              <w:spacing w:before="120" w:after="120" w:line="240" w:lineRule="auto"/>
              <w:ind w:firstLine="0"/>
              <w:rPr>
                <w:rFonts w:ascii="Calibri" w:hAnsi="Calibri" w:cs="Calibri"/>
                <w:b/>
                <w:bCs/>
                <w:sz w:val="22"/>
                <w:szCs w:val="24"/>
                <w:lang w:val="en-US"/>
              </w:rPr>
            </w:pPr>
            <w:r w:rsidRPr="0035461C">
              <w:rPr>
                <w:rFonts w:ascii="Calibri" w:hAnsi="Calibri" w:cs="Calibri"/>
                <w:b/>
                <w:sz w:val="22"/>
                <w:szCs w:val="24"/>
              </w:rPr>
              <w:t xml:space="preserve">Laboratory Testing </w:t>
            </w:r>
          </w:p>
        </w:tc>
        <w:tc>
          <w:tcPr>
            <w:tcW w:w="6469" w:type="dxa"/>
          </w:tcPr>
          <w:p w14:paraId="22B492FC" w14:textId="25EBCA3D" w:rsidR="004839DD" w:rsidRPr="0035461C" w:rsidRDefault="004839DD" w:rsidP="004839DD">
            <w:pPr>
              <w:rPr>
                <w:rFonts w:ascii="Calibri" w:hAnsi="Calibri" w:cs="Calibri"/>
              </w:rPr>
            </w:pPr>
            <w:r w:rsidRPr="0035461C">
              <w:rPr>
                <w:rFonts w:ascii="Calibri" w:hAnsi="Calibri" w:cs="Calibri"/>
              </w:rPr>
              <w:t>HbA</w:t>
            </w:r>
            <w:r w:rsidRPr="0035461C">
              <w:rPr>
                <w:rFonts w:ascii="Calibri" w:hAnsi="Calibri" w:cs="Calibri"/>
                <w:vertAlign w:val="subscript"/>
              </w:rPr>
              <w:t>1c</w:t>
            </w:r>
            <w:r w:rsidRPr="0035461C">
              <w:rPr>
                <w:rFonts w:ascii="Calibri" w:hAnsi="Calibri" w:cs="Calibri"/>
              </w:rPr>
              <w:t xml:space="preserve"> every 3-12 months</w:t>
            </w:r>
          </w:p>
          <w:p w14:paraId="04778885" w14:textId="77777777" w:rsidR="004839DD" w:rsidRPr="0035461C" w:rsidRDefault="004839DD" w:rsidP="004839DD">
            <w:pPr>
              <w:jc w:val="both"/>
              <w:rPr>
                <w:rFonts w:ascii="Calibri" w:hAnsi="Calibri" w:cs="Calibri"/>
              </w:rPr>
            </w:pPr>
            <w:r w:rsidRPr="0035461C">
              <w:rPr>
                <w:rFonts w:ascii="Calibri" w:hAnsi="Calibri" w:cs="Calibri"/>
              </w:rPr>
              <w:t xml:space="preserve">Creatinine: annual; may be more often if kidney disease </w:t>
            </w:r>
          </w:p>
          <w:p w14:paraId="78BD07EA" w14:textId="2497BB6F" w:rsidR="004839DD" w:rsidRPr="0035461C" w:rsidRDefault="004839DD" w:rsidP="004839DD">
            <w:pPr>
              <w:rPr>
                <w:rFonts w:ascii="Calibri" w:hAnsi="Calibri" w:cs="Calibri"/>
              </w:rPr>
            </w:pPr>
            <w:r w:rsidRPr="0035461C">
              <w:rPr>
                <w:rFonts w:ascii="Calibri" w:hAnsi="Calibri" w:cs="Calibri"/>
              </w:rPr>
              <w:t xml:space="preserve">Urine </w:t>
            </w:r>
            <w:r w:rsidR="00B61240" w:rsidRPr="0035461C">
              <w:rPr>
                <w:rFonts w:ascii="Calibri" w:hAnsi="Calibri" w:cs="Calibri"/>
              </w:rPr>
              <w:t>A</w:t>
            </w:r>
            <w:r w:rsidRPr="0035461C">
              <w:rPr>
                <w:rFonts w:ascii="Calibri" w:hAnsi="Calibri" w:cs="Calibri"/>
              </w:rPr>
              <w:t>lbumin: Cr</w:t>
            </w:r>
            <w:r w:rsidR="00B61240" w:rsidRPr="0035461C">
              <w:rPr>
                <w:rFonts w:ascii="Calibri" w:hAnsi="Calibri" w:cs="Calibri"/>
              </w:rPr>
              <w:t>eatinine</w:t>
            </w:r>
            <w:r w:rsidR="00EE4A76" w:rsidRPr="0035461C">
              <w:rPr>
                <w:rFonts w:ascii="Calibri" w:hAnsi="Calibri" w:cs="Calibri"/>
              </w:rPr>
              <w:t xml:space="preserve"> ratio</w:t>
            </w:r>
            <w:r w:rsidRPr="0035461C">
              <w:rPr>
                <w:rFonts w:ascii="Calibri" w:hAnsi="Calibri" w:cs="Calibri"/>
              </w:rPr>
              <w:t xml:space="preserve">: annual </w:t>
            </w:r>
          </w:p>
          <w:p w14:paraId="06E5A5A8" w14:textId="4519E508" w:rsidR="004839DD" w:rsidRPr="0035461C" w:rsidRDefault="00B61240" w:rsidP="004839DD">
            <w:pPr>
              <w:rPr>
                <w:rFonts w:ascii="Calibri" w:hAnsi="Calibri" w:cs="Calibri"/>
              </w:rPr>
            </w:pPr>
            <w:r w:rsidRPr="0035461C">
              <w:rPr>
                <w:rFonts w:ascii="Calibri" w:hAnsi="Calibri" w:cs="Calibri"/>
              </w:rPr>
              <w:t>Lipid panel: frequency</w:t>
            </w:r>
            <w:r w:rsidR="004839DD" w:rsidRPr="0035461C">
              <w:rPr>
                <w:rFonts w:ascii="Calibri" w:hAnsi="Calibri" w:cs="Calibri"/>
              </w:rPr>
              <w:t xml:space="preserve"> depend</w:t>
            </w:r>
            <w:r w:rsidRPr="0035461C">
              <w:rPr>
                <w:rFonts w:ascii="Calibri" w:hAnsi="Calibri" w:cs="Calibri"/>
              </w:rPr>
              <w:t>ent</w:t>
            </w:r>
            <w:r w:rsidR="004839DD" w:rsidRPr="0035461C">
              <w:rPr>
                <w:rFonts w:ascii="Calibri" w:hAnsi="Calibri" w:cs="Calibri"/>
              </w:rPr>
              <w:t xml:space="preserve"> </w:t>
            </w:r>
            <w:r w:rsidR="00EE4A76" w:rsidRPr="0035461C">
              <w:rPr>
                <w:rFonts w:ascii="Calibri" w:hAnsi="Calibri" w:cs="Calibri"/>
              </w:rPr>
              <w:t xml:space="preserve">on the </w:t>
            </w:r>
            <w:r w:rsidR="004839DD" w:rsidRPr="0035461C">
              <w:rPr>
                <w:rFonts w:ascii="Calibri" w:hAnsi="Calibri" w:cs="Calibri"/>
              </w:rPr>
              <w:t>presence of previous lipid abnormality</w:t>
            </w:r>
            <w:r w:rsidRPr="0035461C">
              <w:rPr>
                <w:rFonts w:ascii="Calibri" w:hAnsi="Calibri" w:cs="Calibri"/>
              </w:rPr>
              <w:t xml:space="preserve"> or </w:t>
            </w:r>
            <w:r w:rsidR="004839DD" w:rsidRPr="0035461C">
              <w:rPr>
                <w:rFonts w:ascii="Calibri" w:hAnsi="Calibri" w:cs="Calibri"/>
              </w:rPr>
              <w:t>treatment</w:t>
            </w:r>
          </w:p>
          <w:p w14:paraId="3310C512" w14:textId="21E24C7F" w:rsidR="004839DD" w:rsidRPr="0035461C" w:rsidRDefault="004839DD" w:rsidP="004839DD">
            <w:pPr>
              <w:rPr>
                <w:rFonts w:ascii="Calibri" w:hAnsi="Calibri" w:cs="Calibri"/>
              </w:rPr>
            </w:pPr>
            <w:r w:rsidRPr="0035461C">
              <w:rPr>
                <w:rFonts w:ascii="Calibri" w:hAnsi="Calibri" w:cs="Calibri"/>
              </w:rPr>
              <w:t>ALT</w:t>
            </w:r>
            <w:r w:rsidR="00EE4A76" w:rsidRPr="0035461C">
              <w:rPr>
                <w:rFonts w:ascii="Calibri" w:hAnsi="Calibri" w:cs="Calibri"/>
              </w:rPr>
              <w:t xml:space="preserve"> and AST</w:t>
            </w:r>
            <w:r w:rsidRPr="0035461C">
              <w:rPr>
                <w:rFonts w:ascii="Calibri" w:hAnsi="Calibri" w:cs="Calibri"/>
              </w:rPr>
              <w:t xml:space="preserve">: </w:t>
            </w:r>
            <w:r w:rsidR="00B61240" w:rsidRPr="0035461C">
              <w:rPr>
                <w:rFonts w:ascii="Calibri" w:hAnsi="Calibri" w:cs="Calibri"/>
              </w:rPr>
              <w:t>at least once and as indicated clinically</w:t>
            </w:r>
          </w:p>
          <w:p w14:paraId="5D34C0E4" w14:textId="77777777" w:rsidR="00B61240" w:rsidRPr="0035461C" w:rsidRDefault="004839DD" w:rsidP="00B61240">
            <w:pPr>
              <w:rPr>
                <w:rFonts w:ascii="Calibri" w:hAnsi="Calibri" w:cs="Calibri"/>
              </w:rPr>
            </w:pPr>
            <w:r w:rsidRPr="0035461C">
              <w:rPr>
                <w:rFonts w:ascii="Calibri" w:hAnsi="Calibri" w:cs="Calibri"/>
              </w:rPr>
              <w:t>Serum potassium (if taking ACE-I, ARB or diuretic)</w:t>
            </w:r>
          </w:p>
          <w:p w14:paraId="35E31117" w14:textId="503A83B0" w:rsidR="00A567B5" w:rsidRPr="0035461C" w:rsidRDefault="004839DD" w:rsidP="00BD3BC2">
            <w:pPr>
              <w:rPr>
                <w:rFonts w:ascii="Calibri" w:hAnsi="Calibri" w:cs="Calibri"/>
              </w:rPr>
            </w:pPr>
            <w:r w:rsidRPr="0035461C">
              <w:rPr>
                <w:rFonts w:ascii="Calibri" w:hAnsi="Calibri" w:cs="Calibri"/>
              </w:rPr>
              <w:t xml:space="preserve">TSH, </w:t>
            </w:r>
            <w:r w:rsidR="00BD3BC2" w:rsidRPr="0035461C">
              <w:rPr>
                <w:rFonts w:ascii="Calibri" w:hAnsi="Calibri" w:cs="Calibri"/>
              </w:rPr>
              <w:t xml:space="preserve">vitamin B12, </w:t>
            </w:r>
            <w:r w:rsidR="00B51C49">
              <w:rPr>
                <w:rFonts w:ascii="Calibri" w:hAnsi="Calibri" w:cs="Calibri"/>
              </w:rPr>
              <w:t xml:space="preserve">vitamin D, </w:t>
            </w:r>
            <w:r w:rsidR="00BD3BC2" w:rsidRPr="0035461C">
              <w:rPr>
                <w:rFonts w:ascii="Calibri" w:hAnsi="Calibri" w:cs="Calibri"/>
              </w:rPr>
              <w:t>c</w:t>
            </w:r>
            <w:r w:rsidRPr="0035461C">
              <w:rPr>
                <w:rFonts w:ascii="Calibri" w:hAnsi="Calibri" w:cs="Calibri"/>
              </w:rPr>
              <w:t>oeliac screen:</w:t>
            </w:r>
            <w:r w:rsidR="00E615B3" w:rsidRPr="0035461C">
              <w:rPr>
                <w:rFonts w:ascii="Calibri" w:hAnsi="Calibri" w:cs="Calibri"/>
              </w:rPr>
              <w:t xml:space="preserve"> </w:t>
            </w:r>
            <w:r w:rsidRPr="0035461C">
              <w:rPr>
                <w:rFonts w:ascii="Calibri" w:hAnsi="Calibri" w:cs="Calibri"/>
              </w:rPr>
              <w:t>at least once and as indicated clinically*</w:t>
            </w:r>
          </w:p>
        </w:tc>
      </w:tr>
      <w:tr w:rsidR="00B61240" w:rsidRPr="0035461C" w14:paraId="1B650FBD" w14:textId="77777777" w:rsidTr="00B61240">
        <w:tc>
          <w:tcPr>
            <w:tcW w:w="2547" w:type="dxa"/>
          </w:tcPr>
          <w:p w14:paraId="7D7380F4" w14:textId="24BB523F" w:rsidR="00B61240" w:rsidRPr="0035461C" w:rsidRDefault="00B61240" w:rsidP="00B61240">
            <w:pPr>
              <w:pStyle w:val="section1nextPara"/>
              <w:spacing w:before="120" w:after="120" w:line="240" w:lineRule="auto"/>
              <w:ind w:firstLine="0"/>
              <w:rPr>
                <w:rFonts w:ascii="Calibri" w:hAnsi="Calibri" w:cs="Calibri"/>
                <w:b/>
                <w:bCs/>
                <w:sz w:val="22"/>
                <w:szCs w:val="24"/>
                <w:lang w:val="en-US"/>
              </w:rPr>
            </w:pPr>
            <w:r w:rsidRPr="0035461C">
              <w:rPr>
                <w:rFonts w:ascii="Calibri" w:hAnsi="Calibri" w:cs="Calibri"/>
                <w:b/>
                <w:sz w:val="22"/>
                <w:szCs w:val="24"/>
              </w:rPr>
              <w:t>Goals Setting</w:t>
            </w:r>
          </w:p>
        </w:tc>
        <w:tc>
          <w:tcPr>
            <w:tcW w:w="6469" w:type="dxa"/>
          </w:tcPr>
          <w:p w14:paraId="414F0657" w14:textId="1738520A" w:rsidR="00B61240" w:rsidRPr="0035461C" w:rsidRDefault="00B61240" w:rsidP="00B61240">
            <w:pPr>
              <w:rPr>
                <w:rFonts w:ascii="Calibri" w:hAnsi="Calibri" w:cs="Calibri"/>
              </w:rPr>
            </w:pPr>
            <w:r w:rsidRPr="0035461C">
              <w:rPr>
                <w:rFonts w:ascii="Calibri" w:hAnsi="Calibri" w:cs="Calibri"/>
              </w:rPr>
              <w:t>Individualize</w:t>
            </w:r>
            <w:r w:rsidR="00047FBF" w:rsidRPr="0035461C">
              <w:rPr>
                <w:rFonts w:ascii="Calibri" w:hAnsi="Calibri" w:cs="Calibri"/>
              </w:rPr>
              <w:t>d</w:t>
            </w:r>
            <w:r w:rsidRPr="0035461C">
              <w:rPr>
                <w:rFonts w:ascii="Calibri" w:hAnsi="Calibri" w:cs="Calibri"/>
              </w:rPr>
              <w:t xml:space="preserve">, attainable, realistic </w:t>
            </w:r>
          </w:p>
          <w:p w14:paraId="0FB30E13" w14:textId="6BFE5D3A" w:rsidR="00B61240" w:rsidRPr="0035461C" w:rsidRDefault="00D3598D" w:rsidP="0060377A">
            <w:pPr>
              <w:pStyle w:val="ListParagraph"/>
              <w:numPr>
                <w:ilvl w:val="0"/>
                <w:numId w:val="12"/>
              </w:numPr>
              <w:rPr>
                <w:rFonts w:ascii="Calibri" w:hAnsi="Calibri" w:cs="Calibri"/>
              </w:rPr>
            </w:pPr>
            <w:proofErr w:type="spellStart"/>
            <w:r w:rsidRPr="0035461C">
              <w:rPr>
                <w:rFonts w:ascii="Calibri" w:hAnsi="Calibri" w:cs="Calibri"/>
              </w:rPr>
              <w:t>Behavioural</w:t>
            </w:r>
            <w:proofErr w:type="spellEnd"/>
            <w:r w:rsidRPr="0035461C">
              <w:rPr>
                <w:rFonts w:ascii="Calibri" w:hAnsi="Calibri" w:cs="Calibri"/>
              </w:rPr>
              <w:t xml:space="preserve"> considerations</w:t>
            </w:r>
            <w:r w:rsidRPr="0035461C" w:rsidDel="00D3598D">
              <w:rPr>
                <w:rFonts w:ascii="Calibri" w:hAnsi="Calibri" w:cs="Calibri"/>
              </w:rPr>
              <w:t xml:space="preserve"> </w:t>
            </w:r>
            <w:r w:rsidR="00B61240" w:rsidRPr="0035461C">
              <w:rPr>
                <w:rFonts w:ascii="Calibri" w:hAnsi="Calibri" w:cs="Calibri"/>
              </w:rPr>
              <w:t>Diet</w:t>
            </w:r>
            <w:r w:rsidR="00EE4A76" w:rsidRPr="0035461C">
              <w:rPr>
                <w:rFonts w:ascii="Calibri" w:hAnsi="Calibri" w:cs="Calibri"/>
              </w:rPr>
              <w:t xml:space="preserve"> and nutrition</w:t>
            </w:r>
            <w:r w:rsidR="00B61240" w:rsidRPr="0035461C">
              <w:rPr>
                <w:rFonts w:ascii="Calibri" w:hAnsi="Calibri" w:cs="Calibri"/>
              </w:rPr>
              <w:t>, activity, smoking cessation</w:t>
            </w:r>
          </w:p>
          <w:p w14:paraId="3A0C4171" w14:textId="77777777" w:rsidR="00B61240" w:rsidRPr="0035461C" w:rsidRDefault="00B61240" w:rsidP="00B61240">
            <w:pPr>
              <w:rPr>
                <w:rFonts w:ascii="Calibri" w:hAnsi="Calibri" w:cs="Calibri"/>
              </w:rPr>
            </w:pPr>
            <w:r w:rsidRPr="0035461C">
              <w:rPr>
                <w:rFonts w:ascii="Calibri" w:hAnsi="Calibri" w:cs="Calibri"/>
              </w:rPr>
              <w:t>Glycaemic</w:t>
            </w:r>
          </w:p>
          <w:p w14:paraId="532707DA" w14:textId="34122AE0" w:rsidR="00B61240" w:rsidRPr="0035461C" w:rsidRDefault="00B61240" w:rsidP="0060377A">
            <w:pPr>
              <w:pStyle w:val="ListParagraph"/>
              <w:numPr>
                <w:ilvl w:val="0"/>
                <w:numId w:val="12"/>
              </w:numPr>
              <w:rPr>
                <w:rFonts w:ascii="Calibri" w:hAnsi="Calibri" w:cs="Calibri"/>
                <w:b/>
                <w:bCs/>
              </w:rPr>
            </w:pPr>
            <w:r w:rsidRPr="0035461C">
              <w:rPr>
                <w:rFonts w:ascii="Calibri" w:hAnsi="Calibri" w:cs="Calibri"/>
              </w:rPr>
              <w:t>HbA</w:t>
            </w:r>
            <w:r w:rsidRPr="0035461C">
              <w:rPr>
                <w:rFonts w:ascii="Calibri" w:hAnsi="Calibri" w:cs="Calibri"/>
                <w:vertAlign w:val="subscript"/>
              </w:rPr>
              <w:t>1c</w:t>
            </w:r>
            <w:r w:rsidRPr="0035461C">
              <w:rPr>
                <w:rFonts w:ascii="Calibri" w:hAnsi="Calibri" w:cs="Calibri"/>
              </w:rPr>
              <w:t>, time in range, hypogl</w:t>
            </w:r>
            <w:r w:rsidR="008E0C17" w:rsidRPr="0035461C">
              <w:rPr>
                <w:rFonts w:ascii="Calibri" w:hAnsi="Calibri" w:cs="Calibri"/>
              </w:rPr>
              <w:t>ycaemi</w:t>
            </w:r>
            <w:r w:rsidRPr="0035461C">
              <w:rPr>
                <w:rFonts w:ascii="Calibri" w:hAnsi="Calibri" w:cs="Calibri"/>
              </w:rPr>
              <w:t>a</w:t>
            </w:r>
          </w:p>
        </w:tc>
      </w:tr>
      <w:tr w:rsidR="00B61240" w:rsidRPr="0035461C" w14:paraId="4B13964B" w14:textId="77777777" w:rsidTr="00B61240">
        <w:tc>
          <w:tcPr>
            <w:tcW w:w="2547" w:type="dxa"/>
          </w:tcPr>
          <w:p w14:paraId="4E02B91D" w14:textId="47EECA43" w:rsidR="00B61240" w:rsidRPr="0035461C" w:rsidRDefault="00B61240" w:rsidP="00B61240">
            <w:pPr>
              <w:pStyle w:val="section1nextPara"/>
              <w:spacing w:before="120" w:after="120" w:line="240" w:lineRule="auto"/>
              <w:ind w:firstLine="0"/>
              <w:rPr>
                <w:rFonts w:ascii="Calibri" w:hAnsi="Calibri" w:cs="Calibri"/>
                <w:b/>
                <w:sz w:val="22"/>
                <w:szCs w:val="24"/>
              </w:rPr>
            </w:pPr>
            <w:r w:rsidRPr="0035461C">
              <w:rPr>
                <w:rFonts w:ascii="Calibri" w:hAnsi="Calibri" w:cs="Calibri"/>
                <w:b/>
                <w:sz w:val="22"/>
                <w:szCs w:val="24"/>
              </w:rPr>
              <w:t>Treatment Plan</w:t>
            </w:r>
          </w:p>
        </w:tc>
        <w:tc>
          <w:tcPr>
            <w:tcW w:w="6469" w:type="dxa"/>
          </w:tcPr>
          <w:p w14:paraId="59847F46" w14:textId="2ED23938" w:rsidR="00B61240" w:rsidRPr="0035461C" w:rsidRDefault="00B61240" w:rsidP="00B61240">
            <w:pPr>
              <w:rPr>
                <w:rFonts w:ascii="Calibri" w:hAnsi="Calibri" w:cs="Calibri"/>
              </w:rPr>
            </w:pPr>
            <w:r w:rsidRPr="0035461C">
              <w:rPr>
                <w:rFonts w:ascii="Calibri" w:hAnsi="Calibri" w:cs="Calibri"/>
              </w:rPr>
              <w:t xml:space="preserve">Formulate treatment plan with shared decision-making </w:t>
            </w:r>
          </w:p>
        </w:tc>
      </w:tr>
      <w:tr w:rsidR="00B61240" w:rsidRPr="0035461C" w14:paraId="5DAB214E" w14:textId="77777777" w:rsidTr="00B61240">
        <w:tc>
          <w:tcPr>
            <w:tcW w:w="2547" w:type="dxa"/>
          </w:tcPr>
          <w:p w14:paraId="117A91E5" w14:textId="51E9DAC1" w:rsidR="00B61240" w:rsidRPr="0035461C" w:rsidRDefault="00B61240" w:rsidP="00B61240">
            <w:pPr>
              <w:pStyle w:val="section1nextPara"/>
              <w:spacing w:before="120" w:after="120" w:line="240" w:lineRule="auto"/>
              <w:ind w:firstLine="0"/>
              <w:rPr>
                <w:rFonts w:ascii="Calibri" w:hAnsi="Calibri" w:cs="Calibri"/>
                <w:b/>
                <w:sz w:val="22"/>
                <w:szCs w:val="24"/>
              </w:rPr>
            </w:pPr>
            <w:r w:rsidRPr="0035461C">
              <w:rPr>
                <w:rFonts w:ascii="Calibri" w:hAnsi="Calibri" w:cs="Calibri"/>
                <w:b/>
                <w:sz w:val="22"/>
                <w:szCs w:val="24"/>
              </w:rPr>
              <w:t>Referrals</w:t>
            </w:r>
          </w:p>
        </w:tc>
        <w:tc>
          <w:tcPr>
            <w:tcW w:w="6469" w:type="dxa"/>
          </w:tcPr>
          <w:p w14:paraId="263BC2C1" w14:textId="306FA7CA" w:rsidR="00B61240" w:rsidRPr="0035461C" w:rsidRDefault="00B61240" w:rsidP="00B61240">
            <w:pPr>
              <w:rPr>
                <w:rFonts w:ascii="Calibri" w:hAnsi="Calibri" w:cs="Calibri"/>
              </w:rPr>
            </w:pPr>
            <w:r w:rsidRPr="0035461C">
              <w:rPr>
                <w:rFonts w:ascii="Calibri" w:hAnsi="Calibri" w:cs="Calibri"/>
              </w:rPr>
              <w:t>As needed:</w:t>
            </w:r>
            <w:r w:rsidR="00E615B3" w:rsidRPr="0035461C">
              <w:rPr>
                <w:rFonts w:ascii="Calibri" w:hAnsi="Calibri" w:cs="Calibri"/>
              </w:rPr>
              <w:t xml:space="preserve"> </w:t>
            </w:r>
            <w:r w:rsidRPr="0035461C">
              <w:rPr>
                <w:rFonts w:ascii="Calibri" w:hAnsi="Calibri" w:cs="Calibri"/>
              </w:rPr>
              <w:t xml:space="preserve">podiatry, cardiology, nephrology, </w:t>
            </w:r>
            <w:r w:rsidR="00B51C49">
              <w:rPr>
                <w:rFonts w:ascii="Calibri" w:hAnsi="Calibri" w:cs="Calibri"/>
              </w:rPr>
              <w:t xml:space="preserve">ophthalmology, </w:t>
            </w:r>
            <w:r w:rsidRPr="0035461C">
              <w:rPr>
                <w:rFonts w:ascii="Calibri" w:hAnsi="Calibri" w:cs="Calibri"/>
              </w:rPr>
              <w:t xml:space="preserve">vascular surgery, </w:t>
            </w:r>
            <w:proofErr w:type="spellStart"/>
            <w:r w:rsidR="00B51C49">
              <w:rPr>
                <w:rFonts w:ascii="Calibri" w:hAnsi="Calibri" w:cs="Calibri"/>
              </w:rPr>
              <w:t>gynaecology</w:t>
            </w:r>
            <w:proofErr w:type="spellEnd"/>
            <w:r w:rsidR="00B51C49">
              <w:rPr>
                <w:rFonts w:ascii="Calibri" w:hAnsi="Calibri" w:cs="Calibri"/>
              </w:rPr>
              <w:t xml:space="preserve">, </w:t>
            </w:r>
            <w:r w:rsidRPr="0035461C">
              <w:rPr>
                <w:rFonts w:ascii="Calibri" w:hAnsi="Calibri" w:cs="Calibri"/>
              </w:rPr>
              <w:t>others</w:t>
            </w:r>
          </w:p>
        </w:tc>
      </w:tr>
    </w:tbl>
    <w:p w14:paraId="5638014B" w14:textId="3BE46B19" w:rsidR="00A567B5" w:rsidRPr="0035461C" w:rsidRDefault="00A567B5" w:rsidP="00A567B5">
      <w:pPr>
        <w:rPr>
          <w:rFonts w:ascii="Calibri" w:hAnsi="Calibri" w:cs="Calibri"/>
        </w:rPr>
      </w:pPr>
    </w:p>
    <w:p w14:paraId="3D96774F" w14:textId="7F1513FE" w:rsidR="00B61240" w:rsidRPr="0035461C" w:rsidRDefault="00A567B5" w:rsidP="00A567B5">
      <w:pPr>
        <w:spacing w:before="120"/>
        <w:jc w:val="both"/>
        <w:rPr>
          <w:rFonts w:ascii="Calibri" w:hAnsi="Calibri" w:cs="Calibri"/>
        </w:rPr>
      </w:pPr>
      <w:r w:rsidRPr="0035461C">
        <w:rPr>
          <w:rFonts w:ascii="Calibri" w:hAnsi="Calibri" w:cs="Calibri"/>
        </w:rPr>
        <w:t>* Individuals with type 1 diabetes are also at increased risk for the development of other autoimmune diseases including autoimmune thyroid disorders</w:t>
      </w:r>
      <w:r w:rsidR="00BD3BC2" w:rsidRPr="0035461C">
        <w:rPr>
          <w:rFonts w:ascii="Calibri" w:hAnsi="Calibri" w:cs="Calibri"/>
        </w:rPr>
        <w:t xml:space="preserve">, pernicious </w:t>
      </w:r>
      <w:proofErr w:type="spellStart"/>
      <w:r w:rsidR="00BD3BC2" w:rsidRPr="0035461C">
        <w:rPr>
          <w:rFonts w:ascii="Calibri" w:hAnsi="Calibri" w:cs="Calibri"/>
        </w:rPr>
        <w:t>anaemia</w:t>
      </w:r>
      <w:proofErr w:type="spellEnd"/>
      <w:r w:rsidR="009E20DE" w:rsidRPr="0035461C">
        <w:rPr>
          <w:rFonts w:ascii="Calibri" w:hAnsi="Calibri" w:cs="Calibri"/>
        </w:rPr>
        <w:t>,</w:t>
      </w:r>
      <w:r w:rsidRPr="0035461C">
        <w:rPr>
          <w:rFonts w:ascii="Calibri" w:hAnsi="Calibri" w:cs="Calibri"/>
        </w:rPr>
        <w:t xml:space="preserve"> coeliac disease</w:t>
      </w:r>
      <w:r w:rsidR="00076CE0" w:rsidRPr="0035461C">
        <w:rPr>
          <w:rFonts w:ascii="Calibri" w:hAnsi="Calibri" w:cs="Calibri"/>
        </w:rPr>
        <w:t>, collagen vascular diseases, and Addison's disease</w:t>
      </w:r>
      <w:r w:rsidR="004F204A" w:rsidRPr="0035461C">
        <w:rPr>
          <w:rFonts w:ascii="Calibri" w:hAnsi="Calibri" w:cs="Calibri"/>
        </w:rPr>
        <w:t xml:space="preserve"> </w:t>
      </w:r>
      <w:r w:rsidR="004F204A" w:rsidRPr="0035461C">
        <w:rPr>
          <w:rFonts w:ascii="Calibri" w:hAnsi="Calibri" w:cs="Calibri"/>
        </w:rPr>
        <w:fldChar w:fldCharType="begin"/>
      </w:r>
      <w:r w:rsidR="00CE0E7B">
        <w:rPr>
          <w:rFonts w:ascii="Calibri" w:hAnsi="Calibri" w:cs="Calibri"/>
        </w:rPr>
        <w:instrText xml:space="preserve"> ADDIN ZOTERO_ITEM CSL_CITATION {"citationID":"Kh4hXwH9","properties":{"formattedCitation":"(290,291)","plainCitation":"(290,291)","noteIndex":0},"citationItems":[{"id":11514,"uris":["http://zotero.org/groups/369679/items/Q9TH3R7B"],"uri":["http://zotero.org/groups/369679/items/Q9TH3R7B"],"itemData":{"id":11514,"type":"article-journal","abstract":"OBJECTIVE: Type 1 diabetes (T1DM) is associated with other autoimmune diseases (AIDs), which may have serious health consequences. The epidemiology of AIDs in T1DM is not well defined in adults with T1DM. In this cross-sectional cohort study, we sought to characterize the incident ages and prevalence of AIDs in adults with T1DM across a wide age spectrum.\nRESEARCH DESIGN AND METHODS: A total of 1,212 adults seen at the Washington University Diabetes Center from 2011 to 2018 provided informed consent for the collection of their age, sex, race, and disease onset data. We performed paired association analyses based on age at onset of T1DM. Multivariate logistic regression was used to evaluate the independent effects of sex, race, T1DM age of onset, and T1DM duration on the prevalence of an additional AID.\nRESULTS: Mean ± SD age of T1DM onset was 21.2 ± 14.4 years. AID incidence and prevalence increased with age. Female sex strongly predicted AID risk. The most prevalent T1DM-associated AIDs were thyroid disease, collagen vascular diseases, and pernicious anemia. T1DM age of onset and T1DM duration predicted AID risk. Patients with late-onset T1DM after 30 years of age had higher risks of developing additional AIDs compared with patients with younger T1DM onset.\nCONCLUSIONS: The prevalence of AIDs in patients with T1DM increases with age and female sex. Later onset of T1DM is an independent and significant risk factor for developing additional AIDs. Individuals who are diagnosed with T1DM at older ages, particularly women, should be monitored for other autoimmune conditions.","container-title":"Diabetes Care","DOI":"10.2337/dc18-1157","ISSN":"1935-5548","issue":"1","journalAbbreviation":"Diabetes Care","language":"eng","note":"PMID: 30361208\nPMCID: PMC6300704","page":"32-38","source":"PubMed","title":"Late-Onset T1DM and Older Age Predict Risk of Additional Autoimmune Disease","volume":"42","author":[{"family":"Hughes","given":"Jing W."},{"family":"Bao","given":"Yicheng K."},{"family":"Salam","given":"Maamoun"},{"family":"Joshi","given":"Prajesh"},{"family":"Kilpatrick","given":"C. Rachel"},{"family":"Juneja","given":"Kavita"},{"family":"Nieves","given":"David"},{"family":"Bouhairie","given":"Victoria"},{"family":"Jordan","given":"Olivia J."},{"family":"Blustein","given":"Erica C."},{"family":"Tobin","given":"Garry S."},{"family":"McGill","given":"Janet B."}],"issued":{"date-parts":[["2019",1]]}}},{"id":11517,"uris":["http://zotero.org/groups/369679/items/AJVIDHC3"],"uri":["http://zotero.org/groups/369679/items/AJVIDHC3"],"itemData":{"id":11517,"type":"article-journal","abstract":"OBJECTIVE: Type 1 diabetes (T1D) is frequently associated with other autoimmune diseases (AIDs). Although most of T1D patients are sporadic cases (S-T1D), 10% to 15% have a familial form (F-T1D) involving 2 or more first-degree relatives. This study evaluated the effect of T1D family aggregation and age onset on AIDs occurrence.\nMETHODS: In this observational, cross-sectional, case-control, single center study, we enrolled 115 F-T1D and 115 S-T1D patients matched for gender, age, T1D age onset, and duration. With respect to T1D age onset (before or after 18 years), both groups were further subdivided into young- or adult-onset F-T1D and young- or adult-onset S-T1D. The presence of organ-specific antibodies and/or overt AIDs was evaluated.\nRESULTS: The F-T1D group had a higher percentage of AIDs (29.8% vs 18.4%, P = .04) and a significant earlier onset of AIDs at Cox regression analysis (P = .04) than the S-T1D group. Based on multivariate analysis, the adult-onset F-T1D subgroup had the highest prevalence of both additional organ-specific antibodies (60.5%) and overt AIDs (34.9%), whereas the adult S-T1D subgroup was the least frequently involved (29.1% and 12.7%, respectively). In F-T1D patients, offsprings develop T1D and AIDs earlier than their parents do.\nCONCLUSIONS: In T1D patients, familial aggregation and adult-onset of T1D increase the risk for coexistent AIDs. These clinical predictors could guide clinicians to address T1D patients for the screening of T1D-related AIDs.","container-title":"Endocrine Practice: Official Journal of the American College of Endocrinology and the American Association of Clinical Endocrinologists","DOI":"10.1016/j.eprac.2020.09.012","ISSN":"1530-891X","issue":"2","journalAbbreviation":"Endocr Pract","language":"eng","note":"PMID: 33616044","page":"110-117","source":"PubMed","title":"Risk for Coexistent Autoimmune Diseases in Familial and Sporadic Type 1 Diabetes is Related to Age at Diabetes Onset","volume":"27","author":[{"family":"Milluzzo","given":"Agostino"},{"family":"Falorni","given":"Alberto"},{"family":"Brozzetti","given":"Annalisa"},{"family":"Pezzino","given":"Giulia"},{"family":"Tomaselli","given":"Letizia"},{"family":"Tumminia","given":"Andrea"},{"family":"Frittitta","given":"Lucia"},{"family":"Vigneri","given":"Riccardo"},{"family":"Sciacca","given":"Laura"}],"issued":{"date-parts":[["2021",2]]}}}],"schema":"https://github.com/citation-style-language/schema/raw/master/csl-citation.json"} </w:instrText>
      </w:r>
      <w:r w:rsidR="004F204A" w:rsidRPr="0035461C">
        <w:rPr>
          <w:rFonts w:ascii="Calibri" w:hAnsi="Calibri" w:cs="Calibri"/>
        </w:rPr>
        <w:fldChar w:fldCharType="separate"/>
      </w:r>
      <w:r w:rsidR="00CE0E7B" w:rsidRPr="00CE0E7B">
        <w:rPr>
          <w:rFonts w:ascii="Calibri" w:hAnsi="Calibri" w:cs="Calibri"/>
        </w:rPr>
        <w:t>(290,291)</w:t>
      </w:r>
      <w:r w:rsidR="004F204A" w:rsidRPr="0035461C">
        <w:rPr>
          <w:rFonts w:ascii="Calibri" w:hAnsi="Calibri" w:cs="Calibri"/>
        </w:rPr>
        <w:fldChar w:fldCharType="end"/>
      </w:r>
      <w:r w:rsidRPr="0035461C">
        <w:rPr>
          <w:rFonts w:ascii="Calibri" w:hAnsi="Calibri" w:cs="Calibri"/>
        </w:rPr>
        <w:t>. The optimal frequency of screening for these conditions in adults has not been established.</w:t>
      </w:r>
    </w:p>
    <w:p w14:paraId="156A22BF" w14:textId="77777777" w:rsidR="00B61240" w:rsidRPr="0035461C" w:rsidRDefault="00B61240">
      <w:pPr>
        <w:rPr>
          <w:rFonts w:ascii="Calibri" w:hAnsi="Calibri" w:cs="Calibri"/>
        </w:rPr>
      </w:pPr>
      <w:r w:rsidRPr="0035461C">
        <w:rPr>
          <w:rFonts w:ascii="Calibri" w:hAnsi="Calibri" w:cs="Calibri"/>
        </w:rPr>
        <w:br w:type="page"/>
      </w:r>
    </w:p>
    <w:p w14:paraId="593B738B" w14:textId="1E9AFF60" w:rsidR="00D71EDB" w:rsidRPr="0035461C" w:rsidRDefault="00D71EDB" w:rsidP="00D71EDB">
      <w:pPr>
        <w:spacing w:before="120"/>
        <w:rPr>
          <w:rFonts w:ascii="Calibri" w:hAnsi="Calibri" w:cs="Calibri"/>
          <w:b/>
          <w:bCs/>
          <w:shd w:val="clear" w:color="auto" w:fill="FAF8F7"/>
        </w:rPr>
      </w:pPr>
      <w:r w:rsidRPr="0035461C">
        <w:rPr>
          <w:rFonts w:ascii="Calibri" w:hAnsi="Calibri" w:cs="Calibri"/>
          <w:b/>
          <w:bCs/>
          <w:shd w:val="clear" w:color="auto" w:fill="FAF8F7"/>
        </w:rPr>
        <w:t>Table 3: Key content areas of Diabetes Self-Management Education and Support (DSMES).</w:t>
      </w:r>
    </w:p>
    <w:p w14:paraId="58CC75EF" w14:textId="145867F8" w:rsidR="00D71EDB" w:rsidRPr="0035461C" w:rsidRDefault="00D71EDB" w:rsidP="00D71EDB">
      <w:pPr>
        <w:spacing w:before="120"/>
        <w:rPr>
          <w:rFonts w:ascii="Calibri" w:hAnsi="Calibri" w:cs="Calibri"/>
          <w:bCs/>
          <w:shd w:val="clear" w:color="auto" w:fill="FAF8F7"/>
        </w:rPr>
      </w:pPr>
    </w:p>
    <w:tbl>
      <w:tblPr>
        <w:tblStyle w:val="TableGrid"/>
        <w:tblW w:w="0" w:type="auto"/>
        <w:tblLook w:val="04A0" w:firstRow="1" w:lastRow="0" w:firstColumn="1" w:lastColumn="0" w:noHBand="0" w:noVBand="1"/>
      </w:tblPr>
      <w:tblGrid>
        <w:gridCol w:w="4248"/>
        <w:gridCol w:w="4768"/>
      </w:tblGrid>
      <w:tr w:rsidR="00D71EDB" w:rsidRPr="0035461C" w14:paraId="261B37E7" w14:textId="77777777" w:rsidTr="00D71EDB">
        <w:tc>
          <w:tcPr>
            <w:tcW w:w="4248" w:type="dxa"/>
          </w:tcPr>
          <w:p w14:paraId="36D534E1" w14:textId="77777777" w:rsidR="00D71EDB" w:rsidRPr="0035461C" w:rsidRDefault="00D71EDB" w:rsidP="001434CC">
            <w:pPr>
              <w:spacing w:before="120"/>
              <w:rPr>
                <w:rFonts w:ascii="Calibri" w:hAnsi="Calibri" w:cs="Calibri"/>
                <w:b/>
                <w:bCs/>
                <w:shd w:val="clear" w:color="auto" w:fill="FAF8F7"/>
              </w:rPr>
            </w:pPr>
            <w:r w:rsidRPr="0035461C">
              <w:rPr>
                <w:rFonts w:ascii="Calibri" w:hAnsi="Calibri" w:cs="Calibri"/>
                <w:b/>
                <w:bCs/>
                <w:shd w:val="clear" w:color="auto" w:fill="FAF8F7"/>
              </w:rPr>
              <w:t>Key Content areas</w:t>
            </w:r>
          </w:p>
        </w:tc>
        <w:tc>
          <w:tcPr>
            <w:tcW w:w="4768" w:type="dxa"/>
          </w:tcPr>
          <w:p w14:paraId="2C5A7A86" w14:textId="77777777" w:rsidR="00D71EDB" w:rsidRPr="0035461C" w:rsidRDefault="00D71EDB" w:rsidP="001434CC">
            <w:pPr>
              <w:spacing w:before="120"/>
              <w:rPr>
                <w:rFonts w:ascii="Calibri" w:hAnsi="Calibri" w:cs="Calibri"/>
                <w:b/>
                <w:bCs/>
                <w:shd w:val="clear" w:color="auto" w:fill="FAF8F7"/>
              </w:rPr>
            </w:pPr>
            <w:r w:rsidRPr="0035461C">
              <w:rPr>
                <w:rFonts w:ascii="Calibri" w:hAnsi="Calibri" w:cs="Calibri"/>
                <w:b/>
                <w:bCs/>
                <w:shd w:val="clear" w:color="auto" w:fill="FAF8F7"/>
              </w:rPr>
              <w:t>Examples that focus on type 1 diabetes</w:t>
            </w:r>
          </w:p>
        </w:tc>
      </w:tr>
      <w:tr w:rsidR="00D71EDB" w:rsidRPr="0035461C" w14:paraId="4D745F07" w14:textId="77777777" w:rsidTr="00D71EDB">
        <w:tc>
          <w:tcPr>
            <w:tcW w:w="4248" w:type="dxa"/>
          </w:tcPr>
          <w:p w14:paraId="7D3C6EDB" w14:textId="77777777" w:rsidR="00D71EDB" w:rsidRPr="00270CCE" w:rsidRDefault="00D71EDB" w:rsidP="001434CC">
            <w:pPr>
              <w:spacing w:before="120"/>
              <w:rPr>
                <w:rFonts w:ascii="Calibri" w:hAnsi="Calibri" w:cs="Calibri"/>
                <w:bCs/>
                <w:sz w:val="22"/>
                <w:shd w:val="clear" w:color="auto" w:fill="FAF8F7"/>
              </w:rPr>
            </w:pPr>
            <w:r w:rsidRPr="00270CCE">
              <w:rPr>
                <w:rFonts w:ascii="Calibri" w:hAnsi="Calibri" w:cs="Calibri"/>
                <w:bCs/>
                <w:sz w:val="22"/>
                <w:shd w:val="clear" w:color="auto" w:fill="FAF8F7"/>
              </w:rPr>
              <w:t>Diabetes pathophysiology and treatment options</w:t>
            </w:r>
          </w:p>
        </w:tc>
        <w:tc>
          <w:tcPr>
            <w:tcW w:w="4768" w:type="dxa"/>
          </w:tcPr>
          <w:p w14:paraId="1275D4E0" w14:textId="77777777" w:rsidR="00D71EDB" w:rsidRPr="00270CCE" w:rsidRDefault="00D71EDB" w:rsidP="001434CC">
            <w:pPr>
              <w:spacing w:before="120"/>
              <w:rPr>
                <w:rFonts w:ascii="Calibri" w:hAnsi="Calibri" w:cs="Calibri"/>
                <w:bCs/>
                <w:sz w:val="22"/>
                <w:shd w:val="clear" w:color="auto" w:fill="FAF8F7"/>
              </w:rPr>
            </w:pPr>
            <w:r w:rsidRPr="00270CCE">
              <w:rPr>
                <w:rFonts w:ascii="Calibri" w:hAnsi="Calibri" w:cs="Calibri"/>
                <w:sz w:val="22"/>
              </w:rPr>
              <w:t>Immunology of β-cell destruction</w:t>
            </w:r>
          </w:p>
        </w:tc>
      </w:tr>
      <w:tr w:rsidR="00D71EDB" w:rsidRPr="0035461C" w14:paraId="0BECDB23" w14:textId="77777777" w:rsidTr="00D71EDB">
        <w:tc>
          <w:tcPr>
            <w:tcW w:w="4248" w:type="dxa"/>
          </w:tcPr>
          <w:p w14:paraId="046E7E97" w14:textId="77777777" w:rsidR="00D71EDB" w:rsidRPr="00270CCE" w:rsidRDefault="00D71EDB" w:rsidP="001434CC">
            <w:pPr>
              <w:spacing w:before="120"/>
              <w:rPr>
                <w:rFonts w:ascii="Calibri" w:hAnsi="Calibri" w:cs="Calibri"/>
                <w:bCs/>
                <w:sz w:val="22"/>
                <w:shd w:val="clear" w:color="auto" w:fill="FAF8F7"/>
              </w:rPr>
            </w:pPr>
            <w:r w:rsidRPr="00270CCE">
              <w:rPr>
                <w:rFonts w:ascii="Calibri" w:hAnsi="Calibri" w:cs="Calibri"/>
                <w:bCs/>
                <w:sz w:val="22"/>
                <w:shd w:val="clear" w:color="auto" w:fill="FAF8F7"/>
              </w:rPr>
              <w:t>Healthy eating</w:t>
            </w:r>
          </w:p>
        </w:tc>
        <w:tc>
          <w:tcPr>
            <w:tcW w:w="4768" w:type="dxa"/>
          </w:tcPr>
          <w:p w14:paraId="1DFB21AD" w14:textId="77777777" w:rsidR="00D71EDB" w:rsidRPr="00270CCE" w:rsidRDefault="00D71EDB" w:rsidP="001434CC">
            <w:pPr>
              <w:spacing w:before="120"/>
              <w:rPr>
                <w:rFonts w:ascii="Calibri" w:hAnsi="Calibri" w:cs="Calibri"/>
                <w:bCs/>
                <w:sz w:val="22"/>
                <w:shd w:val="clear" w:color="auto" w:fill="FAF8F7"/>
              </w:rPr>
            </w:pPr>
            <w:r w:rsidRPr="00270CCE">
              <w:rPr>
                <w:rFonts w:ascii="Calibri" w:hAnsi="Calibri" w:cs="Calibri"/>
                <w:bCs/>
                <w:sz w:val="22"/>
                <w:shd w:val="clear" w:color="auto" w:fill="FAF8F7"/>
              </w:rPr>
              <w:t>Basic and advanced carbohydrate counting versus intuitive dosing</w:t>
            </w:r>
          </w:p>
          <w:p w14:paraId="4647B3E0" w14:textId="77777777" w:rsidR="00D71EDB" w:rsidRPr="00270CCE" w:rsidRDefault="00D71EDB" w:rsidP="001434CC">
            <w:pPr>
              <w:spacing w:before="120"/>
              <w:rPr>
                <w:rFonts w:ascii="Calibri" w:hAnsi="Calibri" w:cs="Calibri"/>
                <w:bCs/>
                <w:sz w:val="22"/>
                <w:shd w:val="clear" w:color="auto" w:fill="FAF8F7"/>
              </w:rPr>
            </w:pPr>
            <w:r w:rsidRPr="00270CCE">
              <w:rPr>
                <w:rFonts w:ascii="Calibri" w:hAnsi="Calibri" w:cs="Calibri"/>
                <w:bCs/>
                <w:sz w:val="22"/>
                <w:shd w:val="clear" w:color="auto" w:fill="FAF8F7"/>
              </w:rPr>
              <w:t xml:space="preserve">Impact of composition of meals (fat, protein, glycaemic index, fiber, sugar alcohols) on glucose levels; </w:t>
            </w:r>
          </w:p>
          <w:p w14:paraId="47CC83E6" w14:textId="77777777" w:rsidR="00D71EDB" w:rsidRPr="00270CCE" w:rsidRDefault="00D71EDB" w:rsidP="001434CC">
            <w:pPr>
              <w:spacing w:before="120"/>
              <w:rPr>
                <w:rFonts w:ascii="Calibri" w:hAnsi="Calibri" w:cs="Calibri"/>
                <w:bCs/>
                <w:sz w:val="22"/>
                <w:shd w:val="clear" w:color="auto" w:fill="FAF8F7"/>
              </w:rPr>
            </w:pPr>
            <w:r w:rsidRPr="00270CCE">
              <w:rPr>
                <w:rFonts w:ascii="Calibri" w:hAnsi="Calibri" w:cs="Calibri"/>
                <w:bCs/>
                <w:sz w:val="22"/>
                <w:shd w:val="clear" w:color="auto" w:fill="FAF8F7"/>
              </w:rPr>
              <w:t xml:space="preserve">Use of technology to enhance dosing recommendations </w:t>
            </w:r>
          </w:p>
        </w:tc>
      </w:tr>
      <w:tr w:rsidR="00D71EDB" w:rsidRPr="0035461C" w14:paraId="26D839AF" w14:textId="77777777" w:rsidTr="00D71EDB">
        <w:tc>
          <w:tcPr>
            <w:tcW w:w="4248" w:type="dxa"/>
          </w:tcPr>
          <w:p w14:paraId="189F7342" w14:textId="77777777" w:rsidR="00D71EDB" w:rsidRPr="00270CCE" w:rsidRDefault="00D71EDB" w:rsidP="001434CC">
            <w:pPr>
              <w:spacing w:before="120"/>
              <w:rPr>
                <w:rFonts w:ascii="Calibri" w:hAnsi="Calibri" w:cs="Calibri"/>
                <w:bCs/>
                <w:sz w:val="22"/>
                <w:shd w:val="clear" w:color="auto" w:fill="FAF8F7"/>
              </w:rPr>
            </w:pPr>
            <w:r w:rsidRPr="00270CCE">
              <w:rPr>
                <w:rFonts w:ascii="Calibri" w:hAnsi="Calibri" w:cs="Calibri"/>
                <w:bCs/>
                <w:sz w:val="22"/>
                <w:shd w:val="clear" w:color="auto" w:fill="FAF8F7"/>
              </w:rPr>
              <w:t>Physical activity</w:t>
            </w:r>
          </w:p>
        </w:tc>
        <w:tc>
          <w:tcPr>
            <w:tcW w:w="4768" w:type="dxa"/>
          </w:tcPr>
          <w:p w14:paraId="38155E87" w14:textId="77777777" w:rsidR="00D71EDB" w:rsidRPr="00270CCE" w:rsidRDefault="00D71EDB" w:rsidP="001434CC">
            <w:pPr>
              <w:spacing w:before="120"/>
              <w:rPr>
                <w:rFonts w:ascii="Calibri" w:hAnsi="Calibri" w:cs="Calibri"/>
                <w:bCs/>
                <w:sz w:val="22"/>
                <w:shd w:val="clear" w:color="auto" w:fill="FAF8F7"/>
              </w:rPr>
            </w:pPr>
            <w:r w:rsidRPr="00270CCE">
              <w:rPr>
                <w:rFonts w:ascii="Calibri" w:hAnsi="Calibri" w:cs="Calibri"/>
                <w:bCs/>
                <w:sz w:val="22"/>
                <w:shd w:val="clear" w:color="auto" w:fill="FAF8F7"/>
              </w:rPr>
              <w:t>Impact on glucose and insulin dose recommendations</w:t>
            </w:r>
          </w:p>
        </w:tc>
      </w:tr>
      <w:tr w:rsidR="00D71EDB" w:rsidRPr="0035461C" w14:paraId="71E7EEC4" w14:textId="77777777" w:rsidTr="00D71EDB">
        <w:tc>
          <w:tcPr>
            <w:tcW w:w="4248" w:type="dxa"/>
          </w:tcPr>
          <w:p w14:paraId="5029C3D8" w14:textId="77777777" w:rsidR="00D71EDB" w:rsidRPr="00270CCE" w:rsidRDefault="00D71EDB" w:rsidP="001434CC">
            <w:pPr>
              <w:spacing w:before="120"/>
              <w:rPr>
                <w:rFonts w:ascii="Calibri" w:hAnsi="Calibri" w:cs="Calibri"/>
                <w:bCs/>
                <w:sz w:val="22"/>
                <w:shd w:val="clear" w:color="auto" w:fill="FAF8F7"/>
              </w:rPr>
            </w:pPr>
            <w:r w:rsidRPr="00270CCE">
              <w:rPr>
                <w:rFonts w:ascii="Calibri" w:hAnsi="Calibri" w:cs="Calibri"/>
                <w:bCs/>
                <w:sz w:val="22"/>
                <w:shd w:val="clear" w:color="auto" w:fill="FAF8F7"/>
              </w:rPr>
              <w:t>Medication usage</w:t>
            </w:r>
          </w:p>
        </w:tc>
        <w:tc>
          <w:tcPr>
            <w:tcW w:w="4768" w:type="dxa"/>
          </w:tcPr>
          <w:p w14:paraId="6558E2EA" w14:textId="77777777" w:rsidR="00D71EDB" w:rsidRDefault="00D71EDB" w:rsidP="001434CC">
            <w:pPr>
              <w:spacing w:before="120"/>
              <w:rPr>
                <w:rFonts w:ascii="Calibri" w:hAnsi="Calibri" w:cs="Calibri"/>
                <w:bCs/>
                <w:sz w:val="22"/>
                <w:shd w:val="clear" w:color="auto" w:fill="FAF8F7"/>
              </w:rPr>
            </w:pPr>
            <w:r w:rsidRPr="00270CCE">
              <w:rPr>
                <w:rFonts w:ascii="Calibri" w:hAnsi="Calibri" w:cs="Calibri"/>
                <w:bCs/>
                <w:sz w:val="22"/>
                <w:shd w:val="clear" w:color="auto" w:fill="FAF8F7"/>
              </w:rPr>
              <w:t>Types of available insulins</w:t>
            </w:r>
          </w:p>
          <w:p w14:paraId="6D4B0411" w14:textId="6E049AB0" w:rsidR="00786F6B" w:rsidRPr="00270CCE" w:rsidRDefault="00786F6B" w:rsidP="00786F6B">
            <w:pPr>
              <w:spacing w:before="120"/>
              <w:rPr>
                <w:rFonts w:ascii="Calibri" w:hAnsi="Calibri" w:cs="Calibri"/>
                <w:bCs/>
                <w:sz w:val="22"/>
                <w:shd w:val="clear" w:color="auto" w:fill="FAF8F7"/>
              </w:rPr>
            </w:pPr>
            <w:r>
              <w:rPr>
                <w:rFonts w:ascii="Calibri" w:hAnsi="Calibri" w:cs="Calibri"/>
                <w:bCs/>
                <w:sz w:val="22"/>
                <w:shd w:val="clear" w:color="auto" w:fill="FAF8F7"/>
              </w:rPr>
              <w:t>M</w:t>
            </w:r>
            <w:r w:rsidRPr="00786F6B">
              <w:rPr>
                <w:rFonts w:ascii="Calibri" w:hAnsi="Calibri" w:cs="Calibri"/>
                <w:bCs/>
                <w:sz w:val="22"/>
                <w:shd w:val="clear" w:color="auto" w:fill="FAF8F7"/>
              </w:rPr>
              <w:t>ethods of insulin delivery</w:t>
            </w:r>
          </w:p>
        </w:tc>
      </w:tr>
      <w:tr w:rsidR="00D71EDB" w:rsidRPr="0035461C" w14:paraId="24E945B8" w14:textId="77777777" w:rsidTr="00D71EDB">
        <w:tc>
          <w:tcPr>
            <w:tcW w:w="4248" w:type="dxa"/>
          </w:tcPr>
          <w:p w14:paraId="69BFD94D" w14:textId="77777777" w:rsidR="00D71EDB" w:rsidRPr="00270CCE" w:rsidRDefault="00D71EDB" w:rsidP="001434CC">
            <w:pPr>
              <w:spacing w:before="120"/>
              <w:rPr>
                <w:rFonts w:ascii="Calibri" w:hAnsi="Calibri" w:cs="Calibri"/>
                <w:bCs/>
                <w:sz w:val="22"/>
                <w:shd w:val="clear" w:color="auto" w:fill="FAF8F7"/>
              </w:rPr>
            </w:pPr>
            <w:r w:rsidRPr="00270CCE">
              <w:rPr>
                <w:rFonts w:ascii="Calibri" w:hAnsi="Calibri" w:cs="Calibri"/>
                <w:bCs/>
                <w:sz w:val="22"/>
                <w:shd w:val="clear" w:color="auto" w:fill="FAF8F7"/>
              </w:rPr>
              <w:t>Monitoring and using patient-generated health data (PGHD)</w:t>
            </w:r>
          </w:p>
        </w:tc>
        <w:tc>
          <w:tcPr>
            <w:tcW w:w="4768" w:type="dxa"/>
          </w:tcPr>
          <w:p w14:paraId="000041CF" w14:textId="39A69CFC" w:rsidR="00786F6B" w:rsidRPr="00270CCE" w:rsidRDefault="00D71EDB" w:rsidP="005041CD">
            <w:pPr>
              <w:spacing w:before="120"/>
              <w:rPr>
                <w:rFonts w:ascii="Calibri" w:hAnsi="Calibri" w:cs="Calibri"/>
                <w:bCs/>
                <w:sz w:val="22"/>
                <w:shd w:val="clear" w:color="auto" w:fill="FAF8F7"/>
              </w:rPr>
            </w:pPr>
            <w:r w:rsidRPr="00270CCE">
              <w:rPr>
                <w:rFonts w:ascii="Calibri" w:hAnsi="Calibri" w:cs="Calibri"/>
                <w:bCs/>
                <w:sz w:val="22"/>
                <w:shd w:val="clear" w:color="auto" w:fill="FAF8F7"/>
              </w:rPr>
              <w:t xml:space="preserve">Technology and its impact on the ability to have more frequent communication – reviewing CGM, pump </w:t>
            </w:r>
            <w:r w:rsidR="00786F6B">
              <w:rPr>
                <w:rFonts w:ascii="Calibri" w:hAnsi="Calibri" w:cs="Calibri"/>
                <w:bCs/>
                <w:sz w:val="22"/>
                <w:shd w:val="clear" w:color="auto" w:fill="FAF8F7"/>
              </w:rPr>
              <w:t xml:space="preserve">and </w:t>
            </w:r>
            <w:r w:rsidR="005041CD">
              <w:rPr>
                <w:rFonts w:ascii="Calibri" w:hAnsi="Calibri" w:cs="Calibri"/>
                <w:bCs/>
                <w:sz w:val="22"/>
                <w:shd w:val="clear" w:color="auto" w:fill="FAF8F7"/>
              </w:rPr>
              <w:t>connected insulin</w:t>
            </w:r>
            <w:r w:rsidR="00786F6B">
              <w:rPr>
                <w:rFonts w:ascii="Calibri" w:hAnsi="Calibri" w:cs="Calibri"/>
                <w:bCs/>
                <w:sz w:val="22"/>
                <w:shd w:val="clear" w:color="auto" w:fill="FAF8F7"/>
              </w:rPr>
              <w:t xml:space="preserve"> pen </w:t>
            </w:r>
            <w:r w:rsidRPr="00270CCE">
              <w:rPr>
                <w:rFonts w:ascii="Calibri" w:hAnsi="Calibri" w:cs="Calibri"/>
                <w:bCs/>
                <w:sz w:val="22"/>
                <w:shd w:val="clear" w:color="auto" w:fill="FAF8F7"/>
              </w:rPr>
              <w:t>downloads, apps</w:t>
            </w:r>
          </w:p>
        </w:tc>
      </w:tr>
      <w:tr w:rsidR="00D71EDB" w:rsidRPr="0035461C" w14:paraId="1670E124" w14:textId="77777777" w:rsidTr="00D71EDB">
        <w:tc>
          <w:tcPr>
            <w:tcW w:w="4248" w:type="dxa"/>
          </w:tcPr>
          <w:p w14:paraId="24245B12" w14:textId="77777777" w:rsidR="00D71EDB" w:rsidRPr="00270CCE" w:rsidRDefault="00D71EDB" w:rsidP="001434CC">
            <w:pPr>
              <w:spacing w:before="120"/>
              <w:rPr>
                <w:rFonts w:ascii="Calibri" w:hAnsi="Calibri" w:cs="Calibri"/>
                <w:bCs/>
                <w:sz w:val="22"/>
                <w:shd w:val="clear" w:color="auto" w:fill="FAF8F7"/>
              </w:rPr>
            </w:pPr>
            <w:r w:rsidRPr="00270CCE">
              <w:rPr>
                <w:rFonts w:ascii="Calibri" w:hAnsi="Calibri" w:cs="Calibri"/>
                <w:bCs/>
                <w:sz w:val="22"/>
                <w:shd w:val="clear" w:color="auto" w:fill="FAF8F7"/>
              </w:rPr>
              <w:t>Preventing, detecting and treating acute complications including hypoglycaemia, hyperglycaemia, diabetes ketoacidosis, sick day guidelines, and severe weather or situation crisis and diabetes supplies management</w:t>
            </w:r>
          </w:p>
        </w:tc>
        <w:tc>
          <w:tcPr>
            <w:tcW w:w="4768" w:type="dxa"/>
          </w:tcPr>
          <w:p w14:paraId="21C67DC9" w14:textId="77777777" w:rsidR="00D71EDB" w:rsidRPr="00270CCE" w:rsidRDefault="00D71EDB" w:rsidP="001434CC">
            <w:pPr>
              <w:spacing w:before="120"/>
              <w:rPr>
                <w:rFonts w:ascii="Calibri" w:hAnsi="Calibri" w:cs="Calibri"/>
                <w:bCs/>
                <w:sz w:val="22"/>
                <w:shd w:val="clear" w:color="auto" w:fill="FAF8F7"/>
              </w:rPr>
            </w:pPr>
            <w:proofErr w:type="spellStart"/>
            <w:r w:rsidRPr="00270CCE">
              <w:rPr>
                <w:rFonts w:ascii="Calibri" w:hAnsi="Calibri" w:cs="Calibri"/>
                <w:bCs/>
                <w:sz w:val="22"/>
                <w:shd w:val="clear" w:color="auto" w:fill="FAF8F7"/>
              </w:rPr>
              <w:t>Euglycaemic</w:t>
            </w:r>
            <w:proofErr w:type="spellEnd"/>
            <w:r w:rsidRPr="00270CCE">
              <w:rPr>
                <w:rFonts w:ascii="Calibri" w:hAnsi="Calibri" w:cs="Calibri"/>
                <w:bCs/>
                <w:sz w:val="22"/>
                <w:shd w:val="clear" w:color="auto" w:fill="FAF8F7"/>
              </w:rPr>
              <w:t xml:space="preserve"> DKA</w:t>
            </w:r>
          </w:p>
          <w:p w14:paraId="56D43CFE" w14:textId="7A786768" w:rsidR="00D71EDB" w:rsidRPr="00270CCE" w:rsidRDefault="00D71EDB" w:rsidP="001434CC">
            <w:pPr>
              <w:spacing w:before="120"/>
              <w:rPr>
                <w:rFonts w:ascii="Calibri" w:hAnsi="Calibri" w:cs="Calibri"/>
                <w:bCs/>
                <w:sz w:val="22"/>
                <w:shd w:val="clear" w:color="auto" w:fill="FAF8F7"/>
              </w:rPr>
            </w:pPr>
            <w:r w:rsidRPr="00270CCE">
              <w:rPr>
                <w:rFonts w:ascii="Calibri" w:hAnsi="Calibri" w:cs="Calibri"/>
                <w:bCs/>
                <w:sz w:val="22"/>
                <w:shd w:val="clear" w:color="auto" w:fill="FAF8F7"/>
              </w:rPr>
              <w:t>DKA prevention with pump</w:t>
            </w:r>
            <w:r w:rsidR="001033B6" w:rsidRPr="00270CCE">
              <w:rPr>
                <w:rFonts w:ascii="Calibri" w:hAnsi="Calibri" w:cs="Calibri"/>
                <w:bCs/>
                <w:sz w:val="22"/>
                <w:shd w:val="clear" w:color="auto" w:fill="FAF8F7"/>
              </w:rPr>
              <w:t xml:space="preserve"> u</w:t>
            </w:r>
            <w:r w:rsidRPr="00270CCE">
              <w:rPr>
                <w:rFonts w:ascii="Calibri" w:hAnsi="Calibri" w:cs="Calibri"/>
                <w:bCs/>
                <w:sz w:val="22"/>
                <w:shd w:val="clear" w:color="auto" w:fill="FAF8F7"/>
              </w:rPr>
              <w:t>s</w:t>
            </w:r>
            <w:r w:rsidR="001033B6" w:rsidRPr="00270CCE">
              <w:rPr>
                <w:rFonts w:ascii="Calibri" w:hAnsi="Calibri" w:cs="Calibri"/>
                <w:bCs/>
                <w:sz w:val="22"/>
                <w:shd w:val="clear" w:color="auto" w:fill="FAF8F7"/>
              </w:rPr>
              <w:t>e</w:t>
            </w:r>
          </w:p>
          <w:p w14:paraId="2734C639" w14:textId="77777777" w:rsidR="00D71EDB" w:rsidRPr="00270CCE" w:rsidRDefault="00D71EDB" w:rsidP="001434CC">
            <w:pPr>
              <w:spacing w:before="120"/>
              <w:rPr>
                <w:rFonts w:ascii="Calibri" w:hAnsi="Calibri" w:cs="Calibri"/>
                <w:bCs/>
                <w:sz w:val="22"/>
                <w:shd w:val="clear" w:color="auto" w:fill="FAF8F7"/>
              </w:rPr>
            </w:pPr>
            <w:r w:rsidRPr="00270CCE">
              <w:rPr>
                <w:rFonts w:ascii="Calibri" w:hAnsi="Calibri" w:cs="Calibri"/>
                <w:bCs/>
                <w:sz w:val="22"/>
                <w:shd w:val="clear" w:color="auto" w:fill="FAF8F7"/>
              </w:rPr>
              <w:t>Glucagon use</w:t>
            </w:r>
          </w:p>
          <w:p w14:paraId="2EA54C67" w14:textId="77777777" w:rsidR="00D71EDB" w:rsidRPr="00270CCE" w:rsidRDefault="00D71EDB" w:rsidP="001434CC">
            <w:pPr>
              <w:spacing w:before="120"/>
              <w:rPr>
                <w:rFonts w:ascii="Calibri" w:hAnsi="Calibri" w:cs="Calibri"/>
                <w:bCs/>
                <w:sz w:val="22"/>
                <w:shd w:val="clear" w:color="auto" w:fill="FAF8F7"/>
              </w:rPr>
            </w:pPr>
            <w:r w:rsidRPr="00270CCE">
              <w:rPr>
                <w:rFonts w:ascii="Calibri" w:hAnsi="Calibri" w:cs="Calibri"/>
                <w:bCs/>
                <w:sz w:val="22"/>
                <w:shd w:val="clear" w:color="auto" w:fill="FAF8F7"/>
              </w:rPr>
              <w:t xml:space="preserve">Ketone testing </w:t>
            </w:r>
          </w:p>
        </w:tc>
      </w:tr>
      <w:tr w:rsidR="00D71EDB" w:rsidRPr="0035461C" w14:paraId="6B6EC25C" w14:textId="77777777" w:rsidTr="00D71EDB">
        <w:tc>
          <w:tcPr>
            <w:tcW w:w="4248" w:type="dxa"/>
          </w:tcPr>
          <w:p w14:paraId="0379CDC4" w14:textId="77777777" w:rsidR="00D71EDB" w:rsidRPr="00270CCE" w:rsidRDefault="00D71EDB" w:rsidP="001434CC">
            <w:pPr>
              <w:spacing w:before="120"/>
              <w:rPr>
                <w:rFonts w:ascii="Calibri" w:hAnsi="Calibri" w:cs="Calibri"/>
                <w:bCs/>
                <w:sz w:val="22"/>
                <w:shd w:val="clear" w:color="auto" w:fill="FAF8F7"/>
              </w:rPr>
            </w:pPr>
            <w:r w:rsidRPr="00270CCE">
              <w:rPr>
                <w:rFonts w:ascii="Calibri" w:hAnsi="Calibri" w:cs="Calibri"/>
                <w:bCs/>
                <w:sz w:val="22"/>
                <w:shd w:val="clear" w:color="auto" w:fill="FAF8F7"/>
              </w:rPr>
              <w:t>Preventing, detecting and treating chronic complications including immunizations and preventive eye, foot, dental and renal examinations as indicated per the individual participant’s duration of diabetes and health status</w:t>
            </w:r>
          </w:p>
        </w:tc>
        <w:tc>
          <w:tcPr>
            <w:tcW w:w="4768" w:type="dxa"/>
          </w:tcPr>
          <w:p w14:paraId="72D787B4" w14:textId="3B43CBDC" w:rsidR="00D71EDB" w:rsidRPr="00270CCE" w:rsidRDefault="00D71EDB" w:rsidP="001434CC">
            <w:pPr>
              <w:spacing w:before="120"/>
              <w:rPr>
                <w:rFonts w:ascii="Calibri" w:hAnsi="Calibri" w:cs="Calibri"/>
                <w:bCs/>
                <w:sz w:val="22"/>
                <w:shd w:val="clear" w:color="auto" w:fill="FAF8F7"/>
              </w:rPr>
            </w:pPr>
            <w:r w:rsidRPr="00270CCE">
              <w:rPr>
                <w:rFonts w:ascii="Calibri" w:hAnsi="Calibri" w:cs="Calibri"/>
                <w:bCs/>
                <w:sz w:val="22"/>
                <w:shd w:val="clear" w:color="auto" w:fill="FAF8F7"/>
              </w:rPr>
              <w:t xml:space="preserve">Understanding the individual risk for complications in type 1 diabetes </w:t>
            </w:r>
          </w:p>
          <w:p w14:paraId="517E0ABC" w14:textId="77777777" w:rsidR="00D71EDB" w:rsidRPr="00270CCE" w:rsidRDefault="00D71EDB" w:rsidP="001434CC">
            <w:pPr>
              <w:spacing w:before="120"/>
              <w:rPr>
                <w:rFonts w:ascii="Calibri" w:hAnsi="Calibri" w:cs="Calibri"/>
                <w:bCs/>
                <w:sz w:val="22"/>
                <w:shd w:val="clear" w:color="auto" w:fill="FAF8F7"/>
              </w:rPr>
            </w:pPr>
            <w:r w:rsidRPr="00270CCE">
              <w:rPr>
                <w:rFonts w:ascii="Calibri" w:hAnsi="Calibri" w:cs="Calibri"/>
                <w:bCs/>
                <w:sz w:val="22"/>
                <w:shd w:val="clear" w:color="auto" w:fill="FAF8F7"/>
              </w:rPr>
              <w:t>How to prevent development and progression of complications in the future</w:t>
            </w:r>
          </w:p>
        </w:tc>
      </w:tr>
      <w:tr w:rsidR="00D71EDB" w:rsidRPr="0035461C" w14:paraId="1DE08341" w14:textId="77777777" w:rsidTr="00D71EDB">
        <w:tc>
          <w:tcPr>
            <w:tcW w:w="4248" w:type="dxa"/>
          </w:tcPr>
          <w:p w14:paraId="13232B20" w14:textId="77777777" w:rsidR="00D71EDB" w:rsidRPr="00270CCE" w:rsidRDefault="00D71EDB" w:rsidP="001434CC">
            <w:pPr>
              <w:spacing w:before="120"/>
              <w:rPr>
                <w:rFonts w:ascii="Calibri" w:hAnsi="Calibri" w:cs="Calibri"/>
                <w:bCs/>
                <w:sz w:val="22"/>
                <w:shd w:val="clear" w:color="auto" w:fill="FAF8F7"/>
              </w:rPr>
            </w:pPr>
            <w:r w:rsidRPr="00270CCE">
              <w:rPr>
                <w:rFonts w:ascii="Calibri" w:hAnsi="Calibri" w:cs="Calibri"/>
                <w:bCs/>
                <w:sz w:val="22"/>
                <w:shd w:val="clear" w:color="auto" w:fill="FAF8F7"/>
              </w:rPr>
              <w:t>Healthy coping with psychosocial issues and concerns</w:t>
            </w:r>
          </w:p>
        </w:tc>
        <w:tc>
          <w:tcPr>
            <w:tcW w:w="4768" w:type="dxa"/>
          </w:tcPr>
          <w:p w14:paraId="473A2D16" w14:textId="77777777" w:rsidR="00D71EDB" w:rsidRPr="00270CCE" w:rsidRDefault="00D71EDB" w:rsidP="001434CC">
            <w:pPr>
              <w:spacing w:before="120"/>
              <w:rPr>
                <w:rFonts w:ascii="Calibri" w:hAnsi="Calibri" w:cs="Calibri"/>
                <w:bCs/>
                <w:sz w:val="22"/>
                <w:shd w:val="clear" w:color="auto" w:fill="FAF8F7"/>
              </w:rPr>
            </w:pPr>
            <w:r w:rsidRPr="00270CCE">
              <w:rPr>
                <w:rFonts w:ascii="Calibri" w:hAnsi="Calibri" w:cs="Calibri"/>
                <w:bCs/>
                <w:sz w:val="22"/>
                <w:shd w:val="clear" w:color="auto" w:fill="FAF8F7"/>
              </w:rPr>
              <w:t>Discussing diabetes distress and burnout</w:t>
            </w:r>
          </w:p>
        </w:tc>
      </w:tr>
      <w:tr w:rsidR="00D71EDB" w:rsidRPr="0035461C" w14:paraId="689B2A57" w14:textId="77777777" w:rsidTr="00D71EDB">
        <w:tc>
          <w:tcPr>
            <w:tcW w:w="4248" w:type="dxa"/>
          </w:tcPr>
          <w:p w14:paraId="49181B6C" w14:textId="77777777" w:rsidR="00D71EDB" w:rsidRPr="00270CCE" w:rsidRDefault="00D71EDB" w:rsidP="001434CC">
            <w:pPr>
              <w:spacing w:before="120"/>
              <w:rPr>
                <w:rFonts w:ascii="Calibri" w:hAnsi="Calibri" w:cs="Calibri"/>
                <w:bCs/>
                <w:sz w:val="22"/>
                <w:shd w:val="clear" w:color="auto" w:fill="FAF8F7"/>
              </w:rPr>
            </w:pPr>
            <w:r w:rsidRPr="00270CCE">
              <w:rPr>
                <w:rFonts w:ascii="Calibri" w:hAnsi="Calibri" w:cs="Calibri"/>
                <w:bCs/>
                <w:sz w:val="22"/>
                <w:shd w:val="clear" w:color="auto" w:fill="FAF8F7"/>
              </w:rPr>
              <w:t>Problem solving</w:t>
            </w:r>
          </w:p>
        </w:tc>
        <w:tc>
          <w:tcPr>
            <w:tcW w:w="4768" w:type="dxa"/>
          </w:tcPr>
          <w:p w14:paraId="3CE0CAA9" w14:textId="77777777" w:rsidR="00D71EDB" w:rsidRPr="00270CCE" w:rsidRDefault="00D71EDB" w:rsidP="001434CC">
            <w:pPr>
              <w:spacing w:before="120"/>
              <w:rPr>
                <w:rFonts w:ascii="Calibri" w:hAnsi="Calibri" w:cs="Calibri"/>
                <w:bCs/>
                <w:sz w:val="22"/>
                <w:shd w:val="clear" w:color="auto" w:fill="FAF8F7"/>
              </w:rPr>
            </w:pPr>
            <w:r w:rsidRPr="00270CCE">
              <w:rPr>
                <w:rFonts w:ascii="Calibri" w:hAnsi="Calibri" w:cs="Calibri"/>
                <w:bCs/>
                <w:sz w:val="22"/>
                <w:shd w:val="clear" w:color="auto" w:fill="FAF8F7"/>
              </w:rPr>
              <w:t xml:space="preserve">Goal setting </w:t>
            </w:r>
          </w:p>
          <w:p w14:paraId="16CB99BA" w14:textId="77777777" w:rsidR="00D71EDB" w:rsidRPr="00270CCE" w:rsidRDefault="00D71EDB" w:rsidP="001434CC">
            <w:pPr>
              <w:spacing w:before="120"/>
              <w:rPr>
                <w:rFonts w:ascii="Calibri" w:hAnsi="Calibri" w:cs="Calibri"/>
                <w:bCs/>
                <w:sz w:val="22"/>
                <w:shd w:val="clear" w:color="auto" w:fill="FAF8F7"/>
              </w:rPr>
            </w:pPr>
            <w:r w:rsidRPr="00270CCE">
              <w:rPr>
                <w:rFonts w:ascii="Calibri" w:hAnsi="Calibri" w:cs="Calibri"/>
                <w:bCs/>
                <w:sz w:val="22"/>
                <w:shd w:val="clear" w:color="auto" w:fill="FAF8F7"/>
              </w:rPr>
              <w:t>Developing personal strategies to promote health and behaviour change</w:t>
            </w:r>
          </w:p>
          <w:p w14:paraId="1BD5305E" w14:textId="77777777" w:rsidR="00D71EDB" w:rsidRPr="00270CCE" w:rsidRDefault="00D71EDB" w:rsidP="001434CC">
            <w:pPr>
              <w:spacing w:before="120"/>
              <w:rPr>
                <w:rFonts w:ascii="Calibri" w:hAnsi="Calibri" w:cs="Calibri"/>
                <w:bCs/>
                <w:sz w:val="22"/>
                <w:shd w:val="clear" w:color="auto" w:fill="FAF8F7"/>
              </w:rPr>
            </w:pPr>
            <w:r w:rsidRPr="00270CCE">
              <w:rPr>
                <w:rFonts w:ascii="Calibri" w:hAnsi="Calibri" w:cs="Calibri"/>
                <w:bCs/>
                <w:sz w:val="22"/>
                <w:shd w:val="clear" w:color="auto" w:fill="FAF8F7"/>
              </w:rPr>
              <w:t>Problem identification and solutions</w:t>
            </w:r>
          </w:p>
          <w:p w14:paraId="5CAD37AD" w14:textId="77777777" w:rsidR="00D71EDB" w:rsidRPr="00270CCE" w:rsidRDefault="00D71EDB" w:rsidP="001434CC">
            <w:pPr>
              <w:spacing w:before="120"/>
              <w:rPr>
                <w:rFonts w:ascii="Calibri" w:hAnsi="Calibri" w:cs="Calibri"/>
                <w:bCs/>
                <w:sz w:val="22"/>
                <w:shd w:val="clear" w:color="auto" w:fill="FAF8F7"/>
              </w:rPr>
            </w:pPr>
            <w:r w:rsidRPr="00270CCE">
              <w:rPr>
                <w:rFonts w:ascii="Calibri" w:hAnsi="Calibri" w:cs="Calibri"/>
                <w:bCs/>
                <w:sz w:val="22"/>
                <w:shd w:val="clear" w:color="auto" w:fill="FAF8F7"/>
              </w:rPr>
              <w:t>Identifying and accessing resources</w:t>
            </w:r>
          </w:p>
          <w:p w14:paraId="0C92BEFC" w14:textId="77777777" w:rsidR="00D71EDB" w:rsidRPr="00270CCE" w:rsidRDefault="00D71EDB" w:rsidP="001434CC">
            <w:pPr>
              <w:spacing w:before="120"/>
              <w:rPr>
                <w:rFonts w:ascii="Calibri" w:hAnsi="Calibri" w:cs="Calibri"/>
                <w:bCs/>
                <w:sz w:val="22"/>
                <w:shd w:val="clear" w:color="auto" w:fill="FAF8F7"/>
              </w:rPr>
            </w:pPr>
            <w:r w:rsidRPr="00270CCE">
              <w:rPr>
                <w:rFonts w:ascii="Calibri" w:hAnsi="Calibri" w:cs="Calibri"/>
                <w:bCs/>
                <w:sz w:val="22"/>
                <w:shd w:val="clear" w:color="auto" w:fill="FAF8F7"/>
              </w:rPr>
              <w:t>Sick day rules</w:t>
            </w:r>
          </w:p>
          <w:p w14:paraId="75930F42" w14:textId="334CC747" w:rsidR="00270CCE" w:rsidRPr="00270CCE" w:rsidRDefault="00270CCE" w:rsidP="00B24FA7">
            <w:pPr>
              <w:spacing w:before="120"/>
              <w:rPr>
                <w:rFonts w:ascii="Calibri" w:hAnsi="Calibri" w:cs="Calibri"/>
                <w:bCs/>
                <w:sz w:val="22"/>
                <w:shd w:val="clear" w:color="auto" w:fill="FAF8F7"/>
              </w:rPr>
            </w:pPr>
            <w:r w:rsidRPr="00270CCE">
              <w:rPr>
                <w:rFonts w:ascii="Calibri" w:hAnsi="Calibri" w:cs="Calibri"/>
                <w:bCs/>
                <w:sz w:val="22"/>
                <w:shd w:val="clear" w:color="auto" w:fill="FAF8F7"/>
              </w:rPr>
              <w:t xml:space="preserve">Management of pump failure or pump holiday </w:t>
            </w:r>
          </w:p>
          <w:p w14:paraId="7C3DC428" w14:textId="72DCDE2C" w:rsidR="00270CCE" w:rsidRPr="00270CCE" w:rsidRDefault="00270CCE" w:rsidP="00A75150">
            <w:pPr>
              <w:spacing w:before="120"/>
              <w:rPr>
                <w:rFonts w:ascii="Calibri" w:hAnsi="Calibri" w:cs="Calibri"/>
                <w:bCs/>
                <w:sz w:val="22"/>
                <w:shd w:val="clear" w:color="auto" w:fill="FAF8F7"/>
              </w:rPr>
            </w:pPr>
            <w:r w:rsidRPr="00270CCE">
              <w:rPr>
                <w:rFonts w:ascii="Calibri" w:hAnsi="Calibri" w:cs="Calibri"/>
                <w:bCs/>
                <w:sz w:val="22"/>
                <w:shd w:val="clear" w:color="auto" w:fill="FAF8F7"/>
              </w:rPr>
              <w:t>Planning for procedures or surgery</w:t>
            </w:r>
          </w:p>
        </w:tc>
      </w:tr>
    </w:tbl>
    <w:p w14:paraId="77BFF716" w14:textId="77777777" w:rsidR="00D71EDB" w:rsidRPr="0035461C" w:rsidRDefault="00D71EDB" w:rsidP="001D7091">
      <w:pPr>
        <w:spacing w:before="120"/>
        <w:jc w:val="both"/>
        <w:rPr>
          <w:rFonts w:ascii="Calibri" w:hAnsi="Calibri" w:cs="Calibri"/>
          <w:b/>
        </w:rPr>
      </w:pPr>
    </w:p>
    <w:p w14:paraId="4ABFA347" w14:textId="131D8C72" w:rsidR="00D71EDB" w:rsidRPr="0035461C" w:rsidRDefault="00D71EDB" w:rsidP="00D71EDB">
      <w:pPr>
        <w:spacing w:before="120"/>
        <w:rPr>
          <w:rFonts w:ascii="Calibri" w:hAnsi="Calibri" w:cs="Calibri"/>
          <w:b/>
          <w:shd w:val="clear" w:color="auto" w:fill="FAF8F7"/>
        </w:rPr>
      </w:pPr>
      <w:r w:rsidRPr="0035461C">
        <w:rPr>
          <w:rFonts w:ascii="Calibri" w:hAnsi="Calibri" w:cs="Calibri"/>
          <w:b/>
          <w:shd w:val="clear" w:color="auto" w:fill="FAF8F7"/>
        </w:rPr>
        <w:t>Table 4: Needs assessment for Diabetes Management, Education and Support</w:t>
      </w:r>
    </w:p>
    <w:p w14:paraId="34E7C591" w14:textId="77777777" w:rsidR="00D71EDB" w:rsidRPr="0035461C" w:rsidRDefault="00D71EDB" w:rsidP="00D71EDB">
      <w:pPr>
        <w:spacing w:before="120"/>
        <w:rPr>
          <w:rFonts w:ascii="Calibri" w:hAnsi="Calibri" w:cs="Calibri"/>
          <w:b/>
          <w:shd w:val="clear" w:color="auto" w:fill="FAF8F7"/>
        </w:rPr>
      </w:pPr>
    </w:p>
    <w:tbl>
      <w:tblPr>
        <w:tblStyle w:val="TableGrid"/>
        <w:tblW w:w="0" w:type="auto"/>
        <w:tblLook w:val="04A0" w:firstRow="1" w:lastRow="0" w:firstColumn="1" w:lastColumn="0" w:noHBand="0" w:noVBand="1"/>
      </w:tblPr>
      <w:tblGrid>
        <w:gridCol w:w="9016"/>
      </w:tblGrid>
      <w:tr w:rsidR="00D71EDB" w:rsidRPr="0035461C" w14:paraId="3924755C" w14:textId="77777777" w:rsidTr="001434CC">
        <w:tc>
          <w:tcPr>
            <w:tcW w:w="9016" w:type="dxa"/>
          </w:tcPr>
          <w:p w14:paraId="3A931F4C" w14:textId="77777777" w:rsidR="00D71EDB" w:rsidRPr="0035461C" w:rsidRDefault="00D71EDB" w:rsidP="001434CC">
            <w:pPr>
              <w:spacing w:before="120"/>
              <w:rPr>
                <w:rFonts w:ascii="Calibri" w:hAnsi="Calibri" w:cs="Calibri"/>
                <w:b/>
                <w:shd w:val="clear" w:color="auto" w:fill="FAF8F7"/>
              </w:rPr>
            </w:pPr>
            <w:r w:rsidRPr="0035461C">
              <w:rPr>
                <w:rFonts w:ascii="Calibri" w:hAnsi="Calibri" w:cs="Calibri"/>
                <w:b/>
                <w:shd w:val="clear" w:color="auto" w:fill="FAF8F7"/>
              </w:rPr>
              <w:t>Key assessment features</w:t>
            </w:r>
          </w:p>
        </w:tc>
      </w:tr>
      <w:tr w:rsidR="00D71EDB" w:rsidRPr="0035461C" w14:paraId="7C541E77" w14:textId="77777777" w:rsidTr="001434CC">
        <w:tc>
          <w:tcPr>
            <w:tcW w:w="9016" w:type="dxa"/>
          </w:tcPr>
          <w:p w14:paraId="46B72097" w14:textId="77777777" w:rsidR="00D71EDB" w:rsidRPr="0035461C" w:rsidRDefault="00D71EDB" w:rsidP="001434CC">
            <w:pPr>
              <w:spacing w:before="120"/>
              <w:rPr>
                <w:rFonts w:ascii="Calibri" w:hAnsi="Calibri" w:cs="Calibri"/>
                <w:shd w:val="clear" w:color="auto" w:fill="FAF8F7"/>
              </w:rPr>
            </w:pPr>
            <w:r w:rsidRPr="0035461C">
              <w:rPr>
                <w:rFonts w:ascii="Calibri" w:hAnsi="Calibri" w:cs="Calibri"/>
                <w:shd w:val="clear" w:color="auto" w:fill="FAF8F7"/>
              </w:rPr>
              <w:t>Health history</w:t>
            </w:r>
          </w:p>
          <w:p w14:paraId="7A6A1658" w14:textId="361A6F37" w:rsidR="00D71EDB" w:rsidRPr="0035461C" w:rsidRDefault="0082083B" w:rsidP="001434CC">
            <w:pPr>
              <w:spacing w:before="120"/>
              <w:rPr>
                <w:rFonts w:ascii="Calibri" w:hAnsi="Calibri" w:cs="Calibri"/>
                <w:shd w:val="clear" w:color="auto" w:fill="FAF8F7"/>
              </w:rPr>
            </w:pPr>
            <w:r>
              <w:rPr>
                <w:rFonts w:ascii="Calibri" w:hAnsi="Calibri" w:cs="Calibri"/>
                <w:shd w:val="clear" w:color="auto" w:fill="FAF8F7"/>
              </w:rPr>
              <w:t>Cognition, f</w:t>
            </w:r>
            <w:r w:rsidR="00D71EDB" w:rsidRPr="0035461C">
              <w:rPr>
                <w:rFonts w:ascii="Calibri" w:hAnsi="Calibri" w:cs="Calibri"/>
                <w:shd w:val="clear" w:color="auto" w:fill="FAF8F7"/>
              </w:rPr>
              <w:t>unctional health literacy and numeracy</w:t>
            </w:r>
          </w:p>
          <w:p w14:paraId="52E837D6" w14:textId="77777777" w:rsidR="00D71EDB" w:rsidRPr="0035461C" w:rsidRDefault="00D71EDB" w:rsidP="001434CC">
            <w:pPr>
              <w:spacing w:before="120"/>
              <w:rPr>
                <w:rFonts w:ascii="Calibri" w:hAnsi="Calibri" w:cs="Calibri"/>
                <w:shd w:val="clear" w:color="auto" w:fill="FAF8F7"/>
              </w:rPr>
            </w:pPr>
            <w:r w:rsidRPr="0035461C">
              <w:rPr>
                <w:rFonts w:ascii="Calibri" w:hAnsi="Calibri" w:cs="Calibri"/>
                <w:shd w:val="clear" w:color="auto" w:fill="FAF8F7"/>
              </w:rPr>
              <w:t>Diabetes distress and support systems</w:t>
            </w:r>
          </w:p>
          <w:p w14:paraId="31B2EEF9" w14:textId="6250D956" w:rsidR="00D71EDB" w:rsidRPr="0035461C" w:rsidRDefault="00AF6982" w:rsidP="001434CC">
            <w:pPr>
              <w:spacing w:before="120"/>
              <w:rPr>
                <w:rFonts w:ascii="Calibri" w:hAnsi="Calibri" w:cs="Calibri"/>
                <w:shd w:val="clear" w:color="auto" w:fill="FAF8F7"/>
              </w:rPr>
            </w:pPr>
            <w:r>
              <w:rPr>
                <w:rFonts w:ascii="Calibri" w:hAnsi="Calibri" w:cs="Calibri"/>
                <w:shd w:val="clear" w:color="auto" w:fill="FAF8F7"/>
              </w:rPr>
              <w:t>Religious and c</w:t>
            </w:r>
            <w:r w:rsidR="00D71EDB" w:rsidRPr="0035461C">
              <w:rPr>
                <w:rFonts w:ascii="Calibri" w:hAnsi="Calibri" w:cs="Calibri"/>
                <w:shd w:val="clear" w:color="auto" w:fill="FAF8F7"/>
              </w:rPr>
              <w:t>ultural influences</w:t>
            </w:r>
          </w:p>
          <w:p w14:paraId="3886A551" w14:textId="77777777" w:rsidR="00D71EDB" w:rsidRPr="0035461C" w:rsidRDefault="00D71EDB" w:rsidP="001434CC">
            <w:pPr>
              <w:spacing w:before="120"/>
              <w:rPr>
                <w:rFonts w:ascii="Calibri" w:hAnsi="Calibri" w:cs="Calibri"/>
                <w:shd w:val="clear" w:color="auto" w:fill="FAF8F7"/>
              </w:rPr>
            </w:pPr>
            <w:r w:rsidRPr="0035461C">
              <w:rPr>
                <w:rFonts w:ascii="Calibri" w:hAnsi="Calibri" w:cs="Calibri"/>
                <w:shd w:val="clear" w:color="auto" w:fill="FAF8F7"/>
              </w:rPr>
              <w:t>Health beliefs and attitudes</w:t>
            </w:r>
          </w:p>
          <w:p w14:paraId="2080EC9E" w14:textId="77777777" w:rsidR="00D71EDB" w:rsidRPr="0035461C" w:rsidRDefault="00D71EDB" w:rsidP="001434CC">
            <w:pPr>
              <w:spacing w:before="120"/>
              <w:rPr>
                <w:rFonts w:ascii="Calibri" w:hAnsi="Calibri" w:cs="Calibri"/>
                <w:shd w:val="clear" w:color="auto" w:fill="FAF8F7"/>
              </w:rPr>
            </w:pPr>
            <w:r w:rsidRPr="0035461C">
              <w:rPr>
                <w:rFonts w:ascii="Calibri" w:hAnsi="Calibri" w:cs="Calibri"/>
                <w:shd w:val="clear" w:color="auto" w:fill="FAF8F7"/>
              </w:rPr>
              <w:t>Physical limitations</w:t>
            </w:r>
          </w:p>
          <w:p w14:paraId="0D023B39" w14:textId="6FA1A350" w:rsidR="00D71EDB" w:rsidRPr="0035461C" w:rsidRDefault="001033B6" w:rsidP="001434CC">
            <w:pPr>
              <w:spacing w:before="120"/>
              <w:rPr>
                <w:rFonts w:ascii="Calibri" w:hAnsi="Calibri" w:cs="Calibri"/>
                <w:shd w:val="clear" w:color="auto" w:fill="FAF8F7"/>
              </w:rPr>
            </w:pPr>
            <w:r w:rsidRPr="0035461C">
              <w:rPr>
                <w:rFonts w:ascii="Calibri" w:hAnsi="Calibri" w:cs="Calibri"/>
                <w:shd w:val="clear" w:color="auto" w:fill="FAF8F7"/>
              </w:rPr>
              <w:t>Social determinants of health e.g. f</w:t>
            </w:r>
            <w:r w:rsidR="00D71EDB" w:rsidRPr="0035461C">
              <w:rPr>
                <w:rFonts w:ascii="Calibri" w:hAnsi="Calibri" w:cs="Calibri"/>
                <w:shd w:val="clear" w:color="auto" w:fill="FAF8F7"/>
              </w:rPr>
              <w:t>inancial status</w:t>
            </w:r>
          </w:p>
          <w:p w14:paraId="29A6BAAC" w14:textId="77777777" w:rsidR="00D71EDB" w:rsidRPr="0035461C" w:rsidRDefault="00D71EDB" w:rsidP="001434CC">
            <w:pPr>
              <w:spacing w:before="120"/>
              <w:rPr>
                <w:rFonts w:ascii="Calibri" w:hAnsi="Calibri" w:cs="Calibri"/>
                <w:b/>
                <w:shd w:val="clear" w:color="auto" w:fill="FAF8F7"/>
              </w:rPr>
            </w:pPr>
            <w:r w:rsidRPr="0035461C">
              <w:rPr>
                <w:rFonts w:ascii="Calibri" w:hAnsi="Calibri" w:cs="Calibri"/>
                <w:shd w:val="clear" w:color="auto" w:fill="FAF8F7"/>
              </w:rPr>
              <w:t>Barriers</w:t>
            </w:r>
          </w:p>
        </w:tc>
      </w:tr>
    </w:tbl>
    <w:p w14:paraId="4221AE19" w14:textId="77777777" w:rsidR="00D71EDB" w:rsidRPr="0035461C" w:rsidRDefault="00D71EDB" w:rsidP="00D71EDB">
      <w:pPr>
        <w:spacing w:before="120"/>
        <w:jc w:val="both"/>
        <w:rPr>
          <w:rFonts w:ascii="Calibri" w:hAnsi="Calibri" w:cs="Calibri"/>
          <w:b/>
          <w:bCs/>
          <w:sz w:val="20"/>
        </w:rPr>
      </w:pPr>
    </w:p>
    <w:p w14:paraId="638F9895" w14:textId="77777777" w:rsidR="00D71EDB" w:rsidRPr="0035461C" w:rsidRDefault="00D71EDB">
      <w:pPr>
        <w:spacing w:after="160" w:line="259" w:lineRule="auto"/>
        <w:rPr>
          <w:rFonts w:ascii="Calibri" w:hAnsi="Calibri" w:cs="Calibri"/>
          <w:b/>
        </w:rPr>
      </w:pPr>
      <w:r w:rsidRPr="0035461C">
        <w:rPr>
          <w:rFonts w:ascii="Calibri" w:hAnsi="Calibri" w:cs="Calibri"/>
          <w:b/>
        </w:rPr>
        <w:br w:type="page"/>
      </w:r>
    </w:p>
    <w:p w14:paraId="3CEC2E63" w14:textId="23D6CD7F" w:rsidR="001D7091" w:rsidRPr="0035461C" w:rsidRDefault="00B61240" w:rsidP="001D7091">
      <w:pPr>
        <w:spacing w:before="120"/>
        <w:jc w:val="both"/>
        <w:rPr>
          <w:rFonts w:ascii="Calibri" w:hAnsi="Calibri" w:cs="Calibri"/>
          <w:b/>
          <w:bCs/>
        </w:rPr>
      </w:pPr>
      <w:r w:rsidRPr="0035461C">
        <w:rPr>
          <w:rFonts w:ascii="Calibri" w:hAnsi="Calibri" w:cs="Calibri"/>
          <w:b/>
        </w:rPr>
        <w:t xml:space="preserve">Table </w:t>
      </w:r>
      <w:r w:rsidR="00632367" w:rsidRPr="0035461C">
        <w:rPr>
          <w:rFonts w:ascii="Calibri" w:hAnsi="Calibri" w:cs="Calibri"/>
          <w:b/>
        </w:rPr>
        <w:t>5</w:t>
      </w:r>
      <w:r w:rsidR="001D7091" w:rsidRPr="0035461C">
        <w:rPr>
          <w:rFonts w:ascii="Calibri" w:hAnsi="Calibri" w:cs="Calibri"/>
          <w:b/>
        </w:rPr>
        <w:t>: Non-Glycaemic Factors That Alter HbA</w:t>
      </w:r>
      <w:r w:rsidR="001D7091" w:rsidRPr="0035461C">
        <w:rPr>
          <w:rFonts w:ascii="Calibri" w:hAnsi="Calibri" w:cs="Calibri"/>
          <w:b/>
          <w:vertAlign w:val="subscript"/>
        </w:rPr>
        <w:t>1c</w:t>
      </w:r>
      <w:r w:rsidR="001D7091" w:rsidRPr="0035461C">
        <w:rPr>
          <w:rFonts w:ascii="Calibri" w:hAnsi="Calibri" w:cs="Calibri"/>
          <w:b/>
        </w:rPr>
        <w:t xml:space="preserve"> Levels</w:t>
      </w:r>
      <w:r w:rsidR="00896918" w:rsidRPr="0035461C">
        <w:rPr>
          <w:rFonts w:ascii="Calibri" w:hAnsi="Calibri" w:cs="Calibri"/>
          <w:b/>
        </w:rPr>
        <w:t xml:space="preserve"> </w:t>
      </w:r>
      <w:r w:rsidR="00732F4C" w:rsidRPr="0035461C">
        <w:rPr>
          <w:rFonts w:ascii="Calibri" w:hAnsi="Calibri" w:cs="Calibri"/>
          <w:b/>
        </w:rPr>
        <w:fldChar w:fldCharType="begin"/>
      </w:r>
      <w:r w:rsidR="00076F77">
        <w:rPr>
          <w:rFonts w:ascii="Calibri" w:hAnsi="Calibri" w:cs="Calibri"/>
          <w:b/>
        </w:rPr>
        <w:instrText xml:space="preserve"> ADDIN ZOTERO_ITEM CSL_CITATION {"citationID":"yF80BD7r","properties":{"formattedCitation":"(70)","plainCitation":"(70)","noteIndex":0},"citationItems":[{"id":11043,"uris":["http://zotero.org/groups/369679/items/69DPIDX4"],"uri":["http://zotero.org/groups/369679/items/69DPIDX4"],"itemData":{"id":11043,"type":"article-journal","abstract":"Attaining and maintaining good glycemic control is a cornerstone of diabetes care. The monitoring of glycemic control is currently based on the self-monitoring of blood glucose (SMBG) and laboratory testing for hemoglobin A1c (HbA1c), which is a surrogate biochemical marker of the average glycemia level over the previous 2-3 mo period. Although hyperglycemia is a key biochemical feature of diabetes, both the level of and exposure to high glucose, as well as glycemic variability, contribute to the pathogenesis of diabetic complications and follow different patterns in type 1 and type 2 diabetes. HbA1c provides a valuable, standardized and evidence-based parameter that is relevant for clinical decision making, but several biological and analytical confounders limit its accuracy in reflecting true glycemia. It has become apparent in recent years that other glycated proteins such as fructosamine, glycated albumin, and the nutritional monosaccharide 1,5-anhydroglucitol, as well as integrated measures from direct glucose testing by an SMBG/continuous glucose monitoring system, may provide valuable complementary data, particularly in circumstances when HbA1c results may be unreliable or are insufficient to assess the risk of adverse outcomes. Long-term associations of these alternative biomarkers of glycemia with the risk of complications need to be investigated in order to provide clinically relevant cut-off values and to validate their utility in diverse populations of diabetes patients.","container-title":"World Journal of Diabetes","DOI":"10.4239/wjd.v10.i1.1","ISSN":"1948-9358","issue":"1","journalAbbreviation":"World J Diabetes","language":"eng","note":"PMID: 30697366\nPMCID: PMC6347654","page":"1-15","source":"PubMed","title":"Update on biomarkers of glycemic control","volume":"10","author":[{"family":"Krhač","given":"Maja"},{"family":"Lovrenčić","given":"Marijana Vučić"}],"issued":{"date-parts":[["2019",1,15]]}}}],"schema":"https://github.com/citation-style-language/schema/raw/master/csl-citation.json"} </w:instrText>
      </w:r>
      <w:r w:rsidR="00732F4C" w:rsidRPr="0035461C">
        <w:rPr>
          <w:rFonts w:ascii="Calibri" w:hAnsi="Calibri" w:cs="Calibri"/>
          <w:b/>
        </w:rPr>
        <w:fldChar w:fldCharType="separate"/>
      </w:r>
      <w:r w:rsidR="00076F77" w:rsidRPr="00076F77">
        <w:rPr>
          <w:rFonts w:ascii="Calibri" w:hAnsi="Calibri" w:cs="Calibri"/>
        </w:rPr>
        <w:t>(70)</w:t>
      </w:r>
      <w:r w:rsidR="00732F4C" w:rsidRPr="0035461C">
        <w:rPr>
          <w:rFonts w:ascii="Calibri" w:hAnsi="Calibri" w:cs="Calibri"/>
          <w:b/>
        </w:rPr>
        <w:fldChar w:fldCharType="end"/>
      </w:r>
    </w:p>
    <w:p w14:paraId="4BBC4FD9" w14:textId="1DB32489" w:rsidR="001D7091" w:rsidRPr="0035461C" w:rsidRDefault="001D7091" w:rsidP="001D7091">
      <w:pPr>
        <w:rPr>
          <w:rFonts w:ascii="Calibri" w:hAnsi="Calibri" w:cs="Calibri"/>
          <w:b/>
          <w:bCs/>
          <w:i/>
          <w:iCs/>
        </w:rPr>
      </w:pPr>
    </w:p>
    <w:tbl>
      <w:tblPr>
        <w:tblStyle w:val="TableGrid"/>
        <w:tblW w:w="0" w:type="auto"/>
        <w:tblLook w:val="04A0" w:firstRow="1" w:lastRow="0" w:firstColumn="1" w:lastColumn="0" w:noHBand="0" w:noVBand="1"/>
      </w:tblPr>
      <w:tblGrid>
        <w:gridCol w:w="2263"/>
        <w:gridCol w:w="6753"/>
      </w:tblGrid>
      <w:tr w:rsidR="001D7091" w:rsidRPr="0035461C" w14:paraId="359D4533" w14:textId="77777777" w:rsidTr="000729BC">
        <w:tc>
          <w:tcPr>
            <w:tcW w:w="2263" w:type="dxa"/>
          </w:tcPr>
          <w:p w14:paraId="12F2AA86" w14:textId="466EA771" w:rsidR="001D7091" w:rsidRPr="0035461C" w:rsidRDefault="000729BC" w:rsidP="001D7091">
            <w:pPr>
              <w:rPr>
                <w:rFonts w:ascii="Calibri" w:hAnsi="Calibri" w:cs="Calibri"/>
                <w:b/>
                <w:bCs/>
                <w:iCs/>
              </w:rPr>
            </w:pPr>
            <w:r w:rsidRPr="0035461C">
              <w:rPr>
                <w:rFonts w:ascii="Calibri" w:hAnsi="Calibri" w:cs="Calibri"/>
                <w:b/>
                <w:bCs/>
                <w:iCs/>
              </w:rPr>
              <w:t>Effect on HbA</w:t>
            </w:r>
            <w:r w:rsidRPr="0035461C">
              <w:rPr>
                <w:rFonts w:ascii="Calibri" w:hAnsi="Calibri" w:cs="Calibri"/>
                <w:b/>
                <w:bCs/>
                <w:iCs/>
                <w:vertAlign w:val="subscript"/>
              </w:rPr>
              <w:t>1c</w:t>
            </w:r>
          </w:p>
        </w:tc>
        <w:tc>
          <w:tcPr>
            <w:tcW w:w="6753" w:type="dxa"/>
          </w:tcPr>
          <w:p w14:paraId="0284A43C" w14:textId="72B42673" w:rsidR="001D7091" w:rsidRPr="0035461C" w:rsidRDefault="000729BC" w:rsidP="001D7091">
            <w:pPr>
              <w:rPr>
                <w:rFonts w:ascii="Calibri" w:hAnsi="Calibri" w:cs="Calibri"/>
                <w:b/>
                <w:bCs/>
                <w:iCs/>
              </w:rPr>
            </w:pPr>
            <w:r w:rsidRPr="0035461C">
              <w:rPr>
                <w:rFonts w:ascii="Calibri" w:hAnsi="Calibri" w:cs="Calibri"/>
                <w:b/>
                <w:bCs/>
                <w:iCs/>
              </w:rPr>
              <w:t>Factor</w:t>
            </w:r>
          </w:p>
        </w:tc>
      </w:tr>
      <w:tr w:rsidR="001D7091" w:rsidRPr="0035461C" w14:paraId="21366E23" w14:textId="77777777" w:rsidTr="000729BC">
        <w:tc>
          <w:tcPr>
            <w:tcW w:w="2263" w:type="dxa"/>
          </w:tcPr>
          <w:p w14:paraId="6D74803B" w14:textId="18220D2F" w:rsidR="001D7091" w:rsidRPr="0035461C" w:rsidRDefault="000729BC" w:rsidP="001D7091">
            <w:pPr>
              <w:rPr>
                <w:rFonts w:ascii="Calibri" w:hAnsi="Calibri" w:cs="Calibri"/>
                <w:bCs/>
                <w:iCs/>
              </w:rPr>
            </w:pPr>
            <w:r w:rsidRPr="0035461C">
              <w:rPr>
                <w:rFonts w:ascii="Calibri" w:hAnsi="Calibri" w:cs="Calibri"/>
                <w:bCs/>
                <w:iCs/>
              </w:rPr>
              <w:t>Apparent increase</w:t>
            </w:r>
          </w:p>
        </w:tc>
        <w:tc>
          <w:tcPr>
            <w:tcW w:w="6753" w:type="dxa"/>
          </w:tcPr>
          <w:p w14:paraId="0FE2C0C5" w14:textId="77777777" w:rsidR="000729BC" w:rsidRPr="0035461C" w:rsidRDefault="000729BC" w:rsidP="000729BC">
            <w:pPr>
              <w:rPr>
                <w:rFonts w:ascii="Calibri" w:hAnsi="Calibri" w:cs="Calibri"/>
              </w:rPr>
            </w:pPr>
            <w:r w:rsidRPr="0035461C">
              <w:rPr>
                <w:rFonts w:ascii="Calibri" w:hAnsi="Calibri" w:cs="Calibri"/>
              </w:rPr>
              <w:t>Age</w:t>
            </w:r>
          </w:p>
          <w:p w14:paraId="090A0603" w14:textId="77777777" w:rsidR="000729BC" w:rsidRPr="0035461C" w:rsidRDefault="000729BC" w:rsidP="000729BC">
            <w:pPr>
              <w:rPr>
                <w:rFonts w:ascii="Calibri" w:hAnsi="Calibri" w:cs="Calibri"/>
              </w:rPr>
            </w:pPr>
            <w:r w:rsidRPr="0035461C">
              <w:rPr>
                <w:rFonts w:ascii="Calibri" w:hAnsi="Calibri" w:cs="Calibri"/>
              </w:rPr>
              <w:t>Ethnicity</w:t>
            </w:r>
          </w:p>
          <w:p w14:paraId="60954D4C" w14:textId="21176DE0" w:rsidR="000729BC" w:rsidRPr="0035461C" w:rsidRDefault="000729BC" w:rsidP="0060377A">
            <w:pPr>
              <w:pStyle w:val="ListParagraph"/>
              <w:numPr>
                <w:ilvl w:val="0"/>
                <w:numId w:val="12"/>
              </w:numPr>
              <w:rPr>
                <w:rFonts w:ascii="Calibri" w:hAnsi="Calibri" w:cs="Calibri"/>
              </w:rPr>
            </w:pPr>
            <w:r w:rsidRPr="0035461C">
              <w:rPr>
                <w:rFonts w:ascii="Calibri" w:hAnsi="Calibri" w:cs="Calibri"/>
              </w:rPr>
              <w:t>HbA</w:t>
            </w:r>
            <w:r w:rsidRPr="0035461C">
              <w:rPr>
                <w:rFonts w:ascii="Calibri" w:hAnsi="Calibri" w:cs="Calibri"/>
                <w:vertAlign w:val="subscript"/>
              </w:rPr>
              <w:t>1c</w:t>
            </w:r>
            <w:r w:rsidRPr="0035461C">
              <w:rPr>
                <w:rFonts w:ascii="Calibri" w:hAnsi="Calibri" w:cs="Calibri"/>
              </w:rPr>
              <w:t xml:space="preserve"> is slightly higher in African Americans than in people of white Northern European ancestry</w:t>
            </w:r>
            <w:r w:rsidR="005B29A3" w:rsidRPr="0035461C">
              <w:rPr>
                <w:rFonts w:ascii="Calibri" w:hAnsi="Calibri" w:cs="Calibri"/>
              </w:rPr>
              <w:t>*</w:t>
            </w:r>
          </w:p>
          <w:p w14:paraId="51C0EF39" w14:textId="77777777" w:rsidR="000729BC" w:rsidRPr="0035461C" w:rsidRDefault="000729BC" w:rsidP="000729BC">
            <w:pPr>
              <w:rPr>
                <w:rFonts w:ascii="Calibri" w:hAnsi="Calibri" w:cs="Calibri"/>
              </w:rPr>
            </w:pPr>
            <w:proofErr w:type="spellStart"/>
            <w:r w:rsidRPr="0035461C">
              <w:rPr>
                <w:rFonts w:ascii="Calibri" w:hAnsi="Calibri" w:cs="Calibri"/>
              </w:rPr>
              <w:t>Anaemias</w:t>
            </w:r>
            <w:proofErr w:type="spellEnd"/>
            <w:r w:rsidRPr="0035461C">
              <w:rPr>
                <w:rFonts w:ascii="Calibri" w:hAnsi="Calibri" w:cs="Calibri"/>
              </w:rPr>
              <w:t xml:space="preserve"> with decreased red cell turnover</w:t>
            </w:r>
          </w:p>
          <w:p w14:paraId="5AC33CE4" w14:textId="04B9A312" w:rsidR="000729BC" w:rsidRPr="0035461C" w:rsidRDefault="000729BC" w:rsidP="0060377A">
            <w:pPr>
              <w:pStyle w:val="ListParagraph"/>
              <w:numPr>
                <w:ilvl w:val="0"/>
                <w:numId w:val="12"/>
              </w:numPr>
              <w:rPr>
                <w:rFonts w:ascii="Calibri" w:hAnsi="Calibri" w:cs="Calibri"/>
              </w:rPr>
            </w:pPr>
            <w:r w:rsidRPr="0035461C">
              <w:rPr>
                <w:rFonts w:ascii="Calibri" w:hAnsi="Calibri" w:cs="Calibri"/>
              </w:rPr>
              <w:t>Iron, vitamin B12, folate</w:t>
            </w:r>
          </w:p>
          <w:p w14:paraId="2A68AE07" w14:textId="77777777" w:rsidR="000729BC" w:rsidRPr="0035461C" w:rsidRDefault="000729BC" w:rsidP="000729BC">
            <w:pPr>
              <w:rPr>
                <w:rFonts w:ascii="Calibri" w:hAnsi="Calibri" w:cs="Calibri"/>
              </w:rPr>
            </w:pPr>
            <w:r w:rsidRPr="0035461C">
              <w:rPr>
                <w:rFonts w:ascii="Calibri" w:hAnsi="Calibri" w:cs="Calibri"/>
              </w:rPr>
              <w:t>Severe hypertriglyceridemia</w:t>
            </w:r>
          </w:p>
          <w:p w14:paraId="22C1C6C4" w14:textId="4C160982" w:rsidR="000729BC" w:rsidRPr="0035461C" w:rsidRDefault="000729BC" w:rsidP="000729BC">
            <w:pPr>
              <w:rPr>
                <w:rFonts w:ascii="Calibri" w:hAnsi="Calibri" w:cs="Calibri"/>
              </w:rPr>
            </w:pPr>
            <w:r w:rsidRPr="0035461C">
              <w:rPr>
                <w:rFonts w:ascii="Calibri" w:hAnsi="Calibri" w:cs="Calibri"/>
              </w:rPr>
              <w:t>Severe hyperbilirubinemia</w:t>
            </w:r>
          </w:p>
          <w:p w14:paraId="7EF31548" w14:textId="77777777" w:rsidR="000729BC" w:rsidRPr="0035461C" w:rsidRDefault="000729BC" w:rsidP="000729BC">
            <w:pPr>
              <w:rPr>
                <w:rFonts w:ascii="Calibri" w:hAnsi="Calibri" w:cs="Calibri"/>
              </w:rPr>
            </w:pPr>
            <w:r w:rsidRPr="0035461C">
              <w:rPr>
                <w:rFonts w:ascii="Calibri" w:hAnsi="Calibri" w:cs="Calibri"/>
              </w:rPr>
              <w:t>Chronic alcohol consumption</w:t>
            </w:r>
          </w:p>
          <w:p w14:paraId="4E846151" w14:textId="77777777" w:rsidR="000729BC" w:rsidRPr="0035461C" w:rsidRDefault="000729BC" w:rsidP="000729BC">
            <w:pPr>
              <w:rPr>
                <w:rFonts w:ascii="Calibri" w:hAnsi="Calibri" w:cs="Calibri"/>
              </w:rPr>
            </w:pPr>
            <w:r w:rsidRPr="0035461C">
              <w:rPr>
                <w:rFonts w:ascii="Calibri" w:hAnsi="Calibri" w:cs="Calibri"/>
              </w:rPr>
              <w:t>Chronic salicylate consumption</w:t>
            </w:r>
          </w:p>
          <w:p w14:paraId="29684BF3" w14:textId="059E54B2" w:rsidR="001D7091" w:rsidRPr="0035461C" w:rsidRDefault="000729BC" w:rsidP="000729BC">
            <w:pPr>
              <w:rPr>
                <w:rFonts w:ascii="Calibri" w:hAnsi="Calibri" w:cs="Calibri"/>
                <w:bCs/>
                <w:i/>
                <w:iCs/>
              </w:rPr>
            </w:pPr>
            <w:r w:rsidRPr="0035461C">
              <w:rPr>
                <w:rFonts w:ascii="Calibri" w:hAnsi="Calibri" w:cs="Calibri"/>
              </w:rPr>
              <w:t>Chronic opioid ingestion</w:t>
            </w:r>
          </w:p>
        </w:tc>
      </w:tr>
      <w:tr w:rsidR="001D7091" w:rsidRPr="0035461C" w14:paraId="70EF8269" w14:textId="77777777" w:rsidTr="000729BC">
        <w:tc>
          <w:tcPr>
            <w:tcW w:w="2263" w:type="dxa"/>
          </w:tcPr>
          <w:p w14:paraId="402C0BC8" w14:textId="37CD266E" w:rsidR="001D7091" w:rsidRPr="0035461C" w:rsidRDefault="000729BC" w:rsidP="001D7091">
            <w:pPr>
              <w:rPr>
                <w:rFonts w:ascii="Calibri" w:hAnsi="Calibri" w:cs="Calibri"/>
                <w:bCs/>
                <w:iCs/>
              </w:rPr>
            </w:pPr>
            <w:r w:rsidRPr="0035461C">
              <w:rPr>
                <w:rFonts w:ascii="Calibri" w:hAnsi="Calibri" w:cs="Calibri"/>
                <w:bCs/>
                <w:iCs/>
              </w:rPr>
              <w:t>Apparent decrease</w:t>
            </w:r>
          </w:p>
        </w:tc>
        <w:tc>
          <w:tcPr>
            <w:tcW w:w="6753" w:type="dxa"/>
          </w:tcPr>
          <w:p w14:paraId="3F641E77" w14:textId="77777777" w:rsidR="000729BC" w:rsidRPr="0035461C" w:rsidRDefault="000729BC" w:rsidP="000729BC">
            <w:pPr>
              <w:rPr>
                <w:rFonts w:ascii="Calibri" w:hAnsi="Calibri" w:cs="Calibri"/>
              </w:rPr>
            </w:pPr>
            <w:r w:rsidRPr="0035461C">
              <w:rPr>
                <w:rFonts w:ascii="Calibri" w:hAnsi="Calibri" w:cs="Calibri"/>
              </w:rPr>
              <w:t>Pregnancy (second and third trimester)</w:t>
            </w:r>
          </w:p>
          <w:p w14:paraId="5C402E46" w14:textId="77777777" w:rsidR="000729BC" w:rsidRPr="0035461C" w:rsidRDefault="000729BC" w:rsidP="000729BC">
            <w:pPr>
              <w:rPr>
                <w:rFonts w:ascii="Calibri" w:hAnsi="Calibri" w:cs="Calibri"/>
              </w:rPr>
            </w:pPr>
            <w:proofErr w:type="spellStart"/>
            <w:r w:rsidRPr="0035461C">
              <w:rPr>
                <w:rFonts w:ascii="Calibri" w:hAnsi="Calibri" w:cs="Calibri"/>
              </w:rPr>
              <w:t>Anaemias</w:t>
            </w:r>
            <w:proofErr w:type="spellEnd"/>
            <w:r w:rsidRPr="0035461C">
              <w:rPr>
                <w:rFonts w:ascii="Calibri" w:hAnsi="Calibri" w:cs="Calibri"/>
              </w:rPr>
              <w:t xml:space="preserve"> of chronic disease</w:t>
            </w:r>
          </w:p>
          <w:p w14:paraId="1FD71A99" w14:textId="77777777" w:rsidR="000729BC" w:rsidRPr="0035461C" w:rsidRDefault="000729BC" w:rsidP="000729BC">
            <w:pPr>
              <w:rPr>
                <w:rFonts w:ascii="Calibri" w:hAnsi="Calibri" w:cs="Calibri"/>
              </w:rPr>
            </w:pPr>
            <w:proofErr w:type="spellStart"/>
            <w:r w:rsidRPr="0035461C">
              <w:rPr>
                <w:rFonts w:ascii="Calibri" w:hAnsi="Calibri" w:cs="Calibri"/>
              </w:rPr>
              <w:t>Haemolytic</w:t>
            </w:r>
            <w:proofErr w:type="spellEnd"/>
            <w:r w:rsidRPr="0035461C">
              <w:rPr>
                <w:rFonts w:ascii="Calibri" w:hAnsi="Calibri" w:cs="Calibri"/>
              </w:rPr>
              <w:t xml:space="preserve"> </w:t>
            </w:r>
            <w:proofErr w:type="spellStart"/>
            <w:r w:rsidRPr="0035461C">
              <w:rPr>
                <w:rFonts w:ascii="Calibri" w:hAnsi="Calibri" w:cs="Calibri"/>
              </w:rPr>
              <w:t>anaemia</w:t>
            </w:r>
            <w:proofErr w:type="spellEnd"/>
          </w:p>
          <w:p w14:paraId="1A24202C" w14:textId="77777777" w:rsidR="000729BC" w:rsidRPr="0035461C" w:rsidRDefault="000729BC" w:rsidP="000729BC">
            <w:pPr>
              <w:rPr>
                <w:rFonts w:ascii="Calibri" w:hAnsi="Calibri" w:cs="Calibri"/>
              </w:rPr>
            </w:pPr>
            <w:r w:rsidRPr="0035461C">
              <w:rPr>
                <w:rFonts w:ascii="Calibri" w:hAnsi="Calibri" w:cs="Calibri"/>
              </w:rPr>
              <w:t>Splenomegaly and splenectomy</w:t>
            </w:r>
          </w:p>
          <w:p w14:paraId="76F3017C" w14:textId="77777777" w:rsidR="000729BC" w:rsidRPr="0035461C" w:rsidRDefault="000729BC" w:rsidP="000729BC">
            <w:pPr>
              <w:rPr>
                <w:rFonts w:ascii="Calibri" w:hAnsi="Calibri" w:cs="Calibri"/>
              </w:rPr>
            </w:pPr>
            <w:r w:rsidRPr="0035461C">
              <w:rPr>
                <w:rFonts w:ascii="Calibri" w:hAnsi="Calibri" w:cs="Calibri"/>
              </w:rPr>
              <w:t>Acute blood loss</w:t>
            </w:r>
          </w:p>
          <w:p w14:paraId="7EF18495" w14:textId="47819342" w:rsidR="000729BC" w:rsidRPr="0035461C" w:rsidRDefault="000729BC" w:rsidP="000729BC">
            <w:pPr>
              <w:rPr>
                <w:rFonts w:ascii="Calibri" w:hAnsi="Calibri" w:cs="Calibri"/>
              </w:rPr>
            </w:pPr>
            <w:r w:rsidRPr="0035461C">
              <w:rPr>
                <w:rFonts w:ascii="Calibri" w:hAnsi="Calibri" w:cs="Calibri"/>
              </w:rPr>
              <w:t>Renal failure</w:t>
            </w:r>
          </w:p>
          <w:p w14:paraId="0AA2EACA" w14:textId="0D03A2D4" w:rsidR="000729BC" w:rsidRPr="0035461C" w:rsidRDefault="000729BC" w:rsidP="000729BC">
            <w:pPr>
              <w:rPr>
                <w:rFonts w:ascii="Calibri" w:hAnsi="Calibri" w:cs="Calibri"/>
              </w:rPr>
            </w:pPr>
            <w:r w:rsidRPr="0035461C">
              <w:rPr>
                <w:rFonts w:ascii="Calibri" w:hAnsi="Calibri" w:cs="Calibri"/>
              </w:rPr>
              <w:t xml:space="preserve">Advanced liver disease Drugs </w:t>
            </w:r>
          </w:p>
          <w:p w14:paraId="4CF2EC7D" w14:textId="77777777" w:rsidR="005135A5" w:rsidRPr="0035461C" w:rsidRDefault="000729BC" w:rsidP="0060377A">
            <w:pPr>
              <w:pStyle w:val="ListParagraph"/>
              <w:numPr>
                <w:ilvl w:val="0"/>
                <w:numId w:val="12"/>
              </w:numPr>
              <w:rPr>
                <w:rFonts w:ascii="Calibri" w:hAnsi="Calibri" w:cs="Calibri"/>
              </w:rPr>
            </w:pPr>
            <w:proofErr w:type="spellStart"/>
            <w:r w:rsidRPr="0035461C">
              <w:rPr>
                <w:rFonts w:ascii="Calibri" w:hAnsi="Calibri" w:cs="Calibri"/>
              </w:rPr>
              <w:t>Dapsone</w:t>
            </w:r>
            <w:proofErr w:type="spellEnd"/>
            <w:r w:rsidRPr="0035461C">
              <w:rPr>
                <w:rFonts w:ascii="Calibri" w:hAnsi="Calibri" w:cs="Calibri"/>
              </w:rPr>
              <w:t xml:space="preserve"> </w:t>
            </w:r>
          </w:p>
          <w:p w14:paraId="127841AA" w14:textId="66BC8AFC" w:rsidR="000729BC" w:rsidRPr="0035461C" w:rsidRDefault="005135A5" w:rsidP="0060377A">
            <w:pPr>
              <w:pStyle w:val="ListParagraph"/>
              <w:numPr>
                <w:ilvl w:val="0"/>
                <w:numId w:val="12"/>
              </w:numPr>
              <w:rPr>
                <w:rFonts w:ascii="Calibri" w:hAnsi="Calibri" w:cs="Calibri"/>
              </w:rPr>
            </w:pPr>
            <w:r w:rsidRPr="0035461C">
              <w:rPr>
                <w:rFonts w:ascii="Calibri" w:hAnsi="Calibri" w:cs="Calibri"/>
              </w:rPr>
              <w:t>T</w:t>
            </w:r>
            <w:r w:rsidR="000729BC" w:rsidRPr="0035461C">
              <w:rPr>
                <w:rFonts w:ascii="Calibri" w:hAnsi="Calibri" w:cs="Calibri"/>
              </w:rPr>
              <w:t>rimethoprim/ sulfamethoxazole</w:t>
            </w:r>
          </w:p>
          <w:p w14:paraId="7F6F4FBB" w14:textId="77777777" w:rsidR="000729BC" w:rsidRPr="0035461C" w:rsidRDefault="000729BC" w:rsidP="000729BC">
            <w:pPr>
              <w:rPr>
                <w:rFonts w:ascii="Calibri" w:hAnsi="Calibri" w:cs="Calibri"/>
              </w:rPr>
            </w:pPr>
            <w:r w:rsidRPr="0035461C">
              <w:rPr>
                <w:rFonts w:ascii="Calibri" w:hAnsi="Calibri" w:cs="Calibri"/>
              </w:rPr>
              <w:t>Vitamin E ingestion</w:t>
            </w:r>
          </w:p>
          <w:p w14:paraId="70786C40" w14:textId="77777777" w:rsidR="001D7091" w:rsidRPr="0035461C" w:rsidRDefault="000729BC" w:rsidP="001D7091">
            <w:pPr>
              <w:rPr>
                <w:rFonts w:ascii="Calibri" w:hAnsi="Calibri" w:cs="Calibri"/>
              </w:rPr>
            </w:pPr>
            <w:r w:rsidRPr="0035461C">
              <w:rPr>
                <w:rFonts w:ascii="Calibri" w:hAnsi="Calibri" w:cs="Calibri"/>
              </w:rPr>
              <w:t>Ribavirin and interferon alpha</w:t>
            </w:r>
          </w:p>
          <w:p w14:paraId="74CCD40A" w14:textId="745466C8" w:rsidR="0093697E" w:rsidRPr="0035461C" w:rsidRDefault="0093697E" w:rsidP="001D7091">
            <w:pPr>
              <w:rPr>
                <w:rFonts w:ascii="Calibri" w:hAnsi="Calibri" w:cs="Calibri"/>
              </w:rPr>
            </w:pPr>
            <w:r w:rsidRPr="0035461C">
              <w:rPr>
                <w:rFonts w:ascii="Calibri" w:hAnsi="Calibri" w:cs="Calibri"/>
              </w:rPr>
              <w:t>Red blood cell transfusion</w:t>
            </w:r>
          </w:p>
        </w:tc>
      </w:tr>
      <w:tr w:rsidR="001D7091" w:rsidRPr="0035461C" w14:paraId="1C94EACD" w14:textId="77777777" w:rsidTr="000729BC">
        <w:tc>
          <w:tcPr>
            <w:tcW w:w="2263" w:type="dxa"/>
          </w:tcPr>
          <w:p w14:paraId="2F6ADCDF" w14:textId="061A0A1F" w:rsidR="001D7091" w:rsidRPr="0035461C" w:rsidRDefault="000729BC" w:rsidP="001D7091">
            <w:pPr>
              <w:rPr>
                <w:rFonts w:ascii="Calibri" w:hAnsi="Calibri" w:cs="Calibri"/>
                <w:bCs/>
                <w:iCs/>
              </w:rPr>
            </w:pPr>
            <w:r w:rsidRPr="0035461C">
              <w:rPr>
                <w:rFonts w:ascii="Calibri" w:hAnsi="Calibri" w:cs="Calibri"/>
                <w:bCs/>
                <w:iCs/>
              </w:rPr>
              <w:t>Apparent increase or decrease</w:t>
            </w:r>
          </w:p>
        </w:tc>
        <w:tc>
          <w:tcPr>
            <w:tcW w:w="6753" w:type="dxa"/>
          </w:tcPr>
          <w:p w14:paraId="1CAD66A6" w14:textId="44352E32" w:rsidR="000729BC" w:rsidRPr="0035461C" w:rsidRDefault="000729BC" w:rsidP="000729BC">
            <w:pPr>
              <w:rPr>
                <w:rFonts w:ascii="Calibri" w:hAnsi="Calibri" w:cs="Calibri"/>
              </w:rPr>
            </w:pPr>
            <w:proofErr w:type="spellStart"/>
            <w:r w:rsidRPr="0035461C">
              <w:rPr>
                <w:rFonts w:ascii="Calibri" w:hAnsi="Calibri" w:cs="Calibri"/>
              </w:rPr>
              <w:t>H</w:t>
            </w:r>
            <w:r w:rsidR="00632367" w:rsidRPr="0035461C">
              <w:rPr>
                <w:rFonts w:ascii="Calibri" w:hAnsi="Calibri" w:cs="Calibri"/>
              </w:rPr>
              <w:t>a</w:t>
            </w:r>
            <w:r w:rsidRPr="0035461C">
              <w:rPr>
                <w:rFonts w:ascii="Calibri" w:hAnsi="Calibri" w:cs="Calibri"/>
              </w:rPr>
              <w:t>emoglobin</w:t>
            </w:r>
            <w:proofErr w:type="spellEnd"/>
            <w:r w:rsidRPr="0035461C">
              <w:rPr>
                <w:rFonts w:ascii="Calibri" w:hAnsi="Calibri" w:cs="Calibri"/>
              </w:rPr>
              <w:t xml:space="preserve"> variants</w:t>
            </w:r>
          </w:p>
          <w:p w14:paraId="31A8320D" w14:textId="4F2BD24F" w:rsidR="001D7091" w:rsidRPr="0035461C" w:rsidRDefault="000729BC" w:rsidP="000729BC">
            <w:pPr>
              <w:rPr>
                <w:rFonts w:ascii="Calibri" w:hAnsi="Calibri" w:cs="Calibri"/>
              </w:rPr>
            </w:pPr>
            <w:r w:rsidRPr="0035461C">
              <w:rPr>
                <w:rFonts w:ascii="Calibri" w:hAnsi="Calibri" w:cs="Calibri"/>
              </w:rPr>
              <w:t>Vitamin C ingestion</w:t>
            </w:r>
          </w:p>
        </w:tc>
      </w:tr>
    </w:tbl>
    <w:p w14:paraId="77FF57DD" w14:textId="77777777" w:rsidR="001D7091" w:rsidRPr="0035461C" w:rsidRDefault="001D7091" w:rsidP="001D7091">
      <w:pPr>
        <w:rPr>
          <w:rFonts w:ascii="Calibri" w:hAnsi="Calibri" w:cs="Calibri"/>
        </w:rPr>
      </w:pPr>
    </w:p>
    <w:p w14:paraId="6BC2511F" w14:textId="158B11B6" w:rsidR="001D7091" w:rsidRPr="0035461C" w:rsidRDefault="005B29A3" w:rsidP="00A567B5">
      <w:pPr>
        <w:spacing w:before="120"/>
        <w:jc w:val="both"/>
        <w:rPr>
          <w:rFonts w:ascii="Calibri" w:hAnsi="Calibri" w:cs="Calibri"/>
        </w:rPr>
      </w:pPr>
      <w:r w:rsidRPr="0035461C">
        <w:rPr>
          <w:rFonts w:ascii="Calibri" w:hAnsi="Calibri" w:cs="Calibri"/>
        </w:rPr>
        <w:t>*Variability within races is greater than variability between races</w:t>
      </w:r>
      <w:r w:rsidR="0051234E" w:rsidRPr="0035461C">
        <w:rPr>
          <w:rFonts w:ascii="Calibri" w:hAnsi="Calibri" w:cs="Calibri"/>
        </w:rPr>
        <w:t xml:space="preserve"> </w:t>
      </w:r>
      <w:r w:rsidR="00AC4B72" w:rsidRPr="0035461C">
        <w:rPr>
          <w:rFonts w:ascii="Calibri" w:hAnsi="Calibri" w:cs="Calibri"/>
        </w:rPr>
        <w:fldChar w:fldCharType="begin"/>
      </w:r>
      <w:r w:rsidR="00CE0E7B">
        <w:rPr>
          <w:rFonts w:ascii="Calibri" w:hAnsi="Calibri" w:cs="Calibri"/>
        </w:rPr>
        <w:instrText xml:space="preserve"> ADDIN ZOTERO_ITEM CSL_CITATION {"citationID":"tm9wPuMM","properties":{"formattedCitation":"(292)","plainCitation":"(292)","noteIndex":0},"citationItems":[{"id":2510,"uris":["http://zotero.org/groups/369679/items/GC7WIKLF"],"uri":["http://zotero.org/groups/369679/items/GC7WIKLF"],"itemData":{"id":2510,"type":"article-journal","abstract":"Background: Debate exists as to whether the higher hemoglobin A1c (HbA1c) levels observed in black persons than in white persons are due to worse glycemic control or racial differences in the glycation of hemoglobin.\nObjective: To determine whether a racial difference exists in the relationship of mean glucose and HbA1c.\nDesign: Prospective, 12-week observational study.\nSetting: 10 diabetes centers in the United States.\nParticipants: 104 black persons and 104 white persons aged 8 years or older who had had type 1 diabetes for at least 2 years and had an HbA1c level of 6.0% to 12.0%.\nMeasurements: Mean glucose concentration, measured by using continuous glucose monitoring and compared by race with HbA1c, glycated albumin, and fructosamine values.\nResults: The mean HbA1c level was 9.1% in black persons and 8.3% in white persons. For a given HbA1c level, the mean glucose concentration was significantly lower in black persons than in white persons (P = 0.013), which was reflected in mean HbA1c values in black persons being 0.4 percentage points (95% CI, 0.2 to 0.6 percentage points) higher than those in white persons for a given mean glucose concentration. In contrast, no significant racial differences were found in the relationship of glycated albumin and fructosamine levels with the mean glucose concentration (P &gt; 0.20 for both comparisons).\nLimitation: There were too few participants with HbA1c levels less than 6.5% to generalize the results to such individuals.\nConclusion: On average, HbA1c levels overestimate the mean glucose concentration in black persons compared with white persons, possibly owing to racial differences in the glycation of hemoglobin. However, because race only partially explains the observed HbA1c differences between black persons and white persons, future research should focus on identifying and modifying barriers impeding improved glycemic control in black persons with diabetes.\nPrimary Funding Source: Helmsley Charitable Trust.","container-title":"Annals of Internal Medicine","DOI":"10.7326/M16-2596","ISSN":"1539-3704","issue":"2","journalAbbreviation":"Ann. Intern. Med.","language":"eng","note":"PMID: 28605777","page":"95-102","source":"PubMed","title":"Racial Differences in the Relationship of Glucose Concentrations and Hemoglobin A1c Levels","volume":"167","author":[{"family":"Bergenstal","given":"Richard M."},{"family":"Gal","given":"Robin L."},{"family":"Connor","given":"Crystal G."},{"family":"Gubitosi-Klug","given":"Rose"},{"family":"Kruger","given":"Davida"},{"family":"Olson","given":"Beth A."},{"family":"Willi","given":"Steven M."},{"family":"Aleppo","given":"Grazia"},{"family":"Weinstock","given":"Ruth S."},{"family":"Wood","given":"Jamie"},{"family":"Rickels","given":"Michael"},{"family":"DiMeglio","given":"Linda A."},{"family":"Bethin","given":"Kathleen E."},{"family":"Marcovina","given":"Santica"},{"family":"Tassopoulos","given":"Andreana"},{"family":"Lee","given":"Sooji"},{"family":"Massaro","given":"Elaine"},{"family":"Bzdick","given":"Suzan"},{"family":"Ichihara","given":"Brian"},{"family":"Markmann","given":"Eileen"},{"family":"McGuigan","given":"Paul"},{"family":"Woerner","given":"Stephanie"},{"family":"Ecker","given":"Michelle"},{"family":"Beck","given":"Roy W."},{"literal":"T1D Exchange Racial Differences Study Group"}],"issued":{"date-parts":[["2017",7,18]]}}}],"schema":"https://github.com/citation-style-language/schema/raw/master/csl-citation.json"} </w:instrText>
      </w:r>
      <w:r w:rsidR="00AC4B72" w:rsidRPr="0035461C">
        <w:rPr>
          <w:rFonts w:ascii="Calibri" w:hAnsi="Calibri" w:cs="Calibri"/>
        </w:rPr>
        <w:fldChar w:fldCharType="separate"/>
      </w:r>
      <w:r w:rsidR="00CE0E7B" w:rsidRPr="00CE0E7B">
        <w:rPr>
          <w:rFonts w:ascii="Calibri" w:hAnsi="Calibri" w:cs="Calibri"/>
        </w:rPr>
        <w:t>(292)</w:t>
      </w:r>
      <w:r w:rsidR="00AC4B72" w:rsidRPr="0035461C">
        <w:rPr>
          <w:rFonts w:ascii="Calibri" w:hAnsi="Calibri" w:cs="Calibri"/>
        </w:rPr>
        <w:fldChar w:fldCharType="end"/>
      </w:r>
    </w:p>
    <w:p w14:paraId="11DD59CB" w14:textId="77777777" w:rsidR="005135A5" w:rsidRPr="0035461C" w:rsidRDefault="005135A5">
      <w:pPr>
        <w:rPr>
          <w:rFonts w:ascii="Calibri" w:hAnsi="Calibri" w:cs="Calibri"/>
          <w:b/>
          <w:bCs/>
          <w:sz w:val="20"/>
        </w:rPr>
      </w:pPr>
      <w:r w:rsidRPr="0035461C">
        <w:rPr>
          <w:rFonts w:ascii="Calibri" w:hAnsi="Calibri" w:cs="Calibri"/>
          <w:b/>
          <w:bCs/>
          <w:sz w:val="20"/>
        </w:rPr>
        <w:br w:type="page"/>
      </w:r>
    </w:p>
    <w:p w14:paraId="4251A647" w14:textId="40D0A843" w:rsidR="005135A5" w:rsidRPr="0035461C" w:rsidRDefault="005135A5" w:rsidP="005135A5">
      <w:pPr>
        <w:rPr>
          <w:rFonts w:ascii="Calibri" w:hAnsi="Calibri" w:cs="Calibri"/>
          <w:b/>
        </w:rPr>
      </w:pPr>
      <w:r w:rsidRPr="0035461C">
        <w:rPr>
          <w:rFonts w:ascii="Calibri" w:hAnsi="Calibri" w:cs="Calibri"/>
          <w:b/>
        </w:rPr>
        <w:t xml:space="preserve">Table </w:t>
      </w:r>
      <w:r w:rsidR="004832BE" w:rsidRPr="0035461C">
        <w:rPr>
          <w:rFonts w:ascii="Calibri" w:hAnsi="Calibri" w:cs="Calibri"/>
          <w:b/>
        </w:rPr>
        <w:t>6</w:t>
      </w:r>
      <w:r w:rsidRPr="0035461C">
        <w:rPr>
          <w:rFonts w:ascii="Calibri" w:hAnsi="Calibri" w:cs="Calibri"/>
          <w:b/>
        </w:rPr>
        <w:t xml:space="preserve">: Standardized </w:t>
      </w:r>
      <w:r w:rsidR="009A0988" w:rsidRPr="0035461C">
        <w:rPr>
          <w:rFonts w:ascii="Calibri" w:hAnsi="Calibri" w:cs="Calibri"/>
          <w:b/>
        </w:rPr>
        <w:t xml:space="preserve">continuous glucose monitoring (CGM) </w:t>
      </w:r>
      <w:r w:rsidRPr="0035461C">
        <w:rPr>
          <w:rFonts w:ascii="Calibri" w:hAnsi="Calibri" w:cs="Calibri"/>
          <w:b/>
        </w:rPr>
        <w:t>metrics for clinical care</w:t>
      </w:r>
    </w:p>
    <w:p w14:paraId="5164C1F7" w14:textId="77777777" w:rsidR="005135A5" w:rsidRPr="0035461C" w:rsidRDefault="005135A5" w:rsidP="005135A5">
      <w:pPr>
        <w:autoSpaceDE w:val="0"/>
        <w:autoSpaceDN w:val="0"/>
        <w:adjustRightInd w:val="0"/>
        <w:spacing w:before="120" w:after="120"/>
        <w:jc w:val="both"/>
        <w:rPr>
          <w:rFonts w:ascii="Calibri" w:hAnsi="Calibri" w:cs="Calibri"/>
        </w:rPr>
      </w:pPr>
    </w:p>
    <w:tbl>
      <w:tblPr>
        <w:tblStyle w:val="TableGrid"/>
        <w:tblW w:w="0" w:type="auto"/>
        <w:tblLook w:val="04A0" w:firstRow="1" w:lastRow="0" w:firstColumn="1" w:lastColumn="0" w:noHBand="0" w:noVBand="1"/>
      </w:tblPr>
      <w:tblGrid>
        <w:gridCol w:w="9016"/>
      </w:tblGrid>
      <w:tr w:rsidR="005135A5" w:rsidRPr="0035461C" w14:paraId="15DF51A0" w14:textId="77777777" w:rsidTr="005135A5">
        <w:tc>
          <w:tcPr>
            <w:tcW w:w="9016" w:type="dxa"/>
          </w:tcPr>
          <w:p w14:paraId="08DC68C7" w14:textId="5F66F225" w:rsidR="005135A5" w:rsidRPr="0035461C" w:rsidRDefault="005135A5" w:rsidP="005135A5">
            <w:pPr>
              <w:autoSpaceDE w:val="0"/>
              <w:autoSpaceDN w:val="0"/>
              <w:adjustRightInd w:val="0"/>
              <w:spacing w:before="120" w:after="120"/>
              <w:jc w:val="both"/>
              <w:rPr>
                <w:rFonts w:ascii="Calibri" w:hAnsi="Calibri" w:cs="Calibri"/>
              </w:rPr>
            </w:pPr>
            <w:r w:rsidRPr="0035461C">
              <w:rPr>
                <w:rFonts w:ascii="Calibri" w:hAnsi="Calibri" w:cs="Calibri"/>
              </w:rPr>
              <w:t>Number of days CGM device is worn (recommend 14 days)</w:t>
            </w:r>
          </w:p>
          <w:p w14:paraId="0AAC3EC9" w14:textId="44FE9FBA" w:rsidR="005135A5" w:rsidRPr="0035461C" w:rsidRDefault="005135A5" w:rsidP="005135A5">
            <w:pPr>
              <w:autoSpaceDE w:val="0"/>
              <w:autoSpaceDN w:val="0"/>
              <w:adjustRightInd w:val="0"/>
              <w:spacing w:before="120" w:after="120"/>
              <w:jc w:val="both"/>
              <w:rPr>
                <w:rFonts w:ascii="Calibri" w:hAnsi="Calibri" w:cs="Calibri"/>
              </w:rPr>
            </w:pPr>
            <w:r w:rsidRPr="0035461C">
              <w:rPr>
                <w:rFonts w:ascii="Calibri" w:hAnsi="Calibri" w:cs="Calibri"/>
              </w:rPr>
              <w:t>Percentage of time CGM device is active (recommend 70% of data from 14 days)</w:t>
            </w:r>
          </w:p>
          <w:p w14:paraId="0CF16A1B" w14:textId="479A326D" w:rsidR="005135A5" w:rsidRPr="0035461C" w:rsidRDefault="005135A5" w:rsidP="005135A5">
            <w:pPr>
              <w:autoSpaceDE w:val="0"/>
              <w:autoSpaceDN w:val="0"/>
              <w:adjustRightInd w:val="0"/>
              <w:spacing w:before="120" w:after="120"/>
              <w:jc w:val="both"/>
              <w:rPr>
                <w:rFonts w:ascii="Calibri" w:hAnsi="Calibri" w:cs="Calibri"/>
              </w:rPr>
            </w:pPr>
            <w:r w:rsidRPr="0035461C">
              <w:rPr>
                <w:rFonts w:ascii="Calibri" w:hAnsi="Calibri" w:cs="Calibri"/>
              </w:rPr>
              <w:t>Mean glucose</w:t>
            </w:r>
          </w:p>
          <w:p w14:paraId="2480536B" w14:textId="1EF7D2CD" w:rsidR="005135A5" w:rsidRPr="0035461C" w:rsidRDefault="005135A5" w:rsidP="005135A5">
            <w:pPr>
              <w:autoSpaceDE w:val="0"/>
              <w:autoSpaceDN w:val="0"/>
              <w:adjustRightInd w:val="0"/>
              <w:spacing w:before="120" w:after="120"/>
              <w:jc w:val="both"/>
              <w:rPr>
                <w:rFonts w:ascii="Calibri" w:hAnsi="Calibri" w:cs="Calibri"/>
              </w:rPr>
            </w:pPr>
            <w:r w:rsidRPr="0035461C">
              <w:rPr>
                <w:rFonts w:ascii="Calibri" w:hAnsi="Calibri" w:cs="Calibri"/>
              </w:rPr>
              <w:t>Glucose management indicator</w:t>
            </w:r>
          </w:p>
          <w:p w14:paraId="6A0CFFE4" w14:textId="0520D57F" w:rsidR="005135A5" w:rsidRPr="0035461C" w:rsidRDefault="005135A5" w:rsidP="005135A5">
            <w:pPr>
              <w:autoSpaceDE w:val="0"/>
              <w:autoSpaceDN w:val="0"/>
              <w:adjustRightInd w:val="0"/>
              <w:spacing w:before="120" w:after="120"/>
              <w:jc w:val="both"/>
              <w:rPr>
                <w:rFonts w:ascii="Calibri" w:hAnsi="Calibri" w:cs="Calibri"/>
              </w:rPr>
            </w:pPr>
            <w:r w:rsidRPr="0035461C">
              <w:rPr>
                <w:rFonts w:ascii="Calibri" w:hAnsi="Calibri" w:cs="Calibri"/>
              </w:rPr>
              <w:t>Glyc</w:t>
            </w:r>
            <w:r w:rsidR="009A0988" w:rsidRPr="0035461C">
              <w:rPr>
                <w:rFonts w:ascii="Calibri" w:hAnsi="Calibri" w:cs="Calibri"/>
              </w:rPr>
              <w:t>a</w:t>
            </w:r>
            <w:r w:rsidRPr="0035461C">
              <w:rPr>
                <w:rFonts w:ascii="Calibri" w:hAnsi="Calibri" w:cs="Calibri"/>
              </w:rPr>
              <w:t xml:space="preserve">emic variability (%CV) </w:t>
            </w:r>
          </w:p>
          <w:p w14:paraId="0DC0242A" w14:textId="4A8C7CBD" w:rsidR="005135A5" w:rsidRPr="0035461C" w:rsidRDefault="005135A5" w:rsidP="005135A5">
            <w:pPr>
              <w:autoSpaceDE w:val="0"/>
              <w:autoSpaceDN w:val="0"/>
              <w:adjustRightInd w:val="0"/>
              <w:spacing w:before="120" w:after="120"/>
              <w:jc w:val="both"/>
              <w:rPr>
                <w:rFonts w:ascii="Calibri" w:hAnsi="Calibri" w:cs="Calibri"/>
              </w:rPr>
            </w:pPr>
            <w:r w:rsidRPr="0035461C">
              <w:rPr>
                <w:rFonts w:ascii="Calibri" w:hAnsi="Calibri" w:cs="Calibri"/>
              </w:rPr>
              <w:t xml:space="preserve">Time above range (TAR) </w:t>
            </w:r>
          </w:p>
          <w:p w14:paraId="1593F777" w14:textId="77777777" w:rsidR="005135A5" w:rsidRPr="0035461C" w:rsidRDefault="005135A5" w:rsidP="0060377A">
            <w:pPr>
              <w:pStyle w:val="ListParagraph"/>
              <w:numPr>
                <w:ilvl w:val="0"/>
                <w:numId w:val="13"/>
              </w:numPr>
              <w:autoSpaceDE w:val="0"/>
              <w:autoSpaceDN w:val="0"/>
              <w:adjustRightInd w:val="0"/>
              <w:spacing w:before="120" w:after="120"/>
              <w:jc w:val="both"/>
              <w:rPr>
                <w:rFonts w:ascii="Calibri" w:hAnsi="Calibri" w:cs="Calibri"/>
              </w:rPr>
            </w:pPr>
            <w:r w:rsidRPr="0035461C">
              <w:rPr>
                <w:rFonts w:ascii="Calibri" w:hAnsi="Calibri" w:cs="Calibri"/>
              </w:rPr>
              <w:t>% of readings and time &gt;250 mg/</w:t>
            </w:r>
            <w:proofErr w:type="spellStart"/>
            <w:r w:rsidRPr="0035461C">
              <w:rPr>
                <w:rFonts w:ascii="Calibri" w:hAnsi="Calibri" w:cs="Calibri"/>
              </w:rPr>
              <w:t>dL</w:t>
            </w:r>
            <w:proofErr w:type="spellEnd"/>
            <w:r w:rsidRPr="0035461C">
              <w:rPr>
                <w:rFonts w:ascii="Calibri" w:hAnsi="Calibri" w:cs="Calibri"/>
              </w:rPr>
              <w:t xml:space="preserve"> (&gt;13.9 </w:t>
            </w:r>
            <w:proofErr w:type="spellStart"/>
            <w:r w:rsidRPr="0035461C">
              <w:rPr>
                <w:rFonts w:ascii="Calibri" w:hAnsi="Calibri" w:cs="Calibri"/>
              </w:rPr>
              <w:t>mmol</w:t>
            </w:r>
            <w:proofErr w:type="spellEnd"/>
            <w:r w:rsidRPr="0035461C">
              <w:rPr>
                <w:rFonts w:ascii="Calibri" w:hAnsi="Calibri" w:cs="Calibri"/>
              </w:rPr>
              <w:t>/L) Level 2</w:t>
            </w:r>
          </w:p>
          <w:p w14:paraId="18FE5B19" w14:textId="273DE8F6" w:rsidR="005135A5" w:rsidRPr="0035461C" w:rsidRDefault="005135A5" w:rsidP="0060377A">
            <w:pPr>
              <w:pStyle w:val="ListParagraph"/>
              <w:numPr>
                <w:ilvl w:val="0"/>
                <w:numId w:val="13"/>
              </w:numPr>
              <w:autoSpaceDE w:val="0"/>
              <w:autoSpaceDN w:val="0"/>
              <w:adjustRightInd w:val="0"/>
              <w:spacing w:before="120" w:after="120"/>
              <w:jc w:val="both"/>
              <w:rPr>
                <w:rFonts w:ascii="Calibri" w:hAnsi="Calibri" w:cs="Calibri"/>
              </w:rPr>
            </w:pPr>
            <w:r w:rsidRPr="0035461C">
              <w:rPr>
                <w:rFonts w:ascii="Calibri" w:hAnsi="Calibri" w:cs="Calibri"/>
              </w:rPr>
              <w:t xml:space="preserve">% of readings and time </w:t>
            </w:r>
            <w:r w:rsidR="005903BE">
              <w:rPr>
                <w:rFonts w:ascii="Calibri" w:hAnsi="Calibri" w:cs="Calibri"/>
              </w:rPr>
              <w:t>&gt;</w:t>
            </w:r>
            <w:r w:rsidRPr="0035461C">
              <w:rPr>
                <w:rFonts w:ascii="Calibri" w:hAnsi="Calibri" w:cs="Calibri"/>
              </w:rPr>
              <w:t>18</w:t>
            </w:r>
            <w:r w:rsidR="005903BE">
              <w:rPr>
                <w:rFonts w:ascii="Calibri" w:hAnsi="Calibri" w:cs="Calibri"/>
              </w:rPr>
              <w:t>0</w:t>
            </w:r>
            <w:r w:rsidRPr="0035461C">
              <w:rPr>
                <w:rFonts w:ascii="Calibri" w:hAnsi="Calibri" w:cs="Calibri"/>
              </w:rPr>
              <w:t xml:space="preserve"> mg/</w:t>
            </w:r>
            <w:proofErr w:type="spellStart"/>
            <w:r w:rsidRPr="0035461C">
              <w:rPr>
                <w:rFonts w:ascii="Calibri" w:hAnsi="Calibri" w:cs="Calibri"/>
              </w:rPr>
              <w:t>dL</w:t>
            </w:r>
            <w:proofErr w:type="spellEnd"/>
            <w:r w:rsidRPr="0035461C">
              <w:rPr>
                <w:rFonts w:ascii="Calibri" w:hAnsi="Calibri" w:cs="Calibri"/>
              </w:rPr>
              <w:t xml:space="preserve"> (10.</w:t>
            </w:r>
            <w:r w:rsidR="005903BE">
              <w:rPr>
                <w:rFonts w:ascii="Calibri" w:hAnsi="Calibri" w:cs="Calibri"/>
              </w:rPr>
              <w:t>0</w:t>
            </w:r>
            <w:r w:rsidRPr="0035461C">
              <w:rPr>
                <w:rFonts w:ascii="Calibri" w:hAnsi="Calibri" w:cs="Calibri"/>
              </w:rPr>
              <w:t xml:space="preserve"> </w:t>
            </w:r>
            <w:proofErr w:type="spellStart"/>
            <w:r w:rsidRPr="0035461C">
              <w:rPr>
                <w:rFonts w:ascii="Calibri" w:hAnsi="Calibri" w:cs="Calibri"/>
              </w:rPr>
              <w:t>mmol</w:t>
            </w:r>
            <w:proofErr w:type="spellEnd"/>
            <w:r w:rsidRPr="0035461C">
              <w:rPr>
                <w:rFonts w:ascii="Calibri" w:hAnsi="Calibri" w:cs="Calibri"/>
              </w:rPr>
              <w:t>/L) Level 1</w:t>
            </w:r>
            <w:r w:rsidR="005903BE">
              <w:rPr>
                <w:rFonts w:ascii="Calibri" w:hAnsi="Calibri" w:cs="Calibri"/>
              </w:rPr>
              <w:t xml:space="preserve"> and level 2</w:t>
            </w:r>
          </w:p>
          <w:p w14:paraId="5B9AE80A" w14:textId="77777777" w:rsidR="009A0988" w:rsidRPr="0035461C" w:rsidRDefault="005135A5" w:rsidP="005135A5">
            <w:pPr>
              <w:autoSpaceDE w:val="0"/>
              <w:autoSpaceDN w:val="0"/>
              <w:adjustRightInd w:val="0"/>
              <w:spacing w:before="120" w:after="120"/>
              <w:jc w:val="both"/>
              <w:rPr>
                <w:rFonts w:ascii="Calibri" w:hAnsi="Calibri" w:cs="Calibri"/>
              </w:rPr>
            </w:pPr>
            <w:r w:rsidRPr="0035461C">
              <w:rPr>
                <w:rFonts w:ascii="Calibri" w:hAnsi="Calibri" w:cs="Calibri"/>
              </w:rPr>
              <w:t>Time in range (TIR</w:t>
            </w:r>
            <w:r w:rsidR="009A0988" w:rsidRPr="0035461C">
              <w:rPr>
                <w:rFonts w:ascii="Calibri" w:hAnsi="Calibri" w:cs="Calibri"/>
              </w:rPr>
              <w:t>)</w:t>
            </w:r>
          </w:p>
          <w:p w14:paraId="70F99197" w14:textId="501BF536" w:rsidR="005135A5" w:rsidRPr="0035461C" w:rsidRDefault="005135A5" w:rsidP="0060377A">
            <w:pPr>
              <w:pStyle w:val="ListParagraph"/>
              <w:numPr>
                <w:ilvl w:val="0"/>
                <w:numId w:val="14"/>
              </w:numPr>
              <w:autoSpaceDE w:val="0"/>
              <w:autoSpaceDN w:val="0"/>
              <w:adjustRightInd w:val="0"/>
              <w:spacing w:before="120" w:after="120"/>
              <w:jc w:val="both"/>
              <w:rPr>
                <w:rFonts w:ascii="Calibri" w:hAnsi="Calibri" w:cs="Calibri"/>
              </w:rPr>
            </w:pPr>
            <w:r w:rsidRPr="0035461C">
              <w:rPr>
                <w:rFonts w:ascii="Calibri" w:hAnsi="Calibri" w:cs="Calibri"/>
              </w:rPr>
              <w:t>% of readings and time 70–180 mg/</w:t>
            </w:r>
            <w:proofErr w:type="spellStart"/>
            <w:r w:rsidRPr="0035461C">
              <w:rPr>
                <w:rFonts w:ascii="Calibri" w:hAnsi="Calibri" w:cs="Calibri"/>
              </w:rPr>
              <w:t>dL</w:t>
            </w:r>
            <w:proofErr w:type="spellEnd"/>
            <w:r w:rsidRPr="0035461C">
              <w:rPr>
                <w:rFonts w:ascii="Calibri" w:hAnsi="Calibri" w:cs="Calibri"/>
              </w:rPr>
              <w:t xml:space="preserve"> (3.9–10.0 </w:t>
            </w:r>
            <w:proofErr w:type="spellStart"/>
            <w:r w:rsidRPr="0035461C">
              <w:rPr>
                <w:rFonts w:ascii="Calibri" w:hAnsi="Calibri" w:cs="Calibri"/>
              </w:rPr>
              <w:t>mmol</w:t>
            </w:r>
            <w:proofErr w:type="spellEnd"/>
            <w:r w:rsidRPr="0035461C">
              <w:rPr>
                <w:rFonts w:ascii="Calibri" w:hAnsi="Calibri" w:cs="Calibri"/>
              </w:rPr>
              <w:t>/L) In range</w:t>
            </w:r>
          </w:p>
          <w:p w14:paraId="5E8E82B6" w14:textId="77777777" w:rsidR="009A0988" w:rsidRPr="0035461C" w:rsidRDefault="005135A5" w:rsidP="005135A5">
            <w:pPr>
              <w:autoSpaceDE w:val="0"/>
              <w:autoSpaceDN w:val="0"/>
              <w:adjustRightInd w:val="0"/>
              <w:spacing w:before="120" w:after="120"/>
              <w:jc w:val="both"/>
              <w:rPr>
                <w:rFonts w:ascii="Calibri" w:hAnsi="Calibri" w:cs="Calibri"/>
              </w:rPr>
            </w:pPr>
            <w:r w:rsidRPr="0035461C">
              <w:rPr>
                <w:rFonts w:ascii="Calibri" w:hAnsi="Calibri" w:cs="Calibri"/>
              </w:rPr>
              <w:t>T</w:t>
            </w:r>
            <w:r w:rsidR="009A0988" w:rsidRPr="0035461C">
              <w:rPr>
                <w:rFonts w:ascii="Calibri" w:hAnsi="Calibri" w:cs="Calibri"/>
              </w:rPr>
              <w:t>ime below range</w:t>
            </w:r>
          </w:p>
          <w:p w14:paraId="1231FDD1" w14:textId="60D4E3DB" w:rsidR="009A0988" w:rsidRPr="0035461C" w:rsidRDefault="005135A5" w:rsidP="0060377A">
            <w:pPr>
              <w:pStyle w:val="ListParagraph"/>
              <w:numPr>
                <w:ilvl w:val="0"/>
                <w:numId w:val="14"/>
              </w:numPr>
              <w:autoSpaceDE w:val="0"/>
              <w:autoSpaceDN w:val="0"/>
              <w:adjustRightInd w:val="0"/>
              <w:spacing w:before="120" w:after="120"/>
              <w:jc w:val="both"/>
              <w:rPr>
                <w:rFonts w:ascii="Calibri" w:hAnsi="Calibri" w:cs="Calibri"/>
              </w:rPr>
            </w:pPr>
            <w:r w:rsidRPr="0035461C">
              <w:rPr>
                <w:rFonts w:ascii="Calibri" w:hAnsi="Calibri" w:cs="Calibri"/>
              </w:rPr>
              <w:t xml:space="preserve">% of readings and time </w:t>
            </w:r>
            <w:r w:rsidR="005903BE">
              <w:rPr>
                <w:rFonts w:ascii="Calibri" w:hAnsi="Calibri" w:cs="Calibri"/>
              </w:rPr>
              <w:t>&lt;70</w:t>
            </w:r>
            <w:r w:rsidRPr="0035461C">
              <w:rPr>
                <w:rFonts w:ascii="Calibri" w:hAnsi="Calibri" w:cs="Calibri"/>
              </w:rPr>
              <w:t xml:space="preserve"> mg/</w:t>
            </w:r>
            <w:proofErr w:type="spellStart"/>
            <w:r w:rsidRPr="0035461C">
              <w:rPr>
                <w:rFonts w:ascii="Calibri" w:hAnsi="Calibri" w:cs="Calibri"/>
              </w:rPr>
              <w:t>dL</w:t>
            </w:r>
            <w:proofErr w:type="spellEnd"/>
            <w:r w:rsidRPr="0035461C">
              <w:rPr>
                <w:rFonts w:ascii="Calibri" w:hAnsi="Calibri" w:cs="Calibri"/>
              </w:rPr>
              <w:t xml:space="preserve"> (3.</w:t>
            </w:r>
            <w:r w:rsidR="005903BE">
              <w:rPr>
                <w:rFonts w:ascii="Calibri" w:hAnsi="Calibri" w:cs="Calibri"/>
              </w:rPr>
              <w:t>9</w:t>
            </w:r>
            <w:r w:rsidRPr="0035461C">
              <w:rPr>
                <w:rFonts w:ascii="Calibri" w:hAnsi="Calibri" w:cs="Calibri"/>
              </w:rPr>
              <w:t xml:space="preserve"> </w:t>
            </w:r>
            <w:proofErr w:type="spellStart"/>
            <w:r w:rsidRPr="0035461C">
              <w:rPr>
                <w:rFonts w:ascii="Calibri" w:hAnsi="Calibri" w:cs="Calibri"/>
              </w:rPr>
              <w:t>mmol</w:t>
            </w:r>
            <w:proofErr w:type="spellEnd"/>
            <w:r w:rsidRPr="0035461C">
              <w:rPr>
                <w:rFonts w:ascii="Calibri" w:hAnsi="Calibri" w:cs="Calibri"/>
              </w:rPr>
              <w:t>/L) Level 1</w:t>
            </w:r>
            <w:r w:rsidR="005903BE">
              <w:rPr>
                <w:rFonts w:ascii="Calibri" w:hAnsi="Calibri" w:cs="Calibri"/>
              </w:rPr>
              <w:t xml:space="preserve"> and level 2</w:t>
            </w:r>
          </w:p>
          <w:p w14:paraId="61EF5DC0" w14:textId="233DBABF" w:rsidR="005135A5" w:rsidRPr="0035461C" w:rsidRDefault="005135A5" w:rsidP="0060377A">
            <w:pPr>
              <w:pStyle w:val="ListParagraph"/>
              <w:numPr>
                <w:ilvl w:val="0"/>
                <w:numId w:val="14"/>
              </w:numPr>
              <w:autoSpaceDE w:val="0"/>
              <w:autoSpaceDN w:val="0"/>
              <w:adjustRightInd w:val="0"/>
              <w:spacing w:before="120" w:after="120"/>
              <w:jc w:val="both"/>
              <w:rPr>
                <w:rFonts w:ascii="Calibri" w:hAnsi="Calibri" w:cs="Calibri"/>
              </w:rPr>
            </w:pPr>
            <w:r w:rsidRPr="0035461C">
              <w:rPr>
                <w:rFonts w:ascii="Calibri" w:hAnsi="Calibri" w:cs="Calibri"/>
              </w:rPr>
              <w:t>% of readings and time &lt;54 mg/</w:t>
            </w:r>
            <w:proofErr w:type="spellStart"/>
            <w:r w:rsidRPr="0035461C">
              <w:rPr>
                <w:rFonts w:ascii="Calibri" w:hAnsi="Calibri" w:cs="Calibri"/>
              </w:rPr>
              <w:t>dL</w:t>
            </w:r>
            <w:proofErr w:type="spellEnd"/>
            <w:r w:rsidRPr="0035461C">
              <w:rPr>
                <w:rFonts w:ascii="Calibri" w:hAnsi="Calibri" w:cs="Calibri"/>
              </w:rPr>
              <w:t xml:space="preserve"> (&lt;3.0 </w:t>
            </w:r>
            <w:proofErr w:type="spellStart"/>
            <w:r w:rsidRPr="0035461C">
              <w:rPr>
                <w:rFonts w:ascii="Calibri" w:hAnsi="Calibri" w:cs="Calibri"/>
              </w:rPr>
              <w:t>mmol</w:t>
            </w:r>
            <w:proofErr w:type="spellEnd"/>
            <w:r w:rsidRPr="0035461C">
              <w:rPr>
                <w:rFonts w:ascii="Calibri" w:hAnsi="Calibri" w:cs="Calibri"/>
              </w:rPr>
              <w:t>/L) Level 2</w:t>
            </w:r>
          </w:p>
          <w:p w14:paraId="17FE67C3" w14:textId="77777777" w:rsidR="005135A5" w:rsidRPr="0035461C" w:rsidRDefault="005135A5" w:rsidP="005135A5">
            <w:pPr>
              <w:autoSpaceDE w:val="0"/>
              <w:autoSpaceDN w:val="0"/>
              <w:adjustRightInd w:val="0"/>
              <w:spacing w:before="120" w:after="120"/>
              <w:jc w:val="both"/>
              <w:rPr>
                <w:rFonts w:ascii="Calibri" w:hAnsi="Calibri" w:cs="Calibri"/>
              </w:rPr>
            </w:pPr>
          </w:p>
        </w:tc>
      </w:tr>
    </w:tbl>
    <w:p w14:paraId="15BA8D45" w14:textId="3C825B2E" w:rsidR="008E0C17" w:rsidRPr="0035461C" w:rsidRDefault="005135A5" w:rsidP="00896918">
      <w:pPr>
        <w:autoSpaceDE w:val="0"/>
        <w:autoSpaceDN w:val="0"/>
        <w:adjustRightInd w:val="0"/>
        <w:spacing w:before="120" w:after="120"/>
        <w:jc w:val="both"/>
        <w:rPr>
          <w:rFonts w:ascii="Calibri" w:hAnsi="Calibri" w:cs="Calibri"/>
          <w:b/>
          <w:bCs/>
          <w:sz w:val="20"/>
        </w:rPr>
      </w:pPr>
      <w:r w:rsidRPr="0035461C">
        <w:rPr>
          <w:rFonts w:ascii="Calibri" w:hAnsi="Calibri" w:cs="Calibri"/>
        </w:rPr>
        <w:t>CV, coefficient of variation</w:t>
      </w:r>
      <w:r w:rsidR="009A0988" w:rsidRPr="0035461C">
        <w:rPr>
          <w:rFonts w:ascii="Calibri" w:hAnsi="Calibri" w:cs="Calibri"/>
        </w:rPr>
        <w:t xml:space="preserve">. </w:t>
      </w:r>
      <w:r w:rsidRPr="0035461C">
        <w:rPr>
          <w:rFonts w:ascii="Calibri" w:hAnsi="Calibri" w:cs="Calibri"/>
        </w:rPr>
        <w:t>Adapted from</w:t>
      </w:r>
      <w:r w:rsidR="00E615B3" w:rsidRPr="0035461C">
        <w:rPr>
          <w:rFonts w:ascii="Calibri" w:hAnsi="Calibri" w:cs="Calibri"/>
        </w:rPr>
        <w:t xml:space="preserve"> </w:t>
      </w:r>
      <w:r w:rsidR="00896918" w:rsidRPr="0035461C">
        <w:rPr>
          <w:rFonts w:ascii="Calibri" w:hAnsi="Calibri" w:cs="Calibri"/>
        </w:rPr>
        <w:fldChar w:fldCharType="begin"/>
      </w:r>
      <w:r w:rsidR="00076F77">
        <w:rPr>
          <w:rFonts w:ascii="Calibri" w:hAnsi="Calibri" w:cs="Calibri"/>
        </w:rPr>
        <w:instrText xml:space="preserve"> ADDIN ZOTERO_ITEM CSL_CITATION {"citationID":"twF7I97o","properties":{"formattedCitation":"(47)","plainCitation":"(47)","noteIndex":0},"citationItems":[{"id":4114,"uris":["http://zotero.org/groups/369679/items/2TW35EGW"],"uri":["http://zotero.org/groups/369679/items/2TW35EGW"],"itemData":{"id":4114,"type":"article-journal","abstract":"Improvements in sensor accuracy, greater convenience and ease of use, and expanding reimbursement have led to growing adoption of continuous glucose monitoring (CGM). However, successful utilization of CGM technology in routine clinical practice remains relatively low. This may be due in part to the lack of clear and agreed-upon glycemic targets that both diabetes teams and people with diabetes can work toward. Although unified recommendations for use of key CGM metrics have been established in three separate peer-reviewed articles, formal adoption by diabetes professional organizations and guidance in the practical application of these metrics in clinical practice have been lacking. In February 2019, the Advanced Technologies &amp; Treatments for Diabetes (ATTD) Congress convened an international panel of physicians, researchers, and individuals with diabetes who are expert in CGM technologies to address this issue. This article summarizes the ATTD consensus recommendations for relevant aspects of CGM data utilization and reporting among the various diabetes populations.","container-title":"Diabetes Care","DOI":"10.2337/dci19-0028","ISSN":"0149-5992, 1935-5548","issue":"8","language":"en","note":"PMID: 31177185","page":"1593-1603","source":"care.diabetesjournals.org","title":"Clinical Targets for Continuous Glucose Monitoring Data Interpretation: Recommendations From the International Consensus on Time in Range","title-short":"Clinical Targets for Continuous Glucose Monitoring Data Interpretation","volume":"42","author":[{"family":"Battelino","given":"Tadej"},{"family":"Danne","given":"Thomas"},{"family":"Bergenstal","given":"Richard M."},{"family":"Amiel","given":"Stephanie A."},{"family":"Beck","given":"Roy"},{"family":"Biester","given":"Torben"},{"family":"Bosi","given":"Emanuele"},{"family":"Buckingham","given":"Bruce A."},{"family":"Cefalu","given":"William T."},{"family":"Close","given":"Kelly L."},{"family":"Cobelli","given":"Claudio"},{"family":"Dassau","given":"Eyal"},{"family":"DeVries","given":"J. Hans"},{"family":"Donaghue","given":"Kim C."},{"family":"Dovc","given":"Klemen"},{"family":"Doyle","given":"Francis J."},{"family":"Garg","given":"Satish"},{"family":"Grunberger","given":"George"},{"family":"Heller","given":"Simon"},{"family":"Heinemann","given":"Lutz"},{"family":"Hirsch","given":"Irl B."},{"family":"Hovorka","given":"Roman"},{"family":"Jia","given":"Weiping"},{"family":"Kordonouri","given":"Olga"},{"family":"Kovatchev","given":"Boris"},{"family":"Kowalski","given":"Aaron"},{"family":"Laffel","given":"Lori"},{"family":"Levine","given":"Brian"},{"family":"Mayorov","given":"Alexander"},{"family":"Mathieu","given":"Chantal"},{"family":"Murphy","given":"Helen R."},{"family":"Nimri","given":"Revital"},{"family":"Nørgaard","given":"Kirsten"},{"family":"Parkin","given":"Christopher G."},{"family":"Renard","given":"Eric"},{"family":"Rodbard","given":"David"},{"family":"Saboo","given":"Banshi"},{"family":"Schatz","given":"Desmond"},{"family":"Stoner","given":"Keaton"},{"family":"Urakami","given":"Tatsuiko"},{"family":"Weinzimer","given":"Stuart A."},{"family":"Phillip","given":"Moshe"}],"issued":{"date-parts":[["2019",8,1]]}}}],"schema":"https://github.com/citation-style-language/schema/raw/master/csl-citation.json"} </w:instrText>
      </w:r>
      <w:r w:rsidR="00896918" w:rsidRPr="0035461C">
        <w:rPr>
          <w:rFonts w:ascii="Calibri" w:hAnsi="Calibri" w:cs="Calibri"/>
        </w:rPr>
        <w:fldChar w:fldCharType="separate"/>
      </w:r>
      <w:r w:rsidR="001C2617" w:rsidRPr="001C2617">
        <w:rPr>
          <w:rFonts w:ascii="Calibri" w:hAnsi="Calibri" w:cs="Calibri"/>
        </w:rPr>
        <w:t>(47)</w:t>
      </w:r>
      <w:r w:rsidR="00896918" w:rsidRPr="0035461C">
        <w:rPr>
          <w:rFonts w:ascii="Calibri" w:hAnsi="Calibri" w:cs="Calibri"/>
        </w:rPr>
        <w:fldChar w:fldCharType="end"/>
      </w:r>
      <w:r w:rsidR="00896918" w:rsidRPr="0035461C">
        <w:rPr>
          <w:rFonts w:ascii="Calibri" w:hAnsi="Calibri" w:cs="Calibri"/>
        </w:rPr>
        <w:t>.</w:t>
      </w:r>
      <w:r w:rsidR="00896918" w:rsidRPr="0035461C">
        <w:rPr>
          <w:rFonts w:ascii="Calibri" w:hAnsi="Calibri" w:cs="Calibri"/>
          <w:color w:val="000000"/>
          <w:shd w:val="clear" w:color="auto" w:fill="FFFFFF"/>
        </w:rPr>
        <w:t xml:space="preserve"> </w:t>
      </w:r>
      <w:r w:rsidR="008E0C17" w:rsidRPr="0035461C">
        <w:rPr>
          <w:rFonts w:ascii="Calibri" w:hAnsi="Calibri" w:cs="Calibri"/>
          <w:b/>
          <w:bCs/>
          <w:sz w:val="20"/>
        </w:rPr>
        <w:br w:type="page"/>
      </w:r>
    </w:p>
    <w:p w14:paraId="22E803F0" w14:textId="77777777" w:rsidR="008E0C17" w:rsidRPr="0035461C" w:rsidRDefault="008E0C17" w:rsidP="00E71E04">
      <w:pPr>
        <w:spacing w:before="120"/>
        <w:jc w:val="both"/>
        <w:rPr>
          <w:rFonts w:ascii="Calibri" w:hAnsi="Calibri" w:cs="Calibri"/>
          <w:b/>
          <w:bCs/>
          <w:sz w:val="20"/>
        </w:rPr>
        <w:sectPr w:rsidR="008E0C17" w:rsidRPr="0035461C" w:rsidSect="007F6240">
          <w:headerReference w:type="default" r:id="rId12"/>
          <w:footerReference w:type="default" r:id="rId13"/>
          <w:pgSz w:w="11906" w:h="16838"/>
          <w:pgMar w:top="1440" w:right="1440" w:bottom="1440" w:left="1440" w:header="708" w:footer="708" w:gutter="0"/>
          <w:lnNumType w:countBy="1" w:restart="continuous"/>
          <w:cols w:space="708"/>
          <w:docGrid w:linePitch="360"/>
        </w:sectPr>
      </w:pPr>
    </w:p>
    <w:p w14:paraId="6E7841E7" w14:textId="77777777" w:rsidR="008E0C17" w:rsidRPr="0035461C" w:rsidRDefault="008E0C17" w:rsidP="008E0C17">
      <w:pPr>
        <w:pStyle w:val="section1nextPara"/>
        <w:spacing w:before="120" w:after="120" w:line="240" w:lineRule="auto"/>
        <w:ind w:firstLine="0"/>
        <w:rPr>
          <w:rFonts w:ascii="Calibri" w:hAnsi="Calibri" w:cs="Calibri"/>
          <w:b/>
          <w:bCs/>
          <w:sz w:val="24"/>
          <w:szCs w:val="24"/>
          <w:lang w:val="en-US"/>
        </w:rPr>
      </w:pPr>
    </w:p>
    <w:p w14:paraId="16852D09" w14:textId="1E3867FC" w:rsidR="008E0C17" w:rsidRPr="0035461C" w:rsidRDefault="008E0C17" w:rsidP="008E0C17">
      <w:pPr>
        <w:rPr>
          <w:rFonts w:ascii="Calibri" w:hAnsi="Calibri" w:cs="Calibri"/>
          <w:b/>
        </w:rPr>
      </w:pPr>
      <w:r w:rsidRPr="0035461C">
        <w:rPr>
          <w:rFonts w:ascii="Calibri" w:hAnsi="Calibri" w:cs="Calibri"/>
          <w:b/>
        </w:rPr>
        <w:t xml:space="preserve">Table </w:t>
      </w:r>
      <w:r w:rsidR="004832BE" w:rsidRPr="0035461C">
        <w:rPr>
          <w:rFonts w:ascii="Calibri" w:hAnsi="Calibri" w:cs="Calibri"/>
          <w:b/>
        </w:rPr>
        <w:t>7</w:t>
      </w:r>
      <w:r w:rsidRPr="0035461C">
        <w:rPr>
          <w:rFonts w:ascii="Calibri" w:hAnsi="Calibri" w:cs="Calibri"/>
          <w:b/>
        </w:rPr>
        <w:t xml:space="preserve">: Examples of subcutaneous insulin regimens </w:t>
      </w:r>
    </w:p>
    <w:p w14:paraId="1C83F7A4" w14:textId="77777777" w:rsidR="008E0C17" w:rsidRPr="0035461C" w:rsidRDefault="008E0C17" w:rsidP="008E0C17">
      <w:pPr>
        <w:rPr>
          <w:rFonts w:ascii="Calibri" w:hAnsi="Calibri" w:cs="Calibri"/>
        </w:rPr>
      </w:pPr>
    </w:p>
    <w:tbl>
      <w:tblPr>
        <w:tblStyle w:val="TableGrid"/>
        <w:tblW w:w="0" w:type="auto"/>
        <w:tblLook w:val="04A0" w:firstRow="1" w:lastRow="0" w:firstColumn="1" w:lastColumn="0" w:noHBand="0" w:noVBand="1"/>
      </w:tblPr>
      <w:tblGrid>
        <w:gridCol w:w="1635"/>
        <w:gridCol w:w="3486"/>
        <w:gridCol w:w="3397"/>
        <w:gridCol w:w="2675"/>
        <w:gridCol w:w="2755"/>
      </w:tblGrid>
      <w:tr w:rsidR="00256289" w:rsidRPr="0035461C" w14:paraId="375AC5AB" w14:textId="77777777" w:rsidTr="008E0C17">
        <w:trPr>
          <w:tblHeader/>
        </w:trPr>
        <w:tc>
          <w:tcPr>
            <w:tcW w:w="0" w:type="auto"/>
            <w:tcBorders>
              <w:top w:val="single" w:sz="4" w:space="0" w:color="auto"/>
              <w:left w:val="single" w:sz="4" w:space="0" w:color="auto"/>
              <w:bottom w:val="single" w:sz="4" w:space="0" w:color="auto"/>
              <w:right w:val="single" w:sz="4" w:space="0" w:color="auto"/>
            </w:tcBorders>
            <w:hideMark/>
          </w:tcPr>
          <w:p w14:paraId="0DC01EFB" w14:textId="77777777" w:rsidR="008E0C17" w:rsidRPr="0035461C" w:rsidRDefault="008E0C17" w:rsidP="006F5463">
            <w:pPr>
              <w:rPr>
                <w:rFonts w:ascii="Calibri" w:hAnsi="Calibri" w:cs="Calibri"/>
                <w:b/>
                <w:sz w:val="20"/>
                <w:szCs w:val="20"/>
              </w:rPr>
            </w:pPr>
            <w:r w:rsidRPr="0035461C">
              <w:rPr>
                <w:rFonts w:ascii="Calibri" w:hAnsi="Calibri" w:cs="Calibri"/>
                <w:b/>
                <w:sz w:val="20"/>
                <w:szCs w:val="20"/>
              </w:rPr>
              <w:t>REGIMEN</w:t>
            </w:r>
          </w:p>
        </w:tc>
        <w:tc>
          <w:tcPr>
            <w:tcW w:w="0" w:type="auto"/>
            <w:tcBorders>
              <w:top w:val="single" w:sz="4" w:space="0" w:color="auto"/>
              <w:left w:val="single" w:sz="4" w:space="0" w:color="auto"/>
              <w:bottom w:val="single" w:sz="4" w:space="0" w:color="auto"/>
              <w:right w:val="single" w:sz="4" w:space="0" w:color="auto"/>
            </w:tcBorders>
            <w:hideMark/>
          </w:tcPr>
          <w:p w14:paraId="1E7132D7" w14:textId="77777777" w:rsidR="008E0C17" w:rsidRPr="0035461C" w:rsidRDefault="008E0C17" w:rsidP="006F5463">
            <w:pPr>
              <w:rPr>
                <w:rFonts w:ascii="Calibri" w:hAnsi="Calibri" w:cs="Calibri"/>
                <w:b/>
                <w:sz w:val="20"/>
                <w:szCs w:val="20"/>
              </w:rPr>
            </w:pPr>
            <w:r w:rsidRPr="0035461C">
              <w:rPr>
                <w:rFonts w:ascii="Calibri" w:hAnsi="Calibri" w:cs="Calibri"/>
                <w:b/>
                <w:sz w:val="20"/>
                <w:szCs w:val="20"/>
              </w:rPr>
              <w:t xml:space="preserve">TIMING AND DISTRIBUTION </w:t>
            </w:r>
          </w:p>
        </w:tc>
        <w:tc>
          <w:tcPr>
            <w:tcW w:w="0" w:type="auto"/>
            <w:tcBorders>
              <w:top w:val="single" w:sz="4" w:space="0" w:color="auto"/>
              <w:left w:val="single" w:sz="4" w:space="0" w:color="auto"/>
              <w:bottom w:val="single" w:sz="4" w:space="0" w:color="auto"/>
              <w:right w:val="single" w:sz="4" w:space="0" w:color="auto"/>
            </w:tcBorders>
            <w:hideMark/>
          </w:tcPr>
          <w:p w14:paraId="77B829A9" w14:textId="77777777" w:rsidR="008E0C17" w:rsidRPr="0035461C" w:rsidRDefault="008E0C17" w:rsidP="006F5463">
            <w:pPr>
              <w:rPr>
                <w:rFonts w:ascii="Calibri" w:hAnsi="Calibri" w:cs="Calibri"/>
                <w:b/>
                <w:sz w:val="20"/>
                <w:szCs w:val="20"/>
              </w:rPr>
            </w:pPr>
            <w:r w:rsidRPr="0035461C">
              <w:rPr>
                <w:rFonts w:ascii="Calibri" w:hAnsi="Calibri" w:cs="Calibri"/>
                <w:b/>
                <w:sz w:val="20"/>
                <w:szCs w:val="20"/>
              </w:rPr>
              <w:t>ADVANTAGES</w:t>
            </w:r>
          </w:p>
        </w:tc>
        <w:tc>
          <w:tcPr>
            <w:tcW w:w="0" w:type="auto"/>
            <w:tcBorders>
              <w:top w:val="single" w:sz="4" w:space="0" w:color="auto"/>
              <w:left w:val="single" w:sz="4" w:space="0" w:color="auto"/>
              <w:bottom w:val="single" w:sz="4" w:space="0" w:color="auto"/>
              <w:right w:val="single" w:sz="4" w:space="0" w:color="auto"/>
            </w:tcBorders>
            <w:hideMark/>
          </w:tcPr>
          <w:p w14:paraId="6F232424" w14:textId="77777777" w:rsidR="008E0C17" w:rsidRPr="0035461C" w:rsidRDefault="008E0C17" w:rsidP="006F5463">
            <w:pPr>
              <w:rPr>
                <w:rFonts w:ascii="Calibri" w:hAnsi="Calibri" w:cs="Calibri"/>
                <w:b/>
                <w:sz w:val="20"/>
                <w:szCs w:val="20"/>
              </w:rPr>
            </w:pPr>
            <w:r w:rsidRPr="0035461C">
              <w:rPr>
                <w:rFonts w:ascii="Calibri" w:hAnsi="Calibri" w:cs="Calibri"/>
                <w:b/>
                <w:sz w:val="20"/>
                <w:szCs w:val="20"/>
              </w:rPr>
              <w:t>DISADVANTAGES</w:t>
            </w:r>
          </w:p>
        </w:tc>
        <w:tc>
          <w:tcPr>
            <w:tcW w:w="0" w:type="auto"/>
            <w:tcBorders>
              <w:top w:val="single" w:sz="4" w:space="0" w:color="auto"/>
              <w:left w:val="single" w:sz="4" w:space="0" w:color="auto"/>
              <w:bottom w:val="single" w:sz="4" w:space="0" w:color="auto"/>
              <w:right w:val="single" w:sz="4" w:space="0" w:color="auto"/>
            </w:tcBorders>
            <w:hideMark/>
          </w:tcPr>
          <w:p w14:paraId="322E5AB6" w14:textId="77777777" w:rsidR="008E0C17" w:rsidRPr="0035461C" w:rsidRDefault="008E0C17" w:rsidP="006F5463">
            <w:pPr>
              <w:rPr>
                <w:rFonts w:ascii="Calibri" w:hAnsi="Calibri" w:cs="Calibri"/>
                <w:b/>
                <w:sz w:val="20"/>
                <w:szCs w:val="20"/>
              </w:rPr>
            </w:pPr>
            <w:r w:rsidRPr="0035461C">
              <w:rPr>
                <w:rFonts w:ascii="Calibri" w:hAnsi="Calibri" w:cs="Calibri"/>
                <w:b/>
                <w:sz w:val="20"/>
                <w:szCs w:val="20"/>
              </w:rPr>
              <w:t>ADUSTING DOSES</w:t>
            </w:r>
          </w:p>
        </w:tc>
      </w:tr>
      <w:tr w:rsidR="008E0C17" w:rsidRPr="0035461C" w14:paraId="22D4712C" w14:textId="77777777" w:rsidTr="008E0C17">
        <w:tc>
          <w:tcPr>
            <w:tcW w:w="0" w:type="auto"/>
            <w:gridSpan w:val="5"/>
            <w:tcBorders>
              <w:top w:val="single" w:sz="4" w:space="0" w:color="auto"/>
              <w:left w:val="single" w:sz="4" w:space="0" w:color="auto"/>
              <w:bottom w:val="single" w:sz="4" w:space="0" w:color="auto"/>
              <w:right w:val="single" w:sz="4" w:space="0" w:color="auto"/>
            </w:tcBorders>
            <w:hideMark/>
          </w:tcPr>
          <w:p w14:paraId="305E0AE3" w14:textId="77777777" w:rsidR="008E0C17" w:rsidRPr="0035461C" w:rsidRDefault="008E0C17" w:rsidP="006F5463">
            <w:pPr>
              <w:rPr>
                <w:rFonts w:ascii="Calibri" w:hAnsi="Calibri" w:cs="Calibri"/>
                <w:i/>
                <w:sz w:val="20"/>
                <w:szCs w:val="20"/>
              </w:rPr>
            </w:pPr>
            <w:r w:rsidRPr="0035461C">
              <w:rPr>
                <w:rFonts w:ascii="Calibri" w:hAnsi="Calibri" w:cs="Calibri"/>
                <w:i/>
                <w:sz w:val="20"/>
                <w:szCs w:val="20"/>
              </w:rPr>
              <w:t>Regimens that more closely mimic normal insulin secretion</w:t>
            </w:r>
          </w:p>
        </w:tc>
      </w:tr>
      <w:tr w:rsidR="00256289" w:rsidRPr="0035461C" w14:paraId="161E3F70" w14:textId="77777777" w:rsidTr="008E0C17">
        <w:tc>
          <w:tcPr>
            <w:tcW w:w="0" w:type="auto"/>
            <w:tcBorders>
              <w:top w:val="single" w:sz="4" w:space="0" w:color="auto"/>
              <w:left w:val="single" w:sz="4" w:space="0" w:color="auto"/>
              <w:bottom w:val="single" w:sz="4" w:space="0" w:color="auto"/>
              <w:right w:val="single" w:sz="4" w:space="0" w:color="auto"/>
            </w:tcBorders>
          </w:tcPr>
          <w:p w14:paraId="41E080CD" w14:textId="77777777"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Insulin pump therapy:</w:t>
            </w:r>
          </w:p>
          <w:p w14:paraId="4E095234" w14:textId="7B9A65B3"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Hybrid closed loop</w:t>
            </w:r>
          </w:p>
          <w:p w14:paraId="56A3642A" w14:textId="1818B46C"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Low glucose suspend</w:t>
            </w:r>
          </w:p>
          <w:p w14:paraId="55467FD7" w14:textId="6321FFAB"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CGM-augmented open loop</w:t>
            </w:r>
          </w:p>
          <w:p w14:paraId="0CA33A1E" w14:textId="30FC7677"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BGM-augmented</w:t>
            </w:r>
          </w:p>
          <w:p w14:paraId="6CF950A9" w14:textId="77777777" w:rsidR="008E0C17" w:rsidRPr="0035461C" w:rsidRDefault="008E0C17" w:rsidP="006F5463">
            <w:pPr>
              <w:spacing w:before="120"/>
              <w:rPr>
                <w:rFonts w:ascii="Calibri" w:hAnsi="Calibri" w:cs="Calibri"/>
                <w:sz w:val="20"/>
                <w:szCs w:val="20"/>
              </w:rPr>
            </w:pPr>
          </w:p>
          <w:p w14:paraId="33985357" w14:textId="77777777" w:rsidR="008E0C17" w:rsidRPr="0035461C" w:rsidRDefault="008E0C17" w:rsidP="006F5463">
            <w:pPr>
              <w:spacing w:before="120"/>
              <w:rPr>
                <w:rFonts w:ascii="Calibri" w:hAnsi="Calibri" w:cs="Calibri"/>
                <w:i/>
                <w:sz w:val="20"/>
                <w:szCs w:val="20"/>
              </w:rPr>
            </w:pPr>
          </w:p>
        </w:tc>
        <w:tc>
          <w:tcPr>
            <w:tcW w:w="0" w:type="auto"/>
            <w:tcBorders>
              <w:top w:val="single" w:sz="4" w:space="0" w:color="auto"/>
              <w:left w:val="single" w:sz="4" w:space="0" w:color="auto"/>
              <w:bottom w:val="single" w:sz="4" w:space="0" w:color="auto"/>
              <w:right w:val="single" w:sz="4" w:space="0" w:color="auto"/>
            </w:tcBorders>
          </w:tcPr>
          <w:p w14:paraId="2C7FB279" w14:textId="5AA08064"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Basal delivery of URAA or RAA; generally 40-60% of TDD</w:t>
            </w:r>
          </w:p>
          <w:p w14:paraId="39EE8D85" w14:textId="08FB897C" w:rsidR="008E0C17" w:rsidRPr="0035461C" w:rsidRDefault="008E0C17" w:rsidP="00603DB8">
            <w:pPr>
              <w:spacing w:before="120"/>
              <w:rPr>
                <w:rFonts w:ascii="Calibri" w:hAnsi="Calibri" w:cs="Calibri"/>
                <w:sz w:val="20"/>
                <w:szCs w:val="20"/>
              </w:rPr>
            </w:pPr>
            <w:r w:rsidRPr="0035461C">
              <w:rPr>
                <w:rFonts w:ascii="Calibri" w:hAnsi="Calibri" w:cs="Calibri"/>
                <w:sz w:val="20"/>
                <w:szCs w:val="20"/>
              </w:rPr>
              <w:t>Mealtime and correction: URAA or RAA by bolus based on ICR and/or correction (sensitivity factor and target glucose)</w:t>
            </w:r>
            <w:r w:rsidR="00256289">
              <w:rPr>
                <w:rFonts w:ascii="Calibri" w:hAnsi="Calibri" w:cs="Calibri"/>
                <w:sz w:val="20"/>
                <w:szCs w:val="20"/>
              </w:rPr>
              <w:t>, with pre-meal insulin ~15 minutes before eating</w:t>
            </w:r>
          </w:p>
        </w:tc>
        <w:tc>
          <w:tcPr>
            <w:tcW w:w="0" w:type="auto"/>
            <w:tcBorders>
              <w:top w:val="single" w:sz="4" w:space="0" w:color="auto"/>
              <w:left w:val="single" w:sz="4" w:space="0" w:color="auto"/>
              <w:bottom w:val="single" w:sz="4" w:space="0" w:color="auto"/>
              <w:right w:val="single" w:sz="4" w:space="0" w:color="auto"/>
            </w:tcBorders>
          </w:tcPr>
          <w:p w14:paraId="20B25179" w14:textId="5697A35F"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Can adjust basal rates for varying insulin sensitivity by time of day, for exercise, for sick days</w:t>
            </w:r>
          </w:p>
          <w:p w14:paraId="4CCE2AB1" w14:textId="09F6D75D"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Flexibility in meal timing and content</w:t>
            </w:r>
          </w:p>
          <w:p w14:paraId="2792A6FF" w14:textId="1C7E0C47"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Pump can deliver insulin in increments of fractions of units</w:t>
            </w:r>
          </w:p>
          <w:p w14:paraId="3EAAA36E" w14:textId="585F74C6"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Potential for integration with CGM for low-glucose suspend or hybrid closed-loop</w:t>
            </w:r>
          </w:p>
          <w:p w14:paraId="334C769F" w14:textId="02DB9F71"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 Time in range highest and % time below range lowest:</w:t>
            </w:r>
            <w:r w:rsidR="00E615B3" w:rsidRPr="0035461C">
              <w:rPr>
                <w:rFonts w:ascii="Calibri" w:hAnsi="Calibri" w:cs="Calibri"/>
                <w:sz w:val="20"/>
                <w:szCs w:val="20"/>
              </w:rPr>
              <w:t xml:space="preserve"> </w:t>
            </w:r>
            <w:r w:rsidRPr="0035461C">
              <w:rPr>
                <w:rFonts w:ascii="Calibri" w:hAnsi="Calibri" w:cs="Calibri"/>
                <w:sz w:val="20"/>
                <w:szCs w:val="20"/>
              </w:rPr>
              <w:t>hybrid closed loop &gt; low glucose suspend</w:t>
            </w:r>
            <w:r w:rsidR="006F5463" w:rsidRPr="0035461C">
              <w:rPr>
                <w:rFonts w:ascii="Calibri" w:hAnsi="Calibri" w:cs="Calibri"/>
                <w:sz w:val="20"/>
                <w:szCs w:val="20"/>
              </w:rPr>
              <w:t xml:space="preserve"> &gt; CGM- augmented open loop &gt; </w:t>
            </w:r>
            <w:r w:rsidRPr="0035461C">
              <w:rPr>
                <w:rFonts w:ascii="Calibri" w:hAnsi="Calibri" w:cs="Calibri"/>
                <w:sz w:val="20"/>
                <w:szCs w:val="20"/>
              </w:rPr>
              <w:t>BG</w:t>
            </w:r>
            <w:r w:rsidR="006F5463" w:rsidRPr="0035461C">
              <w:rPr>
                <w:rFonts w:ascii="Calibri" w:hAnsi="Calibri" w:cs="Calibri"/>
                <w:sz w:val="20"/>
                <w:szCs w:val="20"/>
              </w:rPr>
              <w:t>M</w:t>
            </w:r>
            <w:r w:rsidRPr="0035461C">
              <w:rPr>
                <w:rFonts w:ascii="Calibri" w:hAnsi="Calibri" w:cs="Calibri"/>
                <w:sz w:val="20"/>
                <w:szCs w:val="20"/>
              </w:rPr>
              <w:t>-augmented open loop</w:t>
            </w:r>
          </w:p>
        </w:tc>
        <w:tc>
          <w:tcPr>
            <w:tcW w:w="0" w:type="auto"/>
            <w:tcBorders>
              <w:top w:val="single" w:sz="4" w:space="0" w:color="auto"/>
              <w:left w:val="single" w:sz="4" w:space="0" w:color="auto"/>
              <w:bottom w:val="single" w:sz="4" w:space="0" w:color="auto"/>
              <w:right w:val="single" w:sz="4" w:space="0" w:color="auto"/>
            </w:tcBorders>
          </w:tcPr>
          <w:p w14:paraId="2D6B0332" w14:textId="5CDCAF82"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Most expensive regimen</w:t>
            </w:r>
          </w:p>
          <w:p w14:paraId="5CA0B7D6" w14:textId="2310A4B8"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Must continuously wear one or more devices</w:t>
            </w:r>
          </w:p>
          <w:p w14:paraId="13390A6B" w14:textId="3403F913"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Risk of rapid development of ketosis, DKA with interruption of insulin delivery</w:t>
            </w:r>
          </w:p>
          <w:p w14:paraId="48B3399B" w14:textId="77777777"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Potential reactions to adhesives, site infections</w:t>
            </w:r>
          </w:p>
          <w:p w14:paraId="0E5175E1" w14:textId="7622D1C6" w:rsidR="00C17450" w:rsidRPr="0035461C" w:rsidRDefault="00C17450" w:rsidP="00AE3366">
            <w:pPr>
              <w:spacing w:before="120"/>
              <w:rPr>
                <w:rFonts w:ascii="Calibri" w:hAnsi="Calibri" w:cs="Calibri"/>
                <w:sz w:val="20"/>
                <w:szCs w:val="20"/>
              </w:rPr>
            </w:pPr>
            <w:r w:rsidRPr="0035461C">
              <w:rPr>
                <w:rFonts w:ascii="Calibri" w:hAnsi="Calibri" w:cs="Calibri"/>
                <w:sz w:val="20"/>
                <w:szCs w:val="20"/>
              </w:rPr>
              <w:t xml:space="preserve">Most technically complex approach—harder for </w:t>
            </w:r>
            <w:r w:rsidR="00AE3366" w:rsidRPr="0035461C">
              <w:rPr>
                <w:rFonts w:ascii="Calibri" w:hAnsi="Calibri" w:cs="Calibri"/>
                <w:sz w:val="20"/>
                <w:szCs w:val="20"/>
              </w:rPr>
              <w:t>people with</w:t>
            </w:r>
            <w:r w:rsidRPr="0035461C">
              <w:rPr>
                <w:rFonts w:ascii="Calibri" w:hAnsi="Calibri" w:cs="Calibri"/>
                <w:sz w:val="20"/>
                <w:szCs w:val="20"/>
              </w:rPr>
              <w:t xml:space="preserve"> lower numeracy</w:t>
            </w:r>
            <w:r w:rsidR="00AE3366" w:rsidRPr="0035461C">
              <w:rPr>
                <w:rFonts w:ascii="Calibri" w:hAnsi="Calibri" w:cs="Calibri"/>
                <w:sz w:val="20"/>
                <w:szCs w:val="20"/>
              </w:rPr>
              <w:t xml:space="preserve"> or </w:t>
            </w:r>
            <w:r w:rsidRPr="0035461C">
              <w:rPr>
                <w:rFonts w:ascii="Calibri" w:hAnsi="Calibri" w:cs="Calibri"/>
                <w:sz w:val="20"/>
                <w:szCs w:val="20"/>
              </w:rPr>
              <w:t>literacy skills</w:t>
            </w:r>
          </w:p>
        </w:tc>
        <w:tc>
          <w:tcPr>
            <w:tcW w:w="0" w:type="auto"/>
            <w:tcBorders>
              <w:top w:val="single" w:sz="4" w:space="0" w:color="auto"/>
              <w:left w:val="single" w:sz="4" w:space="0" w:color="auto"/>
              <w:bottom w:val="single" w:sz="4" w:space="0" w:color="auto"/>
              <w:right w:val="single" w:sz="4" w:space="0" w:color="auto"/>
            </w:tcBorders>
          </w:tcPr>
          <w:p w14:paraId="0A24376D" w14:textId="6C71CBF3"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 xml:space="preserve">Mealtime insulin: if carbohydrate counting accurate, change </w:t>
            </w:r>
            <w:r w:rsidR="006F5463" w:rsidRPr="0035461C">
              <w:rPr>
                <w:rFonts w:ascii="Calibri" w:hAnsi="Calibri" w:cs="Calibri"/>
                <w:sz w:val="20"/>
                <w:szCs w:val="20"/>
              </w:rPr>
              <w:t>ICR</w:t>
            </w:r>
            <w:r w:rsidRPr="0035461C">
              <w:rPr>
                <w:rFonts w:ascii="Calibri" w:hAnsi="Calibri" w:cs="Calibri"/>
                <w:sz w:val="20"/>
                <w:szCs w:val="20"/>
              </w:rPr>
              <w:t xml:space="preserve"> if glucose after meal consistently out of target</w:t>
            </w:r>
          </w:p>
          <w:p w14:paraId="7EA04E38" w14:textId="38917AA2"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 xml:space="preserve">Correction insulin: adjust </w:t>
            </w:r>
            <w:r w:rsidR="006F5463" w:rsidRPr="0035461C">
              <w:rPr>
                <w:rFonts w:ascii="Calibri" w:hAnsi="Calibri" w:cs="Calibri"/>
                <w:sz w:val="20"/>
                <w:szCs w:val="20"/>
              </w:rPr>
              <w:t>ISF</w:t>
            </w:r>
            <w:r w:rsidRPr="0035461C">
              <w:rPr>
                <w:rFonts w:ascii="Calibri" w:hAnsi="Calibri" w:cs="Calibri"/>
                <w:sz w:val="20"/>
                <w:szCs w:val="20"/>
              </w:rPr>
              <w:t xml:space="preserve"> and/or target glucose if correction does not consistently bring glucose into range</w:t>
            </w:r>
          </w:p>
          <w:p w14:paraId="66E5BA05" w14:textId="77777777"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 xml:space="preserve">Basal rates: adjust based on overnight, fasting, or daytime glucose outside of activity of URAA/RAA bolus </w:t>
            </w:r>
          </w:p>
        </w:tc>
      </w:tr>
      <w:tr w:rsidR="00256289" w:rsidRPr="0035461C" w14:paraId="0F715DB2" w14:textId="77777777" w:rsidTr="008E0C17">
        <w:tc>
          <w:tcPr>
            <w:tcW w:w="0" w:type="auto"/>
            <w:tcBorders>
              <w:top w:val="single" w:sz="4" w:space="0" w:color="auto"/>
              <w:left w:val="single" w:sz="4" w:space="0" w:color="auto"/>
              <w:bottom w:val="single" w:sz="4" w:space="0" w:color="auto"/>
              <w:right w:val="single" w:sz="4" w:space="0" w:color="auto"/>
            </w:tcBorders>
          </w:tcPr>
          <w:p w14:paraId="0CB50EEB" w14:textId="30ADAB73"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Multiple daily injections:</w:t>
            </w:r>
          </w:p>
          <w:p w14:paraId="190A0B6A" w14:textId="2C5994F9"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 xml:space="preserve">LAA </w:t>
            </w:r>
            <w:r w:rsidR="006F5463" w:rsidRPr="0035461C">
              <w:rPr>
                <w:rFonts w:ascii="Calibri" w:hAnsi="Calibri" w:cs="Calibri"/>
                <w:sz w:val="20"/>
                <w:szCs w:val="20"/>
              </w:rPr>
              <w:t>+</w:t>
            </w:r>
            <w:r w:rsidRPr="0035461C">
              <w:rPr>
                <w:rFonts w:ascii="Calibri" w:hAnsi="Calibri" w:cs="Calibri"/>
                <w:sz w:val="20"/>
                <w:szCs w:val="20"/>
              </w:rPr>
              <w:t xml:space="preserve"> flexible doses o</w:t>
            </w:r>
            <w:r w:rsidR="006F5463" w:rsidRPr="0035461C">
              <w:rPr>
                <w:rFonts w:ascii="Calibri" w:hAnsi="Calibri" w:cs="Calibri"/>
                <w:sz w:val="20"/>
                <w:szCs w:val="20"/>
              </w:rPr>
              <w:t>f</w:t>
            </w:r>
            <w:r w:rsidRPr="0035461C">
              <w:rPr>
                <w:rFonts w:ascii="Calibri" w:hAnsi="Calibri" w:cs="Calibri"/>
                <w:sz w:val="20"/>
                <w:szCs w:val="20"/>
              </w:rPr>
              <w:t xml:space="preserve"> URAA or RAA at meals</w:t>
            </w:r>
          </w:p>
        </w:tc>
        <w:tc>
          <w:tcPr>
            <w:tcW w:w="0" w:type="auto"/>
            <w:tcBorders>
              <w:top w:val="single" w:sz="4" w:space="0" w:color="auto"/>
              <w:left w:val="single" w:sz="4" w:space="0" w:color="auto"/>
              <w:bottom w:val="single" w:sz="4" w:space="0" w:color="auto"/>
              <w:right w:val="single" w:sz="4" w:space="0" w:color="auto"/>
            </w:tcBorders>
          </w:tcPr>
          <w:p w14:paraId="7CFEBED5" w14:textId="3B140039"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LAA once daily (</w:t>
            </w:r>
            <w:proofErr w:type="spellStart"/>
            <w:r w:rsidRPr="0035461C">
              <w:rPr>
                <w:rFonts w:ascii="Calibri" w:hAnsi="Calibri" w:cs="Calibri"/>
                <w:sz w:val="20"/>
                <w:szCs w:val="20"/>
              </w:rPr>
              <w:t>detemir</w:t>
            </w:r>
            <w:proofErr w:type="spellEnd"/>
            <w:r w:rsidRPr="0035461C">
              <w:rPr>
                <w:rFonts w:ascii="Calibri" w:hAnsi="Calibri" w:cs="Calibri"/>
                <w:sz w:val="20"/>
                <w:szCs w:val="20"/>
              </w:rPr>
              <w:t xml:space="preserve"> or glargine may require twice daily dosing); generally 50% of TDD</w:t>
            </w:r>
          </w:p>
          <w:p w14:paraId="53EBF46D" w14:textId="77777777"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Mealtime and correction: URAA or RAA based on ICR and/or correction (sensitivity factor and target glucose)</w:t>
            </w:r>
          </w:p>
        </w:tc>
        <w:tc>
          <w:tcPr>
            <w:tcW w:w="0" w:type="auto"/>
            <w:tcBorders>
              <w:top w:val="single" w:sz="4" w:space="0" w:color="auto"/>
              <w:left w:val="single" w:sz="4" w:space="0" w:color="auto"/>
              <w:bottom w:val="single" w:sz="4" w:space="0" w:color="auto"/>
              <w:right w:val="single" w:sz="4" w:space="0" w:color="auto"/>
            </w:tcBorders>
          </w:tcPr>
          <w:p w14:paraId="7111D393" w14:textId="05ABBD31"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Can use pens for all components</w:t>
            </w:r>
          </w:p>
          <w:p w14:paraId="0673C4A5" w14:textId="7D8CD012"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Flexibility in meal timing and content</w:t>
            </w:r>
          </w:p>
          <w:p w14:paraId="224BADA2" w14:textId="6132F573" w:rsidR="008E0C17" w:rsidRPr="0035461C" w:rsidRDefault="006F5463" w:rsidP="006F5463">
            <w:pPr>
              <w:spacing w:before="120"/>
              <w:rPr>
                <w:rFonts w:ascii="Calibri" w:hAnsi="Calibri" w:cs="Calibri"/>
                <w:sz w:val="20"/>
                <w:szCs w:val="20"/>
              </w:rPr>
            </w:pPr>
            <w:r w:rsidRPr="0035461C">
              <w:rPr>
                <w:rFonts w:ascii="Calibri" w:hAnsi="Calibri" w:cs="Calibri"/>
                <w:sz w:val="20"/>
                <w:szCs w:val="20"/>
              </w:rPr>
              <w:t>Insulin a</w:t>
            </w:r>
            <w:r w:rsidR="008E0C17" w:rsidRPr="0035461C">
              <w:rPr>
                <w:rFonts w:ascii="Calibri" w:hAnsi="Calibri" w:cs="Calibri"/>
                <w:sz w:val="20"/>
                <w:szCs w:val="20"/>
              </w:rPr>
              <w:t>nalog</w:t>
            </w:r>
            <w:r w:rsidRPr="0035461C">
              <w:rPr>
                <w:rFonts w:ascii="Calibri" w:hAnsi="Calibri" w:cs="Calibri"/>
                <w:sz w:val="20"/>
                <w:szCs w:val="20"/>
              </w:rPr>
              <w:t>ue</w:t>
            </w:r>
            <w:r w:rsidR="008E0C17" w:rsidRPr="0035461C">
              <w:rPr>
                <w:rFonts w:ascii="Calibri" w:hAnsi="Calibri" w:cs="Calibri"/>
                <w:sz w:val="20"/>
                <w:szCs w:val="20"/>
              </w:rPr>
              <w:t>s cause less hypoglycaemia than human insulins</w:t>
            </w:r>
          </w:p>
        </w:tc>
        <w:tc>
          <w:tcPr>
            <w:tcW w:w="0" w:type="auto"/>
            <w:tcBorders>
              <w:top w:val="single" w:sz="4" w:space="0" w:color="auto"/>
              <w:left w:val="single" w:sz="4" w:space="0" w:color="auto"/>
              <w:bottom w:val="single" w:sz="4" w:space="0" w:color="auto"/>
              <w:right w:val="single" w:sz="4" w:space="0" w:color="auto"/>
            </w:tcBorders>
          </w:tcPr>
          <w:p w14:paraId="4C50E276" w14:textId="77777777"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At least four daily injections</w:t>
            </w:r>
          </w:p>
          <w:p w14:paraId="408B0BBE" w14:textId="77777777"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Most costly insulins</w:t>
            </w:r>
          </w:p>
          <w:p w14:paraId="22C192D1" w14:textId="77777777"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Smallest increments of insulin one unit (one-half unit with some pens)</w:t>
            </w:r>
          </w:p>
          <w:p w14:paraId="794134BC" w14:textId="77777777"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LAAs may not cover strong dawn phenomenon as well as pump therapy</w:t>
            </w:r>
          </w:p>
          <w:p w14:paraId="246F8AA7" w14:textId="28E73112" w:rsidR="00C17450" w:rsidRPr="0035461C" w:rsidRDefault="00C17450" w:rsidP="006F5463">
            <w:pPr>
              <w:spacing w:before="120"/>
              <w:rPr>
                <w:rFonts w:ascii="Calibri" w:hAnsi="Calibri" w:cs="Calibri"/>
                <w:sz w:val="20"/>
                <w:szCs w:val="20"/>
              </w:rPr>
            </w:pPr>
          </w:p>
        </w:tc>
        <w:tc>
          <w:tcPr>
            <w:tcW w:w="0" w:type="auto"/>
            <w:tcBorders>
              <w:top w:val="single" w:sz="4" w:space="0" w:color="auto"/>
              <w:left w:val="single" w:sz="4" w:space="0" w:color="auto"/>
              <w:bottom w:val="single" w:sz="4" w:space="0" w:color="auto"/>
              <w:right w:val="single" w:sz="4" w:space="0" w:color="auto"/>
            </w:tcBorders>
          </w:tcPr>
          <w:p w14:paraId="6626E1D6" w14:textId="5E801953"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 xml:space="preserve">Mealtime insulin: if carbohydrate counting accurate, change </w:t>
            </w:r>
            <w:r w:rsidR="006F5463" w:rsidRPr="0035461C">
              <w:rPr>
                <w:rFonts w:ascii="Calibri" w:hAnsi="Calibri" w:cs="Calibri"/>
                <w:sz w:val="20"/>
                <w:szCs w:val="20"/>
              </w:rPr>
              <w:t>ICR</w:t>
            </w:r>
            <w:r w:rsidRPr="0035461C">
              <w:rPr>
                <w:rFonts w:ascii="Calibri" w:hAnsi="Calibri" w:cs="Calibri"/>
                <w:sz w:val="20"/>
                <w:szCs w:val="20"/>
              </w:rPr>
              <w:t xml:space="preserve"> if glucose after meal consistently out of target</w:t>
            </w:r>
          </w:p>
          <w:p w14:paraId="5A133FCF" w14:textId="59524D30"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 xml:space="preserve">Correction insulin: adjust </w:t>
            </w:r>
            <w:r w:rsidR="006F5463" w:rsidRPr="0035461C">
              <w:rPr>
                <w:rFonts w:ascii="Calibri" w:hAnsi="Calibri" w:cs="Calibri"/>
                <w:sz w:val="20"/>
                <w:szCs w:val="20"/>
              </w:rPr>
              <w:t>ISF</w:t>
            </w:r>
            <w:r w:rsidRPr="0035461C">
              <w:rPr>
                <w:rFonts w:ascii="Calibri" w:hAnsi="Calibri" w:cs="Calibri"/>
                <w:sz w:val="20"/>
                <w:szCs w:val="20"/>
              </w:rPr>
              <w:t xml:space="preserve"> and/or target glucose if correction does not consistently bring glucose into range</w:t>
            </w:r>
          </w:p>
          <w:p w14:paraId="6BCC15E8" w14:textId="580CD95E"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LAA: based on overnight or fasting glucose or daytime glucose outside of activity time-course or URAA or RAA injections</w:t>
            </w:r>
          </w:p>
        </w:tc>
      </w:tr>
      <w:tr w:rsidR="008E0C17" w:rsidRPr="0035461C" w14:paraId="04B5A27B" w14:textId="77777777" w:rsidTr="008E0C17">
        <w:tc>
          <w:tcPr>
            <w:tcW w:w="0" w:type="auto"/>
            <w:gridSpan w:val="5"/>
            <w:tcBorders>
              <w:top w:val="single" w:sz="4" w:space="0" w:color="auto"/>
              <w:left w:val="single" w:sz="4" w:space="0" w:color="auto"/>
              <w:bottom w:val="single" w:sz="4" w:space="0" w:color="auto"/>
              <w:right w:val="single" w:sz="4" w:space="0" w:color="auto"/>
            </w:tcBorders>
            <w:hideMark/>
          </w:tcPr>
          <w:p w14:paraId="0B24253F" w14:textId="77777777" w:rsidR="008E0C17" w:rsidRPr="0035461C" w:rsidRDefault="008E0C17" w:rsidP="006F5463">
            <w:pPr>
              <w:rPr>
                <w:rFonts w:ascii="Calibri" w:hAnsi="Calibri" w:cs="Calibri"/>
                <w:i/>
                <w:sz w:val="20"/>
                <w:szCs w:val="20"/>
              </w:rPr>
            </w:pPr>
            <w:r w:rsidRPr="0035461C">
              <w:rPr>
                <w:rFonts w:ascii="Calibri" w:hAnsi="Calibri" w:cs="Calibri"/>
                <w:i/>
                <w:sz w:val="20"/>
                <w:szCs w:val="20"/>
              </w:rPr>
              <w:t>Multiple daily injection regimens with less flexibility</w:t>
            </w:r>
          </w:p>
        </w:tc>
      </w:tr>
      <w:tr w:rsidR="00256289" w:rsidRPr="0035461C" w14:paraId="6C5ED2C5" w14:textId="77777777" w:rsidTr="008E0C17">
        <w:tc>
          <w:tcPr>
            <w:tcW w:w="0" w:type="auto"/>
            <w:tcBorders>
              <w:top w:val="single" w:sz="4" w:space="0" w:color="auto"/>
              <w:left w:val="single" w:sz="4" w:space="0" w:color="auto"/>
              <w:bottom w:val="single" w:sz="4" w:space="0" w:color="auto"/>
              <w:right w:val="single" w:sz="4" w:space="0" w:color="auto"/>
            </w:tcBorders>
            <w:hideMark/>
          </w:tcPr>
          <w:p w14:paraId="4726EBD3" w14:textId="55E5A1E5" w:rsidR="008E0C17" w:rsidRPr="0035461C" w:rsidRDefault="006F5463" w:rsidP="006F5463">
            <w:pPr>
              <w:spacing w:before="120"/>
              <w:rPr>
                <w:rFonts w:ascii="Calibri" w:hAnsi="Calibri" w:cs="Calibri"/>
                <w:sz w:val="20"/>
                <w:szCs w:val="20"/>
              </w:rPr>
            </w:pPr>
            <w:r w:rsidRPr="0035461C">
              <w:rPr>
                <w:rFonts w:ascii="Calibri" w:hAnsi="Calibri" w:cs="Calibri"/>
                <w:sz w:val="20"/>
                <w:szCs w:val="20"/>
              </w:rPr>
              <w:t>4 injections daily with f</w:t>
            </w:r>
            <w:r w:rsidR="008E0C17" w:rsidRPr="0035461C">
              <w:rPr>
                <w:rFonts w:ascii="Calibri" w:hAnsi="Calibri" w:cs="Calibri"/>
                <w:sz w:val="20"/>
                <w:szCs w:val="20"/>
              </w:rPr>
              <w:t>ixed doses of N and RAA</w:t>
            </w:r>
          </w:p>
        </w:tc>
        <w:tc>
          <w:tcPr>
            <w:tcW w:w="0" w:type="auto"/>
            <w:tcBorders>
              <w:top w:val="single" w:sz="4" w:space="0" w:color="auto"/>
              <w:left w:val="single" w:sz="4" w:space="0" w:color="auto"/>
              <w:bottom w:val="single" w:sz="4" w:space="0" w:color="auto"/>
              <w:right w:val="single" w:sz="4" w:space="0" w:color="auto"/>
            </w:tcBorders>
          </w:tcPr>
          <w:p w14:paraId="033BA1E8" w14:textId="1908555F"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 xml:space="preserve">Pre-breakfast: RAA </w:t>
            </w:r>
            <w:r w:rsidR="006F5463" w:rsidRPr="0035461C">
              <w:rPr>
                <w:rFonts w:ascii="Calibri" w:hAnsi="Calibri" w:cs="Calibri"/>
                <w:sz w:val="20"/>
                <w:szCs w:val="20"/>
              </w:rPr>
              <w:t>~</w:t>
            </w:r>
            <w:r w:rsidRPr="0035461C">
              <w:rPr>
                <w:rFonts w:ascii="Calibri" w:hAnsi="Calibri" w:cs="Calibri"/>
                <w:sz w:val="20"/>
                <w:szCs w:val="20"/>
              </w:rPr>
              <w:t>20% of TDD</w:t>
            </w:r>
          </w:p>
          <w:p w14:paraId="334544BC" w14:textId="345212E1"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 xml:space="preserve">Pre-lunch: RAA </w:t>
            </w:r>
            <w:r w:rsidR="006F5463" w:rsidRPr="0035461C">
              <w:rPr>
                <w:rFonts w:ascii="Calibri" w:hAnsi="Calibri" w:cs="Calibri"/>
                <w:sz w:val="20"/>
                <w:szCs w:val="20"/>
              </w:rPr>
              <w:t>~</w:t>
            </w:r>
            <w:r w:rsidRPr="0035461C">
              <w:rPr>
                <w:rFonts w:ascii="Calibri" w:hAnsi="Calibri" w:cs="Calibri"/>
                <w:sz w:val="20"/>
                <w:szCs w:val="20"/>
              </w:rPr>
              <w:t>10% of TDD</w:t>
            </w:r>
          </w:p>
          <w:p w14:paraId="2C96CEE0" w14:textId="32190494"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 xml:space="preserve">Pre-dinner: RAA </w:t>
            </w:r>
            <w:r w:rsidR="006F5463" w:rsidRPr="0035461C">
              <w:rPr>
                <w:rFonts w:ascii="Calibri" w:hAnsi="Calibri" w:cs="Calibri"/>
                <w:sz w:val="20"/>
                <w:szCs w:val="20"/>
              </w:rPr>
              <w:t>~</w:t>
            </w:r>
            <w:r w:rsidRPr="0035461C">
              <w:rPr>
                <w:rFonts w:ascii="Calibri" w:hAnsi="Calibri" w:cs="Calibri"/>
                <w:sz w:val="20"/>
                <w:szCs w:val="20"/>
              </w:rPr>
              <w:t>10% of TDD</w:t>
            </w:r>
          </w:p>
          <w:p w14:paraId="308B3EF8" w14:textId="302632D2"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 xml:space="preserve">Bedtime: N </w:t>
            </w:r>
            <w:r w:rsidR="006F5463" w:rsidRPr="0035461C">
              <w:rPr>
                <w:rFonts w:ascii="Calibri" w:hAnsi="Calibri" w:cs="Calibri"/>
                <w:sz w:val="20"/>
                <w:szCs w:val="20"/>
              </w:rPr>
              <w:t>~</w:t>
            </w:r>
            <w:r w:rsidRPr="0035461C">
              <w:rPr>
                <w:rFonts w:ascii="Calibri" w:hAnsi="Calibri" w:cs="Calibri"/>
                <w:sz w:val="20"/>
                <w:szCs w:val="20"/>
              </w:rPr>
              <w:t>50% of TDD</w:t>
            </w:r>
          </w:p>
        </w:tc>
        <w:tc>
          <w:tcPr>
            <w:tcW w:w="0" w:type="auto"/>
            <w:tcBorders>
              <w:top w:val="single" w:sz="4" w:space="0" w:color="auto"/>
              <w:left w:val="single" w:sz="4" w:space="0" w:color="auto"/>
              <w:bottom w:val="single" w:sz="4" w:space="0" w:color="auto"/>
              <w:right w:val="single" w:sz="4" w:space="0" w:color="auto"/>
            </w:tcBorders>
          </w:tcPr>
          <w:p w14:paraId="1118F357" w14:textId="3F9D3313"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May be feasible if unable to carb count</w:t>
            </w:r>
          </w:p>
          <w:p w14:paraId="6CC87087" w14:textId="6CF8A6AF"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All meals have RAA coverage</w:t>
            </w:r>
          </w:p>
          <w:p w14:paraId="6D263C39" w14:textId="2BF99491"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N less expensive than LAAs</w:t>
            </w:r>
          </w:p>
        </w:tc>
        <w:tc>
          <w:tcPr>
            <w:tcW w:w="0" w:type="auto"/>
            <w:tcBorders>
              <w:top w:val="single" w:sz="4" w:space="0" w:color="auto"/>
              <w:left w:val="single" w:sz="4" w:space="0" w:color="auto"/>
              <w:bottom w:val="single" w:sz="4" w:space="0" w:color="auto"/>
              <w:right w:val="single" w:sz="4" w:space="0" w:color="auto"/>
            </w:tcBorders>
          </w:tcPr>
          <w:p w14:paraId="52B0DE58" w14:textId="1A766056"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Shorter duration RAA may lead to basal deficit during day; may need twice-daily N</w:t>
            </w:r>
          </w:p>
          <w:p w14:paraId="73EF278A" w14:textId="69245364"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Greater risk of nocturnal hypoglycaemia with N</w:t>
            </w:r>
          </w:p>
          <w:p w14:paraId="38CCDB6F" w14:textId="77777777"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Requires relatively consistent mealtimes and carb intake</w:t>
            </w:r>
          </w:p>
        </w:tc>
        <w:tc>
          <w:tcPr>
            <w:tcW w:w="0" w:type="auto"/>
            <w:tcBorders>
              <w:top w:val="single" w:sz="4" w:space="0" w:color="auto"/>
              <w:left w:val="single" w:sz="4" w:space="0" w:color="auto"/>
              <w:bottom w:val="single" w:sz="4" w:space="0" w:color="auto"/>
              <w:right w:val="single" w:sz="4" w:space="0" w:color="auto"/>
            </w:tcBorders>
          </w:tcPr>
          <w:p w14:paraId="10002436" w14:textId="66346466"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 xml:space="preserve">Pre-breakfast RAA: based on </w:t>
            </w:r>
            <w:r w:rsidR="006F5463" w:rsidRPr="0035461C">
              <w:rPr>
                <w:rFonts w:ascii="Calibri" w:hAnsi="Calibri" w:cs="Calibri"/>
                <w:sz w:val="20"/>
                <w:szCs w:val="20"/>
              </w:rPr>
              <w:t>BGM</w:t>
            </w:r>
            <w:r w:rsidRPr="0035461C">
              <w:rPr>
                <w:rFonts w:ascii="Calibri" w:hAnsi="Calibri" w:cs="Calibri"/>
                <w:sz w:val="20"/>
                <w:szCs w:val="20"/>
              </w:rPr>
              <w:t xml:space="preserve"> after breakfast or before lunch</w:t>
            </w:r>
          </w:p>
          <w:p w14:paraId="0DA73672" w14:textId="191E2BB4"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 xml:space="preserve">Pre-lunch RAA: based on </w:t>
            </w:r>
            <w:r w:rsidR="006F5463" w:rsidRPr="0035461C">
              <w:rPr>
                <w:rFonts w:ascii="Calibri" w:hAnsi="Calibri" w:cs="Calibri"/>
                <w:sz w:val="20"/>
                <w:szCs w:val="20"/>
              </w:rPr>
              <w:t>BGM</w:t>
            </w:r>
            <w:r w:rsidRPr="0035461C">
              <w:rPr>
                <w:rFonts w:ascii="Calibri" w:hAnsi="Calibri" w:cs="Calibri"/>
                <w:sz w:val="20"/>
                <w:szCs w:val="20"/>
              </w:rPr>
              <w:t xml:space="preserve"> after lunch or before dinner</w:t>
            </w:r>
          </w:p>
          <w:p w14:paraId="58C368E0" w14:textId="2A01021E"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 xml:space="preserve">Pre-dinner RAA: based on </w:t>
            </w:r>
            <w:r w:rsidR="006F5463" w:rsidRPr="0035461C">
              <w:rPr>
                <w:rFonts w:ascii="Calibri" w:hAnsi="Calibri" w:cs="Calibri"/>
                <w:sz w:val="20"/>
                <w:szCs w:val="20"/>
              </w:rPr>
              <w:t>BGM</w:t>
            </w:r>
            <w:r w:rsidRPr="0035461C">
              <w:rPr>
                <w:rFonts w:ascii="Calibri" w:hAnsi="Calibri" w:cs="Calibri"/>
                <w:sz w:val="20"/>
                <w:szCs w:val="20"/>
              </w:rPr>
              <w:t xml:space="preserve"> after dinner or at bedtime</w:t>
            </w:r>
          </w:p>
          <w:p w14:paraId="5B9B3576" w14:textId="17731105"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 xml:space="preserve">Evening N: based on fasting or overnight </w:t>
            </w:r>
            <w:r w:rsidR="006F5463" w:rsidRPr="0035461C">
              <w:rPr>
                <w:rFonts w:ascii="Calibri" w:hAnsi="Calibri" w:cs="Calibri"/>
                <w:sz w:val="20"/>
                <w:szCs w:val="20"/>
              </w:rPr>
              <w:t>BGM</w:t>
            </w:r>
          </w:p>
        </w:tc>
      </w:tr>
      <w:tr w:rsidR="00256289" w:rsidRPr="0035461C" w14:paraId="342122EC" w14:textId="77777777" w:rsidTr="008E0C17">
        <w:tc>
          <w:tcPr>
            <w:tcW w:w="0" w:type="auto"/>
            <w:tcBorders>
              <w:top w:val="single" w:sz="4" w:space="0" w:color="auto"/>
              <w:left w:val="single" w:sz="4" w:space="0" w:color="auto"/>
              <w:bottom w:val="single" w:sz="4" w:space="0" w:color="auto"/>
              <w:right w:val="single" w:sz="4" w:space="0" w:color="auto"/>
            </w:tcBorders>
            <w:hideMark/>
          </w:tcPr>
          <w:p w14:paraId="0CC8C6C8" w14:textId="463F3CB6"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4 injections daily</w:t>
            </w:r>
            <w:r w:rsidR="006F5463" w:rsidRPr="0035461C">
              <w:rPr>
                <w:rFonts w:ascii="Calibri" w:hAnsi="Calibri" w:cs="Calibri"/>
                <w:sz w:val="20"/>
                <w:szCs w:val="20"/>
              </w:rPr>
              <w:t xml:space="preserve"> with f</w:t>
            </w:r>
            <w:r w:rsidRPr="0035461C">
              <w:rPr>
                <w:rFonts w:ascii="Calibri" w:hAnsi="Calibri" w:cs="Calibri"/>
                <w:sz w:val="20"/>
                <w:szCs w:val="20"/>
              </w:rPr>
              <w:t>ixed doses of N and R</w:t>
            </w:r>
          </w:p>
        </w:tc>
        <w:tc>
          <w:tcPr>
            <w:tcW w:w="0" w:type="auto"/>
            <w:tcBorders>
              <w:top w:val="single" w:sz="4" w:space="0" w:color="auto"/>
              <w:left w:val="single" w:sz="4" w:space="0" w:color="auto"/>
              <w:bottom w:val="single" w:sz="4" w:space="0" w:color="auto"/>
              <w:right w:val="single" w:sz="4" w:space="0" w:color="auto"/>
            </w:tcBorders>
          </w:tcPr>
          <w:p w14:paraId="4CE05C8A" w14:textId="3C3E6BB0"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 xml:space="preserve">Pre-breakfast: R </w:t>
            </w:r>
            <w:r w:rsidR="006F5463" w:rsidRPr="0035461C">
              <w:rPr>
                <w:rFonts w:ascii="Calibri" w:hAnsi="Calibri" w:cs="Calibri"/>
                <w:sz w:val="20"/>
                <w:szCs w:val="20"/>
              </w:rPr>
              <w:t>~</w:t>
            </w:r>
            <w:r w:rsidRPr="0035461C">
              <w:rPr>
                <w:rFonts w:ascii="Calibri" w:hAnsi="Calibri" w:cs="Calibri"/>
                <w:sz w:val="20"/>
                <w:szCs w:val="20"/>
              </w:rPr>
              <w:t>20% of TDD</w:t>
            </w:r>
          </w:p>
          <w:p w14:paraId="16E58D75" w14:textId="09D00CC4"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 xml:space="preserve">Pre-lunch: R </w:t>
            </w:r>
            <w:r w:rsidR="006F5463" w:rsidRPr="0035461C">
              <w:rPr>
                <w:rFonts w:ascii="Calibri" w:hAnsi="Calibri" w:cs="Calibri"/>
                <w:sz w:val="20"/>
                <w:szCs w:val="20"/>
              </w:rPr>
              <w:t>~</w:t>
            </w:r>
            <w:r w:rsidRPr="0035461C">
              <w:rPr>
                <w:rFonts w:ascii="Calibri" w:hAnsi="Calibri" w:cs="Calibri"/>
                <w:sz w:val="20"/>
                <w:szCs w:val="20"/>
              </w:rPr>
              <w:t>10% of TDD</w:t>
            </w:r>
          </w:p>
          <w:p w14:paraId="184492DC" w14:textId="66E51A7D"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 xml:space="preserve">Pre-dinner: R </w:t>
            </w:r>
            <w:r w:rsidR="006F5463" w:rsidRPr="0035461C">
              <w:rPr>
                <w:rFonts w:ascii="Calibri" w:hAnsi="Calibri" w:cs="Calibri"/>
                <w:sz w:val="20"/>
                <w:szCs w:val="20"/>
              </w:rPr>
              <w:t>~</w:t>
            </w:r>
            <w:r w:rsidRPr="0035461C">
              <w:rPr>
                <w:rFonts w:ascii="Calibri" w:hAnsi="Calibri" w:cs="Calibri"/>
                <w:sz w:val="20"/>
                <w:szCs w:val="20"/>
              </w:rPr>
              <w:t>10% of TDD</w:t>
            </w:r>
          </w:p>
          <w:p w14:paraId="19C2B51A" w14:textId="6111B2EA"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 xml:space="preserve">Bedtime: N </w:t>
            </w:r>
            <w:r w:rsidR="006F5463" w:rsidRPr="0035461C">
              <w:rPr>
                <w:rFonts w:ascii="Calibri" w:hAnsi="Calibri" w:cs="Calibri"/>
                <w:sz w:val="20"/>
                <w:szCs w:val="20"/>
              </w:rPr>
              <w:t>~</w:t>
            </w:r>
            <w:r w:rsidRPr="0035461C">
              <w:rPr>
                <w:rFonts w:ascii="Calibri" w:hAnsi="Calibri" w:cs="Calibri"/>
                <w:sz w:val="20"/>
                <w:szCs w:val="20"/>
              </w:rPr>
              <w:t>50% of TDD</w:t>
            </w:r>
          </w:p>
        </w:tc>
        <w:tc>
          <w:tcPr>
            <w:tcW w:w="0" w:type="auto"/>
            <w:tcBorders>
              <w:top w:val="single" w:sz="4" w:space="0" w:color="auto"/>
              <w:left w:val="single" w:sz="4" w:space="0" w:color="auto"/>
              <w:bottom w:val="single" w:sz="4" w:space="0" w:color="auto"/>
              <w:right w:val="single" w:sz="4" w:space="0" w:color="auto"/>
            </w:tcBorders>
          </w:tcPr>
          <w:p w14:paraId="6BA1A065" w14:textId="71655DB9"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May be feasible if unable to carb count</w:t>
            </w:r>
          </w:p>
          <w:p w14:paraId="5483137F" w14:textId="237A0FD7"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R can be dosed based on ICR and correction</w:t>
            </w:r>
          </w:p>
          <w:p w14:paraId="7CE49E96" w14:textId="52E44806" w:rsidR="008E0C17" w:rsidRPr="0035461C" w:rsidRDefault="006F5463" w:rsidP="006F5463">
            <w:pPr>
              <w:spacing w:before="120"/>
              <w:rPr>
                <w:rFonts w:ascii="Calibri" w:hAnsi="Calibri" w:cs="Calibri"/>
                <w:sz w:val="20"/>
                <w:szCs w:val="20"/>
              </w:rPr>
            </w:pPr>
            <w:r w:rsidRPr="0035461C">
              <w:rPr>
                <w:rFonts w:ascii="Calibri" w:hAnsi="Calibri" w:cs="Calibri"/>
                <w:sz w:val="20"/>
                <w:szCs w:val="20"/>
              </w:rPr>
              <w:t>All</w:t>
            </w:r>
            <w:r w:rsidR="008E0C17" w:rsidRPr="0035461C">
              <w:rPr>
                <w:rFonts w:ascii="Calibri" w:hAnsi="Calibri" w:cs="Calibri"/>
                <w:sz w:val="20"/>
                <w:szCs w:val="20"/>
              </w:rPr>
              <w:t xml:space="preserve"> meals have R coverage</w:t>
            </w:r>
          </w:p>
          <w:p w14:paraId="69A4D514" w14:textId="77777777"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Least expensive insulins</w:t>
            </w:r>
          </w:p>
          <w:p w14:paraId="738F5261" w14:textId="77777777" w:rsidR="008E0C17" w:rsidRPr="0035461C" w:rsidRDefault="008E0C17" w:rsidP="006F5463">
            <w:pPr>
              <w:spacing w:before="120"/>
              <w:rPr>
                <w:rFonts w:ascii="Calibri" w:hAnsi="Calibri" w:cs="Calibri"/>
                <w:sz w:val="20"/>
                <w:szCs w:val="20"/>
              </w:rPr>
            </w:pPr>
          </w:p>
        </w:tc>
        <w:tc>
          <w:tcPr>
            <w:tcW w:w="0" w:type="auto"/>
            <w:tcBorders>
              <w:top w:val="single" w:sz="4" w:space="0" w:color="auto"/>
              <w:left w:val="single" w:sz="4" w:space="0" w:color="auto"/>
              <w:bottom w:val="single" w:sz="4" w:space="0" w:color="auto"/>
              <w:right w:val="single" w:sz="4" w:space="0" w:color="auto"/>
            </w:tcBorders>
          </w:tcPr>
          <w:p w14:paraId="41721FCC" w14:textId="5BC03F5D"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Greater risk of nocturnal hypoglycaemia with N</w:t>
            </w:r>
          </w:p>
          <w:p w14:paraId="31A10314" w14:textId="75826213"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Greater risk of delayed post-meal hypoglycaemia with R</w:t>
            </w:r>
          </w:p>
          <w:p w14:paraId="5B9185AA" w14:textId="2B9AF8C3"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Requires relatively consistent mealtimes and carb intake</w:t>
            </w:r>
          </w:p>
          <w:p w14:paraId="78C1A784" w14:textId="77777777"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R must be injected at least 30 minutes before meal for better effect</w:t>
            </w:r>
          </w:p>
        </w:tc>
        <w:tc>
          <w:tcPr>
            <w:tcW w:w="0" w:type="auto"/>
            <w:tcBorders>
              <w:top w:val="single" w:sz="4" w:space="0" w:color="auto"/>
              <w:left w:val="single" w:sz="4" w:space="0" w:color="auto"/>
              <w:bottom w:val="single" w:sz="4" w:space="0" w:color="auto"/>
              <w:right w:val="single" w:sz="4" w:space="0" w:color="auto"/>
            </w:tcBorders>
          </w:tcPr>
          <w:p w14:paraId="3444DFD1" w14:textId="60A64A2D"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 xml:space="preserve">Pre-breakfast R: based on </w:t>
            </w:r>
            <w:r w:rsidR="006F5463" w:rsidRPr="0035461C">
              <w:rPr>
                <w:rFonts w:ascii="Calibri" w:hAnsi="Calibri" w:cs="Calibri"/>
                <w:sz w:val="20"/>
                <w:szCs w:val="20"/>
              </w:rPr>
              <w:t>BGM</w:t>
            </w:r>
            <w:r w:rsidRPr="0035461C">
              <w:rPr>
                <w:rFonts w:ascii="Calibri" w:hAnsi="Calibri" w:cs="Calibri"/>
                <w:sz w:val="20"/>
                <w:szCs w:val="20"/>
              </w:rPr>
              <w:t xml:space="preserve"> after breakfast or before lunch</w:t>
            </w:r>
          </w:p>
          <w:p w14:paraId="480C77E4" w14:textId="0DC4A8DF"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 xml:space="preserve">Pre-lunch R: based on </w:t>
            </w:r>
            <w:r w:rsidR="006F5463" w:rsidRPr="0035461C">
              <w:rPr>
                <w:rFonts w:ascii="Calibri" w:hAnsi="Calibri" w:cs="Calibri"/>
                <w:sz w:val="20"/>
                <w:szCs w:val="20"/>
              </w:rPr>
              <w:t>BGM</w:t>
            </w:r>
            <w:r w:rsidRPr="0035461C">
              <w:rPr>
                <w:rFonts w:ascii="Calibri" w:hAnsi="Calibri" w:cs="Calibri"/>
                <w:sz w:val="20"/>
                <w:szCs w:val="20"/>
              </w:rPr>
              <w:t xml:space="preserve"> after lunch or before dinner</w:t>
            </w:r>
          </w:p>
          <w:p w14:paraId="02BF8895" w14:textId="52B13B4A"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 xml:space="preserve">Pre-dinner R: based on </w:t>
            </w:r>
            <w:r w:rsidR="006F5463" w:rsidRPr="0035461C">
              <w:rPr>
                <w:rFonts w:ascii="Calibri" w:hAnsi="Calibri" w:cs="Calibri"/>
                <w:sz w:val="20"/>
                <w:szCs w:val="20"/>
              </w:rPr>
              <w:t>BGM</w:t>
            </w:r>
            <w:r w:rsidRPr="0035461C">
              <w:rPr>
                <w:rFonts w:ascii="Calibri" w:hAnsi="Calibri" w:cs="Calibri"/>
                <w:sz w:val="20"/>
                <w:szCs w:val="20"/>
              </w:rPr>
              <w:t xml:space="preserve"> after dinner or at bedtime</w:t>
            </w:r>
          </w:p>
          <w:p w14:paraId="08E77FDE" w14:textId="15908258" w:rsidR="008E0C17" w:rsidRPr="0035461C" w:rsidRDefault="008E0C17" w:rsidP="006F5463">
            <w:pPr>
              <w:spacing w:before="120"/>
              <w:rPr>
                <w:rFonts w:ascii="Calibri" w:hAnsi="Calibri" w:cs="Calibri"/>
                <w:sz w:val="20"/>
                <w:szCs w:val="20"/>
              </w:rPr>
            </w:pPr>
            <w:r w:rsidRPr="0035461C">
              <w:rPr>
                <w:rFonts w:ascii="Calibri" w:hAnsi="Calibri" w:cs="Calibri"/>
                <w:sz w:val="20"/>
                <w:szCs w:val="20"/>
              </w:rPr>
              <w:t xml:space="preserve">Evening N: based on fasting or overnight </w:t>
            </w:r>
            <w:r w:rsidR="006F5463" w:rsidRPr="0035461C">
              <w:rPr>
                <w:rFonts w:ascii="Calibri" w:hAnsi="Calibri" w:cs="Calibri"/>
                <w:sz w:val="20"/>
                <w:szCs w:val="20"/>
              </w:rPr>
              <w:t>BGM</w:t>
            </w:r>
          </w:p>
        </w:tc>
      </w:tr>
      <w:tr w:rsidR="008E0C17" w:rsidRPr="0035461C" w14:paraId="61C699F3" w14:textId="77777777" w:rsidTr="008E0C17">
        <w:tc>
          <w:tcPr>
            <w:tcW w:w="0" w:type="auto"/>
            <w:gridSpan w:val="5"/>
            <w:tcBorders>
              <w:top w:val="single" w:sz="4" w:space="0" w:color="auto"/>
              <w:left w:val="single" w:sz="4" w:space="0" w:color="auto"/>
              <w:bottom w:val="single" w:sz="4" w:space="0" w:color="auto"/>
              <w:right w:val="single" w:sz="4" w:space="0" w:color="auto"/>
            </w:tcBorders>
            <w:hideMark/>
          </w:tcPr>
          <w:p w14:paraId="764575D6" w14:textId="77777777" w:rsidR="008E0C17" w:rsidRPr="0035461C" w:rsidRDefault="008E0C17" w:rsidP="006F5463">
            <w:pPr>
              <w:rPr>
                <w:rFonts w:ascii="Calibri" w:hAnsi="Calibri" w:cs="Calibri"/>
                <w:i/>
                <w:sz w:val="20"/>
                <w:szCs w:val="20"/>
              </w:rPr>
            </w:pPr>
            <w:r w:rsidRPr="0035461C">
              <w:rPr>
                <w:rFonts w:ascii="Calibri" w:hAnsi="Calibri" w:cs="Calibri"/>
                <w:i/>
                <w:sz w:val="20"/>
                <w:szCs w:val="20"/>
              </w:rPr>
              <w:t>Regimens with fewer daily injections</w:t>
            </w:r>
          </w:p>
        </w:tc>
      </w:tr>
      <w:tr w:rsidR="00256289" w:rsidRPr="0035461C" w14:paraId="236206F1" w14:textId="77777777" w:rsidTr="008E0C17">
        <w:tc>
          <w:tcPr>
            <w:tcW w:w="0" w:type="auto"/>
            <w:tcBorders>
              <w:top w:val="single" w:sz="4" w:space="0" w:color="auto"/>
              <w:left w:val="single" w:sz="4" w:space="0" w:color="auto"/>
              <w:bottom w:val="single" w:sz="4" w:space="0" w:color="auto"/>
              <w:right w:val="single" w:sz="4" w:space="0" w:color="auto"/>
            </w:tcBorders>
            <w:hideMark/>
          </w:tcPr>
          <w:p w14:paraId="1B0CE39C" w14:textId="77777777"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Three injections daily:</w:t>
            </w:r>
          </w:p>
          <w:p w14:paraId="58849377" w14:textId="77777777"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N+R or N+RAA</w:t>
            </w:r>
          </w:p>
        </w:tc>
        <w:tc>
          <w:tcPr>
            <w:tcW w:w="0" w:type="auto"/>
            <w:tcBorders>
              <w:top w:val="single" w:sz="4" w:space="0" w:color="auto"/>
              <w:left w:val="single" w:sz="4" w:space="0" w:color="auto"/>
              <w:bottom w:val="single" w:sz="4" w:space="0" w:color="auto"/>
              <w:right w:val="single" w:sz="4" w:space="0" w:color="auto"/>
            </w:tcBorders>
          </w:tcPr>
          <w:p w14:paraId="711A141E" w14:textId="77777777"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Pre-breakfast:</w:t>
            </w:r>
          </w:p>
          <w:p w14:paraId="1082C594" w14:textId="75EE91A4" w:rsidR="008E0C17" w:rsidRPr="0035461C" w:rsidRDefault="0060377A" w:rsidP="0060377A">
            <w:pPr>
              <w:spacing w:before="120"/>
              <w:rPr>
                <w:rFonts w:ascii="Calibri" w:hAnsi="Calibri" w:cs="Calibri"/>
                <w:sz w:val="20"/>
                <w:szCs w:val="20"/>
              </w:rPr>
            </w:pPr>
            <w:r w:rsidRPr="0035461C">
              <w:rPr>
                <w:rFonts w:ascii="Calibri" w:hAnsi="Calibri" w:cs="Calibri"/>
                <w:sz w:val="20"/>
                <w:szCs w:val="20"/>
              </w:rPr>
              <w:t>~</w:t>
            </w:r>
            <w:r w:rsidR="008E0C17" w:rsidRPr="0035461C">
              <w:rPr>
                <w:rFonts w:ascii="Calibri" w:hAnsi="Calibri" w:cs="Calibri"/>
                <w:sz w:val="20"/>
                <w:szCs w:val="20"/>
              </w:rPr>
              <w:t xml:space="preserve">40% N + </w:t>
            </w:r>
            <w:r w:rsidRPr="0035461C">
              <w:rPr>
                <w:rFonts w:ascii="Calibri" w:hAnsi="Calibri" w:cs="Calibri"/>
                <w:sz w:val="20"/>
                <w:szCs w:val="20"/>
              </w:rPr>
              <w:t>~</w:t>
            </w:r>
            <w:r w:rsidR="008E0C17" w:rsidRPr="0035461C">
              <w:rPr>
                <w:rFonts w:ascii="Calibri" w:hAnsi="Calibri" w:cs="Calibri"/>
                <w:sz w:val="20"/>
                <w:szCs w:val="20"/>
              </w:rPr>
              <w:t>15% R/RAA</w:t>
            </w:r>
          </w:p>
          <w:p w14:paraId="200394AF" w14:textId="77777777"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Pre-dinner:</w:t>
            </w:r>
          </w:p>
          <w:p w14:paraId="446BB1CD" w14:textId="2470929C" w:rsidR="008E0C17" w:rsidRPr="0035461C" w:rsidRDefault="0060377A" w:rsidP="0060377A">
            <w:pPr>
              <w:spacing w:before="120"/>
              <w:rPr>
                <w:rFonts w:ascii="Calibri" w:hAnsi="Calibri" w:cs="Calibri"/>
                <w:sz w:val="20"/>
                <w:szCs w:val="20"/>
              </w:rPr>
            </w:pPr>
            <w:r w:rsidRPr="0035461C">
              <w:rPr>
                <w:rFonts w:ascii="Calibri" w:hAnsi="Calibri" w:cs="Calibri"/>
                <w:sz w:val="20"/>
                <w:szCs w:val="20"/>
              </w:rPr>
              <w:t>~</w:t>
            </w:r>
            <w:r w:rsidR="008E0C17" w:rsidRPr="0035461C">
              <w:rPr>
                <w:rFonts w:ascii="Calibri" w:hAnsi="Calibri" w:cs="Calibri"/>
                <w:sz w:val="20"/>
                <w:szCs w:val="20"/>
              </w:rPr>
              <w:t>15% R/RAA</w:t>
            </w:r>
          </w:p>
          <w:p w14:paraId="388C4BFD" w14:textId="77777777"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Bedtime: 30% N</w:t>
            </w:r>
          </w:p>
        </w:tc>
        <w:tc>
          <w:tcPr>
            <w:tcW w:w="0" w:type="auto"/>
            <w:tcBorders>
              <w:top w:val="single" w:sz="4" w:space="0" w:color="auto"/>
              <w:left w:val="single" w:sz="4" w:space="0" w:color="auto"/>
              <w:bottom w:val="single" w:sz="4" w:space="0" w:color="auto"/>
              <w:right w:val="single" w:sz="4" w:space="0" w:color="auto"/>
            </w:tcBorders>
          </w:tcPr>
          <w:p w14:paraId="794BFAF4" w14:textId="77777777"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Morning insulins can be mixed in one syringe</w:t>
            </w:r>
          </w:p>
          <w:p w14:paraId="312F7125" w14:textId="77777777"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May be appropriate for those who cannot take injection in middle of day</w:t>
            </w:r>
          </w:p>
          <w:p w14:paraId="1FB602BA" w14:textId="77777777"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Morning N covers lunch to some extent</w:t>
            </w:r>
          </w:p>
          <w:p w14:paraId="2842BEBB" w14:textId="77777777" w:rsidR="0060377A" w:rsidRPr="0035461C" w:rsidRDefault="008E0C17" w:rsidP="0060377A">
            <w:pPr>
              <w:spacing w:before="120"/>
              <w:rPr>
                <w:rFonts w:ascii="Calibri" w:hAnsi="Calibri" w:cs="Calibri"/>
                <w:sz w:val="20"/>
                <w:szCs w:val="20"/>
              </w:rPr>
            </w:pPr>
            <w:r w:rsidRPr="0035461C">
              <w:rPr>
                <w:rFonts w:ascii="Calibri" w:hAnsi="Calibri" w:cs="Calibri"/>
                <w:sz w:val="20"/>
                <w:szCs w:val="20"/>
              </w:rPr>
              <w:t>Same advantages of RAAs over R</w:t>
            </w:r>
          </w:p>
          <w:p w14:paraId="66BCE76A" w14:textId="3DF62DAB"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Least (N + R) or less expensive insulins than MDI with analogs</w:t>
            </w:r>
          </w:p>
        </w:tc>
        <w:tc>
          <w:tcPr>
            <w:tcW w:w="0" w:type="auto"/>
            <w:tcBorders>
              <w:top w:val="single" w:sz="4" w:space="0" w:color="auto"/>
              <w:left w:val="single" w:sz="4" w:space="0" w:color="auto"/>
              <w:bottom w:val="single" w:sz="4" w:space="0" w:color="auto"/>
              <w:right w:val="single" w:sz="4" w:space="0" w:color="auto"/>
            </w:tcBorders>
          </w:tcPr>
          <w:p w14:paraId="7806B521" w14:textId="49132181"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Greater risk of nocturnal hypoglycaemia with N than LAAs</w:t>
            </w:r>
          </w:p>
          <w:p w14:paraId="5A466D63" w14:textId="2E2E1087"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Greater risk of delayed post-meal hypoglycaemia with R than RAAs</w:t>
            </w:r>
          </w:p>
          <w:p w14:paraId="5ADF5D08" w14:textId="77777777"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Requires relatively consistent mealtimes and carb intake</w:t>
            </w:r>
          </w:p>
          <w:p w14:paraId="31B12E5F" w14:textId="37ACD891"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Coverage of post-</w:t>
            </w:r>
            <w:r w:rsidR="0060377A" w:rsidRPr="0035461C">
              <w:rPr>
                <w:rFonts w:ascii="Calibri" w:hAnsi="Calibri" w:cs="Calibri"/>
                <w:sz w:val="20"/>
                <w:szCs w:val="20"/>
              </w:rPr>
              <w:t>lunch glucose often sub-optimal</w:t>
            </w:r>
          </w:p>
          <w:p w14:paraId="754CC681" w14:textId="77777777"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R must be injected at least 30 minutes before meal for better effect</w:t>
            </w:r>
          </w:p>
        </w:tc>
        <w:tc>
          <w:tcPr>
            <w:tcW w:w="0" w:type="auto"/>
            <w:tcBorders>
              <w:top w:val="single" w:sz="4" w:space="0" w:color="auto"/>
              <w:left w:val="single" w:sz="4" w:space="0" w:color="auto"/>
              <w:bottom w:val="single" w:sz="4" w:space="0" w:color="auto"/>
              <w:right w:val="single" w:sz="4" w:space="0" w:color="auto"/>
            </w:tcBorders>
          </w:tcPr>
          <w:p w14:paraId="1D683475" w14:textId="00755FB3"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 xml:space="preserve">Morning N: based on pre-dinner </w:t>
            </w:r>
            <w:r w:rsidR="006F5463" w:rsidRPr="0035461C">
              <w:rPr>
                <w:rFonts w:ascii="Calibri" w:hAnsi="Calibri" w:cs="Calibri"/>
                <w:sz w:val="20"/>
                <w:szCs w:val="20"/>
              </w:rPr>
              <w:t>BGM</w:t>
            </w:r>
          </w:p>
          <w:p w14:paraId="4541198B" w14:textId="69991C9D"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 xml:space="preserve">Morning R: based on pre-lunch </w:t>
            </w:r>
            <w:r w:rsidR="006F5463" w:rsidRPr="0035461C">
              <w:rPr>
                <w:rFonts w:ascii="Calibri" w:hAnsi="Calibri" w:cs="Calibri"/>
                <w:sz w:val="20"/>
                <w:szCs w:val="20"/>
              </w:rPr>
              <w:t>BGM</w:t>
            </w:r>
          </w:p>
          <w:p w14:paraId="0B8AD9A0" w14:textId="287B6F09"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 xml:space="preserve">Morning RAA: based on post-breakfast or pre-lunch </w:t>
            </w:r>
            <w:r w:rsidR="006F5463" w:rsidRPr="0035461C">
              <w:rPr>
                <w:rFonts w:ascii="Calibri" w:hAnsi="Calibri" w:cs="Calibri"/>
                <w:sz w:val="20"/>
                <w:szCs w:val="20"/>
              </w:rPr>
              <w:t>BGM</w:t>
            </w:r>
          </w:p>
          <w:p w14:paraId="68CB90FC" w14:textId="77777777" w:rsidR="008E0C17" w:rsidRPr="0035461C" w:rsidRDefault="008E0C17" w:rsidP="0060377A">
            <w:pPr>
              <w:spacing w:before="120"/>
              <w:rPr>
                <w:rFonts w:ascii="Calibri" w:hAnsi="Calibri" w:cs="Calibri"/>
                <w:sz w:val="20"/>
                <w:szCs w:val="20"/>
              </w:rPr>
            </w:pPr>
          </w:p>
          <w:p w14:paraId="04BF34CD" w14:textId="1E4B4E9C"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 xml:space="preserve">Evening R: based on bedtime </w:t>
            </w:r>
            <w:r w:rsidR="006F5463" w:rsidRPr="0035461C">
              <w:rPr>
                <w:rFonts w:ascii="Calibri" w:hAnsi="Calibri" w:cs="Calibri"/>
                <w:sz w:val="20"/>
                <w:szCs w:val="20"/>
              </w:rPr>
              <w:t>BGM</w:t>
            </w:r>
          </w:p>
          <w:p w14:paraId="18E76B46" w14:textId="6C85DB10"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 xml:space="preserve">Evening RAA: based on Post-dinner or bedtime </w:t>
            </w:r>
            <w:r w:rsidR="006F5463" w:rsidRPr="0035461C">
              <w:rPr>
                <w:rFonts w:ascii="Calibri" w:hAnsi="Calibri" w:cs="Calibri"/>
                <w:sz w:val="20"/>
                <w:szCs w:val="20"/>
              </w:rPr>
              <w:t>BGM</w:t>
            </w:r>
          </w:p>
          <w:p w14:paraId="010B239E" w14:textId="09B0E877"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 xml:space="preserve">Evening N: based on fasting </w:t>
            </w:r>
            <w:r w:rsidR="006F5463" w:rsidRPr="0035461C">
              <w:rPr>
                <w:rFonts w:ascii="Calibri" w:hAnsi="Calibri" w:cs="Calibri"/>
                <w:sz w:val="20"/>
                <w:szCs w:val="20"/>
              </w:rPr>
              <w:t>BGM</w:t>
            </w:r>
          </w:p>
        </w:tc>
      </w:tr>
      <w:tr w:rsidR="00256289" w:rsidRPr="0035461C" w14:paraId="26C58B1C" w14:textId="77777777" w:rsidTr="008E0C17">
        <w:tc>
          <w:tcPr>
            <w:tcW w:w="0" w:type="auto"/>
            <w:tcBorders>
              <w:top w:val="single" w:sz="4" w:space="0" w:color="auto"/>
              <w:left w:val="single" w:sz="4" w:space="0" w:color="auto"/>
              <w:bottom w:val="single" w:sz="4" w:space="0" w:color="auto"/>
              <w:right w:val="single" w:sz="4" w:space="0" w:color="auto"/>
            </w:tcBorders>
            <w:hideMark/>
          </w:tcPr>
          <w:p w14:paraId="02B11B48" w14:textId="77777777"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Twice-daily “split-mixed”</w:t>
            </w:r>
          </w:p>
          <w:p w14:paraId="5F703BF5" w14:textId="77777777"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N + R or N +RAA</w:t>
            </w:r>
          </w:p>
        </w:tc>
        <w:tc>
          <w:tcPr>
            <w:tcW w:w="0" w:type="auto"/>
            <w:tcBorders>
              <w:top w:val="single" w:sz="4" w:space="0" w:color="auto"/>
              <w:left w:val="single" w:sz="4" w:space="0" w:color="auto"/>
              <w:bottom w:val="single" w:sz="4" w:space="0" w:color="auto"/>
              <w:right w:val="single" w:sz="4" w:space="0" w:color="auto"/>
            </w:tcBorders>
          </w:tcPr>
          <w:p w14:paraId="6FB9214C" w14:textId="77777777"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Pre-breakfast:</w:t>
            </w:r>
          </w:p>
          <w:p w14:paraId="2C3F605D" w14:textId="6E563750" w:rsidR="008E0C17" w:rsidRPr="0035461C" w:rsidRDefault="0060377A" w:rsidP="0060377A">
            <w:pPr>
              <w:spacing w:before="120"/>
              <w:rPr>
                <w:rFonts w:ascii="Calibri" w:hAnsi="Calibri" w:cs="Calibri"/>
                <w:sz w:val="20"/>
                <w:szCs w:val="20"/>
              </w:rPr>
            </w:pPr>
            <w:r w:rsidRPr="0035461C">
              <w:rPr>
                <w:rFonts w:ascii="Calibri" w:hAnsi="Calibri" w:cs="Calibri"/>
                <w:sz w:val="20"/>
                <w:szCs w:val="20"/>
              </w:rPr>
              <w:t>~</w:t>
            </w:r>
            <w:r w:rsidR="008E0C17" w:rsidRPr="0035461C">
              <w:rPr>
                <w:rFonts w:ascii="Calibri" w:hAnsi="Calibri" w:cs="Calibri"/>
                <w:sz w:val="20"/>
                <w:szCs w:val="20"/>
              </w:rPr>
              <w:t xml:space="preserve">40% N + </w:t>
            </w:r>
            <w:r w:rsidRPr="0035461C">
              <w:rPr>
                <w:rFonts w:ascii="Calibri" w:hAnsi="Calibri" w:cs="Calibri"/>
                <w:sz w:val="20"/>
                <w:szCs w:val="20"/>
              </w:rPr>
              <w:t>~</w:t>
            </w:r>
            <w:r w:rsidR="008E0C17" w:rsidRPr="0035461C">
              <w:rPr>
                <w:rFonts w:ascii="Calibri" w:hAnsi="Calibri" w:cs="Calibri"/>
                <w:sz w:val="20"/>
                <w:szCs w:val="20"/>
              </w:rPr>
              <w:t>15% R or RAA</w:t>
            </w:r>
          </w:p>
          <w:p w14:paraId="16609E17" w14:textId="77777777" w:rsidR="008E0C17" w:rsidRPr="0035461C" w:rsidRDefault="008E0C17" w:rsidP="0060377A">
            <w:pPr>
              <w:spacing w:before="120"/>
              <w:rPr>
                <w:rFonts w:ascii="Calibri" w:hAnsi="Calibri" w:cs="Calibri"/>
                <w:sz w:val="20"/>
                <w:szCs w:val="20"/>
              </w:rPr>
            </w:pPr>
          </w:p>
          <w:p w14:paraId="139D84B7" w14:textId="77777777"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Pre-dinner:</w:t>
            </w:r>
          </w:p>
          <w:p w14:paraId="1CF92857" w14:textId="2491A3F6" w:rsidR="008E0C17" w:rsidRPr="0035461C" w:rsidRDefault="0060377A" w:rsidP="0060377A">
            <w:pPr>
              <w:spacing w:before="120"/>
              <w:rPr>
                <w:rFonts w:ascii="Calibri" w:hAnsi="Calibri" w:cs="Calibri"/>
                <w:sz w:val="20"/>
                <w:szCs w:val="20"/>
              </w:rPr>
            </w:pPr>
            <w:r w:rsidRPr="0035461C">
              <w:rPr>
                <w:rFonts w:ascii="Calibri" w:hAnsi="Calibri" w:cs="Calibri"/>
                <w:sz w:val="20"/>
                <w:szCs w:val="20"/>
              </w:rPr>
              <w:t>~</w:t>
            </w:r>
            <w:r w:rsidR="008E0C17" w:rsidRPr="0035461C">
              <w:rPr>
                <w:rFonts w:ascii="Calibri" w:hAnsi="Calibri" w:cs="Calibri"/>
                <w:sz w:val="20"/>
                <w:szCs w:val="20"/>
              </w:rPr>
              <w:t xml:space="preserve">30% N + </w:t>
            </w:r>
            <w:r w:rsidRPr="0035461C">
              <w:rPr>
                <w:rFonts w:ascii="Calibri" w:hAnsi="Calibri" w:cs="Calibri"/>
                <w:sz w:val="20"/>
                <w:szCs w:val="20"/>
              </w:rPr>
              <w:t>~</w:t>
            </w:r>
            <w:r w:rsidR="008E0C17" w:rsidRPr="0035461C">
              <w:rPr>
                <w:rFonts w:ascii="Calibri" w:hAnsi="Calibri" w:cs="Calibri"/>
                <w:sz w:val="20"/>
                <w:szCs w:val="20"/>
              </w:rPr>
              <w:t>15% R or RAA</w:t>
            </w:r>
          </w:p>
        </w:tc>
        <w:tc>
          <w:tcPr>
            <w:tcW w:w="0" w:type="auto"/>
            <w:tcBorders>
              <w:top w:val="single" w:sz="4" w:space="0" w:color="auto"/>
              <w:left w:val="single" w:sz="4" w:space="0" w:color="auto"/>
              <w:bottom w:val="single" w:sz="4" w:space="0" w:color="auto"/>
              <w:right w:val="single" w:sz="4" w:space="0" w:color="auto"/>
            </w:tcBorders>
          </w:tcPr>
          <w:p w14:paraId="50BC9B7F" w14:textId="2027BC48"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 xml:space="preserve">Least number of injections for people </w:t>
            </w:r>
            <w:r w:rsidR="0060377A" w:rsidRPr="0035461C">
              <w:rPr>
                <w:rFonts w:ascii="Calibri" w:hAnsi="Calibri" w:cs="Calibri"/>
                <w:sz w:val="20"/>
                <w:szCs w:val="20"/>
              </w:rPr>
              <w:t>with strong preference for this</w:t>
            </w:r>
          </w:p>
          <w:p w14:paraId="7ABA0115" w14:textId="0A74DC93"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Insul</w:t>
            </w:r>
            <w:r w:rsidR="0060377A" w:rsidRPr="0035461C">
              <w:rPr>
                <w:rFonts w:ascii="Calibri" w:hAnsi="Calibri" w:cs="Calibri"/>
                <w:sz w:val="20"/>
                <w:szCs w:val="20"/>
              </w:rPr>
              <w:t>ins can be mixed in one syringe</w:t>
            </w:r>
          </w:p>
          <w:p w14:paraId="3B5FCE86" w14:textId="77777777"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Least (N+R) or less (N+RAA) expensive insulins compared to analogs</w:t>
            </w:r>
          </w:p>
          <w:p w14:paraId="4CC87173" w14:textId="2F45B907" w:rsidR="00F8086B" w:rsidRPr="0035461C" w:rsidRDefault="00F8086B" w:rsidP="0060377A">
            <w:pPr>
              <w:spacing w:before="120"/>
              <w:rPr>
                <w:rFonts w:ascii="Calibri" w:hAnsi="Calibri" w:cs="Calibri"/>
                <w:sz w:val="20"/>
                <w:szCs w:val="20"/>
              </w:rPr>
            </w:pPr>
            <w:r w:rsidRPr="0035461C">
              <w:rPr>
                <w:rFonts w:ascii="Calibri" w:hAnsi="Calibri" w:cs="Calibri"/>
                <w:sz w:val="20"/>
                <w:szCs w:val="20"/>
              </w:rPr>
              <w:t>Eliminates need for doses during the day</w:t>
            </w:r>
          </w:p>
        </w:tc>
        <w:tc>
          <w:tcPr>
            <w:tcW w:w="0" w:type="auto"/>
            <w:tcBorders>
              <w:top w:val="single" w:sz="4" w:space="0" w:color="auto"/>
              <w:left w:val="single" w:sz="4" w:space="0" w:color="auto"/>
              <w:bottom w:val="single" w:sz="4" w:space="0" w:color="auto"/>
              <w:right w:val="single" w:sz="4" w:space="0" w:color="auto"/>
            </w:tcBorders>
          </w:tcPr>
          <w:p w14:paraId="7DF87058" w14:textId="371640FA"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Risk of hypoglycaemia in afte</w:t>
            </w:r>
            <w:r w:rsidR="0060377A" w:rsidRPr="0035461C">
              <w:rPr>
                <w:rFonts w:ascii="Calibri" w:hAnsi="Calibri" w:cs="Calibri"/>
                <w:sz w:val="20"/>
                <w:szCs w:val="20"/>
              </w:rPr>
              <w:t>rnoon or middle of night from N</w:t>
            </w:r>
          </w:p>
          <w:p w14:paraId="3B53F443" w14:textId="7A8FA942"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F</w:t>
            </w:r>
            <w:r w:rsidR="0060377A" w:rsidRPr="0035461C">
              <w:rPr>
                <w:rFonts w:ascii="Calibri" w:hAnsi="Calibri" w:cs="Calibri"/>
                <w:sz w:val="20"/>
                <w:szCs w:val="20"/>
              </w:rPr>
              <w:t>ixed mealtimes and meal content</w:t>
            </w:r>
          </w:p>
          <w:p w14:paraId="763C6802" w14:textId="06CBB07E"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Coverage of post-</w:t>
            </w:r>
            <w:r w:rsidR="0060377A" w:rsidRPr="0035461C">
              <w:rPr>
                <w:rFonts w:ascii="Calibri" w:hAnsi="Calibri" w:cs="Calibri"/>
                <w:sz w:val="20"/>
                <w:szCs w:val="20"/>
              </w:rPr>
              <w:t>lunch glucose often sub-optimal</w:t>
            </w:r>
          </w:p>
          <w:p w14:paraId="066EFE14" w14:textId="673C014A"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Difficult to reach targets for glycaemia without hypoglycaemia</w:t>
            </w:r>
          </w:p>
        </w:tc>
        <w:tc>
          <w:tcPr>
            <w:tcW w:w="0" w:type="auto"/>
            <w:tcBorders>
              <w:top w:val="single" w:sz="4" w:space="0" w:color="auto"/>
              <w:left w:val="single" w:sz="4" w:space="0" w:color="auto"/>
              <w:bottom w:val="single" w:sz="4" w:space="0" w:color="auto"/>
              <w:right w:val="single" w:sz="4" w:space="0" w:color="auto"/>
            </w:tcBorders>
          </w:tcPr>
          <w:p w14:paraId="473348D4" w14:textId="18D57FFE"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 xml:space="preserve">Morning N: based on pre-dinner </w:t>
            </w:r>
            <w:r w:rsidR="006F5463" w:rsidRPr="0035461C">
              <w:rPr>
                <w:rFonts w:ascii="Calibri" w:hAnsi="Calibri" w:cs="Calibri"/>
                <w:sz w:val="20"/>
                <w:szCs w:val="20"/>
              </w:rPr>
              <w:t>BGM</w:t>
            </w:r>
          </w:p>
          <w:p w14:paraId="182DEF9C" w14:textId="3742F6C2"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 xml:space="preserve">Morning R: based on pre-lunch </w:t>
            </w:r>
            <w:r w:rsidR="006F5463" w:rsidRPr="0035461C">
              <w:rPr>
                <w:rFonts w:ascii="Calibri" w:hAnsi="Calibri" w:cs="Calibri"/>
                <w:sz w:val="20"/>
                <w:szCs w:val="20"/>
              </w:rPr>
              <w:t>BGM</w:t>
            </w:r>
          </w:p>
          <w:p w14:paraId="08FFAA9A" w14:textId="20378F9C"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 xml:space="preserve">Morning RAA: based on post-breakfast or pre-lunch </w:t>
            </w:r>
            <w:r w:rsidR="006F5463" w:rsidRPr="0035461C">
              <w:rPr>
                <w:rFonts w:ascii="Calibri" w:hAnsi="Calibri" w:cs="Calibri"/>
                <w:sz w:val="20"/>
                <w:szCs w:val="20"/>
              </w:rPr>
              <w:t>BGM</w:t>
            </w:r>
          </w:p>
          <w:p w14:paraId="6C8BD56C" w14:textId="3DB9FAD6"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 xml:space="preserve">Evening R: based on bedtime </w:t>
            </w:r>
            <w:r w:rsidR="006F5463" w:rsidRPr="0035461C">
              <w:rPr>
                <w:rFonts w:ascii="Calibri" w:hAnsi="Calibri" w:cs="Calibri"/>
                <w:sz w:val="20"/>
                <w:szCs w:val="20"/>
              </w:rPr>
              <w:t>BGM</w:t>
            </w:r>
          </w:p>
          <w:p w14:paraId="2A0AB274" w14:textId="2DE3A59D"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 xml:space="preserve">Evening RAA: based on post-dinner or bedtime </w:t>
            </w:r>
            <w:r w:rsidR="006F5463" w:rsidRPr="0035461C">
              <w:rPr>
                <w:rFonts w:ascii="Calibri" w:hAnsi="Calibri" w:cs="Calibri"/>
                <w:sz w:val="20"/>
                <w:szCs w:val="20"/>
              </w:rPr>
              <w:t>BGM</w:t>
            </w:r>
          </w:p>
          <w:p w14:paraId="776CDF75" w14:textId="77849E5F" w:rsidR="008E0C17" w:rsidRPr="0035461C" w:rsidRDefault="008E0C17" w:rsidP="0060377A">
            <w:pPr>
              <w:spacing w:before="120"/>
              <w:rPr>
                <w:rFonts w:ascii="Calibri" w:hAnsi="Calibri" w:cs="Calibri"/>
                <w:sz w:val="20"/>
                <w:szCs w:val="20"/>
              </w:rPr>
            </w:pPr>
            <w:r w:rsidRPr="0035461C">
              <w:rPr>
                <w:rFonts w:ascii="Calibri" w:hAnsi="Calibri" w:cs="Calibri"/>
                <w:sz w:val="20"/>
                <w:szCs w:val="20"/>
              </w:rPr>
              <w:t xml:space="preserve">Evening N: based on fasting </w:t>
            </w:r>
            <w:r w:rsidR="006F5463" w:rsidRPr="0035461C">
              <w:rPr>
                <w:rFonts w:ascii="Calibri" w:hAnsi="Calibri" w:cs="Calibri"/>
                <w:sz w:val="20"/>
                <w:szCs w:val="20"/>
              </w:rPr>
              <w:t>BGM</w:t>
            </w:r>
          </w:p>
        </w:tc>
      </w:tr>
    </w:tbl>
    <w:p w14:paraId="0376718A" w14:textId="77777777" w:rsidR="008E0C17" w:rsidRPr="0035461C" w:rsidRDefault="008E0C17" w:rsidP="008E0C17">
      <w:pPr>
        <w:rPr>
          <w:rFonts w:ascii="Calibri" w:hAnsi="Calibri" w:cs="Calibri"/>
        </w:rPr>
      </w:pPr>
    </w:p>
    <w:p w14:paraId="1CA1B161" w14:textId="48B36FFD" w:rsidR="002F4A3C" w:rsidRPr="0035461C" w:rsidRDefault="008E0C17" w:rsidP="008E0C17">
      <w:pPr>
        <w:rPr>
          <w:rFonts w:ascii="Calibri" w:hAnsi="Calibri" w:cs="Calibri"/>
        </w:rPr>
      </w:pPr>
      <w:r w:rsidRPr="0035461C">
        <w:rPr>
          <w:rFonts w:ascii="Calibri" w:hAnsi="Calibri" w:cs="Calibri"/>
        </w:rPr>
        <w:t>Abbreviations: N: NPH; R: regular; URAA: ultra-rapid-acting analog</w:t>
      </w:r>
      <w:r w:rsidR="003C6FF9" w:rsidRPr="0035461C">
        <w:rPr>
          <w:rFonts w:ascii="Calibri" w:hAnsi="Calibri" w:cs="Calibri"/>
        </w:rPr>
        <w:t>ue</w:t>
      </w:r>
      <w:r w:rsidRPr="0035461C">
        <w:rPr>
          <w:rFonts w:ascii="Calibri" w:hAnsi="Calibri" w:cs="Calibri"/>
        </w:rPr>
        <w:t>; RAA: rapid-acting analog</w:t>
      </w:r>
      <w:r w:rsidR="003C6FF9" w:rsidRPr="0035461C">
        <w:rPr>
          <w:rFonts w:ascii="Calibri" w:hAnsi="Calibri" w:cs="Calibri"/>
        </w:rPr>
        <w:t>ue</w:t>
      </w:r>
      <w:r w:rsidRPr="0035461C">
        <w:rPr>
          <w:rFonts w:ascii="Calibri" w:hAnsi="Calibri" w:cs="Calibri"/>
        </w:rPr>
        <w:t>; LAA: long-acting analog</w:t>
      </w:r>
      <w:r w:rsidR="003C6FF9" w:rsidRPr="0035461C">
        <w:rPr>
          <w:rFonts w:ascii="Calibri" w:hAnsi="Calibri" w:cs="Calibri"/>
        </w:rPr>
        <w:t>ue</w:t>
      </w:r>
      <w:r w:rsidRPr="0035461C">
        <w:rPr>
          <w:rFonts w:ascii="Calibri" w:hAnsi="Calibri" w:cs="Calibri"/>
        </w:rPr>
        <w:t>; TDD: total daily insulin dose; CGM: c</w:t>
      </w:r>
      <w:r w:rsidR="006F5463" w:rsidRPr="0035461C">
        <w:rPr>
          <w:rFonts w:ascii="Calibri" w:hAnsi="Calibri" w:cs="Calibri"/>
        </w:rPr>
        <w:t xml:space="preserve">ontinuous glucose monitoring; </w:t>
      </w:r>
      <w:r w:rsidRPr="0035461C">
        <w:rPr>
          <w:rFonts w:ascii="Calibri" w:hAnsi="Calibri" w:cs="Calibri"/>
        </w:rPr>
        <w:t>BG</w:t>
      </w:r>
      <w:r w:rsidR="006F5463" w:rsidRPr="0035461C">
        <w:rPr>
          <w:rFonts w:ascii="Calibri" w:hAnsi="Calibri" w:cs="Calibri"/>
        </w:rPr>
        <w:t xml:space="preserve">M: </w:t>
      </w:r>
      <w:r w:rsidRPr="0035461C">
        <w:rPr>
          <w:rFonts w:ascii="Calibri" w:hAnsi="Calibri" w:cs="Calibri"/>
        </w:rPr>
        <w:t>blood glucose</w:t>
      </w:r>
      <w:r w:rsidR="006F5463" w:rsidRPr="0035461C">
        <w:rPr>
          <w:rFonts w:ascii="Calibri" w:hAnsi="Calibri" w:cs="Calibri"/>
        </w:rPr>
        <w:t xml:space="preserve"> monitorin</w:t>
      </w:r>
      <w:r w:rsidR="00CC2E1F" w:rsidRPr="0035461C">
        <w:rPr>
          <w:rFonts w:ascii="Calibri" w:hAnsi="Calibri" w:cs="Calibri"/>
        </w:rPr>
        <w:t>g</w:t>
      </w:r>
      <w:r w:rsidRPr="0035461C">
        <w:rPr>
          <w:rFonts w:ascii="Calibri" w:hAnsi="Calibri" w:cs="Calibri"/>
        </w:rPr>
        <w:t>; ICR: insulin-to-carbohydrate ratio</w:t>
      </w:r>
      <w:r w:rsidR="006F5463" w:rsidRPr="0035461C">
        <w:rPr>
          <w:rFonts w:ascii="Calibri" w:hAnsi="Calibri" w:cs="Calibri"/>
        </w:rPr>
        <w:t>; ISF: insulin sensitivity factor. DKA: diabetic ketoacidosis</w:t>
      </w:r>
      <w:r w:rsidR="00B125F2" w:rsidRPr="0035461C">
        <w:rPr>
          <w:rFonts w:ascii="Calibri" w:hAnsi="Calibri" w:cs="Calibri"/>
        </w:rPr>
        <w:t xml:space="preserve"> </w:t>
      </w:r>
      <w:r w:rsidR="00B125F2" w:rsidRPr="0035461C">
        <w:rPr>
          <w:rFonts w:ascii="Calibri" w:hAnsi="Calibri" w:cs="Calibri"/>
        </w:rPr>
        <w:fldChar w:fldCharType="begin"/>
      </w:r>
      <w:r w:rsidR="00CE0E7B">
        <w:rPr>
          <w:rFonts w:ascii="Calibri" w:hAnsi="Calibri" w:cs="Calibri"/>
        </w:rPr>
        <w:instrText xml:space="preserve"> ADDIN ZOTERO_ITEM CSL_CITATION {"citationID":"c1lRXDqk","properties":{"formattedCitation":"(293)","plainCitation":"(293)","noteIndex":0},"citationItems":[{"id":11471,"uris":["http://zotero.org/groups/369679/items/2MMVJ6VL"],"uri":["http://zotero.org/groups/369679/items/2MMVJ6VL"],"itemData":{"id":11471,"type":"webpage","abstract":"Updated 2017 edition presents the latest guidelines for the comprehensive management of type 1 diabetes and strategies to improve outcomes.","container-title":"ShopDiabetes.org | Store from the American Diabetes Association®","language":"en","title":"Medical Management of Type 1 Diabetes, 7th Edition","URL":"https://shopdiabetes.org/products/medical-management-of-type-1-diabetes-7th-edition","accessed":{"date-parts":[["2021",3,10]]}}}],"schema":"https://github.com/citation-style-language/schema/raw/master/csl-citation.json"} </w:instrText>
      </w:r>
      <w:r w:rsidR="00B125F2" w:rsidRPr="0035461C">
        <w:rPr>
          <w:rFonts w:ascii="Calibri" w:hAnsi="Calibri" w:cs="Calibri"/>
        </w:rPr>
        <w:fldChar w:fldCharType="separate"/>
      </w:r>
      <w:r w:rsidR="00CE0E7B" w:rsidRPr="00CE0E7B">
        <w:rPr>
          <w:rFonts w:ascii="Calibri" w:hAnsi="Calibri" w:cs="Calibri"/>
        </w:rPr>
        <w:t>(293)</w:t>
      </w:r>
      <w:r w:rsidR="00B125F2" w:rsidRPr="0035461C">
        <w:rPr>
          <w:rFonts w:ascii="Calibri" w:hAnsi="Calibri" w:cs="Calibri"/>
        </w:rPr>
        <w:fldChar w:fldCharType="end"/>
      </w:r>
      <w:r w:rsidR="0093697E" w:rsidRPr="0035461C">
        <w:rPr>
          <w:rFonts w:ascii="Calibri" w:hAnsi="Calibri" w:cs="Calibri"/>
        </w:rPr>
        <w:t>. Modified from: American Diabetes Association. Medical Management of Type 1 Diabetes (7</w:t>
      </w:r>
      <w:r w:rsidR="0093697E" w:rsidRPr="00771F5B">
        <w:rPr>
          <w:rFonts w:ascii="Calibri" w:hAnsi="Calibri" w:cs="Calibri"/>
          <w:vertAlign w:val="superscript"/>
        </w:rPr>
        <w:t>th</w:t>
      </w:r>
      <w:r w:rsidR="00771F5B">
        <w:rPr>
          <w:rFonts w:ascii="Calibri" w:hAnsi="Calibri" w:cs="Calibri"/>
        </w:rPr>
        <w:t xml:space="preserve"> </w:t>
      </w:r>
      <w:r w:rsidR="0093697E" w:rsidRPr="0035461C">
        <w:rPr>
          <w:rFonts w:ascii="Calibri" w:hAnsi="Calibri" w:cs="Calibri"/>
        </w:rPr>
        <w:t>edition). Arlington, VA, 2017</w:t>
      </w:r>
    </w:p>
    <w:p w14:paraId="1D069782" w14:textId="77777777" w:rsidR="002F4A3C" w:rsidRPr="0035461C" w:rsidRDefault="002F4A3C">
      <w:pPr>
        <w:rPr>
          <w:rFonts w:ascii="Calibri" w:hAnsi="Calibri" w:cs="Calibri"/>
        </w:rPr>
      </w:pPr>
      <w:r w:rsidRPr="0035461C">
        <w:rPr>
          <w:rFonts w:ascii="Calibri" w:hAnsi="Calibri" w:cs="Calibri"/>
        </w:rPr>
        <w:br w:type="page"/>
      </w:r>
    </w:p>
    <w:p w14:paraId="546C524F" w14:textId="2E82B5A7" w:rsidR="001F7416" w:rsidRPr="0035461C" w:rsidRDefault="001F7416" w:rsidP="001F7416">
      <w:pPr>
        <w:rPr>
          <w:rFonts w:ascii="Calibri" w:hAnsi="Calibri" w:cs="Calibri"/>
          <w:b/>
          <w:bCs/>
        </w:rPr>
      </w:pPr>
      <w:r w:rsidRPr="0035461C">
        <w:rPr>
          <w:rFonts w:ascii="Calibri" w:hAnsi="Calibri" w:cs="Calibri"/>
          <w:b/>
          <w:bCs/>
        </w:rPr>
        <w:t xml:space="preserve">Table 8: </w:t>
      </w:r>
      <w:r w:rsidRPr="0035461C">
        <w:rPr>
          <w:rFonts w:ascii="Calibri" w:hAnsi="Calibri" w:cs="Calibri"/>
          <w:b/>
          <w:szCs w:val="20"/>
        </w:rPr>
        <w:t xml:space="preserve">Goal of Nutrition therapy for type 1 diabetes </w:t>
      </w:r>
      <w:r w:rsidRPr="0035461C">
        <w:rPr>
          <w:rFonts w:ascii="Calibri" w:hAnsi="Calibri" w:cs="Calibri"/>
          <w:b/>
          <w:szCs w:val="20"/>
        </w:rPr>
        <w:fldChar w:fldCharType="begin"/>
      </w:r>
      <w:r w:rsidR="00076F77">
        <w:rPr>
          <w:rFonts w:ascii="Calibri" w:hAnsi="Calibri" w:cs="Calibri"/>
          <w:b/>
          <w:szCs w:val="20"/>
        </w:rPr>
        <w:instrText xml:space="preserve"> ADDIN ZOTERO_ITEM CSL_CITATION {"citationID":"vVZY3r6f","properties":{"formattedCitation":"(133)","plainCitation":"(133)","noteIndex":0},"citationItems":[{"id":165,"uris":["http://zotero.org/groups/369679/items/EW9DLRSR"],"uri":["http://zotero.org/groups/369679/items/EW9DLRSR"],"itemData":{"id":165,"type":"article-journal","container-title":"Diabetes Care","DOI":"10.2337/dci19-0014","ISSN":"1935-5548","issue":"5","journalAbbreviation":"Diabetes Care","language":"eng","note":"PMID: 31000505","page":"731-754","source":"PubMed","title":"Nutrition Therapy for Adults With Diabetes or Prediabetes: A Consensus Report","title-short":"Nutrition Therapy for Adults With Diabetes or Prediabetes","volume":"42","author":[{"family":"Evert","given":"Alison B."},{"family":"Dennison","given":"Michelle"},{"family":"Gardner","given":"Christopher D."},{"family":"Garvey","given":"W. Timothy"},{"family":"Lau","given":"Ka Hei Karen"},{"family":"MacLeod","given":"Janice"},{"family":"Mitri","given":"Joanna"},{"family":"Pereira","given":"Raquel F."},{"family":"Rawlings","given":"Kelly"},{"family":"Robinson","given":"Shamera"},{"family":"Saslow","given":"Laura"},{"family":"Uelmen","given":"Sacha"},{"family":"Urbanski","given":"Patricia B."},{"family":"Yancy","given":"William S."}],"issued":{"date-parts":[["2019",5]]}}}],"schema":"https://github.com/citation-style-language/schema/raw/master/csl-citation.json"} </w:instrText>
      </w:r>
      <w:r w:rsidRPr="0035461C">
        <w:rPr>
          <w:rFonts w:ascii="Calibri" w:hAnsi="Calibri" w:cs="Calibri"/>
          <w:b/>
          <w:szCs w:val="20"/>
        </w:rPr>
        <w:fldChar w:fldCharType="separate"/>
      </w:r>
      <w:r w:rsidR="00076F77" w:rsidRPr="00076F77">
        <w:rPr>
          <w:rFonts w:ascii="Calibri" w:hAnsi="Calibri" w:cs="Calibri"/>
        </w:rPr>
        <w:t>(133)</w:t>
      </w:r>
      <w:r w:rsidRPr="0035461C">
        <w:rPr>
          <w:rFonts w:ascii="Calibri" w:hAnsi="Calibri" w:cs="Calibri"/>
          <w:b/>
          <w:szCs w:val="20"/>
        </w:rPr>
        <w:fldChar w:fldCharType="end"/>
      </w:r>
    </w:p>
    <w:p w14:paraId="5A9E91D7" w14:textId="77777777" w:rsidR="001F7416" w:rsidRPr="0035461C" w:rsidRDefault="001F7416" w:rsidP="001F7416">
      <w:pPr>
        <w:rPr>
          <w:rFonts w:ascii="Calibri" w:hAnsi="Calibri" w:cs="Calibri"/>
          <w:b/>
          <w:bCs/>
        </w:rPr>
      </w:pPr>
    </w:p>
    <w:p w14:paraId="104DC996" w14:textId="77777777" w:rsidR="001F7416" w:rsidRPr="0035461C" w:rsidRDefault="001F7416" w:rsidP="001F7416">
      <w:pPr>
        <w:spacing w:before="120"/>
        <w:rPr>
          <w:rFonts w:ascii="Calibri" w:hAnsi="Calibri" w:cs="Calibri"/>
          <w:szCs w:val="20"/>
        </w:rPr>
      </w:pPr>
    </w:p>
    <w:tbl>
      <w:tblPr>
        <w:tblStyle w:val="TableGrid"/>
        <w:tblW w:w="0" w:type="auto"/>
        <w:tblLook w:val="04A0" w:firstRow="1" w:lastRow="0" w:firstColumn="1" w:lastColumn="0" w:noHBand="0" w:noVBand="1"/>
      </w:tblPr>
      <w:tblGrid>
        <w:gridCol w:w="8856"/>
      </w:tblGrid>
      <w:tr w:rsidR="001F7416" w:rsidRPr="0035461C" w14:paraId="3FCEC3C2" w14:textId="77777777" w:rsidTr="001434CC">
        <w:tc>
          <w:tcPr>
            <w:tcW w:w="8856" w:type="dxa"/>
          </w:tcPr>
          <w:p w14:paraId="133B493A" w14:textId="77777777" w:rsidR="001F7416" w:rsidRPr="0035461C" w:rsidRDefault="001F7416" w:rsidP="001434CC">
            <w:pPr>
              <w:pStyle w:val="ListParagraph"/>
              <w:numPr>
                <w:ilvl w:val="0"/>
                <w:numId w:val="15"/>
              </w:numPr>
              <w:spacing w:before="120"/>
              <w:rPr>
                <w:rFonts w:ascii="Calibri" w:hAnsi="Calibri" w:cs="Calibri"/>
                <w:szCs w:val="20"/>
              </w:rPr>
            </w:pPr>
            <w:r w:rsidRPr="0035461C">
              <w:rPr>
                <w:rFonts w:ascii="Calibri" w:hAnsi="Calibri" w:cs="Calibri"/>
                <w:szCs w:val="20"/>
              </w:rPr>
              <w:t>Promote healthful eating patterns, emphasizing a variety of nutrient-dense foods in appropriate sizes to improve overall health and to:</w:t>
            </w:r>
          </w:p>
          <w:p w14:paraId="6474DF5B" w14:textId="77777777" w:rsidR="001F7416" w:rsidRPr="0035461C" w:rsidRDefault="001F7416" w:rsidP="001434CC">
            <w:pPr>
              <w:pStyle w:val="ListParagraph"/>
              <w:numPr>
                <w:ilvl w:val="1"/>
                <w:numId w:val="15"/>
              </w:numPr>
              <w:spacing w:before="120"/>
              <w:rPr>
                <w:rFonts w:ascii="Calibri" w:hAnsi="Calibri" w:cs="Calibri"/>
                <w:szCs w:val="20"/>
              </w:rPr>
            </w:pPr>
            <w:r w:rsidRPr="0035461C">
              <w:rPr>
                <w:rFonts w:ascii="Calibri" w:hAnsi="Calibri" w:cs="Calibri"/>
                <w:szCs w:val="20"/>
              </w:rPr>
              <w:t>Improve HbA</w:t>
            </w:r>
            <w:r w:rsidRPr="0035461C">
              <w:rPr>
                <w:rFonts w:ascii="Calibri" w:hAnsi="Calibri" w:cs="Calibri"/>
                <w:szCs w:val="20"/>
                <w:vertAlign w:val="subscript"/>
              </w:rPr>
              <w:t>1C</w:t>
            </w:r>
            <w:r w:rsidRPr="0035461C">
              <w:rPr>
                <w:rFonts w:ascii="Calibri" w:hAnsi="Calibri" w:cs="Calibri"/>
                <w:szCs w:val="20"/>
              </w:rPr>
              <w:t>, blood pressure, cholesterol and aid in maintaining weight</w:t>
            </w:r>
          </w:p>
          <w:p w14:paraId="72A9831E" w14:textId="77777777" w:rsidR="001F7416" w:rsidRPr="0035461C" w:rsidRDefault="001F7416" w:rsidP="001434CC">
            <w:pPr>
              <w:pStyle w:val="ListParagraph"/>
              <w:numPr>
                <w:ilvl w:val="0"/>
                <w:numId w:val="15"/>
              </w:numPr>
              <w:spacing w:before="120"/>
              <w:rPr>
                <w:rFonts w:ascii="Calibri" w:hAnsi="Calibri" w:cs="Calibri"/>
                <w:szCs w:val="20"/>
              </w:rPr>
            </w:pPr>
            <w:r w:rsidRPr="0035461C">
              <w:rPr>
                <w:rFonts w:ascii="Calibri" w:hAnsi="Calibri" w:cs="Calibri"/>
                <w:szCs w:val="20"/>
              </w:rPr>
              <w:t>Individualize nutrition needs based on personal and cultural preferences, health literacy, access to healthful food choices</w:t>
            </w:r>
          </w:p>
          <w:p w14:paraId="6C1806AA" w14:textId="77777777" w:rsidR="001F7416" w:rsidRPr="0035461C" w:rsidRDefault="001F7416" w:rsidP="001434CC">
            <w:pPr>
              <w:pStyle w:val="ListParagraph"/>
              <w:numPr>
                <w:ilvl w:val="0"/>
                <w:numId w:val="15"/>
              </w:numPr>
              <w:spacing w:before="120"/>
              <w:rPr>
                <w:rFonts w:ascii="Calibri" w:hAnsi="Calibri" w:cs="Calibri"/>
                <w:szCs w:val="20"/>
              </w:rPr>
            </w:pPr>
            <w:r w:rsidRPr="0035461C">
              <w:rPr>
                <w:rFonts w:ascii="Calibri" w:hAnsi="Calibri" w:cs="Calibri"/>
                <w:szCs w:val="20"/>
              </w:rPr>
              <w:t>Provide practical tools for day-to-day meal planning</w:t>
            </w:r>
          </w:p>
          <w:p w14:paraId="70C48FD5" w14:textId="77777777" w:rsidR="001F7416" w:rsidRPr="0035461C" w:rsidRDefault="001F7416" w:rsidP="001434CC">
            <w:pPr>
              <w:pStyle w:val="ListParagraph"/>
              <w:numPr>
                <w:ilvl w:val="0"/>
                <w:numId w:val="15"/>
              </w:numPr>
              <w:spacing w:before="120"/>
              <w:rPr>
                <w:rFonts w:ascii="Calibri" w:hAnsi="Calibri" w:cs="Calibri"/>
                <w:szCs w:val="20"/>
              </w:rPr>
            </w:pPr>
            <w:r w:rsidRPr="0035461C">
              <w:rPr>
                <w:rFonts w:ascii="Calibri" w:hAnsi="Calibri" w:cs="Calibri"/>
                <w:szCs w:val="20"/>
              </w:rPr>
              <w:t>Focus on matching insulin doses with meal composition through advanced carbohydrate counting</w:t>
            </w:r>
          </w:p>
        </w:tc>
      </w:tr>
    </w:tbl>
    <w:p w14:paraId="7A38BA2C" w14:textId="77777777" w:rsidR="001F7416" w:rsidRPr="0035461C" w:rsidRDefault="001F7416" w:rsidP="001F7416">
      <w:pPr>
        <w:spacing w:before="120"/>
        <w:rPr>
          <w:rFonts w:ascii="Calibri" w:hAnsi="Calibri" w:cs="Calibri"/>
          <w:szCs w:val="20"/>
        </w:rPr>
      </w:pPr>
    </w:p>
    <w:p w14:paraId="660BAB23" w14:textId="77777777" w:rsidR="001F7416" w:rsidRPr="0035461C" w:rsidRDefault="001F7416" w:rsidP="002F4A3C">
      <w:pPr>
        <w:spacing w:before="120"/>
        <w:jc w:val="both"/>
        <w:rPr>
          <w:rFonts w:ascii="Calibri" w:hAnsi="Calibri" w:cs="Calibri"/>
          <w:b/>
          <w:bCs/>
        </w:rPr>
      </w:pPr>
    </w:p>
    <w:p w14:paraId="0F12F8CE" w14:textId="77777777" w:rsidR="001F7416" w:rsidRPr="0035461C" w:rsidRDefault="001F7416">
      <w:pPr>
        <w:spacing w:after="160" w:line="259" w:lineRule="auto"/>
        <w:rPr>
          <w:rFonts w:ascii="Calibri" w:hAnsi="Calibri" w:cs="Calibri"/>
          <w:b/>
          <w:bCs/>
        </w:rPr>
      </w:pPr>
      <w:r w:rsidRPr="0035461C">
        <w:rPr>
          <w:rFonts w:ascii="Calibri" w:hAnsi="Calibri" w:cs="Calibri"/>
          <w:b/>
          <w:bCs/>
        </w:rPr>
        <w:br w:type="page"/>
      </w:r>
    </w:p>
    <w:p w14:paraId="6F45B748" w14:textId="2BB30D53" w:rsidR="002F4A3C" w:rsidRPr="0035461C" w:rsidRDefault="002F4A3C" w:rsidP="002F4A3C">
      <w:pPr>
        <w:spacing w:before="120"/>
        <w:jc w:val="both"/>
        <w:rPr>
          <w:rFonts w:ascii="Calibri" w:hAnsi="Calibri" w:cs="Calibri"/>
          <w:b/>
          <w:bCs/>
        </w:rPr>
      </w:pPr>
      <w:r w:rsidRPr="0035461C">
        <w:rPr>
          <w:rFonts w:ascii="Calibri" w:hAnsi="Calibri" w:cs="Calibri"/>
          <w:b/>
          <w:bCs/>
        </w:rPr>
        <w:t xml:space="preserve">Table </w:t>
      </w:r>
      <w:r w:rsidR="001F7416" w:rsidRPr="0035461C">
        <w:rPr>
          <w:rFonts w:ascii="Calibri" w:hAnsi="Calibri" w:cs="Calibri"/>
          <w:b/>
          <w:bCs/>
        </w:rPr>
        <w:t>9</w:t>
      </w:r>
      <w:r w:rsidRPr="0035461C">
        <w:rPr>
          <w:rFonts w:ascii="Calibri" w:hAnsi="Calibri" w:cs="Calibri"/>
          <w:b/>
          <w:bCs/>
        </w:rPr>
        <w:t>: Adjunctive therapies for type 1 diabetes</w:t>
      </w:r>
    </w:p>
    <w:tbl>
      <w:tblPr>
        <w:tblStyle w:val="GridTable2-Accent1"/>
        <w:tblW w:w="15192" w:type="dxa"/>
        <w:tblLook w:val="04A0" w:firstRow="1" w:lastRow="0" w:firstColumn="1" w:lastColumn="0" w:noHBand="0" w:noVBand="1"/>
      </w:tblPr>
      <w:tblGrid>
        <w:gridCol w:w="2268"/>
        <w:gridCol w:w="2977"/>
        <w:gridCol w:w="3485"/>
        <w:gridCol w:w="3231"/>
        <w:gridCol w:w="3231"/>
      </w:tblGrid>
      <w:tr w:rsidR="002F4A3C" w:rsidRPr="0035461C" w14:paraId="386560D5" w14:textId="77777777" w:rsidTr="001710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3DF2B1C" w14:textId="77777777" w:rsidR="002F4A3C" w:rsidRPr="0035461C" w:rsidRDefault="002F4A3C" w:rsidP="0078333B">
            <w:pPr>
              <w:spacing w:before="120"/>
              <w:rPr>
                <w:rFonts w:ascii="Calibri" w:hAnsi="Calibri" w:cs="Calibri"/>
              </w:rPr>
            </w:pPr>
          </w:p>
        </w:tc>
        <w:tc>
          <w:tcPr>
            <w:tcW w:w="2977" w:type="dxa"/>
          </w:tcPr>
          <w:p w14:paraId="0385C1A5" w14:textId="77777777" w:rsidR="002F4A3C" w:rsidRPr="0035461C" w:rsidRDefault="002F4A3C" w:rsidP="0078333B">
            <w:pPr>
              <w:spacing w:before="120"/>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35461C">
              <w:rPr>
                <w:rFonts w:ascii="Calibri" w:hAnsi="Calibri" w:cs="Calibri"/>
              </w:rPr>
              <w:t>Metformin</w:t>
            </w:r>
          </w:p>
        </w:tc>
        <w:tc>
          <w:tcPr>
            <w:tcW w:w="3485" w:type="dxa"/>
          </w:tcPr>
          <w:p w14:paraId="3D6293B5" w14:textId="77777777" w:rsidR="002F4A3C" w:rsidRPr="0035461C" w:rsidRDefault="002F4A3C" w:rsidP="0078333B">
            <w:pPr>
              <w:spacing w:before="120"/>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proofErr w:type="spellStart"/>
            <w:r w:rsidRPr="0035461C">
              <w:rPr>
                <w:rFonts w:ascii="Calibri" w:hAnsi="Calibri" w:cs="Calibri"/>
              </w:rPr>
              <w:t>Pramlintide</w:t>
            </w:r>
            <w:proofErr w:type="spellEnd"/>
          </w:p>
        </w:tc>
        <w:tc>
          <w:tcPr>
            <w:tcW w:w="3231" w:type="dxa"/>
          </w:tcPr>
          <w:p w14:paraId="09C96C83" w14:textId="77777777" w:rsidR="002F4A3C" w:rsidRPr="0035461C" w:rsidRDefault="002F4A3C" w:rsidP="0078333B">
            <w:pPr>
              <w:spacing w:before="120"/>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35461C">
              <w:rPr>
                <w:rFonts w:ascii="Calibri" w:hAnsi="Calibri" w:cs="Calibri"/>
              </w:rPr>
              <w:t>GLP-1 RA</w:t>
            </w:r>
          </w:p>
        </w:tc>
        <w:tc>
          <w:tcPr>
            <w:tcW w:w="3231" w:type="dxa"/>
          </w:tcPr>
          <w:p w14:paraId="0F548455" w14:textId="612B01AC" w:rsidR="002F4A3C" w:rsidRPr="0035461C" w:rsidRDefault="002F4A3C" w:rsidP="000C01A6">
            <w:pPr>
              <w:spacing w:before="120"/>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35461C">
              <w:rPr>
                <w:rFonts w:ascii="Calibri" w:hAnsi="Calibri" w:cs="Calibri"/>
              </w:rPr>
              <w:t>SGLT-2</w:t>
            </w:r>
            <w:r w:rsidR="00794DE0">
              <w:rPr>
                <w:rFonts w:ascii="Calibri" w:hAnsi="Calibri" w:cs="Calibri"/>
              </w:rPr>
              <w:t xml:space="preserve"> or SGLT1/2 inhibitors</w:t>
            </w:r>
          </w:p>
        </w:tc>
      </w:tr>
      <w:tr w:rsidR="002F4A3C" w:rsidRPr="0035461C" w14:paraId="3CDB9E5B" w14:textId="77777777" w:rsidTr="00171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440AED0" w14:textId="77777777" w:rsidR="002F4A3C" w:rsidRPr="0035461C" w:rsidRDefault="002F4A3C" w:rsidP="002F4A3C">
            <w:pPr>
              <w:rPr>
                <w:rFonts w:ascii="Calibri" w:hAnsi="Calibri" w:cs="Calibri"/>
                <w:b w:val="0"/>
                <w:bCs w:val="0"/>
                <w:szCs w:val="20"/>
              </w:rPr>
            </w:pPr>
            <w:r w:rsidRPr="0035461C">
              <w:rPr>
                <w:rFonts w:ascii="Calibri" w:hAnsi="Calibri" w:cs="Calibri"/>
                <w:szCs w:val="20"/>
              </w:rPr>
              <w:t>HbA</w:t>
            </w:r>
            <w:r w:rsidRPr="0035461C">
              <w:rPr>
                <w:rFonts w:ascii="Calibri" w:hAnsi="Calibri" w:cs="Calibri"/>
                <w:szCs w:val="20"/>
                <w:vertAlign w:val="subscript"/>
              </w:rPr>
              <w:t>1c</w:t>
            </w:r>
            <w:r w:rsidRPr="0035461C">
              <w:rPr>
                <w:rFonts w:ascii="Calibri" w:hAnsi="Calibri" w:cs="Calibri"/>
                <w:szCs w:val="20"/>
              </w:rPr>
              <w:t xml:space="preserve"> Reduction</w:t>
            </w:r>
          </w:p>
          <w:p w14:paraId="607F1676" w14:textId="77777777" w:rsidR="002F4A3C" w:rsidRPr="0035461C" w:rsidRDefault="002F4A3C" w:rsidP="002F4A3C">
            <w:pPr>
              <w:rPr>
                <w:rFonts w:ascii="Calibri" w:hAnsi="Calibri" w:cs="Calibri"/>
                <w:szCs w:val="20"/>
              </w:rPr>
            </w:pPr>
          </w:p>
        </w:tc>
        <w:tc>
          <w:tcPr>
            <w:tcW w:w="2977" w:type="dxa"/>
          </w:tcPr>
          <w:p w14:paraId="068D8FDA" w14:textId="77777777"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 xml:space="preserve">~0.1% (1 </w:t>
            </w:r>
            <w:proofErr w:type="spellStart"/>
            <w:r w:rsidRPr="0035461C">
              <w:rPr>
                <w:rFonts w:ascii="Calibri" w:hAnsi="Calibri" w:cs="Calibri"/>
                <w:szCs w:val="20"/>
              </w:rPr>
              <w:t>mmol</w:t>
            </w:r>
            <w:proofErr w:type="spellEnd"/>
            <w:r w:rsidRPr="0035461C">
              <w:rPr>
                <w:rFonts w:ascii="Calibri" w:hAnsi="Calibri" w:cs="Calibri"/>
                <w:szCs w:val="20"/>
              </w:rPr>
              <w:t>/</w:t>
            </w:r>
            <w:proofErr w:type="spellStart"/>
            <w:r w:rsidRPr="0035461C">
              <w:rPr>
                <w:rFonts w:ascii="Calibri" w:hAnsi="Calibri" w:cs="Calibri"/>
                <w:szCs w:val="20"/>
              </w:rPr>
              <w:t>mol</w:t>
            </w:r>
            <w:proofErr w:type="spellEnd"/>
            <w:r w:rsidRPr="0035461C">
              <w:rPr>
                <w:rFonts w:ascii="Calibri" w:hAnsi="Calibri" w:cs="Calibri"/>
                <w:szCs w:val="20"/>
              </w:rPr>
              <w:t>)</w:t>
            </w:r>
          </w:p>
        </w:tc>
        <w:tc>
          <w:tcPr>
            <w:tcW w:w="3485" w:type="dxa"/>
          </w:tcPr>
          <w:p w14:paraId="7FD44FA5" w14:textId="77777777"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 xml:space="preserve">~0.3% (3 </w:t>
            </w:r>
            <w:proofErr w:type="spellStart"/>
            <w:r w:rsidRPr="0035461C">
              <w:rPr>
                <w:rFonts w:ascii="Calibri" w:hAnsi="Calibri" w:cs="Calibri"/>
                <w:szCs w:val="20"/>
              </w:rPr>
              <w:t>mmol</w:t>
            </w:r>
            <w:proofErr w:type="spellEnd"/>
            <w:r w:rsidRPr="0035461C">
              <w:rPr>
                <w:rFonts w:ascii="Calibri" w:hAnsi="Calibri" w:cs="Calibri"/>
                <w:szCs w:val="20"/>
              </w:rPr>
              <w:t>/</w:t>
            </w:r>
            <w:proofErr w:type="spellStart"/>
            <w:r w:rsidRPr="0035461C">
              <w:rPr>
                <w:rFonts w:ascii="Calibri" w:hAnsi="Calibri" w:cs="Calibri"/>
                <w:szCs w:val="20"/>
              </w:rPr>
              <w:t>mol</w:t>
            </w:r>
            <w:proofErr w:type="spellEnd"/>
            <w:r w:rsidRPr="0035461C">
              <w:rPr>
                <w:rFonts w:ascii="Calibri" w:hAnsi="Calibri" w:cs="Calibri"/>
                <w:szCs w:val="20"/>
              </w:rPr>
              <w:t>)</w:t>
            </w:r>
          </w:p>
        </w:tc>
        <w:tc>
          <w:tcPr>
            <w:tcW w:w="3231" w:type="dxa"/>
          </w:tcPr>
          <w:p w14:paraId="0F0068A7" w14:textId="3F095F70"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 xml:space="preserve">0.2-0.3% (2-3 </w:t>
            </w:r>
            <w:proofErr w:type="spellStart"/>
            <w:r w:rsidR="00BD3BC2" w:rsidRPr="0035461C">
              <w:rPr>
                <w:rFonts w:ascii="Calibri" w:hAnsi="Calibri" w:cs="Calibri"/>
                <w:szCs w:val="20"/>
              </w:rPr>
              <w:t>m</w:t>
            </w:r>
            <w:r w:rsidRPr="0035461C">
              <w:rPr>
                <w:rFonts w:ascii="Calibri" w:hAnsi="Calibri" w:cs="Calibri"/>
                <w:szCs w:val="20"/>
              </w:rPr>
              <w:t>mol</w:t>
            </w:r>
            <w:proofErr w:type="spellEnd"/>
            <w:r w:rsidRPr="0035461C">
              <w:rPr>
                <w:rFonts w:ascii="Calibri" w:hAnsi="Calibri" w:cs="Calibri"/>
                <w:szCs w:val="20"/>
              </w:rPr>
              <w:t>/</w:t>
            </w:r>
            <w:proofErr w:type="spellStart"/>
            <w:r w:rsidRPr="0035461C">
              <w:rPr>
                <w:rFonts w:ascii="Calibri" w:hAnsi="Calibri" w:cs="Calibri"/>
                <w:szCs w:val="20"/>
              </w:rPr>
              <w:t>mol</w:t>
            </w:r>
            <w:proofErr w:type="spellEnd"/>
            <w:r w:rsidRPr="0035461C">
              <w:rPr>
                <w:rFonts w:ascii="Calibri" w:hAnsi="Calibri" w:cs="Calibri"/>
                <w:szCs w:val="20"/>
              </w:rPr>
              <w:t>)</w:t>
            </w:r>
          </w:p>
        </w:tc>
        <w:tc>
          <w:tcPr>
            <w:tcW w:w="3231" w:type="dxa"/>
          </w:tcPr>
          <w:p w14:paraId="1DBB7DF3" w14:textId="77777777"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 xml:space="preserve">0.2-0.4% (2-4 </w:t>
            </w:r>
            <w:proofErr w:type="spellStart"/>
            <w:r w:rsidRPr="0035461C">
              <w:rPr>
                <w:rFonts w:ascii="Calibri" w:hAnsi="Calibri" w:cs="Calibri"/>
                <w:szCs w:val="20"/>
              </w:rPr>
              <w:t>mmol</w:t>
            </w:r>
            <w:proofErr w:type="spellEnd"/>
            <w:r w:rsidRPr="0035461C">
              <w:rPr>
                <w:rFonts w:ascii="Calibri" w:hAnsi="Calibri" w:cs="Calibri"/>
                <w:szCs w:val="20"/>
              </w:rPr>
              <w:t>/</w:t>
            </w:r>
            <w:proofErr w:type="spellStart"/>
            <w:r w:rsidRPr="0035461C">
              <w:rPr>
                <w:rFonts w:ascii="Calibri" w:hAnsi="Calibri" w:cs="Calibri"/>
                <w:szCs w:val="20"/>
              </w:rPr>
              <w:t>mol</w:t>
            </w:r>
            <w:proofErr w:type="spellEnd"/>
            <w:r w:rsidRPr="0035461C">
              <w:rPr>
                <w:rFonts w:ascii="Calibri" w:hAnsi="Calibri" w:cs="Calibri"/>
                <w:szCs w:val="20"/>
              </w:rPr>
              <w:t>)</w:t>
            </w:r>
          </w:p>
        </w:tc>
      </w:tr>
      <w:tr w:rsidR="002F4A3C" w:rsidRPr="0035461C" w14:paraId="20351E1F" w14:textId="77777777" w:rsidTr="0017105B">
        <w:tc>
          <w:tcPr>
            <w:cnfStyle w:val="001000000000" w:firstRow="0" w:lastRow="0" w:firstColumn="1" w:lastColumn="0" w:oddVBand="0" w:evenVBand="0" w:oddHBand="0" w:evenHBand="0" w:firstRowFirstColumn="0" w:firstRowLastColumn="0" w:lastRowFirstColumn="0" w:lastRowLastColumn="0"/>
            <w:tcW w:w="2268" w:type="dxa"/>
          </w:tcPr>
          <w:p w14:paraId="5056E30C" w14:textId="77777777" w:rsidR="002F4A3C" w:rsidRPr="0035461C" w:rsidRDefault="002F4A3C" w:rsidP="002F4A3C">
            <w:pPr>
              <w:rPr>
                <w:rFonts w:ascii="Calibri" w:hAnsi="Calibri" w:cs="Calibri"/>
                <w:b w:val="0"/>
                <w:bCs w:val="0"/>
                <w:szCs w:val="20"/>
              </w:rPr>
            </w:pPr>
            <w:r w:rsidRPr="0035461C">
              <w:rPr>
                <w:rFonts w:ascii="Calibri" w:hAnsi="Calibri" w:cs="Calibri"/>
                <w:szCs w:val="20"/>
              </w:rPr>
              <w:t>Fasting Glucose</w:t>
            </w:r>
          </w:p>
          <w:p w14:paraId="305122F8" w14:textId="77777777" w:rsidR="002F4A3C" w:rsidRPr="0035461C" w:rsidRDefault="002F4A3C" w:rsidP="002F4A3C">
            <w:pPr>
              <w:rPr>
                <w:rFonts w:ascii="Calibri" w:hAnsi="Calibri" w:cs="Calibri"/>
                <w:szCs w:val="20"/>
              </w:rPr>
            </w:pPr>
          </w:p>
        </w:tc>
        <w:tc>
          <w:tcPr>
            <w:tcW w:w="2977" w:type="dxa"/>
          </w:tcPr>
          <w:p w14:paraId="33B7553E" w14:textId="3B3DA2A0" w:rsidR="002F4A3C" w:rsidRPr="0035461C" w:rsidRDefault="002F4A3C" w:rsidP="002F4A3C">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35461C">
              <w:rPr>
                <w:rFonts w:ascii="Calibri" w:hAnsi="Calibri" w:cs="Calibri"/>
                <w:szCs w:val="20"/>
              </w:rPr>
              <w:t xml:space="preserve">Minimal </w:t>
            </w:r>
            <w:r w:rsidR="0035461C">
              <w:rPr>
                <w:rFonts w:ascii="Calibri" w:hAnsi="Calibri" w:cs="Calibri"/>
                <w:szCs w:val="20"/>
              </w:rPr>
              <w:t>E</w:t>
            </w:r>
            <w:r w:rsidRPr="0035461C">
              <w:rPr>
                <w:rFonts w:ascii="Calibri" w:hAnsi="Calibri" w:cs="Calibri"/>
                <w:szCs w:val="20"/>
              </w:rPr>
              <w:t>ffect</w:t>
            </w:r>
          </w:p>
        </w:tc>
        <w:tc>
          <w:tcPr>
            <w:tcW w:w="3485" w:type="dxa"/>
          </w:tcPr>
          <w:p w14:paraId="1B4DFA80" w14:textId="77777777" w:rsidR="002F4A3C" w:rsidRPr="0035461C" w:rsidRDefault="002F4A3C" w:rsidP="002F4A3C">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35461C">
              <w:rPr>
                <w:rFonts w:ascii="Calibri" w:hAnsi="Calibri" w:cs="Calibri"/>
                <w:szCs w:val="20"/>
              </w:rPr>
              <w:t>No Effect</w:t>
            </w:r>
          </w:p>
        </w:tc>
        <w:tc>
          <w:tcPr>
            <w:tcW w:w="3231" w:type="dxa"/>
          </w:tcPr>
          <w:p w14:paraId="198FC536" w14:textId="77777777" w:rsidR="002F4A3C" w:rsidRPr="0035461C" w:rsidRDefault="002F4A3C" w:rsidP="002F4A3C">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35461C">
              <w:rPr>
                <w:rFonts w:ascii="Calibri" w:hAnsi="Calibri" w:cs="Calibri"/>
                <w:szCs w:val="20"/>
              </w:rPr>
              <w:t>Minimal Effect</w:t>
            </w:r>
          </w:p>
        </w:tc>
        <w:tc>
          <w:tcPr>
            <w:tcW w:w="3231" w:type="dxa"/>
          </w:tcPr>
          <w:p w14:paraId="3B8D71BF" w14:textId="77777777" w:rsidR="002F4A3C" w:rsidRPr="0035461C" w:rsidRDefault="002F4A3C" w:rsidP="002F4A3C">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35461C">
              <w:rPr>
                <w:rFonts w:ascii="Calibri" w:hAnsi="Calibri" w:cs="Calibri"/>
                <w:szCs w:val="20"/>
              </w:rPr>
              <w:t xml:space="preserve">Modest Decrease </w:t>
            </w:r>
          </w:p>
          <w:p w14:paraId="3C519104" w14:textId="77777777" w:rsidR="002F4A3C" w:rsidRPr="0035461C" w:rsidRDefault="002F4A3C" w:rsidP="002F4A3C">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35461C">
              <w:rPr>
                <w:rFonts w:ascii="Calibri" w:hAnsi="Calibri" w:cs="Calibri"/>
                <w:szCs w:val="20"/>
              </w:rPr>
              <w:t xml:space="preserve">15 mg/dl; 0.8 </w:t>
            </w:r>
            <w:proofErr w:type="spellStart"/>
            <w:r w:rsidRPr="0035461C">
              <w:rPr>
                <w:rFonts w:ascii="Calibri" w:hAnsi="Calibri" w:cs="Calibri"/>
                <w:szCs w:val="20"/>
              </w:rPr>
              <w:t>mmol</w:t>
            </w:r>
            <w:proofErr w:type="spellEnd"/>
            <w:r w:rsidRPr="0035461C">
              <w:rPr>
                <w:rFonts w:ascii="Calibri" w:hAnsi="Calibri" w:cs="Calibri"/>
                <w:szCs w:val="20"/>
              </w:rPr>
              <w:t>/l</w:t>
            </w:r>
          </w:p>
        </w:tc>
      </w:tr>
      <w:tr w:rsidR="002F4A3C" w:rsidRPr="0035461C" w14:paraId="14DD5B18" w14:textId="77777777" w:rsidTr="00171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0D152AB" w14:textId="77777777" w:rsidR="002F4A3C" w:rsidRPr="0035461C" w:rsidRDefault="002F4A3C" w:rsidP="002F4A3C">
            <w:pPr>
              <w:rPr>
                <w:rFonts w:ascii="Calibri" w:hAnsi="Calibri" w:cs="Calibri"/>
                <w:b w:val="0"/>
                <w:bCs w:val="0"/>
                <w:szCs w:val="20"/>
              </w:rPr>
            </w:pPr>
            <w:r w:rsidRPr="0035461C">
              <w:rPr>
                <w:rFonts w:ascii="Calibri" w:hAnsi="Calibri" w:cs="Calibri"/>
                <w:szCs w:val="20"/>
              </w:rPr>
              <w:t>Postprandial Glucose</w:t>
            </w:r>
          </w:p>
        </w:tc>
        <w:tc>
          <w:tcPr>
            <w:tcW w:w="2977" w:type="dxa"/>
          </w:tcPr>
          <w:p w14:paraId="695D47EE" w14:textId="77777777"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Minimal Effect</w:t>
            </w:r>
          </w:p>
        </w:tc>
        <w:tc>
          <w:tcPr>
            <w:tcW w:w="3485" w:type="dxa"/>
          </w:tcPr>
          <w:p w14:paraId="3A9D5F2F" w14:textId="77777777"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Significant Decrease</w:t>
            </w:r>
          </w:p>
        </w:tc>
        <w:tc>
          <w:tcPr>
            <w:tcW w:w="3231" w:type="dxa"/>
          </w:tcPr>
          <w:p w14:paraId="4259733A" w14:textId="77777777"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Modest Decrease</w:t>
            </w:r>
          </w:p>
        </w:tc>
        <w:tc>
          <w:tcPr>
            <w:tcW w:w="3231" w:type="dxa"/>
          </w:tcPr>
          <w:p w14:paraId="7CA65A26" w14:textId="77777777"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Modest Decrease</w:t>
            </w:r>
          </w:p>
        </w:tc>
      </w:tr>
      <w:tr w:rsidR="002F4A3C" w:rsidRPr="0035461C" w14:paraId="50AC9DB8" w14:textId="77777777" w:rsidTr="0017105B">
        <w:tc>
          <w:tcPr>
            <w:cnfStyle w:val="001000000000" w:firstRow="0" w:lastRow="0" w:firstColumn="1" w:lastColumn="0" w:oddVBand="0" w:evenVBand="0" w:oddHBand="0" w:evenHBand="0" w:firstRowFirstColumn="0" w:firstRowLastColumn="0" w:lastRowFirstColumn="0" w:lastRowLastColumn="0"/>
            <w:tcW w:w="2268" w:type="dxa"/>
          </w:tcPr>
          <w:p w14:paraId="0AFC61CB" w14:textId="77777777" w:rsidR="002F4A3C" w:rsidRPr="0035461C" w:rsidRDefault="002F4A3C" w:rsidP="002F4A3C">
            <w:pPr>
              <w:rPr>
                <w:rFonts w:ascii="Calibri" w:hAnsi="Calibri" w:cs="Calibri"/>
                <w:b w:val="0"/>
                <w:bCs w:val="0"/>
                <w:szCs w:val="20"/>
              </w:rPr>
            </w:pPr>
            <w:r w:rsidRPr="0035461C">
              <w:rPr>
                <w:rFonts w:ascii="Calibri" w:hAnsi="Calibri" w:cs="Calibri"/>
                <w:szCs w:val="20"/>
              </w:rPr>
              <w:t>Time in Range</w:t>
            </w:r>
          </w:p>
          <w:p w14:paraId="0F405375" w14:textId="77777777" w:rsidR="002F4A3C" w:rsidRPr="0035461C" w:rsidRDefault="002F4A3C" w:rsidP="002F4A3C">
            <w:pPr>
              <w:rPr>
                <w:rFonts w:ascii="Calibri" w:hAnsi="Calibri" w:cs="Calibri"/>
                <w:szCs w:val="20"/>
              </w:rPr>
            </w:pPr>
          </w:p>
        </w:tc>
        <w:tc>
          <w:tcPr>
            <w:tcW w:w="2977" w:type="dxa"/>
          </w:tcPr>
          <w:p w14:paraId="31CE7783" w14:textId="70909E15" w:rsidR="002F4A3C" w:rsidRPr="0035461C" w:rsidRDefault="002F4A3C" w:rsidP="000C01A6">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35461C">
              <w:rPr>
                <w:rFonts w:ascii="Calibri" w:hAnsi="Calibri" w:cs="Calibri"/>
                <w:szCs w:val="20"/>
              </w:rPr>
              <w:t xml:space="preserve">No </w:t>
            </w:r>
            <w:r w:rsidR="000C01A6" w:rsidRPr="0035461C">
              <w:rPr>
                <w:rFonts w:ascii="Calibri" w:hAnsi="Calibri" w:cs="Calibri"/>
                <w:szCs w:val="20"/>
              </w:rPr>
              <w:t>Data</w:t>
            </w:r>
          </w:p>
        </w:tc>
        <w:tc>
          <w:tcPr>
            <w:tcW w:w="3485" w:type="dxa"/>
          </w:tcPr>
          <w:p w14:paraId="58CBA56B" w14:textId="77777777" w:rsidR="002F4A3C" w:rsidRPr="0035461C" w:rsidRDefault="002F4A3C" w:rsidP="002F4A3C">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35461C">
              <w:rPr>
                <w:rFonts w:ascii="Calibri" w:hAnsi="Calibri" w:cs="Calibri"/>
                <w:szCs w:val="20"/>
              </w:rPr>
              <w:t>No Data</w:t>
            </w:r>
          </w:p>
        </w:tc>
        <w:tc>
          <w:tcPr>
            <w:tcW w:w="3231" w:type="dxa"/>
          </w:tcPr>
          <w:p w14:paraId="1795E8FE" w14:textId="770D88D5" w:rsidR="002F4A3C" w:rsidRPr="0035461C" w:rsidRDefault="002F4A3C" w:rsidP="000C01A6">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35461C">
              <w:rPr>
                <w:rFonts w:ascii="Calibri" w:hAnsi="Calibri" w:cs="Calibri"/>
                <w:szCs w:val="20"/>
              </w:rPr>
              <w:t xml:space="preserve">No </w:t>
            </w:r>
            <w:r w:rsidR="000C01A6" w:rsidRPr="0035461C">
              <w:rPr>
                <w:rFonts w:ascii="Calibri" w:hAnsi="Calibri" w:cs="Calibri"/>
                <w:szCs w:val="20"/>
              </w:rPr>
              <w:t>Data</w:t>
            </w:r>
          </w:p>
        </w:tc>
        <w:tc>
          <w:tcPr>
            <w:tcW w:w="3231" w:type="dxa"/>
          </w:tcPr>
          <w:p w14:paraId="4F5F3598" w14:textId="77777777" w:rsidR="000C01A6" w:rsidRPr="0035461C" w:rsidRDefault="002F4A3C" w:rsidP="002F4A3C">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35461C">
              <w:rPr>
                <w:rFonts w:ascii="Calibri" w:hAnsi="Calibri" w:cs="Calibri"/>
                <w:szCs w:val="20"/>
              </w:rPr>
              <w:t>Increased</w:t>
            </w:r>
          </w:p>
          <w:p w14:paraId="6D181A0F" w14:textId="5D47414C" w:rsidR="002F4A3C" w:rsidRPr="0035461C" w:rsidRDefault="002F4A3C" w:rsidP="002F4A3C">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35461C">
              <w:rPr>
                <w:rFonts w:ascii="Calibri" w:hAnsi="Calibri" w:cs="Calibri"/>
                <w:szCs w:val="20"/>
              </w:rPr>
              <w:t>(~12% at higher doses)</w:t>
            </w:r>
          </w:p>
        </w:tc>
      </w:tr>
      <w:tr w:rsidR="002F4A3C" w:rsidRPr="0035461C" w14:paraId="57234D27" w14:textId="77777777" w:rsidTr="00171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92B87D2" w14:textId="77777777" w:rsidR="002F4A3C" w:rsidRPr="0035461C" w:rsidRDefault="002F4A3C" w:rsidP="002F4A3C">
            <w:pPr>
              <w:rPr>
                <w:rFonts w:ascii="Calibri" w:hAnsi="Calibri" w:cs="Calibri"/>
                <w:b w:val="0"/>
                <w:bCs w:val="0"/>
                <w:szCs w:val="20"/>
              </w:rPr>
            </w:pPr>
            <w:r w:rsidRPr="0035461C">
              <w:rPr>
                <w:rFonts w:ascii="Calibri" w:hAnsi="Calibri" w:cs="Calibri"/>
                <w:szCs w:val="20"/>
              </w:rPr>
              <w:t>Insulin Dose</w:t>
            </w:r>
          </w:p>
          <w:p w14:paraId="66062CF2" w14:textId="77777777" w:rsidR="002F4A3C" w:rsidRPr="0035461C" w:rsidRDefault="002F4A3C" w:rsidP="002F4A3C">
            <w:pPr>
              <w:rPr>
                <w:rFonts w:ascii="Calibri" w:hAnsi="Calibri" w:cs="Calibri"/>
                <w:szCs w:val="20"/>
              </w:rPr>
            </w:pPr>
          </w:p>
        </w:tc>
        <w:tc>
          <w:tcPr>
            <w:tcW w:w="2977" w:type="dxa"/>
          </w:tcPr>
          <w:p w14:paraId="15F73FD2" w14:textId="77777777"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Unchanged</w:t>
            </w:r>
          </w:p>
        </w:tc>
        <w:tc>
          <w:tcPr>
            <w:tcW w:w="3485" w:type="dxa"/>
          </w:tcPr>
          <w:p w14:paraId="49581116" w14:textId="77777777"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Mealtime reductions</w:t>
            </w:r>
          </w:p>
        </w:tc>
        <w:tc>
          <w:tcPr>
            <w:tcW w:w="3231" w:type="dxa"/>
          </w:tcPr>
          <w:p w14:paraId="529462DD" w14:textId="77777777"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Predominantly mealtime reductions</w:t>
            </w:r>
          </w:p>
        </w:tc>
        <w:tc>
          <w:tcPr>
            <w:tcW w:w="3231" w:type="dxa"/>
          </w:tcPr>
          <w:p w14:paraId="21A1AB61" w14:textId="77777777"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Mealtime and basal reductions</w:t>
            </w:r>
          </w:p>
          <w:p w14:paraId="52385BB7" w14:textId="77777777"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~10% total reduction)</w:t>
            </w:r>
          </w:p>
        </w:tc>
      </w:tr>
      <w:tr w:rsidR="002F4A3C" w:rsidRPr="0035461C" w14:paraId="5C2C976C" w14:textId="77777777" w:rsidTr="0017105B">
        <w:tc>
          <w:tcPr>
            <w:cnfStyle w:val="001000000000" w:firstRow="0" w:lastRow="0" w:firstColumn="1" w:lastColumn="0" w:oddVBand="0" w:evenVBand="0" w:oddHBand="0" w:evenHBand="0" w:firstRowFirstColumn="0" w:firstRowLastColumn="0" w:lastRowFirstColumn="0" w:lastRowLastColumn="0"/>
            <w:tcW w:w="2268" w:type="dxa"/>
          </w:tcPr>
          <w:p w14:paraId="0053AA90" w14:textId="77777777" w:rsidR="002F4A3C" w:rsidRPr="0035461C" w:rsidRDefault="002F4A3C" w:rsidP="002F4A3C">
            <w:pPr>
              <w:rPr>
                <w:rFonts w:ascii="Calibri" w:hAnsi="Calibri" w:cs="Calibri"/>
                <w:b w:val="0"/>
                <w:bCs w:val="0"/>
                <w:szCs w:val="20"/>
              </w:rPr>
            </w:pPr>
            <w:r w:rsidRPr="0035461C">
              <w:rPr>
                <w:rFonts w:ascii="Calibri" w:hAnsi="Calibri" w:cs="Calibri"/>
                <w:szCs w:val="20"/>
              </w:rPr>
              <w:t>Body Weight</w:t>
            </w:r>
          </w:p>
        </w:tc>
        <w:tc>
          <w:tcPr>
            <w:tcW w:w="2977" w:type="dxa"/>
          </w:tcPr>
          <w:p w14:paraId="24C2FE2D" w14:textId="77777777" w:rsidR="002F4A3C" w:rsidRPr="0035461C" w:rsidRDefault="002F4A3C" w:rsidP="002F4A3C">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35461C">
              <w:rPr>
                <w:rFonts w:ascii="Calibri" w:hAnsi="Calibri" w:cs="Calibri"/>
                <w:szCs w:val="20"/>
              </w:rPr>
              <w:t>Modest (~1 kg)</w:t>
            </w:r>
          </w:p>
        </w:tc>
        <w:tc>
          <w:tcPr>
            <w:tcW w:w="3485" w:type="dxa"/>
          </w:tcPr>
          <w:p w14:paraId="679DD019" w14:textId="77777777" w:rsidR="002F4A3C" w:rsidRPr="0035461C" w:rsidRDefault="002F4A3C" w:rsidP="002F4A3C">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35461C">
              <w:rPr>
                <w:rFonts w:ascii="Calibri" w:hAnsi="Calibri" w:cs="Calibri"/>
                <w:szCs w:val="20"/>
              </w:rPr>
              <w:t>Modest (~1 kg)</w:t>
            </w:r>
          </w:p>
        </w:tc>
        <w:tc>
          <w:tcPr>
            <w:tcW w:w="3231" w:type="dxa"/>
          </w:tcPr>
          <w:p w14:paraId="2C454FCF" w14:textId="77777777" w:rsidR="002F4A3C" w:rsidRPr="0035461C" w:rsidRDefault="002F4A3C" w:rsidP="002F4A3C">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35461C">
              <w:rPr>
                <w:rFonts w:ascii="Calibri" w:hAnsi="Calibri" w:cs="Calibri"/>
                <w:szCs w:val="20"/>
              </w:rPr>
              <w:t>Significant (~5 kg)</w:t>
            </w:r>
          </w:p>
        </w:tc>
        <w:tc>
          <w:tcPr>
            <w:tcW w:w="3231" w:type="dxa"/>
          </w:tcPr>
          <w:p w14:paraId="7A139448" w14:textId="77777777" w:rsidR="002F4A3C" w:rsidRPr="0035461C" w:rsidRDefault="002F4A3C" w:rsidP="002F4A3C">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35461C">
              <w:rPr>
                <w:rFonts w:ascii="Calibri" w:hAnsi="Calibri" w:cs="Calibri"/>
                <w:szCs w:val="20"/>
              </w:rPr>
              <w:t>Moderate (2-3 kg)</w:t>
            </w:r>
          </w:p>
        </w:tc>
      </w:tr>
      <w:tr w:rsidR="002F4A3C" w:rsidRPr="0035461C" w14:paraId="0DEEFAA7" w14:textId="77777777" w:rsidTr="00171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5BA0172" w14:textId="77777777" w:rsidR="002F4A3C" w:rsidRPr="0035461C" w:rsidRDefault="002F4A3C" w:rsidP="002F4A3C">
            <w:pPr>
              <w:rPr>
                <w:rFonts w:ascii="Calibri" w:hAnsi="Calibri" w:cs="Calibri"/>
                <w:b w:val="0"/>
                <w:bCs w:val="0"/>
                <w:szCs w:val="20"/>
              </w:rPr>
            </w:pPr>
            <w:r w:rsidRPr="0035461C">
              <w:rPr>
                <w:rFonts w:ascii="Calibri" w:hAnsi="Calibri" w:cs="Calibri"/>
                <w:szCs w:val="20"/>
              </w:rPr>
              <w:t>Systolic Blood Pressure</w:t>
            </w:r>
          </w:p>
          <w:p w14:paraId="3BD64BE1" w14:textId="77777777" w:rsidR="002F4A3C" w:rsidRPr="0035461C" w:rsidRDefault="002F4A3C" w:rsidP="002F4A3C">
            <w:pPr>
              <w:rPr>
                <w:rFonts w:ascii="Calibri" w:hAnsi="Calibri" w:cs="Calibri"/>
                <w:szCs w:val="20"/>
              </w:rPr>
            </w:pPr>
          </w:p>
        </w:tc>
        <w:tc>
          <w:tcPr>
            <w:tcW w:w="2977" w:type="dxa"/>
          </w:tcPr>
          <w:p w14:paraId="2729CBEF" w14:textId="77777777"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No Change</w:t>
            </w:r>
          </w:p>
        </w:tc>
        <w:tc>
          <w:tcPr>
            <w:tcW w:w="3485" w:type="dxa"/>
          </w:tcPr>
          <w:p w14:paraId="09815776" w14:textId="77777777"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No Change</w:t>
            </w:r>
          </w:p>
        </w:tc>
        <w:tc>
          <w:tcPr>
            <w:tcW w:w="3231" w:type="dxa"/>
          </w:tcPr>
          <w:p w14:paraId="4204EFDB" w14:textId="77777777"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4 mmHg decrease (with increase in heart rate)</w:t>
            </w:r>
          </w:p>
        </w:tc>
        <w:tc>
          <w:tcPr>
            <w:tcW w:w="3231" w:type="dxa"/>
          </w:tcPr>
          <w:p w14:paraId="527281EB" w14:textId="4B0A9438" w:rsidR="002F4A3C" w:rsidRPr="0035461C" w:rsidRDefault="002F4A3C" w:rsidP="00923495">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 xml:space="preserve">3-4 mmHg </w:t>
            </w:r>
            <w:r w:rsidR="00923495">
              <w:rPr>
                <w:rFonts w:ascii="Calibri" w:hAnsi="Calibri" w:cs="Calibri"/>
                <w:szCs w:val="20"/>
              </w:rPr>
              <w:t>d</w:t>
            </w:r>
            <w:r w:rsidRPr="0035461C">
              <w:rPr>
                <w:rFonts w:ascii="Calibri" w:hAnsi="Calibri" w:cs="Calibri"/>
                <w:szCs w:val="20"/>
              </w:rPr>
              <w:t>ecrease</w:t>
            </w:r>
          </w:p>
        </w:tc>
      </w:tr>
      <w:tr w:rsidR="002F4A3C" w:rsidRPr="0035461C" w14:paraId="2DCF237A" w14:textId="77777777" w:rsidTr="0017105B">
        <w:tc>
          <w:tcPr>
            <w:cnfStyle w:val="001000000000" w:firstRow="0" w:lastRow="0" w:firstColumn="1" w:lastColumn="0" w:oddVBand="0" w:evenVBand="0" w:oddHBand="0" w:evenHBand="0" w:firstRowFirstColumn="0" w:firstRowLastColumn="0" w:lastRowFirstColumn="0" w:lastRowLastColumn="0"/>
            <w:tcW w:w="2268" w:type="dxa"/>
          </w:tcPr>
          <w:p w14:paraId="241289D3" w14:textId="77777777" w:rsidR="002F4A3C" w:rsidRPr="0035461C" w:rsidRDefault="002F4A3C" w:rsidP="002F4A3C">
            <w:pPr>
              <w:rPr>
                <w:rFonts w:ascii="Calibri" w:hAnsi="Calibri" w:cs="Calibri"/>
                <w:szCs w:val="20"/>
              </w:rPr>
            </w:pPr>
            <w:r w:rsidRPr="0035461C">
              <w:rPr>
                <w:rFonts w:ascii="Calibri" w:hAnsi="Calibri" w:cs="Calibri"/>
                <w:szCs w:val="20"/>
              </w:rPr>
              <w:t xml:space="preserve">Hypoglycaemia </w:t>
            </w:r>
          </w:p>
        </w:tc>
        <w:tc>
          <w:tcPr>
            <w:tcW w:w="2977" w:type="dxa"/>
          </w:tcPr>
          <w:p w14:paraId="763E1D1F" w14:textId="77777777" w:rsidR="002F4A3C" w:rsidRPr="0035461C" w:rsidRDefault="002F4A3C" w:rsidP="002F4A3C">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p>
        </w:tc>
        <w:tc>
          <w:tcPr>
            <w:tcW w:w="3485" w:type="dxa"/>
          </w:tcPr>
          <w:p w14:paraId="47F01450" w14:textId="6F197C63" w:rsidR="002F4A3C" w:rsidRPr="0035461C" w:rsidRDefault="002F4A3C" w:rsidP="0004698E">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35461C">
              <w:rPr>
                <w:rFonts w:ascii="Calibri" w:hAnsi="Calibri" w:cs="Calibri"/>
                <w:szCs w:val="20"/>
              </w:rPr>
              <w:t xml:space="preserve">Potential increase in </w:t>
            </w:r>
            <w:r w:rsidR="00A765E6">
              <w:rPr>
                <w:rFonts w:ascii="Calibri" w:hAnsi="Calibri" w:cs="Calibri"/>
                <w:szCs w:val="20"/>
              </w:rPr>
              <w:t>level 3 hypo</w:t>
            </w:r>
            <w:r w:rsidRPr="0035461C">
              <w:rPr>
                <w:rFonts w:ascii="Calibri" w:hAnsi="Calibri" w:cs="Calibri"/>
                <w:szCs w:val="20"/>
              </w:rPr>
              <w:t>gly</w:t>
            </w:r>
            <w:r w:rsidR="00E615B3" w:rsidRPr="0035461C">
              <w:rPr>
                <w:rFonts w:ascii="Calibri" w:hAnsi="Calibri" w:cs="Calibri"/>
                <w:szCs w:val="20"/>
              </w:rPr>
              <w:t>caemia</w:t>
            </w:r>
            <w:r w:rsidRPr="0035461C">
              <w:rPr>
                <w:rFonts w:ascii="Calibri" w:hAnsi="Calibri" w:cs="Calibri"/>
                <w:szCs w:val="20"/>
              </w:rPr>
              <w:t xml:space="preserve"> if prandial insulin doses are not decreased</w:t>
            </w:r>
          </w:p>
        </w:tc>
        <w:tc>
          <w:tcPr>
            <w:tcW w:w="3231" w:type="dxa"/>
          </w:tcPr>
          <w:p w14:paraId="60482A2F" w14:textId="77777777" w:rsidR="002F4A3C" w:rsidRPr="0035461C" w:rsidRDefault="002F4A3C" w:rsidP="002F4A3C">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35461C">
              <w:rPr>
                <w:rFonts w:ascii="Calibri" w:hAnsi="Calibri" w:cs="Calibri"/>
                <w:szCs w:val="20"/>
              </w:rPr>
              <w:t>Increase in hypoglycaemia</w:t>
            </w:r>
          </w:p>
          <w:p w14:paraId="4B874735" w14:textId="77777777" w:rsidR="002F4A3C" w:rsidRPr="0035461C" w:rsidRDefault="002F4A3C" w:rsidP="002F4A3C">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p>
        </w:tc>
        <w:tc>
          <w:tcPr>
            <w:tcW w:w="3231" w:type="dxa"/>
          </w:tcPr>
          <w:p w14:paraId="1FC398F1" w14:textId="77777777" w:rsidR="002F4A3C" w:rsidRPr="0035461C" w:rsidRDefault="002F4A3C" w:rsidP="002F4A3C">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p>
        </w:tc>
      </w:tr>
      <w:tr w:rsidR="002F4A3C" w:rsidRPr="0035461C" w14:paraId="195D593A" w14:textId="77777777" w:rsidTr="00171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E90D58F" w14:textId="77777777" w:rsidR="002F4A3C" w:rsidRPr="0035461C" w:rsidRDefault="002F4A3C" w:rsidP="002F4A3C">
            <w:pPr>
              <w:rPr>
                <w:rFonts w:ascii="Calibri" w:hAnsi="Calibri" w:cs="Calibri"/>
                <w:b w:val="0"/>
                <w:bCs w:val="0"/>
                <w:szCs w:val="20"/>
              </w:rPr>
            </w:pPr>
            <w:r w:rsidRPr="0035461C">
              <w:rPr>
                <w:rFonts w:ascii="Calibri" w:hAnsi="Calibri" w:cs="Calibri"/>
                <w:szCs w:val="20"/>
              </w:rPr>
              <w:t>Side Effects</w:t>
            </w:r>
          </w:p>
          <w:p w14:paraId="155DD1C7" w14:textId="77777777" w:rsidR="002F4A3C" w:rsidRPr="0035461C" w:rsidRDefault="002F4A3C" w:rsidP="002F4A3C">
            <w:pPr>
              <w:rPr>
                <w:rFonts w:ascii="Calibri" w:hAnsi="Calibri" w:cs="Calibri"/>
                <w:szCs w:val="20"/>
              </w:rPr>
            </w:pPr>
          </w:p>
        </w:tc>
        <w:tc>
          <w:tcPr>
            <w:tcW w:w="2977" w:type="dxa"/>
          </w:tcPr>
          <w:p w14:paraId="4B457877" w14:textId="77777777"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GI side effects</w:t>
            </w:r>
          </w:p>
        </w:tc>
        <w:tc>
          <w:tcPr>
            <w:tcW w:w="3485" w:type="dxa"/>
          </w:tcPr>
          <w:p w14:paraId="432B3769" w14:textId="77777777"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 xml:space="preserve">GI side effects </w:t>
            </w:r>
          </w:p>
        </w:tc>
        <w:tc>
          <w:tcPr>
            <w:tcW w:w="3231" w:type="dxa"/>
          </w:tcPr>
          <w:p w14:paraId="6BF98A3D" w14:textId="77777777"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GI side effects</w:t>
            </w:r>
          </w:p>
          <w:p w14:paraId="5F3930DB" w14:textId="77777777"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Increase in ketosis</w:t>
            </w:r>
          </w:p>
        </w:tc>
        <w:tc>
          <w:tcPr>
            <w:tcW w:w="3231" w:type="dxa"/>
          </w:tcPr>
          <w:p w14:paraId="30143493" w14:textId="11A0EC6F"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 xml:space="preserve">Genital </w:t>
            </w:r>
            <w:proofErr w:type="spellStart"/>
            <w:r w:rsidR="000C01A6" w:rsidRPr="0035461C">
              <w:rPr>
                <w:rFonts w:ascii="Calibri" w:hAnsi="Calibri" w:cs="Calibri"/>
                <w:szCs w:val="20"/>
              </w:rPr>
              <w:t>mycotic</w:t>
            </w:r>
            <w:proofErr w:type="spellEnd"/>
            <w:r w:rsidR="000C01A6" w:rsidRPr="0035461C">
              <w:rPr>
                <w:rFonts w:ascii="Calibri" w:hAnsi="Calibri" w:cs="Calibri"/>
                <w:szCs w:val="20"/>
              </w:rPr>
              <w:t xml:space="preserve"> </w:t>
            </w:r>
            <w:r w:rsidRPr="0035461C">
              <w:rPr>
                <w:rFonts w:ascii="Calibri" w:hAnsi="Calibri" w:cs="Calibri"/>
                <w:szCs w:val="20"/>
              </w:rPr>
              <w:t>infections</w:t>
            </w:r>
          </w:p>
          <w:p w14:paraId="1231BE47" w14:textId="77777777"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Increased risk of DKA</w:t>
            </w:r>
          </w:p>
        </w:tc>
      </w:tr>
      <w:tr w:rsidR="002F4A3C" w:rsidRPr="0035461C" w14:paraId="7C31ABA4" w14:textId="77777777" w:rsidTr="0017105B">
        <w:tc>
          <w:tcPr>
            <w:cnfStyle w:val="001000000000" w:firstRow="0" w:lastRow="0" w:firstColumn="1" w:lastColumn="0" w:oddVBand="0" w:evenVBand="0" w:oddHBand="0" w:evenHBand="0" w:firstRowFirstColumn="0" w:firstRowLastColumn="0" w:lastRowFirstColumn="0" w:lastRowLastColumn="0"/>
            <w:tcW w:w="2268" w:type="dxa"/>
          </w:tcPr>
          <w:p w14:paraId="2D34B8B9" w14:textId="77777777" w:rsidR="002F4A3C" w:rsidRPr="0035461C" w:rsidRDefault="002F4A3C" w:rsidP="002F4A3C">
            <w:pPr>
              <w:rPr>
                <w:rFonts w:ascii="Calibri" w:hAnsi="Calibri" w:cs="Calibri"/>
                <w:szCs w:val="20"/>
              </w:rPr>
            </w:pPr>
            <w:r w:rsidRPr="0035461C">
              <w:rPr>
                <w:rFonts w:ascii="Calibri" w:hAnsi="Calibri" w:cs="Calibri"/>
                <w:szCs w:val="20"/>
              </w:rPr>
              <w:t>Approval Status for type 1 diabetes in EU/US</w:t>
            </w:r>
          </w:p>
        </w:tc>
        <w:tc>
          <w:tcPr>
            <w:tcW w:w="2977" w:type="dxa"/>
          </w:tcPr>
          <w:p w14:paraId="5A9F62F4" w14:textId="77777777" w:rsidR="002F4A3C" w:rsidRPr="0035461C" w:rsidRDefault="002F4A3C" w:rsidP="002F4A3C">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35461C">
              <w:rPr>
                <w:rFonts w:ascii="Calibri" w:hAnsi="Calibri" w:cs="Calibri"/>
                <w:szCs w:val="20"/>
              </w:rPr>
              <w:t>-</w:t>
            </w:r>
          </w:p>
        </w:tc>
        <w:tc>
          <w:tcPr>
            <w:tcW w:w="3485" w:type="dxa"/>
          </w:tcPr>
          <w:p w14:paraId="2FA40B00" w14:textId="77777777" w:rsidR="002F4A3C" w:rsidRPr="0035461C" w:rsidRDefault="002F4A3C" w:rsidP="002F4A3C">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35461C">
              <w:rPr>
                <w:rFonts w:ascii="Calibri" w:hAnsi="Calibri" w:cs="Calibri"/>
                <w:szCs w:val="20"/>
              </w:rPr>
              <w:t>US approved</w:t>
            </w:r>
          </w:p>
        </w:tc>
        <w:tc>
          <w:tcPr>
            <w:tcW w:w="3231" w:type="dxa"/>
          </w:tcPr>
          <w:p w14:paraId="4346C91B" w14:textId="77777777" w:rsidR="002F4A3C" w:rsidRPr="0035461C" w:rsidRDefault="002F4A3C" w:rsidP="002F4A3C">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35461C">
              <w:rPr>
                <w:rFonts w:ascii="Calibri" w:hAnsi="Calibri" w:cs="Calibri"/>
                <w:szCs w:val="20"/>
              </w:rPr>
              <w:t>-</w:t>
            </w:r>
          </w:p>
        </w:tc>
        <w:tc>
          <w:tcPr>
            <w:tcW w:w="3231" w:type="dxa"/>
          </w:tcPr>
          <w:p w14:paraId="0D9DDCF0" w14:textId="3695FB37" w:rsidR="002F4A3C" w:rsidRPr="0035461C" w:rsidRDefault="002F4A3C" w:rsidP="002F4A3C">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35461C">
              <w:rPr>
                <w:rFonts w:ascii="Calibri" w:hAnsi="Calibri" w:cs="Calibri"/>
                <w:szCs w:val="20"/>
              </w:rPr>
              <w:t>EU approved</w:t>
            </w:r>
            <w:r w:rsidR="00A225CA" w:rsidRPr="0035461C">
              <w:rPr>
                <w:rFonts w:ascii="Calibri" w:hAnsi="Calibri" w:cs="Calibri"/>
                <w:szCs w:val="20"/>
              </w:rPr>
              <w:t xml:space="preserve"> low dose</w:t>
            </w:r>
            <w:r w:rsidRPr="0035461C">
              <w:rPr>
                <w:rFonts w:ascii="Calibri" w:hAnsi="Calibri" w:cs="Calibri"/>
                <w:szCs w:val="20"/>
              </w:rPr>
              <w:t xml:space="preserve"> when BMI ≥ 27 kg/m</w:t>
            </w:r>
            <w:r w:rsidRPr="0035461C">
              <w:rPr>
                <w:rFonts w:ascii="Calibri" w:hAnsi="Calibri" w:cs="Calibri"/>
                <w:szCs w:val="20"/>
                <w:vertAlign w:val="superscript"/>
              </w:rPr>
              <w:t>2</w:t>
            </w:r>
          </w:p>
        </w:tc>
      </w:tr>
      <w:tr w:rsidR="002F4A3C" w:rsidRPr="0035461C" w14:paraId="7338CD0A" w14:textId="77777777" w:rsidTr="00171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892A539" w14:textId="77777777" w:rsidR="002F4A3C" w:rsidRPr="0035461C" w:rsidRDefault="002F4A3C" w:rsidP="002F4A3C">
            <w:pPr>
              <w:rPr>
                <w:rFonts w:ascii="Calibri" w:hAnsi="Calibri" w:cs="Calibri"/>
                <w:szCs w:val="20"/>
              </w:rPr>
            </w:pPr>
            <w:r w:rsidRPr="0035461C">
              <w:rPr>
                <w:rFonts w:ascii="Calibri" w:hAnsi="Calibri" w:cs="Calibri"/>
                <w:szCs w:val="20"/>
              </w:rPr>
              <w:t>Specific groups for whom treatment may be of benefit</w:t>
            </w:r>
          </w:p>
        </w:tc>
        <w:tc>
          <w:tcPr>
            <w:tcW w:w="2977" w:type="dxa"/>
          </w:tcPr>
          <w:p w14:paraId="4CD92BE3" w14:textId="24E10E12" w:rsidR="005E27B4"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Women with polycystic ovary syndrome</w:t>
            </w:r>
          </w:p>
        </w:tc>
        <w:tc>
          <w:tcPr>
            <w:tcW w:w="3485" w:type="dxa"/>
          </w:tcPr>
          <w:p w14:paraId="42757570" w14:textId="77777777"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3231" w:type="dxa"/>
          </w:tcPr>
          <w:p w14:paraId="2F271897" w14:textId="77777777"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Overweight and obesity</w:t>
            </w:r>
          </w:p>
          <w:p w14:paraId="09E7169A" w14:textId="77777777"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High insulin dose</w:t>
            </w:r>
          </w:p>
          <w:p w14:paraId="015AB8D6" w14:textId="77777777"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r w:rsidRPr="0035461C">
              <w:rPr>
                <w:rFonts w:ascii="Calibri" w:hAnsi="Calibri" w:cs="Calibri"/>
                <w:szCs w:val="20"/>
              </w:rPr>
              <w:t>Risk of cardiovascular and renal disease</w:t>
            </w:r>
          </w:p>
        </w:tc>
        <w:tc>
          <w:tcPr>
            <w:tcW w:w="3231" w:type="dxa"/>
          </w:tcPr>
          <w:p w14:paraId="1071A7A3" w14:textId="77777777" w:rsidR="002F4A3C" w:rsidRPr="0035461C" w:rsidRDefault="002F4A3C" w:rsidP="002F4A3C">
            <w:pPr>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r>
    </w:tbl>
    <w:p w14:paraId="15037ED7" w14:textId="77777777" w:rsidR="00756DB5" w:rsidRPr="0035461C" w:rsidRDefault="00756DB5" w:rsidP="00E71E04">
      <w:pPr>
        <w:spacing w:before="120"/>
        <w:jc w:val="both"/>
        <w:rPr>
          <w:rFonts w:ascii="Calibri" w:hAnsi="Calibri" w:cs="Calibri"/>
          <w:b/>
          <w:bCs/>
          <w:sz w:val="20"/>
        </w:rPr>
        <w:sectPr w:rsidR="00756DB5" w:rsidRPr="0035461C" w:rsidSect="008E0C17">
          <w:pgSz w:w="16838" w:h="11906" w:orient="landscape"/>
          <w:pgMar w:top="1440" w:right="1440" w:bottom="1440" w:left="1440" w:header="709" w:footer="709" w:gutter="0"/>
          <w:cols w:space="708"/>
          <w:docGrid w:linePitch="360"/>
        </w:sectPr>
      </w:pPr>
    </w:p>
    <w:p w14:paraId="2B612E92" w14:textId="619CE27B" w:rsidR="0078333B" w:rsidRPr="0035461C" w:rsidRDefault="0078333B" w:rsidP="00CA59E4">
      <w:pPr>
        <w:autoSpaceDE w:val="0"/>
        <w:autoSpaceDN w:val="0"/>
        <w:adjustRightInd w:val="0"/>
        <w:spacing w:before="120" w:after="120"/>
        <w:jc w:val="both"/>
        <w:rPr>
          <w:rFonts w:ascii="Calibri" w:hAnsi="Calibri" w:cs="Calibri"/>
          <w:b/>
        </w:rPr>
      </w:pPr>
      <w:r w:rsidRPr="0035461C">
        <w:rPr>
          <w:rFonts w:ascii="Calibri" w:hAnsi="Calibri" w:cs="Calibri"/>
          <w:b/>
        </w:rPr>
        <w:t xml:space="preserve">Figures </w:t>
      </w:r>
      <w:r w:rsidR="0032420D">
        <w:rPr>
          <w:rFonts w:ascii="Calibri" w:hAnsi="Calibri" w:cs="Calibri"/>
          <w:b/>
        </w:rPr>
        <w:t xml:space="preserve">and </w:t>
      </w:r>
      <w:r w:rsidRPr="0035461C">
        <w:rPr>
          <w:rFonts w:ascii="Calibri" w:hAnsi="Calibri" w:cs="Calibri"/>
          <w:b/>
        </w:rPr>
        <w:t>Legends</w:t>
      </w:r>
    </w:p>
    <w:p w14:paraId="1D1CC57D" w14:textId="6AF147FD" w:rsidR="0078333B" w:rsidRPr="0035461C" w:rsidRDefault="00AF3542" w:rsidP="00CA59E4">
      <w:pPr>
        <w:autoSpaceDE w:val="0"/>
        <w:autoSpaceDN w:val="0"/>
        <w:adjustRightInd w:val="0"/>
        <w:spacing w:before="120" w:after="120"/>
        <w:jc w:val="both"/>
        <w:rPr>
          <w:rFonts w:ascii="Calibri" w:hAnsi="Calibri" w:cs="Calibri"/>
          <w:b/>
        </w:rPr>
      </w:pPr>
      <w:r>
        <w:rPr>
          <w:noProof/>
          <w:lang w:val="en-GB" w:eastAsia="en-GB"/>
        </w:rPr>
        <w:drawing>
          <wp:inline distT="0" distB="0" distL="0" distR="0" wp14:anchorId="4563927F" wp14:editId="5BA7629A">
            <wp:extent cx="5731510" cy="76962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7696200"/>
                    </a:xfrm>
                    <a:prstGeom prst="rect">
                      <a:avLst/>
                    </a:prstGeom>
                  </pic:spPr>
                </pic:pic>
              </a:graphicData>
            </a:graphic>
          </wp:inline>
        </w:drawing>
      </w:r>
    </w:p>
    <w:p w14:paraId="43FA1F90" w14:textId="08CFC54A" w:rsidR="000647C7" w:rsidRPr="0035461C" w:rsidRDefault="0078333B" w:rsidP="000647C7">
      <w:pPr>
        <w:autoSpaceDE w:val="0"/>
        <w:autoSpaceDN w:val="0"/>
        <w:adjustRightInd w:val="0"/>
        <w:spacing w:before="120" w:after="120"/>
        <w:jc w:val="both"/>
        <w:rPr>
          <w:rFonts w:ascii="Calibri" w:hAnsi="Calibri" w:cs="Calibri"/>
          <w:lang w:val="en-GB"/>
        </w:rPr>
      </w:pPr>
      <w:r w:rsidRPr="0035461C">
        <w:rPr>
          <w:rFonts w:ascii="Calibri" w:hAnsi="Calibri" w:cs="Calibri"/>
          <w:b/>
        </w:rPr>
        <w:t xml:space="preserve">Figure 1: </w:t>
      </w:r>
      <w:r w:rsidR="000647C7" w:rsidRPr="0035461C">
        <w:rPr>
          <w:rFonts w:eastAsiaTheme="minorEastAsia" w:hAnsi="Calibri"/>
          <w:color w:val="000000" w:themeColor="text1"/>
          <w:kern w:val="24"/>
          <w:sz w:val="30"/>
          <w:szCs w:val="30"/>
          <w:lang w:val="en-GB" w:eastAsia="en-GB"/>
        </w:rPr>
        <w:t xml:space="preserve"> </w:t>
      </w:r>
      <w:r w:rsidR="000647C7" w:rsidRPr="0035461C">
        <w:rPr>
          <w:rFonts w:ascii="Calibri" w:hAnsi="Calibri" w:cs="Calibri"/>
          <w:b/>
          <w:lang w:val="en-GB"/>
        </w:rPr>
        <w:t>Flow chart for investigation of suspected type 1 diabetes in newly diagnosed adults, based on data from White European populations</w:t>
      </w:r>
    </w:p>
    <w:p w14:paraId="6D99BEC9" w14:textId="5E48FC67" w:rsidR="000647C7" w:rsidRPr="0035461C" w:rsidRDefault="00DB4462" w:rsidP="000647C7">
      <w:pPr>
        <w:autoSpaceDE w:val="0"/>
        <w:autoSpaceDN w:val="0"/>
        <w:adjustRightInd w:val="0"/>
        <w:spacing w:before="120" w:after="120"/>
        <w:jc w:val="both"/>
        <w:rPr>
          <w:rFonts w:ascii="Calibri" w:hAnsi="Calibri" w:cs="Calibri"/>
          <w:lang w:val="en-GB"/>
        </w:rPr>
      </w:pPr>
      <w:r w:rsidRPr="0035461C">
        <w:rPr>
          <w:rFonts w:ascii="Calibri" w:hAnsi="Calibri" w:cs="Calibri"/>
          <w:lang w:val="en-GB"/>
        </w:rPr>
        <w:t>1:</w:t>
      </w:r>
      <w:r w:rsidR="000647C7" w:rsidRPr="0035461C">
        <w:rPr>
          <w:rFonts w:ascii="Calibri" w:hAnsi="Calibri" w:cs="Calibri"/>
          <w:lang w:val="en-GB"/>
        </w:rPr>
        <w:t xml:space="preserve"> No single clinical feature confirms type 1 diabetes in isolation. The most discriminative feature is younger age at diagnosis (&lt;35 years), with lower BMI (&lt;25 kg/m</w:t>
      </w:r>
      <w:r w:rsidR="000647C7" w:rsidRPr="0035461C">
        <w:rPr>
          <w:rFonts w:ascii="Calibri" w:hAnsi="Calibri" w:cs="Calibri"/>
          <w:vertAlign w:val="superscript"/>
          <w:lang w:val="en-GB"/>
        </w:rPr>
        <w:t>2</w:t>
      </w:r>
      <w:r w:rsidR="000647C7" w:rsidRPr="0035461C">
        <w:rPr>
          <w:rFonts w:ascii="Calibri" w:hAnsi="Calibri" w:cs="Calibri"/>
          <w:lang w:val="en-GB"/>
        </w:rPr>
        <w:t>), unintentional weight loss, ketoacidosis, and glucose &gt;360 mg/</w:t>
      </w:r>
      <w:proofErr w:type="spellStart"/>
      <w:r w:rsidR="000647C7" w:rsidRPr="0035461C">
        <w:rPr>
          <w:rFonts w:ascii="Calibri" w:hAnsi="Calibri" w:cs="Calibri"/>
          <w:lang w:val="en-GB"/>
        </w:rPr>
        <w:t>dL</w:t>
      </w:r>
      <w:proofErr w:type="spellEnd"/>
      <w:r w:rsidR="000647C7" w:rsidRPr="0035461C">
        <w:rPr>
          <w:rFonts w:ascii="Calibri" w:hAnsi="Calibri" w:cs="Calibri"/>
          <w:lang w:val="en-GB"/>
        </w:rPr>
        <w:t xml:space="preserve"> (20 </w:t>
      </w:r>
      <w:proofErr w:type="spellStart"/>
      <w:r w:rsidR="000647C7" w:rsidRPr="0035461C">
        <w:rPr>
          <w:rFonts w:ascii="Calibri" w:hAnsi="Calibri" w:cs="Calibri"/>
          <w:lang w:val="en-GB"/>
        </w:rPr>
        <w:t>mmol</w:t>
      </w:r>
      <w:proofErr w:type="spellEnd"/>
      <w:r w:rsidR="000647C7" w:rsidRPr="0035461C">
        <w:rPr>
          <w:rFonts w:ascii="Calibri" w:hAnsi="Calibri" w:cs="Calibri"/>
          <w:lang w:val="en-GB"/>
        </w:rPr>
        <w:t>/L) at presentation also being informative. Other features classically associated with type 1 diabetes, such as ketosis without acidosis, osmotic symptoms, family history, or a history of autoimmune diseases are weak discriminators</w:t>
      </w:r>
    </w:p>
    <w:p w14:paraId="3E391F4E" w14:textId="0926EA5E" w:rsidR="000647C7" w:rsidRPr="0035461C" w:rsidRDefault="00DB4462" w:rsidP="000647C7">
      <w:pPr>
        <w:autoSpaceDE w:val="0"/>
        <w:autoSpaceDN w:val="0"/>
        <w:adjustRightInd w:val="0"/>
        <w:spacing w:before="120" w:after="120"/>
        <w:jc w:val="both"/>
        <w:rPr>
          <w:rFonts w:ascii="Calibri" w:hAnsi="Calibri" w:cs="Calibri"/>
          <w:lang w:val="en-GB"/>
        </w:rPr>
      </w:pPr>
      <w:r w:rsidRPr="0035461C">
        <w:rPr>
          <w:rFonts w:ascii="Calibri" w:hAnsi="Calibri" w:cs="Calibri"/>
          <w:lang w:val="en-GB"/>
        </w:rPr>
        <w:t>2:</w:t>
      </w:r>
      <w:r w:rsidR="000647C7" w:rsidRPr="0035461C">
        <w:rPr>
          <w:rFonts w:ascii="Calibri" w:hAnsi="Calibri" w:cs="Calibri"/>
          <w:lang w:val="en-GB"/>
        </w:rPr>
        <w:t xml:space="preserve"> </w:t>
      </w:r>
      <w:r w:rsidR="00B03D24" w:rsidRPr="0035461C">
        <w:rPr>
          <w:rFonts w:ascii="Calibri" w:hAnsi="Calibri" w:cs="Calibri"/>
          <w:color w:val="111111"/>
          <w:shd w:val="clear" w:color="auto" w:fill="FFFFFF"/>
        </w:rPr>
        <w:t>Glutamic Acid Decarboxylase</w:t>
      </w:r>
      <w:r w:rsidR="00B03D24" w:rsidRPr="0035461C">
        <w:rPr>
          <w:rFonts w:ascii="Calibri" w:hAnsi="Calibri" w:cs="Calibri"/>
        </w:rPr>
        <w:t xml:space="preserve"> (GAD) should be the primary antibody measured and, if negative, should be followed by </w:t>
      </w:r>
      <w:r w:rsidR="00B03D24" w:rsidRPr="0035461C">
        <w:rPr>
          <w:rFonts w:ascii="Calibri" w:hAnsi="Calibri" w:cs="Calibri"/>
          <w:color w:val="202124"/>
          <w:shd w:val="clear" w:color="auto" w:fill="FFFFFF"/>
        </w:rPr>
        <w:t>islet tyrosine phosphatase 2</w:t>
      </w:r>
      <w:r w:rsidR="00B03D24" w:rsidRPr="0035461C">
        <w:rPr>
          <w:rFonts w:ascii="Calibri" w:hAnsi="Calibri" w:cs="Calibri"/>
        </w:rPr>
        <w:t xml:space="preserve"> (IA2) and/or Zinc transporter 8 (ZNT8) where available</w:t>
      </w:r>
      <w:r w:rsidR="000647C7" w:rsidRPr="0035461C">
        <w:rPr>
          <w:rFonts w:ascii="Calibri" w:hAnsi="Calibri" w:cs="Calibri"/>
          <w:lang w:val="en-GB"/>
        </w:rPr>
        <w:t xml:space="preserve">. </w:t>
      </w:r>
      <w:r w:rsidR="000647C7" w:rsidRPr="0035461C">
        <w:rPr>
          <w:rFonts w:ascii="Calibri" w:hAnsi="Calibri" w:cs="Calibri"/>
        </w:rPr>
        <w:t>In those diagnosed below the age of 35 years who have no clinical features of type 2 diabetes or monogenic diabetes, a negative result does not change the diagnosis of type 1 diabetes</w:t>
      </w:r>
      <w:r w:rsidR="00B03D24" w:rsidRPr="0035461C">
        <w:rPr>
          <w:rFonts w:ascii="Calibri" w:hAnsi="Calibri" w:cs="Calibri"/>
        </w:rPr>
        <w:t xml:space="preserve"> as 5-10% of people with type 1 diabetes </w:t>
      </w:r>
      <w:r w:rsidR="00495F6B" w:rsidRPr="0035461C">
        <w:rPr>
          <w:rFonts w:ascii="Calibri" w:hAnsi="Calibri" w:cs="Calibri"/>
        </w:rPr>
        <w:t xml:space="preserve">do not </w:t>
      </w:r>
      <w:r w:rsidR="00B03D24" w:rsidRPr="0035461C">
        <w:rPr>
          <w:rFonts w:ascii="Calibri" w:hAnsi="Calibri" w:cs="Calibri"/>
        </w:rPr>
        <w:t>have antibodies.</w:t>
      </w:r>
    </w:p>
    <w:p w14:paraId="3072B799" w14:textId="6F05FA39" w:rsidR="000647C7" w:rsidRPr="0035461C" w:rsidRDefault="00DB4462" w:rsidP="000647C7">
      <w:pPr>
        <w:autoSpaceDE w:val="0"/>
        <w:autoSpaceDN w:val="0"/>
        <w:adjustRightInd w:val="0"/>
        <w:spacing w:before="120" w:after="120"/>
        <w:jc w:val="both"/>
        <w:rPr>
          <w:rFonts w:ascii="Calibri" w:hAnsi="Calibri" w:cs="Calibri"/>
          <w:lang w:val="en-GB"/>
        </w:rPr>
      </w:pPr>
      <w:r w:rsidRPr="0035461C">
        <w:rPr>
          <w:rFonts w:ascii="Calibri" w:hAnsi="Calibri" w:cs="Calibri"/>
          <w:lang w:val="en-GB"/>
        </w:rPr>
        <w:t>3:</w:t>
      </w:r>
      <w:r w:rsidR="000647C7" w:rsidRPr="0035461C">
        <w:rPr>
          <w:rFonts w:ascii="Calibri" w:hAnsi="Calibri" w:cs="Calibri"/>
          <w:lang w:val="en-GB"/>
        </w:rPr>
        <w:t xml:space="preserve"> Monogenic diabetes is suggested by the presence of one or more of the following features: HbA</w:t>
      </w:r>
      <w:r w:rsidR="000647C7" w:rsidRPr="0035461C">
        <w:rPr>
          <w:rFonts w:ascii="Calibri" w:hAnsi="Calibri" w:cs="Calibri"/>
          <w:vertAlign w:val="subscript"/>
          <w:lang w:val="en-GB"/>
        </w:rPr>
        <w:t>1c</w:t>
      </w:r>
      <w:r w:rsidR="000647C7" w:rsidRPr="0035461C">
        <w:rPr>
          <w:rFonts w:ascii="Calibri" w:hAnsi="Calibri" w:cs="Calibri"/>
          <w:lang w:val="en-GB"/>
        </w:rPr>
        <w:t xml:space="preserve"> &lt;58mmol/</w:t>
      </w:r>
      <w:proofErr w:type="spellStart"/>
      <w:r w:rsidR="000647C7" w:rsidRPr="0035461C">
        <w:rPr>
          <w:rFonts w:ascii="Calibri" w:hAnsi="Calibri" w:cs="Calibri"/>
          <w:lang w:val="en-GB"/>
        </w:rPr>
        <w:t>mol</w:t>
      </w:r>
      <w:proofErr w:type="spellEnd"/>
      <w:r w:rsidR="000647C7" w:rsidRPr="0035461C">
        <w:rPr>
          <w:rFonts w:ascii="Calibri" w:hAnsi="Calibri" w:cs="Calibri"/>
          <w:lang w:val="en-GB"/>
        </w:rPr>
        <w:t xml:space="preserve"> (7.5%) at diagnosis, one parent with diabetes, features of specific monogenic cause (e.g. renal cysts, partial lipodystrophy, maternally inherited deafness, severe insulin resistance in the absence of obesity). Monogenic diabetes prediction model probability &gt;5%: </w:t>
      </w:r>
      <w:hyperlink r:id="rId15" w:history="1">
        <w:r w:rsidR="000647C7" w:rsidRPr="0035461C">
          <w:rPr>
            <w:rStyle w:val="Hyperlink"/>
            <w:rFonts w:ascii="Calibri" w:hAnsi="Calibri" w:cs="Calibri"/>
            <w:lang w:val="en-GB"/>
          </w:rPr>
          <w:t>www.diabetesgenes.org/exeter-diabetes-app/ModyCalculator</w:t>
        </w:r>
      </w:hyperlink>
      <w:r w:rsidR="000647C7" w:rsidRPr="0035461C">
        <w:rPr>
          <w:rFonts w:ascii="Calibri" w:hAnsi="Calibri" w:cs="Calibri"/>
          <w:lang w:val="en-GB"/>
        </w:rPr>
        <w:t xml:space="preserve"> </w:t>
      </w:r>
    </w:p>
    <w:p w14:paraId="3BFA2E44" w14:textId="65268883" w:rsidR="000647C7" w:rsidRPr="0035461C" w:rsidRDefault="00DB4462" w:rsidP="000647C7">
      <w:pPr>
        <w:autoSpaceDE w:val="0"/>
        <w:autoSpaceDN w:val="0"/>
        <w:adjustRightInd w:val="0"/>
        <w:spacing w:before="120" w:after="120"/>
        <w:jc w:val="both"/>
        <w:rPr>
          <w:rFonts w:ascii="Calibri" w:hAnsi="Calibri" w:cs="Calibri"/>
          <w:lang w:val="en-GB"/>
        </w:rPr>
      </w:pPr>
      <w:r w:rsidRPr="0035461C">
        <w:rPr>
          <w:rFonts w:ascii="Calibri" w:hAnsi="Calibri" w:cs="Calibri"/>
          <w:lang w:val="en-GB"/>
        </w:rPr>
        <w:t>4:</w:t>
      </w:r>
      <w:r w:rsidR="000647C7" w:rsidRPr="0035461C">
        <w:rPr>
          <w:rFonts w:ascii="Calibri" w:hAnsi="Calibri" w:cs="Calibri"/>
          <w:lang w:val="en-GB"/>
        </w:rPr>
        <w:t xml:space="preserve"> Features of type 2 diabetes include overweight or obesity, absence of weight loss, absence of ketoacidosis, and less marked hyperglycaemia. Less discriminatory features include non-white ethnicity, family history, longer duration and milder severity of symptoms prior to presentation, features of the metabolic syndrome and absence of a family history of autoimmunity.</w:t>
      </w:r>
    </w:p>
    <w:p w14:paraId="07CDBDB3" w14:textId="196F4FFC" w:rsidR="000647C7" w:rsidRPr="0035461C" w:rsidRDefault="00DB4462" w:rsidP="000647C7">
      <w:pPr>
        <w:autoSpaceDE w:val="0"/>
        <w:autoSpaceDN w:val="0"/>
        <w:adjustRightInd w:val="0"/>
        <w:spacing w:before="120" w:after="120"/>
        <w:jc w:val="both"/>
        <w:rPr>
          <w:rFonts w:ascii="Calibri" w:hAnsi="Calibri" w:cs="Calibri"/>
          <w:lang w:val="en-GB"/>
        </w:rPr>
      </w:pPr>
      <w:r w:rsidRPr="0035461C">
        <w:rPr>
          <w:rFonts w:ascii="Calibri" w:hAnsi="Calibri" w:cs="Calibri"/>
          <w:lang w:val="en-GB"/>
        </w:rPr>
        <w:t>5:</w:t>
      </w:r>
      <w:r w:rsidR="000647C7" w:rsidRPr="0035461C">
        <w:rPr>
          <w:rFonts w:ascii="Calibri" w:hAnsi="Calibri" w:cs="Calibri"/>
          <w:lang w:val="en-GB"/>
        </w:rPr>
        <w:t xml:space="preserve"> Type 2 diabetes should be strongly considered</w:t>
      </w:r>
      <w:r w:rsidR="00B03D24" w:rsidRPr="0035461C">
        <w:rPr>
          <w:rFonts w:ascii="Calibri" w:hAnsi="Calibri" w:cs="Calibri"/>
          <w:lang w:val="en-GB"/>
        </w:rPr>
        <w:t xml:space="preserve"> in older individuals</w:t>
      </w:r>
      <w:r w:rsidR="000647C7" w:rsidRPr="0035461C">
        <w:rPr>
          <w:rFonts w:ascii="Calibri" w:hAnsi="Calibri" w:cs="Calibri"/>
          <w:lang w:val="en-GB"/>
        </w:rPr>
        <w:t>. In some cases investigation for</w:t>
      </w:r>
      <w:r w:rsidR="000647C7" w:rsidRPr="0035461C">
        <w:rPr>
          <w:rFonts w:ascii="Calibri" w:hAnsi="Calibri" w:cs="Calibri"/>
        </w:rPr>
        <w:t xml:space="preserve"> </w:t>
      </w:r>
      <w:r w:rsidR="000647C7" w:rsidRPr="0035461C">
        <w:rPr>
          <w:rFonts w:ascii="Calibri" w:hAnsi="Calibri" w:cs="Calibri"/>
          <w:lang w:val="en-GB"/>
        </w:rPr>
        <w:t xml:space="preserve">pancreatic or other types of diabetes may be appropriate. </w:t>
      </w:r>
    </w:p>
    <w:p w14:paraId="7AF32B14" w14:textId="01F5DA1B" w:rsidR="000647C7" w:rsidRPr="0035461C" w:rsidRDefault="00DB4462" w:rsidP="000647C7">
      <w:pPr>
        <w:autoSpaceDE w:val="0"/>
        <w:autoSpaceDN w:val="0"/>
        <w:adjustRightInd w:val="0"/>
        <w:spacing w:before="120" w:after="120"/>
        <w:jc w:val="both"/>
        <w:rPr>
          <w:rFonts w:ascii="Calibri" w:hAnsi="Calibri" w:cs="Calibri"/>
          <w:lang w:val="en-GB"/>
        </w:rPr>
      </w:pPr>
      <w:r w:rsidRPr="0035461C">
        <w:rPr>
          <w:rFonts w:ascii="Calibri" w:hAnsi="Calibri" w:cs="Calibri"/>
          <w:lang w:val="en-GB"/>
        </w:rPr>
        <w:t>6:</w:t>
      </w:r>
      <w:r w:rsidR="000647C7" w:rsidRPr="0035461C">
        <w:rPr>
          <w:rFonts w:ascii="Calibri" w:hAnsi="Calibri" w:cs="Calibri"/>
          <w:lang w:val="en-GB"/>
        </w:rPr>
        <w:t xml:space="preserve"> A person with possible type 1 diabetes who is treated without insulin will require careful monitoring and education, so that insulin can be rapidly initiated in the event of glycaemic deterioration. Where a person is insulin treated</w:t>
      </w:r>
      <w:r w:rsidR="00B03D24" w:rsidRPr="0035461C">
        <w:rPr>
          <w:rFonts w:ascii="Calibri" w:hAnsi="Calibri" w:cs="Calibri"/>
          <w:lang w:val="en-GB"/>
        </w:rPr>
        <w:t>,</w:t>
      </w:r>
      <w:r w:rsidR="000647C7" w:rsidRPr="0035461C">
        <w:rPr>
          <w:rFonts w:ascii="Calibri" w:hAnsi="Calibri" w:cs="Calibri"/>
          <w:lang w:val="en-GB"/>
        </w:rPr>
        <w:t xml:space="preserve"> C-peptide </w:t>
      </w:r>
      <w:r w:rsidR="00B03D24" w:rsidRPr="0035461C">
        <w:rPr>
          <w:rFonts w:ascii="Calibri" w:hAnsi="Calibri" w:cs="Calibri"/>
          <w:lang w:val="en-GB"/>
        </w:rPr>
        <w:t>must</w:t>
      </w:r>
      <w:r w:rsidR="000647C7" w:rsidRPr="0035461C">
        <w:rPr>
          <w:rFonts w:ascii="Calibri" w:hAnsi="Calibri" w:cs="Calibri"/>
          <w:lang w:val="en-GB"/>
        </w:rPr>
        <w:t xml:space="preserve"> be measured prior to insulin discontinuation, to exclude severe insulin deficiency. </w:t>
      </w:r>
    </w:p>
    <w:p w14:paraId="5DC8A12A" w14:textId="41FC3EA9" w:rsidR="000647C7" w:rsidRPr="0035461C" w:rsidRDefault="00DB4462" w:rsidP="000647C7">
      <w:pPr>
        <w:autoSpaceDE w:val="0"/>
        <w:autoSpaceDN w:val="0"/>
        <w:adjustRightInd w:val="0"/>
        <w:spacing w:before="120" w:after="120"/>
        <w:jc w:val="both"/>
        <w:rPr>
          <w:rFonts w:ascii="Calibri" w:hAnsi="Calibri" w:cs="Calibri"/>
          <w:lang w:val="en-GB"/>
        </w:rPr>
      </w:pPr>
      <w:r w:rsidRPr="0035461C">
        <w:rPr>
          <w:rFonts w:ascii="Calibri" w:hAnsi="Calibri" w:cs="Calibri"/>
          <w:lang w:val="en-GB"/>
        </w:rPr>
        <w:t>7:</w:t>
      </w:r>
      <w:r w:rsidR="000647C7" w:rsidRPr="0035461C">
        <w:rPr>
          <w:rFonts w:ascii="Calibri" w:hAnsi="Calibri" w:cs="Calibri"/>
          <w:lang w:val="en-GB"/>
        </w:rPr>
        <w:t xml:space="preserve"> A C-peptide test is only indicated in people receiving insulin treatment. A random sample (with concurrent glucose) within 5 hours of eating can replace a formal stimulations test in the context of classification. If the result is ≥600 </w:t>
      </w:r>
      <w:proofErr w:type="spellStart"/>
      <w:r w:rsidR="000647C7" w:rsidRPr="0035461C">
        <w:rPr>
          <w:rFonts w:ascii="Calibri" w:hAnsi="Calibri" w:cs="Calibri"/>
          <w:lang w:val="en-GB"/>
        </w:rPr>
        <w:t>pmol</w:t>
      </w:r>
      <w:proofErr w:type="spellEnd"/>
      <w:r w:rsidR="000647C7" w:rsidRPr="0035461C">
        <w:rPr>
          <w:rFonts w:ascii="Calibri" w:hAnsi="Calibri" w:cs="Calibri"/>
          <w:lang w:val="en-GB"/>
        </w:rPr>
        <w:t xml:space="preserve">/L the circumstances of testing do not matter. If result is &lt;600 </w:t>
      </w:r>
      <w:proofErr w:type="spellStart"/>
      <w:r w:rsidR="000647C7" w:rsidRPr="0035461C">
        <w:rPr>
          <w:rFonts w:ascii="Calibri" w:hAnsi="Calibri" w:cs="Calibri"/>
          <w:lang w:val="en-GB"/>
        </w:rPr>
        <w:t>pmol</w:t>
      </w:r>
      <w:proofErr w:type="spellEnd"/>
      <w:r w:rsidR="000647C7" w:rsidRPr="0035461C">
        <w:rPr>
          <w:rFonts w:ascii="Calibri" w:hAnsi="Calibri" w:cs="Calibri"/>
          <w:lang w:val="en-GB"/>
        </w:rPr>
        <w:t xml:space="preserve">/L and the concurrent glucose is &lt;4 </w:t>
      </w:r>
      <w:proofErr w:type="spellStart"/>
      <w:r w:rsidR="000647C7" w:rsidRPr="0035461C">
        <w:rPr>
          <w:rFonts w:ascii="Calibri" w:hAnsi="Calibri" w:cs="Calibri"/>
          <w:lang w:val="en-GB"/>
        </w:rPr>
        <w:t>mmol</w:t>
      </w:r>
      <w:proofErr w:type="spellEnd"/>
      <w:r w:rsidR="000647C7" w:rsidRPr="0035461C">
        <w:rPr>
          <w:rFonts w:ascii="Calibri" w:hAnsi="Calibri" w:cs="Calibri"/>
          <w:lang w:val="en-GB"/>
        </w:rPr>
        <w:t xml:space="preserve">/L </w:t>
      </w:r>
      <w:r w:rsidR="00B03D24" w:rsidRPr="0035461C">
        <w:rPr>
          <w:rFonts w:ascii="Calibri" w:hAnsi="Calibri" w:cs="Calibri"/>
          <w:lang w:val="en-GB"/>
        </w:rPr>
        <w:t xml:space="preserve">(&lt;72 mg/dl) </w:t>
      </w:r>
      <w:r w:rsidR="000647C7" w:rsidRPr="0035461C">
        <w:rPr>
          <w:rFonts w:ascii="Calibri" w:hAnsi="Calibri" w:cs="Calibri"/>
          <w:lang w:val="en-GB"/>
        </w:rPr>
        <w:t xml:space="preserve">or the </w:t>
      </w:r>
      <w:r w:rsidR="00B03D24" w:rsidRPr="0035461C">
        <w:rPr>
          <w:rFonts w:ascii="Calibri" w:hAnsi="Calibri" w:cs="Calibri"/>
          <w:lang w:val="en-GB"/>
        </w:rPr>
        <w:t>person</w:t>
      </w:r>
      <w:r w:rsidR="000647C7" w:rsidRPr="0035461C">
        <w:rPr>
          <w:rFonts w:ascii="Calibri" w:hAnsi="Calibri" w:cs="Calibri"/>
          <w:lang w:val="en-GB"/>
        </w:rPr>
        <w:t xml:space="preserve"> may have been fasting, consider repeating the test. Very low levels (&lt;80 </w:t>
      </w:r>
      <w:proofErr w:type="spellStart"/>
      <w:r w:rsidR="000647C7" w:rsidRPr="0035461C">
        <w:rPr>
          <w:rFonts w:ascii="Calibri" w:hAnsi="Calibri" w:cs="Calibri"/>
          <w:lang w:val="en-GB"/>
        </w:rPr>
        <w:t>pmol</w:t>
      </w:r>
      <w:proofErr w:type="spellEnd"/>
      <w:r w:rsidR="000647C7" w:rsidRPr="0035461C">
        <w:rPr>
          <w:rFonts w:ascii="Calibri" w:hAnsi="Calibri" w:cs="Calibri"/>
          <w:lang w:val="en-GB"/>
        </w:rPr>
        <w:t xml:space="preserve">/L) do not need to be repeated. Do not test C-peptide within 2 weeks of a hyperglycaemic emergency. </w:t>
      </w:r>
    </w:p>
    <w:p w14:paraId="74DBAEAF" w14:textId="19B5ABEA" w:rsidR="000647C7" w:rsidRPr="0035461C" w:rsidRDefault="00DB4462" w:rsidP="000647C7">
      <w:pPr>
        <w:autoSpaceDE w:val="0"/>
        <w:autoSpaceDN w:val="0"/>
        <w:adjustRightInd w:val="0"/>
        <w:spacing w:before="120" w:after="120"/>
        <w:jc w:val="both"/>
        <w:rPr>
          <w:rFonts w:ascii="Calibri" w:hAnsi="Calibri" w:cs="Calibri"/>
          <w:lang w:val="en-GB"/>
        </w:rPr>
      </w:pPr>
      <w:r w:rsidRPr="0035461C">
        <w:rPr>
          <w:rFonts w:ascii="Calibri" w:hAnsi="Calibri" w:cs="Calibri"/>
          <w:lang w:val="en-GB"/>
        </w:rPr>
        <w:t>8:</w:t>
      </w:r>
      <w:r w:rsidR="000647C7" w:rsidRPr="0035461C">
        <w:rPr>
          <w:rFonts w:ascii="Calibri" w:hAnsi="Calibri" w:cs="Calibri"/>
          <w:lang w:val="en-GB"/>
        </w:rPr>
        <w:t xml:space="preserve"> C-peptide values 200-600 </w:t>
      </w:r>
      <w:proofErr w:type="spellStart"/>
      <w:r w:rsidR="000647C7" w:rsidRPr="0035461C">
        <w:rPr>
          <w:rFonts w:ascii="Calibri" w:hAnsi="Calibri" w:cs="Calibri"/>
          <w:lang w:val="en-GB"/>
        </w:rPr>
        <w:t>pmol</w:t>
      </w:r>
      <w:proofErr w:type="spellEnd"/>
      <w:r w:rsidR="000647C7" w:rsidRPr="0035461C">
        <w:rPr>
          <w:rFonts w:ascii="Calibri" w:hAnsi="Calibri" w:cs="Calibri"/>
          <w:lang w:val="en-GB"/>
        </w:rPr>
        <w:t>/L are usually consistent with type 1 diabetes or MODY, but may occur in insulin</w:t>
      </w:r>
      <w:r w:rsidR="00B03D24" w:rsidRPr="0035461C">
        <w:rPr>
          <w:rFonts w:ascii="Calibri" w:hAnsi="Calibri" w:cs="Calibri"/>
          <w:lang w:val="en-GB"/>
        </w:rPr>
        <w:t>-</w:t>
      </w:r>
      <w:r w:rsidR="000647C7" w:rsidRPr="0035461C">
        <w:rPr>
          <w:rFonts w:ascii="Calibri" w:hAnsi="Calibri" w:cs="Calibri"/>
          <w:lang w:val="en-GB"/>
        </w:rPr>
        <w:t xml:space="preserve">treated type 2 diabetes, particularly in people with normal or low body mass index or after long duration. </w:t>
      </w:r>
    </w:p>
    <w:p w14:paraId="6990ED26" w14:textId="119DD53C" w:rsidR="00E40022" w:rsidRDefault="003C6FF9" w:rsidP="000647C7">
      <w:pPr>
        <w:autoSpaceDE w:val="0"/>
        <w:autoSpaceDN w:val="0"/>
        <w:adjustRightInd w:val="0"/>
        <w:spacing w:before="120" w:after="120"/>
        <w:jc w:val="both"/>
        <w:rPr>
          <w:rFonts w:ascii="Calibri" w:hAnsi="Calibri" w:cs="Calibri"/>
          <w:lang w:val="en-GB"/>
        </w:rPr>
      </w:pPr>
      <w:r w:rsidRPr="0035461C">
        <w:rPr>
          <w:rFonts w:ascii="Calibri" w:hAnsi="Calibri" w:cs="Calibri"/>
          <w:lang w:val="en-GB"/>
        </w:rPr>
        <w:t>9</w:t>
      </w:r>
      <w:r w:rsidR="00DB4462" w:rsidRPr="0035461C">
        <w:rPr>
          <w:rFonts w:ascii="Calibri" w:hAnsi="Calibri" w:cs="Calibri"/>
          <w:lang w:val="en-GB"/>
        </w:rPr>
        <w:t>: If genetic testing does not confirm monogenic diabetes, the classification is unclear and a clinical decision should be made about treatment</w:t>
      </w:r>
    </w:p>
    <w:p w14:paraId="6F0A1AF6" w14:textId="77777777" w:rsidR="00E40022" w:rsidRDefault="00E40022">
      <w:pPr>
        <w:spacing w:after="160" w:line="259" w:lineRule="auto"/>
        <w:rPr>
          <w:rFonts w:ascii="Calibri" w:hAnsi="Calibri" w:cs="Calibri"/>
          <w:lang w:val="en-GB"/>
        </w:rPr>
      </w:pPr>
      <w:r>
        <w:rPr>
          <w:rFonts w:ascii="Calibri" w:hAnsi="Calibri" w:cs="Calibri"/>
          <w:lang w:val="en-GB"/>
        </w:rPr>
        <w:br w:type="page"/>
      </w:r>
    </w:p>
    <w:p w14:paraId="6886ACBE" w14:textId="77777777" w:rsidR="00DB4462" w:rsidRPr="0035461C" w:rsidRDefault="00DB4462" w:rsidP="000647C7">
      <w:pPr>
        <w:autoSpaceDE w:val="0"/>
        <w:autoSpaceDN w:val="0"/>
        <w:adjustRightInd w:val="0"/>
        <w:spacing w:before="120" w:after="120"/>
        <w:jc w:val="both"/>
        <w:rPr>
          <w:rFonts w:ascii="Calibri" w:hAnsi="Calibri" w:cs="Calibri"/>
          <w:lang w:val="en-GB"/>
        </w:rPr>
      </w:pPr>
    </w:p>
    <w:p w14:paraId="0F5BDAFF" w14:textId="7B9023CE" w:rsidR="0078333B" w:rsidRDefault="00E615B3" w:rsidP="000647C7">
      <w:pPr>
        <w:autoSpaceDE w:val="0"/>
        <w:autoSpaceDN w:val="0"/>
        <w:adjustRightInd w:val="0"/>
        <w:spacing w:before="120" w:after="120"/>
        <w:jc w:val="both"/>
        <w:rPr>
          <w:rFonts w:ascii="Calibri" w:hAnsi="Calibri" w:cs="Calibri"/>
          <w:b/>
        </w:rPr>
      </w:pPr>
      <w:r w:rsidRPr="0035461C">
        <w:rPr>
          <w:rFonts w:ascii="Calibri" w:hAnsi="Calibri" w:cs="Calibri"/>
          <w:b/>
        </w:rPr>
        <w:t xml:space="preserve"> </w:t>
      </w:r>
    </w:p>
    <w:p w14:paraId="63BA821B" w14:textId="77777777" w:rsidR="00EA5CA2" w:rsidRPr="0035461C" w:rsidRDefault="00EA5CA2" w:rsidP="000647C7">
      <w:pPr>
        <w:autoSpaceDE w:val="0"/>
        <w:autoSpaceDN w:val="0"/>
        <w:adjustRightInd w:val="0"/>
        <w:spacing w:before="120" w:after="120"/>
        <w:jc w:val="both"/>
        <w:rPr>
          <w:rFonts w:ascii="Calibri" w:hAnsi="Calibri" w:cs="Calibri"/>
          <w:lang w:val="en-GB"/>
        </w:rPr>
      </w:pPr>
    </w:p>
    <w:p w14:paraId="34DA5D74" w14:textId="676E02E3" w:rsidR="0078333B" w:rsidRPr="0035461C" w:rsidRDefault="00440FCE" w:rsidP="0078333B">
      <w:pPr>
        <w:jc w:val="both"/>
        <w:rPr>
          <w:rFonts w:ascii="Calibri" w:hAnsi="Calibri" w:cs="Calibri"/>
          <w:lang w:val="en-GB"/>
        </w:rPr>
      </w:pPr>
      <w:r w:rsidRPr="00440FCE">
        <w:rPr>
          <w:rFonts w:ascii="Calibri" w:hAnsi="Calibri" w:cs="Calibri"/>
          <w:noProof/>
          <w:lang w:val="en-GB" w:eastAsia="en-GB"/>
        </w:rPr>
        <w:drawing>
          <wp:inline distT="0" distB="0" distL="0" distR="0" wp14:anchorId="69D227E7" wp14:editId="47312BF1">
            <wp:extent cx="5399661" cy="728932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2354" cy="7292957"/>
                    </a:xfrm>
                    <a:prstGeom prst="rect">
                      <a:avLst/>
                    </a:prstGeom>
                    <a:noFill/>
                    <a:ln>
                      <a:noFill/>
                    </a:ln>
                  </pic:spPr>
                </pic:pic>
              </a:graphicData>
            </a:graphic>
          </wp:inline>
        </w:drawing>
      </w:r>
    </w:p>
    <w:p w14:paraId="61F233C0" w14:textId="77777777" w:rsidR="003B39CF" w:rsidRDefault="003B39CF" w:rsidP="0078333B">
      <w:pPr>
        <w:jc w:val="both"/>
        <w:rPr>
          <w:rFonts w:ascii="Calibri" w:hAnsi="Calibri" w:cs="Calibri"/>
          <w:b/>
          <w:lang w:val="en-GB"/>
        </w:rPr>
      </w:pPr>
    </w:p>
    <w:p w14:paraId="3E8A1C19" w14:textId="5F13B5AD" w:rsidR="00197776" w:rsidRPr="0035461C" w:rsidRDefault="0078333B" w:rsidP="0078333B">
      <w:pPr>
        <w:jc w:val="both"/>
        <w:rPr>
          <w:rFonts w:ascii="Calibri" w:hAnsi="Calibri" w:cs="Calibri"/>
          <w:b/>
        </w:rPr>
      </w:pPr>
      <w:r w:rsidRPr="0035461C">
        <w:rPr>
          <w:rFonts w:ascii="Calibri" w:hAnsi="Calibri" w:cs="Calibri"/>
          <w:b/>
          <w:lang w:val="en-GB"/>
        </w:rPr>
        <w:t xml:space="preserve">Figure 2: </w:t>
      </w:r>
      <w:r w:rsidRPr="0035461C">
        <w:rPr>
          <w:rFonts w:ascii="Calibri" w:hAnsi="Calibri" w:cs="Calibri"/>
          <w:b/>
        </w:rPr>
        <w:t>CGM visualization in an</w:t>
      </w:r>
      <w:r w:rsidRPr="00962873">
        <w:rPr>
          <w:rFonts w:ascii="Calibri" w:hAnsi="Calibri" w:cs="Calibri"/>
          <w:b/>
        </w:rPr>
        <w:t xml:space="preserve"> A</w:t>
      </w:r>
      <w:r w:rsidR="00962873">
        <w:rPr>
          <w:rFonts w:ascii="Calibri" w:hAnsi="Calibri" w:cs="Calibri"/>
          <w:b/>
        </w:rPr>
        <w:t xml:space="preserve">mbulatory </w:t>
      </w:r>
      <w:r w:rsidRPr="00962873">
        <w:rPr>
          <w:rFonts w:ascii="Calibri" w:hAnsi="Calibri" w:cs="Calibri"/>
          <w:b/>
        </w:rPr>
        <w:t>G</w:t>
      </w:r>
      <w:r w:rsidR="00962873">
        <w:rPr>
          <w:rFonts w:ascii="Calibri" w:hAnsi="Calibri" w:cs="Calibri"/>
          <w:b/>
        </w:rPr>
        <w:t xml:space="preserve">lucose Profile </w:t>
      </w:r>
      <w:r w:rsidRPr="00962873">
        <w:rPr>
          <w:rFonts w:ascii="Calibri" w:hAnsi="Calibri" w:cs="Calibri"/>
          <w:b/>
        </w:rPr>
        <w:t>report</w:t>
      </w:r>
      <w:r w:rsidR="00771F5B">
        <w:rPr>
          <w:rFonts w:ascii="Calibri" w:hAnsi="Calibri" w:cs="Calibri"/>
          <w:b/>
        </w:rPr>
        <w:t xml:space="preserve">. </w:t>
      </w:r>
      <w:r w:rsidR="00861690" w:rsidRPr="00962873">
        <w:rPr>
          <w:rFonts w:ascii="Calibri" w:hAnsi="Calibri" w:cs="Calibri"/>
          <w:b/>
        </w:rPr>
        <w:t xml:space="preserve">Courtesy of </w:t>
      </w:r>
      <w:r w:rsidR="00962873" w:rsidRPr="00962873">
        <w:rPr>
          <w:rFonts w:ascii="Calibri" w:hAnsi="Calibri" w:cs="Calibri"/>
          <w:b/>
        </w:rPr>
        <w:t>Richard M. Bergenstal, MD and the International Diabetes Center</w:t>
      </w:r>
      <w:r w:rsidR="009324BD">
        <w:rPr>
          <w:rFonts w:ascii="Calibri" w:hAnsi="Calibri" w:cs="Calibri"/>
          <w:b/>
        </w:rPr>
        <w:t>, Minneapolis</w:t>
      </w:r>
      <w:r w:rsidRPr="00962873">
        <w:rPr>
          <w:rFonts w:ascii="Calibri" w:hAnsi="Calibri" w:cs="Calibri"/>
          <w:b/>
        </w:rPr>
        <w:t>.</w:t>
      </w:r>
      <w:r w:rsidR="00E615B3" w:rsidRPr="00962873">
        <w:rPr>
          <w:rFonts w:ascii="Calibri" w:hAnsi="Calibri" w:cs="Calibri"/>
          <w:b/>
        </w:rPr>
        <w:t xml:space="preserve"> </w:t>
      </w:r>
    </w:p>
    <w:p w14:paraId="6E5EF5FA" w14:textId="1AED48CE" w:rsidR="003B39CF" w:rsidRDefault="00072EEC" w:rsidP="00197776">
      <w:pPr>
        <w:jc w:val="both"/>
        <w:rPr>
          <w:rFonts w:ascii="Calibri" w:hAnsi="Calibri" w:cs="Calibri"/>
          <w:b/>
        </w:rPr>
      </w:pPr>
      <w:r w:rsidRPr="0035461C">
        <w:rPr>
          <w:rFonts w:ascii="Calibri" w:hAnsi="Calibri" w:cs="Calibri"/>
          <w:noProof/>
          <w:lang w:val="en-GB" w:eastAsia="en-GB"/>
        </w:rPr>
        <w:drawing>
          <wp:inline distT="0" distB="0" distL="0" distR="0" wp14:anchorId="1C0EBFEF" wp14:editId="7B4885A4">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p>
    <w:p w14:paraId="2BA0BE3E" w14:textId="004F3003" w:rsidR="00197776" w:rsidRPr="0035461C" w:rsidRDefault="00197776" w:rsidP="00197776">
      <w:pPr>
        <w:jc w:val="both"/>
        <w:rPr>
          <w:rFonts w:ascii="Calibri" w:hAnsi="Calibri" w:cs="Calibri"/>
        </w:rPr>
      </w:pPr>
      <w:r w:rsidRPr="0035461C">
        <w:rPr>
          <w:rFonts w:ascii="Calibri" w:hAnsi="Calibri" w:cs="Calibri"/>
          <w:b/>
        </w:rPr>
        <w:t xml:space="preserve">Figure 3: A framework for initial assessment and treatment </w:t>
      </w:r>
      <w:r w:rsidR="0046491B">
        <w:rPr>
          <w:rFonts w:ascii="Calibri" w:hAnsi="Calibri" w:cs="Calibri"/>
          <w:b/>
        </w:rPr>
        <w:t xml:space="preserve">of </w:t>
      </w:r>
      <w:r w:rsidRPr="0035461C">
        <w:rPr>
          <w:rFonts w:ascii="Calibri" w:hAnsi="Calibri" w:cs="Calibri"/>
          <w:b/>
        </w:rPr>
        <w:t xml:space="preserve">an individual with newly diagnosed type 1 diabetes. </w:t>
      </w:r>
    </w:p>
    <w:p w14:paraId="7A3384CD" w14:textId="6BA80871" w:rsidR="006A28BB" w:rsidRDefault="006A28BB" w:rsidP="00197776">
      <w:pPr>
        <w:jc w:val="both"/>
        <w:rPr>
          <w:rFonts w:ascii="Calibri" w:hAnsi="Calibri" w:cs="Calibri"/>
        </w:rPr>
      </w:pPr>
      <w:r>
        <w:rPr>
          <w:rFonts w:ascii="Calibri" w:hAnsi="Calibri" w:cs="Calibri"/>
        </w:rPr>
        <w:t xml:space="preserve">In most people, frequent follow-up until the diabetes is </w:t>
      </w:r>
      <w:proofErr w:type="spellStart"/>
      <w:r>
        <w:rPr>
          <w:rFonts w:ascii="Calibri" w:hAnsi="Calibri" w:cs="Calibri"/>
        </w:rPr>
        <w:t>stabilised</w:t>
      </w:r>
      <w:proofErr w:type="spellEnd"/>
      <w:r>
        <w:rPr>
          <w:rFonts w:ascii="Calibri" w:hAnsi="Calibri" w:cs="Calibri"/>
        </w:rPr>
        <w:t xml:space="preserve"> is needed.</w:t>
      </w:r>
    </w:p>
    <w:p w14:paraId="380CE6FE" w14:textId="3889FA06" w:rsidR="00197776" w:rsidRDefault="00197776" w:rsidP="00197776">
      <w:pPr>
        <w:jc w:val="both"/>
        <w:rPr>
          <w:rFonts w:ascii="Calibri" w:hAnsi="Calibri" w:cs="Calibri"/>
        </w:rPr>
      </w:pPr>
      <w:r w:rsidRPr="0035461C">
        <w:rPr>
          <w:rFonts w:ascii="Calibri" w:hAnsi="Calibri" w:cs="Calibri"/>
        </w:rPr>
        <w:t>HbA</w:t>
      </w:r>
      <w:r w:rsidRPr="0035461C">
        <w:rPr>
          <w:rFonts w:ascii="Calibri" w:hAnsi="Calibri" w:cs="Calibri"/>
          <w:vertAlign w:val="subscript"/>
        </w:rPr>
        <w:t>1C</w:t>
      </w:r>
      <w:r w:rsidRPr="0035461C">
        <w:rPr>
          <w:rFonts w:ascii="Calibri" w:hAnsi="Calibri" w:cs="Calibri"/>
        </w:rPr>
        <w:t xml:space="preserve">: glycated </w:t>
      </w:r>
      <w:proofErr w:type="spellStart"/>
      <w:r w:rsidRPr="0035461C">
        <w:rPr>
          <w:rFonts w:ascii="Calibri" w:hAnsi="Calibri" w:cs="Calibri"/>
        </w:rPr>
        <w:t>haemoglobin</w:t>
      </w:r>
      <w:proofErr w:type="spellEnd"/>
      <w:r w:rsidRPr="0035461C">
        <w:rPr>
          <w:rFonts w:ascii="Calibri" w:hAnsi="Calibri" w:cs="Calibri"/>
        </w:rPr>
        <w:t xml:space="preserve">; CGM: continuous glucose monitoring; BGM: blood glucose monitoring; TIR: time in rage; TBR: time below range; MDI: multiple daily injection. </w:t>
      </w:r>
      <w:r w:rsidR="009A0EDD" w:rsidRPr="009A0EDD">
        <w:rPr>
          <w:rFonts w:ascii="Calibri" w:hAnsi="Calibri" w:cs="Calibri"/>
          <w:vertAlign w:val="superscript"/>
        </w:rPr>
        <w:t>1</w:t>
      </w:r>
      <w:r w:rsidR="009A0EDD">
        <w:rPr>
          <w:rFonts w:ascii="Calibri" w:hAnsi="Calibri" w:cs="Calibri"/>
        </w:rPr>
        <w:t xml:space="preserve">People can switch back and forth between MDI and pump or hybrid closed loop therapy based on preference and circumstances; however, all people must be prepared to use injected insulin therapy if pump or hybrid closed loop systems fail or are not available.  </w:t>
      </w:r>
      <w:r w:rsidR="009A0EDD">
        <w:rPr>
          <w:rFonts w:ascii="Calibri" w:hAnsi="Calibri" w:cs="Calibri"/>
          <w:vertAlign w:val="superscript"/>
        </w:rPr>
        <w:t>2</w:t>
      </w:r>
      <w:r w:rsidRPr="0035461C">
        <w:rPr>
          <w:rFonts w:ascii="Calibri" w:hAnsi="Calibri" w:cs="Calibri"/>
        </w:rPr>
        <w:t xml:space="preserve">The availability of blood and urine ketone measurement varies across health care </w:t>
      </w:r>
      <w:commentRangeStart w:id="2"/>
      <w:r w:rsidRPr="0035461C">
        <w:rPr>
          <w:rFonts w:ascii="Calibri" w:hAnsi="Calibri" w:cs="Calibri"/>
        </w:rPr>
        <w:t>systems</w:t>
      </w:r>
      <w:commentRangeEnd w:id="2"/>
      <w:r w:rsidR="00962873">
        <w:rPr>
          <w:rStyle w:val="CommentReference"/>
          <w:rFonts w:asciiTheme="minorHAnsi" w:eastAsiaTheme="minorHAnsi" w:hAnsiTheme="minorHAnsi" w:cstheme="minorBidi"/>
        </w:rPr>
        <w:commentReference w:id="2"/>
      </w:r>
    </w:p>
    <w:p w14:paraId="2186837C" w14:textId="7332C328" w:rsidR="00EA5CA2" w:rsidRDefault="00EA5CA2" w:rsidP="00197776">
      <w:pPr>
        <w:jc w:val="both"/>
        <w:rPr>
          <w:rFonts w:ascii="Calibri" w:hAnsi="Calibri" w:cs="Calibri"/>
        </w:rPr>
      </w:pPr>
    </w:p>
    <w:p w14:paraId="7D75C47F" w14:textId="6CD5F7C7" w:rsidR="007012AB" w:rsidRDefault="007012AB">
      <w:pPr>
        <w:spacing w:after="160" w:line="259" w:lineRule="auto"/>
        <w:rPr>
          <w:rFonts w:ascii="Calibri" w:hAnsi="Calibri" w:cs="Calibri"/>
          <w:lang w:val="en-GB"/>
        </w:rPr>
      </w:pPr>
      <w:r>
        <w:rPr>
          <w:rFonts w:ascii="Calibri" w:hAnsi="Calibri" w:cs="Calibri"/>
          <w:lang w:val="en-GB"/>
        </w:rPr>
        <w:br w:type="page"/>
      </w:r>
    </w:p>
    <w:p w14:paraId="2A011803" w14:textId="283BCF34" w:rsidR="00197776" w:rsidRDefault="00197776" w:rsidP="0078333B">
      <w:pPr>
        <w:jc w:val="both"/>
        <w:rPr>
          <w:rFonts w:ascii="Calibri" w:hAnsi="Calibri" w:cs="Calibri"/>
        </w:rPr>
      </w:pPr>
    </w:p>
    <w:p w14:paraId="1988C3A7" w14:textId="0A6774E2" w:rsidR="00072EEC" w:rsidRDefault="00072EEC" w:rsidP="0078333B">
      <w:pPr>
        <w:jc w:val="both"/>
        <w:rPr>
          <w:rFonts w:ascii="Calibri" w:hAnsi="Calibri" w:cs="Calibri"/>
        </w:rPr>
      </w:pPr>
    </w:p>
    <w:p w14:paraId="2BE26EBA" w14:textId="4D741518" w:rsidR="00101485" w:rsidRDefault="00025890" w:rsidP="0078333B">
      <w:pPr>
        <w:jc w:val="both"/>
        <w:rPr>
          <w:rFonts w:ascii="Calibri" w:hAnsi="Calibri" w:cs="Calibri"/>
        </w:rPr>
      </w:pPr>
      <w:r>
        <w:rPr>
          <w:noProof/>
          <w:lang w:val="en-GB" w:eastAsia="en-GB"/>
        </w:rPr>
        <w:drawing>
          <wp:inline distT="0" distB="0" distL="0" distR="0" wp14:anchorId="795A07B7" wp14:editId="5BBB2C59">
            <wp:extent cx="5731510" cy="741997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7419975"/>
                    </a:xfrm>
                    <a:prstGeom prst="rect">
                      <a:avLst/>
                    </a:prstGeom>
                  </pic:spPr>
                </pic:pic>
              </a:graphicData>
            </a:graphic>
          </wp:inline>
        </w:drawing>
      </w:r>
    </w:p>
    <w:p w14:paraId="5B0546A1" w14:textId="04266802" w:rsidR="008A4B42" w:rsidRPr="0035461C" w:rsidRDefault="008A4B42" w:rsidP="0078333B">
      <w:pPr>
        <w:jc w:val="both"/>
        <w:rPr>
          <w:rFonts w:ascii="Calibri" w:hAnsi="Calibri" w:cs="Calibri"/>
        </w:rPr>
      </w:pPr>
    </w:p>
    <w:p w14:paraId="10D94842" w14:textId="6FD09500" w:rsidR="00197776" w:rsidRPr="0035461C" w:rsidRDefault="00197776" w:rsidP="0078333B">
      <w:pPr>
        <w:jc w:val="both"/>
        <w:rPr>
          <w:rFonts w:ascii="Calibri" w:hAnsi="Calibri" w:cs="Calibri"/>
          <w:b/>
        </w:rPr>
      </w:pPr>
      <w:r w:rsidRPr="0035461C">
        <w:rPr>
          <w:rFonts w:ascii="Calibri" w:hAnsi="Calibri" w:cs="Calibri"/>
          <w:b/>
        </w:rPr>
        <w:t>Figure 4</w:t>
      </w:r>
      <w:r w:rsidR="006C4779" w:rsidRPr="0035461C">
        <w:rPr>
          <w:rFonts w:ascii="Calibri" w:hAnsi="Calibri" w:cs="Calibri"/>
          <w:b/>
        </w:rPr>
        <w:t>:</w:t>
      </w:r>
      <w:r w:rsidRPr="0035461C">
        <w:rPr>
          <w:rFonts w:ascii="Calibri" w:hAnsi="Calibri" w:cs="Calibri"/>
          <w:b/>
        </w:rPr>
        <w:t xml:space="preserve"> A framework for the follow-up treatment of an individual with type 1 </w:t>
      </w:r>
      <w:commentRangeStart w:id="3"/>
      <w:r w:rsidRPr="0035461C">
        <w:rPr>
          <w:rFonts w:ascii="Calibri" w:hAnsi="Calibri" w:cs="Calibri"/>
          <w:b/>
        </w:rPr>
        <w:t>diabetes</w:t>
      </w:r>
      <w:commentRangeEnd w:id="3"/>
      <w:r w:rsidR="00962873">
        <w:rPr>
          <w:rStyle w:val="CommentReference"/>
          <w:rFonts w:asciiTheme="minorHAnsi" w:eastAsiaTheme="minorHAnsi" w:hAnsiTheme="minorHAnsi" w:cstheme="minorBidi"/>
        </w:rPr>
        <w:commentReference w:id="3"/>
      </w:r>
      <w:r w:rsidRPr="0035461C">
        <w:rPr>
          <w:rFonts w:ascii="Calibri" w:hAnsi="Calibri" w:cs="Calibri"/>
          <w:b/>
        </w:rPr>
        <w:t xml:space="preserve">. </w:t>
      </w:r>
    </w:p>
    <w:p w14:paraId="36B63B56" w14:textId="409207C1" w:rsidR="00D71EDB" w:rsidRPr="0035461C" w:rsidRDefault="00197776" w:rsidP="00D71EDB">
      <w:pPr>
        <w:jc w:val="both"/>
        <w:rPr>
          <w:rFonts w:ascii="Calibri" w:hAnsi="Calibri" w:cs="Calibri"/>
          <w:lang w:val="en-GB"/>
        </w:rPr>
      </w:pPr>
      <w:r w:rsidRPr="0035461C">
        <w:rPr>
          <w:rFonts w:ascii="Calibri" w:hAnsi="Calibri" w:cs="Calibri"/>
        </w:rPr>
        <w:t>CGM: continuous glucose monitoring; DSMES: Diabetes self-management education and support</w:t>
      </w:r>
      <w:r w:rsidR="006C4779" w:rsidRPr="0035461C">
        <w:rPr>
          <w:rFonts w:ascii="Calibri" w:hAnsi="Calibri" w:cs="Calibri"/>
        </w:rPr>
        <w:t>; MDI: multiple daily injection.</w:t>
      </w:r>
      <w:r w:rsidR="00D71EDB" w:rsidRPr="0035461C">
        <w:rPr>
          <w:rFonts w:ascii="Calibri" w:hAnsi="Calibri" w:cs="Calibri"/>
        </w:rPr>
        <w:t xml:space="preserve"> </w:t>
      </w:r>
      <w:r w:rsidR="00D71EDB" w:rsidRPr="0035461C">
        <w:rPr>
          <w:rFonts w:ascii="Calibri" w:hAnsi="Calibri" w:cs="Calibri"/>
          <w:vertAlign w:val="superscript"/>
        </w:rPr>
        <w:t>1</w:t>
      </w:r>
      <w:r w:rsidR="00D71EDB" w:rsidRPr="0035461C">
        <w:rPr>
          <w:rFonts w:ascii="Calibri" w:hAnsi="Calibri" w:cs="Calibri"/>
        </w:rPr>
        <w:t>The availability of blood and urine ketone measurement varies across health care systems</w:t>
      </w:r>
    </w:p>
    <w:p w14:paraId="4CB101B9" w14:textId="29698634" w:rsidR="00197776" w:rsidRPr="0035461C" w:rsidRDefault="00197776" w:rsidP="0078333B">
      <w:pPr>
        <w:jc w:val="both"/>
        <w:rPr>
          <w:rFonts w:ascii="Calibri" w:hAnsi="Calibri" w:cs="Calibri"/>
        </w:rPr>
      </w:pPr>
    </w:p>
    <w:p w14:paraId="2F6B363A" w14:textId="3F0C211E" w:rsidR="006C4779" w:rsidRPr="0035461C" w:rsidRDefault="006C4779" w:rsidP="0078333B">
      <w:pPr>
        <w:jc w:val="both"/>
        <w:rPr>
          <w:rFonts w:ascii="Calibri" w:hAnsi="Calibri" w:cs="Calibri"/>
        </w:rPr>
      </w:pPr>
    </w:p>
    <w:p w14:paraId="41846011" w14:textId="0D9BEF6A" w:rsidR="00072EEC" w:rsidRDefault="007F3336" w:rsidP="00D71EDB">
      <w:pPr>
        <w:autoSpaceDE w:val="0"/>
        <w:autoSpaceDN w:val="0"/>
        <w:adjustRightInd w:val="0"/>
        <w:spacing w:before="120" w:after="120"/>
        <w:jc w:val="both"/>
        <w:rPr>
          <w:rFonts w:ascii="Calibri" w:hAnsi="Calibri" w:cs="Calibri"/>
          <w:b/>
        </w:rPr>
      </w:pPr>
      <w:r w:rsidRPr="0035461C">
        <w:rPr>
          <w:rFonts w:ascii="Calibri" w:hAnsi="Calibri" w:cs="Calibri"/>
          <w:noProof/>
          <w:lang w:val="en-GB" w:eastAsia="en-GB"/>
        </w:rPr>
        <w:drawing>
          <wp:inline distT="0" distB="0" distL="0" distR="0" wp14:anchorId="01ECA5FB" wp14:editId="32D52A57">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23895"/>
                    </a:xfrm>
                    <a:prstGeom prst="rect">
                      <a:avLst/>
                    </a:prstGeom>
                  </pic:spPr>
                </pic:pic>
              </a:graphicData>
            </a:graphic>
          </wp:inline>
        </w:drawing>
      </w:r>
    </w:p>
    <w:p w14:paraId="323C7187" w14:textId="77777777" w:rsidR="00FD05C9" w:rsidRDefault="00FD05C9" w:rsidP="00D71EDB">
      <w:pPr>
        <w:autoSpaceDE w:val="0"/>
        <w:autoSpaceDN w:val="0"/>
        <w:adjustRightInd w:val="0"/>
        <w:spacing w:before="120" w:after="120"/>
        <w:jc w:val="both"/>
        <w:rPr>
          <w:rFonts w:ascii="Calibri" w:hAnsi="Calibri" w:cs="Calibri"/>
          <w:b/>
        </w:rPr>
      </w:pPr>
    </w:p>
    <w:p w14:paraId="261F2639" w14:textId="349D6547" w:rsidR="00D71EDB" w:rsidRPr="0035461C" w:rsidRDefault="00D71EDB" w:rsidP="00D71EDB">
      <w:pPr>
        <w:autoSpaceDE w:val="0"/>
        <w:autoSpaceDN w:val="0"/>
        <w:adjustRightInd w:val="0"/>
        <w:spacing w:before="120" w:after="120"/>
        <w:jc w:val="both"/>
        <w:rPr>
          <w:rFonts w:ascii="Calibri" w:hAnsi="Calibri" w:cs="Calibri"/>
          <w:b/>
        </w:rPr>
      </w:pPr>
      <w:r w:rsidRPr="0035461C">
        <w:rPr>
          <w:rFonts w:ascii="Calibri" w:hAnsi="Calibri" w:cs="Calibri"/>
          <w:b/>
        </w:rPr>
        <w:t>Figure 5: The four critical times when diabetes self-management education and support are particularly needed</w:t>
      </w:r>
      <w:r w:rsidR="005041CD">
        <w:rPr>
          <w:rFonts w:ascii="Calibri" w:hAnsi="Calibri" w:cs="Calibri"/>
          <w:b/>
        </w:rPr>
        <w:t xml:space="preserve"> for people with diabetes and their caregivers when </w:t>
      </w:r>
      <w:commentRangeStart w:id="4"/>
      <w:r w:rsidR="005041CD">
        <w:rPr>
          <w:rFonts w:ascii="Calibri" w:hAnsi="Calibri" w:cs="Calibri"/>
          <w:b/>
        </w:rPr>
        <w:t>applicable</w:t>
      </w:r>
      <w:commentRangeEnd w:id="4"/>
      <w:r w:rsidR="00F64E3F">
        <w:rPr>
          <w:rStyle w:val="CommentReference"/>
          <w:rFonts w:asciiTheme="minorHAnsi" w:eastAsiaTheme="minorHAnsi" w:hAnsiTheme="minorHAnsi" w:cstheme="minorBidi"/>
        </w:rPr>
        <w:commentReference w:id="4"/>
      </w:r>
    </w:p>
    <w:p w14:paraId="140A2057" w14:textId="6855B9E1" w:rsidR="00D71EDB" w:rsidRDefault="00D71EDB" w:rsidP="00D71EDB">
      <w:pPr>
        <w:autoSpaceDE w:val="0"/>
        <w:autoSpaceDN w:val="0"/>
        <w:adjustRightInd w:val="0"/>
        <w:spacing w:before="120" w:after="120"/>
        <w:jc w:val="both"/>
        <w:rPr>
          <w:rFonts w:ascii="Calibri" w:hAnsi="Calibri" w:cs="Calibri"/>
        </w:rPr>
      </w:pPr>
      <w:r w:rsidRPr="0035461C">
        <w:rPr>
          <w:rFonts w:ascii="Calibri" w:hAnsi="Calibri" w:cs="Calibri"/>
        </w:rPr>
        <w:t>DSMES: diabetes self-management education and support</w:t>
      </w:r>
    </w:p>
    <w:p w14:paraId="3BC8D471" w14:textId="228AB584" w:rsidR="005C749C" w:rsidRDefault="005C749C" w:rsidP="00D71EDB">
      <w:pPr>
        <w:autoSpaceDE w:val="0"/>
        <w:autoSpaceDN w:val="0"/>
        <w:adjustRightInd w:val="0"/>
        <w:spacing w:before="120" w:after="120"/>
        <w:jc w:val="both"/>
        <w:rPr>
          <w:rFonts w:ascii="Calibri" w:hAnsi="Calibri" w:cs="Calibri"/>
        </w:rPr>
      </w:pPr>
    </w:p>
    <w:p w14:paraId="3E6240DA" w14:textId="5A5EB200" w:rsidR="005C749C" w:rsidRDefault="005C749C">
      <w:pPr>
        <w:spacing w:after="160" w:line="259" w:lineRule="auto"/>
        <w:rPr>
          <w:rFonts w:ascii="Calibri" w:hAnsi="Calibri" w:cs="Calibri"/>
        </w:rPr>
      </w:pPr>
      <w:r>
        <w:rPr>
          <w:rFonts w:ascii="Calibri" w:hAnsi="Calibri" w:cs="Calibri"/>
        </w:rPr>
        <w:br w:type="page"/>
      </w:r>
    </w:p>
    <w:p w14:paraId="7DDF9CC9" w14:textId="77777777" w:rsidR="005C749C" w:rsidRPr="0035461C" w:rsidRDefault="005C749C" w:rsidP="00D71EDB">
      <w:pPr>
        <w:autoSpaceDE w:val="0"/>
        <w:autoSpaceDN w:val="0"/>
        <w:adjustRightInd w:val="0"/>
        <w:spacing w:before="120" w:after="120"/>
        <w:jc w:val="both"/>
        <w:rPr>
          <w:rFonts w:ascii="Calibri" w:hAnsi="Calibri" w:cs="Calibri"/>
        </w:rPr>
      </w:pPr>
    </w:p>
    <w:p w14:paraId="0E6AB9A7" w14:textId="170668F4" w:rsidR="00D71EDB" w:rsidRDefault="00D71EDB" w:rsidP="0078333B">
      <w:pPr>
        <w:jc w:val="both"/>
        <w:rPr>
          <w:rFonts w:ascii="Calibri" w:hAnsi="Calibri" w:cs="Calibri"/>
          <w:b/>
          <w:bCs/>
          <w:lang w:val="fr-FR"/>
        </w:rPr>
      </w:pPr>
    </w:p>
    <w:p w14:paraId="6BF514A8" w14:textId="40239F4D" w:rsidR="007F3336" w:rsidRPr="0035461C" w:rsidRDefault="007F3336" w:rsidP="0078333B">
      <w:pPr>
        <w:jc w:val="both"/>
        <w:rPr>
          <w:rFonts w:ascii="Calibri" w:hAnsi="Calibri" w:cs="Calibri"/>
          <w:b/>
          <w:bCs/>
          <w:lang w:val="fr-FR"/>
        </w:rPr>
      </w:pPr>
      <w:r w:rsidRPr="0035461C">
        <w:rPr>
          <w:rFonts w:ascii="Calibri" w:hAnsi="Calibri" w:cs="Calibri"/>
          <w:noProof/>
          <w:lang w:val="en-GB" w:eastAsia="en-GB"/>
        </w:rPr>
        <w:drawing>
          <wp:inline distT="0" distB="0" distL="0" distR="0" wp14:anchorId="31A32D42" wp14:editId="57535FD7">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23895"/>
                    </a:xfrm>
                    <a:prstGeom prst="rect">
                      <a:avLst/>
                    </a:prstGeom>
                  </pic:spPr>
                </pic:pic>
              </a:graphicData>
            </a:graphic>
          </wp:inline>
        </w:drawing>
      </w:r>
    </w:p>
    <w:p w14:paraId="4F5F51C4" w14:textId="221959F7" w:rsidR="006C4779" w:rsidRPr="0035461C" w:rsidRDefault="006C4779" w:rsidP="0078333B">
      <w:pPr>
        <w:jc w:val="both"/>
        <w:rPr>
          <w:rFonts w:ascii="Calibri" w:hAnsi="Calibri" w:cs="Calibri"/>
          <w:b/>
          <w:lang w:val="en-GB"/>
        </w:rPr>
      </w:pPr>
      <w:r w:rsidRPr="0035461C">
        <w:rPr>
          <w:rFonts w:ascii="Calibri" w:hAnsi="Calibri" w:cs="Calibri"/>
          <w:b/>
          <w:bCs/>
          <w:lang w:val="fr-FR"/>
        </w:rPr>
        <w:t xml:space="preserve">Figure </w:t>
      </w:r>
      <w:r w:rsidR="00D71EDB" w:rsidRPr="0035461C">
        <w:rPr>
          <w:rFonts w:ascii="Calibri" w:hAnsi="Calibri" w:cs="Calibri"/>
          <w:b/>
          <w:bCs/>
          <w:lang w:val="fr-FR"/>
        </w:rPr>
        <w:t>6</w:t>
      </w:r>
      <w:r w:rsidRPr="0035461C">
        <w:rPr>
          <w:rFonts w:ascii="Calibri" w:hAnsi="Calibri" w:cs="Calibri"/>
          <w:b/>
          <w:bCs/>
          <w:lang w:val="fr-FR"/>
        </w:rPr>
        <w:t>:</w:t>
      </w:r>
      <w:r w:rsidR="00E615B3" w:rsidRPr="0035461C">
        <w:rPr>
          <w:rFonts w:ascii="Calibri" w:hAnsi="Calibri" w:cs="Calibri"/>
          <w:b/>
          <w:bCs/>
          <w:lang w:val="fr-FR"/>
        </w:rPr>
        <w:t xml:space="preserve"> </w:t>
      </w:r>
      <w:proofErr w:type="spellStart"/>
      <w:r w:rsidRPr="0035461C">
        <w:rPr>
          <w:rFonts w:ascii="Calibri" w:hAnsi="Calibri" w:cs="Calibri"/>
          <w:b/>
          <w:bCs/>
          <w:lang w:val="fr-FR"/>
        </w:rPr>
        <w:t>Choices</w:t>
      </w:r>
      <w:proofErr w:type="spellEnd"/>
      <w:r w:rsidRPr="0035461C">
        <w:rPr>
          <w:rFonts w:ascii="Calibri" w:hAnsi="Calibri" w:cs="Calibri"/>
          <w:b/>
          <w:bCs/>
          <w:lang w:val="fr-FR"/>
        </w:rPr>
        <w:t xml:space="preserve"> of </w:t>
      </w:r>
      <w:proofErr w:type="spellStart"/>
      <w:r w:rsidRPr="0035461C">
        <w:rPr>
          <w:rFonts w:ascii="Calibri" w:hAnsi="Calibri" w:cs="Calibri"/>
          <w:b/>
          <w:bCs/>
          <w:lang w:val="fr-FR"/>
        </w:rPr>
        <w:t>insulin</w:t>
      </w:r>
      <w:proofErr w:type="spellEnd"/>
      <w:r w:rsidRPr="0035461C">
        <w:rPr>
          <w:rFonts w:ascii="Calibri" w:hAnsi="Calibri" w:cs="Calibri"/>
          <w:b/>
          <w:bCs/>
          <w:lang w:val="fr-FR"/>
        </w:rPr>
        <w:t xml:space="preserve"> </w:t>
      </w:r>
      <w:proofErr w:type="spellStart"/>
      <w:r w:rsidRPr="0035461C">
        <w:rPr>
          <w:rFonts w:ascii="Calibri" w:hAnsi="Calibri" w:cs="Calibri"/>
          <w:b/>
          <w:bCs/>
          <w:lang w:val="fr-FR"/>
        </w:rPr>
        <w:t>regimens</w:t>
      </w:r>
      <w:proofErr w:type="spellEnd"/>
      <w:r w:rsidRPr="0035461C">
        <w:rPr>
          <w:rFonts w:ascii="Calibri" w:hAnsi="Calibri" w:cs="Calibri"/>
          <w:b/>
          <w:bCs/>
          <w:lang w:val="fr-FR"/>
        </w:rPr>
        <w:t xml:space="preserve"> and in people with type 1 </w:t>
      </w:r>
      <w:commentRangeStart w:id="5"/>
      <w:r w:rsidRPr="0035461C">
        <w:rPr>
          <w:rFonts w:ascii="Calibri" w:hAnsi="Calibri" w:cs="Calibri"/>
          <w:b/>
          <w:bCs/>
          <w:lang w:val="fr-FR"/>
        </w:rPr>
        <w:t>diabetes</w:t>
      </w:r>
      <w:commentRangeEnd w:id="5"/>
      <w:r w:rsidR="00414667">
        <w:rPr>
          <w:rStyle w:val="CommentReference"/>
          <w:rFonts w:asciiTheme="minorHAnsi" w:eastAsiaTheme="minorHAnsi" w:hAnsiTheme="minorHAnsi" w:cstheme="minorBidi"/>
        </w:rPr>
        <w:commentReference w:id="5"/>
      </w:r>
    </w:p>
    <w:p w14:paraId="6708B379" w14:textId="4DD21421" w:rsidR="0078333B" w:rsidRPr="004F7A52" w:rsidRDefault="006C4779" w:rsidP="00CA59E4">
      <w:pPr>
        <w:autoSpaceDE w:val="0"/>
        <w:autoSpaceDN w:val="0"/>
        <w:adjustRightInd w:val="0"/>
        <w:spacing w:before="120" w:after="120"/>
        <w:jc w:val="both"/>
        <w:rPr>
          <w:rFonts w:ascii="Calibri" w:hAnsi="Calibri" w:cs="Calibri"/>
        </w:rPr>
      </w:pPr>
      <w:r w:rsidRPr="0035461C">
        <w:rPr>
          <w:rFonts w:ascii="Calibri" w:hAnsi="Calibri" w:cs="Calibri"/>
        </w:rPr>
        <w:t xml:space="preserve">LAA: Long acting insulin analogue; RAA: rapid acting insulin analogue; </w:t>
      </w:r>
      <w:r w:rsidR="003C6FF9" w:rsidRPr="0035461C">
        <w:rPr>
          <w:rFonts w:ascii="Calibri" w:hAnsi="Calibri" w:cs="Calibri"/>
        </w:rPr>
        <w:t xml:space="preserve">URAA: ultra-rapid insulin analogue; </w:t>
      </w:r>
      <w:r w:rsidRPr="0035461C">
        <w:rPr>
          <w:rFonts w:ascii="Calibri" w:hAnsi="Calibri" w:cs="Calibri"/>
        </w:rPr>
        <w:t>NPH: neutral pr</w:t>
      </w:r>
      <w:r w:rsidRPr="004F7A52">
        <w:rPr>
          <w:rFonts w:asciiTheme="minorHAnsi" w:hAnsiTheme="minorHAnsi" w:cstheme="minorHAnsi"/>
        </w:rPr>
        <w:t xml:space="preserve">otamine </w:t>
      </w:r>
      <w:proofErr w:type="spellStart"/>
      <w:r w:rsidRPr="004F7A52">
        <w:rPr>
          <w:rFonts w:asciiTheme="minorHAnsi" w:hAnsiTheme="minorHAnsi" w:cstheme="minorHAnsi"/>
        </w:rPr>
        <w:t>Hagedorn</w:t>
      </w:r>
      <w:proofErr w:type="spellEnd"/>
      <w:r w:rsidR="006263DB" w:rsidRPr="004F7A52">
        <w:rPr>
          <w:rFonts w:asciiTheme="minorHAnsi" w:hAnsiTheme="minorHAnsi" w:cstheme="minorHAnsi"/>
        </w:rPr>
        <w:t>. Inhaled insulin may be used in place of injectable prandial insulin in the U.S.</w:t>
      </w:r>
      <w:r w:rsidR="004F7A52" w:rsidRPr="004F7A52">
        <w:rPr>
          <w:rFonts w:asciiTheme="minorHAnsi" w:hAnsiTheme="minorHAnsi" w:cstheme="minorHAnsi"/>
        </w:rPr>
        <w:t xml:space="preserve"> </w:t>
      </w:r>
      <w:r w:rsidR="004F7A52" w:rsidRPr="004F7A52">
        <w:rPr>
          <w:rFonts w:asciiTheme="minorHAnsi" w:eastAsiaTheme="minorHAnsi" w:hAnsiTheme="minorHAnsi" w:cstheme="minorHAnsi"/>
          <w:lang w:val="en-GB"/>
        </w:rPr>
        <w:t>C</w:t>
      </w:r>
      <w:r w:rsidR="004F7A52">
        <w:rPr>
          <w:rFonts w:asciiTheme="minorHAnsi" w:eastAsiaTheme="minorHAnsi" w:hAnsiTheme="minorHAnsi" w:cstheme="minorHAnsi"/>
          <w:lang w:val="en-GB"/>
        </w:rPr>
        <w:t xml:space="preserve">ontinuous glucose monitoring </w:t>
      </w:r>
      <w:r w:rsidR="004F7A52" w:rsidRPr="004F7A52">
        <w:rPr>
          <w:rFonts w:asciiTheme="minorHAnsi" w:eastAsiaTheme="minorHAnsi" w:hAnsiTheme="minorHAnsi" w:cstheme="minorHAnsi"/>
          <w:lang w:val="en-GB"/>
        </w:rPr>
        <w:t xml:space="preserve">improves outcomes with injected or infused insulin and is superior to </w:t>
      </w:r>
      <w:r w:rsidR="004F7A52">
        <w:rPr>
          <w:rFonts w:asciiTheme="minorHAnsi" w:eastAsiaTheme="minorHAnsi" w:hAnsiTheme="minorHAnsi" w:cstheme="minorHAnsi"/>
          <w:lang w:val="en-GB"/>
        </w:rPr>
        <w:t>blood glucose monitoring</w:t>
      </w:r>
      <w:r w:rsidR="004F7A52" w:rsidRPr="004F7A52">
        <w:rPr>
          <w:rFonts w:asciiTheme="minorHAnsi" w:eastAsiaTheme="minorHAnsi" w:hAnsiTheme="minorHAnsi" w:cstheme="minorHAnsi"/>
          <w:lang w:val="en-GB"/>
        </w:rPr>
        <w:t>.</w:t>
      </w:r>
    </w:p>
    <w:p w14:paraId="1F7995CD" w14:textId="4A472D20" w:rsidR="00EC16D9" w:rsidRPr="0035461C" w:rsidRDefault="00EC16D9" w:rsidP="00EC16D9">
      <w:pPr>
        <w:autoSpaceDE w:val="0"/>
        <w:autoSpaceDN w:val="0"/>
        <w:adjustRightInd w:val="0"/>
        <w:spacing w:before="120" w:after="120"/>
        <w:jc w:val="both"/>
        <w:rPr>
          <w:rFonts w:ascii="Calibri" w:hAnsi="Calibri" w:cs="Calibri"/>
        </w:rPr>
      </w:pPr>
      <w:r w:rsidRPr="004F7A52">
        <w:rPr>
          <w:rFonts w:ascii="Calibri" w:hAnsi="Calibri" w:cs="Calibri"/>
        </w:rPr>
        <w:t xml:space="preserve">*the number of “+” is an </w:t>
      </w:r>
      <w:r>
        <w:rPr>
          <w:rFonts w:ascii="Calibri" w:hAnsi="Calibri" w:cs="Calibri"/>
        </w:rPr>
        <w:t>estimate of relative impact of the regimen on increased flexibility, lower risk of hypoglycemia and higher costs between the considered regimens.</w:t>
      </w:r>
    </w:p>
    <w:p w14:paraId="4D8C6E8A" w14:textId="77777777" w:rsidR="00EC16D9" w:rsidRPr="0035461C" w:rsidRDefault="00EC16D9" w:rsidP="00CA59E4">
      <w:pPr>
        <w:autoSpaceDE w:val="0"/>
        <w:autoSpaceDN w:val="0"/>
        <w:adjustRightInd w:val="0"/>
        <w:spacing w:before="120" w:after="120"/>
        <w:jc w:val="both"/>
        <w:rPr>
          <w:rFonts w:ascii="Calibri" w:hAnsi="Calibri" w:cs="Calibri"/>
        </w:rPr>
      </w:pPr>
    </w:p>
    <w:p w14:paraId="5D8C72D2" w14:textId="701DCAF6" w:rsidR="006C4779" w:rsidRPr="0035461C" w:rsidRDefault="006C4779" w:rsidP="00CA59E4">
      <w:pPr>
        <w:autoSpaceDE w:val="0"/>
        <w:autoSpaceDN w:val="0"/>
        <w:adjustRightInd w:val="0"/>
        <w:spacing w:before="120" w:after="120"/>
        <w:jc w:val="both"/>
        <w:rPr>
          <w:rFonts w:ascii="Calibri" w:hAnsi="Calibri" w:cs="Calibri"/>
        </w:rPr>
      </w:pPr>
    </w:p>
    <w:p w14:paraId="111F99F8" w14:textId="068ED5B7" w:rsidR="005C749C" w:rsidRDefault="005C749C">
      <w:pPr>
        <w:spacing w:after="160" w:line="259" w:lineRule="auto"/>
        <w:rPr>
          <w:rFonts w:ascii="Calibri" w:hAnsi="Calibri" w:cs="Calibri"/>
          <w:b/>
        </w:rPr>
      </w:pPr>
      <w:r>
        <w:rPr>
          <w:rFonts w:ascii="Calibri" w:hAnsi="Calibri" w:cs="Calibri"/>
          <w:b/>
        </w:rPr>
        <w:br w:type="page"/>
      </w:r>
    </w:p>
    <w:p w14:paraId="30A98959" w14:textId="77777777" w:rsidR="007F3336" w:rsidRDefault="007F3336" w:rsidP="00A40609">
      <w:pPr>
        <w:autoSpaceDE w:val="0"/>
        <w:autoSpaceDN w:val="0"/>
        <w:adjustRightInd w:val="0"/>
        <w:spacing w:before="120" w:after="120"/>
        <w:jc w:val="both"/>
        <w:rPr>
          <w:rFonts w:ascii="Calibri" w:hAnsi="Calibri" w:cs="Calibri"/>
          <w:b/>
        </w:rPr>
      </w:pPr>
    </w:p>
    <w:p w14:paraId="4F3123F4" w14:textId="2B3D21A2" w:rsidR="007F3336" w:rsidRDefault="007F3336" w:rsidP="00A40609">
      <w:pPr>
        <w:autoSpaceDE w:val="0"/>
        <w:autoSpaceDN w:val="0"/>
        <w:adjustRightInd w:val="0"/>
        <w:spacing w:before="120" w:after="120"/>
        <w:jc w:val="both"/>
        <w:rPr>
          <w:rFonts w:ascii="Calibri" w:hAnsi="Calibri" w:cs="Calibri"/>
          <w:b/>
        </w:rPr>
      </w:pPr>
      <w:r w:rsidRPr="0035461C">
        <w:rPr>
          <w:rFonts w:ascii="Calibri" w:hAnsi="Calibri" w:cs="Calibri"/>
          <w:noProof/>
          <w:lang w:val="en-GB" w:eastAsia="en-GB"/>
        </w:rPr>
        <w:drawing>
          <wp:inline distT="0" distB="0" distL="0" distR="0" wp14:anchorId="633FFD18" wp14:editId="49E83B57">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3895"/>
                    </a:xfrm>
                    <a:prstGeom prst="rect">
                      <a:avLst/>
                    </a:prstGeom>
                  </pic:spPr>
                </pic:pic>
              </a:graphicData>
            </a:graphic>
          </wp:inline>
        </w:drawing>
      </w:r>
    </w:p>
    <w:p w14:paraId="7974EB38" w14:textId="04626E61" w:rsidR="00A40609" w:rsidRPr="0035461C" w:rsidRDefault="00A40609" w:rsidP="00A40609">
      <w:pPr>
        <w:autoSpaceDE w:val="0"/>
        <w:autoSpaceDN w:val="0"/>
        <w:adjustRightInd w:val="0"/>
        <w:spacing w:before="120" w:after="120"/>
        <w:jc w:val="both"/>
        <w:rPr>
          <w:rFonts w:ascii="Calibri" w:hAnsi="Calibri" w:cs="Calibri"/>
          <w:b/>
        </w:rPr>
      </w:pPr>
      <w:r w:rsidRPr="0035461C">
        <w:rPr>
          <w:rFonts w:ascii="Calibri" w:hAnsi="Calibri" w:cs="Calibri"/>
          <w:b/>
        </w:rPr>
        <w:t xml:space="preserve">Figure </w:t>
      </w:r>
      <w:r w:rsidR="00D71EDB" w:rsidRPr="0035461C">
        <w:rPr>
          <w:rFonts w:ascii="Calibri" w:hAnsi="Calibri" w:cs="Calibri"/>
          <w:b/>
        </w:rPr>
        <w:t>7:</w:t>
      </w:r>
      <w:r w:rsidRPr="0035461C">
        <w:rPr>
          <w:rFonts w:ascii="Calibri" w:hAnsi="Calibri" w:cs="Calibri"/>
          <w:b/>
        </w:rPr>
        <w:t xml:space="preserve"> Simplified overview of indications for beta cell replacement therapy in people with type 1 diabetes</w:t>
      </w:r>
    </w:p>
    <w:p w14:paraId="1F6970A5" w14:textId="47A9FFFA" w:rsidR="00A40609" w:rsidRPr="0035461C" w:rsidRDefault="00A40609" w:rsidP="00A40609">
      <w:pPr>
        <w:autoSpaceDE w:val="0"/>
        <w:autoSpaceDN w:val="0"/>
        <w:adjustRightInd w:val="0"/>
        <w:spacing w:before="120" w:after="120"/>
        <w:jc w:val="both"/>
        <w:rPr>
          <w:rFonts w:ascii="Calibri" w:hAnsi="Calibri" w:cs="Calibri"/>
        </w:rPr>
      </w:pPr>
      <w:r w:rsidRPr="0035461C">
        <w:rPr>
          <w:rFonts w:ascii="Calibri" w:hAnsi="Calibri" w:cs="Calibri"/>
        </w:rPr>
        <w:t>GFR: glomerular filtration rate</w:t>
      </w:r>
    </w:p>
    <w:p w14:paraId="22E7F993" w14:textId="77777777" w:rsidR="00A40609" w:rsidRPr="0035461C" w:rsidRDefault="00A40609" w:rsidP="00CA59E4">
      <w:pPr>
        <w:autoSpaceDE w:val="0"/>
        <w:autoSpaceDN w:val="0"/>
        <w:adjustRightInd w:val="0"/>
        <w:spacing w:before="120" w:after="120"/>
        <w:jc w:val="both"/>
        <w:rPr>
          <w:rFonts w:ascii="Calibri" w:hAnsi="Calibri" w:cs="Calibri"/>
          <w:b/>
        </w:rPr>
      </w:pPr>
    </w:p>
    <w:p w14:paraId="3FCDB18F" w14:textId="77777777" w:rsidR="00896918" w:rsidRPr="0035461C" w:rsidRDefault="00896918">
      <w:pPr>
        <w:spacing w:after="160" w:line="259" w:lineRule="auto"/>
        <w:rPr>
          <w:rFonts w:ascii="Calibri" w:hAnsi="Calibri" w:cs="Calibri"/>
        </w:rPr>
      </w:pPr>
      <w:r w:rsidRPr="0035461C">
        <w:rPr>
          <w:rFonts w:ascii="Calibri" w:hAnsi="Calibri" w:cs="Calibri"/>
        </w:rPr>
        <w:br w:type="page"/>
      </w:r>
    </w:p>
    <w:p w14:paraId="68681076" w14:textId="6B53B3A3" w:rsidR="006C4779" w:rsidRPr="0035461C" w:rsidRDefault="00896918" w:rsidP="00CA59E4">
      <w:pPr>
        <w:autoSpaceDE w:val="0"/>
        <w:autoSpaceDN w:val="0"/>
        <w:adjustRightInd w:val="0"/>
        <w:spacing w:before="120" w:after="120"/>
        <w:jc w:val="both"/>
        <w:rPr>
          <w:rFonts w:ascii="Calibri" w:hAnsi="Calibri" w:cs="Calibri"/>
          <w:b/>
        </w:rPr>
      </w:pPr>
      <w:r w:rsidRPr="0035461C">
        <w:rPr>
          <w:rFonts w:ascii="Calibri" w:hAnsi="Calibri" w:cs="Calibri"/>
          <w:b/>
        </w:rPr>
        <w:t>References</w:t>
      </w:r>
    </w:p>
    <w:p w14:paraId="1081E634" w14:textId="77777777" w:rsidR="006C4779" w:rsidRPr="0035461C" w:rsidRDefault="006C4779" w:rsidP="00CA59E4">
      <w:pPr>
        <w:autoSpaceDE w:val="0"/>
        <w:autoSpaceDN w:val="0"/>
        <w:adjustRightInd w:val="0"/>
        <w:spacing w:before="120" w:after="120"/>
        <w:jc w:val="both"/>
        <w:rPr>
          <w:rFonts w:ascii="Calibri" w:hAnsi="Calibri" w:cs="Calibri"/>
          <w:b/>
        </w:rPr>
      </w:pPr>
    </w:p>
    <w:p w14:paraId="60742055" w14:textId="77777777" w:rsidR="00CE0E7B" w:rsidRDefault="00726F9A" w:rsidP="00CE0E7B">
      <w:pPr>
        <w:pStyle w:val="Bibliography"/>
      </w:pPr>
      <w:r w:rsidRPr="0035461C">
        <w:rPr>
          <w:rFonts w:ascii="Calibri" w:hAnsi="Calibri" w:cs="Calibri"/>
        </w:rPr>
        <w:fldChar w:fldCharType="begin"/>
      </w:r>
      <w:r w:rsidR="00CE0E7B">
        <w:rPr>
          <w:rFonts w:ascii="Calibri" w:hAnsi="Calibri" w:cs="Calibri"/>
        </w:rPr>
        <w:instrText xml:space="preserve"> ADDIN ZOTERO_BIBL {"uncited":[],"omitted":[],"custom":[]} CSL_BIBLIOGRAPHY </w:instrText>
      </w:r>
      <w:r w:rsidRPr="0035461C">
        <w:rPr>
          <w:rFonts w:ascii="Calibri" w:hAnsi="Calibri" w:cs="Calibri"/>
        </w:rPr>
        <w:fldChar w:fldCharType="separate"/>
      </w:r>
      <w:r w:rsidR="00CE0E7B">
        <w:t xml:space="preserve">1. </w:t>
      </w:r>
      <w:r w:rsidR="00CE0E7B">
        <w:tab/>
        <w:t xml:space="preserve">Miller RG, Secrest AM, Sharma RK, Songer TJ, Orchard TJ. Improvements in the life expectancy of type 1 diabetes: the Pittsburgh Epidemiology of Diabetes Complications study cohort. Diabetes. 2012 Nov;61(11):2987–92. </w:t>
      </w:r>
    </w:p>
    <w:p w14:paraId="620933DE" w14:textId="77777777" w:rsidR="00CE0E7B" w:rsidRDefault="00CE0E7B" w:rsidP="00CE0E7B">
      <w:pPr>
        <w:pStyle w:val="Bibliography"/>
      </w:pPr>
      <w:r>
        <w:t xml:space="preserve">2. </w:t>
      </w:r>
      <w:r>
        <w:tab/>
        <w:t xml:space="preserve">Mobasseri M, Shirmohammadi M, Amiri T, Vahed N, Hosseini Fard H, Ghojazadeh M. Prevalence and incidence of type 1 diabetes in the world: a systematic review and meta-analysis. Health Promot Perspect. 2020;10(2):98–115. </w:t>
      </w:r>
    </w:p>
    <w:p w14:paraId="1617C76F" w14:textId="77777777" w:rsidR="00CE0E7B" w:rsidRDefault="00CE0E7B" w:rsidP="00CE0E7B">
      <w:pPr>
        <w:pStyle w:val="Bibliography"/>
      </w:pPr>
      <w:r>
        <w:t xml:space="preserve">3. </w:t>
      </w:r>
      <w:r>
        <w:tab/>
        <w:t xml:space="preserve">Hirsch IB, Juneja R, Beals JM, Antalis CJ, Wright EE. The Evolution of Insulin and How it Informs Therapy and Treatment Choices. Endocr Rev. 2020 01;41(5). </w:t>
      </w:r>
    </w:p>
    <w:p w14:paraId="294AA380" w14:textId="77777777" w:rsidR="00CE0E7B" w:rsidRDefault="00CE0E7B" w:rsidP="00CE0E7B">
      <w:pPr>
        <w:pStyle w:val="Bibliography"/>
      </w:pPr>
      <w:r>
        <w:t xml:space="preserve">4. </w:t>
      </w:r>
      <w:r>
        <w:tab/>
        <w:t xml:space="preserve">Stamatouli AM, Quandt Z, Perdigoto AL, Clark PL, Kluger H, Weiss SA, et al. Collateral Damage: Insulin-Dependent Diabetes Induced With Checkpoint Inhibitors. Diabetes. 2018 Aug;67(8):1471–80. </w:t>
      </w:r>
    </w:p>
    <w:p w14:paraId="2F6F257D" w14:textId="77777777" w:rsidR="00CE0E7B" w:rsidRDefault="00CE0E7B" w:rsidP="00CE0E7B">
      <w:pPr>
        <w:pStyle w:val="Bibliography"/>
      </w:pPr>
      <w:r>
        <w:t xml:space="preserve">5. </w:t>
      </w:r>
      <w:r>
        <w:tab/>
        <w:t xml:space="preserve">Davis AK, DuBose SN, Haller MJ, Miller KM, DiMeglio LA, Bethin KE, et al. Prevalence of detectable C-Peptide according to age at diagnosis and duration of type 1 diabetes. Diabetes Care. 2015 Mar;38(3):476–81. </w:t>
      </w:r>
    </w:p>
    <w:p w14:paraId="55FE0AE5" w14:textId="77777777" w:rsidR="00CE0E7B" w:rsidRDefault="00CE0E7B" w:rsidP="00CE0E7B">
      <w:pPr>
        <w:pStyle w:val="Bibliography"/>
      </w:pPr>
      <w:r>
        <w:t xml:space="preserve">6. </w:t>
      </w:r>
      <w:r>
        <w:tab/>
        <w:t xml:space="preserve">Thomas NJ, Lynam AL, Hill AV, Weedon MN, Shields BM, Oram RA, et al. Type 1 diabetes defined by severe insulin deficiency occurs after 30 years of age and is commonly treated as type 2 diabetes. Diabetologia. 2019 Jul;62(7):1167–72. </w:t>
      </w:r>
    </w:p>
    <w:p w14:paraId="0DF4CEE8" w14:textId="77777777" w:rsidR="00CE0E7B" w:rsidRDefault="00CE0E7B" w:rsidP="00CE0E7B">
      <w:pPr>
        <w:pStyle w:val="Bibliography"/>
      </w:pPr>
      <w:r>
        <w:t xml:space="preserve">7. </w:t>
      </w:r>
      <w:r>
        <w:tab/>
        <w:t xml:space="preserve">Muñoz C, Floreen A, Garey C, Karlya T, Jelley D, Alonso GT, et al. Misdiagnosis and Diabetic Ketoacidosis at Diagnosis of Type 1 Diabetes: Patient and Caregiver Perspectives. Clin Diabetes. 2019 Jul;37(3):276–81. </w:t>
      </w:r>
    </w:p>
    <w:p w14:paraId="03B25A59" w14:textId="77777777" w:rsidR="00CE0E7B" w:rsidRDefault="00CE0E7B" w:rsidP="00CE0E7B">
      <w:pPr>
        <w:pStyle w:val="Bibliography"/>
      </w:pPr>
      <w:r>
        <w:t xml:space="preserve">8. </w:t>
      </w:r>
      <w:r>
        <w:tab/>
        <w:t xml:space="preserve">Hope SV, Wienand-Barnett S, Shepherd M, King SM, Fox C, Khunti K, et al. Practical Classification Guidelines for Diabetes in patients treated with insulin: a cross-sectional study of the accuracy of diabetes diagnosis. Br J Gen Pract. 2016 May;66(646):e315-322. </w:t>
      </w:r>
    </w:p>
    <w:p w14:paraId="6C40C76B" w14:textId="77777777" w:rsidR="00CE0E7B" w:rsidRDefault="00CE0E7B" w:rsidP="00CE0E7B">
      <w:pPr>
        <w:pStyle w:val="Bibliography"/>
      </w:pPr>
      <w:r>
        <w:t xml:space="preserve">9. </w:t>
      </w:r>
      <w:r>
        <w:tab/>
        <w:t xml:space="preserve">Shields BM, Peters JL, Cooper C, Lowe J, Knight BA, Powell RJ, et al. Can clinical features be used to differentiate type 1 from type 2 diabetes? A systematic review of the literature. BMJ Open. 2015 Nov 2;5(11):e009088. </w:t>
      </w:r>
    </w:p>
    <w:p w14:paraId="0C2F51D4" w14:textId="77777777" w:rsidR="00CE0E7B" w:rsidRDefault="00CE0E7B" w:rsidP="00CE0E7B">
      <w:pPr>
        <w:pStyle w:val="Bibliography"/>
      </w:pPr>
      <w:r>
        <w:t xml:space="preserve">10. </w:t>
      </w:r>
      <w:r>
        <w:tab/>
        <w:t>The utility of clinical features and glycaemia at diagnosis in classifying young adult onset diabetes - Virtual Meeting | EASD [Internet]. [cited 2021 Jan 28]. Available from: https://www.easd.org/virtualmeeting/home.html#!resources/the-utility-of-clinical-features-and-glycaemia-at-diagnosis-in-classifying-young-adult-onset-diabetes</w:t>
      </w:r>
    </w:p>
    <w:p w14:paraId="0E62F288" w14:textId="77777777" w:rsidR="00CE0E7B" w:rsidRDefault="00CE0E7B" w:rsidP="00CE0E7B">
      <w:pPr>
        <w:pStyle w:val="Bibliography"/>
      </w:pPr>
      <w:r>
        <w:t xml:space="preserve">11. </w:t>
      </w:r>
      <w:r>
        <w:tab/>
        <w:t xml:space="preserve">Thomas NJ, Jones SE, Weedon MN, Shields BM, Oram RA, Hattersley AT. Frequency and phenotype of type 1 diabetes in the first six decades of life: a cross-sectional, genetically stratified survival analysis from UK Biobank. Lancet Diabetes Endocrinol. 2018;6(2):122–9. </w:t>
      </w:r>
    </w:p>
    <w:p w14:paraId="04FF0DF2" w14:textId="77777777" w:rsidR="00CE0E7B" w:rsidRDefault="00CE0E7B" w:rsidP="00CE0E7B">
      <w:pPr>
        <w:pStyle w:val="Bibliography"/>
      </w:pPr>
      <w:r>
        <w:t xml:space="preserve">12. </w:t>
      </w:r>
      <w:r>
        <w:tab/>
        <w:t xml:space="preserve">Hillier TA, Pedula KL. Characteristics of an adult population with newly diagnosed type 2 diabetes: the relation of obesity and age of onset. Diabetes Care. 2001 Sep;24(9):1522–7. </w:t>
      </w:r>
    </w:p>
    <w:p w14:paraId="47C6BBC7" w14:textId="77777777" w:rsidR="00CE0E7B" w:rsidRDefault="00CE0E7B" w:rsidP="00CE0E7B">
      <w:pPr>
        <w:pStyle w:val="Bibliography"/>
      </w:pPr>
      <w:r>
        <w:t xml:space="preserve">13. </w:t>
      </w:r>
      <w:r>
        <w:tab/>
        <w:t xml:space="preserve">Westphal SA. The occurrence of diabetic ketoacidosis in non-insulin-dependent diabetes and newly diagnosed diabetic adults. Am J Med. 1996 Jul;101(1):19–24. </w:t>
      </w:r>
    </w:p>
    <w:p w14:paraId="2E1EAA58" w14:textId="77777777" w:rsidR="00CE0E7B" w:rsidRDefault="00CE0E7B" w:rsidP="00CE0E7B">
      <w:pPr>
        <w:pStyle w:val="Bibliography"/>
      </w:pPr>
      <w:r>
        <w:t xml:space="preserve">14. </w:t>
      </w:r>
      <w:r>
        <w:tab/>
        <w:t xml:space="preserve">Nakagami T, Qiao Q, Carstensen B, Nhr-Hansen C, Hu G, Tuomilehto J, et al. Age, body mass index and Type 2 diabetes-associations modified by ethnicity. Diabetologia. 2003 Aug;46(8):1063–70. </w:t>
      </w:r>
    </w:p>
    <w:p w14:paraId="6979BEC5" w14:textId="77777777" w:rsidR="00CE0E7B" w:rsidRDefault="00CE0E7B" w:rsidP="00CE0E7B">
      <w:pPr>
        <w:pStyle w:val="Bibliography"/>
      </w:pPr>
      <w:r>
        <w:t xml:space="preserve">15. </w:t>
      </w:r>
      <w:r>
        <w:tab/>
        <w:t xml:space="preserve">Prior MJ, Prout T, Miller D, Ewart R, Kumar D. C-peptide and the classification of diabetes mellitus patients in the Early Treatment Diabetic Retinopathy Study. Report number 6. The ETDRS Research Group. Ann Epidemiol. 1993 Jan;3(1):9–17. </w:t>
      </w:r>
    </w:p>
    <w:p w14:paraId="7E986C5F" w14:textId="77777777" w:rsidR="00CE0E7B" w:rsidRDefault="00CE0E7B" w:rsidP="00CE0E7B">
      <w:pPr>
        <w:pStyle w:val="Bibliography"/>
      </w:pPr>
      <w:r>
        <w:t xml:space="preserve">16. </w:t>
      </w:r>
      <w:r>
        <w:tab/>
        <w:t xml:space="preserve">Chung WK, Erion K, Florez JC, Hattersley AT, Hivert M-F, Lee CG, et al. Precision Medicine in Diabetes: A Consensus Report From the American Diabetes Association (ADA) and the European Association for the Study of Diabetes (EASD). Diabetes Care. 2020 Jul;43(7):1617–35. </w:t>
      </w:r>
    </w:p>
    <w:p w14:paraId="38826C6D" w14:textId="77777777" w:rsidR="00CE0E7B" w:rsidRDefault="00CE0E7B" w:rsidP="00CE0E7B">
      <w:pPr>
        <w:pStyle w:val="Bibliography"/>
      </w:pPr>
      <w:r>
        <w:t xml:space="preserve">17. </w:t>
      </w:r>
      <w:r>
        <w:tab/>
        <w:t xml:space="preserve">Buzzetti R, Tuomi T, Mauricio D, Pietropaolo M, Zhou Z, Pozzilli P, et al. Management of Latent Autoimmune Diabetes in Adults: A Consensus Statement From an International Expert Panel. Diabetes. 2020 Oct;69(10):2037–47. </w:t>
      </w:r>
    </w:p>
    <w:p w14:paraId="7E866B6F" w14:textId="77777777" w:rsidR="00CE0E7B" w:rsidRDefault="00CE0E7B" w:rsidP="00CE0E7B">
      <w:pPr>
        <w:pStyle w:val="Bibliography"/>
      </w:pPr>
      <w:r>
        <w:t xml:space="preserve">18. </w:t>
      </w:r>
      <w:r>
        <w:tab/>
        <w:t xml:space="preserve">Shields BM, Shepherd M, Hudson M, McDonald TJ, Colclough K, Peters J, et al. Population-Based Assessment of a Biomarker-Based Screening Pathway to Aid Diagnosis of Monogenic Diabetes in Young-Onset Patients. Diabetes Care. 2017 Aug 1;40(8):1017–25. </w:t>
      </w:r>
    </w:p>
    <w:p w14:paraId="05D4795D" w14:textId="77777777" w:rsidR="00CE0E7B" w:rsidRDefault="00CE0E7B" w:rsidP="00CE0E7B">
      <w:pPr>
        <w:pStyle w:val="Bibliography"/>
      </w:pPr>
      <w:r>
        <w:t xml:space="preserve">19. </w:t>
      </w:r>
      <w:r>
        <w:tab/>
        <w:t xml:space="preserve">Pearson ER, Starkey BJ, Powell RJ, Gribble FM, Clark PM, Hattersley AT. Genetic cause of hyperglycaemia and response to treatment in diabetes. Lancet. 2003 Oct 18;362(9392):1275–81. </w:t>
      </w:r>
    </w:p>
    <w:p w14:paraId="434097F6" w14:textId="77777777" w:rsidR="00CE0E7B" w:rsidRDefault="00CE0E7B" w:rsidP="00CE0E7B">
      <w:pPr>
        <w:pStyle w:val="Bibliography"/>
      </w:pPr>
      <w:r>
        <w:t xml:space="preserve">20. </w:t>
      </w:r>
      <w:r>
        <w:tab/>
        <w:t xml:space="preserve">Hattersley AT, Greeley SAW, Polak M, Rubio‐Cabezas O, Njølstad PR, Mlynarski W, et al. ISPAD Clinical Practice Consensus Guidelines 2018: The diagnosis and management of monogenic diabetes in children and adolescents. Pediatric Diabetes. 2018;19(S27):47–63. </w:t>
      </w:r>
    </w:p>
    <w:p w14:paraId="20129488" w14:textId="77777777" w:rsidR="00CE0E7B" w:rsidRDefault="00CE0E7B" w:rsidP="00CE0E7B">
      <w:pPr>
        <w:pStyle w:val="Bibliography"/>
      </w:pPr>
      <w:r>
        <w:t xml:space="preserve">21. </w:t>
      </w:r>
      <w:r>
        <w:tab/>
        <w:t xml:space="preserve">Bingley PJ. Clinical applications of diabetes antibody testing. J Clin Endocrinol Metab. 2010 Jan;95(1):25–33. </w:t>
      </w:r>
    </w:p>
    <w:p w14:paraId="03D8E8EC" w14:textId="77777777" w:rsidR="00CE0E7B" w:rsidRDefault="00CE0E7B" w:rsidP="00CE0E7B">
      <w:pPr>
        <w:pStyle w:val="Bibliography"/>
      </w:pPr>
      <w:r>
        <w:t xml:space="preserve">22. </w:t>
      </w:r>
      <w:r>
        <w:tab/>
        <w:t xml:space="preserve">Sabbah E, Savola K, Ebeling T, Kulmala P, Vähäsalo P, Ilonen J, et al. Genetic, autoimmune, and clinical characteristics of childhood- and adult-onset type 1 diabetes. Diabetes Care. 2000 Sep;23(9):1326–32. </w:t>
      </w:r>
    </w:p>
    <w:p w14:paraId="336C4C19" w14:textId="77777777" w:rsidR="00CE0E7B" w:rsidRDefault="00CE0E7B" w:rsidP="00CE0E7B">
      <w:pPr>
        <w:pStyle w:val="Bibliography"/>
      </w:pPr>
      <w:r>
        <w:t xml:space="preserve">23. </w:t>
      </w:r>
      <w:r>
        <w:tab/>
        <w:t xml:space="preserve">Littorin B, Sundkvist G, Hagopian W, Landin-Olsson M, Lernmark A, Ostman J, et al. Islet cell and glutamic acid decarboxylase antibodies present at diagnosis of diabetes predict the need for insulin treatment. A cohort study in young adults whose disease was initially labeled as type 2 or unclassifiable diabetes. Diabetes Care. 1999 Mar;22(3):409–12. </w:t>
      </w:r>
    </w:p>
    <w:p w14:paraId="5CB034EB" w14:textId="77777777" w:rsidR="00CE0E7B" w:rsidRDefault="00CE0E7B" w:rsidP="00CE0E7B">
      <w:pPr>
        <w:pStyle w:val="Bibliography"/>
      </w:pPr>
      <w:r>
        <w:t xml:space="preserve">24. </w:t>
      </w:r>
      <w:r>
        <w:tab/>
        <w:t xml:space="preserve">Lynam A, McDonald T, Hill A, Dennis J, Oram R, Pearson E, et al. Development and validation of multivariable clinical diagnostic models to identify type 1 diabetes requiring rapid insulin therapy in adults aged 18-50 years. BMJ Open. 2019 26;9(9):e031586. </w:t>
      </w:r>
    </w:p>
    <w:p w14:paraId="6EEB1367" w14:textId="77777777" w:rsidR="00CE0E7B" w:rsidRDefault="00CE0E7B" w:rsidP="00CE0E7B">
      <w:pPr>
        <w:pStyle w:val="Bibliography"/>
      </w:pPr>
      <w:r>
        <w:t xml:space="preserve">25. </w:t>
      </w:r>
      <w:r>
        <w:tab/>
        <w:t xml:space="preserve">Thomas NJ, Walkey HC, Kaur A, Misra S, Oliver NS, Colclough K, et al. The absence of islet autoantibodies in clinically diagnosed older-adult onset type 1 diabetes suggests an alternative pathology, advocating for routine testing in this age group. medRxiv. 2021 Mar 24;2021.03.22.21252507. </w:t>
      </w:r>
    </w:p>
    <w:p w14:paraId="4B54562C" w14:textId="77777777" w:rsidR="00CE0E7B" w:rsidRDefault="00CE0E7B" w:rsidP="00CE0E7B">
      <w:pPr>
        <w:pStyle w:val="Bibliography"/>
      </w:pPr>
      <w:r>
        <w:t xml:space="preserve">26. </w:t>
      </w:r>
      <w:r>
        <w:tab/>
        <w:t xml:space="preserve">Tridgell DM, Spiekerman C, Wang RS, Greenbaum CJ. Interaction of onset and duration of diabetes on the percent of GAD and IA-2 antibody-positive subjects in the type 1 diabetes genetics consortium database. Diabetes Care. 2011 Apr;34(4):988–93. </w:t>
      </w:r>
    </w:p>
    <w:p w14:paraId="7D7AA448" w14:textId="77777777" w:rsidR="00CE0E7B" w:rsidRDefault="00CE0E7B" w:rsidP="00CE0E7B">
      <w:pPr>
        <w:pStyle w:val="Bibliography"/>
      </w:pPr>
      <w:r>
        <w:t xml:space="preserve">27. </w:t>
      </w:r>
      <w:r>
        <w:tab/>
        <w:t xml:space="preserve">Balasubramanyam A, Garza G, Rodriguez L, Hampe CS, Gaur L, Lernmark A, et al. Accuracy and predictive value of classification schemes for ketosis-prone diabetes. Diabetes Care. 2006 Dec;29(12):2575–9. </w:t>
      </w:r>
    </w:p>
    <w:p w14:paraId="64FD573D" w14:textId="77777777" w:rsidR="00CE0E7B" w:rsidRDefault="00CE0E7B" w:rsidP="00CE0E7B">
      <w:pPr>
        <w:pStyle w:val="Bibliography"/>
      </w:pPr>
      <w:r>
        <w:t xml:space="preserve">28. </w:t>
      </w:r>
      <w:r>
        <w:tab/>
        <w:t xml:space="preserve">Hohberg C, Pfützner A, Forst T, Lübben G, Karagiannis E, Borchert M, et al. Successful switch from insulin therapy to treatment with pioglitazone in type 2 diabetes patients with residual beta-cell function: results from the PioSwitch study. Diabetes Obes Metab. 2009 May;11(5):464–71. </w:t>
      </w:r>
    </w:p>
    <w:p w14:paraId="6608AD61" w14:textId="77777777" w:rsidR="00CE0E7B" w:rsidRDefault="00CE0E7B" w:rsidP="00CE0E7B">
      <w:pPr>
        <w:pStyle w:val="Bibliography"/>
      </w:pPr>
      <w:r>
        <w:t xml:space="preserve">29. </w:t>
      </w:r>
      <w:r>
        <w:tab/>
        <w:t>Lee A, Morley J. Classification of type 2 diabetes by clinical response to metformin-troglitazone combination and C-Peptide criteria [Internet]. Vol. 5, Endocrine practice : official journal of the American College of Endocrinology and the American Association of Clinical Endocrinologists. Endocr Pract; 1999 [cited 2021 Feb 8]. Available from: https://pubmed.ncbi.nlm.nih.gov/15251651/</w:t>
      </w:r>
    </w:p>
    <w:p w14:paraId="75F0437E" w14:textId="77777777" w:rsidR="00CE0E7B" w:rsidRDefault="00CE0E7B" w:rsidP="00CE0E7B">
      <w:pPr>
        <w:pStyle w:val="Bibliography"/>
      </w:pPr>
      <w:r>
        <w:t xml:space="preserve">30. </w:t>
      </w:r>
      <w:r>
        <w:tab/>
        <w:t xml:space="preserve">Bell DS, Mayo MS. Improved glycemic control with use of oral hypoglycemic therapy with or without insulin. Endocr Pract. 1998 Apr;4(2):82–5. </w:t>
      </w:r>
    </w:p>
    <w:p w14:paraId="1D5A3023" w14:textId="77777777" w:rsidR="00CE0E7B" w:rsidRDefault="00CE0E7B" w:rsidP="00CE0E7B">
      <w:pPr>
        <w:pStyle w:val="Bibliography"/>
      </w:pPr>
      <w:r>
        <w:t xml:space="preserve">31. </w:t>
      </w:r>
      <w:r>
        <w:tab/>
        <w:t xml:space="preserve">Foteinopoulou E, Clarke CAL, Pattenden RJ, Ritchie SA, McMurray EM, Reynolds RM, et al. Impact of routine clinic measurement of serum C-peptide in people with a clinician-diagnosis of type 1 diabetes. Diabet Med. 2020 Nov 1;e14449. </w:t>
      </w:r>
    </w:p>
    <w:p w14:paraId="27F56FD4" w14:textId="77777777" w:rsidR="00CE0E7B" w:rsidRDefault="00CE0E7B" w:rsidP="00CE0E7B">
      <w:pPr>
        <w:pStyle w:val="Bibliography"/>
      </w:pPr>
      <w:r>
        <w:t xml:space="preserve">32. </w:t>
      </w:r>
      <w:r>
        <w:tab/>
        <w:t xml:space="preserve">De Franco E, Flanagan SE, Houghton JAL, Lango Allen H, Mackay DJG, Temple IK, et al. The effect of early, comprehensive genomic testing on clinical care in neonatal diabetes: an international cohort study. Lancet. 2015 Sep 5;386(9997):957–63. </w:t>
      </w:r>
    </w:p>
    <w:p w14:paraId="0DCFEBF0" w14:textId="77777777" w:rsidR="00CE0E7B" w:rsidRDefault="00CE0E7B" w:rsidP="00CE0E7B">
      <w:pPr>
        <w:pStyle w:val="Bibliography"/>
      </w:pPr>
      <w:r>
        <w:t xml:space="preserve">33. </w:t>
      </w:r>
      <w:r>
        <w:tab/>
        <w:t xml:space="preserve">Pearson ER, Flechtner I, Njølstad PR, Malecki MT, Flanagan SE, Larkin B, et al. Switching from insulin to oral sulfonylureas in patients with diabetes due to Kir6.2 mutations. N Engl J Med. 2006 Aug 3;355(5):467–77. </w:t>
      </w:r>
    </w:p>
    <w:p w14:paraId="7C9B1A72" w14:textId="77777777" w:rsidR="00CE0E7B" w:rsidRDefault="00CE0E7B" w:rsidP="00CE0E7B">
      <w:pPr>
        <w:pStyle w:val="Bibliography"/>
      </w:pPr>
      <w:r>
        <w:t xml:space="preserve">34. </w:t>
      </w:r>
      <w:r>
        <w:tab/>
        <w:t xml:space="preserve">Carlsson A, Shepherd M, Ellard S, Weedon M, Lernmark Å, Forsander G, et al. Absence of Islet Autoantibodies and Modestly Raised Glucose Values at Diabetes Diagnosis Should Lead to Testing for MODY: Lessons From a 5-Year Pediatric Swedish National Cohort Study. Diabetes Care. 2020 Jan;43(1):82–9. </w:t>
      </w:r>
    </w:p>
    <w:p w14:paraId="65527375" w14:textId="77777777" w:rsidR="00CE0E7B" w:rsidRDefault="00CE0E7B" w:rsidP="00CE0E7B">
      <w:pPr>
        <w:pStyle w:val="Bibliography"/>
      </w:pPr>
      <w:r>
        <w:t xml:space="preserve">35. </w:t>
      </w:r>
      <w:r>
        <w:tab/>
        <w:t xml:space="preserve">Shields BM, McDonald TJ, Ellard S, Campbell MJ, Hyde C, Hattersley AT. The development and validation of a clinical prediction model to determine the probability of MODY in patients with young-onset diabetes. Diabetologia. 2012 May;55(5):1265–72. </w:t>
      </w:r>
    </w:p>
    <w:p w14:paraId="27244D03" w14:textId="77777777" w:rsidR="00CE0E7B" w:rsidRDefault="00CE0E7B" w:rsidP="00CE0E7B">
      <w:pPr>
        <w:pStyle w:val="Bibliography"/>
      </w:pPr>
      <w:r>
        <w:t xml:space="preserve">36. </w:t>
      </w:r>
      <w:r>
        <w:tab/>
        <w:t xml:space="preserve">Besser REJ, Shepherd MH, McDonald TJ, Shields BM, Knight BA, Ellard S, et al. Urinary C-peptide creatinine ratio is a practical outpatient tool for identifying hepatocyte nuclear factor 1-{alpha}/hepatocyte nuclear factor 4-{alpha} maturity-onset diabetes of the young from long-duration type 1 diabetes. Diabetes Care. 2011 Feb;34(2):286–91. </w:t>
      </w:r>
    </w:p>
    <w:p w14:paraId="36AB2915" w14:textId="77777777" w:rsidR="00CE0E7B" w:rsidRDefault="00CE0E7B" w:rsidP="00CE0E7B">
      <w:pPr>
        <w:pStyle w:val="Bibliography"/>
      </w:pPr>
      <w:r>
        <w:t xml:space="preserve">37. </w:t>
      </w:r>
      <w:r>
        <w:tab/>
        <w:t xml:space="preserve">McDonald TJ, Colclough K, Brown R, Shields B, Shepherd M, Bingley P, et al. Islet autoantibodies can discriminate maturity-onset diabetes of the young (MODY) from Type 1 diabetes. Diabet Med. 2011 Sep;28(9):1028–33. </w:t>
      </w:r>
    </w:p>
    <w:p w14:paraId="5F53DEEC" w14:textId="77777777" w:rsidR="00CE0E7B" w:rsidRDefault="00CE0E7B" w:rsidP="00CE0E7B">
      <w:pPr>
        <w:pStyle w:val="Bibliography"/>
      </w:pPr>
      <w:r>
        <w:t xml:space="preserve">38. </w:t>
      </w:r>
      <w:r>
        <w:tab/>
        <w:t xml:space="preserve">Thanabalasingham G, Pal A, Selwood MP, Dudley C, Fisher K, Bingley PJ, et al. Systematic assessment of etiology in adults with a clinical diagnosis of young-onset type 2 diabetes is a successful strategy for identifying maturity-onset diabetes of the young. Diabetes Care. 2012 Jun;35(6):1206–12. </w:t>
      </w:r>
    </w:p>
    <w:p w14:paraId="2F9BEAD6" w14:textId="77777777" w:rsidR="00CE0E7B" w:rsidRDefault="00CE0E7B" w:rsidP="00CE0E7B">
      <w:pPr>
        <w:pStyle w:val="Bibliography"/>
      </w:pPr>
      <w:r>
        <w:t xml:space="preserve">39. </w:t>
      </w:r>
      <w:r>
        <w:tab/>
        <w:t xml:space="preserve">Diabetes Control and Complications Trial Research Group, Nathan DM, Genuth S, Lachin J, Cleary P, Crofford O, et al. The effect of intensive treatment of diabetes on the development and progression of long-term complications in insulin-dependent diabetes mellitus. N Engl J Med. 1993 30;329(14):977–86. </w:t>
      </w:r>
    </w:p>
    <w:p w14:paraId="0B8CEB30" w14:textId="77777777" w:rsidR="00CE0E7B" w:rsidRDefault="00CE0E7B" w:rsidP="00CE0E7B">
      <w:pPr>
        <w:pStyle w:val="Bibliography"/>
      </w:pPr>
      <w:r>
        <w:t xml:space="preserve">40. </w:t>
      </w:r>
      <w:r>
        <w:tab/>
        <w:t xml:space="preserve">Diabetes Control and Complications Trial (DCCT)/Epidemiology of Diabetes Interventions and Complications (EDIC) Study Research Group. Intensive Diabetes Treatment and Cardiovascular Outcomes in Type 1 Diabetes: The DCCT/EDIC Study 30-Year Follow-up. Diabetes Care. 2016 May;39(5):686–93. </w:t>
      </w:r>
    </w:p>
    <w:p w14:paraId="382742F1" w14:textId="77777777" w:rsidR="00CE0E7B" w:rsidRDefault="00CE0E7B" w:rsidP="00CE0E7B">
      <w:pPr>
        <w:pStyle w:val="Bibliography"/>
      </w:pPr>
      <w:r>
        <w:t xml:space="preserve">41. </w:t>
      </w:r>
      <w:r>
        <w:tab/>
        <w:t xml:space="preserve">Weinstock RS, Xing D, Maahs DM, Michels A, Rickels MR, Peters AL, et al. Severe hypoglycemia and diabetic ketoacidosis in adults with type 1 diabetes: results from the T1D Exchange clinic registry. J Clin Endocrinol Metab. 2013 Aug;98(8):3411–9. </w:t>
      </w:r>
    </w:p>
    <w:p w14:paraId="553FDB5C" w14:textId="77777777" w:rsidR="00CE0E7B" w:rsidRDefault="00CE0E7B" w:rsidP="00CE0E7B">
      <w:pPr>
        <w:pStyle w:val="Bibliography"/>
      </w:pPr>
      <w:r>
        <w:t xml:space="preserve">42. </w:t>
      </w:r>
      <w:r>
        <w:tab/>
        <w:t xml:space="preserve">Juvenile Diabetes Research Foundation Continuous Glucose Monitoring Study Group, Tamborlane WV, Beck RW, Bode BW, Buckingham B, Chase HP, et al. Continuous glucose monitoring and intensive treatment of type 1 diabetes. N Engl J Med. 2008 Oct 2;359(14):1464–76. </w:t>
      </w:r>
    </w:p>
    <w:p w14:paraId="0DCF4106" w14:textId="77777777" w:rsidR="00CE0E7B" w:rsidRDefault="00CE0E7B" w:rsidP="00CE0E7B">
      <w:pPr>
        <w:pStyle w:val="Bibliography"/>
      </w:pPr>
      <w:r>
        <w:t xml:space="preserve">43. </w:t>
      </w:r>
      <w:r>
        <w:tab/>
        <w:t xml:space="preserve">Bolinder J, Antuna R, Geelhoed-Duijvestijn P, Kröger J, Weitgasser R. Novel glucose-sensing technology and hypoglycaemia in type 1 diabetes: a multicentre, non-masked, randomised controlled trial. Lancet. 2016 05;388(10057):2254–63. </w:t>
      </w:r>
    </w:p>
    <w:p w14:paraId="62FE4C88" w14:textId="77777777" w:rsidR="00CE0E7B" w:rsidRDefault="00CE0E7B" w:rsidP="00CE0E7B">
      <w:pPr>
        <w:pStyle w:val="Bibliography"/>
      </w:pPr>
      <w:r>
        <w:t xml:space="preserve">44. </w:t>
      </w:r>
      <w:r>
        <w:tab/>
        <w:t xml:space="preserve">van Beers CAJ, DeVries JH, Kleijer SJ, Smits MM, Geelhoed-Duijvestijn PH, Kramer MHH, et al. Continuous glucose monitoring for patients with type 1 diabetes and impaired awareness of hypoglycaemia (IN CONTROL): a randomised, open-label, crossover trial. Lancet Diabetes Endocrinol. 2016;4(11):893–902. </w:t>
      </w:r>
    </w:p>
    <w:p w14:paraId="50CAF6F0" w14:textId="77777777" w:rsidR="00CE0E7B" w:rsidRDefault="00CE0E7B" w:rsidP="00CE0E7B">
      <w:pPr>
        <w:pStyle w:val="Bibliography"/>
      </w:pPr>
      <w:r>
        <w:t xml:space="preserve">45. </w:t>
      </w:r>
      <w:r>
        <w:tab/>
        <w:t xml:space="preserve">Beck RW, Bergenstal RM, Riddlesworth TD, Kollman C, Li Z, Brown AS, et al. Validation of Time in Range as an Outcome Measure for Diabetes Clinical Trials. Diabetes Care. 2019 Mar;42(3):400–5. </w:t>
      </w:r>
    </w:p>
    <w:p w14:paraId="157046DB" w14:textId="77777777" w:rsidR="00CE0E7B" w:rsidRDefault="00CE0E7B" w:rsidP="00CE0E7B">
      <w:pPr>
        <w:pStyle w:val="Bibliography"/>
      </w:pPr>
      <w:r>
        <w:t xml:space="preserve">46. </w:t>
      </w:r>
      <w:r>
        <w:tab/>
        <w:t xml:space="preserve">Ranjan AG, Rosenlund SV, Hansen TW, Rossing P, Andersen S, Nørgaard K. Improved Time in Range Over 1 Year Is Associated With Reduced Albuminuria in Individuals With Sensor-Augmented Insulin Pump-Treated Type 1 Diabetes. Diabetes Care. 2020 Nov;43(11):2882–5. </w:t>
      </w:r>
    </w:p>
    <w:p w14:paraId="0F5B0818" w14:textId="77777777" w:rsidR="00CE0E7B" w:rsidRDefault="00CE0E7B" w:rsidP="00CE0E7B">
      <w:pPr>
        <w:pStyle w:val="Bibliography"/>
      </w:pPr>
      <w:r>
        <w:t xml:space="preserve">47. </w:t>
      </w:r>
      <w:r>
        <w:tab/>
        <w:t xml:space="preserve">Battelino T, Danne T, Bergenstal RM, Amiel SA, Beck R, Biester T, et al. Clinical Targets for Continuous Glucose Monitoring Data Interpretation: Recommendations From the International Consensus on Time in Range. Diabetes Care. 2019 Aug 1;42(8):1593–603. </w:t>
      </w:r>
    </w:p>
    <w:p w14:paraId="32522D9A" w14:textId="77777777" w:rsidR="00CE0E7B" w:rsidRDefault="00CE0E7B" w:rsidP="00CE0E7B">
      <w:pPr>
        <w:pStyle w:val="Bibliography"/>
      </w:pPr>
      <w:r>
        <w:t xml:space="preserve">48. </w:t>
      </w:r>
      <w:r>
        <w:tab/>
        <w:t xml:space="preserve">Hero C, Rawshani A, Svensson A-M, Franzén S, Eliasson B, Eeg-Olofsson K, et al. Association Between Use of Lipid-Lowering Therapy and Cardiovascular Diseases and Death in Individuals With Type 1 Diabetes. Diabetes Care. 2016 Jun;39(6):996–1003. </w:t>
      </w:r>
    </w:p>
    <w:p w14:paraId="15AC3F38" w14:textId="77777777" w:rsidR="00CE0E7B" w:rsidRDefault="00CE0E7B" w:rsidP="00CE0E7B">
      <w:pPr>
        <w:pStyle w:val="Bibliography"/>
      </w:pPr>
      <w:r>
        <w:t xml:space="preserve">49. </w:t>
      </w:r>
      <w:r>
        <w:tab/>
        <w:t xml:space="preserve">Vistisen D, Andersen GS, Hansen CS, Hulman A, Henriksen JE, Bech-Nielsen H, et al. Prediction of First Cardiovascular Disease Event in Type 1 Diabetes Mellitus: The Steno Type 1 Risk Engine. Circulation. 2016 Mar 15;133(11):1058–66. </w:t>
      </w:r>
    </w:p>
    <w:p w14:paraId="0C020BC2" w14:textId="77777777" w:rsidR="00CE0E7B" w:rsidRDefault="00CE0E7B" w:rsidP="00CE0E7B">
      <w:pPr>
        <w:pStyle w:val="Bibliography"/>
      </w:pPr>
      <w:r>
        <w:t xml:space="preserve">50. </w:t>
      </w:r>
      <w:r>
        <w:tab/>
        <w:t>QRISK3 [Internet]. [cited 2021 Jul 16]. Available from: https://qrisk.org/three/index.php</w:t>
      </w:r>
    </w:p>
    <w:p w14:paraId="4589BEBC" w14:textId="77777777" w:rsidR="00CE0E7B" w:rsidRDefault="00CE0E7B" w:rsidP="00CE0E7B">
      <w:pPr>
        <w:pStyle w:val="Bibliography"/>
      </w:pPr>
      <w:r>
        <w:t xml:space="preserve">51. </w:t>
      </w:r>
      <w:r>
        <w:tab/>
        <w:t>CVD Risk Prediction T1D [Internet]. [cited 2021 Jul 16]. Available from: https://diabepi.shinyapps.io/cvdrisk/</w:t>
      </w:r>
    </w:p>
    <w:p w14:paraId="5067010C" w14:textId="77777777" w:rsidR="00CE0E7B" w:rsidRDefault="00CE0E7B" w:rsidP="00CE0E7B">
      <w:pPr>
        <w:pStyle w:val="Bibliography"/>
      </w:pPr>
      <w:r>
        <w:t xml:space="preserve">52. </w:t>
      </w:r>
      <w:r>
        <w:tab/>
        <w:t xml:space="preserve">American Diabetes Association. 4. Comprehensive Medical Evaluation and Assessment of Comorbidities: Standards of Medical Care in Diabetes—2021. Diabetes Care. 2021 Jan 1;44(Supplement 1):S40–52. </w:t>
      </w:r>
    </w:p>
    <w:p w14:paraId="1A9FFF88" w14:textId="77777777" w:rsidR="00CE0E7B" w:rsidRDefault="00CE0E7B" w:rsidP="00CE0E7B">
      <w:pPr>
        <w:pStyle w:val="Bibliography"/>
      </w:pPr>
      <w:r>
        <w:t xml:space="preserve">53. </w:t>
      </w:r>
      <w:r>
        <w:tab/>
        <w:t xml:space="preserve">American Diabetes Association. 7. Diabetes Technology: Standards of Medical Care in Diabetes-2021. Diabetes Care. 2021 Jan;44(Suppl 1):S85–99. </w:t>
      </w:r>
    </w:p>
    <w:p w14:paraId="071AB38A" w14:textId="77777777" w:rsidR="00CE0E7B" w:rsidRDefault="00CE0E7B" w:rsidP="00CE0E7B">
      <w:pPr>
        <w:pStyle w:val="Bibliography"/>
      </w:pPr>
      <w:r>
        <w:t xml:space="preserve">54. </w:t>
      </w:r>
      <w:r>
        <w:tab/>
        <w:t xml:space="preserve">Borries TM, Dunbar A, Bhukhen A, Rismany J, Kilham J, Feinn R, et al. The impact of telemedicine on patient self-management processes and clinical outcomes for patients with Types I or II Diabetes Mellitus in the United States: A scoping review. Diabetes Metab Syndr. 2019 Apr;13(2):1353–7. </w:t>
      </w:r>
    </w:p>
    <w:p w14:paraId="26667247" w14:textId="77777777" w:rsidR="00CE0E7B" w:rsidRDefault="00CE0E7B" w:rsidP="00CE0E7B">
      <w:pPr>
        <w:pStyle w:val="Bibliography"/>
      </w:pPr>
      <w:r>
        <w:t xml:space="preserve">55. </w:t>
      </w:r>
      <w:r>
        <w:tab/>
        <w:t xml:space="preserve">Lee JY, Lee SWH. Telemedicine Cost-Effectiveness for Diabetes Management: A Systematic Review. Diabetes Technol Ther. 2018 Jul;20(7):492–500. </w:t>
      </w:r>
    </w:p>
    <w:p w14:paraId="433AC9A9" w14:textId="77777777" w:rsidR="00CE0E7B" w:rsidRDefault="00CE0E7B" w:rsidP="00CE0E7B">
      <w:pPr>
        <w:pStyle w:val="Bibliography"/>
      </w:pPr>
      <w:r>
        <w:t xml:space="preserve">56. </w:t>
      </w:r>
      <w:r>
        <w:tab/>
        <w:t xml:space="preserve">Tchero H, Kangambega P, Briatte C, Brunet-Houdard S, Retali G-R, Rusch E. Clinical Effectiveness of Telemedicine in Diabetes Mellitus: A Meta-Analysis of 42 Randomized Controlled Trials. Telemed J E Health. 2019 Jul;25(7):569–83. </w:t>
      </w:r>
    </w:p>
    <w:p w14:paraId="41573741" w14:textId="77777777" w:rsidR="00CE0E7B" w:rsidRDefault="00CE0E7B" w:rsidP="00CE0E7B">
      <w:pPr>
        <w:pStyle w:val="Bibliography"/>
      </w:pPr>
      <w:r>
        <w:t xml:space="preserve">57. </w:t>
      </w:r>
      <w:r>
        <w:tab/>
        <w:t xml:space="preserve">Timpel P, Oswald S, Schwarz PEH, Harst L. Mapping the Evidence on the Effectiveness of Telemedicine Interventions in Diabetes, Dyslipidemia, and Hypertension: An Umbrella Review of Systematic Reviews and Meta-Analyses. J Med Internet Res. 2020 Mar 18;22(3):e16791. </w:t>
      </w:r>
    </w:p>
    <w:p w14:paraId="49EF90CE" w14:textId="77777777" w:rsidR="00CE0E7B" w:rsidRDefault="00CE0E7B" w:rsidP="00CE0E7B">
      <w:pPr>
        <w:pStyle w:val="Bibliography"/>
      </w:pPr>
      <w:r>
        <w:t xml:space="preserve">58. </w:t>
      </w:r>
      <w:r>
        <w:tab/>
        <w:t xml:space="preserve">Duke DC, Barry S, Wagner DV, Speight J, Choudhary P, Harris MA. Distal technologies and type 1 diabetes management. Lancet Diabetes Endocrinol. 2018 Feb;6(2):143–56. </w:t>
      </w:r>
    </w:p>
    <w:p w14:paraId="069300A9" w14:textId="77777777" w:rsidR="00CE0E7B" w:rsidRDefault="00CE0E7B" w:rsidP="00CE0E7B">
      <w:pPr>
        <w:pStyle w:val="Bibliography"/>
      </w:pPr>
      <w:r>
        <w:t xml:space="preserve">59. </w:t>
      </w:r>
      <w:r>
        <w:tab/>
        <w:t xml:space="preserve">Crossen S, Raymond J, Neinstein A. Top 10 Tips for Successfully Implementing a Diabetes Telehealth Program. Diabetes Technol Ther. 2020 Dec;22(12):920–8. </w:t>
      </w:r>
    </w:p>
    <w:p w14:paraId="508D145B" w14:textId="77777777" w:rsidR="00CE0E7B" w:rsidRDefault="00CE0E7B" w:rsidP="00CE0E7B">
      <w:pPr>
        <w:pStyle w:val="Bibliography"/>
      </w:pPr>
      <w:r>
        <w:t xml:space="preserve">60. </w:t>
      </w:r>
      <w:r>
        <w:tab/>
        <w:t xml:space="preserve">Beck J, Greenwood DA, Blanton L, Bollinger ST, Butcher MK, Condon JE, et al. 2017 National Standards for Diabetes Self-Management Education and Support. Diabetes Care. 2017 Jul 27;dci170025. </w:t>
      </w:r>
    </w:p>
    <w:p w14:paraId="4F52D367" w14:textId="77777777" w:rsidR="00CE0E7B" w:rsidRDefault="00CE0E7B" w:rsidP="00CE0E7B">
      <w:pPr>
        <w:pStyle w:val="Bibliography"/>
      </w:pPr>
      <w:r>
        <w:t xml:space="preserve">61. </w:t>
      </w:r>
      <w:r>
        <w:tab/>
        <w:t>Diabetes self-management education [Internet]. Diabetes UK. [cited 2021 Feb 11]. Available from: https://www.diabetes.org.uk/professionals/resources/resources-to-improve-your-clinical-practice/diabetes-self-management-education</w:t>
      </w:r>
    </w:p>
    <w:p w14:paraId="37850949" w14:textId="77777777" w:rsidR="00CE0E7B" w:rsidRDefault="00CE0E7B" w:rsidP="00CE0E7B">
      <w:pPr>
        <w:pStyle w:val="Bibliography"/>
      </w:pPr>
      <w:r>
        <w:t xml:space="preserve">62. </w:t>
      </w:r>
      <w:r>
        <w:tab/>
        <w:t xml:space="preserve">Joubert M, Benhamou P-Y, Schaepelynck P, Hanaire H, Catargi B, Farret A, et al. Remote Monitoring of Diabetes: A Cloud-Connected Digital System for Individuals With Diabetes and Their Health Care Providers. J Diabetes Sci Technol. 2019 Nov;13(6):1161–8. </w:t>
      </w:r>
    </w:p>
    <w:p w14:paraId="05C1FA75" w14:textId="77777777" w:rsidR="00CE0E7B" w:rsidRDefault="00CE0E7B" w:rsidP="00CE0E7B">
      <w:pPr>
        <w:pStyle w:val="Bibliography"/>
      </w:pPr>
      <w:r>
        <w:t xml:space="preserve">63. </w:t>
      </w:r>
      <w:r>
        <w:tab/>
        <w:t xml:space="preserve">Powers MA, Bardsley JK, Cypress M, Funnell MM, Harms D, Hess-Fischl A, et al. Diabetes Self-management Education and Support in Adults With Type 2 Diabetes: A Consensus Report of the American Diabetes Association, the Association of Diabetes Care &amp; Education Specialists, the Academy of Nutrition and Dietetics, the American Academy of Family Physicians, the American Academy of PAs, the American Association of Nurse Practitioners, and the American Pharmacists Association. Diabetes Care. 2020 Jul;43(7):1636–49. </w:t>
      </w:r>
    </w:p>
    <w:p w14:paraId="7DB2122C" w14:textId="77777777" w:rsidR="00CE0E7B" w:rsidRDefault="00CE0E7B" w:rsidP="00CE0E7B">
      <w:pPr>
        <w:pStyle w:val="Bibliography"/>
      </w:pPr>
      <w:r>
        <w:t xml:space="preserve">64. </w:t>
      </w:r>
      <w:r>
        <w:tab/>
        <w:t xml:space="preserve">Chatterjee S, Davies MJ, Heller S, Speight J, Snoek FJ, Khunti K. Diabetes structured self-management education programmes: a narrative review and current innovations. Lancet Diabetes Endocrinol. 2018;6(2):130–42. </w:t>
      </w:r>
    </w:p>
    <w:p w14:paraId="3370209D" w14:textId="77777777" w:rsidR="00CE0E7B" w:rsidRDefault="00CE0E7B" w:rsidP="00CE0E7B">
      <w:pPr>
        <w:pStyle w:val="Bibliography"/>
      </w:pPr>
      <w:r>
        <w:t xml:space="preserve">65. </w:t>
      </w:r>
      <w:r>
        <w:tab/>
        <w:t xml:space="preserve">Fleming GA, Petrie JR, Bergenstal RM, Holl RW, Peters AL, Heinemann L. Diabetes Digital App Technology: Benefits, Challenges, and Recommendations. A Consensus Report by the European Association for the Study of Diabetes (EASD) and the American Diabetes Association (ADA) Diabetes Technology Working Group. Diabetes Care. 2020;43(1):250–60. </w:t>
      </w:r>
    </w:p>
    <w:p w14:paraId="6F9FFFF9" w14:textId="77777777" w:rsidR="00CE0E7B" w:rsidRDefault="00CE0E7B" w:rsidP="00CE0E7B">
      <w:pPr>
        <w:pStyle w:val="Bibliography"/>
      </w:pPr>
      <w:r>
        <w:t xml:space="preserve">66. </w:t>
      </w:r>
      <w:r>
        <w:tab/>
        <w:t xml:space="preserve">Nathan DM, Kuenen J, Borg R, Zheng H, Schoenfeld D, Heine RJ, et al. Translating the A1C assay into estimated average glucose values. Diabetes Care. 2008 Aug;31(8):1473–8. </w:t>
      </w:r>
    </w:p>
    <w:p w14:paraId="682BE499" w14:textId="77777777" w:rsidR="00CE0E7B" w:rsidRDefault="00CE0E7B" w:rsidP="00CE0E7B">
      <w:pPr>
        <w:pStyle w:val="Bibliography"/>
      </w:pPr>
      <w:r>
        <w:t xml:space="preserve">67. </w:t>
      </w:r>
      <w:r>
        <w:tab/>
        <w:t xml:space="preserve">Radin MS. Pitfalls in hemoglobin A1c measurement: when results may be misleading. J Gen Intern Med. 2014 Feb;29(2):388–94. </w:t>
      </w:r>
    </w:p>
    <w:p w14:paraId="76EDA635" w14:textId="77777777" w:rsidR="00CE0E7B" w:rsidRDefault="00CE0E7B" w:rsidP="00CE0E7B">
      <w:pPr>
        <w:pStyle w:val="Bibliography"/>
      </w:pPr>
      <w:r>
        <w:t xml:space="preserve">68. </w:t>
      </w:r>
      <w:r>
        <w:tab/>
        <w:t xml:space="preserve">Beck RW, Connor CG, Mullen DM, Wesley DM, Bergenstal RM. The Fallacy of Average: How Using HbA1c Alone to Assess Glycemic Control Can Be Misleading. Diabetes Care. 2017 Aug;40(8):994–9. </w:t>
      </w:r>
    </w:p>
    <w:p w14:paraId="160E3D49" w14:textId="77777777" w:rsidR="00CE0E7B" w:rsidRDefault="00CE0E7B" w:rsidP="00CE0E7B">
      <w:pPr>
        <w:pStyle w:val="Bibliography"/>
      </w:pPr>
      <w:r>
        <w:t xml:space="preserve">69. </w:t>
      </w:r>
      <w:r>
        <w:tab/>
        <w:t xml:space="preserve">Beck RW, Bergenstal RM, Cheng P, Kollman C, Carlson AL, Johnson ML, et al. The Relationships Between Time in Range, Hyperglycemia Metrics, and HbA1c. J Diabetes Sci Technol. 2019 Jul;13(4):614–26. </w:t>
      </w:r>
    </w:p>
    <w:p w14:paraId="3B51E114" w14:textId="77777777" w:rsidR="00CE0E7B" w:rsidRDefault="00CE0E7B" w:rsidP="00CE0E7B">
      <w:pPr>
        <w:pStyle w:val="Bibliography"/>
      </w:pPr>
      <w:r>
        <w:t xml:space="preserve">70. </w:t>
      </w:r>
      <w:r>
        <w:tab/>
        <w:t xml:space="preserve">Krhač M, Lovrenčić MV. Update on biomarkers of glycemic control. World J Diabetes. 2019 Jan 15;10(1):1–15. </w:t>
      </w:r>
    </w:p>
    <w:p w14:paraId="4F3481A6" w14:textId="77777777" w:rsidR="00CE0E7B" w:rsidRDefault="00CE0E7B" w:rsidP="00CE0E7B">
      <w:pPr>
        <w:pStyle w:val="Bibliography"/>
      </w:pPr>
      <w:r>
        <w:t xml:space="preserve">71. </w:t>
      </w:r>
      <w:r>
        <w:tab/>
        <w:t xml:space="preserve">Miller KM, Beck RW, Bergenstal RM, Goland RS, Haller MJ, McGill JB, et al. Evidence of a strong association between frequency of self-monitoring of blood glucose and hemoglobin A1c levels in T1D exchange clinic registry participants. Diabetes Care. 2013 Jul;36(7):2009–14. </w:t>
      </w:r>
    </w:p>
    <w:p w14:paraId="2C5E9ECA" w14:textId="77777777" w:rsidR="00CE0E7B" w:rsidRDefault="00CE0E7B" w:rsidP="00CE0E7B">
      <w:pPr>
        <w:pStyle w:val="Bibliography"/>
      </w:pPr>
      <w:r>
        <w:t xml:space="preserve">72. </w:t>
      </w:r>
      <w:r>
        <w:tab/>
        <w:t xml:space="preserve">Bode BW, Schwartz S, Stubbs HA, Block JE. Glycemic characteristics in continuously monitored patients with type 1 and type 2 diabetes: normative values. Diabetes Care. 2005 Oct;28(10):2361–6. </w:t>
      </w:r>
    </w:p>
    <w:p w14:paraId="44FE6AEC" w14:textId="77777777" w:rsidR="00CE0E7B" w:rsidRDefault="00CE0E7B" w:rsidP="00CE0E7B">
      <w:pPr>
        <w:pStyle w:val="Bibliography"/>
      </w:pPr>
      <w:r>
        <w:t xml:space="preserve">73. </w:t>
      </w:r>
      <w:r>
        <w:tab/>
        <w:t xml:space="preserve">Moreland EC, Volkening LK, Lawlor MT, Chalmers KA, Anderson BJ, Laffel LMB. Use of a blood glucose monitoring manual to enhance monitoring adherence in adults with diabetes: a randomized controlled trial. Arch Intern Med. 2006 Mar 27;166(6):689–95. </w:t>
      </w:r>
    </w:p>
    <w:p w14:paraId="6F58BAC5" w14:textId="77777777" w:rsidR="00CE0E7B" w:rsidRDefault="00CE0E7B" w:rsidP="00CE0E7B">
      <w:pPr>
        <w:pStyle w:val="Bibliography"/>
      </w:pPr>
      <w:r>
        <w:t xml:space="preserve">74. </w:t>
      </w:r>
      <w:r>
        <w:tab/>
        <w:t>Diabetes Technology: Science and Practice [Internet]. ShopDiabetes.org | Store from the American Diabetes Association®. [cited 2021 Feb 9]. Available from: https://shopdiabetes.org/products/diabetes-technology-science-and-practice</w:t>
      </w:r>
    </w:p>
    <w:p w14:paraId="3A020C01" w14:textId="77777777" w:rsidR="00CE0E7B" w:rsidRDefault="00CE0E7B" w:rsidP="00CE0E7B">
      <w:pPr>
        <w:pStyle w:val="Bibliography"/>
      </w:pPr>
      <w:r>
        <w:t xml:space="preserve">75. </w:t>
      </w:r>
      <w:r>
        <w:tab/>
        <w:t xml:space="preserve">Klonoff DC, Parkes JL, Kovatchev BP, Kerr D, Bevier WC, Brazg RL, et al. Investigation of the Accuracy of 18 Marketed Blood Glucose Monitors. Diabetes Care. 2018 Aug 1;41(8):1681–8. </w:t>
      </w:r>
    </w:p>
    <w:p w14:paraId="7B9366B0" w14:textId="77777777" w:rsidR="00CE0E7B" w:rsidRDefault="00CE0E7B" w:rsidP="00CE0E7B">
      <w:pPr>
        <w:pStyle w:val="Bibliography"/>
      </w:pPr>
      <w:r>
        <w:t xml:space="preserve">76. </w:t>
      </w:r>
      <w:r>
        <w:tab/>
        <w:t xml:space="preserve">Beck RW, Riddlesworth T, Ruedy K, Ahmann A, Bergenstal R, Haller S, et al. Effect of Continuous Glucose Monitoring on Glycemic Control in Adults With Type 1 Diabetes Using Insulin Injections: The DIAMOND Randomized Clinical Trial. JAMA. 2017 24;317(4):371–8. </w:t>
      </w:r>
    </w:p>
    <w:p w14:paraId="60D77675" w14:textId="77777777" w:rsidR="00CE0E7B" w:rsidRDefault="00CE0E7B" w:rsidP="00CE0E7B">
      <w:pPr>
        <w:pStyle w:val="Bibliography"/>
      </w:pPr>
      <w:r>
        <w:t xml:space="preserve">77. </w:t>
      </w:r>
      <w:r>
        <w:tab/>
        <w:t xml:space="preserve">Visser MM, Charleer S, Fieuws S, De Block C, Hilbrands R, Van Huffel L, et al. Comparing real-time and intermittently scanned continuous glucose monitoring in adults with type 1 diabetes (ALERTT1): a 6-month, prospective, multicentre, randomised controlled trial. Lancet. 2021 Jun 12;397(10291):2275–83. </w:t>
      </w:r>
    </w:p>
    <w:p w14:paraId="44E83E8B" w14:textId="77777777" w:rsidR="00CE0E7B" w:rsidRDefault="00CE0E7B" w:rsidP="00CE0E7B">
      <w:pPr>
        <w:pStyle w:val="Bibliography"/>
      </w:pPr>
      <w:r>
        <w:t xml:space="preserve">78. </w:t>
      </w:r>
      <w:r>
        <w:tab/>
        <w:t xml:space="preserve">Pratley RE, Kanapka LG, Rickels MR, Ahmann A, Aleppo G, Beck R, et al. Effect of Continuous Glucose Monitoring on Hypoglycemia in Older Adults With Type 1 Diabetes: A Randomized Clinical Trial. JAMA. 2020 16;323(23):2397–406. </w:t>
      </w:r>
    </w:p>
    <w:p w14:paraId="1CB444BF" w14:textId="77777777" w:rsidR="00CE0E7B" w:rsidRDefault="00CE0E7B" w:rsidP="00CE0E7B">
      <w:pPr>
        <w:pStyle w:val="Bibliography"/>
      </w:pPr>
      <w:r>
        <w:t xml:space="preserve">79. </w:t>
      </w:r>
      <w:r>
        <w:tab/>
        <w:t xml:space="preserve">Pleus S, Ulbrich S, Zschornack E, Kamann S, Haug C, Freckmann G. Documentation of Skin-Related Issues Associated with Continuous Glucose Monitoring Use in the Scientific Literature. Diabetes Technol Ther. 2019 Oct;21(10):538–45. </w:t>
      </w:r>
    </w:p>
    <w:p w14:paraId="4ABE1C97" w14:textId="77777777" w:rsidR="00CE0E7B" w:rsidRDefault="00CE0E7B" w:rsidP="00CE0E7B">
      <w:pPr>
        <w:pStyle w:val="Bibliography"/>
      </w:pPr>
      <w:r>
        <w:t xml:space="preserve">80. </w:t>
      </w:r>
      <w:r>
        <w:tab/>
        <w:t xml:space="preserve">Herman A, Montjoye L de, Baeck M. Adverse cutaneous reaction to diabetic glucose sensors and insulin pumps: Irritant contact dermatitis or allergic contact dermatitis? Contact Dermatitis. 2020;83(1):25–30. </w:t>
      </w:r>
    </w:p>
    <w:p w14:paraId="7A5BB873" w14:textId="77777777" w:rsidR="00CE0E7B" w:rsidRDefault="00CE0E7B" w:rsidP="00CE0E7B">
      <w:pPr>
        <w:pStyle w:val="Bibliography"/>
      </w:pPr>
      <w:r>
        <w:t xml:space="preserve">81. </w:t>
      </w:r>
      <w:r>
        <w:tab/>
        <w:t xml:space="preserve">Rigo RS, Levin LE, Belsito DV, Garzon MC, Gandica R, Williams KM. Cutaneous Reactions to Continuous Glucose Monitoring and Continuous Subcutaneous Insulin Infusion Devices in Type 1 Diabetes Mellitus. J Diabetes Sci Technol. 2020 May 9;1932296820918894. </w:t>
      </w:r>
    </w:p>
    <w:p w14:paraId="2BC00DB0" w14:textId="77777777" w:rsidR="00CE0E7B" w:rsidRDefault="00CE0E7B" w:rsidP="00CE0E7B">
      <w:pPr>
        <w:pStyle w:val="Bibliography"/>
      </w:pPr>
      <w:r>
        <w:t xml:space="preserve">82. </w:t>
      </w:r>
      <w:r>
        <w:tab/>
        <w:t xml:space="preserve">Deiss D, Irace C, Carlson G, Tweden KS, Kaufman FR. Real-World Safety of an Implantable Continuous Glucose Sensor Over Multiple Cycles of Use: A Post-Market Registry Study. Diabetes Technol Ther. 2020;22(1):48–52. </w:t>
      </w:r>
    </w:p>
    <w:p w14:paraId="01D9E0CC" w14:textId="77777777" w:rsidR="00CE0E7B" w:rsidRDefault="00CE0E7B" w:rsidP="00CE0E7B">
      <w:pPr>
        <w:pStyle w:val="Bibliography"/>
      </w:pPr>
      <w:r>
        <w:t xml:space="preserve">83. </w:t>
      </w:r>
      <w:r>
        <w:tab/>
        <w:t xml:space="preserve">Sanchez P, Ghosh-Dastidar S, Tweden KS, Kaufman FR. Real-World Data from the First U.S. Commercial Users of an Implantable Continuous Glucose Sensor. Diabetes Technol Ther. 2019;21(12):677–81. </w:t>
      </w:r>
    </w:p>
    <w:p w14:paraId="1E91AD01" w14:textId="77777777" w:rsidR="00CE0E7B" w:rsidRDefault="00CE0E7B" w:rsidP="00CE0E7B">
      <w:pPr>
        <w:pStyle w:val="Bibliography"/>
      </w:pPr>
      <w:r>
        <w:t xml:space="preserve">84. </w:t>
      </w:r>
      <w:r>
        <w:tab/>
        <w:t>Overview | Type 1 diabetes in adults: diagnosis and management | Guidance | NICE [Internet]. NICE; [cited 2021 Jun 10]. Available from: https://www.nice.org.uk/guidance/ng17</w:t>
      </w:r>
    </w:p>
    <w:p w14:paraId="55A6D05D" w14:textId="77777777" w:rsidR="00CE0E7B" w:rsidRDefault="00CE0E7B" w:rsidP="00CE0E7B">
      <w:pPr>
        <w:pStyle w:val="Bibliography"/>
      </w:pPr>
      <w:r>
        <w:t xml:space="preserve">85. </w:t>
      </w:r>
      <w:r>
        <w:tab/>
        <w:t xml:space="preserve">Danne T, Matsuhisa M, Sussebach C, Goyeau H, Lauand F, Niemoeller E, et al. Lower risk of severe hypoglycaemia with insulin glargine 300 U/mL versus glargine 100 U/mL in participants with type 1 diabetes: A meta-analysis of 6-month phase 3 clinical trials. Diabetes Obes Metab. 2020 Oct;22(10):1880–5. </w:t>
      </w:r>
    </w:p>
    <w:p w14:paraId="7B9457D3" w14:textId="77777777" w:rsidR="00CE0E7B" w:rsidRDefault="00CE0E7B" w:rsidP="00CE0E7B">
      <w:pPr>
        <w:pStyle w:val="Bibliography"/>
      </w:pPr>
      <w:r>
        <w:t xml:space="preserve">86. </w:t>
      </w:r>
      <w:r>
        <w:tab/>
        <w:t xml:space="preserve">Lane W, Bailey TS, Gerety G, Gumprecht J, Philis-Tsimikas A, Hansen CT, et al. Effect of Insulin Degludec vs Insulin Glargine U100 on Hypoglycemia in Patients With Type 1 Diabetes: The SWITCH 1 Randomized Clinical Trial. JAMA. 2017 Jul 4;318(1):33–44. </w:t>
      </w:r>
    </w:p>
    <w:p w14:paraId="04FA23E8" w14:textId="77777777" w:rsidR="00CE0E7B" w:rsidRDefault="00CE0E7B" w:rsidP="00CE0E7B">
      <w:pPr>
        <w:pStyle w:val="Bibliography"/>
      </w:pPr>
      <w:r>
        <w:t xml:space="preserve">87. </w:t>
      </w:r>
      <w:r>
        <w:tab/>
        <w:t xml:space="preserve">Šoupal J, Petruželková L, Grunberger G, Hásková A, Flekač M, Matoulek M, et al. Glycemic Outcomes in Adults With T1D Are Impacted More by Continuous Glucose Monitoring Than by Insulin Delivery Method: 3 Years of Follow-Up From the COMISAIR Study. Diabetes Care. 2020 Jan;43(1):37–43. </w:t>
      </w:r>
    </w:p>
    <w:p w14:paraId="0B401E47" w14:textId="77777777" w:rsidR="00CE0E7B" w:rsidRDefault="00CE0E7B" w:rsidP="00CE0E7B">
      <w:pPr>
        <w:pStyle w:val="Bibliography"/>
      </w:pPr>
      <w:r>
        <w:t xml:space="preserve">88. </w:t>
      </w:r>
      <w:r>
        <w:tab/>
        <w:t xml:space="preserve">Bergenstal RM, Garg S, Weinzimer SA, Buckingham BA, Bode BW, Tamborlane WV, et al. Safety of a Hybrid Closed-Loop Insulin Delivery System in Patients With Type 1 Diabetes. JAMA. 2016 Oct 4;316(13):1407–8. </w:t>
      </w:r>
    </w:p>
    <w:p w14:paraId="35D6369A" w14:textId="77777777" w:rsidR="00CE0E7B" w:rsidRDefault="00CE0E7B" w:rsidP="00CE0E7B">
      <w:pPr>
        <w:pStyle w:val="Bibliography"/>
      </w:pPr>
      <w:r>
        <w:t xml:space="preserve">89. </w:t>
      </w:r>
      <w:r>
        <w:tab/>
        <w:t xml:space="preserve">Brown SA, Kovatchev BP, Raghinaru D, Lum JW, Buckingham BA, Kudva YC, et al. Six-Month Randomized, Multicenter Trial of Closed-Loop Control in Type 1 Diabetes. N Engl J Med. 2019 31;381(18):1707–17. </w:t>
      </w:r>
    </w:p>
    <w:p w14:paraId="75F97D3F" w14:textId="77777777" w:rsidR="00CE0E7B" w:rsidRDefault="00CE0E7B" w:rsidP="00CE0E7B">
      <w:pPr>
        <w:pStyle w:val="Bibliography"/>
      </w:pPr>
      <w:r>
        <w:t xml:space="preserve">90. </w:t>
      </w:r>
      <w:r>
        <w:tab/>
        <w:t xml:space="preserve">Gibney MA, Arce CH, Byron KJ, Hirsch LJ. Skin and subcutaneous adipose layer thickness in adults with diabetes at sites used for insulin injections: implications for needle length recommendations. Curr Med Res Opin. 2010 Jun;26(6):1519–30. </w:t>
      </w:r>
    </w:p>
    <w:p w14:paraId="7F46C8C7" w14:textId="77777777" w:rsidR="00CE0E7B" w:rsidRDefault="00CE0E7B" w:rsidP="00CE0E7B">
      <w:pPr>
        <w:pStyle w:val="Bibliography"/>
      </w:pPr>
      <w:r>
        <w:t xml:space="preserve">91. </w:t>
      </w:r>
      <w:r>
        <w:tab/>
        <w:t xml:space="preserve">Kesavadev J, Srinivasan S, Saboo B, Krishna B M, Krishnan G. The Do-It-Yourself Artificial Pancreas: A Comprehensive Review. Diabetes Ther. 2020 Jun;11(6):1217–35. </w:t>
      </w:r>
    </w:p>
    <w:p w14:paraId="599173E6" w14:textId="77777777" w:rsidR="00CE0E7B" w:rsidRDefault="00CE0E7B" w:rsidP="00CE0E7B">
      <w:pPr>
        <w:pStyle w:val="Bibliography"/>
      </w:pPr>
      <w:r>
        <w:t xml:space="preserve">92. </w:t>
      </w:r>
      <w:r>
        <w:tab/>
        <w:t xml:space="preserve">Boughton CK, Hovorka R. The artificial pancreas. Curr Opin Organ Transplant. 2020 Aug;25(4):336–42. </w:t>
      </w:r>
    </w:p>
    <w:p w14:paraId="3C183744" w14:textId="77777777" w:rsidR="00CE0E7B" w:rsidRDefault="00CE0E7B" w:rsidP="00CE0E7B">
      <w:pPr>
        <w:pStyle w:val="Bibliography"/>
      </w:pPr>
      <w:r>
        <w:t xml:space="preserve">93. </w:t>
      </w:r>
      <w:r>
        <w:tab/>
        <w:t>7. Diabetes Technology: Standards of Medical Care in Diabetes—2021 | Diabetes Care [Internet]. [cited 2021 Feb 19]. Available from: https://care.diabetesjournals.org/content/44/Supplement_1/S85</w:t>
      </w:r>
    </w:p>
    <w:p w14:paraId="080CF716" w14:textId="77777777" w:rsidR="00CE0E7B" w:rsidRDefault="00CE0E7B" w:rsidP="00CE0E7B">
      <w:pPr>
        <w:pStyle w:val="Bibliography"/>
      </w:pPr>
      <w:r>
        <w:t xml:space="preserve">94. </w:t>
      </w:r>
      <w:r>
        <w:tab/>
        <w:t xml:space="preserve">Famulla S, Hövelmann U, Fischer A, Coester H-V, Hermanski L, Kaltheuner M, et al. Insulin Injection Into Lipohypertrophic Tissue: Blunted and More Variable Insulin Absorption and Action and Impaired Postprandial Glucose Control. Diabetes Care. 2016;39(9):1486–92. </w:t>
      </w:r>
    </w:p>
    <w:p w14:paraId="746FB020" w14:textId="77777777" w:rsidR="00CE0E7B" w:rsidRDefault="00CE0E7B" w:rsidP="00CE0E7B">
      <w:pPr>
        <w:pStyle w:val="Bibliography"/>
      </w:pPr>
      <w:r>
        <w:t xml:space="preserve">95. </w:t>
      </w:r>
      <w:r>
        <w:tab/>
        <w:t xml:space="preserve">Blanco M, Hernández MT, Strauss KW, Amaya M. Prevalence and risk factors of lipohypertrophy in insulin-injecting patients with diabetes. Diabetes Metab. 2013 Oct;39(5):445–53. </w:t>
      </w:r>
    </w:p>
    <w:p w14:paraId="7BC4B11C" w14:textId="77777777" w:rsidR="00CE0E7B" w:rsidRDefault="00CE0E7B" w:rsidP="00CE0E7B">
      <w:pPr>
        <w:pStyle w:val="Bibliography"/>
      </w:pPr>
      <w:r>
        <w:t xml:space="preserve">96. </w:t>
      </w:r>
      <w:r>
        <w:tab/>
        <w:t xml:space="preserve">McGill JB, Peters A, Buse JB, Steiner S, Tran T, Pompilio FM, et al. Comprehensive Pulmonary Safety Review of Inhaled Technosphere® Insulin in Patients with Diabetes Mellitus. Clin Drug Investig. 2020 Oct;40(10):973–83. </w:t>
      </w:r>
    </w:p>
    <w:p w14:paraId="43CB782E" w14:textId="77777777" w:rsidR="00CE0E7B" w:rsidRDefault="00CE0E7B" w:rsidP="00CE0E7B">
      <w:pPr>
        <w:pStyle w:val="Bibliography"/>
      </w:pPr>
      <w:r>
        <w:t xml:space="preserve">97. </w:t>
      </w:r>
      <w:r>
        <w:tab/>
        <w:t xml:space="preserve">Spaan N, Teplova A, Stam G, Spaan J, Lucas C. Systematic review: continuous intraperitoneal insulin infusion with implantable insulin pumps for diabetes mellitus. Acta Diabetol. 2014;51(3):339–51. </w:t>
      </w:r>
    </w:p>
    <w:p w14:paraId="6FCE6409" w14:textId="77777777" w:rsidR="00CE0E7B" w:rsidRDefault="00CE0E7B" w:rsidP="00CE0E7B">
      <w:pPr>
        <w:pStyle w:val="Bibliography"/>
      </w:pPr>
      <w:r>
        <w:t xml:space="preserve">98. </w:t>
      </w:r>
      <w:r>
        <w:tab/>
        <w:t xml:space="preserve">Renard E, Schaepelynck-Bélicar P, EVADIAC Group. Implantable insulin pumps. A position statement about their clinical use. Diabetes Metab. 2007 Apr;33(2):158–66. </w:t>
      </w:r>
    </w:p>
    <w:p w14:paraId="5BE0999D" w14:textId="77777777" w:rsidR="00CE0E7B" w:rsidRDefault="00CE0E7B" w:rsidP="00CE0E7B">
      <w:pPr>
        <w:pStyle w:val="Bibliography"/>
      </w:pPr>
      <w:r>
        <w:t xml:space="preserve">99. </w:t>
      </w:r>
      <w:r>
        <w:tab/>
        <w:t xml:space="preserve">International Hypoglycaemia Study Group. Glucose Concentrations of Less Than 3.0 mmol/L (54 mg/dL) Should Be Reported in Clinical Trials: A Joint Position Statement of the American Diabetes Association and the European Association for the Study of Diabetes. Diabetes Care. 2017 Jan;40(1):155–7. </w:t>
      </w:r>
    </w:p>
    <w:p w14:paraId="52720F0D" w14:textId="77777777" w:rsidR="00CE0E7B" w:rsidRDefault="00CE0E7B" w:rsidP="00CE0E7B">
      <w:pPr>
        <w:pStyle w:val="Bibliography"/>
      </w:pPr>
      <w:r>
        <w:t xml:space="preserve">100. </w:t>
      </w:r>
      <w:r>
        <w:tab/>
        <w:t xml:space="preserve">Heinemann L, Freckmann G, Ehrmann D, Faber-Heinemann G, Guerra S, Waldenmaier D, et al. Real-time continuous glucose monitoring in adults with type 1 diabetes and impaired hypoglycaemia awareness or severe hypoglycaemia treated with multiple daily insulin injections (HypoDE): a multicentre, randomised controlled trial. Lancet. 2018 07;391(10128):1367–77. </w:t>
      </w:r>
    </w:p>
    <w:p w14:paraId="7CB83897" w14:textId="77777777" w:rsidR="00CE0E7B" w:rsidRDefault="00CE0E7B" w:rsidP="00CE0E7B">
      <w:pPr>
        <w:pStyle w:val="Bibliography"/>
      </w:pPr>
      <w:r>
        <w:t xml:space="preserve">101. </w:t>
      </w:r>
      <w:r>
        <w:tab/>
        <w:t xml:space="preserve">Renard E, Ikegami H, Daher Vianna AG, Pozzilli P, Brette S, Bosnyak Z, et al. The SAGE study: Global observational analysis of glycaemic control, hypoglycaemia and diabetes management in T1DM. Diabetes Metab Res Rev. 2020 Dec 28;e3430. </w:t>
      </w:r>
    </w:p>
    <w:p w14:paraId="425FF503" w14:textId="77777777" w:rsidR="00CE0E7B" w:rsidRDefault="00CE0E7B" w:rsidP="00CE0E7B">
      <w:pPr>
        <w:pStyle w:val="Bibliography"/>
      </w:pPr>
      <w:r>
        <w:t xml:space="preserve">102. </w:t>
      </w:r>
      <w:r>
        <w:tab/>
        <w:t xml:space="preserve">Seaquist ER, Anderson J, Childs B, Cryer P, Dagogo-Jack S, Fish L, et al. Hypoglycemia and Diabetes: A Report of a Workgroup of the American Diabetes Association and The Endocrine Society. Dia Care. 2013 May 1;36(5):1384–95. </w:t>
      </w:r>
    </w:p>
    <w:p w14:paraId="76474D2D" w14:textId="77777777" w:rsidR="00CE0E7B" w:rsidRDefault="00CE0E7B" w:rsidP="00CE0E7B">
      <w:pPr>
        <w:pStyle w:val="Bibliography"/>
      </w:pPr>
      <w:r>
        <w:t xml:space="preserve">103. </w:t>
      </w:r>
      <w:r>
        <w:tab/>
        <w:t xml:space="preserve">Cryer PE. Mechanisms of hypoglycemia-associated autonomic failure in diabetes. N Engl J Med. 2013 Jul 25;369(4):362–72. </w:t>
      </w:r>
    </w:p>
    <w:p w14:paraId="2868B66E" w14:textId="77777777" w:rsidR="00CE0E7B" w:rsidRDefault="00CE0E7B" w:rsidP="00CE0E7B">
      <w:pPr>
        <w:pStyle w:val="Bibliography"/>
      </w:pPr>
      <w:r>
        <w:t xml:space="preserve">104. </w:t>
      </w:r>
      <w:r>
        <w:tab/>
        <w:t xml:space="preserve">Henriksen MM, Andersen HU, Thorsteinsson B, Pedersen-Bjergaard U. Hypoglycemic Exposure and Risk of Asymptomatic Hypoglycemia in Type 1 Diabetes Assessed by Continuous Glucose Monitoring. J Clin Endocrinol Metab. 2018 Jun 1;103(6):2329–35. </w:t>
      </w:r>
    </w:p>
    <w:p w14:paraId="542B4FD5" w14:textId="77777777" w:rsidR="00CE0E7B" w:rsidRDefault="00CE0E7B" w:rsidP="00CE0E7B">
      <w:pPr>
        <w:pStyle w:val="Bibliography"/>
      </w:pPr>
      <w:r>
        <w:t xml:space="preserve">105. </w:t>
      </w:r>
      <w:r>
        <w:tab/>
        <w:t xml:space="preserve">van Beers CAJ, Caris MG, DeVries JH, Serné EH. The relation between HbA1c and hypoglycemia revisited; a secondary analysis from an intervention trial in patients with type 1 diabetes and impaired awareness of hypoglycemia. J Diabetes Complications. 2018 Jan;32(1):100–3. </w:t>
      </w:r>
    </w:p>
    <w:p w14:paraId="1CA28F39" w14:textId="77777777" w:rsidR="00CE0E7B" w:rsidRDefault="00CE0E7B" w:rsidP="00CE0E7B">
      <w:pPr>
        <w:pStyle w:val="Bibliography"/>
      </w:pPr>
      <w:r>
        <w:t xml:space="preserve">106. </w:t>
      </w:r>
      <w:r>
        <w:tab/>
        <w:t xml:space="preserve">Gagnum V, Stene LC, Jenssen TG, Berteussen LM, Sandvik L, Joner G, et al. Causes of death in childhood-onset Type 1 diabetes: long-term follow-up. Diabet Med. 2017 Jan;34(1):56–63. </w:t>
      </w:r>
    </w:p>
    <w:p w14:paraId="235D4651" w14:textId="77777777" w:rsidR="00CE0E7B" w:rsidRDefault="00CE0E7B" w:rsidP="00CE0E7B">
      <w:pPr>
        <w:pStyle w:val="Bibliography"/>
      </w:pPr>
      <w:r>
        <w:t xml:space="preserve">107. </w:t>
      </w:r>
      <w:r>
        <w:tab/>
        <w:t xml:space="preserve">International Hypoglycaemia Study Group. Hypoglycaemia, cardiovascular disease, and mortality in diabetes: epidemiology, pathogenesis, and management. Lancet Diabetes Endocrinol. 2019 May;7(5):385–96. </w:t>
      </w:r>
    </w:p>
    <w:p w14:paraId="4C5F4547" w14:textId="77777777" w:rsidR="00CE0E7B" w:rsidRDefault="00CE0E7B" w:rsidP="00CE0E7B">
      <w:pPr>
        <w:pStyle w:val="Bibliography"/>
      </w:pPr>
      <w:r>
        <w:t xml:space="preserve">108. </w:t>
      </w:r>
      <w:r>
        <w:tab/>
        <w:t xml:space="preserve">Diabetes Control and Complications Trial/Epidemiology of Diabetes Interventions and Complications Study Research Group, Jacobson AM, Musen G, Ryan CM, Silvers N, Cleary P, et al. Long-term effect of diabetes and its treatment on cognitive function. N Engl J Med. 2007 May 3;356(18):1842–52. </w:t>
      </w:r>
    </w:p>
    <w:p w14:paraId="7DF182F1" w14:textId="77777777" w:rsidR="00CE0E7B" w:rsidRDefault="00CE0E7B" w:rsidP="00CE0E7B">
      <w:pPr>
        <w:pStyle w:val="Bibliography"/>
      </w:pPr>
      <w:r>
        <w:t xml:space="preserve">109. </w:t>
      </w:r>
      <w:r>
        <w:tab/>
        <w:t xml:space="preserve">Jacobson AM, Ryan CM, Braffett BH, Gubitosi-Klug RA, Lorenzi GM, Luchsinger JA, et al. Cognitive performance declines in older adults with type 1 diabetes: results from 32 years of follow-up in the DCCT and EDIC Study. Lancet Diabetes Endocrinol. 2021 Jul;9(7):436–45. </w:t>
      </w:r>
    </w:p>
    <w:p w14:paraId="353942B3" w14:textId="77777777" w:rsidR="00CE0E7B" w:rsidRDefault="00CE0E7B" w:rsidP="00CE0E7B">
      <w:pPr>
        <w:pStyle w:val="Bibliography"/>
      </w:pPr>
      <w:r>
        <w:t xml:space="preserve">110. </w:t>
      </w:r>
      <w:r>
        <w:tab/>
        <w:t xml:space="preserve">Chaytor NS, Barbosa-Leiker C, Ryan CM, Germine LT, Hirsch IB, Weinstock RS. Clinically significant cognitive impairment in older adults with type 1 diabetes. J Diabetes Complications. 2019 Jan;33(1):91–7. </w:t>
      </w:r>
    </w:p>
    <w:p w14:paraId="70C09D46" w14:textId="77777777" w:rsidR="00CE0E7B" w:rsidRDefault="00CE0E7B" w:rsidP="00CE0E7B">
      <w:pPr>
        <w:pStyle w:val="Bibliography"/>
      </w:pPr>
      <w:r>
        <w:t xml:space="preserve">111. </w:t>
      </w:r>
      <w:r>
        <w:tab/>
        <w:t xml:space="preserve">Lin YK, Fisher SJ, Pop-Busui R. Hypoglycemia unawareness and autonomic dysfunction in diabetes: Lessons learned and roles of diabetes technologies. J Diabetes Investig. 2020 Nov;11(6):1388–402. </w:t>
      </w:r>
    </w:p>
    <w:p w14:paraId="285E74E0" w14:textId="77777777" w:rsidR="00CE0E7B" w:rsidRDefault="00CE0E7B" w:rsidP="00CE0E7B">
      <w:pPr>
        <w:pStyle w:val="Bibliography"/>
      </w:pPr>
      <w:r>
        <w:t xml:space="preserve">112. </w:t>
      </w:r>
      <w:r>
        <w:tab/>
        <w:t xml:space="preserve">Geddes J, Schopman JE, Zammitt NN, Frier BM. Prevalence of impaired awareness of hypoglycaemia in adults with Type 1 diabetes. Diabet Med. 2008 Apr;25(4):501–4. </w:t>
      </w:r>
    </w:p>
    <w:p w14:paraId="4AB68553" w14:textId="77777777" w:rsidR="00CE0E7B" w:rsidRDefault="00CE0E7B" w:rsidP="00CE0E7B">
      <w:pPr>
        <w:pStyle w:val="Bibliography"/>
      </w:pPr>
      <w:r>
        <w:t xml:space="preserve">113. </w:t>
      </w:r>
      <w:r>
        <w:tab/>
        <w:t xml:space="preserve">Gold AE, MacLeod KM, Frier BM. Frequency of severe hypoglycemia in patients with type I diabetes with impaired awareness of hypoglycemia. Diabetes Care. 1994 Jul;17(7):697–703. </w:t>
      </w:r>
    </w:p>
    <w:p w14:paraId="572593B9" w14:textId="77777777" w:rsidR="00CE0E7B" w:rsidRDefault="00CE0E7B" w:rsidP="00CE0E7B">
      <w:pPr>
        <w:pStyle w:val="Bibliography"/>
      </w:pPr>
      <w:r>
        <w:t xml:space="preserve">114. </w:t>
      </w:r>
      <w:r>
        <w:tab/>
        <w:t xml:space="preserve">Mitrakou A, Ryan C, Veneman T, Mokan M, Jenssen T, Kiss I, et al. Hierarchy of glycemic thresholds for counterregulatory hormone secretion, symptoms, and cerebral dysfunction. Am J Physiol. 1991 Jan;260(1 Pt 1):E67-74. </w:t>
      </w:r>
    </w:p>
    <w:p w14:paraId="57A1007D" w14:textId="77777777" w:rsidR="00CE0E7B" w:rsidRDefault="00CE0E7B" w:rsidP="00CE0E7B">
      <w:pPr>
        <w:pStyle w:val="Bibliography"/>
      </w:pPr>
      <w:r>
        <w:t xml:space="preserve">115. </w:t>
      </w:r>
      <w:r>
        <w:tab/>
        <w:t xml:space="preserve">Janssen MM, Snoek FJ, Heine RJ. Assessing impaired hypoglycemia awareness in type 1 diabetes: agreement of self-report but not of field study data with the autonomic symptom threshold during experimental hypoglycemia. Diabetes Care. 2000 Apr;23(4):529–32. </w:t>
      </w:r>
    </w:p>
    <w:p w14:paraId="569CA4E8" w14:textId="77777777" w:rsidR="00CE0E7B" w:rsidRDefault="00CE0E7B" w:rsidP="00CE0E7B">
      <w:pPr>
        <w:pStyle w:val="Bibliography"/>
      </w:pPr>
      <w:r>
        <w:t xml:space="preserve">116. </w:t>
      </w:r>
      <w:r>
        <w:tab/>
        <w:t xml:space="preserve">Clarke WL, Cox DJ, Gonder-Frederick LA, Julian D, Schlundt D, Polonsky W. Reduced awareness of hypoglycemia in adults with IDDM. A prospective study of hypoglycemic frequency and associated symptoms. Diabetes Care. 1995 Apr;18(4):517–22. </w:t>
      </w:r>
    </w:p>
    <w:p w14:paraId="526F4EE4" w14:textId="77777777" w:rsidR="00CE0E7B" w:rsidRDefault="00CE0E7B" w:rsidP="00CE0E7B">
      <w:pPr>
        <w:pStyle w:val="Bibliography"/>
      </w:pPr>
      <w:r>
        <w:t xml:space="preserve">117. </w:t>
      </w:r>
      <w:r>
        <w:tab/>
        <w:t xml:space="preserve">Pedersen-Bjergaard U, Pramming S, Thorsteinsson B. Recall of severe hypoglycaemia and self-estimated state of awareness in type 1 diabetes. Diabetes Metab Res Rev. 2003 Jun;19(3):232–40. </w:t>
      </w:r>
    </w:p>
    <w:p w14:paraId="13326F47" w14:textId="77777777" w:rsidR="00CE0E7B" w:rsidRDefault="00CE0E7B" w:rsidP="00CE0E7B">
      <w:pPr>
        <w:pStyle w:val="Bibliography"/>
      </w:pPr>
      <w:r>
        <w:t xml:space="preserve">118. </w:t>
      </w:r>
      <w:r>
        <w:tab/>
        <w:t xml:space="preserve">Speight J, Barendse SM, Singh H, Little SA, Inkster B, Frier BM, et al. Characterizing problematic hypoglycaemia: iterative design and preliminary psychometric validation of the Hypoglycaemia Awareness Questionnaire (HypoA-Q). Diabet Med. 2016 Mar;33(3):376–85. </w:t>
      </w:r>
    </w:p>
    <w:p w14:paraId="10E3A03B" w14:textId="77777777" w:rsidR="00CE0E7B" w:rsidRDefault="00CE0E7B" w:rsidP="00CE0E7B">
      <w:pPr>
        <w:pStyle w:val="Bibliography"/>
      </w:pPr>
      <w:r>
        <w:t xml:space="preserve">119. </w:t>
      </w:r>
      <w:r>
        <w:tab/>
        <w:t xml:space="preserve">Hopkins D, Lawrence I, Mansell P, Thompson G, Amiel S, Campbell M, et al. Improved biomedical and psychological outcomes 1 year after structured education in flexible insulin therapy for people with type 1 diabetes: the U.K. DAFNE experience. Diabetes Care. 2012 Aug;35(8):1638–42. </w:t>
      </w:r>
    </w:p>
    <w:p w14:paraId="0786BC12" w14:textId="77777777" w:rsidR="00CE0E7B" w:rsidRDefault="00CE0E7B" w:rsidP="00CE0E7B">
      <w:pPr>
        <w:pStyle w:val="Bibliography"/>
      </w:pPr>
      <w:r>
        <w:t xml:space="preserve">120. </w:t>
      </w:r>
      <w:r>
        <w:tab/>
        <w:t xml:space="preserve">Little SA, Leelarathna L, Barendse SM, Walkinshaw E, Tan HK, Lubina Solomon A, et al. Severe hypoglycaemia in type 1 diabetes mellitus: underlying drivers and potential strategies for successful prevention. Diabetes Metab Res Rev. 2014 Mar;30(3):175–90. </w:t>
      </w:r>
    </w:p>
    <w:p w14:paraId="56E9C0B3" w14:textId="77777777" w:rsidR="00CE0E7B" w:rsidRDefault="00CE0E7B" w:rsidP="00CE0E7B">
      <w:pPr>
        <w:pStyle w:val="Bibliography"/>
      </w:pPr>
      <w:r>
        <w:t xml:space="preserve">121. </w:t>
      </w:r>
      <w:r>
        <w:tab/>
        <w:t xml:space="preserve">Little SA, Speight J, Leelarathna L, Walkinshaw E, Tan HK, Bowes A, et al. Sustained Reduction in Severe Hypoglycemia in Adults With Type 1 Diabetes Complicated by Impaired Awareness of Hypoglycemia: Two-Year Follow-up in the HypoCOMPaSS Randomized Clinical Trial. Diabetes Care. 2018 Aug;41(8):1600–7. </w:t>
      </w:r>
    </w:p>
    <w:p w14:paraId="60927BC7" w14:textId="77777777" w:rsidR="00CE0E7B" w:rsidRDefault="00CE0E7B" w:rsidP="00CE0E7B">
      <w:pPr>
        <w:pStyle w:val="Bibliography"/>
      </w:pPr>
      <w:r>
        <w:t xml:space="preserve">122. </w:t>
      </w:r>
      <w:r>
        <w:tab/>
        <w:t xml:space="preserve">Iqbal A, Heller SR. The role of structured education in the management of hypoglycaemia. Diabetologia. 2018 Apr;61(4):751–60. </w:t>
      </w:r>
    </w:p>
    <w:p w14:paraId="6EA35895" w14:textId="77777777" w:rsidR="00CE0E7B" w:rsidRDefault="00CE0E7B" w:rsidP="00CE0E7B">
      <w:pPr>
        <w:pStyle w:val="Bibliography"/>
      </w:pPr>
      <w:r>
        <w:t xml:space="preserve">123. </w:t>
      </w:r>
      <w:r>
        <w:tab/>
        <w:t xml:space="preserve">Cranston I, Lomas J, Maran A, Macdonald I, Amiel SA. Restoration of hypoglycaemia awareness in patients with long-duration insulin-dependent diabetes. Lancet. 1994 Jul 30;344(8918):283–7. </w:t>
      </w:r>
    </w:p>
    <w:p w14:paraId="0B8A3D6D" w14:textId="77777777" w:rsidR="00CE0E7B" w:rsidRDefault="00CE0E7B" w:rsidP="00CE0E7B">
      <w:pPr>
        <w:pStyle w:val="Bibliography"/>
      </w:pPr>
      <w:r>
        <w:t xml:space="preserve">124. </w:t>
      </w:r>
      <w:r>
        <w:tab/>
        <w:t xml:space="preserve">Yeoh E, Choudhary P, Nwokolo M, Ayis S, Amiel SA. Interventions That Restore Awareness of Hypoglycemia in Adults With Type 1 Diabetes: A Systematic Review and Meta-analysis. Diabetes Care. 2015 Aug;38(8):1592–609. </w:t>
      </w:r>
    </w:p>
    <w:p w14:paraId="51632449" w14:textId="77777777" w:rsidR="00CE0E7B" w:rsidRDefault="00CE0E7B" w:rsidP="00CE0E7B">
      <w:pPr>
        <w:pStyle w:val="Bibliography"/>
      </w:pPr>
      <w:r>
        <w:t xml:space="preserve">125. </w:t>
      </w:r>
      <w:r>
        <w:tab/>
        <w:t xml:space="preserve">Cox DJ, Gonder-Frederick L, Ritterband L, Patel K, Schächinger H, Fehm-Wolfsdorf G, et al. Blood Glucose Awareness Training: What Is It, Where Is It, and Where Is It Going? Diabetes Spectrum. 2006 Jan 1;19(1):43–9. </w:t>
      </w:r>
    </w:p>
    <w:p w14:paraId="6373EC5E" w14:textId="77777777" w:rsidR="00CE0E7B" w:rsidRDefault="00CE0E7B" w:rsidP="00CE0E7B">
      <w:pPr>
        <w:pStyle w:val="Bibliography"/>
      </w:pPr>
      <w:r>
        <w:t xml:space="preserve">126. </w:t>
      </w:r>
      <w:r>
        <w:tab/>
        <w:t xml:space="preserve">Rondags SMPA, de Wit M, Twisk JW, Snoek FJ. Effectiveness of HypoAware, a Brief Partly Web-Based Psychoeducational Intervention for Adults With Type 1 and Insulin-Treated Type 2 Diabetes and Problematic Hypoglycemia: A Cluster Randomized Controlled Trial. Diabetes Care. 2016 Dec;39(12):2190–6. </w:t>
      </w:r>
    </w:p>
    <w:p w14:paraId="713FC8E8" w14:textId="77777777" w:rsidR="00CE0E7B" w:rsidRDefault="00CE0E7B" w:rsidP="00CE0E7B">
      <w:pPr>
        <w:pStyle w:val="Bibliography"/>
      </w:pPr>
      <w:r>
        <w:t xml:space="preserve">127. </w:t>
      </w:r>
      <w:r>
        <w:tab/>
        <w:t xml:space="preserve">Hermanns N, Kulzer B, Krichbaum M, Kubiak T, Haak T. Long-Term Effect of an Education Program (HyPOS) on the Incidence of Severe Hypoglycemia in Patients With Type 1 Diabetes. Diabetes Care. 2010 Mar 1;33(3):e36–e36. </w:t>
      </w:r>
    </w:p>
    <w:p w14:paraId="370B68AA" w14:textId="77777777" w:rsidR="00CE0E7B" w:rsidRDefault="00CE0E7B" w:rsidP="00CE0E7B">
      <w:pPr>
        <w:pStyle w:val="Bibliography"/>
      </w:pPr>
      <w:r>
        <w:t xml:space="preserve">128. </w:t>
      </w:r>
      <w:r>
        <w:tab/>
        <w:t xml:space="preserve">Cryer PE. Hypoglycemia in type 1 diabetes mellitus. Endocrinol Metab Clin North Am. 2010 Sep;39(3):641–54. </w:t>
      </w:r>
    </w:p>
    <w:p w14:paraId="4BBB0950" w14:textId="77777777" w:rsidR="00CE0E7B" w:rsidRDefault="00CE0E7B" w:rsidP="00CE0E7B">
      <w:pPr>
        <w:pStyle w:val="Bibliography"/>
      </w:pPr>
      <w:r>
        <w:t xml:space="preserve">129. </w:t>
      </w:r>
      <w:r>
        <w:tab/>
        <w:t xml:space="preserve">Pinsker JE, Bartee A, Katz M, Lalonde A, Jones R, Dassau E, et al. Predictive Low-Glucose Suspend Necessitates Less Carbohydrate Supplementation to Rescue Hypoglycemia: Need to Revisit Current Hypoglycemia Treatment Guidelines. Diabetes Technol Ther. 2021 Jul;23(7):512–6. </w:t>
      </w:r>
    </w:p>
    <w:p w14:paraId="61612DCF" w14:textId="77777777" w:rsidR="00CE0E7B" w:rsidRDefault="00CE0E7B" w:rsidP="00CE0E7B">
      <w:pPr>
        <w:pStyle w:val="Bibliography"/>
      </w:pPr>
      <w:r>
        <w:t xml:space="preserve">130. </w:t>
      </w:r>
      <w:r>
        <w:tab/>
        <w:t xml:space="preserve">Standards of Medical Care in Diabetes-2020. Diabetes Care. 2020 Jan;43(Suppl 1). </w:t>
      </w:r>
    </w:p>
    <w:p w14:paraId="68273FAE" w14:textId="77777777" w:rsidR="00CE0E7B" w:rsidRDefault="00CE0E7B" w:rsidP="00CE0E7B">
      <w:pPr>
        <w:pStyle w:val="Bibliography"/>
      </w:pPr>
      <w:r>
        <w:t xml:space="preserve">131. </w:t>
      </w:r>
      <w:r>
        <w:tab/>
        <w:t xml:space="preserve">Bell KJ, Barclay AW, Petocz P, Colagiuri S, Brand-Miller JC. Efficacy of carbohydrate counting in type 1 diabetes: a systematic review and meta-analysis. Lancet Diabetes Endocrinol. 2014 Feb;2(2):133–40. </w:t>
      </w:r>
    </w:p>
    <w:p w14:paraId="44C2DC1D" w14:textId="77777777" w:rsidR="00CE0E7B" w:rsidRDefault="00CE0E7B" w:rsidP="00CE0E7B">
      <w:pPr>
        <w:pStyle w:val="Bibliography"/>
      </w:pPr>
      <w:r>
        <w:t xml:space="preserve">132. </w:t>
      </w:r>
      <w:r>
        <w:tab/>
        <w:t xml:space="preserve">Schmidt S, Schelde B, Nørgaard K. Effects of advanced carbohydrate counting in patients with type 1 diabetes: a systematic review. Diabet Med. 2014 Aug;31(8):886–96. </w:t>
      </w:r>
    </w:p>
    <w:p w14:paraId="02831F94" w14:textId="77777777" w:rsidR="00CE0E7B" w:rsidRDefault="00CE0E7B" w:rsidP="00CE0E7B">
      <w:pPr>
        <w:pStyle w:val="Bibliography"/>
      </w:pPr>
      <w:r>
        <w:t xml:space="preserve">133. </w:t>
      </w:r>
      <w:r>
        <w:tab/>
        <w:t xml:space="preserve">Evert AB, Dennison M, Gardner CD, Garvey WT, Lau KHK, MacLeod J, et al. Nutrition Therapy for Adults With Diabetes or Prediabetes: A Consensus Report. Diabetes Care. 2019 May;42(5):731–54. </w:t>
      </w:r>
    </w:p>
    <w:p w14:paraId="7B5F1879" w14:textId="77777777" w:rsidR="00CE0E7B" w:rsidRDefault="00CE0E7B" w:rsidP="00CE0E7B">
      <w:pPr>
        <w:pStyle w:val="Bibliography"/>
      </w:pPr>
      <w:r>
        <w:t xml:space="preserve">134. </w:t>
      </w:r>
      <w:r>
        <w:tab/>
        <w:t xml:space="preserve">Hermann JM, Meusers M, Bachran R, Kuhnle‐Krahl U, Jorch N, Hofer SE, et al. Self-reported regular alcohol consumption in adolescents and emerging adults with type 1 diabetes: A neglected risk factor for diabetic ketoacidosis? Multicenter analysis of 29 630 patients from the DPV registry. Pediatric Diabetes. 2017;18(8):817–23. </w:t>
      </w:r>
    </w:p>
    <w:p w14:paraId="0A3AE481" w14:textId="77777777" w:rsidR="00CE0E7B" w:rsidRDefault="00CE0E7B" w:rsidP="00CE0E7B">
      <w:pPr>
        <w:pStyle w:val="Bibliography"/>
      </w:pPr>
      <w:r>
        <w:t xml:space="preserve">135. </w:t>
      </w:r>
      <w:r>
        <w:tab/>
        <w:t xml:space="preserve">Kerr D, Penfold S, Zouwail S, Thomas P, Begley J. The influence of liberal alcohol consumption on glucose metabolism in patients with type 1 diabetes: a pilot study. QJM: An International Journal of Medicine. 2009 Mar 1;102(3):169–74. </w:t>
      </w:r>
    </w:p>
    <w:p w14:paraId="105CEDBA" w14:textId="77777777" w:rsidR="00CE0E7B" w:rsidRDefault="00CE0E7B" w:rsidP="00CE0E7B">
      <w:pPr>
        <w:pStyle w:val="Bibliography"/>
      </w:pPr>
      <w:r>
        <w:t xml:space="preserve">136. </w:t>
      </w:r>
      <w:r>
        <w:tab/>
        <w:t xml:space="preserve">Turner BC, Jenkins E, Kerr D, Sherwin RS, Cavan DA. The effect of evening alcohol consumption on next-morning glucose control in type 1 diabetes. Diabetes Care. 2001 Nov;24(11):1888–93. </w:t>
      </w:r>
    </w:p>
    <w:p w14:paraId="5818A946" w14:textId="77777777" w:rsidR="00CE0E7B" w:rsidRDefault="00CE0E7B" w:rsidP="00CE0E7B">
      <w:pPr>
        <w:pStyle w:val="Bibliography"/>
      </w:pPr>
      <w:r>
        <w:t xml:space="preserve">137. </w:t>
      </w:r>
      <w:r>
        <w:tab/>
        <w:t xml:space="preserve">Pastor A, Conn J, MacIsaac RJ, Bonomo Y. Alcohol and illicit drug use in people with diabetes. Lancet Diabetes Endocrinol. 2020 Mar;8(3):239–48. </w:t>
      </w:r>
    </w:p>
    <w:p w14:paraId="4522BED1" w14:textId="77777777" w:rsidR="00CE0E7B" w:rsidRDefault="00CE0E7B" w:rsidP="00CE0E7B">
      <w:pPr>
        <w:pStyle w:val="Bibliography"/>
      </w:pPr>
      <w:r>
        <w:t xml:space="preserve">138. </w:t>
      </w:r>
      <w:r>
        <w:tab/>
        <w:t xml:space="preserve">Barnard K, Sinclair JMA, Lawton J, Young AJ, Holt RIG. Alcohol-associated risks for young adults with Type 1 diabetes: a narrative review. Diabet Med. 2012 Apr;29(4):434–40. </w:t>
      </w:r>
    </w:p>
    <w:p w14:paraId="60FF3057" w14:textId="77777777" w:rsidR="00CE0E7B" w:rsidRDefault="00CE0E7B" w:rsidP="00CE0E7B">
      <w:pPr>
        <w:pStyle w:val="Bibliography"/>
      </w:pPr>
      <w:r>
        <w:t xml:space="preserve">139. </w:t>
      </w:r>
      <w:r>
        <w:tab/>
        <w:t xml:space="preserve">Barnard KD, Dyson P, Sinclair JMA, Lawton J, Anthony D, Cranston M, et al. Alcohol health literacy in young adults with type 1 diabetes and its impact on diabetes management. Diabet Med. 2014 Dec;31(12):1625–30. </w:t>
      </w:r>
    </w:p>
    <w:p w14:paraId="38EE6055" w14:textId="77777777" w:rsidR="00CE0E7B" w:rsidRDefault="00CE0E7B" w:rsidP="00CE0E7B">
      <w:pPr>
        <w:pStyle w:val="Bibliography"/>
      </w:pPr>
      <w:r>
        <w:t xml:space="preserve">140. </w:t>
      </w:r>
      <w:r>
        <w:tab/>
        <w:t xml:space="preserve">Engler PA, Ramsey SE, Smith RJ. Alcohol use of diabetes patients: the need for assessment and intervention. Acta Diabetol. 2013 Apr;50(2):93–9. </w:t>
      </w:r>
    </w:p>
    <w:p w14:paraId="2BF277D8" w14:textId="77777777" w:rsidR="00CE0E7B" w:rsidRDefault="00CE0E7B" w:rsidP="00CE0E7B">
      <w:pPr>
        <w:pStyle w:val="Bibliography"/>
      </w:pPr>
      <w:r>
        <w:t xml:space="preserve">141. </w:t>
      </w:r>
      <w:r>
        <w:tab/>
        <w:t xml:space="preserve">Pan A, Wang Y, Talaei M, Hu FB. Relation of Smoking With Total Mortality and Cardiovascular Events Among Patients With Diabetes Mellitus: A Meta-Analysis and Systematic Review. Circulation. 2015 Nov 10;132(19):1795–804. </w:t>
      </w:r>
    </w:p>
    <w:p w14:paraId="0FEC6094" w14:textId="77777777" w:rsidR="00CE0E7B" w:rsidRDefault="00CE0E7B" w:rsidP="00CE0E7B">
      <w:pPr>
        <w:pStyle w:val="Bibliography"/>
      </w:pPr>
      <w:r>
        <w:t xml:space="preserve">142. </w:t>
      </w:r>
      <w:r>
        <w:tab/>
        <w:t xml:space="preserve">Uruska A, Araszkiewicz A, Uruski P, Zozulinska-Ziolkiewicz D. Higher risk of microvascular complications in smokers with type 1 diabetes despite intensive insulin therapy. Microvasc Res. 2014 Mar;92:79–84. </w:t>
      </w:r>
    </w:p>
    <w:p w14:paraId="7A41CFB3" w14:textId="77777777" w:rsidR="00CE0E7B" w:rsidRDefault="00CE0E7B" w:rsidP="00CE0E7B">
      <w:pPr>
        <w:pStyle w:val="Bibliography"/>
      </w:pPr>
      <w:r>
        <w:t xml:space="preserve">143. </w:t>
      </w:r>
      <w:r>
        <w:tab/>
        <w:t xml:space="preserve">Tikkanen-Dolenc H, Wadén J, Forsblom C, Harjutsalo V, Thorn LM, Saraheimo M, et al. Physical Activity Reduces Risk of Premature Mortality in Patients With Type 1 Diabetes With and Without Kidney Disease. Diabetes Care. 2017;40(12):1727–32. </w:t>
      </w:r>
    </w:p>
    <w:p w14:paraId="49CA003C" w14:textId="77777777" w:rsidR="00CE0E7B" w:rsidRDefault="00CE0E7B" w:rsidP="00CE0E7B">
      <w:pPr>
        <w:pStyle w:val="Bibliography"/>
      </w:pPr>
      <w:r>
        <w:t xml:space="preserve">144. </w:t>
      </w:r>
      <w:r>
        <w:tab/>
        <w:t xml:space="preserve">Bohn B, Herbst A, Pfeifer M, Krakow D, Zimny S, Kopp F, et al. Impact of Physical Activity on Glycemic Control and Prevalence of Cardiovascular Risk Factors in Adults With Type 1 Diabetes: A Cross-sectional Multicenter Study of 18,028 Patients. Diabetes Care. 2015 Aug;38(8):1536–43. </w:t>
      </w:r>
    </w:p>
    <w:p w14:paraId="6577E186" w14:textId="77777777" w:rsidR="00CE0E7B" w:rsidRDefault="00CE0E7B" w:rsidP="00CE0E7B">
      <w:pPr>
        <w:pStyle w:val="Bibliography"/>
      </w:pPr>
      <w:r>
        <w:t xml:space="preserve">145. </w:t>
      </w:r>
      <w:r>
        <w:tab/>
        <w:t xml:space="preserve">Wu N, Bredin SSD, Guan Y, Dickinson K, Kim DD, Chua Z, et al. Cardiovascular Health Benefits of Exercise Training in Persons Living with Type 1 Diabetes: A Systematic Review and Meta-Analysis. J Clin Med. 2019 Feb 17;8(2). </w:t>
      </w:r>
    </w:p>
    <w:p w14:paraId="4313C8D1" w14:textId="77777777" w:rsidR="00CE0E7B" w:rsidRDefault="00CE0E7B" w:rsidP="00CE0E7B">
      <w:pPr>
        <w:pStyle w:val="Bibliography"/>
      </w:pPr>
      <w:r>
        <w:t xml:space="preserve">146. </w:t>
      </w:r>
      <w:r>
        <w:tab/>
        <w:t xml:space="preserve">Chimen M, Kennedy A, Nirantharakumar K, Pang TT, Andrews R, Narendran P. What are the health benefits of physical activity in type 1 diabetes mellitus? A literature review. Diabetologia. 2012 Mar;55(3):542–51. </w:t>
      </w:r>
    </w:p>
    <w:p w14:paraId="690BCC6B" w14:textId="77777777" w:rsidR="00CE0E7B" w:rsidRDefault="00CE0E7B" w:rsidP="00CE0E7B">
      <w:pPr>
        <w:pStyle w:val="Bibliography"/>
      </w:pPr>
      <w:r>
        <w:t xml:space="preserve">147. </w:t>
      </w:r>
      <w:r>
        <w:tab/>
        <w:t xml:space="preserve">Wadén J, Forsblom C, Thorn LM, Saraheimo M, Rosengård-Bärlund M, Heikkilä O, et al. Physical activity and diabetes complications in patients with type 1 diabetes: the Finnish Diabetic Nephropathy (FinnDiane) Study. Diabetes Care. 2008 Feb;31(2):230–2. </w:t>
      </w:r>
    </w:p>
    <w:p w14:paraId="04AE248E" w14:textId="77777777" w:rsidR="00CE0E7B" w:rsidRDefault="00CE0E7B" w:rsidP="00CE0E7B">
      <w:pPr>
        <w:pStyle w:val="Bibliography"/>
      </w:pPr>
      <w:r>
        <w:t xml:space="preserve">148. </w:t>
      </w:r>
      <w:r>
        <w:tab/>
        <w:t xml:space="preserve">Moser O, Riddell MC, Eckstein ML, Adolfsson P, Rabasa-Lhoret R, van den Boom L, et al. Glucose management for exercise using continuous glucose monitoring (CGM) and intermittently scanned CGM (isCGM) systems in type 1 diabetes: position statement of the European Association for the Study of Diabetes (EASD) and of the International Society for Pediatric and Adolescent Diabetes (ISPAD) endorsed by JDRF and supported by the American Diabetes Association (ADA). Diabetologia. 2020 Dec;63(12):2501–20. </w:t>
      </w:r>
    </w:p>
    <w:p w14:paraId="27BCFC7B" w14:textId="77777777" w:rsidR="00CE0E7B" w:rsidRDefault="00CE0E7B" w:rsidP="00CE0E7B">
      <w:pPr>
        <w:pStyle w:val="Bibliography"/>
      </w:pPr>
      <w:r>
        <w:t xml:space="preserve">149. </w:t>
      </w:r>
      <w:r>
        <w:tab/>
        <w:t xml:space="preserve">Lemaster JW, Reiber GE, Smith DG, Heagerty PJ, Wallace C. Daily weight-bearing activity does not increase the risk of diabetic foot ulcers. Med Sci Sports Exerc. 2003 Jul;35(7):1093–9. </w:t>
      </w:r>
    </w:p>
    <w:p w14:paraId="182ECA8F" w14:textId="77777777" w:rsidR="00CE0E7B" w:rsidRDefault="00CE0E7B" w:rsidP="00CE0E7B">
      <w:pPr>
        <w:pStyle w:val="Bibliography"/>
      </w:pPr>
      <w:r>
        <w:t xml:space="preserve">150. </w:t>
      </w:r>
      <w:r>
        <w:tab/>
        <w:t xml:space="preserve">Riddell MC, Gallen IW, Smart CE, Taplin CE, Adolfsson P, Lumb AN, et al. Exercise management in type 1 diabetes: a consensus statement. The Lancet Diabetes &amp; Endocrinology. 2017 May 1;5(5):377–90. </w:t>
      </w:r>
    </w:p>
    <w:p w14:paraId="561D9B8D" w14:textId="77777777" w:rsidR="00CE0E7B" w:rsidRDefault="00CE0E7B" w:rsidP="00CE0E7B">
      <w:pPr>
        <w:pStyle w:val="Bibliography"/>
      </w:pPr>
      <w:r>
        <w:t xml:space="preserve">151. </w:t>
      </w:r>
      <w:r>
        <w:tab/>
        <w:t xml:space="preserve">Colberg SR. Exercise and Diabetes: A Clinician’s Guide to Prescribing Physical Activity. 1 edition. American Diabetes Association; 2013. 424 p. </w:t>
      </w:r>
    </w:p>
    <w:p w14:paraId="48E554A0" w14:textId="77777777" w:rsidR="00CE0E7B" w:rsidRDefault="00CE0E7B" w:rsidP="00CE0E7B">
      <w:pPr>
        <w:pStyle w:val="Bibliography"/>
      </w:pPr>
      <w:r>
        <w:t xml:space="preserve">152. </w:t>
      </w:r>
      <w:r>
        <w:tab/>
        <w:t xml:space="preserve">Reutrakul S, Thakkinstian A, Anothaisintawee T, Chontong S, Borel A-L, Perfect MM, et al. Sleep characteristics in type 1 diabetes and associations with glycemic control: systematic review and meta-analysis. Sleep Med. 2016 Jul;23:26–45. </w:t>
      </w:r>
    </w:p>
    <w:p w14:paraId="20EC6740" w14:textId="77777777" w:rsidR="00CE0E7B" w:rsidRDefault="00CE0E7B" w:rsidP="00CE0E7B">
      <w:pPr>
        <w:pStyle w:val="Bibliography"/>
      </w:pPr>
      <w:r>
        <w:t xml:space="preserve">153. </w:t>
      </w:r>
      <w:r>
        <w:tab/>
        <w:t xml:space="preserve">Denic-Roberts H, Costacou T, Orchard TJ. Subjective sleep disturbances and glycemic control in adults with long-standing type 1 diabetes: The Pittsburgh’s Epidemiology of Diabetes Complications study. Diabetes Res Clin Pract. 2016 Sep;119:1–12. </w:t>
      </w:r>
    </w:p>
    <w:p w14:paraId="2841D606" w14:textId="77777777" w:rsidR="00CE0E7B" w:rsidRDefault="00CE0E7B" w:rsidP="00CE0E7B">
      <w:pPr>
        <w:pStyle w:val="Bibliography"/>
      </w:pPr>
      <w:r>
        <w:t xml:space="preserve">154. </w:t>
      </w:r>
      <w:r>
        <w:tab/>
        <w:t xml:space="preserve">van Dijk M, Donga E, van Dijk JG, Lammers GJ, van Kralingen KW, Dekkers OM, et al. Disturbed subjective sleep characteristics in adult patients with long-standing type 1 diabetes mellitus. Diabetologia. 2011 Aug;54(8):1967–76. </w:t>
      </w:r>
    </w:p>
    <w:p w14:paraId="00BC5A82" w14:textId="77777777" w:rsidR="00CE0E7B" w:rsidRDefault="00CE0E7B" w:rsidP="00CE0E7B">
      <w:pPr>
        <w:pStyle w:val="Bibliography"/>
      </w:pPr>
      <w:r>
        <w:t xml:space="preserve">155. </w:t>
      </w:r>
      <w:r>
        <w:tab/>
        <w:t xml:space="preserve">American Diabetes Association. 6. Glycemic Targets: Standards of Medical Care in Diabetes-2020. Diabetes Care. 2020 Jan;43(Suppl 1):S66–76. </w:t>
      </w:r>
    </w:p>
    <w:p w14:paraId="54E8D4CA" w14:textId="77777777" w:rsidR="00CE0E7B" w:rsidRDefault="00CE0E7B" w:rsidP="00CE0E7B">
      <w:pPr>
        <w:pStyle w:val="Bibliography"/>
      </w:pPr>
      <w:r>
        <w:t xml:space="preserve">156. </w:t>
      </w:r>
      <w:r>
        <w:tab/>
        <w:t>Managing Sick Days | Living with Diabetes | Diabetes | CDC [Internet]. 2020 [cited 2021 Jul 16]. Available from: https://www.cdc.gov/diabetes/managing/flu-sick-days.html</w:t>
      </w:r>
    </w:p>
    <w:p w14:paraId="03381FA1" w14:textId="77777777" w:rsidR="00CE0E7B" w:rsidRDefault="00CE0E7B" w:rsidP="00CE0E7B">
      <w:pPr>
        <w:pStyle w:val="Bibliography"/>
      </w:pPr>
      <w:r>
        <w:t xml:space="preserve">157. </w:t>
      </w:r>
      <w:r>
        <w:tab/>
        <w:t>Diabetes when you’re unwell [Internet]. Diabetes UK. [cited 2021 Jul 16]. Available from: https://www.diabetes.org.uk/guide-to-diabetes/life-with-diabetes/illness</w:t>
      </w:r>
    </w:p>
    <w:p w14:paraId="1B22250E" w14:textId="77777777" w:rsidR="00CE0E7B" w:rsidRDefault="00CE0E7B" w:rsidP="00CE0E7B">
      <w:pPr>
        <w:pStyle w:val="Bibliography"/>
      </w:pPr>
      <w:r>
        <w:t xml:space="preserve">158. </w:t>
      </w:r>
      <w:r>
        <w:tab/>
        <w:t xml:space="preserve">Graveling AJ, Frier BM. Driving and diabetes: problems, licensing restrictions and recommendations for safe driving. Clin Diabetes Endocrinol. 2015;1:8. </w:t>
      </w:r>
    </w:p>
    <w:p w14:paraId="07F43B18" w14:textId="77777777" w:rsidR="00CE0E7B" w:rsidRDefault="00CE0E7B" w:rsidP="00CE0E7B">
      <w:pPr>
        <w:pStyle w:val="Bibliography"/>
      </w:pPr>
      <w:r>
        <w:t xml:space="preserve">159. </w:t>
      </w:r>
      <w:r>
        <w:tab/>
        <w:t xml:space="preserve">Association AD. Diabetes and Driving. Diabetes Care. 2014 Jan 1;37(Supplement 1):S97–103. </w:t>
      </w:r>
    </w:p>
    <w:p w14:paraId="3F8BCA41" w14:textId="77777777" w:rsidR="00CE0E7B" w:rsidRDefault="00CE0E7B" w:rsidP="00CE0E7B">
      <w:pPr>
        <w:pStyle w:val="Bibliography"/>
      </w:pPr>
      <w:r>
        <w:t xml:space="preserve">160. </w:t>
      </w:r>
      <w:r>
        <w:tab/>
        <w:t xml:space="preserve">American Diabetes Association, Anderson JE, Greene MA, Griffin JW, Kohrman DB, Lorber D, et al. Diabetes and employment. Diabetes Care. 2014 Jan;37 Suppl 1:S112-117. </w:t>
      </w:r>
    </w:p>
    <w:p w14:paraId="70DB04D7" w14:textId="77777777" w:rsidR="00CE0E7B" w:rsidRDefault="00CE0E7B" w:rsidP="00CE0E7B">
      <w:pPr>
        <w:pStyle w:val="Bibliography"/>
      </w:pPr>
      <w:r>
        <w:t xml:space="preserve">161. </w:t>
      </w:r>
      <w:r>
        <w:tab/>
        <w:t>Time Zones [Internet]. [cited 2021 Feb 19]. Available from: https://diabetestravel.sansum.org/time-zones/</w:t>
      </w:r>
    </w:p>
    <w:p w14:paraId="1D559528" w14:textId="77777777" w:rsidR="00CE0E7B" w:rsidRDefault="00CE0E7B" w:rsidP="00CE0E7B">
      <w:pPr>
        <w:pStyle w:val="Bibliography"/>
      </w:pPr>
      <w:r>
        <w:t xml:space="preserve">162. </w:t>
      </w:r>
      <w:r>
        <w:tab/>
        <w:t xml:space="preserve">Charlton AR, Charlton JR. World travel with type 1 diabetes using continuous subcutaneous insulin infusion. British Journal of Diabetes. 2019 Dec 17;19(2):141–6. </w:t>
      </w:r>
    </w:p>
    <w:p w14:paraId="7747EC7B" w14:textId="77777777" w:rsidR="00CE0E7B" w:rsidRDefault="00CE0E7B" w:rsidP="00CE0E7B">
      <w:pPr>
        <w:pStyle w:val="Bibliography"/>
      </w:pPr>
      <w:r>
        <w:t xml:space="preserve">163. </w:t>
      </w:r>
      <w:r>
        <w:tab/>
        <w:t>IDF and the Diabetes and Ramadan (DAR) International Alliance. Guidelines [Internet]. [cited 2021 Jul 16]. Available from: https://idf.org/e-library/guidelines/165-idf-dar-practical-guidelines-2021.html</w:t>
      </w:r>
    </w:p>
    <w:p w14:paraId="1D48196E" w14:textId="77777777" w:rsidR="00CE0E7B" w:rsidRDefault="00CE0E7B" w:rsidP="00CE0E7B">
      <w:pPr>
        <w:pStyle w:val="Bibliography"/>
      </w:pPr>
      <w:r>
        <w:t xml:space="preserve">164. </w:t>
      </w:r>
      <w:r>
        <w:tab/>
        <w:t xml:space="preserve">de Groot M, Golden SH, Wagner J. Psychological conditions in adults with diabetes. Am Psychol. 2016 Oct;71(7):552–62. </w:t>
      </w:r>
    </w:p>
    <w:p w14:paraId="7204566B" w14:textId="77777777" w:rsidR="00CE0E7B" w:rsidRDefault="00CE0E7B" w:rsidP="00CE0E7B">
      <w:pPr>
        <w:pStyle w:val="Bibliography"/>
      </w:pPr>
      <w:r>
        <w:t xml:space="preserve">165. </w:t>
      </w:r>
      <w:r>
        <w:tab/>
        <w:t xml:space="preserve">van Duinkerken E, Snoek FJ, de Wit M. The cognitive and psychological effects of living with type 1 diabetes: a narrative review. Diabet Med. 2020 Apr;37(4):555–63. </w:t>
      </w:r>
    </w:p>
    <w:p w14:paraId="2B742F53" w14:textId="77777777" w:rsidR="00CE0E7B" w:rsidRDefault="00CE0E7B" w:rsidP="00CE0E7B">
      <w:pPr>
        <w:pStyle w:val="Bibliography"/>
      </w:pPr>
      <w:r>
        <w:t xml:space="preserve">166. </w:t>
      </w:r>
      <w:r>
        <w:tab/>
        <w:t xml:space="preserve">Speight J, Hendrieckx C, Pouwer F, Skinner TC, Snoek FJ. Back to the future: 25 years of “Guidelines for encouraging psychological well-being” among people affected by diabetes. Diabet Med. 2020 Aug;37(8):1225–9. </w:t>
      </w:r>
    </w:p>
    <w:p w14:paraId="23483EB9" w14:textId="77777777" w:rsidR="00CE0E7B" w:rsidRDefault="00CE0E7B" w:rsidP="00CE0E7B">
      <w:pPr>
        <w:pStyle w:val="Bibliography"/>
      </w:pPr>
      <w:r>
        <w:t xml:space="preserve">167. </w:t>
      </w:r>
      <w:r>
        <w:tab/>
        <w:t xml:space="preserve">Fisher L, Polonsky WH, Hessler DM, Masharani U, Blumer I, Peters AL, et al. Understanding the sources of diabetes distress in adults with type 1 diabetes. J Diabetes Complications. 2015 Jun;29(4):572–7. </w:t>
      </w:r>
    </w:p>
    <w:p w14:paraId="259B0232" w14:textId="77777777" w:rsidR="00CE0E7B" w:rsidRDefault="00CE0E7B" w:rsidP="00CE0E7B">
      <w:pPr>
        <w:pStyle w:val="Bibliography"/>
      </w:pPr>
      <w:r>
        <w:t xml:space="preserve">168. </w:t>
      </w:r>
      <w:r>
        <w:tab/>
        <w:t xml:space="preserve">Hessler DM, Fisher L, Polonsky WH, Masharani U, Strycker LA, Peters AL, et al. Diabetes distress is linked with worsening diabetes management over time in adults with Type 1 diabetes. Diabet Med. 2017 Sep;34(9):1228–34. </w:t>
      </w:r>
    </w:p>
    <w:p w14:paraId="46AFFA7A" w14:textId="77777777" w:rsidR="00CE0E7B" w:rsidRDefault="00CE0E7B" w:rsidP="00CE0E7B">
      <w:pPr>
        <w:pStyle w:val="Bibliography"/>
      </w:pPr>
      <w:r>
        <w:t xml:space="preserve">169. </w:t>
      </w:r>
      <w:r>
        <w:tab/>
        <w:t xml:space="preserve">de Wit M, Trief PM, Huber JW, Willaing I. State of the art: understanding and integration of the social context in diabetes care. Diabet Med. 2020 Mar;37(3):473–82. </w:t>
      </w:r>
    </w:p>
    <w:p w14:paraId="6828EAA4" w14:textId="77777777" w:rsidR="00CE0E7B" w:rsidRDefault="00CE0E7B" w:rsidP="00CE0E7B">
      <w:pPr>
        <w:pStyle w:val="Bibliography"/>
      </w:pPr>
      <w:r>
        <w:t xml:space="preserve">170. </w:t>
      </w:r>
      <w:r>
        <w:tab/>
        <w:t xml:space="preserve">Barnard KD, Skinner TC, Peveler R. The prevalence of co-morbid depression in adults with Type 1 diabetes: systematic literature review. Diabet Med. 2006 Apr;23(4):445–8. </w:t>
      </w:r>
    </w:p>
    <w:p w14:paraId="04BE8AFF" w14:textId="77777777" w:rsidR="00CE0E7B" w:rsidRDefault="00CE0E7B" w:rsidP="00CE0E7B">
      <w:pPr>
        <w:pStyle w:val="Bibliography"/>
      </w:pPr>
      <w:r>
        <w:t xml:space="preserve">171. </w:t>
      </w:r>
      <w:r>
        <w:tab/>
        <w:t xml:space="preserve">Hermanns N, Kulzer B, Krichbaum M, Kubiak T, Haak T. Affective and anxiety disorders in a German sample of diabetic patients: prevalence, comorbidity and risk factors. Diabet Med. 2005 Mar;22(3):293–300. </w:t>
      </w:r>
    </w:p>
    <w:p w14:paraId="1CE6FDF4" w14:textId="77777777" w:rsidR="00CE0E7B" w:rsidRDefault="00CE0E7B" w:rsidP="00CE0E7B">
      <w:pPr>
        <w:pStyle w:val="Bibliography"/>
      </w:pPr>
      <w:r>
        <w:t xml:space="preserve">172. </w:t>
      </w:r>
      <w:r>
        <w:tab/>
        <w:t xml:space="preserve">Smith KJ, Béland M, Clyde M, Gariépy G, Pagé V, Badawi G, et al. Association of diabetes with anxiety: a systematic review and meta-analysis. J Psychosom Res. 2013 Feb;74(2):89–99. </w:t>
      </w:r>
    </w:p>
    <w:p w14:paraId="64A93EA6" w14:textId="77777777" w:rsidR="00CE0E7B" w:rsidRDefault="00CE0E7B" w:rsidP="00CE0E7B">
      <w:pPr>
        <w:pStyle w:val="Bibliography"/>
      </w:pPr>
      <w:r>
        <w:t xml:space="preserve">173. </w:t>
      </w:r>
      <w:r>
        <w:tab/>
        <w:t xml:space="preserve">Snoek FJ, Bremmer MA, Hermanns N. Constructs of depression and distress in diabetes: time for an appraisal. Lancet Diabetes Endocrinol. 2015 Jun;3(6):450–60. </w:t>
      </w:r>
    </w:p>
    <w:p w14:paraId="4BD54B4F" w14:textId="77777777" w:rsidR="00CE0E7B" w:rsidRDefault="00CE0E7B" w:rsidP="00CE0E7B">
      <w:pPr>
        <w:pStyle w:val="Bibliography"/>
      </w:pPr>
      <w:r>
        <w:t xml:space="preserve">174. </w:t>
      </w:r>
      <w:r>
        <w:tab/>
        <w:t xml:space="preserve">Pouwer F, Schram MT, Iversen MM, Nouwen A, Holt RIG. How 25 years of psychosocial research has contributed to a better understanding of the links between depression and diabetes. Diabet Med. 2020 Mar;37(3):383–92. </w:t>
      </w:r>
    </w:p>
    <w:p w14:paraId="50B6E9D8" w14:textId="77777777" w:rsidR="00CE0E7B" w:rsidRDefault="00CE0E7B" w:rsidP="00CE0E7B">
      <w:pPr>
        <w:pStyle w:val="Bibliography"/>
      </w:pPr>
      <w:r>
        <w:t xml:space="preserve">175. </w:t>
      </w:r>
      <w:r>
        <w:tab/>
        <w:t xml:space="preserve">Fisher L, Hessler DM, Polonsky WH, Masharani U, Peters AL, Blumer I, et al. Prevalence of depression in Type 1 diabetes and the problem of over-diagnosis. Diabet Med. 2016 Nov;33(11):1590–7. </w:t>
      </w:r>
    </w:p>
    <w:p w14:paraId="1435DCA3" w14:textId="77777777" w:rsidR="00CE0E7B" w:rsidRDefault="00CE0E7B" w:rsidP="00CE0E7B">
      <w:pPr>
        <w:pStyle w:val="Bibliography"/>
      </w:pPr>
      <w:r>
        <w:t xml:space="preserve">176. </w:t>
      </w:r>
      <w:r>
        <w:tab/>
        <w:t xml:space="preserve">Sultan S, Epel E, Sachon C, Vaillant G, Hartemann-Heurtier A. A longitudinal study of coping, anxiety and glycemic control in adults with type 1 diabetes. Psychol Health. 2008;23(1):73–89. </w:t>
      </w:r>
    </w:p>
    <w:p w14:paraId="715E1288" w14:textId="77777777" w:rsidR="00CE0E7B" w:rsidRDefault="00CE0E7B" w:rsidP="00CE0E7B">
      <w:pPr>
        <w:pStyle w:val="Bibliography"/>
      </w:pPr>
      <w:r>
        <w:t xml:space="preserve">177. </w:t>
      </w:r>
      <w:r>
        <w:tab/>
        <w:t xml:space="preserve">Nefs G, Hendrieckx C, Reddy P, Browne JL, Bot M, Dixon J, et al. Comorbid elevated symptoms of anxiety and depression in adults with type 1 or type 2 diabetes: Results from the International Diabetes MILES Study. J Diabetes Complications. 2019 Aug;33(8):523–9. </w:t>
      </w:r>
    </w:p>
    <w:p w14:paraId="40F9E9E3" w14:textId="77777777" w:rsidR="00CE0E7B" w:rsidRDefault="00CE0E7B" w:rsidP="00CE0E7B">
      <w:pPr>
        <w:pStyle w:val="Bibliography"/>
      </w:pPr>
      <w:r>
        <w:t xml:space="preserve">178. </w:t>
      </w:r>
      <w:r>
        <w:tab/>
        <w:t xml:space="preserve">Nano J, Carinci F, Okunade O, Whittaker S, Walbaum M, Barnard-Kelly K, et al. A standard set of person-centred outcomes for diabetes mellitus: results of an international and unified approach. Diabet Med. 2020 Dec;37(12):2009–18. </w:t>
      </w:r>
    </w:p>
    <w:p w14:paraId="4E8E7451" w14:textId="77777777" w:rsidR="00CE0E7B" w:rsidRDefault="00CE0E7B" w:rsidP="00CE0E7B">
      <w:pPr>
        <w:pStyle w:val="Bibliography"/>
      </w:pPr>
      <w:r>
        <w:t xml:space="preserve">179. </w:t>
      </w:r>
      <w:r>
        <w:tab/>
        <w:t xml:space="preserve">Krieger T, Zimmermann J, Huffziger S, Ubl B, Diener C, Kuehner C, et al. Measuring depression with a well-being index: further evidence for the validity of the WHO Well-Being Index (WHO-5) as a measure of the severity of depression. J Affect Disord. 2014 Mar;156:240–4. </w:t>
      </w:r>
    </w:p>
    <w:p w14:paraId="4A1132DF" w14:textId="77777777" w:rsidR="00CE0E7B" w:rsidRDefault="00CE0E7B" w:rsidP="00CE0E7B">
      <w:pPr>
        <w:pStyle w:val="Bibliography"/>
      </w:pPr>
      <w:r>
        <w:t xml:space="preserve">180. </w:t>
      </w:r>
      <w:r>
        <w:tab/>
        <w:t xml:space="preserve">Polonsky WH, Anderson BJ, Lohrer PA, Welch G, Jacobson AM, Aponte JE, et al. Assessment of Diabetes-Related Distress. Diabetes Care. 1995 Jun 1;18(6):754–60. </w:t>
      </w:r>
    </w:p>
    <w:p w14:paraId="10D980FD" w14:textId="77777777" w:rsidR="00CE0E7B" w:rsidRDefault="00CE0E7B" w:rsidP="00CE0E7B">
      <w:pPr>
        <w:pStyle w:val="Bibliography"/>
      </w:pPr>
      <w:r>
        <w:t xml:space="preserve">181. </w:t>
      </w:r>
      <w:r>
        <w:tab/>
        <w:t xml:space="preserve">Kroenke K, Spitzer RL, Williams JB. The PHQ-9: validity of a brief depression severity measure. J Gen Intern Med. 2001 Sep;16(9):606–13. </w:t>
      </w:r>
    </w:p>
    <w:p w14:paraId="03361393" w14:textId="77777777" w:rsidR="00CE0E7B" w:rsidRDefault="00CE0E7B" w:rsidP="00CE0E7B">
      <w:pPr>
        <w:pStyle w:val="Bibliography"/>
      </w:pPr>
      <w:r>
        <w:t xml:space="preserve">182. </w:t>
      </w:r>
      <w:r>
        <w:tab/>
        <w:t xml:space="preserve">Spitzer RL, Kroenke K, Williams JBW, Löwe B. A brief measure for assessing generalized anxiety disorder: the GAD-7. Arch Intern Med. 2006 May 22;166(10):1092–7. </w:t>
      </w:r>
    </w:p>
    <w:p w14:paraId="4C99A194" w14:textId="77777777" w:rsidR="00CE0E7B" w:rsidRDefault="00CE0E7B" w:rsidP="00CE0E7B">
      <w:pPr>
        <w:pStyle w:val="Bibliography"/>
      </w:pPr>
      <w:r>
        <w:t xml:space="preserve">183. </w:t>
      </w:r>
      <w:r>
        <w:tab/>
        <w:t xml:space="preserve">Kroenke K, Spitzer RL, Williams JBW. The Patient Health Questionnaire-2: validity of a two-item depression screener. Med Care. 2003 Nov;41(11):1284–92. </w:t>
      </w:r>
    </w:p>
    <w:p w14:paraId="3CD886EE" w14:textId="77777777" w:rsidR="00CE0E7B" w:rsidRDefault="00CE0E7B" w:rsidP="00CE0E7B">
      <w:pPr>
        <w:pStyle w:val="Bibliography"/>
      </w:pPr>
      <w:r>
        <w:t xml:space="preserve">184. </w:t>
      </w:r>
      <w:r>
        <w:tab/>
        <w:t xml:space="preserve">Kroenke K, Spitzer RL, Williams JBW, Löwe B. An ultra-brief screening scale for anxiety and depression: the PHQ-4. Psychosomatics. 2009 Dec;50(6):613–21. </w:t>
      </w:r>
    </w:p>
    <w:p w14:paraId="59BD32F9" w14:textId="77777777" w:rsidR="00CE0E7B" w:rsidRDefault="00CE0E7B" w:rsidP="00CE0E7B">
      <w:pPr>
        <w:pStyle w:val="Bibliography"/>
      </w:pPr>
      <w:r>
        <w:t xml:space="preserve">185. </w:t>
      </w:r>
      <w:r>
        <w:tab/>
        <w:t xml:space="preserve">McGuire BE, Morrison TG, Hermanns N, Skovlund S, Eldrup E, Gagliardino J, et al. Short-form measures of diabetes-related emotional distress: the Problem Areas in Diabetes Scale (PAID)-5 and PAID-1. Diabetologia. 2010 Jan;53(1):66–9. </w:t>
      </w:r>
    </w:p>
    <w:p w14:paraId="4A59647B" w14:textId="77777777" w:rsidR="00CE0E7B" w:rsidRDefault="00CE0E7B" w:rsidP="00CE0E7B">
      <w:pPr>
        <w:pStyle w:val="Bibliography"/>
      </w:pPr>
      <w:r>
        <w:t xml:space="preserve">186. </w:t>
      </w:r>
      <w:r>
        <w:tab/>
        <w:t xml:space="preserve">Fisher L, Glasgow RE, Mullan JT, Skaff MM, Polonsky WH. Development of a Brief Diabetes Distress Screening Instrument. Ann Fam Med. 2008 May 1;6(3):246–52. </w:t>
      </w:r>
    </w:p>
    <w:p w14:paraId="62709D58" w14:textId="77777777" w:rsidR="00CE0E7B" w:rsidRDefault="00CE0E7B" w:rsidP="00CE0E7B">
      <w:pPr>
        <w:pStyle w:val="Bibliography"/>
      </w:pPr>
      <w:r>
        <w:t xml:space="preserve">187. </w:t>
      </w:r>
      <w:r>
        <w:tab/>
        <w:t xml:space="preserve">Pouwer F, Snoek FJ, van der Ploeg HM, Adèr HJ, Heine RJ. Monitoring of psychological well-being in outpatients with diabetes: effects on mood, HbA(1c), and the patient’s evaluation of the quality of diabetes care: a randomized controlled trial. Diabetes Care. 2001 Nov;24(11):1929–35. </w:t>
      </w:r>
    </w:p>
    <w:p w14:paraId="155130EF" w14:textId="77777777" w:rsidR="00CE0E7B" w:rsidRDefault="00CE0E7B" w:rsidP="00CE0E7B">
      <w:pPr>
        <w:pStyle w:val="Bibliography"/>
      </w:pPr>
      <w:r>
        <w:t xml:space="preserve">188. </w:t>
      </w:r>
      <w:r>
        <w:tab/>
        <w:t xml:space="preserve">Snoek FJ, Kersch NYA, Eldrup E, Harman-Boehm I, Hermanns N, Kokoszka A, et al. Monitoring of Individual Needs in Diabetes (MIND)-2: follow-up data from the cross-national Diabetes Attitudes, Wishes, and Needs (DAWN) MIND study. Diabetes Care. 2012 Nov;35(11):2128–32. </w:t>
      </w:r>
    </w:p>
    <w:p w14:paraId="66CEECE1" w14:textId="77777777" w:rsidR="00CE0E7B" w:rsidRDefault="00CE0E7B" w:rsidP="00CE0E7B">
      <w:pPr>
        <w:pStyle w:val="Bibliography"/>
      </w:pPr>
      <w:r>
        <w:t xml:space="preserve">189. </w:t>
      </w:r>
      <w:r>
        <w:tab/>
        <w:t xml:space="preserve">Wild D, von Maltzahn R, Brohan E, Christensen T, Clauson P, Gonder-Frederick L. A critical review of the literature on fear of hypoglycemia in diabetes: Implications for diabetes management and patient education. Patient Educ Couns. 2007 Sep;68(1):10–5. </w:t>
      </w:r>
    </w:p>
    <w:p w14:paraId="2B626C73" w14:textId="77777777" w:rsidR="00CE0E7B" w:rsidRDefault="00CE0E7B" w:rsidP="00CE0E7B">
      <w:pPr>
        <w:pStyle w:val="Bibliography"/>
      </w:pPr>
      <w:r>
        <w:t xml:space="preserve">190. </w:t>
      </w:r>
      <w:r>
        <w:tab/>
        <w:t>Snoek FJ, Hajos TRS, Rondags SMPA. Psychological Effects of Hypoglycaemia. In: Hypoglycaemia in Clinical Diabetes [Internet]. John Wiley &amp; Sons, Ltd; 2014 [cited 2021 Feb 17]. p. 323–33. Available from: https://onlinelibrary.wiley.com/doi/abs/10.1002/9781118695432.ch16</w:t>
      </w:r>
    </w:p>
    <w:p w14:paraId="79E74327" w14:textId="77777777" w:rsidR="00CE0E7B" w:rsidRDefault="00CE0E7B" w:rsidP="00CE0E7B">
      <w:pPr>
        <w:pStyle w:val="Bibliography"/>
      </w:pPr>
      <w:r>
        <w:t xml:space="preserve">191. </w:t>
      </w:r>
      <w:r>
        <w:tab/>
        <w:t xml:space="preserve">Gonder-Frederick LA, Schmidt KM, Vajda KA, Greear ML, Singh H, Shepard JA, et al. Psychometric properties of the hypoglycemia fear survey-ii for adults with type 1 diabetes. Diabetes Care. 2011 Apr;34(4):801–6. </w:t>
      </w:r>
    </w:p>
    <w:p w14:paraId="38082508" w14:textId="77777777" w:rsidR="00CE0E7B" w:rsidRDefault="00CE0E7B" w:rsidP="00CE0E7B">
      <w:pPr>
        <w:pStyle w:val="Bibliography"/>
      </w:pPr>
      <w:r>
        <w:t xml:space="preserve">192. </w:t>
      </w:r>
      <w:r>
        <w:tab/>
        <w:t xml:space="preserve">Jones JM, Lawson ML, Daneman D, Olmsted MP, Rodin G. Eating disorders in adolescent females with and without type 1 diabetes: cross sectional study. BMJ. 2000 Jun 10;320(7249):1563–6. </w:t>
      </w:r>
    </w:p>
    <w:p w14:paraId="2B81731B" w14:textId="77777777" w:rsidR="00CE0E7B" w:rsidRDefault="00CE0E7B" w:rsidP="00CE0E7B">
      <w:pPr>
        <w:pStyle w:val="Bibliography"/>
      </w:pPr>
      <w:r>
        <w:t xml:space="preserve">193. </w:t>
      </w:r>
      <w:r>
        <w:tab/>
        <w:t xml:space="preserve">Colton PA, Olmsted MP, Daneman D, Farquhar JC, Wong H, Muskat S, et al. Eating Disorders in Girls and Women With Type 1 Diabetes: A Longitudinal Study of Prevalence, Onset, Remission, and Recurrence. Diabetes Care. 2015 Jul 1;38(7):1212–7. </w:t>
      </w:r>
    </w:p>
    <w:p w14:paraId="2029AC6D" w14:textId="77777777" w:rsidR="00CE0E7B" w:rsidRDefault="00CE0E7B" w:rsidP="00CE0E7B">
      <w:pPr>
        <w:pStyle w:val="Bibliography"/>
      </w:pPr>
      <w:r>
        <w:t xml:space="preserve">194. </w:t>
      </w:r>
      <w:r>
        <w:tab/>
        <w:t xml:space="preserve">Luyckx K, Verschueren M, Palmeroni N, Goethals ER, Weets I, Claes L. Disturbed Eating Behaviors in Adolescents and Emerging Adults With Type 1 Diabetes: A One-Year Prospective Study. Diabetes Care. 2019 Sep;42(9):1637–44. </w:t>
      </w:r>
    </w:p>
    <w:p w14:paraId="79C88E5C" w14:textId="77777777" w:rsidR="00CE0E7B" w:rsidRDefault="00CE0E7B" w:rsidP="00CE0E7B">
      <w:pPr>
        <w:pStyle w:val="Bibliography"/>
      </w:pPr>
      <w:r>
        <w:t xml:space="preserve">195. </w:t>
      </w:r>
      <w:r>
        <w:tab/>
        <w:t xml:space="preserve">Wisting L, Reas DL, Bang L, Skrivarhaug T, Dahl-Jørgensen K, Rø Ø. Eating patterns in adolescents with type 1 diabetes: Associations with metabolic control, insulin omission, and eating disorder pathology. Appetite. 2017 Jul 1;114:226–31. </w:t>
      </w:r>
    </w:p>
    <w:p w14:paraId="1E0A6B8A" w14:textId="77777777" w:rsidR="00CE0E7B" w:rsidRDefault="00CE0E7B" w:rsidP="00CE0E7B">
      <w:pPr>
        <w:pStyle w:val="Bibliography"/>
      </w:pPr>
      <w:r>
        <w:t xml:space="preserve">196. </w:t>
      </w:r>
      <w:r>
        <w:tab/>
        <w:t xml:space="preserve">d’Emden H, Holden L, McDermott B, Harris M, Gibbons K, Gledhill A, et al. Disturbed eating behaviours and thoughts in Australian adolescents with type 1 diabetes. J Paediatr Child Health. 2013 Apr;49(4):E317-323. </w:t>
      </w:r>
    </w:p>
    <w:p w14:paraId="10CC5A63" w14:textId="77777777" w:rsidR="00CE0E7B" w:rsidRDefault="00CE0E7B" w:rsidP="00CE0E7B">
      <w:pPr>
        <w:pStyle w:val="Bibliography"/>
      </w:pPr>
      <w:r>
        <w:t xml:space="preserve">197. </w:t>
      </w:r>
      <w:r>
        <w:tab/>
        <w:t xml:space="preserve">Hill-Briggs F, Adler NE, Berkowitz SA, Chin MH, Gary-Webb TL, Navas-Acien A, et al. Social Determinants of Health and Diabetes: A Scientific Review. Diabetes Care. 2020 Nov 2; </w:t>
      </w:r>
    </w:p>
    <w:p w14:paraId="0AB445DC" w14:textId="77777777" w:rsidR="00CE0E7B" w:rsidRDefault="00CE0E7B" w:rsidP="00CE0E7B">
      <w:pPr>
        <w:pStyle w:val="Bibliography"/>
      </w:pPr>
      <w:r>
        <w:t xml:space="preserve">198. </w:t>
      </w:r>
      <w:r>
        <w:tab/>
        <w:t>Tools for Putting SDOH into Action | Social Determinants of Health | CDC [Internet]. 2020 [cited 2021 Feb 18]. Available from: https://www.cdc.gov/socialdeterminants/tools/index.htm</w:t>
      </w:r>
    </w:p>
    <w:p w14:paraId="40E8BDBF" w14:textId="77777777" w:rsidR="00CE0E7B" w:rsidRDefault="00CE0E7B" w:rsidP="00CE0E7B">
      <w:pPr>
        <w:pStyle w:val="Bibliography"/>
      </w:pPr>
      <w:r>
        <w:t xml:space="preserve">199. </w:t>
      </w:r>
      <w:r>
        <w:tab/>
        <w:t>Committee on the Recommended Social and Behavioral Domains and Measures for Electronic Health Records, Board on Population Health and Public Health Practice, Institute of Medicine. Capturing Social and Behavioral Domains and Measures in Electronic Health Records: Phase 2 [Internet]. Washington (DC): National Academies Press (US); 2015 [cited 2019 Oct 25]. Available from: http://www.ncbi.nlm.nih.gov/books/NBK268995/</w:t>
      </w:r>
    </w:p>
    <w:p w14:paraId="3BC42466" w14:textId="77777777" w:rsidR="00CE0E7B" w:rsidRDefault="00CE0E7B" w:rsidP="00CE0E7B">
      <w:pPr>
        <w:pStyle w:val="Bibliography"/>
      </w:pPr>
      <w:r>
        <w:t xml:space="preserve">200. </w:t>
      </w:r>
      <w:r>
        <w:tab/>
        <w:t xml:space="preserve">Social Needs Screening Tool. 2018;2. </w:t>
      </w:r>
    </w:p>
    <w:p w14:paraId="6EB538FD" w14:textId="77777777" w:rsidR="00CE0E7B" w:rsidRDefault="00CE0E7B" w:rsidP="00CE0E7B">
      <w:pPr>
        <w:pStyle w:val="Bibliography"/>
      </w:pPr>
      <w:r>
        <w:t xml:space="preserve">201. </w:t>
      </w:r>
      <w:r>
        <w:tab/>
        <w:t xml:space="preserve">Giuse NB, Koonce TY, Kusnoor SV, Prather AA, Gottlieb LM, Huang L-C, et al. Institute of Medicine Measures of Social and Behavioral Determinants of Health: A Feasibility Study. Am J Prev Med. 2017 Feb;52(2):199–206. </w:t>
      </w:r>
    </w:p>
    <w:p w14:paraId="39583D3E" w14:textId="77777777" w:rsidR="00CE0E7B" w:rsidRDefault="00CE0E7B" w:rsidP="00CE0E7B">
      <w:pPr>
        <w:pStyle w:val="Bibliography"/>
      </w:pPr>
      <w:r>
        <w:t xml:space="preserve">202. </w:t>
      </w:r>
      <w:r>
        <w:tab/>
        <w:t xml:space="preserve">Walker RJ, Garacci E, Palatnik A, Ozieh MN, Egede LE. The Longitudinal Influence of Social Determinants of Health on Glycemic Control in Elderly Adults With Diabetes. Diabetes Care. 2020 Apr;43(4):759–66. </w:t>
      </w:r>
    </w:p>
    <w:p w14:paraId="09324CC4" w14:textId="77777777" w:rsidR="00CE0E7B" w:rsidRDefault="00CE0E7B" w:rsidP="00CE0E7B">
      <w:pPr>
        <w:pStyle w:val="Bibliography"/>
      </w:pPr>
      <w:r>
        <w:t xml:space="preserve">203. </w:t>
      </w:r>
      <w:r>
        <w:tab/>
        <w:t xml:space="preserve">Heller CG, Parsons AS, Chambers EC, Fiori KP, Rehm CD. Social Risks Among Primary Care Patients in a Large Urban Health System. Am J Prev Med. 2020 Apr;58(4):514–25. </w:t>
      </w:r>
    </w:p>
    <w:p w14:paraId="69B7BB7D" w14:textId="77777777" w:rsidR="00CE0E7B" w:rsidRDefault="00CE0E7B" w:rsidP="00CE0E7B">
      <w:pPr>
        <w:pStyle w:val="Bibliography"/>
      </w:pPr>
      <w:r>
        <w:t xml:space="preserve">204. </w:t>
      </w:r>
      <w:r>
        <w:tab/>
        <w:t xml:space="preserve">Young-Hyman D, Groot M de, Hill-Briggs F, Gonzalez JS, Hood K, Peyrot M. Psychosocial Care for People With Diabetes: A Position Statement of the American Diabetes Association. Diabetes Care. 2016 Dec 1;39(12):2126–40. </w:t>
      </w:r>
    </w:p>
    <w:p w14:paraId="48A0A4C5" w14:textId="77777777" w:rsidR="00CE0E7B" w:rsidRDefault="00CE0E7B" w:rsidP="00CE0E7B">
      <w:pPr>
        <w:pStyle w:val="Bibliography"/>
      </w:pPr>
      <w:r>
        <w:t xml:space="preserve">205. </w:t>
      </w:r>
      <w:r>
        <w:tab/>
        <w:t xml:space="preserve">van der Feltz-Cornelis CM, Nuyen J, Stoop C, Chan J, Jacobson AM, Katon W, et al. Effect of interventions for major depressive disorder and significant depressive symptoms in patients with diabetes mellitus: a systematic review and meta-analysis. Gen Hosp Psychiatry. 2010 Aug;32(4):380–95. </w:t>
      </w:r>
    </w:p>
    <w:p w14:paraId="55DDE4CB" w14:textId="77777777" w:rsidR="00CE0E7B" w:rsidRDefault="00CE0E7B" w:rsidP="00CE0E7B">
      <w:pPr>
        <w:pStyle w:val="Bibliography"/>
      </w:pPr>
      <w:r>
        <w:t xml:space="preserve">206. </w:t>
      </w:r>
      <w:r>
        <w:tab/>
        <w:t xml:space="preserve">De Hert M, Dekker JM, Wood D, Kahl KG, Holt RIG, Möller H-J. Cardiovascular disease and diabetes in people with severe mental illness position statement from the European Psychiatric Association (EPA), supported by the European Association for the Study of Diabetes (EASD) and the European Society of Cardiology (ESC). Eur Psychiatry. 2009 Sep;24(6):412–24. </w:t>
      </w:r>
    </w:p>
    <w:p w14:paraId="3C9F27AC" w14:textId="77777777" w:rsidR="00CE0E7B" w:rsidRDefault="00CE0E7B" w:rsidP="00CE0E7B">
      <w:pPr>
        <w:pStyle w:val="Bibliography"/>
      </w:pPr>
      <w:r>
        <w:t xml:space="preserve">207. </w:t>
      </w:r>
      <w:r>
        <w:tab/>
        <w:t xml:space="preserve">Stenov V, Joensen LE, Knudsen L, Lindqvist Hansen D, Willaing Tapager I. “Mental Health Professionals Have Never Mentioned My Diabetes, They Don’t Get Into That”: A Qualitative Study of Support Needs in Adults With Type 1 and Type 2 Diabetes and Severe Mental Illness. Can J Diabetes. 2020 Aug;44(6):494–500. </w:t>
      </w:r>
    </w:p>
    <w:p w14:paraId="40C1C8DA" w14:textId="77777777" w:rsidR="00CE0E7B" w:rsidRDefault="00CE0E7B" w:rsidP="00CE0E7B">
      <w:pPr>
        <w:pStyle w:val="Bibliography"/>
      </w:pPr>
      <w:r>
        <w:t xml:space="preserve">208. </w:t>
      </w:r>
      <w:r>
        <w:tab/>
        <w:t xml:space="preserve">Benoit SR, Hora I, Pasquel FJ, Gregg EW, Albright AL, Imperatore G. Trends in Emergency Department Visits and Inpatient Admissions for Hyperglycemic Crises in Adults With Diabetes in the U.S., 2006-2015. Diabetes Care. 2020 May;43(5):1057–64. </w:t>
      </w:r>
    </w:p>
    <w:p w14:paraId="65432517" w14:textId="77777777" w:rsidR="00CE0E7B" w:rsidRDefault="00CE0E7B" w:rsidP="00CE0E7B">
      <w:pPr>
        <w:pStyle w:val="Bibliography"/>
      </w:pPr>
      <w:r>
        <w:t xml:space="preserve">209. </w:t>
      </w:r>
      <w:r>
        <w:tab/>
        <w:t xml:space="preserve">Kalscheuer H, Seufert J, Lanzinger S, Rosenbauer J, Karges W, Bergis D, et al. Event Rates and Risk Factors for the Development of Diabetic Ketoacidosis in Adult Patients With Type 1 Diabetes: Analysis From the DPV Registry Based on 46,966 Patients. Diabetes Care. 2019 Mar;42(3):e34–6. </w:t>
      </w:r>
    </w:p>
    <w:p w14:paraId="5BF2D1A6" w14:textId="77777777" w:rsidR="00CE0E7B" w:rsidRDefault="00CE0E7B" w:rsidP="00CE0E7B">
      <w:pPr>
        <w:pStyle w:val="Bibliography"/>
      </w:pPr>
      <w:r>
        <w:t xml:space="preserve">210. </w:t>
      </w:r>
      <w:r>
        <w:tab/>
        <w:t xml:space="preserve">Ehrmann D, Kulzer B, Roos T, Haak T, Al-Khatib M, Hermanns N. Risk factors and prevention strategies for diabetic ketoacidosis in people with established type 1 diabetes. Lancet Diabetes Endocrinol. 2020 May;8(5):436–46. </w:t>
      </w:r>
    </w:p>
    <w:p w14:paraId="0D61B589" w14:textId="77777777" w:rsidR="00CE0E7B" w:rsidRDefault="00CE0E7B" w:rsidP="00CE0E7B">
      <w:pPr>
        <w:pStyle w:val="Bibliography"/>
      </w:pPr>
      <w:r>
        <w:t xml:space="preserve">211. </w:t>
      </w:r>
      <w:r>
        <w:tab/>
        <w:t xml:space="preserve">Kinney GL, Akturk HK, Taylor DD, Foster NC, Shah VN. Cannabis Use Is Associated With Increased Risk for Diabetic Ketoacidosis in Adults With Type 1 Diabetes: Findings From the T1D Exchange Clinic Registry. Diabetes Care. 2020 Jan;43(1):247–9. </w:t>
      </w:r>
    </w:p>
    <w:p w14:paraId="787DEF48" w14:textId="77777777" w:rsidR="00CE0E7B" w:rsidRDefault="00CE0E7B" w:rsidP="00CE0E7B">
      <w:pPr>
        <w:pStyle w:val="Bibliography"/>
      </w:pPr>
      <w:r>
        <w:t xml:space="preserve">212. </w:t>
      </w:r>
      <w:r>
        <w:tab/>
        <w:t xml:space="preserve">Hare MJL, Deitch JM, Kang MJY, Bach LA. Clinical, psychological and demographic factors in a contemporary adult cohort with diabetic ketoacidosis and type 1 diabetes. Intern Med J. 2020 May 2; </w:t>
      </w:r>
    </w:p>
    <w:p w14:paraId="125184EF" w14:textId="77777777" w:rsidR="00CE0E7B" w:rsidRDefault="00CE0E7B" w:rsidP="00CE0E7B">
      <w:pPr>
        <w:pStyle w:val="Bibliography"/>
      </w:pPr>
      <w:r>
        <w:t xml:space="preserve">213. </w:t>
      </w:r>
      <w:r>
        <w:tab/>
        <w:t xml:space="preserve">Garg SK, Walker AJ, Hoff HK, D’Souza AO, Gottlieb PA, Chase HP. Glycemic parameters with multiple daily injections using insulin glargine versus insulin pump. Diabetes Technol Ther. 2004 Feb;6(1):9–15. </w:t>
      </w:r>
    </w:p>
    <w:p w14:paraId="5C658E54" w14:textId="77777777" w:rsidR="00CE0E7B" w:rsidRDefault="00CE0E7B" w:rsidP="00CE0E7B">
      <w:pPr>
        <w:pStyle w:val="Bibliography"/>
      </w:pPr>
      <w:r>
        <w:t xml:space="preserve">214. </w:t>
      </w:r>
      <w:r>
        <w:tab/>
        <w:t xml:space="preserve">Hoshina S, Andersen GS, Jørgensen ME, Ridderstråle M, Vistisen D, Andersen HU. Treatment Modality-Dependent Risk of Diabetic Ketoacidosis in Patients with Type 1 Diabetes: Danish Adult Diabetes Database Study. Diabetes Technol Ther. 2018 Mar;20(3):229–34. </w:t>
      </w:r>
    </w:p>
    <w:p w14:paraId="3F120DA0" w14:textId="77777777" w:rsidR="00CE0E7B" w:rsidRDefault="00CE0E7B" w:rsidP="00CE0E7B">
      <w:pPr>
        <w:pStyle w:val="Bibliography"/>
      </w:pPr>
      <w:r>
        <w:t xml:space="preserve">215. </w:t>
      </w:r>
      <w:r>
        <w:tab/>
        <w:t xml:space="preserve">Danne T, Garg S, Peters AL, Buse JB, Mathieu C, Pettus JH, et al. International Consensus on Risk Management of Diabetic Ketoacidosis in Patients With Type 1 Diabetes Treated With Sodium-Glucose Cotransporter (SGLT) Inhibitors. Diabetes Care. 2019 Jun;42(6):1147–54. </w:t>
      </w:r>
    </w:p>
    <w:p w14:paraId="32A17630" w14:textId="77777777" w:rsidR="00CE0E7B" w:rsidRDefault="00CE0E7B" w:rsidP="00CE0E7B">
      <w:pPr>
        <w:pStyle w:val="Bibliography"/>
      </w:pPr>
      <w:r>
        <w:t xml:space="preserve">216. </w:t>
      </w:r>
      <w:r>
        <w:tab/>
        <w:t xml:space="preserve">Goldenberg RM, Gilbert JD, Hramiak IM, Woo VC, Zinman B. Sodium-glucose co-transporter inhibitors, their role in type 1 diabetes treatment and a risk mitigation strategy for preventing diabetic ketoacidosis: The STOP DKA Protocol. Diabetes Obes Metab. 2019 Oct;21(10):2192–202. </w:t>
      </w:r>
    </w:p>
    <w:p w14:paraId="773FD8B7" w14:textId="77777777" w:rsidR="00CE0E7B" w:rsidRDefault="00CE0E7B" w:rsidP="00CE0E7B">
      <w:pPr>
        <w:pStyle w:val="Bibliography"/>
      </w:pPr>
      <w:r>
        <w:t xml:space="preserve">217. </w:t>
      </w:r>
      <w:r>
        <w:tab/>
        <w:t xml:space="preserve">Peters AL, Buschur EO, Buse JB, Cohan P, Diner JC, Hirsch IB. Euglycemic Diabetic Ketoacidosis: A Potential Complication of Treatment With Sodium-Glucose Cotransporter 2 Inhibition. Diabetes Care. 2015 Jun 15; </w:t>
      </w:r>
    </w:p>
    <w:p w14:paraId="6769D70B" w14:textId="77777777" w:rsidR="00CE0E7B" w:rsidRDefault="00CE0E7B" w:rsidP="00CE0E7B">
      <w:pPr>
        <w:pStyle w:val="Bibliography"/>
      </w:pPr>
      <w:r>
        <w:t xml:space="preserve">218. </w:t>
      </w:r>
      <w:r>
        <w:tab/>
        <w:t xml:space="preserve">Dhatariya KK, Vellanki P. Treatment of Diabetic Ketoacidosis (DKA)/Hyperglycemic Hyperosmolar State (HHS): Novel Advances in the Management of Hyperglycemic Crises (UK Versus USA). Curr Diab Rep. 2017 May;17(5):33. </w:t>
      </w:r>
    </w:p>
    <w:p w14:paraId="626BB6DB" w14:textId="77777777" w:rsidR="00CE0E7B" w:rsidRDefault="00CE0E7B" w:rsidP="00CE0E7B">
      <w:pPr>
        <w:pStyle w:val="Bibliography"/>
      </w:pPr>
      <w:r>
        <w:t xml:space="preserve">219. </w:t>
      </w:r>
      <w:r>
        <w:tab/>
        <w:t xml:space="preserve">Kitabchi AE, Umpierrez GE, Fisher JN, Murphy MB, Stentz FB. Thirty years of personal experience in hyperglycemic crises: diabetic ketoacidosis and hyperglycemic hyperosmolar state. J Clin Endocrinol Metab. 2008 May;93(5):1541–52. </w:t>
      </w:r>
    </w:p>
    <w:p w14:paraId="5952E50C" w14:textId="77777777" w:rsidR="00CE0E7B" w:rsidRDefault="00CE0E7B" w:rsidP="00CE0E7B">
      <w:pPr>
        <w:pStyle w:val="Bibliography"/>
      </w:pPr>
      <w:r>
        <w:t xml:space="preserve">220. </w:t>
      </w:r>
      <w:r>
        <w:tab/>
        <w:t xml:space="preserve">Savage MW, Dhatariya KK, Kilvert A, Rayman G, Rees J a. E, Courtney CH, et al. Joint British Diabetes Societies guideline for the management of diabetic ketoacidosis. Diabet Med. 2011 May;28(5):508–15. </w:t>
      </w:r>
    </w:p>
    <w:p w14:paraId="5C29D001" w14:textId="77777777" w:rsidR="00CE0E7B" w:rsidRDefault="00CE0E7B" w:rsidP="00CE0E7B">
      <w:pPr>
        <w:pStyle w:val="Bibliography"/>
      </w:pPr>
      <w:r>
        <w:t xml:space="preserve">221. </w:t>
      </w:r>
      <w:r>
        <w:tab/>
        <w:t xml:space="preserve">Umpierrez G, Korytkowski M. Diabetic emergencies - ketoacidosis, hyperglycaemic hyperosmolar state and hypoglycaemia. Nat Rev Endocrinol. 2016 Apr;12(4):222–32. </w:t>
      </w:r>
    </w:p>
    <w:p w14:paraId="4B1D9D9D" w14:textId="77777777" w:rsidR="00CE0E7B" w:rsidRDefault="00CE0E7B" w:rsidP="00CE0E7B">
      <w:pPr>
        <w:pStyle w:val="Bibliography"/>
      </w:pPr>
      <w:r>
        <w:t xml:space="preserve">222. </w:t>
      </w:r>
      <w:r>
        <w:tab/>
        <w:t xml:space="preserve">Gruessner RWG, Gruessner AC. The current state of pancreas transplantation. Nat Rev Endocrinol. 2013 Sep;9(9):555–62. </w:t>
      </w:r>
    </w:p>
    <w:p w14:paraId="4A34756A" w14:textId="77777777" w:rsidR="00CE0E7B" w:rsidRDefault="00CE0E7B" w:rsidP="00CE0E7B">
      <w:pPr>
        <w:pStyle w:val="Bibliography"/>
      </w:pPr>
      <w:r>
        <w:t xml:space="preserve">223. </w:t>
      </w:r>
      <w:r>
        <w:tab/>
        <w:t xml:space="preserve">Barton FB, Rickels MR, Alejandro R, Hering BJ, Wease S, Naziruddin B, et al. Improvement in outcomes of clinical islet transplantation: 1999-2010. Diabetes Care. 2012 Jul;35(7):1436–45. </w:t>
      </w:r>
    </w:p>
    <w:p w14:paraId="59893421" w14:textId="77777777" w:rsidR="00CE0E7B" w:rsidRDefault="00CE0E7B" w:rsidP="00CE0E7B">
      <w:pPr>
        <w:pStyle w:val="Bibliography"/>
      </w:pPr>
      <w:r>
        <w:t xml:space="preserve">224. </w:t>
      </w:r>
      <w:r>
        <w:tab/>
        <w:t xml:space="preserve">Niclauss N, Morel P, Berney T. Has the gap between pancreas and islet transplantation closed? Transplantation. 2014 Sep 27;98(6):593–9. </w:t>
      </w:r>
    </w:p>
    <w:p w14:paraId="7FA1C0E8" w14:textId="77777777" w:rsidR="00CE0E7B" w:rsidRDefault="00CE0E7B" w:rsidP="00CE0E7B">
      <w:pPr>
        <w:pStyle w:val="Bibliography"/>
      </w:pPr>
      <w:r>
        <w:t xml:space="preserve">225. </w:t>
      </w:r>
      <w:r>
        <w:tab/>
        <w:t xml:space="preserve">Bassi R, Fiorina P. Impact of islet transplantation on diabetes complications and quality of life. Curr Diab Rep. 2011 Oct;11(5):355–63. </w:t>
      </w:r>
    </w:p>
    <w:p w14:paraId="7B728C33" w14:textId="77777777" w:rsidR="00CE0E7B" w:rsidRDefault="00CE0E7B" w:rsidP="00CE0E7B">
      <w:pPr>
        <w:pStyle w:val="Bibliography"/>
      </w:pPr>
      <w:r>
        <w:t xml:space="preserve">226. </w:t>
      </w:r>
      <w:r>
        <w:tab/>
        <w:t xml:space="preserve">Thompson DM, Meloche M, Ao Z, Paty B, Keown P, Shapiro RJ, et al. Reduced progression of diabetic microvascular complications with islet cell transplantation compared with intensive medical therapy. Transplantation. 2011 Feb 15;91(3):373–8. </w:t>
      </w:r>
    </w:p>
    <w:p w14:paraId="74796D8C" w14:textId="77777777" w:rsidR="00CE0E7B" w:rsidRDefault="00CE0E7B" w:rsidP="00CE0E7B">
      <w:pPr>
        <w:pStyle w:val="Bibliography"/>
      </w:pPr>
      <w:r>
        <w:t xml:space="preserve">227. </w:t>
      </w:r>
      <w:r>
        <w:tab/>
        <w:t>Speight J, Woodcock AJ, Reaney MD, Amiel SA, Johnson P, Parrott N, et al. Well, I Wouldn’t be Any Worse Off, Would I, Than I am Now? A Qualitative Study of Decision-Making, Hopes, and Realities of Adults With Type 1 Diabetes Undergoing Islet Cell Transplantation. Transplant Direct [Internet]. 2016 Apr 21 [cited 2021 Jun 10];2(5). Available from: https://www.ncbi.nlm.nih.gov/pmc/articles/PMC4946514/</w:t>
      </w:r>
    </w:p>
    <w:p w14:paraId="716C78C9" w14:textId="77777777" w:rsidR="00CE0E7B" w:rsidRDefault="00CE0E7B" w:rsidP="00CE0E7B">
      <w:pPr>
        <w:pStyle w:val="Bibliography"/>
      </w:pPr>
      <w:r>
        <w:t xml:space="preserve">228. </w:t>
      </w:r>
      <w:r>
        <w:tab/>
        <w:t xml:space="preserve">Gruessner AC, Sutherland DER, Gruessner RWG. Long-term outcome after pancreas transplantation. Curr Opin Organ Transplant. 2012 Feb;17(1):100–5. </w:t>
      </w:r>
    </w:p>
    <w:p w14:paraId="6962AAA2" w14:textId="77777777" w:rsidR="00CE0E7B" w:rsidRDefault="00CE0E7B" w:rsidP="00CE0E7B">
      <w:pPr>
        <w:pStyle w:val="Bibliography"/>
      </w:pPr>
      <w:r>
        <w:t xml:space="preserve">229. </w:t>
      </w:r>
      <w:r>
        <w:tab/>
        <w:t xml:space="preserve">Sollinger HW, Odorico JS, Becker YT, D’Alessandro AM, Pirsch JD. One thousand simultaneous pancreas-kidney transplants at a single center with 22-year follow-up. Ann Surg. 2009 Oct;250(4):618–30. </w:t>
      </w:r>
    </w:p>
    <w:p w14:paraId="0938ED2F" w14:textId="77777777" w:rsidR="00CE0E7B" w:rsidRDefault="00CE0E7B" w:rsidP="00CE0E7B">
      <w:pPr>
        <w:pStyle w:val="Bibliography"/>
      </w:pPr>
      <w:r>
        <w:t xml:space="preserve">230. </w:t>
      </w:r>
      <w:r>
        <w:tab/>
        <w:t xml:space="preserve">Lehmann R, Graziano J, Brockmann J, Pfammatter T, Kron P, de Rougemont O, et al. Glycemic Control in Simultaneous Islet-Kidney Versus Pancreas-Kidney Transplantation in Type 1 Diabetes: A Prospective 13-Year Follow-up. Diabetes Care. 2015 May;38(5):752–9. </w:t>
      </w:r>
    </w:p>
    <w:p w14:paraId="67EFDFDD" w14:textId="77777777" w:rsidR="00CE0E7B" w:rsidRDefault="00CE0E7B" w:rsidP="00CE0E7B">
      <w:pPr>
        <w:pStyle w:val="Bibliography"/>
      </w:pPr>
      <w:r>
        <w:t xml:space="preserve">231. </w:t>
      </w:r>
      <w:r>
        <w:tab/>
        <w:t xml:space="preserve">Kandaswamy R, Sutherland DER. Pancreas versus islet transplantation in diabetes mellitus: How to allocate deceased donor pancreata? Transplant Proc. 2006 Mar;38(2):365–7. </w:t>
      </w:r>
    </w:p>
    <w:p w14:paraId="786C1F89" w14:textId="77777777" w:rsidR="00CE0E7B" w:rsidRDefault="00CE0E7B" w:rsidP="00CE0E7B">
      <w:pPr>
        <w:pStyle w:val="Bibliography"/>
      </w:pPr>
      <w:r>
        <w:t xml:space="preserve">232. </w:t>
      </w:r>
      <w:r>
        <w:tab/>
        <w:t xml:space="preserve">Robertson P, Davis C, Larsen J, Stratta R, Sutherland DER, American Diabetes Association. Pancreas transplantation in type 1 diabetes. Diabetes Care. 2004 Jan;27 Suppl 1:S105. </w:t>
      </w:r>
    </w:p>
    <w:p w14:paraId="6702CD71" w14:textId="77777777" w:rsidR="00CE0E7B" w:rsidRDefault="00CE0E7B" w:rsidP="00CE0E7B">
      <w:pPr>
        <w:pStyle w:val="Bibliography"/>
      </w:pPr>
      <w:r>
        <w:t xml:space="preserve">233. </w:t>
      </w:r>
      <w:r>
        <w:tab/>
        <w:t xml:space="preserve">Ryan EA, Shandro T, Green K, Paty BW, Senior PA, Bigam D, et al. Assessment of the severity of hypoglycemia and glycemic lability in type 1 diabetic subjects undergoing islet transplantation. Diabetes. 2004 Apr;53(4):955–62. </w:t>
      </w:r>
    </w:p>
    <w:p w14:paraId="71905FDC" w14:textId="77777777" w:rsidR="00CE0E7B" w:rsidRDefault="00CE0E7B" w:rsidP="00CE0E7B">
      <w:pPr>
        <w:pStyle w:val="Bibliography"/>
      </w:pPr>
      <w:r>
        <w:t xml:space="preserve">234. </w:t>
      </w:r>
      <w:r>
        <w:tab/>
        <w:t xml:space="preserve">Senior PA, Bellin MD, Alejandro R, Yankey JW, Clarke WR, Qidwai JC, et al. Consistency of quantitative scores of hypoglycemia severity and glycemic lability and comparison with continuous glucose monitoring system measures in long-standing type 1 diabetes. Diabetes Technol Ther. 2015 Apr;17(4):235–42. </w:t>
      </w:r>
    </w:p>
    <w:p w14:paraId="4ABA65C5" w14:textId="77777777" w:rsidR="00CE0E7B" w:rsidRDefault="00CE0E7B" w:rsidP="00CE0E7B">
      <w:pPr>
        <w:pStyle w:val="Bibliography"/>
      </w:pPr>
      <w:r>
        <w:t xml:space="preserve">235. </w:t>
      </w:r>
      <w:r>
        <w:tab/>
        <w:t xml:space="preserve">Bellin MD, Barton FB, Heitman A, Harmon JV, Kandaswamy R, Balamurugan AN, et al. Potent induction immunotherapy promotes long-term insulin independence after islet transplantation in type 1 diabetes. Am J Transplant. 2012 Jun;12(6):1576–83. </w:t>
      </w:r>
    </w:p>
    <w:p w14:paraId="6BDF114D" w14:textId="77777777" w:rsidR="00CE0E7B" w:rsidRDefault="00CE0E7B" w:rsidP="00CE0E7B">
      <w:pPr>
        <w:pStyle w:val="Bibliography"/>
      </w:pPr>
      <w:r>
        <w:t xml:space="preserve">236. </w:t>
      </w:r>
      <w:r>
        <w:tab/>
        <w:t xml:space="preserve">Qi M, Kinzer K, Danielson KK, Martellotto J, Barbaro B, Wang Y, et al. Five-year follow-up of patients with type 1 diabetes transplanted with allogeneic islets: the UIC experience. Acta Diabetol. 2014 Oct;51(5):833–43. </w:t>
      </w:r>
    </w:p>
    <w:p w14:paraId="67A7B5E6" w14:textId="77777777" w:rsidR="00CE0E7B" w:rsidRDefault="00CE0E7B" w:rsidP="00CE0E7B">
      <w:pPr>
        <w:pStyle w:val="Bibliography"/>
      </w:pPr>
      <w:r>
        <w:t xml:space="preserve">237. </w:t>
      </w:r>
      <w:r>
        <w:tab/>
        <w:t>Clinical Islet Transplantation Study (CIT) [Internet]. [cited 2021 Feb 11]. Available from: https://www.isletstudy.org/</w:t>
      </w:r>
    </w:p>
    <w:p w14:paraId="27FA2D5F" w14:textId="77777777" w:rsidR="00CE0E7B" w:rsidRDefault="00CE0E7B" w:rsidP="00CE0E7B">
      <w:pPr>
        <w:pStyle w:val="Bibliography"/>
      </w:pPr>
      <w:r>
        <w:t xml:space="preserve">238. </w:t>
      </w:r>
      <w:r>
        <w:tab/>
        <w:t xml:space="preserve">O’Connell PJ, Holmes-Walker DJ, Goodman D, Hawthorne WJ, Loudovaris T, Gunton JE, et al. Multicenter Australian trial of islet transplantation: improving accessibility and outcomes. Am J Transplant. 2013 Jul;13(7):1850–8. </w:t>
      </w:r>
    </w:p>
    <w:p w14:paraId="43AB4FCE" w14:textId="77777777" w:rsidR="00CE0E7B" w:rsidRDefault="00CE0E7B" w:rsidP="00CE0E7B">
      <w:pPr>
        <w:pStyle w:val="Bibliography"/>
      </w:pPr>
      <w:r>
        <w:t xml:space="preserve">239. </w:t>
      </w:r>
      <w:r>
        <w:tab/>
        <w:t xml:space="preserve">Brooks AM, Walker N, Aldibbiat A, Hughes S, Jones G, de Havilland J, et al. Attainment of metabolic goals in the integrated UK islet transplant program with locally isolated and transported preparations. Am J Transplant. 2013 Dec;13(12):3236–43. </w:t>
      </w:r>
    </w:p>
    <w:p w14:paraId="1E2177D1" w14:textId="77777777" w:rsidR="00CE0E7B" w:rsidRDefault="00CE0E7B" w:rsidP="00CE0E7B">
      <w:pPr>
        <w:pStyle w:val="Bibliography"/>
      </w:pPr>
      <w:r>
        <w:t xml:space="preserve">240. </w:t>
      </w:r>
      <w:r>
        <w:tab/>
        <w:t xml:space="preserve">Speight J, Reaney MD, Woodcock AJ, Smith RM, Shaw J a. M. Patient-reported outcomes following islet cell or pancreas transplantation (alone or after kidney) in Type 1 diabetes: a systematic review. Diabet Med. 2010 Jul;27(7):812–22. </w:t>
      </w:r>
    </w:p>
    <w:p w14:paraId="04FE4893" w14:textId="77777777" w:rsidR="00CE0E7B" w:rsidRDefault="00CE0E7B" w:rsidP="00CE0E7B">
      <w:pPr>
        <w:pStyle w:val="Bibliography"/>
      </w:pPr>
      <w:r>
        <w:t xml:space="preserve">241. </w:t>
      </w:r>
      <w:r>
        <w:tab/>
        <w:t xml:space="preserve">Choudhary P, Rickels MR, Senior PA, Vantyghem M-C, Maffi P, Kay TW, et al. Evidence-informed clinical practice recommendations for treatment of type 1 diabetes complicated by problematic hypoglycemia. Diabetes Care. 2015 Jun;38(6):1016–29. </w:t>
      </w:r>
    </w:p>
    <w:p w14:paraId="2A32D2FF" w14:textId="77777777" w:rsidR="00CE0E7B" w:rsidRDefault="00CE0E7B" w:rsidP="00CE0E7B">
      <w:pPr>
        <w:pStyle w:val="Bibliography"/>
      </w:pPr>
      <w:r>
        <w:t xml:space="preserve">242. </w:t>
      </w:r>
      <w:r>
        <w:tab/>
        <w:t xml:space="preserve">Lablanche S, Vantyghem M-C, Kessler L, Wojtusciszyn A, Borot S, Thivolet C, et al. Islet transplantation versus insulin therapy in patients with type 1 diabetes with severe hypoglycaemia or poorly controlled glycaemia after kidney transplantation (TRIMECO): a multicentre, randomised controlled trial. Lancet Diabetes Endocrinol. 2018 Jul;6(7):527–37. </w:t>
      </w:r>
    </w:p>
    <w:p w14:paraId="7AD53ED3" w14:textId="77777777" w:rsidR="00CE0E7B" w:rsidRDefault="00CE0E7B" w:rsidP="00CE0E7B">
      <w:pPr>
        <w:pStyle w:val="Bibliography"/>
      </w:pPr>
      <w:r>
        <w:t xml:space="preserve">243. </w:t>
      </w:r>
      <w:r>
        <w:tab/>
        <w:t xml:space="preserve">Snaith JR, Holmes-Walker DJ, Greenfield JR. Reducing Type 1 Diabetes Mortality: Role for Adjunctive Therapies? Trends Endocrinol Metab. 2020 Feb;31(2):150–64. </w:t>
      </w:r>
    </w:p>
    <w:p w14:paraId="61D81BB6" w14:textId="77777777" w:rsidR="00CE0E7B" w:rsidRDefault="00CE0E7B" w:rsidP="00CE0E7B">
      <w:pPr>
        <w:pStyle w:val="Bibliography"/>
      </w:pPr>
      <w:r>
        <w:t xml:space="preserve">244. </w:t>
      </w:r>
      <w:r>
        <w:tab/>
        <w:t xml:space="preserve">Liu Y-S, Chen C-N, Chen Z-G, Peng Y, Lin X-P, Xu L-L. Vascular and metabolic effects of metformin added to insulin therapy in patients with type 1 diabetes: A systematic review and meta-analysis. Diabetes Metab Res Rev. 2020 Sep;36(6):e3334. </w:t>
      </w:r>
    </w:p>
    <w:p w14:paraId="3AAC0715" w14:textId="77777777" w:rsidR="00CE0E7B" w:rsidRDefault="00CE0E7B" w:rsidP="00CE0E7B">
      <w:pPr>
        <w:pStyle w:val="Bibliography"/>
      </w:pPr>
      <w:r>
        <w:t xml:space="preserve">245. </w:t>
      </w:r>
      <w:r>
        <w:tab/>
        <w:t xml:space="preserve">Petrie JR, Chaturvedi N, Ford I, Brouwers MCGJ, Greenlaw N, Tillin T, et al. Cardiovascular and metabolic effects of metformin in patients with type 1 diabetes (REMOVAL): a double-blind, randomised, placebo-controlled trial. The Lancet Diabetes &amp; Endocrinology. 2017 Aug 1;5(8):597–609. </w:t>
      </w:r>
    </w:p>
    <w:p w14:paraId="74989508" w14:textId="77777777" w:rsidR="00CE0E7B" w:rsidRDefault="00CE0E7B" w:rsidP="00CE0E7B">
      <w:pPr>
        <w:pStyle w:val="Bibliography"/>
      </w:pPr>
      <w:r>
        <w:t xml:space="preserve">246. </w:t>
      </w:r>
      <w:r>
        <w:tab/>
        <w:t xml:space="preserve">Kong MF, King P, Macdonald IA, Stubbs TA, Perkins AC, Blackshaw PE, et al. Infusion of pramlintide, a human amylin analogue, delays gastric emptying in men with IDDM. Diabetologia. 1997 Jan;40(1):82–8. </w:t>
      </w:r>
    </w:p>
    <w:p w14:paraId="1C9A3D08" w14:textId="77777777" w:rsidR="00CE0E7B" w:rsidRDefault="00CE0E7B" w:rsidP="00CE0E7B">
      <w:pPr>
        <w:pStyle w:val="Bibliography"/>
      </w:pPr>
      <w:r>
        <w:t xml:space="preserve">247. </w:t>
      </w:r>
      <w:r>
        <w:tab/>
        <w:t xml:space="preserve">Kong MF, Stubbs TA, King P, Macdonald IA, Lambourne JE, Blackshaw PE, et al. The effect of single doses of pramlintide on gastric emptying of two meals in men with IDDM. Diabetologia. 1998 May;41(5):577–83. </w:t>
      </w:r>
    </w:p>
    <w:p w14:paraId="64242FC0" w14:textId="77777777" w:rsidR="00CE0E7B" w:rsidRDefault="00CE0E7B" w:rsidP="00CE0E7B">
      <w:pPr>
        <w:pStyle w:val="Bibliography"/>
      </w:pPr>
      <w:r>
        <w:t xml:space="preserve">248. </w:t>
      </w:r>
      <w:r>
        <w:tab/>
        <w:t xml:space="preserve">Fineman MS, Koda JE, Shen LZ, Strobel SA, Maggs DG, Weyer C, et al. The human amylin analog, pramlintide, corrects postprandial hyperglucagonemia in patients with type 1 diabetes. Metabolism. 2002 May;51(5):636–41. </w:t>
      </w:r>
    </w:p>
    <w:p w14:paraId="5B48BC67" w14:textId="77777777" w:rsidR="00CE0E7B" w:rsidRDefault="00CE0E7B" w:rsidP="00CE0E7B">
      <w:pPr>
        <w:pStyle w:val="Bibliography"/>
      </w:pPr>
      <w:r>
        <w:t xml:space="preserve">249. </w:t>
      </w:r>
      <w:r>
        <w:tab/>
        <w:t xml:space="preserve">Chapman I, Parker B, Doran S, Feinle-Bisset C, Wishart J, Strobel S, et al. Effect of pramlintide on satiety and food intake in obese subjects and subjects with type 2 diabetes. Diabetologia. 2005 May;48(5):838–48. </w:t>
      </w:r>
    </w:p>
    <w:p w14:paraId="1070AB97" w14:textId="77777777" w:rsidR="00CE0E7B" w:rsidRDefault="00CE0E7B" w:rsidP="00CE0E7B">
      <w:pPr>
        <w:pStyle w:val="Bibliography"/>
      </w:pPr>
      <w:r>
        <w:t xml:space="preserve">250. </w:t>
      </w:r>
      <w:r>
        <w:tab/>
        <w:t xml:space="preserve">Whitehouse F, Kruger DF, Fineman M, Shen L, Ruggles JA, Maggs DG, et al. A randomized study and open-label extension evaluating the long-term efficacy of pramlintide as an adjunct to insulin therapy in type 1 diabetes. Diabetes Care. 2002 Apr;25(4):724–30. </w:t>
      </w:r>
    </w:p>
    <w:p w14:paraId="4D73701C" w14:textId="77777777" w:rsidR="00CE0E7B" w:rsidRDefault="00CE0E7B" w:rsidP="00CE0E7B">
      <w:pPr>
        <w:pStyle w:val="Bibliography"/>
      </w:pPr>
      <w:r>
        <w:t xml:space="preserve">251. </w:t>
      </w:r>
      <w:r>
        <w:tab/>
        <w:t xml:space="preserve">Ratner RE, Want LL, Fineman MS, Velte MJ, Ruggles JA, Gottlieb A, et al. Adjunctive therapy with the amylin analogue pramlintide leads to a combined improvement in glycemic and weight control in insulin-treated subjects with type 2 diabetes. Diabetes Technol Ther. 2002;4(1):51–61. </w:t>
      </w:r>
    </w:p>
    <w:p w14:paraId="60A0BB1C" w14:textId="77777777" w:rsidR="00CE0E7B" w:rsidRDefault="00CE0E7B" w:rsidP="00CE0E7B">
      <w:pPr>
        <w:pStyle w:val="Bibliography"/>
      </w:pPr>
      <w:r>
        <w:t xml:space="preserve">252. </w:t>
      </w:r>
      <w:r>
        <w:tab/>
        <w:t xml:space="preserve">Hollander PA, Levy P, Fineman MS, Maggs DG, Shen LZ, Strobel SA, et al. Pramlintide as an adjunct to insulin therapy improves long-term glycemic and weight control in patients with type 2 diabetes: a 1-year randomized controlled trial. Diabetes Care. 2003 Mar;26(3):784–90. </w:t>
      </w:r>
    </w:p>
    <w:p w14:paraId="11371251" w14:textId="77777777" w:rsidR="00CE0E7B" w:rsidRDefault="00CE0E7B" w:rsidP="00CE0E7B">
      <w:pPr>
        <w:pStyle w:val="Bibliography"/>
      </w:pPr>
      <w:r>
        <w:t xml:space="preserve">253. </w:t>
      </w:r>
      <w:r>
        <w:tab/>
        <w:t xml:space="preserve">Ratner RE, Dickey R, Fineman M, Maggs DG, Shen L, Strobel SA, et al. Amylin replacement with pramlintide as an adjunct to insulin therapy improves long-term glycaemic and weight control in Type 1 diabetes mellitus: a 1-year, randomized controlled trial. Diabet Med. 2004 Nov;21(11):1204–12. </w:t>
      </w:r>
    </w:p>
    <w:p w14:paraId="08C66B8C" w14:textId="77777777" w:rsidR="00CE0E7B" w:rsidRDefault="00CE0E7B" w:rsidP="00CE0E7B">
      <w:pPr>
        <w:pStyle w:val="Bibliography"/>
      </w:pPr>
      <w:r>
        <w:t xml:space="preserve">254. </w:t>
      </w:r>
      <w:r>
        <w:tab/>
        <w:t xml:space="preserve">von Herrath M, Bain SC, Bode B, Clausen JO, Coppieters K, Gaysina L, et al. Anti-interleukin-21 antibody and liraglutide for the preservation of β-cell function in adults with recent-onset type 1 diabetes: a randomised, double-blind, placebo-controlled, phase 2 trial. Lancet Diabetes Endocrinol. 2021 Apr;9(4):212–24. </w:t>
      </w:r>
    </w:p>
    <w:p w14:paraId="3F187D3A" w14:textId="77777777" w:rsidR="00CE0E7B" w:rsidRDefault="00CE0E7B" w:rsidP="00CE0E7B">
      <w:pPr>
        <w:pStyle w:val="Bibliography"/>
      </w:pPr>
      <w:r>
        <w:t xml:space="preserve">255. </w:t>
      </w:r>
      <w:r>
        <w:tab/>
        <w:t xml:space="preserve">Nauck MA, Meier JJ. GLP-1 receptor agonists in type 1 diabetes: a MAG1C bullet? Lancet Diabetes Endocrinol. 2020 Apr;8(4):262–4. </w:t>
      </w:r>
    </w:p>
    <w:p w14:paraId="2988E9B9" w14:textId="77777777" w:rsidR="00CE0E7B" w:rsidRDefault="00CE0E7B" w:rsidP="00CE0E7B">
      <w:pPr>
        <w:pStyle w:val="Bibliography"/>
      </w:pPr>
      <w:r>
        <w:t xml:space="preserve">256. </w:t>
      </w:r>
      <w:r>
        <w:tab/>
        <w:t xml:space="preserve">Mathieu C, Zinman B, Hemmingsson JU, Woo V, Colman P, Christiansen E, et al. Efficacy and Safety of Liraglutide Added to Insulin Treatment in Type 1 Diabetes: The ADJUNCT ONE Treat-To-Target Randomized Trial. Diabetes Care. 2016 Oct;39(10):1702–10. </w:t>
      </w:r>
    </w:p>
    <w:p w14:paraId="047B14E9" w14:textId="77777777" w:rsidR="00CE0E7B" w:rsidRDefault="00CE0E7B" w:rsidP="00CE0E7B">
      <w:pPr>
        <w:pStyle w:val="Bibliography"/>
      </w:pPr>
      <w:r>
        <w:t xml:space="preserve">257. </w:t>
      </w:r>
      <w:r>
        <w:tab/>
        <w:t xml:space="preserve">Ahrén B, Hirsch IB, Pieber TR, Mathieu C, Gómez-Peralta F, Hansen TK, et al. Efficacy and Safety of Liraglutide Added to Capped Insulin Treatment in Subjects With Type 1 Diabetes: The ADJUNCT TWO Randomized Trial. Diabetes Care. 2016 Oct;39(10):1693–701. </w:t>
      </w:r>
    </w:p>
    <w:p w14:paraId="00DDD2B0" w14:textId="77777777" w:rsidR="00CE0E7B" w:rsidRDefault="00CE0E7B" w:rsidP="00CE0E7B">
      <w:pPr>
        <w:pStyle w:val="Bibliography"/>
      </w:pPr>
      <w:r>
        <w:t xml:space="preserve">258. </w:t>
      </w:r>
      <w:r>
        <w:tab/>
        <w:t xml:space="preserve">Sheahan KH, Wahlberg EA, Gilbert MP. An overview of GLP-1 agonists and recent cardiovascular outcomes trials. Postgrad Med J. 2020 Mar;96(1133):156–61. </w:t>
      </w:r>
    </w:p>
    <w:p w14:paraId="58E86B93" w14:textId="77777777" w:rsidR="00CE0E7B" w:rsidRDefault="00CE0E7B" w:rsidP="00CE0E7B">
      <w:pPr>
        <w:pStyle w:val="Bibliography"/>
      </w:pPr>
      <w:r>
        <w:t xml:space="preserve">259. </w:t>
      </w:r>
      <w:r>
        <w:tab/>
        <w:t xml:space="preserve">Wilding JPH, Batterham RL, Calanna S, Davies M, Van Gaal LF, Lingvay I, et al. Once-Weekly Semaglutide in Adults with Overweight or Obesity. N Engl J Med. 2021 Mar 18;384(11):989. </w:t>
      </w:r>
    </w:p>
    <w:p w14:paraId="6773C4BC" w14:textId="77777777" w:rsidR="00CE0E7B" w:rsidRDefault="00CE0E7B" w:rsidP="00CE0E7B">
      <w:pPr>
        <w:pStyle w:val="Bibliography"/>
      </w:pPr>
      <w:r>
        <w:t xml:space="preserve">260. </w:t>
      </w:r>
      <w:r>
        <w:tab/>
        <w:t xml:space="preserve">Taylor SI, Blau JE, Rother KI, Beitelshees AL. SGLT2 inhibitors as adjunctive therapy for type 1 diabetes: balancing benefits and risks. Lancet Diabetes Endocrinol. 2019 Dec;7(12):949–58. </w:t>
      </w:r>
    </w:p>
    <w:p w14:paraId="5F4F5FE6" w14:textId="77777777" w:rsidR="00CE0E7B" w:rsidRDefault="00CE0E7B" w:rsidP="00CE0E7B">
      <w:pPr>
        <w:pStyle w:val="Bibliography"/>
      </w:pPr>
      <w:r>
        <w:t xml:space="preserve">261. </w:t>
      </w:r>
      <w:r>
        <w:tab/>
        <w:t xml:space="preserve">Zelniker TA, Wiviott SD, Raz I, Im K, Goodrich EL, Bonaca MP, et al. SGLT2 inhibitors for primary and secondary prevention of cardiovascular and renal outcomes in type 2 diabetes: a systematic review and meta-analysis of cardiovascular outcome trials. The Lancet. 2019 Jan 5;393(10166):31–9. </w:t>
      </w:r>
    </w:p>
    <w:p w14:paraId="031EE136" w14:textId="77777777" w:rsidR="00CE0E7B" w:rsidRDefault="00CE0E7B" w:rsidP="00CE0E7B">
      <w:pPr>
        <w:pStyle w:val="Bibliography"/>
      </w:pPr>
      <w:r>
        <w:t xml:space="preserve">262. </w:t>
      </w:r>
      <w:r>
        <w:tab/>
        <w:t xml:space="preserve">Groop P-H, Dandona P, Phillip M, Gillard P, Edelman S, Jendle J, et al. Effect of dapagliflozin as an adjunct to insulin over 52 weeks in individuals with type 1 diabetes: post-hoc renal analysis of the DEPICT randomised controlled trials. Lancet Diabetes Endocrinol. 2020 Oct;8(10):845–54. </w:t>
      </w:r>
    </w:p>
    <w:p w14:paraId="52B2823F" w14:textId="77777777" w:rsidR="00CE0E7B" w:rsidRDefault="00CE0E7B" w:rsidP="00CE0E7B">
      <w:pPr>
        <w:pStyle w:val="Bibliography"/>
      </w:pPr>
      <w:r>
        <w:t xml:space="preserve">263. </w:t>
      </w:r>
      <w:r>
        <w:tab/>
        <w:t xml:space="preserve">Jensen DM, Korsholm L, Ovesen P, Beck-Nielsen H, Moelsted-Pedersen L, Westergaard JG, et al. Peri-conceptional A1C and risk of serious adverse pregnancy outcome in 933 women with type 1 diabetes. Diabetes Care. 2009 Jun;32(6):1046–8. </w:t>
      </w:r>
    </w:p>
    <w:p w14:paraId="253B9C7B" w14:textId="77777777" w:rsidR="00CE0E7B" w:rsidRDefault="00CE0E7B" w:rsidP="00CE0E7B">
      <w:pPr>
        <w:pStyle w:val="Bibliography"/>
      </w:pPr>
      <w:r>
        <w:t xml:space="preserve">264. </w:t>
      </w:r>
      <w:r>
        <w:tab/>
        <w:t xml:space="preserve">Abell SK, Boyle JA, de Courten B, Knight M, Ranasinha S, Regan J, et al. Contemporary type 1 diabetes pregnancy outcomes: impact of obesity and glycaemic control. Med J Aust. 2016 Aug 15;205(4):162–7. </w:t>
      </w:r>
    </w:p>
    <w:p w14:paraId="7AEEF33F" w14:textId="77777777" w:rsidR="00CE0E7B" w:rsidRDefault="00CE0E7B" w:rsidP="00CE0E7B">
      <w:pPr>
        <w:pStyle w:val="Bibliography"/>
      </w:pPr>
      <w:r>
        <w:t xml:space="preserve">265. </w:t>
      </w:r>
      <w:r>
        <w:tab/>
        <w:t xml:space="preserve">Feig DS, Donovan LE, Corcoy R, Murphy KE, Amiel SA, Hunt KF, et al. Continuous glucose monitoring in pregnant women with type 1 diabetes (CONCEPTT): a multicentre international randomised controlled trial. Lancet. 2017 Nov 25;390(10110):2347–59. </w:t>
      </w:r>
    </w:p>
    <w:p w14:paraId="3BF6AC8D" w14:textId="77777777" w:rsidR="00CE0E7B" w:rsidRDefault="00CE0E7B" w:rsidP="00CE0E7B">
      <w:pPr>
        <w:pStyle w:val="Bibliography"/>
      </w:pPr>
      <w:r>
        <w:t xml:space="preserve">266. </w:t>
      </w:r>
      <w:r>
        <w:tab/>
        <w:t xml:space="preserve">Nielsen LR, Pedersen-Bjergaard U, Thorsteinsson B, Johansen M, Damm P, Mathiesen ER. Hypoglycemia in pregnant women with type 1 diabetes: predictors and role of metabolic control. Diabetes Care. 2008 Jan;31(1):9–14. </w:t>
      </w:r>
    </w:p>
    <w:p w14:paraId="01467006" w14:textId="77777777" w:rsidR="00CE0E7B" w:rsidRDefault="00CE0E7B" w:rsidP="00CE0E7B">
      <w:pPr>
        <w:pStyle w:val="Bibliography"/>
      </w:pPr>
      <w:r>
        <w:t xml:space="preserve">267. </w:t>
      </w:r>
      <w:r>
        <w:tab/>
        <w:t xml:space="preserve">Sibai BM, Viteri OA. Diabetic ketoacidosis in pregnancy. Obstet Gynecol. 2014 Jan;123(1):167–78. </w:t>
      </w:r>
    </w:p>
    <w:p w14:paraId="06443EA5" w14:textId="77777777" w:rsidR="00CE0E7B" w:rsidRDefault="00CE0E7B" w:rsidP="00CE0E7B">
      <w:pPr>
        <w:pStyle w:val="Bibliography"/>
      </w:pPr>
      <w:r>
        <w:t xml:space="preserve">268. </w:t>
      </w:r>
      <w:r>
        <w:tab/>
        <w:t xml:space="preserve">Roeder HA, Moore TR, Ramos GA. Changes in Postpartum Insulin Requirements for Patients with Well-Controlled Type 1 Diabetes. Am J Perinatol. 2016;33(7):683–7. </w:t>
      </w:r>
    </w:p>
    <w:p w14:paraId="0323F6B8" w14:textId="77777777" w:rsidR="00CE0E7B" w:rsidRDefault="00CE0E7B" w:rsidP="00CE0E7B">
      <w:pPr>
        <w:pStyle w:val="Bibliography"/>
      </w:pPr>
      <w:r>
        <w:t xml:space="preserve">269. </w:t>
      </w:r>
      <w:r>
        <w:tab/>
        <w:t xml:space="preserve">Davies HA, Clark JD, Dalton KJ, Edwards OM. Insulin requirements of diabetic women who breast feed. BMJ. 1989 May 20;298(6684):1357–8. </w:t>
      </w:r>
    </w:p>
    <w:p w14:paraId="15BCA75A" w14:textId="77777777" w:rsidR="00CE0E7B" w:rsidRDefault="00CE0E7B" w:rsidP="00CE0E7B">
      <w:pPr>
        <w:pStyle w:val="Bibliography"/>
      </w:pPr>
      <w:r>
        <w:t xml:space="preserve">270. </w:t>
      </w:r>
      <w:r>
        <w:tab/>
        <w:t xml:space="preserve">WHO | Medical eligibility criteria </w:t>
      </w:r>
      <w:r>
        <w:rPr>
          <w:b/>
          <w:bCs/>
        </w:rPr>
        <w:t>wheel</w:t>
      </w:r>
      <w:r>
        <w:t xml:space="preserve"> for contraceptive use [Internet]. WHO. World Health Organization; [cited 2021 Jul 16]. Available from: http://www.who.int/reproductivehealth/publications/family_planning/mec-wheel-5th/en/</w:t>
      </w:r>
    </w:p>
    <w:p w14:paraId="016CEC3D" w14:textId="77777777" w:rsidR="00CE0E7B" w:rsidRDefault="00CE0E7B" w:rsidP="00CE0E7B">
      <w:pPr>
        <w:pStyle w:val="Bibliography"/>
      </w:pPr>
      <w:r>
        <w:t xml:space="preserve">271. </w:t>
      </w:r>
      <w:r>
        <w:tab/>
        <w:t xml:space="preserve">American Diabetes Association. 14. Management of Diabetes in Pregnancy: Standards of Medical Care in Diabetes-2021. Diabetes Care. 2021 Jan;44(Suppl 1):S200–10. </w:t>
      </w:r>
    </w:p>
    <w:p w14:paraId="4AAF8C33" w14:textId="77777777" w:rsidR="00CE0E7B" w:rsidRDefault="00CE0E7B" w:rsidP="00CE0E7B">
      <w:pPr>
        <w:pStyle w:val="Bibliography"/>
      </w:pPr>
      <w:r>
        <w:t xml:space="preserve">272. </w:t>
      </w:r>
      <w:r>
        <w:tab/>
        <w:t>Overview | Diabetes in pregnancy: management from preconception to the postnatal period | Guidance | NICE [Internet]. NICE; [cited 2021 Feb 18]. Available from: https://www.nice.org.uk/guidance/ng3</w:t>
      </w:r>
    </w:p>
    <w:p w14:paraId="4BA25AB9" w14:textId="77777777" w:rsidR="00CE0E7B" w:rsidRDefault="00CE0E7B" w:rsidP="00CE0E7B">
      <w:pPr>
        <w:pStyle w:val="Bibliography"/>
      </w:pPr>
      <w:r>
        <w:t xml:space="preserve">273. </w:t>
      </w:r>
      <w:r>
        <w:tab/>
        <w:t xml:space="preserve">Leung E, Wongrakpanich S, Munshi MN. Diabetes Management in the Elderly. Diabetes Spectrum. 2018 Aug 1;31(3):245–53. </w:t>
      </w:r>
    </w:p>
    <w:p w14:paraId="2E7F4CB1" w14:textId="77777777" w:rsidR="00CE0E7B" w:rsidRDefault="00CE0E7B" w:rsidP="00CE0E7B">
      <w:pPr>
        <w:pStyle w:val="Bibliography"/>
      </w:pPr>
      <w:r>
        <w:t xml:space="preserve">274. </w:t>
      </w:r>
      <w:r>
        <w:tab/>
        <w:t xml:space="preserve">Wang PH, Lau J, Chalmers TC. Meta-analysis of effects of intensive blood-glucose control on late complications of type I diabetes. Lancet. 1993 May 22;341(8856):1306–9. </w:t>
      </w:r>
    </w:p>
    <w:p w14:paraId="64ADE1D7" w14:textId="77777777" w:rsidR="00CE0E7B" w:rsidRDefault="00CE0E7B" w:rsidP="00CE0E7B">
      <w:pPr>
        <w:pStyle w:val="Bibliography"/>
      </w:pPr>
      <w:r>
        <w:t xml:space="preserve">275. </w:t>
      </w:r>
      <w:r>
        <w:tab/>
        <w:t xml:space="preserve">Molitch ME, Adler AI, Flyvbjerg A, Nelson RG, So W-Y, Wanner C, et al. Diabetic kidney disease: a clinical update from Kidney Disease: Improving Global Outcomes. Kidney Int. 2015 Jan;87(1):20–30. </w:t>
      </w:r>
    </w:p>
    <w:p w14:paraId="7DBDD024" w14:textId="77777777" w:rsidR="00CE0E7B" w:rsidRDefault="00CE0E7B" w:rsidP="00CE0E7B">
      <w:pPr>
        <w:pStyle w:val="Bibliography"/>
      </w:pPr>
      <w:r>
        <w:t xml:space="preserve">276. </w:t>
      </w:r>
      <w:r>
        <w:tab/>
        <w:t xml:space="preserve">Aleppo G, Calhoun P, Foster NC, Maahs DM, Shah VN, Miller KM, et al. Reported gastroparesis in adults with type 1 diabetes (T1D) from the T1D Exchange clinic registry. J Diabetes Complications. 2017 Dec;31(12):1669–73. </w:t>
      </w:r>
    </w:p>
    <w:p w14:paraId="75E6E984" w14:textId="77777777" w:rsidR="00CE0E7B" w:rsidRDefault="00CE0E7B" w:rsidP="00CE0E7B">
      <w:pPr>
        <w:pStyle w:val="Bibliography"/>
      </w:pPr>
      <w:r>
        <w:t xml:space="preserve">277. </w:t>
      </w:r>
      <w:r>
        <w:tab/>
        <w:t xml:space="preserve">Early worsening of diabetic retinopathy in the Diabetes Control and Complications Trial. Arch Ophthalmol. 1998 Jul;116(7):874–86. </w:t>
      </w:r>
    </w:p>
    <w:p w14:paraId="36995148" w14:textId="77777777" w:rsidR="00CE0E7B" w:rsidRDefault="00CE0E7B" w:rsidP="00CE0E7B">
      <w:pPr>
        <w:pStyle w:val="Bibliography"/>
      </w:pPr>
      <w:r>
        <w:t xml:space="preserve">278. </w:t>
      </w:r>
      <w:r>
        <w:tab/>
        <w:t xml:space="preserve">Llewelyn JG, Thomas PK, Fonseca V, King RH, Dandona P. Acute painful diabetic neuropathy precipitated by strict glycaemic control. Acta Neuropathol. 1986;72(2):157–63. </w:t>
      </w:r>
    </w:p>
    <w:p w14:paraId="32D01963" w14:textId="77777777" w:rsidR="00CE0E7B" w:rsidRDefault="00CE0E7B" w:rsidP="00CE0E7B">
      <w:pPr>
        <w:pStyle w:val="Bibliography"/>
      </w:pPr>
      <w:r>
        <w:t xml:space="preserve">279. </w:t>
      </w:r>
      <w:r>
        <w:tab/>
        <w:t xml:space="preserve">de Ferranti SD, de Boer IH, Fonseca V, Fox CS, Golden SH, Lavie CJ, et al. Type 1 diabetes mellitus and cardiovascular disease: a scientific statement from the American Heart Association and American Diabetes Association. Diabetes Care. 2014 Oct;37(10):2843–63. </w:t>
      </w:r>
    </w:p>
    <w:p w14:paraId="746AC9D2" w14:textId="77777777" w:rsidR="00CE0E7B" w:rsidRDefault="00CE0E7B" w:rsidP="00CE0E7B">
      <w:pPr>
        <w:pStyle w:val="Bibliography"/>
      </w:pPr>
      <w:r>
        <w:t xml:space="preserve">280. </w:t>
      </w:r>
      <w:r>
        <w:tab/>
        <w:t xml:space="preserve">American Diabetes Association. 15. Diabetes Care in the Hospital: Standards of Medical Care in Diabetes-2021. Diabetes Care. 2021 Jan;44(Suppl 1):S211–20. </w:t>
      </w:r>
    </w:p>
    <w:p w14:paraId="3FCD7BD8" w14:textId="77777777" w:rsidR="00CE0E7B" w:rsidRDefault="00CE0E7B" w:rsidP="00CE0E7B">
      <w:pPr>
        <w:pStyle w:val="Bibliography"/>
      </w:pPr>
      <w:r>
        <w:t xml:space="preserve">281. </w:t>
      </w:r>
      <w:r>
        <w:tab/>
        <w:t xml:space="preserve">Umpierrez GE, Kitabchi AE. Diabetic ketoacidosis: risk factors and management strategies. Treat Endocrinol. 2003;2(2):95–108. </w:t>
      </w:r>
    </w:p>
    <w:p w14:paraId="4914DF5D" w14:textId="77777777" w:rsidR="00CE0E7B" w:rsidRDefault="00CE0E7B" w:rsidP="00CE0E7B">
      <w:pPr>
        <w:pStyle w:val="Bibliography"/>
      </w:pPr>
      <w:r>
        <w:t xml:space="preserve">282. </w:t>
      </w:r>
      <w:r>
        <w:tab/>
        <w:t xml:space="preserve">Galindo RJ, Umpierrez GE, Rushakoff RJ, Basu A, Lohnes S, Nichols JH, et al. Continuous Glucose Monitors and Automated Insulin Dosing Systems in the Hospital Consensus Guideline. J Diabetes Sci Technol. 2020 Nov;14(6):1035–64. </w:t>
      </w:r>
    </w:p>
    <w:p w14:paraId="40C9E114" w14:textId="77777777" w:rsidR="00CE0E7B" w:rsidRDefault="00CE0E7B" w:rsidP="00CE0E7B">
      <w:pPr>
        <w:pStyle w:val="Bibliography"/>
      </w:pPr>
      <w:r>
        <w:t xml:space="preserve">283. </w:t>
      </w:r>
      <w:r>
        <w:tab/>
        <w:t xml:space="preserve">Mendez CE, Umpierrez GE. Management of Type 1 Diabetes in the Hospital Setting. Curr Diab Rep. 2017 Sep 14;17(10):98. </w:t>
      </w:r>
    </w:p>
    <w:p w14:paraId="1BCCA47E" w14:textId="77777777" w:rsidR="00CE0E7B" w:rsidRDefault="00CE0E7B" w:rsidP="00CE0E7B">
      <w:pPr>
        <w:pStyle w:val="Bibliography"/>
      </w:pPr>
      <w:r>
        <w:t xml:space="preserve">284. </w:t>
      </w:r>
      <w:r>
        <w:tab/>
        <w:t xml:space="preserve">Bailon RM, Partlow BJ, Miller-Cage V, Boyle ME, Castro JC, Bourgeois PB, et al. Continuous subcutaneous insulin infusion (insulin pump) therapy can be safely used in the hospital in select patients. Endocr Pract. 2009 Feb;15(1):24–9. </w:t>
      </w:r>
    </w:p>
    <w:p w14:paraId="14CF42A7" w14:textId="77777777" w:rsidR="00CE0E7B" w:rsidRDefault="00CE0E7B" w:rsidP="00CE0E7B">
      <w:pPr>
        <w:pStyle w:val="Bibliography"/>
      </w:pPr>
      <w:r>
        <w:t xml:space="preserve">285. </w:t>
      </w:r>
      <w:r>
        <w:tab/>
        <w:t xml:space="preserve">Cook CB, Boyle ME, Cisar NS, Miller-Cage V, Bourgeois P, Roust LR, et al. Use of continuous subcutaneous insulin infusion (insulin pump) therapy in the hospital setting: proposed guidelines and outcome measures. Diabetes Educ. 2005 Dec;31(6):849–57. </w:t>
      </w:r>
    </w:p>
    <w:p w14:paraId="6E3CC214" w14:textId="77777777" w:rsidR="00CE0E7B" w:rsidRDefault="00CE0E7B" w:rsidP="00CE0E7B">
      <w:pPr>
        <w:pStyle w:val="Bibliography"/>
      </w:pPr>
      <w:r>
        <w:t xml:space="preserve">286. </w:t>
      </w:r>
      <w:r>
        <w:tab/>
        <w:t xml:space="preserve">Nair GG, Tzanakakis ES, Hebrok M. Emerging routes to the generation of functional β-cells for diabetes mellitus cell therapy. Nat Rev Endocrinol. 2020 Sep;16(9):506–18. </w:t>
      </w:r>
    </w:p>
    <w:p w14:paraId="2BEE690F" w14:textId="77777777" w:rsidR="00CE0E7B" w:rsidRDefault="00CE0E7B" w:rsidP="00CE0E7B">
      <w:pPr>
        <w:pStyle w:val="Bibliography"/>
      </w:pPr>
      <w:r>
        <w:t xml:space="preserve">287. </w:t>
      </w:r>
      <w:r>
        <w:tab/>
        <w:t xml:space="preserve">Desai T, Shea LD. Advances in islet encapsulation technologies. Nat Rev Drug Discov. 2017 May;16(5):338–50. </w:t>
      </w:r>
    </w:p>
    <w:p w14:paraId="74413E96" w14:textId="77777777" w:rsidR="00CE0E7B" w:rsidRDefault="00CE0E7B" w:rsidP="00CE0E7B">
      <w:pPr>
        <w:pStyle w:val="Bibliography"/>
      </w:pPr>
      <w:r>
        <w:t xml:space="preserve">288. </w:t>
      </w:r>
      <w:r>
        <w:tab/>
        <w:t xml:space="preserve">Hendriks WT, Warren CR, Cowan CA. Genome Editing in Human Pluripotent Stem Cells: Approaches, Pitfalls, and Solutions. Cell Stem Cell. 2016 Jan 7;18(1):53–65. </w:t>
      </w:r>
    </w:p>
    <w:p w14:paraId="060AEE0B" w14:textId="77777777" w:rsidR="00CE0E7B" w:rsidRDefault="00CE0E7B" w:rsidP="00CE0E7B">
      <w:pPr>
        <w:pStyle w:val="Bibliography"/>
      </w:pPr>
      <w:r>
        <w:t xml:space="preserve">289. </w:t>
      </w:r>
      <w:r>
        <w:tab/>
        <w:t xml:space="preserve">Dayan CM, Korah M, Tatovic D, Bundy BN, Herold KC. Changing the landscape for type 1 diabetes: the first step to prevention. Lancet. 2019 Oct 5;394(10205):1286–96. </w:t>
      </w:r>
    </w:p>
    <w:p w14:paraId="6C5ABEAF" w14:textId="77777777" w:rsidR="00CE0E7B" w:rsidRDefault="00CE0E7B" w:rsidP="00CE0E7B">
      <w:pPr>
        <w:pStyle w:val="Bibliography"/>
      </w:pPr>
      <w:r>
        <w:t xml:space="preserve">290. </w:t>
      </w:r>
      <w:r>
        <w:tab/>
        <w:t xml:space="preserve">Hughes JW, Bao YK, Salam M, Joshi P, Kilpatrick CR, Juneja K, et al. Late-Onset T1DM and Older Age Predict Risk of Additional Autoimmune Disease. Diabetes Care. 2019 Jan;42(1):32–8. </w:t>
      </w:r>
    </w:p>
    <w:p w14:paraId="70524398" w14:textId="77777777" w:rsidR="00CE0E7B" w:rsidRDefault="00CE0E7B" w:rsidP="00CE0E7B">
      <w:pPr>
        <w:pStyle w:val="Bibliography"/>
      </w:pPr>
      <w:r>
        <w:t xml:space="preserve">291. </w:t>
      </w:r>
      <w:r>
        <w:tab/>
        <w:t xml:space="preserve">Milluzzo A, Falorni A, Brozzetti A, Pezzino G, Tomaselli L, Tumminia A, et al. Risk for Coexistent Autoimmune Diseases in Familial and Sporadic Type 1 Diabetes is Related to Age at Diabetes Onset. Endocr Pract. 2021 Feb;27(2):110–7. </w:t>
      </w:r>
    </w:p>
    <w:p w14:paraId="1EF82085" w14:textId="77777777" w:rsidR="00CE0E7B" w:rsidRDefault="00CE0E7B" w:rsidP="00CE0E7B">
      <w:pPr>
        <w:pStyle w:val="Bibliography"/>
      </w:pPr>
      <w:r>
        <w:t xml:space="preserve">292. </w:t>
      </w:r>
      <w:r>
        <w:tab/>
        <w:t xml:space="preserve">Bergenstal RM, Gal RL, Connor CG, Gubitosi-Klug R, Kruger D, Olson BA, et al. Racial Differences in the Relationship of Glucose Concentrations and Hemoglobin A1c Levels. Ann Intern Med. 2017 Jul 18;167(2):95–102. </w:t>
      </w:r>
    </w:p>
    <w:p w14:paraId="3004635C" w14:textId="77777777" w:rsidR="00CE0E7B" w:rsidRDefault="00CE0E7B" w:rsidP="00CE0E7B">
      <w:pPr>
        <w:pStyle w:val="Bibliography"/>
      </w:pPr>
      <w:r>
        <w:t xml:space="preserve">293. </w:t>
      </w:r>
      <w:r>
        <w:tab/>
        <w:t>Medical Management of Type 1 Diabetes, 7th Edition [Internet]. ShopDiabetes.org | Store from the American Diabetes Association®. [cited 2021 Mar 10]. Available from: https://shopdiabetes.org/products/medical-management-of-type-1-diabetes-7th-edition</w:t>
      </w:r>
    </w:p>
    <w:p w14:paraId="25EA1BA0" w14:textId="366D6347" w:rsidR="0078333B" w:rsidRPr="005369C6" w:rsidRDefault="00726F9A" w:rsidP="00CA59E4">
      <w:pPr>
        <w:autoSpaceDE w:val="0"/>
        <w:autoSpaceDN w:val="0"/>
        <w:adjustRightInd w:val="0"/>
        <w:spacing w:before="120" w:after="120"/>
        <w:jc w:val="both"/>
        <w:rPr>
          <w:rFonts w:ascii="Calibri" w:hAnsi="Calibri" w:cs="Calibri"/>
        </w:rPr>
      </w:pPr>
      <w:r w:rsidRPr="0035461C">
        <w:rPr>
          <w:rFonts w:ascii="Calibri" w:hAnsi="Calibri" w:cs="Calibri"/>
        </w:rPr>
        <w:fldChar w:fldCharType="end"/>
      </w:r>
    </w:p>
    <w:p w14:paraId="2E94500D" w14:textId="4694B4C8" w:rsidR="0035461C" w:rsidRDefault="0035461C">
      <w:pPr>
        <w:spacing w:after="160" w:line="259" w:lineRule="auto"/>
        <w:rPr>
          <w:rFonts w:ascii="Calibri" w:hAnsi="Calibri" w:cs="Calibri"/>
        </w:rPr>
      </w:pPr>
      <w:r>
        <w:rPr>
          <w:rFonts w:ascii="Calibri" w:hAnsi="Calibri" w:cs="Calibri"/>
        </w:rPr>
        <w:br w:type="page"/>
      </w:r>
    </w:p>
    <w:p w14:paraId="51E842A2" w14:textId="31D906D6" w:rsidR="0078333B" w:rsidRDefault="0078333B" w:rsidP="00CA59E4">
      <w:pPr>
        <w:autoSpaceDE w:val="0"/>
        <w:autoSpaceDN w:val="0"/>
        <w:adjustRightInd w:val="0"/>
        <w:spacing w:before="120" w:after="120"/>
        <w:jc w:val="both"/>
        <w:rPr>
          <w:rFonts w:ascii="Calibri" w:hAnsi="Calibri" w:cs="Calibri"/>
        </w:rPr>
      </w:pPr>
    </w:p>
    <w:p w14:paraId="4B86BBC9" w14:textId="0ADED97A" w:rsidR="0035461C" w:rsidRDefault="0035461C" w:rsidP="00CA59E4">
      <w:pPr>
        <w:autoSpaceDE w:val="0"/>
        <w:autoSpaceDN w:val="0"/>
        <w:adjustRightInd w:val="0"/>
        <w:spacing w:before="120" w:after="120"/>
        <w:jc w:val="both"/>
        <w:rPr>
          <w:rFonts w:ascii="Calibri" w:hAnsi="Calibri" w:cs="Calibri"/>
        </w:rPr>
      </w:pPr>
    </w:p>
    <w:p w14:paraId="2249CD6D" w14:textId="77777777" w:rsidR="0035461C" w:rsidRDefault="0035461C" w:rsidP="00CA59E4">
      <w:pPr>
        <w:autoSpaceDE w:val="0"/>
        <w:autoSpaceDN w:val="0"/>
        <w:adjustRightInd w:val="0"/>
        <w:spacing w:before="120" w:after="120"/>
        <w:jc w:val="both"/>
        <w:rPr>
          <w:rFonts w:ascii="Calibri" w:hAnsi="Calibri" w:cs="Calibri"/>
        </w:rPr>
      </w:pPr>
    </w:p>
    <w:p w14:paraId="0A447067" w14:textId="7E98E83F" w:rsidR="0035461C" w:rsidRDefault="0035461C" w:rsidP="00CA59E4">
      <w:pPr>
        <w:autoSpaceDE w:val="0"/>
        <w:autoSpaceDN w:val="0"/>
        <w:adjustRightInd w:val="0"/>
        <w:spacing w:before="120" w:after="120"/>
        <w:jc w:val="both"/>
        <w:rPr>
          <w:rFonts w:ascii="Calibri" w:hAnsi="Calibri" w:cs="Calibri"/>
        </w:rPr>
      </w:pPr>
    </w:p>
    <w:p w14:paraId="4B12A801" w14:textId="6C3DDB0A" w:rsidR="0035461C" w:rsidRDefault="0035461C" w:rsidP="00CA59E4">
      <w:pPr>
        <w:autoSpaceDE w:val="0"/>
        <w:autoSpaceDN w:val="0"/>
        <w:adjustRightInd w:val="0"/>
        <w:spacing w:before="120" w:after="120"/>
        <w:jc w:val="both"/>
        <w:rPr>
          <w:rFonts w:ascii="Calibri" w:hAnsi="Calibri" w:cs="Calibri"/>
        </w:rPr>
      </w:pPr>
    </w:p>
    <w:p w14:paraId="685245E7" w14:textId="68D94D18" w:rsidR="0035461C" w:rsidRDefault="0035461C" w:rsidP="00CA59E4">
      <w:pPr>
        <w:autoSpaceDE w:val="0"/>
        <w:autoSpaceDN w:val="0"/>
        <w:adjustRightInd w:val="0"/>
        <w:spacing w:before="120" w:after="120"/>
        <w:jc w:val="both"/>
        <w:rPr>
          <w:rFonts w:ascii="Calibri" w:hAnsi="Calibri" w:cs="Calibri"/>
        </w:rPr>
      </w:pPr>
    </w:p>
    <w:p w14:paraId="22C37BF8" w14:textId="66046537" w:rsidR="0035461C" w:rsidRDefault="0035461C" w:rsidP="00CA59E4">
      <w:pPr>
        <w:autoSpaceDE w:val="0"/>
        <w:autoSpaceDN w:val="0"/>
        <w:adjustRightInd w:val="0"/>
        <w:spacing w:before="120" w:after="120"/>
        <w:jc w:val="both"/>
        <w:rPr>
          <w:rFonts w:ascii="Calibri" w:hAnsi="Calibri" w:cs="Calibri"/>
        </w:rPr>
      </w:pPr>
    </w:p>
    <w:p w14:paraId="51ABDC9A" w14:textId="77777777" w:rsidR="0035461C" w:rsidRDefault="0035461C" w:rsidP="00CA59E4">
      <w:pPr>
        <w:autoSpaceDE w:val="0"/>
        <w:autoSpaceDN w:val="0"/>
        <w:adjustRightInd w:val="0"/>
        <w:spacing w:before="120" w:after="120"/>
        <w:jc w:val="both"/>
        <w:rPr>
          <w:rFonts w:ascii="Calibri" w:hAnsi="Calibri" w:cs="Calibri"/>
        </w:rPr>
      </w:pPr>
    </w:p>
    <w:p w14:paraId="1BD2394B" w14:textId="34088BFC" w:rsidR="0035461C" w:rsidRDefault="0035461C" w:rsidP="00CA59E4">
      <w:pPr>
        <w:autoSpaceDE w:val="0"/>
        <w:autoSpaceDN w:val="0"/>
        <w:adjustRightInd w:val="0"/>
        <w:spacing w:before="120" w:after="120"/>
        <w:jc w:val="both"/>
        <w:rPr>
          <w:rFonts w:ascii="Calibri" w:hAnsi="Calibri" w:cs="Calibri"/>
        </w:rPr>
      </w:pPr>
    </w:p>
    <w:p w14:paraId="2EDD0639" w14:textId="65972554" w:rsidR="0035461C" w:rsidRDefault="0035461C" w:rsidP="00CA59E4">
      <w:pPr>
        <w:autoSpaceDE w:val="0"/>
        <w:autoSpaceDN w:val="0"/>
        <w:adjustRightInd w:val="0"/>
        <w:spacing w:before="120" w:after="120"/>
        <w:jc w:val="both"/>
        <w:rPr>
          <w:rFonts w:ascii="Calibri" w:hAnsi="Calibri" w:cs="Calibri"/>
        </w:rPr>
      </w:pPr>
    </w:p>
    <w:p w14:paraId="704376E4" w14:textId="53446DAE" w:rsidR="0035461C" w:rsidRDefault="0035461C" w:rsidP="00CA59E4">
      <w:pPr>
        <w:autoSpaceDE w:val="0"/>
        <w:autoSpaceDN w:val="0"/>
        <w:adjustRightInd w:val="0"/>
        <w:spacing w:before="120" w:after="120"/>
        <w:jc w:val="both"/>
        <w:rPr>
          <w:rFonts w:ascii="Calibri" w:hAnsi="Calibri" w:cs="Calibri"/>
        </w:rPr>
      </w:pPr>
    </w:p>
    <w:p w14:paraId="03308814" w14:textId="77777777" w:rsidR="0035461C" w:rsidRDefault="0035461C" w:rsidP="00CA59E4">
      <w:pPr>
        <w:autoSpaceDE w:val="0"/>
        <w:autoSpaceDN w:val="0"/>
        <w:adjustRightInd w:val="0"/>
        <w:spacing w:before="120" w:after="120"/>
        <w:jc w:val="both"/>
        <w:rPr>
          <w:rFonts w:ascii="Calibri" w:hAnsi="Calibri" w:cs="Calibri"/>
        </w:rPr>
      </w:pPr>
    </w:p>
    <w:p w14:paraId="185B7CFF" w14:textId="2A935CB5" w:rsidR="0035461C" w:rsidRDefault="0035461C" w:rsidP="00CA59E4">
      <w:pPr>
        <w:autoSpaceDE w:val="0"/>
        <w:autoSpaceDN w:val="0"/>
        <w:adjustRightInd w:val="0"/>
        <w:spacing w:before="120" w:after="120"/>
        <w:jc w:val="both"/>
        <w:rPr>
          <w:rFonts w:ascii="Calibri" w:hAnsi="Calibri" w:cs="Calibri"/>
        </w:rPr>
      </w:pPr>
    </w:p>
    <w:p w14:paraId="0508A846" w14:textId="2492B0C6" w:rsidR="0035461C" w:rsidRPr="0014186E" w:rsidRDefault="0035461C" w:rsidP="00CA59E4">
      <w:pPr>
        <w:autoSpaceDE w:val="0"/>
        <w:autoSpaceDN w:val="0"/>
        <w:adjustRightInd w:val="0"/>
        <w:spacing w:before="120" w:after="120"/>
        <w:jc w:val="both"/>
        <w:rPr>
          <w:rFonts w:ascii="Calibri" w:hAnsi="Calibri" w:cs="Calibri"/>
        </w:rPr>
      </w:pPr>
    </w:p>
    <w:sectPr w:rsidR="0035461C" w:rsidRPr="0014186E" w:rsidSect="0078333B">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Holt R.I.G." w:date="2021-08-12T15:58:00Z" w:initials="RH">
    <w:p w14:paraId="1CA27C1B" w14:textId="15C205FA" w:rsidR="00962873" w:rsidRDefault="00962873">
      <w:pPr>
        <w:pStyle w:val="CommentText"/>
      </w:pPr>
      <w:r>
        <w:rPr>
          <w:rStyle w:val="CommentReference"/>
        </w:rPr>
        <w:annotationRef/>
      </w:r>
      <w:r>
        <w:t>Minor change in the wording of the figure to be made by the graphic designers. Will not change overall size and shape of figure</w:t>
      </w:r>
    </w:p>
  </w:comment>
  <w:comment w:id="3" w:author="Holt R.I.G." w:date="2021-08-12T15:59:00Z" w:initials="RH">
    <w:p w14:paraId="67837E66" w14:textId="626CD66B" w:rsidR="00962873" w:rsidRDefault="00962873">
      <w:pPr>
        <w:pStyle w:val="CommentText"/>
      </w:pPr>
      <w:r>
        <w:rPr>
          <w:rStyle w:val="CommentReference"/>
        </w:rPr>
        <w:annotationRef/>
      </w:r>
      <w:r>
        <w:t>Minor change in the wording of the figure to be made by the graphic designers. Will not change overall size and shape of figure</w:t>
      </w:r>
    </w:p>
  </w:comment>
  <w:comment w:id="4" w:author="Holt R.I.G." w:date="2021-07-15T14:43:00Z" w:initials="RH">
    <w:p w14:paraId="6690E594" w14:textId="77777777" w:rsidR="00414667" w:rsidRDefault="00A53FB7" w:rsidP="00962873">
      <w:pPr>
        <w:pStyle w:val="CommentText"/>
      </w:pPr>
      <w:r>
        <w:rPr>
          <w:rStyle w:val="CommentReference"/>
        </w:rPr>
        <w:annotationRef/>
      </w:r>
      <w:r w:rsidR="00962873">
        <w:t xml:space="preserve">Minor change in the wording of the figure to be made by the graphic designers. </w:t>
      </w:r>
    </w:p>
    <w:p w14:paraId="44C18B57" w14:textId="77777777" w:rsidR="00414667" w:rsidRDefault="00414667" w:rsidP="00962873">
      <w:pPr>
        <w:pStyle w:val="CommentText"/>
      </w:pPr>
    </w:p>
    <w:p w14:paraId="7B15A5B9" w14:textId="4B282BE3" w:rsidR="00A53FB7" w:rsidRDefault="00414667" w:rsidP="00962873">
      <w:pPr>
        <w:pStyle w:val="CommentText"/>
      </w:pPr>
      <w:r>
        <w:t>Designers are increasing size of figure so that the text is less cramped. Will be slightly taller</w:t>
      </w:r>
    </w:p>
  </w:comment>
  <w:comment w:id="5" w:author="Holt R.I.G." w:date="2021-08-12T16:00:00Z" w:initials="RH">
    <w:p w14:paraId="1B46A999" w14:textId="4E0A2D63" w:rsidR="00414667" w:rsidRDefault="00414667">
      <w:pPr>
        <w:pStyle w:val="CommentText"/>
      </w:pPr>
      <w:r>
        <w:rPr>
          <w:rStyle w:val="CommentReference"/>
        </w:rPr>
        <w:annotationRef/>
      </w:r>
      <w:r>
        <w:t>Minor change in the formatting of the figure to be made by the graphic designers. Will not change overall size and shape of figure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CA27C1B" w15:done="0"/>
  <w15:commentEx w15:paraId="67837E66" w15:done="0"/>
  <w15:commentEx w15:paraId="7B15A5B9" w15:done="0"/>
  <w15:commentEx w15:paraId="1B46A99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A584C7C" w16cid:durableId="24BF7FDE"/>
  <w16cid:commentId w16cid:paraId="1CA27C1B" w16cid:durableId="24BF7FDF"/>
  <w16cid:commentId w16cid:paraId="67837E66" w16cid:durableId="24BF7FE0"/>
  <w16cid:commentId w16cid:paraId="7B15A5B9" w16cid:durableId="249BFCAA"/>
  <w16cid:commentId w16cid:paraId="1B46A999" w16cid:durableId="24BF7FE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2B202" w14:textId="77777777" w:rsidR="00A53FB7" w:rsidRDefault="00A53FB7" w:rsidP="00A9782B">
      <w:r>
        <w:separator/>
      </w:r>
    </w:p>
  </w:endnote>
  <w:endnote w:type="continuationSeparator" w:id="0">
    <w:p w14:paraId="26F8D5C5" w14:textId="77777777" w:rsidR="00A53FB7" w:rsidRDefault="00A53FB7" w:rsidP="00A97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ymbolNew">
    <w:panose1 w:val="00000000000000000000"/>
    <w:charset w:val="C8"/>
    <w:family w:val="auto"/>
    <w:notTrueType/>
    <w:pitch w:val="variable"/>
    <w:sig w:usb0="00000083" w:usb1="00000000" w:usb2="00000000" w:usb3="00000000" w:csb0="00000009" w:csb1="00000000"/>
  </w:font>
  <w:font w:name="Adobe Garamond Pro">
    <w:altName w:val="Garamond"/>
    <w:panose1 w:val="00000000000000000000"/>
    <w:charset w:val="00"/>
    <w:family w:val="roman"/>
    <w:notTrueType/>
    <w:pitch w:val="variable"/>
    <w:sig w:usb0="00000001" w:usb1="00000001"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Segoe UI">
    <w:altName w:val="Segoe UI"/>
    <w:panose1 w:val="020B0502040204020203"/>
    <w:charset w:val="00"/>
    <w:family w:val="swiss"/>
    <w:pitch w:val="variable"/>
    <w:sig w:usb0="E4002EFF" w:usb1="C000E47F" w:usb2="00000009" w:usb3="00000000" w:csb0="000001FF" w:csb1="00000000"/>
  </w:font>
  <w:font w:name="Minion-Regular">
    <w:altName w:val="Times New Roman"/>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calaLancetPro">
    <w:altName w:val="Yu Gothic"/>
    <w:panose1 w:val="00000000000000000000"/>
    <w:charset w:val="80"/>
    <w:family w:val="roman"/>
    <w:notTrueType/>
    <w:pitch w:val="default"/>
    <w:sig w:usb0="00000001" w:usb1="08070000" w:usb2="00000010" w:usb3="00000000" w:csb0="00020000" w:csb1="00000000"/>
  </w:font>
  <w:font w:name="TimesNewRomanMTStd">
    <w:altName w:val="MS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3338424"/>
      <w:docPartObj>
        <w:docPartGallery w:val="Page Numbers (Bottom of Page)"/>
        <w:docPartUnique/>
      </w:docPartObj>
    </w:sdtPr>
    <w:sdtEndPr>
      <w:rPr>
        <w:rFonts w:asciiTheme="minorHAnsi" w:hAnsiTheme="minorHAnsi" w:cstheme="minorHAnsi"/>
        <w:noProof/>
      </w:rPr>
    </w:sdtEndPr>
    <w:sdtContent>
      <w:p w14:paraId="6BFDFACB" w14:textId="2ABDEE94" w:rsidR="00A53FB7" w:rsidRPr="00A9782B" w:rsidRDefault="00A53FB7">
        <w:pPr>
          <w:pStyle w:val="Footer"/>
          <w:jc w:val="center"/>
          <w:rPr>
            <w:rFonts w:asciiTheme="minorHAnsi" w:hAnsiTheme="minorHAnsi" w:cstheme="minorHAnsi"/>
          </w:rPr>
        </w:pPr>
        <w:r w:rsidRPr="00A9782B">
          <w:rPr>
            <w:rFonts w:asciiTheme="minorHAnsi" w:hAnsiTheme="minorHAnsi" w:cstheme="minorHAnsi"/>
          </w:rPr>
          <w:fldChar w:fldCharType="begin"/>
        </w:r>
        <w:r w:rsidRPr="00A9782B">
          <w:rPr>
            <w:rFonts w:asciiTheme="minorHAnsi" w:hAnsiTheme="minorHAnsi" w:cstheme="minorHAnsi"/>
          </w:rPr>
          <w:instrText xml:space="preserve"> PAGE   \* MERGEFORMAT </w:instrText>
        </w:r>
        <w:r w:rsidRPr="00A9782B">
          <w:rPr>
            <w:rFonts w:asciiTheme="minorHAnsi" w:hAnsiTheme="minorHAnsi" w:cstheme="minorHAnsi"/>
          </w:rPr>
          <w:fldChar w:fldCharType="separate"/>
        </w:r>
        <w:r w:rsidR="00360A48">
          <w:rPr>
            <w:rFonts w:asciiTheme="minorHAnsi" w:hAnsiTheme="minorHAnsi" w:cstheme="minorHAnsi"/>
            <w:noProof/>
          </w:rPr>
          <w:t>4</w:t>
        </w:r>
        <w:r w:rsidRPr="00A9782B">
          <w:rPr>
            <w:rFonts w:asciiTheme="minorHAnsi" w:hAnsiTheme="minorHAnsi" w:cstheme="minorHAnsi"/>
            <w:noProof/>
          </w:rPr>
          <w:fldChar w:fldCharType="end"/>
        </w:r>
      </w:p>
    </w:sdtContent>
  </w:sdt>
  <w:p w14:paraId="26D2F44E" w14:textId="77777777" w:rsidR="00A53FB7" w:rsidRDefault="00A53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96D38D" w14:textId="77777777" w:rsidR="00A53FB7" w:rsidRDefault="00A53FB7" w:rsidP="00A9782B">
      <w:r>
        <w:separator/>
      </w:r>
    </w:p>
  </w:footnote>
  <w:footnote w:type="continuationSeparator" w:id="0">
    <w:p w14:paraId="3AFC3298" w14:textId="77777777" w:rsidR="00A53FB7" w:rsidRDefault="00A53FB7" w:rsidP="00A978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320442"/>
      <w:docPartObj>
        <w:docPartGallery w:val="Watermarks"/>
        <w:docPartUnique/>
      </w:docPartObj>
    </w:sdtPr>
    <w:sdtEndPr/>
    <w:sdtContent>
      <w:p w14:paraId="31BCD29D" w14:textId="6816DFE2" w:rsidR="00A53FB7" w:rsidRDefault="00360A48">
        <w:pPr>
          <w:pStyle w:val="Header"/>
        </w:pPr>
        <w:r>
          <w:rPr>
            <w:noProof/>
          </w:rPr>
          <w:pict w14:anchorId="4D6691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72B84C"/>
    <w:multiLevelType w:val="hybridMultilevel"/>
    <w:tmpl w:val="09D121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B2E5C82"/>
    <w:multiLevelType w:val="hybridMultilevel"/>
    <w:tmpl w:val="88C62F6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CF8DA69"/>
    <w:multiLevelType w:val="hybridMultilevel"/>
    <w:tmpl w:val="0B3E24D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71105A"/>
    <w:multiLevelType w:val="multilevel"/>
    <w:tmpl w:val="F5DCB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975AAB"/>
    <w:multiLevelType w:val="multilevel"/>
    <w:tmpl w:val="2E9E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1D09C1"/>
    <w:multiLevelType w:val="multilevel"/>
    <w:tmpl w:val="D69A6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6F7A99"/>
    <w:multiLevelType w:val="multilevel"/>
    <w:tmpl w:val="12C6A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3D0F6E"/>
    <w:multiLevelType w:val="hybridMultilevel"/>
    <w:tmpl w:val="B456F4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C886688"/>
    <w:multiLevelType w:val="hybridMultilevel"/>
    <w:tmpl w:val="90E2AC2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428B81"/>
    <w:multiLevelType w:val="hybridMultilevel"/>
    <w:tmpl w:val="85FAC06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14711E8"/>
    <w:multiLevelType w:val="multilevel"/>
    <w:tmpl w:val="4C8E4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2C1B2B"/>
    <w:multiLevelType w:val="multilevel"/>
    <w:tmpl w:val="DDE6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5F6AF5"/>
    <w:multiLevelType w:val="multilevel"/>
    <w:tmpl w:val="FD763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9B4548"/>
    <w:multiLevelType w:val="hybridMultilevel"/>
    <w:tmpl w:val="19F66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372CF7"/>
    <w:multiLevelType w:val="hybridMultilevel"/>
    <w:tmpl w:val="26F26F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38F670A"/>
    <w:multiLevelType w:val="multilevel"/>
    <w:tmpl w:val="5E9AC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DE4FBE"/>
    <w:multiLevelType w:val="hybridMultilevel"/>
    <w:tmpl w:val="5AA60AF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6742A9"/>
    <w:multiLevelType w:val="hybridMultilevel"/>
    <w:tmpl w:val="7C4F58C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AE71A90"/>
    <w:multiLevelType w:val="hybridMultilevel"/>
    <w:tmpl w:val="725830F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F198DF9"/>
    <w:multiLevelType w:val="hybridMultilevel"/>
    <w:tmpl w:val="AC7CC56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45EF838"/>
    <w:multiLevelType w:val="hybridMultilevel"/>
    <w:tmpl w:val="66D13F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9621902"/>
    <w:multiLevelType w:val="hybridMultilevel"/>
    <w:tmpl w:val="4A3E9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2F5BCF"/>
    <w:multiLevelType w:val="multilevel"/>
    <w:tmpl w:val="B26C7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460485"/>
    <w:multiLevelType w:val="hybridMultilevel"/>
    <w:tmpl w:val="1E7E24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6090652"/>
    <w:multiLevelType w:val="hybridMultilevel"/>
    <w:tmpl w:val="82DA5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B841C3"/>
    <w:multiLevelType w:val="hybridMultilevel"/>
    <w:tmpl w:val="91381B3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9B9090A"/>
    <w:multiLevelType w:val="hybridMultilevel"/>
    <w:tmpl w:val="9B66A2A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CEE1398"/>
    <w:multiLevelType w:val="hybridMultilevel"/>
    <w:tmpl w:val="43C2F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3B26FA"/>
    <w:multiLevelType w:val="hybridMultilevel"/>
    <w:tmpl w:val="173A740A"/>
    <w:lvl w:ilvl="0" w:tplc="04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9" w15:restartNumberingAfterBreak="0">
    <w:nsid w:val="58AD23E0"/>
    <w:multiLevelType w:val="multilevel"/>
    <w:tmpl w:val="12C80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C63A8E"/>
    <w:multiLevelType w:val="multilevel"/>
    <w:tmpl w:val="1D62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F255B3"/>
    <w:multiLevelType w:val="multilevel"/>
    <w:tmpl w:val="D524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3A4BA5"/>
    <w:multiLevelType w:val="hybridMultilevel"/>
    <w:tmpl w:val="7EAC2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E13F73"/>
    <w:multiLevelType w:val="hybridMultilevel"/>
    <w:tmpl w:val="C7FCB7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6947F15"/>
    <w:multiLevelType w:val="multilevel"/>
    <w:tmpl w:val="18E2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6F5467"/>
    <w:multiLevelType w:val="multilevel"/>
    <w:tmpl w:val="8CD43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8C7EE2"/>
    <w:multiLevelType w:val="hybridMultilevel"/>
    <w:tmpl w:val="DF76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605AEE"/>
    <w:multiLevelType w:val="hybridMultilevel"/>
    <w:tmpl w:val="47808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290C74"/>
    <w:multiLevelType w:val="hybridMultilevel"/>
    <w:tmpl w:val="5B96D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D23899"/>
    <w:multiLevelType w:val="hybridMultilevel"/>
    <w:tmpl w:val="FF225AB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320B52"/>
    <w:multiLevelType w:val="hybridMultilevel"/>
    <w:tmpl w:val="38DA49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5C1476E"/>
    <w:multiLevelType w:val="hybridMultilevel"/>
    <w:tmpl w:val="548D5EE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B5076D2"/>
    <w:multiLevelType w:val="multilevel"/>
    <w:tmpl w:val="2CCCF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7A212D"/>
    <w:multiLevelType w:val="multilevel"/>
    <w:tmpl w:val="DB141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7A5895"/>
    <w:multiLevelType w:val="hybridMultilevel"/>
    <w:tmpl w:val="30326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8"/>
  </w:num>
  <w:num w:numId="3">
    <w:abstractNumId w:val="23"/>
  </w:num>
  <w:num w:numId="4">
    <w:abstractNumId w:val="24"/>
  </w:num>
  <w:num w:numId="5">
    <w:abstractNumId w:val="27"/>
  </w:num>
  <w:num w:numId="6">
    <w:abstractNumId w:val="38"/>
  </w:num>
  <w:num w:numId="7">
    <w:abstractNumId w:val="44"/>
  </w:num>
  <w:num w:numId="8">
    <w:abstractNumId w:val="21"/>
  </w:num>
  <w:num w:numId="9">
    <w:abstractNumId w:val="33"/>
  </w:num>
  <w:num w:numId="10">
    <w:abstractNumId w:val="5"/>
  </w:num>
  <w:num w:numId="11">
    <w:abstractNumId w:val="8"/>
  </w:num>
  <w:num w:numId="12">
    <w:abstractNumId w:val="28"/>
  </w:num>
  <w:num w:numId="13">
    <w:abstractNumId w:val="39"/>
  </w:num>
  <w:num w:numId="14">
    <w:abstractNumId w:val="16"/>
  </w:num>
  <w:num w:numId="15">
    <w:abstractNumId w:val="13"/>
  </w:num>
  <w:num w:numId="16">
    <w:abstractNumId w:val="14"/>
  </w:num>
  <w:num w:numId="17">
    <w:abstractNumId w:val="16"/>
  </w:num>
  <w:num w:numId="18">
    <w:abstractNumId w:val="39"/>
  </w:num>
  <w:num w:numId="19">
    <w:abstractNumId w:val="32"/>
  </w:num>
  <w:num w:numId="20">
    <w:abstractNumId w:val="36"/>
  </w:num>
  <w:num w:numId="21">
    <w:abstractNumId w:val="6"/>
  </w:num>
  <w:num w:numId="22">
    <w:abstractNumId w:val="22"/>
  </w:num>
  <w:num w:numId="23">
    <w:abstractNumId w:val="43"/>
  </w:num>
  <w:num w:numId="24">
    <w:abstractNumId w:val="12"/>
  </w:num>
  <w:num w:numId="25">
    <w:abstractNumId w:val="10"/>
  </w:num>
  <w:num w:numId="26">
    <w:abstractNumId w:val="7"/>
  </w:num>
  <w:num w:numId="27">
    <w:abstractNumId w:val="26"/>
  </w:num>
  <w:num w:numId="28">
    <w:abstractNumId w:val="4"/>
  </w:num>
  <w:num w:numId="29">
    <w:abstractNumId w:val="42"/>
  </w:num>
  <w:num w:numId="30">
    <w:abstractNumId w:val="17"/>
  </w:num>
  <w:num w:numId="31">
    <w:abstractNumId w:val="30"/>
  </w:num>
  <w:num w:numId="32">
    <w:abstractNumId w:val="25"/>
  </w:num>
  <w:num w:numId="33">
    <w:abstractNumId w:val="0"/>
  </w:num>
  <w:num w:numId="34">
    <w:abstractNumId w:val="2"/>
  </w:num>
  <w:num w:numId="35">
    <w:abstractNumId w:val="1"/>
  </w:num>
  <w:num w:numId="36">
    <w:abstractNumId w:val="40"/>
  </w:num>
  <w:num w:numId="37">
    <w:abstractNumId w:val="9"/>
  </w:num>
  <w:num w:numId="38">
    <w:abstractNumId w:val="41"/>
  </w:num>
  <w:num w:numId="39">
    <w:abstractNumId w:val="20"/>
  </w:num>
  <w:num w:numId="40">
    <w:abstractNumId w:val="19"/>
  </w:num>
  <w:num w:numId="41">
    <w:abstractNumId w:val="31"/>
  </w:num>
  <w:num w:numId="42">
    <w:abstractNumId w:val="29"/>
  </w:num>
  <w:num w:numId="43">
    <w:abstractNumId w:val="34"/>
  </w:num>
  <w:num w:numId="44">
    <w:abstractNumId w:val="15"/>
  </w:num>
  <w:num w:numId="45">
    <w:abstractNumId w:val="11"/>
  </w:num>
  <w:num w:numId="46">
    <w:abstractNumId w:val="3"/>
  </w:num>
  <w:num w:numId="47">
    <w:abstractNumId w:val="35"/>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olt R.I.G.">
    <w15:presenceInfo w15:providerId="AD" w15:userId="S-1-5-21-2015846570-11164191-355810188-77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nl-NL"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nb-NO" w:vendorID="64" w:dllVersion="4096" w:nlCheck="1" w:checkStyle="0"/>
  <w:activeWritingStyle w:appName="MSWord" w:lang="da-DK" w:vendorID="64" w:dllVersion="4096" w:nlCheck="1" w:checkStyle="0"/>
  <w:activeWritingStyle w:appName="MSWord" w:lang="it-IT"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de-DE" w:vendorID="64" w:dllVersion="6" w:nlCheck="1" w:checkStyle="1"/>
  <w:activeWritingStyle w:appName="MSWord" w:lang="pl-PL"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5FC"/>
    <w:rsid w:val="000004E4"/>
    <w:rsid w:val="00004276"/>
    <w:rsid w:val="0000741A"/>
    <w:rsid w:val="00007B92"/>
    <w:rsid w:val="000102A3"/>
    <w:rsid w:val="00010BE4"/>
    <w:rsid w:val="0001187D"/>
    <w:rsid w:val="00012606"/>
    <w:rsid w:val="000129A0"/>
    <w:rsid w:val="000139D0"/>
    <w:rsid w:val="00013B2E"/>
    <w:rsid w:val="00014492"/>
    <w:rsid w:val="00016872"/>
    <w:rsid w:val="000203B7"/>
    <w:rsid w:val="00021949"/>
    <w:rsid w:val="00021B17"/>
    <w:rsid w:val="00025890"/>
    <w:rsid w:val="0002773F"/>
    <w:rsid w:val="00027C90"/>
    <w:rsid w:val="00027FE1"/>
    <w:rsid w:val="0003195B"/>
    <w:rsid w:val="00032C07"/>
    <w:rsid w:val="000337B5"/>
    <w:rsid w:val="00035344"/>
    <w:rsid w:val="00035F74"/>
    <w:rsid w:val="00036D8D"/>
    <w:rsid w:val="00037764"/>
    <w:rsid w:val="0004328B"/>
    <w:rsid w:val="000444DC"/>
    <w:rsid w:val="0004492B"/>
    <w:rsid w:val="0004698E"/>
    <w:rsid w:val="00046CC5"/>
    <w:rsid w:val="00047FBF"/>
    <w:rsid w:val="00051EF8"/>
    <w:rsid w:val="000527DC"/>
    <w:rsid w:val="00054002"/>
    <w:rsid w:val="000543CF"/>
    <w:rsid w:val="000543EB"/>
    <w:rsid w:val="0005550B"/>
    <w:rsid w:val="00055D9B"/>
    <w:rsid w:val="00057AF8"/>
    <w:rsid w:val="00060CF9"/>
    <w:rsid w:val="000614C5"/>
    <w:rsid w:val="00061599"/>
    <w:rsid w:val="00061ACF"/>
    <w:rsid w:val="00061B6C"/>
    <w:rsid w:val="00061E65"/>
    <w:rsid w:val="00062B06"/>
    <w:rsid w:val="00062D07"/>
    <w:rsid w:val="00064189"/>
    <w:rsid w:val="000647C7"/>
    <w:rsid w:val="00071774"/>
    <w:rsid w:val="000719A4"/>
    <w:rsid w:val="000728B3"/>
    <w:rsid w:val="000729BC"/>
    <w:rsid w:val="00072EEC"/>
    <w:rsid w:val="00074985"/>
    <w:rsid w:val="00074B65"/>
    <w:rsid w:val="00075600"/>
    <w:rsid w:val="000756CA"/>
    <w:rsid w:val="00076CE0"/>
    <w:rsid w:val="00076F77"/>
    <w:rsid w:val="00081EE5"/>
    <w:rsid w:val="00086305"/>
    <w:rsid w:val="00086389"/>
    <w:rsid w:val="000869AC"/>
    <w:rsid w:val="00087270"/>
    <w:rsid w:val="000931E5"/>
    <w:rsid w:val="00093704"/>
    <w:rsid w:val="000962BF"/>
    <w:rsid w:val="0009661D"/>
    <w:rsid w:val="000973AE"/>
    <w:rsid w:val="000A04B4"/>
    <w:rsid w:val="000A1747"/>
    <w:rsid w:val="000A1B8F"/>
    <w:rsid w:val="000A20BE"/>
    <w:rsid w:val="000A43FD"/>
    <w:rsid w:val="000A46B3"/>
    <w:rsid w:val="000A6A69"/>
    <w:rsid w:val="000A6F5D"/>
    <w:rsid w:val="000A70FE"/>
    <w:rsid w:val="000B0DF1"/>
    <w:rsid w:val="000B1829"/>
    <w:rsid w:val="000B1C86"/>
    <w:rsid w:val="000B3082"/>
    <w:rsid w:val="000B53D7"/>
    <w:rsid w:val="000B6AC5"/>
    <w:rsid w:val="000B7E1A"/>
    <w:rsid w:val="000C01A6"/>
    <w:rsid w:val="000C13C9"/>
    <w:rsid w:val="000C1925"/>
    <w:rsid w:val="000C19EE"/>
    <w:rsid w:val="000C2364"/>
    <w:rsid w:val="000C2F1B"/>
    <w:rsid w:val="000C3C2B"/>
    <w:rsid w:val="000C6473"/>
    <w:rsid w:val="000C66F4"/>
    <w:rsid w:val="000C740D"/>
    <w:rsid w:val="000D0FE2"/>
    <w:rsid w:val="000D50DD"/>
    <w:rsid w:val="000D5BEA"/>
    <w:rsid w:val="000D7C51"/>
    <w:rsid w:val="000E0319"/>
    <w:rsid w:val="000E06D0"/>
    <w:rsid w:val="000E3D19"/>
    <w:rsid w:val="000E4633"/>
    <w:rsid w:val="000E49D8"/>
    <w:rsid w:val="000E4F12"/>
    <w:rsid w:val="000E5AB7"/>
    <w:rsid w:val="000F0283"/>
    <w:rsid w:val="000F19AA"/>
    <w:rsid w:val="000F269B"/>
    <w:rsid w:val="000F34EC"/>
    <w:rsid w:val="000F35A6"/>
    <w:rsid w:val="000F3BA5"/>
    <w:rsid w:val="000F418E"/>
    <w:rsid w:val="000F52CD"/>
    <w:rsid w:val="000F5EFE"/>
    <w:rsid w:val="000F7959"/>
    <w:rsid w:val="00101485"/>
    <w:rsid w:val="00102142"/>
    <w:rsid w:val="001033B6"/>
    <w:rsid w:val="00105237"/>
    <w:rsid w:val="0010590D"/>
    <w:rsid w:val="0010693D"/>
    <w:rsid w:val="00106F93"/>
    <w:rsid w:val="00107984"/>
    <w:rsid w:val="0011032E"/>
    <w:rsid w:val="00112917"/>
    <w:rsid w:val="001129EA"/>
    <w:rsid w:val="00112BDE"/>
    <w:rsid w:val="00113CB4"/>
    <w:rsid w:val="001145D6"/>
    <w:rsid w:val="00114BCA"/>
    <w:rsid w:val="00115B69"/>
    <w:rsid w:val="00115E7D"/>
    <w:rsid w:val="001166B6"/>
    <w:rsid w:val="0011681B"/>
    <w:rsid w:val="00117276"/>
    <w:rsid w:val="00117999"/>
    <w:rsid w:val="001205BF"/>
    <w:rsid w:val="001210CA"/>
    <w:rsid w:val="0012155C"/>
    <w:rsid w:val="0012174A"/>
    <w:rsid w:val="0012191B"/>
    <w:rsid w:val="00122673"/>
    <w:rsid w:val="0012382B"/>
    <w:rsid w:val="00123F73"/>
    <w:rsid w:val="001308D1"/>
    <w:rsid w:val="00131663"/>
    <w:rsid w:val="00133536"/>
    <w:rsid w:val="001340C8"/>
    <w:rsid w:val="001360CD"/>
    <w:rsid w:val="00136C4F"/>
    <w:rsid w:val="00140843"/>
    <w:rsid w:val="0014186E"/>
    <w:rsid w:val="00141E81"/>
    <w:rsid w:val="00142DDE"/>
    <w:rsid w:val="001434CC"/>
    <w:rsid w:val="00146490"/>
    <w:rsid w:val="00146552"/>
    <w:rsid w:val="00147D51"/>
    <w:rsid w:val="00151BE8"/>
    <w:rsid w:val="00152222"/>
    <w:rsid w:val="0015331E"/>
    <w:rsid w:val="00155844"/>
    <w:rsid w:val="001610C3"/>
    <w:rsid w:val="0016133C"/>
    <w:rsid w:val="0016212A"/>
    <w:rsid w:val="001621D7"/>
    <w:rsid w:val="001632B5"/>
    <w:rsid w:val="0016353B"/>
    <w:rsid w:val="00163B38"/>
    <w:rsid w:val="00163C6C"/>
    <w:rsid w:val="001642B7"/>
    <w:rsid w:val="00164913"/>
    <w:rsid w:val="00165F4E"/>
    <w:rsid w:val="001666E6"/>
    <w:rsid w:val="001708F5"/>
    <w:rsid w:val="0017105B"/>
    <w:rsid w:val="001711A5"/>
    <w:rsid w:val="00171E67"/>
    <w:rsid w:val="00172A63"/>
    <w:rsid w:val="00172AEE"/>
    <w:rsid w:val="00174D26"/>
    <w:rsid w:val="0017567B"/>
    <w:rsid w:val="001765FD"/>
    <w:rsid w:val="00177058"/>
    <w:rsid w:val="00177359"/>
    <w:rsid w:val="00181319"/>
    <w:rsid w:val="00181864"/>
    <w:rsid w:val="00183CE3"/>
    <w:rsid w:val="00184AE2"/>
    <w:rsid w:val="00185A09"/>
    <w:rsid w:val="00186EE3"/>
    <w:rsid w:val="00190626"/>
    <w:rsid w:val="00191454"/>
    <w:rsid w:val="001926C3"/>
    <w:rsid w:val="00192A54"/>
    <w:rsid w:val="00193430"/>
    <w:rsid w:val="00193644"/>
    <w:rsid w:val="0019450E"/>
    <w:rsid w:val="00195224"/>
    <w:rsid w:val="00195EEE"/>
    <w:rsid w:val="0019748E"/>
    <w:rsid w:val="00197776"/>
    <w:rsid w:val="001A1F7C"/>
    <w:rsid w:val="001A2925"/>
    <w:rsid w:val="001A320B"/>
    <w:rsid w:val="001A451F"/>
    <w:rsid w:val="001A74C2"/>
    <w:rsid w:val="001B06EB"/>
    <w:rsid w:val="001B2709"/>
    <w:rsid w:val="001B2BCA"/>
    <w:rsid w:val="001B2DF2"/>
    <w:rsid w:val="001B703A"/>
    <w:rsid w:val="001B7699"/>
    <w:rsid w:val="001C019D"/>
    <w:rsid w:val="001C07B6"/>
    <w:rsid w:val="001C24A5"/>
    <w:rsid w:val="001C2617"/>
    <w:rsid w:val="001C5BC0"/>
    <w:rsid w:val="001C62BE"/>
    <w:rsid w:val="001C6B21"/>
    <w:rsid w:val="001D04C6"/>
    <w:rsid w:val="001D18B1"/>
    <w:rsid w:val="001D1F2E"/>
    <w:rsid w:val="001D5192"/>
    <w:rsid w:val="001D5AAB"/>
    <w:rsid w:val="001D6234"/>
    <w:rsid w:val="001D7091"/>
    <w:rsid w:val="001E1A89"/>
    <w:rsid w:val="001E2579"/>
    <w:rsid w:val="001E395C"/>
    <w:rsid w:val="001E3D78"/>
    <w:rsid w:val="001E4004"/>
    <w:rsid w:val="001E4A9C"/>
    <w:rsid w:val="001E7D48"/>
    <w:rsid w:val="001E7DB0"/>
    <w:rsid w:val="001F1935"/>
    <w:rsid w:val="001F5639"/>
    <w:rsid w:val="001F6860"/>
    <w:rsid w:val="001F7416"/>
    <w:rsid w:val="00200179"/>
    <w:rsid w:val="002006D8"/>
    <w:rsid w:val="00201A24"/>
    <w:rsid w:val="0020512D"/>
    <w:rsid w:val="00206F75"/>
    <w:rsid w:val="0020736A"/>
    <w:rsid w:val="00211201"/>
    <w:rsid w:val="00211B9A"/>
    <w:rsid w:val="00211D4D"/>
    <w:rsid w:val="00215BC2"/>
    <w:rsid w:val="002166FC"/>
    <w:rsid w:val="00216C7E"/>
    <w:rsid w:val="00217F16"/>
    <w:rsid w:val="00224AA9"/>
    <w:rsid w:val="002269B8"/>
    <w:rsid w:val="00226CAE"/>
    <w:rsid w:val="002275BD"/>
    <w:rsid w:val="0023260A"/>
    <w:rsid w:val="002332E1"/>
    <w:rsid w:val="00233CD8"/>
    <w:rsid w:val="0023473C"/>
    <w:rsid w:val="00240BA0"/>
    <w:rsid w:val="00240F24"/>
    <w:rsid w:val="0024159C"/>
    <w:rsid w:val="00241C0E"/>
    <w:rsid w:val="002420BB"/>
    <w:rsid w:val="00242E37"/>
    <w:rsid w:val="002442B8"/>
    <w:rsid w:val="00247536"/>
    <w:rsid w:val="0024773E"/>
    <w:rsid w:val="00247D6B"/>
    <w:rsid w:val="00247D7A"/>
    <w:rsid w:val="0025069B"/>
    <w:rsid w:val="002516DF"/>
    <w:rsid w:val="00252534"/>
    <w:rsid w:val="00252713"/>
    <w:rsid w:val="00256289"/>
    <w:rsid w:val="00264D90"/>
    <w:rsid w:val="00264FF0"/>
    <w:rsid w:val="002657EF"/>
    <w:rsid w:val="002674AD"/>
    <w:rsid w:val="002707D9"/>
    <w:rsid w:val="00270CCE"/>
    <w:rsid w:val="002724C5"/>
    <w:rsid w:val="00272A7A"/>
    <w:rsid w:val="00272C3B"/>
    <w:rsid w:val="00272C57"/>
    <w:rsid w:val="00273C9D"/>
    <w:rsid w:val="00274CC7"/>
    <w:rsid w:val="002758B5"/>
    <w:rsid w:val="00275A6A"/>
    <w:rsid w:val="00280FD0"/>
    <w:rsid w:val="00282EDA"/>
    <w:rsid w:val="0028797C"/>
    <w:rsid w:val="00292423"/>
    <w:rsid w:val="002927A8"/>
    <w:rsid w:val="00292BF9"/>
    <w:rsid w:val="00293C08"/>
    <w:rsid w:val="00293D3C"/>
    <w:rsid w:val="00293E98"/>
    <w:rsid w:val="00294E2B"/>
    <w:rsid w:val="002961C1"/>
    <w:rsid w:val="00297140"/>
    <w:rsid w:val="002A0084"/>
    <w:rsid w:val="002A1F5D"/>
    <w:rsid w:val="002A1F9C"/>
    <w:rsid w:val="002A4B58"/>
    <w:rsid w:val="002A65A8"/>
    <w:rsid w:val="002B0F6C"/>
    <w:rsid w:val="002B1E59"/>
    <w:rsid w:val="002B4076"/>
    <w:rsid w:val="002B4214"/>
    <w:rsid w:val="002B42ED"/>
    <w:rsid w:val="002B57C9"/>
    <w:rsid w:val="002B5ACF"/>
    <w:rsid w:val="002B6713"/>
    <w:rsid w:val="002C3691"/>
    <w:rsid w:val="002C5FA4"/>
    <w:rsid w:val="002D0BE4"/>
    <w:rsid w:val="002D2ABB"/>
    <w:rsid w:val="002D395B"/>
    <w:rsid w:val="002D42B3"/>
    <w:rsid w:val="002D42E1"/>
    <w:rsid w:val="002D4A11"/>
    <w:rsid w:val="002D50DA"/>
    <w:rsid w:val="002D631D"/>
    <w:rsid w:val="002D6362"/>
    <w:rsid w:val="002E156B"/>
    <w:rsid w:val="002E6A6E"/>
    <w:rsid w:val="002E73E6"/>
    <w:rsid w:val="002E7B9E"/>
    <w:rsid w:val="002F2488"/>
    <w:rsid w:val="002F2649"/>
    <w:rsid w:val="002F4A3C"/>
    <w:rsid w:val="002F7172"/>
    <w:rsid w:val="003019EF"/>
    <w:rsid w:val="00301DAA"/>
    <w:rsid w:val="00303604"/>
    <w:rsid w:val="00303C8A"/>
    <w:rsid w:val="00305227"/>
    <w:rsid w:val="00305950"/>
    <w:rsid w:val="00306349"/>
    <w:rsid w:val="00306EC4"/>
    <w:rsid w:val="00314FE6"/>
    <w:rsid w:val="00315A80"/>
    <w:rsid w:val="003227B1"/>
    <w:rsid w:val="003232FC"/>
    <w:rsid w:val="0032420D"/>
    <w:rsid w:val="00326E2F"/>
    <w:rsid w:val="00327774"/>
    <w:rsid w:val="00331187"/>
    <w:rsid w:val="00331C3C"/>
    <w:rsid w:val="00332AA1"/>
    <w:rsid w:val="00335963"/>
    <w:rsid w:val="00340343"/>
    <w:rsid w:val="00345CF2"/>
    <w:rsid w:val="00347D24"/>
    <w:rsid w:val="00353568"/>
    <w:rsid w:val="00353D2E"/>
    <w:rsid w:val="00353D95"/>
    <w:rsid w:val="0035430F"/>
    <w:rsid w:val="0035461C"/>
    <w:rsid w:val="00357DB7"/>
    <w:rsid w:val="00360A48"/>
    <w:rsid w:val="0036218D"/>
    <w:rsid w:val="00363024"/>
    <w:rsid w:val="003637A7"/>
    <w:rsid w:val="00364B25"/>
    <w:rsid w:val="00364E40"/>
    <w:rsid w:val="00366B9B"/>
    <w:rsid w:val="00367AAC"/>
    <w:rsid w:val="00370F9B"/>
    <w:rsid w:val="00371167"/>
    <w:rsid w:val="003723EB"/>
    <w:rsid w:val="00373BF8"/>
    <w:rsid w:val="00373D1F"/>
    <w:rsid w:val="00374049"/>
    <w:rsid w:val="00375810"/>
    <w:rsid w:val="00375ECC"/>
    <w:rsid w:val="00376CE7"/>
    <w:rsid w:val="003776F1"/>
    <w:rsid w:val="00380E0D"/>
    <w:rsid w:val="00381860"/>
    <w:rsid w:val="00381A2C"/>
    <w:rsid w:val="00387182"/>
    <w:rsid w:val="003876AA"/>
    <w:rsid w:val="00387A17"/>
    <w:rsid w:val="003900F7"/>
    <w:rsid w:val="00390832"/>
    <w:rsid w:val="003914DF"/>
    <w:rsid w:val="00391DE2"/>
    <w:rsid w:val="00393E4E"/>
    <w:rsid w:val="00394953"/>
    <w:rsid w:val="00395E55"/>
    <w:rsid w:val="00396156"/>
    <w:rsid w:val="003A007D"/>
    <w:rsid w:val="003A06B9"/>
    <w:rsid w:val="003A29FE"/>
    <w:rsid w:val="003A3359"/>
    <w:rsid w:val="003A356A"/>
    <w:rsid w:val="003A4349"/>
    <w:rsid w:val="003A454B"/>
    <w:rsid w:val="003A4AB5"/>
    <w:rsid w:val="003A4D0C"/>
    <w:rsid w:val="003A7E10"/>
    <w:rsid w:val="003A7F21"/>
    <w:rsid w:val="003B0072"/>
    <w:rsid w:val="003B3355"/>
    <w:rsid w:val="003B39CF"/>
    <w:rsid w:val="003B44AC"/>
    <w:rsid w:val="003B6E51"/>
    <w:rsid w:val="003B7569"/>
    <w:rsid w:val="003B7FE0"/>
    <w:rsid w:val="003C0858"/>
    <w:rsid w:val="003C08CE"/>
    <w:rsid w:val="003C171A"/>
    <w:rsid w:val="003C2CBE"/>
    <w:rsid w:val="003C4EB9"/>
    <w:rsid w:val="003C57A2"/>
    <w:rsid w:val="003C5D4E"/>
    <w:rsid w:val="003C5DF6"/>
    <w:rsid w:val="003C6FF9"/>
    <w:rsid w:val="003D19B9"/>
    <w:rsid w:val="003D281F"/>
    <w:rsid w:val="003D3B42"/>
    <w:rsid w:val="003D436B"/>
    <w:rsid w:val="003D6BB0"/>
    <w:rsid w:val="003D7E3B"/>
    <w:rsid w:val="003E16DC"/>
    <w:rsid w:val="003E1886"/>
    <w:rsid w:val="003E25C7"/>
    <w:rsid w:val="003E51A2"/>
    <w:rsid w:val="003E5594"/>
    <w:rsid w:val="003E79E2"/>
    <w:rsid w:val="003E7E68"/>
    <w:rsid w:val="003F0657"/>
    <w:rsid w:val="003F11A5"/>
    <w:rsid w:val="003F35B6"/>
    <w:rsid w:val="003F3C9A"/>
    <w:rsid w:val="003F3FA8"/>
    <w:rsid w:val="003F5241"/>
    <w:rsid w:val="003F5458"/>
    <w:rsid w:val="00401773"/>
    <w:rsid w:val="00401E90"/>
    <w:rsid w:val="004021D3"/>
    <w:rsid w:val="00403B1F"/>
    <w:rsid w:val="00407316"/>
    <w:rsid w:val="0040765F"/>
    <w:rsid w:val="00407A2E"/>
    <w:rsid w:val="004101B9"/>
    <w:rsid w:val="00411D38"/>
    <w:rsid w:val="004122F2"/>
    <w:rsid w:val="00413495"/>
    <w:rsid w:val="00414667"/>
    <w:rsid w:val="00414C22"/>
    <w:rsid w:val="00417637"/>
    <w:rsid w:val="004209F3"/>
    <w:rsid w:val="00421470"/>
    <w:rsid w:val="00422497"/>
    <w:rsid w:val="00422A81"/>
    <w:rsid w:val="00425052"/>
    <w:rsid w:val="004253BD"/>
    <w:rsid w:val="004372DF"/>
    <w:rsid w:val="00440761"/>
    <w:rsid w:val="00440FCE"/>
    <w:rsid w:val="00441EDA"/>
    <w:rsid w:val="00442C49"/>
    <w:rsid w:val="00444CAE"/>
    <w:rsid w:val="0044768F"/>
    <w:rsid w:val="00450028"/>
    <w:rsid w:val="00450C68"/>
    <w:rsid w:val="00450D06"/>
    <w:rsid w:val="004520AD"/>
    <w:rsid w:val="00454101"/>
    <w:rsid w:val="0045467E"/>
    <w:rsid w:val="004556ED"/>
    <w:rsid w:val="004562EA"/>
    <w:rsid w:val="00461485"/>
    <w:rsid w:val="00462DAC"/>
    <w:rsid w:val="0046491B"/>
    <w:rsid w:val="00466E23"/>
    <w:rsid w:val="0046727D"/>
    <w:rsid w:val="00471BEC"/>
    <w:rsid w:val="00474259"/>
    <w:rsid w:val="0047447F"/>
    <w:rsid w:val="00475377"/>
    <w:rsid w:val="004757DB"/>
    <w:rsid w:val="00475B61"/>
    <w:rsid w:val="00476294"/>
    <w:rsid w:val="004774A3"/>
    <w:rsid w:val="00477D4A"/>
    <w:rsid w:val="00481B48"/>
    <w:rsid w:val="004821AF"/>
    <w:rsid w:val="004832BE"/>
    <w:rsid w:val="004836C2"/>
    <w:rsid w:val="004839DD"/>
    <w:rsid w:val="00485343"/>
    <w:rsid w:val="00485537"/>
    <w:rsid w:val="00487474"/>
    <w:rsid w:val="00490DE3"/>
    <w:rsid w:val="00491094"/>
    <w:rsid w:val="004914F0"/>
    <w:rsid w:val="00493490"/>
    <w:rsid w:val="00495684"/>
    <w:rsid w:val="00495F6B"/>
    <w:rsid w:val="00496B8A"/>
    <w:rsid w:val="00497461"/>
    <w:rsid w:val="0049791D"/>
    <w:rsid w:val="00497BA7"/>
    <w:rsid w:val="004A025F"/>
    <w:rsid w:val="004A37FE"/>
    <w:rsid w:val="004B3133"/>
    <w:rsid w:val="004B5C0E"/>
    <w:rsid w:val="004B6553"/>
    <w:rsid w:val="004B6F64"/>
    <w:rsid w:val="004B7936"/>
    <w:rsid w:val="004B7D01"/>
    <w:rsid w:val="004C1AEE"/>
    <w:rsid w:val="004C1B59"/>
    <w:rsid w:val="004C40D4"/>
    <w:rsid w:val="004C40E4"/>
    <w:rsid w:val="004C58EF"/>
    <w:rsid w:val="004D1556"/>
    <w:rsid w:val="004D3943"/>
    <w:rsid w:val="004D4362"/>
    <w:rsid w:val="004D6EE0"/>
    <w:rsid w:val="004D7058"/>
    <w:rsid w:val="004D72E4"/>
    <w:rsid w:val="004D7D19"/>
    <w:rsid w:val="004E03D6"/>
    <w:rsid w:val="004E1248"/>
    <w:rsid w:val="004E4AB8"/>
    <w:rsid w:val="004F05CD"/>
    <w:rsid w:val="004F0D31"/>
    <w:rsid w:val="004F118F"/>
    <w:rsid w:val="004F204A"/>
    <w:rsid w:val="004F25A6"/>
    <w:rsid w:val="004F273E"/>
    <w:rsid w:val="004F39C7"/>
    <w:rsid w:val="004F4B35"/>
    <w:rsid w:val="004F5945"/>
    <w:rsid w:val="004F6006"/>
    <w:rsid w:val="004F7A52"/>
    <w:rsid w:val="005006A4"/>
    <w:rsid w:val="00502045"/>
    <w:rsid w:val="0050234E"/>
    <w:rsid w:val="00503348"/>
    <w:rsid w:val="005041CD"/>
    <w:rsid w:val="00504879"/>
    <w:rsid w:val="00504E04"/>
    <w:rsid w:val="00510267"/>
    <w:rsid w:val="00511A1F"/>
    <w:rsid w:val="0051214C"/>
    <w:rsid w:val="0051234E"/>
    <w:rsid w:val="00512AAD"/>
    <w:rsid w:val="005135A5"/>
    <w:rsid w:val="00521C9F"/>
    <w:rsid w:val="00522CC8"/>
    <w:rsid w:val="005250E7"/>
    <w:rsid w:val="00526706"/>
    <w:rsid w:val="00530ABB"/>
    <w:rsid w:val="0053110B"/>
    <w:rsid w:val="00533035"/>
    <w:rsid w:val="005332DF"/>
    <w:rsid w:val="00534643"/>
    <w:rsid w:val="005369C6"/>
    <w:rsid w:val="005373CF"/>
    <w:rsid w:val="005375C2"/>
    <w:rsid w:val="00537B3D"/>
    <w:rsid w:val="00540BF4"/>
    <w:rsid w:val="00541837"/>
    <w:rsid w:val="005431A2"/>
    <w:rsid w:val="00547645"/>
    <w:rsid w:val="0055019C"/>
    <w:rsid w:val="005503E8"/>
    <w:rsid w:val="005515A4"/>
    <w:rsid w:val="00555D24"/>
    <w:rsid w:val="005575B6"/>
    <w:rsid w:val="00561F4F"/>
    <w:rsid w:val="00562051"/>
    <w:rsid w:val="00564922"/>
    <w:rsid w:val="00565769"/>
    <w:rsid w:val="00565879"/>
    <w:rsid w:val="00565ACE"/>
    <w:rsid w:val="0056682E"/>
    <w:rsid w:val="00567D76"/>
    <w:rsid w:val="005701E9"/>
    <w:rsid w:val="00573891"/>
    <w:rsid w:val="00573E3D"/>
    <w:rsid w:val="0057529E"/>
    <w:rsid w:val="00575B00"/>
    <w:rsid w:val="00575CC8"/>
    <w:rsid w:val="0058011A"/>
    <w:rsid w:val="0058033D"/>
    <w:rsid w:val="0058298F"/>
    <w:rsid w:val="00582AF6"/>
    <w:rsid w:val="0058341B"/>
    <w:rsid w:val="00583E35"/>
    <w:rsid w:val="00585489"/>
    <w:rsid w:val="00586886"/>
    <w:rsid w:val="0059004E"/>
    <w:rsid w:val="005903BE"/>
    <w:rsid w:val="00590BAB"/>
    <w:rsid w:val="0059201D"/>
    <w:rsid w:val="0059435A"/>
    <w:rsid w:val="00597B6C"/>
    <w:rsid w:val="00597D8E"/>
    <w:rsid w:val="005A313A"/>
    <w:rsid w:val="005A4294"/>
    <w:rsid w:val="005A51ED"/>
    <w:rsid w:val="005A75D1"/>
    <w:rsid w:val="005A7D18"/>
    <w:rsid w:val="005B29A3"/>
    <w:rsid w:val="005B2C8D"/>
    <w:rsid w:val="005B4136"/>
    <w:rsid w:val="005B45FD"/>
    <w:rsid w:val="005B56BA"/>
    <w:rsid w:val="005C011F"/>
    <w:rsid w:val="005C3753"/>
    <w:rsid w:val="005C53AA"/>
    <w:rsid w:val="005C5549"/>
    <w:rsid w:val="005C6019"/>
    <w:rsid w:val="005C7238"/>
    <w:rsid w:val="005C72A4"/>
    <w:rsid w:val="005C749C"/>
    <w:rsid w:val="005C7EAD"/>
    <w:rsid w:val="005D174B"/>
    <w:rsid w:val="005D1BDF"/>
    <w:rsid w:val="005D2A99"/>
    <w:rsid w:val="005D3606"/>
    <w:rsid w:val="005D7165"/>
    <w:rsid w:val="005E27B4"/>
    <w:rsid w:val="005E2F80"/>
    <w:rsid w:val="005E41E8"/>
    <w:rsid w:val="005E5A2A"/>
    <w:rsid w:val="005E6134"/>
    <w:rsid w:val="005F1178"/>
    <w:rsid w:val="005F2D04"/>
    <w:rsid w:val="005F3AE3"/>
    <w:rsid w:val="005F42C9"/>
    <w:rsid w:val="005F554B"/>
    <w:rsid w:val="005F6A42"/>
    <w:rsid w:val="00600B86"/>
    <w:rsid w:val="00600D65"/>
    <w:rsid w:val="006021F2"/>
    <w:rsid w:val="0060319F"/>
    <w:rsid w:val="00603562"/>
    <w:rsid w:val="0060377A"/>
    <w:rsid w:val="00603DB8"/>
    <w:rsid w:val="00606526"/>
    <w:rsid w:val="00612091"/>
    <w:rsid w:val="0061221F"/>
    <w:rsid w:val="00613744"/>
    <w:rsid w:val="00614005"/>
    <w:rsid w:val="006178C3"/>
    <w:rsid w:val="006205C7"/>
    <w:rsid w:val="00620751"/>
    <w:rsid w:val="00620FA8"/>
    <w:rsid w:val="006217FA"/>
    <w:rsid w:val="006218B9"/>
    <w:rsid w:val="006228DB"/>
    <w:rsid w:val="006263DB"/>
    <w:rsid w:val="00631304"/>
    <w:rsid w:val="00631E59"/>
    <w:rsid w:val="00632127"/>
    <w:rsid w:val="00632367"/>
    <w:rsid w:val="00632774"/>
    <w:rsid w:val="006331BA"/>
    <w:rsid w:val="00635643"/>
    <w:rsid w:val="00636B71"/>
    <w:rsid w:val="00637A17"/>
    <w:rsid w:val="00641912"/>
    <w:rsid w:val="006432EB"/>
    <w:rsid w:val="006434C5"/>
    <w:rsid w:val="0064380A"/>
    <w:rsid w:val="00643FF1"/>
    <w:rsid w:val="00651D79"/>
    <w:rsid w:val="00652985"/>
    <w:rsid w:val="00652E42"/>
    <w:rsid w:val="00654452"/>
    <w:rsid w:val="00654F65"/>
    <w:rsid w:val="00656F19"/>
    <w:rsid w:val="00657918"/>
    <w:rsid w:val="006603F6"/>
    <w:rsid w:val="00663829"/>
    <w:rsid w:val="00666176"/>
    <w:rsid w:val="00671412"/>
    <w:rsid w:val="00671782"/>
    <w:rsid w:val="006722DA"/>
    <w:rsid w:val="0067233B"/>
    <w:rsid w:val="00675989"/>
    <w:rsid w:val="00676E40"/>
    <w:rsid w:val="006771D3"/>
    <w:rsid w:val="00677728"/>
    <w:rsid w:val="00677EEA"/>
    <w:rsid w:val="00685630"/>
    <w:rsid w:val="00690673"/>
    <w:rsid w:val="00690DE7"/>
    <w:rsid w:val="006917B9"/>
    <w:rsid w:val="006918FB"/>
    <w:rsid w:val="0069195F"/>
    <w:rsid w:val="00693301"/>
    <w:rsid w:val="00695C0A"/>
    <w:rsid w:val="006A02C1"/>
    <w:rsid w:val="006A28BB"/>
    <w:rsid w:val="006A360F"/>
    <w:rsid w:val="006A4C2E"/>
    <w:rsid w:val="006A65AE"/>
    <w:rsid w:val="006B3379"/>
    <w:rsid w:val="006B5720"/>
    <w:rsid w:val="006C04AD"/>
    <w:rsid w:val="006C0B08"/>
    <w:rsid w:val="006C1982"/>
    <w:rsid w:val="006C43A0"/>
    <w:rsid w:val="006C4779"/>
    <w:rsid w:val="006C794B"/>
    <w:rsid w:val="006D0B60"/>
    <w:rsid w:val="006D1379"/>
    <w:rsid w:val="006D5324"/>
    <w:rsid w:val="006E0AB7"/>
    <w:rsid w:val="006E1B30"/>
    <w:rsid w:val="006E3616"/>
    <w:rsid w:val="006E439F"/>
    <w:rsid w:val="006E47B1"/>
    <w:rsid w:val="006E5484"/>
    <w:rsid w:val="006E637F"/>
    <w:rsid w:val="006E67A5"/>
    <w:rsid w:val="006E6E49"/>
    <w:rsid w:val="006E6E6D"/>
    <w:rsid w:val="006F0B22"/>
    <w:rsid w:val="006F0E55"/>
    <w:rsid w:val="006F2DF6"/>
    <w:rsid w:val="006F2FB9"/>
    <w:rsid w:val="006F3815"/>
    <w:rsid w:val="006F4BBA"/>
    <w:rsid w:val="006F5463"/>
    <w:rsid w:val="006F5739"/>
    <w:rsid w:val="006F5EAC"/>
    <w:rsid w:val="006F7EB9"/>
    <w:rsid w:val="007012AB"/>
    <w:rsid w:val="007013E7"/>
    <w:rsid w:val="00701E91"/>
    <w:rsid w:val="00705BD3"/>
    <w:rsid w:val="00705DD5"/>
    <w:rsid w:val="007061AB"/>
    <w:rsid w:val="00706F12"/>
    <w:rsid w:val="00707AF2"/>
    <w:rsid w:val="0071106B"/>
    <w:rsid w:val="007112F7"/>
    <w:rsid w:val="0071228A"/>
    <w:rsid w:val="007164E9"/>
    <w:rsid w:val="007211C5"/>
    <w:rsid w:val="007218FB"/>
    <w:rsid w:val="007222FF"/>
    <w:rsid w:val="00722CB8"/>
    <w:rsid w:val="0072362C"/>
    <w:rsid w:val="007255B1"/>
    <w:rsid w:val="00726F9A"/>
    <w:rsid w:val="00730AFA"/>
    <w:rsid w:val="00732E58"/>
    <w:rsid w:val="00732F4C"/>
    <w:rsid w:val="007348F0"/>
    <w:rsid w:val="00734A47"/>
    <w:rsid w:val="00734DC2"/>
    <w:rsid w:val="007354FE"/>
    <w:rsid w:val="00736086"/>
    <w:rsid w:val="00737458"/>
    <w:rsid w:val="00744C4C"/>
    <w:rsid w:val="00745B5E"/>
    <w:rsid w:val="00746BD9"/>
    <w:rsid w:val="007526C2"/>
    <w:rsid w:val="00755806"/>
    <w:rsid w:val="0075623F"/>
    <w:rsid w:val="00756DB5"/>
    <w:rsid w:val="00757BEE"/>
    <w:rsid w:val="00760336"/>
    <w:rsid w:val="007613CD"/>
    <w:rsid w:val="0076204D"/>
    <w:rsid w:val="007639AD"/>
    <w:rsid w:val="0076483D"/>
    <w:rsid w:val="00770097"/>
    <w:rsid w:val="00770181"/>
    <w:rsid w:val="007704F3"/>
    <w:rsid w:val="00770EE2"/>
    <w:rsid w:val="00771F5B"/>
    <w:rsid w:val="007721AC"/>
    <w:rsid w:val="007727DB"/>
    <w:rsid w:val="00774041"/>
    <w:rsid w:val="00774435"/>
    <w:rsid w:val="0077452E"/>
    <w:rsid w:val="00775731"/>
    <w:rsid w:val="00776565"/>
    <w:rsid w:val="00776CCA"/>
    <w:rsid w:val="00780108"/>
    <w:rsid w:val="00780622"/>
    <w:rsid w:val="00780E2C"/>
    <w:rsid w:val="00782C0E"/>
    <w:rsid w:val="00782E28"/>
    <w:rsid w:val="0078333B"/>
    <w:rsid w:val="00786F6B"/>
    <w:rsid w:val="00791089"/>
    <w:rsid w:val="00793109"/>
    <w:rsid w:val="00794DE0"/>
    <w:rsid w:val="00797932"/>
    <w:rsid w:val="00797FA1"/>
    <w:rsid w:val="007A05E7"/>
    <w:rsid w:val="007A1922"/>
    <w:rsid w:val="007A2325"/>
    <w:rsid w:val="007A2C6A"/>
    <w:rsid w:val="007A5794"/>
    <w:rsid w:val="007B02BF"/>
    <w:rsid w:val="007B1A25"/>
    <w:rsid w:val="007B2361"/>
    <w:rsid w:val="007B2715"/>
    <w:rsid w:val="007B2A3E"/>
    <w:rsid w:val="007B36BF"/>
    <w:rsid w:val="007B41BA"/>
    <w:rsid w:val="007B4478"/>
    <w:rsid w:val="007B64EC"/>
    <w:rsid w:val="007B721E"/>
    <w:rsid w:val="007C1274"/>
    <w:rsid w:val="007C14AB"/>
    <w:rsid w:val="007C17F1"/>
    <w:rsid w:val="007C1BFE"/>
    <w:rsid w:val="007C27D8"/>
    <w:rsid w:val="007C348A"/>
    <w:rsid w:val="007C47A4"/>
    <w:rsid w:val="007C4CFB"/>
    <w:rsid w:val="007C7240"/>
    <w:rsid w:val="007C78B1"/>
    <w:rsid w:val="007D1183"/>
    <w:rsid w:val="007D24E8"/>
    <w:rsid w:val="007D364D"/>
    <w:rsid w:val="007D4292"/>
    <w:rsid w:val="007D437F"/>
    <w:rsid w:val="007D485D"/>
    <w:rsid w:val="007D4C3E"/>
    <w:rsid w:val="007D4CCC"/>
    <w:rsid w:val="007E15CA"/>
    <w:rsid w:val="007E1994"/>
    <w:rsid w:val="007E2229"/>
    <w:rsid w:val="007E41BD"/>
    <w:rsid w:val="007E7167"/>
    <w:rsid w:val="007F182D"/>
    <w:rsid w:val="007F1833"/>
    <w:rsid w:val="007F1A0A"/>
    <w:rsid w:val="007F21B6"/>
    <w:rsid w:val="007F29D6"/>
    <w:rsid w:val="007F2A32"/>
    <w:rsid w:val="007F2F8E"/>
    <w:rsid w:val="007F3336"/>
    <w:rsid w:val="007F33D8"/>
    <w:rsid w:val="007F432A"/>
    <w:rsid w:val="007F49FB"/>
    <w:rsid w:val="007F5EF2"/>
    <w:rsid w:val="007F6240"/>
    <w:rsid w:val="008016D5"/>
    <w:rsid w:val="00802905"/>
    <w:rsid w:val="00802FBD"/>
    <w:rsid w:val="008045FC"/>
    <w:rsid w:val="00804F18"/>
    <w:rsid w:val="0080612C"/>
    <w:rsid w:val="00810B84"/>
    <w:rsid w:val="00815567"/>
    <w:rsid w:val="00816053"/>
    <w:rsid w:val="0082083B"/>
    <w:rsid w:val="00823AF9"/>
    <w:rsid w:val="008244B5"/>
    <w:rsid w:val="008275D1"/>
    <w:rsid w:val="00827C67"/>
    <w:rsid w:val="00830487"/>
    <w:rsid w:val="00830ADC"/>
    <w:rsid w:val="00831548"/>
    <w:rsid w:val="00831560"/>
    <w:rsid w:val="0083280C"/>
    <w:rsid w:val="00834A8D"/>
    <w:rsid w:val="00835A6A"/>
    <w:rsid w:val="00835E2E"/>
    <w:rsid w:val="00836A64"/>
    <w:rsid w:val="00837318"/>
    <w:rsid w:val="008418AC"/>
    <w:rsid w:val="0084702B"/>
    <w:rsid w:val="0084799B"/>
    <w:rsid w:val="00854163"/>
    <w:rsid w:val="008561D0"/>
    <w:rsid w:val="00856F47"/>
    <w:rsid w:val="00857050"/>
    <w:rsid w:val="00857198"/>
    <w:rsid w:val="00857566"/>
    <w:rsid w:val="00857CFC"/>
    <w:rsid w:val="008603CA"/>
    <w:rsid w:val="00860C30"/>
    <w:rsid w:val="00861690"/>
    <w:rsid w:val="00864311"/>
    <w:rsid w:val="00864A99"/>
    <w:rsid w:val="00865296"/>
    <w:rsid w:val="008654D8"/>
    <w:rsid w:val="00866921"/>
    <w:rsid w:val="0087013F"/>
    <w:rsid w:val="00870814"/>
    <w:rsid w:val="00873561"/>
    <w:rsid w:val="008736E6"/>
    <w:rsid w:val="00873CDF"/>
    <w:rsid w:val="00874E96"/>
    <w:rsid w:val="00874F88"/>
    <w:rsid w:val="00876523"/>
    <w:rsid w:val="00876526"/>
    <w:rsid w:val="00876713"/>
    <w:rsid w:val="00877B7B"/>
    <w:rsid w:val="0088079A"/>
    <w:rsid w:val="00881577"/>
    <w:rsid w:val="0088160E"/>
    <w:rsid w:val="00881891"/>
    <w:rsid w:val="0088788D"/>
    <w:rsid w:val="00891086"/>
    <w:rsid w:val="008913A0"/>
    <w:rsid w:val="00891435"/>
    <w:rsid w:val="008937EE"/>
    <w:rsid w:val="00894EB5"/>
    <w:rsid w:val="0089531C"/>
    <w:rsid w:val="008965FB"/>
    <w:rsid w:val="00896918"/>
    <w:rsid w:val="00896E81"/>
    <w:rsid w:val="00897656"/>
    <w:rsid w:val="008A3726"/>
    <w:rsid w:val="008A4B42"/>
    <w:rsid w:val="008A5423"/>
    <w:rsid w:val="008A55AF"/>
    <w:rsid w:val="008A590C"/>
    <w:rsid w:val="008A6DE4"/>
    <w:rsid w:val="008B03BF"/>
    <w:rsid w:val="008B07CB"/>
    <w:rsid w:val="008B38E3"/>
    <w:rsid w:val="008B52B9"/>
    <w:rsid w:val="008B55E7"/>
    <w:rsid w:val="008C0188"/>
    <w:rsid w:val="008C22B0"/>
    <w:rsid w:val="008C6A3E"/>
    <w:rsid w:val="008C79CA"/>
    <w:rsid w:val="008D3521"/>
    <w:rsid w:val="008D3707"/>
    <w:rsid w:val="008D3758"/>
    <w:rsid w:val="008D388D"/>
    <w:rsid w:val="008D398B"/>
    <w:rsid w:val="008D3C21"/>
    <w:rsid w:val="008D3D62"/>
    <w:rsid w:val="008D4111"/>
    <w:rsid w:val="008D41A1"/>
    <w:rsid w:val="008D4AAF"/>
    <w:rsid w:val="008D5D18"/>
    <w:rsid w:val="008D6F76"/>
    <w:rsid w:val="008D7E9A"/>
    <w:rsid w:val="008E0C17"/>
    <w:rsid w:val="008E1303"/>
    <w:rsid w:val="008E3AE2"/>
    <w:rsid w:val="008E453C"/>
    <w:rsid w:val="008E4C6E"/>
    <w:rsid w:val="008E55C7"/>
    <w:rsid w:val="008E56C6"/>
    <w:rsid w:val="008F1269"/>
    <w:rsid w:val="008F213E"/>
    <w:rsid w:val="008F2468"/>
    <w:rsid w:val="008F2628"/>
    <w:rsid w:val="008F27D9"/>
    <w:rsid w:val="008F6546"/>
    <w:rsid w:val="008F7705"/>
    <w:rsid w:val="00900CE3"/>
    <w:rsid w:val="009070D5"/>
    <w:rsid w:val="0090734C"/>
    <w:rsid w:val="00910721"/>
    <w:rsid w:val="00911E6F"/>
    <w:rsid w:val="00912B68"/>
    <w:rsid w:val="00920529"/>
    <w:rsid w:val="00920C2B"/>
    <w:rsid w:val="009213C0"/>
    <w:rsid w:val="00923495"/>
    <w:rsid w:val="00924335"/>
    <w:rsid w:val="00924517"/>
    <w:rsid w:val="00924D49"/>
    <w:rsid w:val="009253EA"/>
    <w:rsid w:val="0092652A"/>
    <w:rsid w:val="009269D3"/>
    <w:rsid w:val="00926D09"/>
    <w:rsid w:val="00926DFA"/>
    <w:rsid w:val="00927A4F"/>
    <w:rsid w:val="00931106"/>
    <w:rsid w:val="009324BD"/>
    <w:rsid w:val="00933D3E"/>
    <w:rsid w:val="00933D7B"/>
    <w:rsid w:val="00934282"/>
    <w:rsid w:val="0093697E"/>
    <w:rsid w:val="009369AF"/>
    <w:rsid w:val="00937F31"/>
    <w:rsid w:val="009405F0"/>
    <w:rsid w:val="0094525F"/>
    <w:rsid w:val="009454FA"/>
    <w:rsid w:val="00945BC8"/>
    <w:rsid w:val="00946860"/>
    <w:rsid w:val="009470FB"/>
    <w:rsid w:val="009517D4"/>
    <w:rsid w:val="00951800"/>
    <w:rsid w:val="00952C3A"/>
    <w:rsid w:val="00952F4E"/>
    <w:rsid w:val="00954BE3"/>
    <w:rsid w:val="00955C7C"/>
    <w:rsid w:val="0095636B"/>
    <w:rsid w:val="00957DEC"/>
    <w:rsid w:val="00957FA2"/>
    <w:rsid w:val="009621C2"/>
    <w:rsid w:val="00962873"/>
    <w:rsid w:val="00963434"/>
    <w:rsid w:val="00965E11"/>
    <w:rsid w:val="0096750A"/>
    <w:rsid w:val="00970EC3"/>
    <w:rsid w:val="00971041"/>
    <w:rsid w:val="0097375C"/>
    <w:rsid w:val="00975907"/>
    <w:rsid w:val="00976B1A"/>
    <w:rsid w:val="00976FEB"/>
    <w:rsid w:val="00977D5A"/>
    <w:rsid w:val="00981294"/>
    <w:rsid w:val="009835DF"/>
    <w:rsid w:val="009836AA"/>
    <w:rsid w:val="009871C3"/>
    <w:rsid w:val="009957B3"/>
    <w:rsid w:val="009A0988"/>
    <w:rsid w:val="009A0A76"/>
    <w:rsid w:val="009A0EDD"/>
    <w:rsid w:val="009A1944"/>
    <w:rsid w:val="009A2583"/>
    <w:rsid w:val="009A3939"/>
    <w:rsid w:val="009A6FB3"/>
    <w:rsid w:val="009A7912"/>
    <w:rsid w:val="009A7B25"/>
    <w:rsid w:val="009B0B68"/>
    <w:rsid w:val="009B1002"/>
    <w:rsid w:val="009B127D"/>
    <w:rsid w:val="009B13EC"/>
    <w:rsid w:val="009B2120"/>
    <w:rsid w:val="009B24ED"/>
    <w:rsid w:val="009B2C2E"/>
    <w:rsid w:val="009B38C7"/>
    <w:rsid w:val="009B6376"/>
    <w:rsid w:val="009C2566"/>
    <w:rsid w:val="009C6060"/>
    <w:rsid w:val="009C6443"/>
    <w:rsid w:val="009C7D26"/>
    <w:rsid w:val="009D0D96"/>
    <w:rsid w:val="009D2D0B"/>
    <w:rsid w:val="009D2D8D"/>
    <w:rsid w:val="009D3238"/>
    <w:rsid w:val="009D34A0"/>
    <w:rsid w:val="009D354B"/>
    <w:rsid w:val="009D3580"/>
    <w:rsid w:val="009D4E13"/>
    <w:rsid w:val="009D5CA9"/>
    <w:rsid w:val="009D63DA"/>
    <w:rsid w:val="009D776C"/>
    <w:rsid w:val="009E0000"/>
    <w:rsid w:val="009E1833"/>
    <w:rsid w:val="009E19AC"/>
    <w:rsid w:val="009E20DE"/>
    <w:rsid w:val="009E2746"/>
    <w:rsid w:val="009E33B7"/>
    <w:rsid w:val="009E382E"/>
    <w:rsid w:val="009E5CCC"/>
    <w:rsid w:val="009E7776"/>
    <w:rsid w:val="009F1518"/>
    <w:rsid w:val="009F1AC1"/>
    <w:rsid w:val="009F1CCB"/>
    <w:rsid w:val="009F2FBD"/>
    <w:rsid w:val="009F4826"/>
    <w:rsid w:val="009F4C38"/>
    <w:rsid w:val="009F5238"/>
    <w:rsid w:val="009F6CFA"/>
    <w:rsid w:val="00A02DFC"/>
    <w:rsid w:val="00A0321E"/>
    <w:rsid w:val="00A040E9"/>
    <w:rsid w:val="00A06C74"/>
    <w:rsid w:val="00A07D84"/>
    <w:rsid w:val="00A10D36"/>
    <w:rsid w:val="00A12F8F"/>
    <w:rsid w:val="00A139C8"/>
    <w:rsid w:val="00A14A64"/>
    <w:rsid w:val="00A14C89"/>
    <w:rsid w:val="00A158E6"/>
    <w:rsid w:val="00A16875"/>
    <w:rsid w:val="00A176AE"/>
    <w:rsid w:val="00A2140D"/>
    <w:rsid w:val="00A225CA"/>
    <w:rsid w:val="00A23731"/>
    <w:rsid w:val="00A251AD"/>
    <w:rsid w:val="00A25580"/>
    <w:rsid w:val="00A2567E"/>
    <w:rsid w:val="00A25BCD"/>
    <w:rsid w:val="00A2660D"/>
    <w:rsid w:val="00A269A9"/>
    <w:rsid w:val="00A27062"/>
    <w:rsid w:val="00A27330"/>
    <w:rsid w:val="00A32FC0"/>
    <w:rsid w:val="00A33F9D"/>
    <w:rsid w:val="00A349A3"/>
    <w:rsid w:val="00A37476"/>
    <w:rsid w:val="00A374AA"/>
    <w:rsid w:val="00A403D6"/>
    <w:rsid w:val="00A40609"/>
    <w:rsid w:val="00A406B6"/>
    <w:rsid w:val="00A423C4"/>
    <w:rsid w:val="00A42893"/>
    <w:rsid w:val="00A439FC"/>
    <w:rsid w:val="00A44D2E"/>
    <w:rsid w:val="00A45698"/>
    <w:rsid w:val="00A4798A"/>
    <w:rsid w:val="00A517FF"/>
    <w:rsid w:val="00A52FB5"/>
    <w:rsid w:val="00A53759"/>
    <w:rsid w:val="00A537F8"/>
    <w:rsid w:val="00A53FB7"/>
    <w:rsid w:val="00A55BBB"/>
    <w:rsid w:val="00A56154"/>
    <w:rsid w:val="00A567B5"/>
    <w:rsid w:val="00A568D2"/>
    <w:rsid w:val="00A57498"/>
    <w:rsid w:val="00A608A4"/>
    <w:rsid w:val="00A61EF0"/>
    <w:rsid w:val="00A62362"/>
    <w:rsid w:val="00A63781"/>
    <w:rsid w:val="00A640F2"/>
    <w:rsid w:val="00A649C9"/>
    <w:rsid w:val="00A64B73"/>
    <w:rsid w:val="00A67A21"/>
    <w:rsid w:val="00A7339F"/>
    <w:rsid w:val="00A734BE"/>
    <w:rsid w:val="00A7370E"/>
    <w:rsid w:val="00A73BEA"/>
    <w:rsid w:val="00A75150"/>
    <w:rsid w:val="00A75C61"/>
    <w:rsid w:val="00A765E6"/>
    <w:rsid w:val="00A7691E"/>
    <w:rsid w:val="00A819F3"/>
    <w:rsid w:val="00A82DBC"/>
    <w:rsid w:val="00A83363"/>
    <w:rsid w:val="00A84BEF"/>
    <w:rsid w:val="00A858D0"/>
    <w:rsid w:val="00A9179C"/>
    <w:rsid w:val="00A92402"/>
    <w:rsid w:val="00A94109"/>
    <w:rsid w:val="00A94A78"/>
    <w:rsid w:val="00A966F7"/>
    <w:rsid w:val="00A96C13"/>
    <w:rsid w:val="00A9782B"/>
    <w:rsid w:val="00A97D73"/>
    <w:rsid w:val="00AA0F16"/>
    <w:rsid w:val="00AA12FC"/>
    <w:rsid w:val="00AA1ACB"/>
    <w:rsid w:val="00AA626E"/>
    <w:rsid w:val="00AA70ED"/>
    <w:rsid w:val="00AB00C7"/>
    <w:rsid w:val="00AB0761"/>
    <w:rsid w:val="00AB2648"/>
    <w:rsid w:val="00AB4910"/>
    <w:rsid w:val="00AB4EB5"/>
    <w:rsid w:val="00AB54AC"/>
    <w:rsid w:val="00AB5DB5"/>
    <w:rsid w:val="00AB6BD2"/>
    <w:rsid w:val="00AB6F9C"/>
    <w:rsid w:val="00AB74A8"/>
    <w:rsid w:val="00AC0910"/>
    <w:rsid w:val="00AC0A07"/>
    <w:rsid w:val="00AC0F2A"/>
    <w:rsid w:val="00AC10BD"/>
    <w:rsid w:val="00AC11E9"/>
    <w:rsid w:val="00AC1C7F"/>
    <w:rsid w:val="00AC1FED"/>
    <w:rsid w:val="00AC4B72"/>
    <w:rsid w:val="00AC700F"/>
    <w:rsid w:val="00AC743F"/>
    <w:rsid w:val="00AD22AC"/>
    <w:rsid w:val="00AD3F01"/>
    <w:rsid w:val="00AD494E"/>
    <w:rsid w:val="00AD71DE"/>
    <w:rsid w:val="00AD7739"/>
    <w:rsid w:val="00AE1148"/>
    <w:rsid w:val="00AE1415"/>
    <w:rsid w:val="00AE15CC"/>
    <w:rsid w:val="00AE3366"/>
    <w:rsid w:val="00AE37B2"/>
    <w:rsid w:val="00AE55A9"/>
    <w:rsid w:val="00AE561C"/>
    <w:rsid w:val="00AE64DF"/>
    <w:rsid w:val="00AE66BE"/>
    <w:rsid w:val="00AF2745"/>
    <w:rsid w:val="00AF3542"/>
    <w:rsid w:val="00AF520A"/>
    <w:rsid w:val="00AF5B26"/>
    <w:rsid w:val="00AF6982"/>
    <w:rsid w:val="00AF7908"/>
    <w:rsid w:val="00B0094E"/>
    <w:rsid w:val="00B0144B"/>
    <w:rsid w:val="00B02C53"/>
    <w:rsid w:val="00B03D24"/>
    <w:rsid w:val="00B0496C"/>
    <w:rsid w:val="00B05EEF"/>
    <w:rsid w:val="00B0658B"/>
    <w:rsid w:val="00B066AA"/>
    <w:rsid w:val="00B068DC"/>
    <w:rsid w:val="00B10C7C"/>
    <w:rsid w:val="00B125F2"/>
    <w:rsid w:val="00B13823"/>
    <w:rsid w:val="00B141CD"/>
    <w:rsid w:val="00B145E7"/>
    <w:rsid w:val="00B175A2"/>
    <w:rsid w:val="00B17DCD"/>
    <w:rsid w:val="00B2283F"/>
    <w:rsid w:val="00B24735"/>
    <w:rsid w:val="00B24FA7"/>
    <w:rsid w:val="00B25F98"/>
    <w:rsid w:val="00B279F3"/>
    <w:rsid w:val="00B3041A"/>
    <w:rsid w:val="00B3148D"/>
    <w:rsid w:val="00B32614"/>
    <w:rsid w:val="00B32D72"/>
    <w:rsid w:val="00B32DAF"/>
    <w:rsid w:val="00B35D2D"/>
    <w:rsid w:val="00B360B7"/>
    <w:rsid w:val="00B36673"/>
    <w:rsid w:val="00B40A0D"/>
    <w:rsid w:val="00B41463"/>
    <w:rsid w:val="00B42CA1"/>
    <w:rsid w:val="00B430C6"/>
    <w:rsid w:val="00B4402C"/>
    <w:rsid w:val="00B45136"/>
    <w:rsid w:val="00B4546E"/>
    <w:rsid w:val="00B51C49"/>
    <w:rsid w:val="00B5208F"/>
    <w:rsid w:val="00B52CE7"/>
    <w:rsid w:val="00B55C9B"/>
    <w:rsid w:val="00B56619"/>
    <w:rsid w:val="00B56F51"/>
    <w:rsid w:val="00B60944"/>
    <w:rsid w:val="00B61240"/>
    <w:rsid w:val="00B656D3"/>
    <w:rsid w:val="00B65AB9"/>
    <w:rsid w:val="00B701AF"/>
    <w:rsid w:val="00B7225A"/>
    <w:rsid w:val="00B732E6"/>
    <w:rsid w:val="00B74550"/>
    <w:rsid w:val="00B7633E"/>
    <w:rsid w:val="00B7692B"/>
    <w:rsid w:val="00B81BB5"/>
    <w:rsid w:val="00B82B53"/>
    <w:rsid w:val="00B82C98"/>
    <w:rsid w:val="00B82FB5"/>
    <w:rsid w:val="00B84F79"/>
    <w:rsid w:val="00B860A6"/>
    <w:rsid w:val="00B8742B"/>
    <w:rsid w:val="00B87C09"/>
    <w:rsid w:val="00B9205A"/>
    <w:rsid w:val="00B92FA7"/>
    <w:rsid w:val="00B9446E"/>
    <w:rsid w:val="00B956E3"/>
    <w:rsid w:val="00B97635"/>
    <w:rsid w:val="00BA2F0B"/>
    <w:rsid w:val="00BA3AF8"/>
    <w:rsid w:val="00BA3B4C"/>
    <w:rsid w:val="00BB3A40"/>
    <w:rsid w:val="00BC2D46"/>
    <w:rsid w:val="00BC307A"/>
    <w:rsid w:val="00BC3350"/>
    <w:rsid w:val="00BC37D7"/>
    <w:rsid w:val="00BC45E6"/>
    <w:rsid w:val="00BC4685"/>
    <w:rsid w:val="00BC6E30"/>
    <w:rsid w:val="00BC6FC0"/>
    <w:rsid w:val="00BC72FE"/>
    <w:rsid w:val="00BC7C97"/>
    <w:rsid w:val="00BC7F82"/>
    <w:rsid w:val="00BD28AA"/>
    <w:rsid w:val="00BD3BC2"/>
    <w:rsid w:val="00BD3BD4"/>
    <w:rsid w:val="00BD49EA"/>
    <w:rsid w:val="00BD5018"/>
    <w:rsid w:val="00BD651C"/>
    <w:rsid w:val="00BE38E7"/>
    <w:rsid w:val="00BE4162"/>
    <w:rsid w:val="00BE4B87"/>
    <w:rsid w:val="00BE5873"/>
    <w:rsid w:val="00BE6925"/>
    <w:rsid w:val="00BF02C9"/>
    <w:rsid w:val="00BF180C"/>
    <w:rsid w:val="00BF6A56"/>
    <w:rsid w:val="00BF761C"/>
    <w:rsid w:val="00BF7A92"/>
    <w:rsid w:val="00C0009C"/>
    <w:rsid w:val="00C05681"/>
    <w:rsid w:val="00C06A2C"/>
    <w:rsid w:val="00C0702A"/>
    <w:rsid w:val="00C07A5E"/>
    <w:rsid w:val="00C100BD"/>
    <w:rsid w:val="00C10442"/>
    <w:rsid w:val="00C1167E"/>
    <w:rsid w:val="00C11876"/>
    <w:rsid w:val="00C1682C"/>
    <w:rsid w:val="00C16A25"/>
    <w:rsid w:val="00C17450"/>
    <w:rsid w:val="00C17F72"/>
    <w:rsid w:val="00C17FF2"/>
    <w:rsid w:val="00C2165B"/>
    <w:rsid w:val="00C228B8"/>
    <w:rsid w:val="00C22B19"/>
    <w:rsid w:val="00C24501"/>
    <w:rsid w:val="00C2475C"/>
    <w:rsid w:val="00C318FD"/>
    <w:rsid w:val="00C31F54"/>
    <w:rsid w:val="00C33916"/>
    <w:rsid w:val="00C34EDB"/>
    <w:rsid w:val="00C3658B"/>
    <w:rsid w:val="00C36DAD"/>
    <w:rsid w:val="00C40BDF"/>
    <w:rsid w:val="00C41C5B"/>
    <w:rsid w:val="00C449CD"/>
    <w:rsid w:val="00C44BEE"/>
    <w:rsid w:val="00C45360"/>
    <w:rsid w:val="00C45DAC"/>
    <w:rsid w:val="00C500E9"/>
    <w:rsid w:val="00C503B3"/>
    <w:rsid w:val="00C51194"/>
    <w:rsid w:val="00C51B21"/>
    <w:rsid w:val="00C51DC3"/>
    <w:rsid w:val="00C54FBC"/>
    <w:rsid w:val="00C55823"/>
    <w:rsid w:val="00C57784"/>
    <w:rsid w:val="00C57DDF"/>
    <w:rsid w:val="00C62F2E"/>
    <w:rsid w:val="00C64491"/>
    <w:rsid w:val="00C647ED"/>
    <w:rsid w:val="00C6504B"/>
    <w:rsid w:val="00C66F0B"/>
    <w:rsid w:val="00C67C50"/>
    <w:rsid w:val="00C705A3"/>
    <w:rsid w:val="00C70E31"/>
    <w:rsid w:val="00C719A2"/>
    <w:rsid w:val="00C72A5C"/>
    <w:rsid w:val="00C751DF"/>
    <w:rsid w:val="00C77085"/>
    <w:rsid w:val="00C77472"/>
    <w:rsid w:val="00C80032"/>
    <w:rsid w:val="00C8261C"/>
    <w:rsid w:val="00C83BE9"/>
    <w:rsid w:val="00C83C27"/>
    <w:rsid w:val="00C873E0"/>
    <w:rsid w:val="00C90281"/>
    <w:rsid w:val="00C90977"/>
    <w:rsid w:val="00C916E2"/>
    <w:rsid w:val="00C9474E"/>
    <w:rsid w:val="00C95934"/>
    <w:rsid w:val="00C9663F"/>
    <w:rsid w:val="00C96A36"/>
    <w:rsid w:val="00C9777D"/>
    <w:rsid w:val="00CA060C"/>
    <w:rsid w:val="00CA08BF"/>
    <w:rsid w:val="00CA1B7C"/>
    <w:rsid w:val="00CA394F"/>
    <w:rsid w:val="00CA439B"/>
    <w:rsid w:val="00CA50AB"/>
    <w:rsid w:val="00CA571C"/>
    <w:rsid w:val="00CA59E4"/>
    <w:rsid w:val="00CA6CB2"/>
    <w:rsid w:val="00CA7788"/>
    <w:rsid w:val="00CA7915"/>
    <w:rsid w:val="00CA7AD7"/>
    <w:rsid w:val="00CB0922"/>
    <w:rsid w:val="00CB2155"/>
    <w:rsid w:val="00CB292C"/>
    <w:rsid w:val="00CB5594"/>
    <w:rsid w:val="00CB56D6"/>
    <w:rsid w:val="00CB6FC2"/>
    <w:rsid w:val="00CC00B5"/>
    <w:rsid w:val="00CC02AB"/>
    <w:rsid w:val="00CC0485"/>
    <w:rsid w:val="00CC2D44"/>
    <w:rsid w:val="00CC2E1F"/>
    <w:rsid w:val="00CC3DCD"/>
    <w:rsid w:val="00CD3D85"/>
    <w:rsid w:val="00CD3EB1"/>
    <w:rsid w:val="00CD4CB1"/>
    <w:rsid w:val="00CE0E7B"/>
    <w:rsid w:val="00CE14E7"/>
    <w:rsid w:val="00CE1823"/>
    <w:rsid w:val="00CE3ED3"/>
    <w:rsid w:val="00CE4F5F"/>
    <w:rsid w:val="00CE717B"/>
    <w:rsid w:val="00CF04C3"/>
    <w:rsid w:val="00CF062B"/>
    <w:rsid w:val="00CF1EBE"/>
    <w:rsid w:val="00CF2915"/>
    <w:rsid w:val="00CF3A2A"/>
    <w:rsid w:val="00CF4975"/>
    <w:rsid w:val="00CF7626"/>
    <w:rsid w:val="00CF7AB6"/>
    <w:rsid w:val="00D073B6"/>
    <w:rsid w:val="00D1486F"/>
    <w:rsid w:val="00D151BB"/>
    <w:rsid w:val="00D16331"/>
    <w:rsid w:val="00D16B77"/>
    <w:rsid w:val="00D17211"/>
    <w:rsid w:val="00D217F6"/>
    <w:rsid w:val="00D219E5"/>
    <w:rsid w:val="00D21E48"/>
    <w:rsid w:val="00D273FB"/>
    <w:rsid w:val="00D27492"/>
    <w:rsid w:val="00D27E0B"/>
    <w:rsid w:val="00D3079A"/>
    <w:rsid w:val="00D32EC2"/>
    <w:rsid w:val="00D33DA5"/>
    <w:rsid w:val="00D3598D"/>
    <w:rsid w:val="00D35E9D"/>
    <w:rsid w:val="00D37459"/>
    <w:rsid w:val="00D378B6"/>
    <w:rsid w:val="00D40082"/>
    <w:rsid w:val="00D42097"/>
    <w:rsid w:val="00D4488A"/>
    <w:rsid w:val="00D44F5C"/>
    <w:rsid w:val="00D477AD"/>
    <w:rsid w:val="00D5033F"/>
    <w:rsid w:val="00D504A7"/>
    <w:rsid w:val="00D5083B"/>
    <w:rsid w:val="00D50C68"/>
    <w:rsid w:val="00D536E7"/>
    <w:rsid w:val="00D54634"/>
    <w:rsid w:val="00D55EA5"/>
    <w:rsid w:val="00D57657"/>
    <w:rsid w:val="00D57D3B"/>
    <w:rsid w:val="00D608CE"/>
    <w:rsid w:val="00D61F74"/>
    <w:rsid w:val="00D62D87"/>
    <w:rsid w:val="00D6402D"/>
    <w:rsid w:val="00D71EDB"/>
    <w:rsid w:val="00D735E8"/>
    <w:rsid w:val="00D7392F"/>
    <w:rsid w:val="00D7422B"/>
    <w:rsid w:val="00D74EA9"/>
    <w:rsid w:val="00D76388"/>
    <w:rsid w:val="00D76F38"/>
    <w:rsid w:val="00D76F42"/>
    <w:rsid w:val="00D77FA7"/>
    <w:rsid w:val="00D80E62"/>
    <w:rsid w:val="00D80F23"/>
    <w:rsid w:val="00D81DB5"/>
    <w:rsid w:val="00D859CA"/>
    <w:rsid w:val="00D870AE"/>
    <w:rsid w:val="00D87301"/>
    <w:rsid w:val="00D90712"/>
    <w:rsid w:val="00D9093C"/>
    <w:rsid w:val="00D90958"/>
    <w:rsid w:val="00D90DF8"/>
    <w:rsid w:val="00D910D0"/>
    <w:rsid w:val="00D92881"/>
    <w:rsid w:val="00D95A2A"/>
    <w:rsid w:val="00D964EE"/>
    <w:rsid w:val="00D96B95"/>
    <w:rsid w:val="00D96F28"/>
    <w:rsid w:val="00D97922"/>
    <w:rsid w:val="00DA1A3B"/>
    <w:rsid w:val="00DA1E5E"/>
    <w:rsid w:val="00DA49F9"/>
    <w:rsid w:val="00DA7729"/>
    <w:rsid w:val="00DB1FDB"/>
    <w:rsid w:val="00DB2296"/>
    <w:rsid w:val="00DB4462"/>
    <w:rsid w:val="00DB4967"/>
    <w:rsid w:val="00DB665E"/>
    <w:rsid w:val="00DC07AB"/>
    <w:rsid w:val="00DC0A6A"/>
    <w:rsid w:val="00DC46AF"/>
    <w:rsid w:val="00DC4ABB"/>
    <w:rsid w:val="00DC6551"/>
    <w:rsid w:val="00DD142B"/>
    <w:rsid w:val="00DD3879"/>
    <w:rsid w:val="00DD3E9E"/>
    <w:rsid w:val="00DD4247"/>
    <w:rsid w:val="00DD4FB3"/>
    <w:rsid w:val="00DD558C"/>
    <w:rsid w:val="00DD77A2"/>
    <w:rsid w:val="00DE1AAB"/>
    <w:rsid w:val="00DE21CE"/>
    <w:rsid w:val="00DE3CCF"/>
    <w:rsid w:val="00DE50D9"/>
    <w:rsid w:val="00DE5217"/>
    <w:rsid w:val="00DF4902"/>
    <w:rsid w:val="00DF4965"/>
    <w:rsid w:val="00DF4B21"/>
    <w:rsid w:val="00DF4F17"/>
    <w:rsid w:val="00DF5591"/>
    <w:rsid w:val="00DF5640"/>
    <w:rsid w:val="00E014C2"/>
    <w:rsid w:val="00E03D28"/>
    <w:rsid w:val="00E04022"/>
    <w:rsid w:val="00E046FE"/>
    <w:rsid w:val="00E05BB3"/>
    <w:rsid w:val="00E05EC5"/>
    <w:rsid w:val="00E075E9"/>
    <w:rsid w:val="00E11524"/>
    <w:rsid w:val="00E118C4"/>
    <w:rsid w:val="00E127B1"/>
    <w:rsid w:val="00E1304D"/>
    <w:rsid w:val="00E138B0"/>
    <w:rsid w:val="00E13E1D"/>
    <w:rsid w:val="00E1572A"/>
    <w:rsid w:val="00E170D9"/>
    <w:rsid w:val="00E17B31"/>
    <w:rsid w:val="00E218DA"/>
    <w:rsid w:val="00E21F70"/>
    <w:rsid w:val="00E224DD"/>
    <w:rsid w:val="00E22EDB"/>
    <w:rsid w:val="00E23524"/>
    <w:rsid w:val="00E30BC5"/>
    <w:rsid w:val="00E34262"/>
    <w:rsid w:val="00E366B4"/>
    <w:rsid w:val="00E40022"/>
    <w:rsid w:val="00E41ADA"/>
    <w:rsid w:val="00E437CD"/>
    <w:rsid w:val="00E43C51"/>
    <w:rsid w:val="00E43EBC"/>
    <w:rsid w:val="00E44FAA"/>
    <w:rsid w:val="00E45C28"/>
    <w:rsid w:val="00E501DB"/>
    <w:rsid w:val="00E506D0"/>
    <w:rsid w:val="00E5118D"/>
    <w:rsid w:val="00E51762"/>
    <w:rsid w:val="00E536F4"/>
    <w:rsid w:val="00E54FC9"/>
    <w:rsid w:val="00E55B06"/>
    <w:rsid w:val="00E56C8B"/>
    <w:rsid w:val="00E56D59"/>
    <w:rsid w:val="00E615B3"/>
    <w:rsid w:val="00E631E5"/>
    <w:rsid w:val="00E64AE4"/>
    <w:rsid w:val="00E6587C"/>
    <w:rsid w:val="00E67DD0"/>
    <w:rsid w:val="00E708F4"/>
    <w:rsid w:val="00E70D07"/>
    <w:rsid w:val="00E71076"/>
    <w:rsid w:val="00E7183C"/>
    <w:rsid w:val="00E71E04"/>
    <w:rsid w:val="00E729B2"/>
    <w:rsid w:val="00E72FE8"/>
    <w:rsid w:val="00E745D0"/>
    <w:rsid w:val="00E81949"/>
    <w:rsid w:val="00E8279C"/>
    <w:rsid w:val="00E82BA6"/>
    <w:rsid w:val="00E841C4"/>
    <w:rsid w:val="00E842F3"/>
    <w:rsid w:val="00E84F1E"/>
    <w:rsid w:val="00E85581"/>
    <w:rsid w:val="00E856D5"/>
    <w:rsid w:val="00E87D5E"/>
    <w:rsid w:val="00E97C21"/>
    <w:rsid w:val="00EA0855"/>
    <w:rsid w:val="00EA0B6B"/>
    <w:rsid w:val="00EA0F98"/>
    <w:rsid w:val="00EA179B"/>
    <w:rsid w:val="00EA1D92"/>
    <w:rsid w:val="00EA1E65"/>
    <w:rsid w:val="00EA24E3"/>
    <w:rsid w:val="00EA2C67"/>
    <w:rsid w:val="00EA3D4C"/>
    <w:rsid w:val="00EA41BF"/>
    <w:rsid w:val="00EA5828"/>
    <w:rsid w:val="00EA5CA2"/>
    <w:rsid w:val="00EA7E1E"/>
    <w:rsid w:val="00EA7FC2"/>
    <w:rsid w:val="00EB09E7"/>
    <w:rsid w:val="00EB3925"/>
    <w:rsid w:val="00EB3DFF"/>
    <w:rsid w:val="00EB4F23"/>
    <w:rsid w:val="00EB4FEF"/>
    <w:rsid w:val="00EB7B87"/>
    <w:rsid w:val="00EC0658"/>
    <w:rsid w:val="00EC0C5B"/>
    <w:rsid w:val="00EC16D9"/>
    <w:rsid w:val="00EC1F49"/>
    <w:rsid w:val="00EC2A03"/>
    <w:rsid w:val="00EC2B3C"/>
    <w:rsid w:val="00EC31D1"/>
    <w:rsid w:val="00EC46CC"/>
    <w:rsid w:val="00EC50AF"/>
    <w:rsid w:val="00ED02F9"/>
    <w:rsid w:val="00ED19CF"/>
    <w:rsid w:val="00ED2870"/>
    <w:rsid w:val="00ED43AF"/>
    <w:rsid w:val="00ED5F0B"/>
    <w:rsid w:val="00EE0085"/>
    <w:rsid w:val="00EE10A8"/>
    <w:rsid w:val="00EE18E8"/>
    <w:rsid w:val="00EE2A0A"/>
    <w:rsid w:val="00EE3391"/>
    <w:rsid w:val="00EE4A76"/>
    <w:rsid w:val="00EE4C4E"/>
    <w:rsid w:val="00EE54A0"/>
    <w:rsid w:val="00EE565C"/>
    <w:rsid w:val="00EE7195"/>
    <w:rsid w:val="00EE7EB6"/>
    <w:rsid w:val="00EF0E45"/>
    <w:rsid w:val="00EF36B9"/>
    <w:rsid w:val="00EF4B4D"/>
    <w:rsid w:val="00EF4D71"/>
    <w:rsid w:val="00EF5295"/>
    <w:rsid w:val="00EF53D9"/>
    <w:rsid w:val="00EF5653"/>
    <w:rsid w:val="00EF5A4B"/>
    <w:rsid w:val="00EF67F4"/>
    <w:rsid w:val="00EF6B70"/>
    <w:rsid w:val="00EF708F"/>
    <w:rsid w:val="00EF723D"/>
    <w:rsid w:val="00F00BB5"/>
    <w:rsid w:val="00F0222F"/>
    <w:rsid w:val="00F044DA"/>
    <w:rsid w:val="00F064D4"/>
    <w:rsid w:val="00F07C80"/>
    <w:rsid w:val="00F07E9E"/>
    <w:rsid w:val="00F11F0B"/>
    <w:rsid w:val="00F124A4"/>
    <w:rsid w:val="00F141E5"/>
    <w:rsid w:val="00F20FC7"/>
    <w:rsid w:val="00F211DC"/>
    <w:rsid w:val="00F21C87"/>
    <w:rsid w:val="00F233D2"/>
    <w:rsid w:val="00F251AD"/>
    <w:rsid w:val="00F26258"/>
    <w:rsid w:val="00F3046B"/>
    <w:rsid w:val="00F32793"/>
    <w:rsid w:val="00F34619"/>
    <w:rsid w:val="00F3542B"/>
    <w:rsid w:val="00F35525"/>
    <w:rsid w:val="00F35F8D"/>
    <w:rsid w:val="00F368C8"/>
    <w:rsid w:val="00F41BE5"/>
    <w:rsid w:val="00F41FC8"/>
    <w:rsid w:val="00F42556"/>
    <w:rsid w:val="00F42A6A"/>
    <w:rsid w:val="00F50693"/>
    <w:rsid w:val="00F5212A"/>
    <w:rsid w:val="00F5215D"/>
    <w:rsid w:val="00F532CA"/>
    <w:rsid w:val="00F5508F"/>
    <w:rsid w:val="00F55755"/>
    <w:rsid w:val="00F57FE1"/>
    <w:rsid w:val="00F6030E"/>
    <w:rsid w:val="00F606EF"/>
    <w:rsid w:val="00F60915"/>
    <w:rsid w:val="00F614AA"/>
    <w:rsid w:val="00F619F7"/>
    <w:rsid w:val="00F62C69"/>
    <w:rsid w:val="00F6370A"/>
    <w:rsid w:val="00F6387A"/>
    <w:rsid w:val="00F648AF"/>
    <w:rsid w:val="00F64E3F"/>
    <w:rsid w:val="00F661B9"/>
    <w:rsid w:val="00F72D94"/>
    <w:rsid w:val="00F73871"/>
    <w:rsid w:val="00F74FC1"/>
    <w:rsid w:val="00F753FD"/>
    <w:rsid w:val="00F757D9"/>
    <w:rsid w:val="00F75B5E"/>
    <w:rsid w:val="00F76B1C"/>
    <w:rsid w:val="00F76DCD"/>
    <w:rsid w:val="00F80778"/>
    <w:rsid w:val="00F8086B"/>
    <w:rsid w:val="00F81DD8"/>
    <w:rsid w:val="00F81E65"/>
    <w:rsid w:val="00F8226F"/>
    <w:rsid w:val="00F83849"/>
    <w:rsid w:val="00F8396D"/>
    <w:rsid w:val="00F84E04"/>
    <w:rsid w:val="00F85AA4"/>
    <w:rsid w:val="00F85B8B"/>
    <w:rsid w:val="00F868DE"/>
    <w:rsid w:val="00F8769F"/>
    <w:rsid w:val="00F8780A"/>
    <w:rsid w:val="00F9103B"/>
    <w:rsid w:val="00F91CC7"/>
    <w:rsid w:val="00F93772"/>
    <w:rsid w:val="00F94BD5"/>
    <w:rsid w:val="00FA06D2"/>
    <w:rsid w:val="00FA0FEF"/>
    <w:rsid w:val="00FA10D4"/>
    <w:rsid w:val="00FA1C54"/>
    <w:rsid w:val="00FA261C"/>
    <w:rsid w:val="00FA4347"/>
    <w:rsid w:val="00FA4DC2"/>
    <w:rsid w:val="00FA634D"/>
    <w:rsid w:val="00FA6497"/>
    <w:rsid w:val="00FA6C37"/>
    <w:rsid w:val="00FA72C5"/>
    <w:rsid w:val="00FA787D"/>
    <w:rsid w:val="00FA7AE1"/>
    <w:rsid w:val="00FB0C7F"/>
    <w:rsid w:val="00FB10E2"/>
    <w:rsid w:val="00FB125C"/>
    <w:rsid w:val="00FB29D7"/>
    <w:rsid w:val="00FB4B11"/>
    <w:rsid w:val="00FB564D"/>
    <w:rsid w:val="00FB739F"/>
    <w:rsid w:val="00FC0E33"/>
    <w:rsid w:val="00FC22F6"/>
    <w:rsid w:val="00FC396D"/>
    <w:rsid w:val="00FC4613"/>
    <w:rsid w:val="00FC4B49"/>
    <w:rsid w:val="00FC5A99"/>
    <w:rsid w:val="00FC6384"/>
    <w:rsid w:val="00FC64C0"/>
    <w:rsid w:val="00FC6F38"/>
    <w:rsid w:val="00FD05C9"/>
    <w:rsid w:val="00FD376F"/>
    <w:rsid w:val="00FD6732"/>
    <w:rsid w:val="00FD745C"/>
    <w:rsid w:val="00FD77C9"/>
    <w:rsid w:val="00FD7F47"/>
    <w:rsid w:val="00FE0D77"/>
    <w:rsid w:val="00FE241C"/>
    <w:rsid w:val="00FE2DAF"/>
    <w:rsid w:val="00FE37E1"/>
    <w:rsid w:val="00FE7C53"/>
    <w:rsid w:val="00FE7D9C"/>
    <w:rsid w:val="00FF0611"/>
    <w:rsid w:val="00FF156B"/>
    <w:rsid w:val="00FF3513"/>
    <w:rsid w:val="00FF4115"/>
    <w:rsid w:val="00FF67B2"/>
    <w:rsid w:val="00FF6DD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B5D29EC"/>
  <w15:docId w15:val="{7CA3704A-5173-4538-B0E8-49FDF0CF2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27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C54FBC"/>
    <w:pPr>
      <w:spacing w:before="100" w:beforeAutospacing="1" w:after="100" w:afterAutospacing="1"/>
      <w:outlineLvl w:val="0"/>
    </w:pPr>
    <w:rPr>
      <w:b/>
      <w:bCs/>
      <w:kern w:val="36"/>
      <w:sz w:val="48"/>
      <w:szCs w:val="48"/>
      <w:lang w:val="en-GB" w:eastAsia="en-GB"/>
    </w:rPr>
  </w:style>
  <w:style w:type="paragraph" w:styleId="Heading3">
    <w:name w:val="heading 3"/>
    <w:basedOn w:val="Normal"/>
    <w:next w:val="Normal"/>
    <w:link w:val="Heading3Char"/>
    <w:uiPriority w:val="9"/>
    <w:semiHidden/>
    <w:unhideWhenUsed/>
    <w:qFormat/>
    <w:rsid w:val="000C3C2B"/>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5FC"/>
    <w:pPr>
      <w:spacing w:after="160" w:line="259" w:lineRule="auto"/>
      <w:ind w:left="720"/>
      <w:contextualSpacing/>
    </w:pPr>
    <w:rPr>
      <w:rFonts w:asciiTheme="minorHAnsi" w:eastAsiaTheme="minorHAnsi" w:hAnsiTheme="minorHAnsi" w:cstheme="minorBidi"/>
      <w:sz w:val="22"/>
      <w:szCs w:val="22"/>
    </w:rPr>
  </w:style>
  <w:style w:type="character" w:customStyle="1" w:styleId="SymbolNewFont">
    <w:name w:val="SymbolNewFont"/>
    <w:uiPriority w:val="99"/>
    <w:rsid w:val="008045FC"/>
    <w:rPr>
      <w:rFonts w:ascii="SymbolNew" w:hAnsi="SymbolNew" w:cs="SymbolNew"/>
    </w:rPr>
  </w:style>
  <w:style w:type="paragraph" w:customStyle="1" w:styleId="section2firstPara">
    <w:name w:val="section2firstPara"/>
    <w:basedOn w:val="Normal"/>
    <w:uiPriority w:val="99"/>
    <w:rsid w:val="008045FC"/>
    <w:pPr>
      <w:widowControl w:val="0"/>
      <w:autoSpaceDE w:val="0"/>
      <w:autoSpaceDN w:val="0"/>
      <w:adjustRightInd w:val="0"/>
      <w:spacing w:line="240" w:lineRule="atLeast"/>
      <w:jc w:val="both"/>
      <w:textAlignment w:val="center"/>
    </w:pPr>
    <w:rPr>
      <w:rFonts w:ascii="Adobe Garamond Pro" w:eastAsia="SimSun" w:hAnsi="Adobe Garamond Pro" w:cs="Adobe Garamond Pro"/>
      <w:color w:val="000000"/>
      <w:sz w:val="20"/>
      <w:szCs w:val="20"/>
      <w:lang w:val="en-GB" w:eastAsia="zh-CN"/>
    </w:rPr>
  </w:style>
  <w:style w:type="character" w:styleId="Hyperlink">
    <w:name w:val="Hyperlink"/>
    <w:basedOn w:val="DefaultParagraphFont"/>
    <w:uiPriority w:val="99"/>
    <w:unhideWhenUsed/>
    <w:rsid w:val="002442B8"/>
    <w:rPr>
      <w:color w:val="0000FF"/>
      <w:u w:val="single"/>
    </w:rPr>
  </w:style>
  <w:style w:type="character" w:styleId="CommentReference">
    <w:name w:val="annotation reference"/>
    <w:basedOn w:val="DefaultParagraphFont"/>
    <w:uiPriority w:val="99"/>
    <w:semiHidden/>
    <w:unhideWhenUsed/>
    <w:rsid w:val="002442B8"/>
    <w:rPr>
      <w:sz w:val="16"/>
      <w:szCs w:val="16"/>
    </w:rPr>
  </w:style>
  <w:style w:type="paragraph" w:styleId="CommentText">
    <w:name w:val="annotation text"/>
    <w:basedOn w:val="Normal"/>
    <w:link w:val="CommentTextChar"/>
    <w:uiPriority w:val="99"/>
    <w:unhideWhenUsed/>
    <w:rsid w:val="002442B8"/>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2442B8"/>
    <w:rPr>
      <w:sz w:val="20"/>
      <w:szCs w:val="20"/>
      <w:lang w:val="en-US"/>
    </w:rPr>
  </w:style>
  <w:style w:type="paragraph" w:styleId="CommentSubject">
    <w:name w:val="annotation subject"/>
    <w:basedOn w:val="CommentText"/>
    <w:next w:val="CommentText"/>
    <w:link w:val="CommentSubjectChar"/>
    <w:uiPriority w:val="99"/>
    <w:semiHidden/>
    <w:unhideWhenUsed/>
    <w:rsid w:val="002442B8"/>
    <w:rPr>
      <w:b/>
      <w:bCs/>
    </w:rPr>
  </w:style>
  <w:style w:type="character" w:customStyle="1" w:styleId="CommentSubjectChar">
    <w:name w:val="Comment Subject Char"/>
    <w:basedOn w:val="CommentTextChar"/>
    <w:link w:val="CommentSubject"/>
    <w:uiPriority w:val="99"/>
    <w:semiHidden/>
    <w:rsid w:val="002442B8"/>
    <w:rPr>
      <w:b/>
      <w:bCs/>
      <w:sz w:val="20"/>
      <w:szCs w:val="20"/>
      <w:lang w:val="en-US"/>
    </w:rPr>
  </w:style>
  <w:style w:type="paragraph" w:styleId="BalloonText">
    <w:name w:val="Balloon Text"/>
    <w:basedOn w:val="Normal"/>
    <w:link w:val="BalloonTextChar"/>
    <w:uiPriority w:val="99"/>
    <w:semiHidden/>
    <w:unhideWhenUsed/>
    <w:rsid w:val="002442B8"/>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2442B8"/>
    <w:rPr>
      <w:rFonts w:ascii="Segoe UI" w:hAnsi="Segoe UI" w:cs="Segoe UI"/>
      <w:sz w:val="18"/>
      <w:szCs w:val="18"/>
      <w:lang w:val="en-US"/>
    </w:rPr>
  </w:style>
  <w:style w:type="paragraph" w:customStyle="1" w:styleId="EndNoteBibliography">
    <w:name w:val="EndNote Bibliography"/>
    <w:basedOn w:val="Normal"/>
    <w:link w:val="EndNoteBibliographyChar"/>
    <w:rsid w:val="00303C8A"/>
    <w:pPr>
      <w:spacing w:after="200"/>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303C8A"/>
    <w:rPr>
      <w:rFonts w:ascii="Calibri" w:hAnsi="Calibri" w:cs="Calibri"/>
      <w:noProof/>
      <w:lang w:val="en-US"/>
    </w:rPr>
  </w:style>
  <w:style w:type="paragraph" w:customStyle="1" w:styleId="section1nextPara">
    <w:name w:val="section1nextPara"/>
    <w:basedOn w:val="Normal"/>
    <w:uiPriority w:val="99"/>
    <w:rsid w:val="007F33D8"/>
    <w:pPr>
      <w:widowControl w:val="0"/>
      <w:autoSpaceDE w:val="0"/>
      <w:autoSpaceDN w:val="0"/>
      <w:adjustRightInd w:val="0"/>
      <w:spacing w:line="240" w:lineRule="atLeast"/>
      <w:ind w:firstLine="283"/>
      <w:jc w:val="both"/>
      <w:textAlignment w:val="center"/>
    </w:pPr>
    <w:rPr>
      <w:rFonts w:ascii="Adobe Garamond Pro" w:eastAsia="SimSun" w:hAnsi="Adobe Garamond Pro" w:cs="Adobe Garamond Pro"/>
      <w:color w:val="000000"/>
      <w:sz w:val="20"/>
      <w:szCs w:val="20"/>
      <w:lang w:val="en-GB" w:eastAsia="zh-CN"/>
    </w:rPr>
  </w:style>
  <w:style w:type="table" w:styleId="TableGrid">
    <w:name w:val="Table Grid"/>
    <w:basedOn w:val="TableNormal"/>
    <w:uiPriority w:val="59"/>
    <w:rsid w:val="00910721"/>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publication-date">
    <w:name w:val="citation-publication-date"/>
    <w:basedOn w:val="DefaultParagraphFont"/>
    <w:rsid w:val="00910721"/>
  </w:style>
  <w:style w:type="table" w:customStyle="1" w:styleId="Rastertabel2-Accent11">
    <w:name w:val="Rastertabel 2 - Accent 11"/>
    <w:basedOn w:val="TableNormal"/>
    <w:uiPriority w:val="47"/>
    <w:rsid w:val="00567D76"/>
    <w:pPr>
      <w:spacing w:after="0" w:line="240" w:lineRule="auto"/>
    </w:pPr>
    <w:rPr>
      <w:lang w:val="nl-NL"/>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8E4C6E"/>
    <w:pPr>
      <w:spacing w:before="100" w:beforeAutospacing="1" w:after="100" w:afterAutospacing="1"/>
    </w:pPr>
    <w:rPr>
      <w:lang w:val="en-GB" w:eastAsia="en-GB"/>
    </w:rPr>
  </w:style>
  <w:style w:type="paragraph" w:customStyle="1" w:styleId="firstPara">
    <w:name w:val="firstPara"/>
    <w:basedOn w:val="Normal"/>
    <w:uiPriority w:val="99"/>
    <w:rsid w:val="00924335"/>
    <w:pPr>
      <w:widowControl w:val="0"/>
      <w:autoSpaceDE w:val="0"/>
      <w:autoSpaceDN w:val="0"/>
      <w:adjustRightInd w:val="0"/>
      <w:spacing w:line="240" w:lineRule="atLeast"/>
      <w:jc w:val="both"/>
      <w:textAlignment w:val="center"/>
    </w:pPr>
    <w:rPr>
      <w:rFonts w:ascii="Minion-Regular" w:eastAsia="SimSun" w:hAnsi="Minion-Regular" w:cs="Minion-Regular"/>
      <w:color w:val="000000"/>
      <w:sz w:val="19"/>
      <w:szCs w:val="19"/>
      <w:lang w:val="en-GB" w:eastAsia="zh-CN"/>
    </w:rPr>
  </w:style>
  <w:style w:type="paragraph" w:customStyle="1" w:styleId="nextPara">
    <w:name w:val="nextPara"/>
    <w:basedOn w:val="Normal"/>
    <w:uiPriority w:val="99"/>
    <w:rsid w:val="00924335"/>
    <w:pPr>
      <w:widowControl w:val="0"/>
      <w:autoSpaceDE w:val="0"/>
      <w:autoSpaceDN w:val="0"/>
      <w:adjustRightInd w:val="0"/>
      <w:spacing w:line="240" w:lineRule="atLeast"/>
      <w:ind w:firstLine="185"/>
      <w:jc w:val="both"/>
      <w:textAlignment w:val="center"/>
    </w:pPr>
    <w:rPr>
      <w:rFonts w:ascii="Minion-Regular" w:eastAsia="SimSun" w:hAnsi="Minion-Regular" w:cs="Minion-Regular"/>
      <w:color w:val="000000"/>
      <w:sz w:val="19"/>
      <w:szCs w:val="19"/>
      <w:lang w:val="en-GB" w:eastAsia="zh-CN"/>
    </w:rPr>
  </w:style>
  <w:style w:type="character" w:customStyle="1" w:styleId="bibRef">
    <w:name w:val="bibRef"/>
    <w:uiPriority w:val="99"/>
    <w:rsid w:val="00924335"/>
  </w:style>
  <w:style w:type="character" w:customStyle="1" w:styleId="Heading1Char">
    <w:name w:val="Heading 1 Char"/>
    <w:basedOn w:val="DefaultParagraphFont"/>
    <w:link w:val="Heading1"/>
    <w:uiPriority w:val="9"/>
    <w:rsid w:val="00C54FBC"/>
    <w:rPr>
      <w:rFonts w:ascii="Times New Roman" w:eastAsia="Times New Roman" w:hAnsi="Times New Roman" w:cs="Times New Roman"/>
      <w:b/>
      <w:bCs/>
      <w:kern w:val="36"/>
      <w:sz w:val="48"/>
      <w:szCs w:val="48"/>
      <w:lang w:eastAsia="en-GB"/>
    </w:rPr>
  </w:style>
  <w:style w:type="paragraph" w:styleId="Revision">
    <w:name w:val="Revision"/>
    <w:hidden/>
    <w:uiPriority w:val="99"/>
    <w:semiHidden/>
    <w:rsid w:val="002D0BE4"/>
    <w:pPr>
      <w:spacing w:after="0" w:line="240" w:lineRule="auto"/>
    </w:pPr>
    <w:rPr>
      <w:lang w:val="en-US"/>
    </w:rPr>
  </w:style>
  <w:style w:type="character" w:customStyle="1" w:styleId="period">
    <w:name w:val="period"/>
    <w:basedOn w:val="DefaultParagraphFont"/>
    <w:rsid w:val="00690DE7"/>
  </w:style>
  <w:style w:type="character" w:customStyle="1" w:styleId="cit">
    <w:name w:val="cit"/>
    <w:basedOn w:val="DefaultParagraphFont"/>
    <w:rsid w:val="00690DE7"/>
  </w:style>
  <w:style w:type="character" w:customStyle="1" w:styleId="fm-vol-iss-date">
    <w:name w:val="fm-vol-iss-date"/>
    <w:basedOn w:val="DefaultParagraphFont"/>
    <w:rsid w:val="004122F2"/>
  </w:style>
  <w:style w:type="character" w:customStyle="1" w:styleId="doi">
    <w:name w:val="doi"/>
    <w:basedOn w:val="DefaultParagraphFont"/>
    <w:rsid w:val="004122F2"/>
  </w:style>
  <w:style w:type="character" w:customStyle="1" w:styleId="fm-citation-ids-label">
    <w:name w:val="fm-citation-ids-label"/>
    <w:basedOn w:val="DefaultParagraphFont"/>
    <w:rsid w:val="004122F2"/>
  </w:style>
  <w:style w:type="character" w:customStyle="1" w:styleId="citation-doi">
    <w:name w:val="citation-doi"/>
    <w:basedOn w:val="DefaultParagraphFont"/>
    <w:rsid w:val="00475B61"/>
  </w:style>
  <w:style w:type="character" w:customStyle="1" w:styleId="secondary-date">
    <w:name w:val="secondary-date"/>
    <w:basedOn w:val="DefaultParagraphFont"/>
    <w:rsid w:val="00475B61"/>
  </w:style>
  <w:style w:type="character" w:customStyle="1" w:styleId="highwire-citation-authors">
    <w:name w:val="highwire-citation-authors"/>
    <w:basedOn w:val="DefaultParagraphFont"/>
    <w:rsid w:val="007C7240"/>
  </w:style>
  <w:style w:type="character" w:customStyle="1" w:styleId="highwire-citation-author">
    <w:name w:val="highwire-citation-author"/>
    <w:basedOn w:val="DefaultParagraphFont"/>
    <w:rsid w:val="007C7240"/>
  </w:style>
  <w:style w:type="character" w:customStyle="1" w:styleId="nlm-given-names">
    <w:name w:val="nlm-given-names"/>
    <w:basedOn w:val="DefaultParagraphFont"/>
    <w:rsid w:val="007C7240"/>
  </w:style>
  <w:style w:type="character" w:customStyle="1" w:styleId="nlm-surname">
    <w:name w:val="nlm-surname"/>
    <w:basedOn w:val="DefaultParagraphFont"/>
    <w:rsid w:val="007C7240"/>
  </w:style>
  <w:style w:type="character" w:customStyle="1" w:styleId="highwire-cite-metadata-journal">
    <w:name w:val="highwire-cite-metadata-journal"/>
    <w:basedOn w:val="DefaultParagraphFont"/>
    <w:rsid w:val="007C7240"/>
  </w:style>
  <w:style w:type="character" w:customStyle="1" w:styleId="highwire-cite-metadata-date">
    <w:name w:val="highwire-cite-metadata-date"/>
    <w:basedOn w:val="DefaultParagraphFont"/>
    <w:rsid w:val="007C7240"/>
  </w:style>
  <w:style w:type="character" w:customStyle="1" w:styleId="highwire-cite-metadata-pages">
    <w:name w:val="highwire-cite-metadata-pages"/>
    <w:basedOn w:val="DefaultParagraphFont"/>
    <w:rsid w:val="007C7240"/>
  </w:style>
  <w:style w:type="character" w:customStyle="1" w:styleId="highwire-cite-metadata-doi">
    <w:name w:val="highwire-cite-metadata-doi"/>
    <w:basedOn w:val="DefaultParagraphFont"/>
    <w:rsid w:val="007C7240"/>
  </w:style>
  <w:style w:type="character" w:customStyle="1" w:styleId="label">
    <w:name w:val="label"/>
    <w:basedOn w:val="DefaultParagraphFont"/>
    <w:rsid w:val="007C7240"/>
  </w:style>
  <w:style w:type="table" w:styleId="GridTable2-Accent1">
    <w:name w:val="Grid Table 2 Accent 1"/>
    <w:basedOn w:val="TableNormal"/>
    <w:uiPriority w:val="47"/>
    <w:rsid w:val="006D0B60"/>
    <w:pPr>
      <w:spacing w:after="0" w:line="240" w:lineRule="auto"/>
    </w:pPr>
    <w:rPr>
      <w:lang w:val="nl-NL"/>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uthors-list-item">
    <w:name w:val="authors-list-item"/>
    <w:basedOn w:val="DefaultParagraphFont"/>
    <w:rsid w:val="00CC00B5"/>
  </w:style>
  <w:style w:type="character" w:customStyle="1" w:styleId="semicolon">
    <w:name w:val="semicolon"/>
    <w:basedOn w:val="DefaultParagraphFont"/>
    <w:rsid w:val="00CC00B5"/>
  </w:style>
  <w:style w:type="character" w:customStyle="1" w:styleId="comma">
    <w:name w:val="comma"/>
    <w:basedOn w:val="DefaultParagraphFont"/>
    <w:rsid w:val="00CC00B5"/>
  </w:style>
  <w:style w:type="character" w:customStyle="1" w:styleId="id-label">
    <w:name w:val="id-label"/>
    <w:basedOn w:val="DefaultParagraphFont"/>
    <w:rsid w:val="00CC00B5"/>
  </w:style>
  <w:style w:type="character" w:styleId="Strong">
    <w:name w:val="Strong"/>
    <w:basedOn w:val="DefaultParagraphFont"/>
    <w:uiPriority w:val="22"/>
    <w:qFormat/>
    <w:rsid w:val="00CC00B5"/>
    <w:rPr>
      <w:b/>
      <w:bCs/>
    </w:rPr>
  </w:style>
  <w:style w:type="character" w:customStyle="1" w:styleId="nlm-collab">
    <w:name w:val="nlm-collab"/>
    <w:basedOn w:val="DefaultParagraphFont"/>
    <w:rsid w:val="009A2583"/>
  </w:style>
  <w:style w:type="character" w:styleId="Emphasis">
    <w:name w:val="Emphasis"/>
    <w:basedOn w:val="DefaultParagraphFont"/>
    <w:uiPriority w:val="20"/>
    <w:qFormat/>
    <w:rsid w:val="00651D79"/>
    <w:rPr>
      <w:i/>
      <w:iCs/>
    </w:rPr>
  </w:style>
  <w:style w:type="character" w:customStyle="1" w:styleId="cit-auth">
    <w:name w:val="cit-auth"/>
    <w:basedOn w:val="DefaultParagraphFont"/>
    <w:rsid w:val="003B3355"/>
  </w:style>
  <w:style w:type="character" w:customStyle="1" w:styleId="cit-name-surname">
    <w:name w:val="cit-name-surname"/>
    <w:basedOn w:val="DefaultParagraphFont"/>
    <w:rsid w:val="003B3355"/>
  </w:style>
  <w:style w:type="character" w:customStyle="1" w:styleId="cit-name-given-names">
    <w:name w:val="cit-name-given-names"/>
    <w:basedOn w:val="DefaultParagraphFont"/>
    <w:rsid w:val="003B3355"/>
  </w:style>
  <w:style w:type="character" w:styleId="HTMLCite">
    <w:name w:val="HTML Cite"/>
    <w:basedOn w:val="DefaultParagraphFont"/>
    <w:uiPriority w:val="99"/>
    <w:semiHidden/>
    <w:unhideWhenUsed/>
    <w:rsid w:val="003B3355"/>
    <w:rPr>
      <w:i/>
      <w:iCs/>
    </w:rPr>
  </w:style>
  <w:style w:type="character" w:customStyle="1" w:styleId="cit-source">
    <w:name w:val="cit-source"/>
    <w:basedOn w:val="DefaultParagraphFont"/>
    <w:rsid w:val="003B3355"/>
  </w:style>
  <w:style w:type="character" w:customStyle="1" w:styleId="cit-edition">
    <w:name w:val="cit-edition"/>
    <w:basedOn w:val="DefaultParagraphFont"/>
    <w:rsid w:val="003B3355"/>
  </w:style>
  <w:style w:type="character" w:customStyle="1" w:styleId="cit-publ-loc">
    <w:name w:val="cit-publ-loc"/>
    <w:basedOn w:val="DefaultParagraphFont"/>
    <w:rsid w:val="003B3355"/>
  </w:style>
  <w:style w:type="character" w:customStyle="1" w:styleId="cit-publ-name">
    <w:name w:val="cit-publ-name"/>
    <w:basedOn w:val="DefaultParagraphFont"/>
    <w:rsid w:val="003B3355"/>
  </w:style>
  <w:style w:type="character" w:customStyle="1" w:styleId="cit-pub-date">
    <w:name w:val="cit-pub-date"/>
    <w:basedOn w:val="DefaultParagraphFont"/>
    <w:rsid w:val="003B3355"/>
  </w:style>
  <w:style w:type="character" w:customStyle="1" w:styleId="cit-article-title">
    <w:name w:val="cit-article-title"/>
    <w:basedOn w:val="DefaultParagraphFont"/>
    <w:rsid w:val="003B3355"/>
  </w:style>
  <w:style w:type="character" w:customStyle="1" w:styleId="cit-vol">
    <w:name w:val="cit-vol"/>
    <w:basedOn w:val="DefaultParagraphFont"/>
    <w:rsid w:val="003B3355"/>
  </w:style>
  <w:style w:type="character" w:customStyle="1" w:styleId="cit-fpage">
    <w:name w:val="cit-fpage"/>
    <w:basedOn w:val="DefaultParagraphFont"/>
    <w:rsid w:val="003B3355"/>
  </w:style>
  <w:style w:type="character" w:customStyle="1" w:styleId="cit-lpage">
    <w:name w:val="cit-lpage"/>
    <w:basedOn w:val="DefaultParagraphFont"/>
    <w:rsid w:val="003B3355"/>
  </w:style>
  <w:style w:type="character" w:customStyle="1" w:styleId="docsum-authors">
    <w:name w:val="docsum-authors"/>
    <w:basedOn w:val="DefaultParagraphFont"/>
    <w:rsid w:val="007C14AB"/>
  </w:style>
  <w:style w:type="character" w:customStyle="1" w:styleId="docsum-journal-citation">
    <w:name w:val="docsum-journal-citation"/>
    <w:basedOn w:val="DefaultParagraphFont"/>
    <w:rsid w:val="007C14AB"/>
  </w:style>
  <w:style w:type="character" w:customStyle="1" w:styleId="citation-part">
    <w:name w:val="citation-part"/>
    <w:basedOn w:val="DefaultParagraphFont"/>
    <w:rsid w:val="007C14AB"/>
  </w:style>
  <w:style w:type="character" w:customStyle="1" w:styleId="docsum-pmid">
    <w:name w:val="docsum-pmid"/>
    <w:basedOn w:val="DefaultParagraphFont"/>
    <w:rsid w:val="007C14AB"/>
  </w:style>
  <w:style w:type="character" w:customStyle="1" w:styleId="UnresolvedMention1">
    <w:name w:val="Unresolved Mention1"/>
    <w:basedOn w:val="DefaultParagraphFont"/>
    <w:uiPriority w:val="99"/>
    <w:semiHidden/>
    <w:unhideWhenUsed/>
    <w:rsid w:val="007F5EF2"/>
    <w:rPr>
      <w:color w:val="605E5C"/>
      <w:shd w:val="clear" w:color="auto" w:fill="E1DFDD"/>
    </w:rPr>
  </w:style>
  <w:style w:type="character" w:styleId="FollowedHyperlink">
    <w:name w:val="FollowedHyperlink"/>
    <w:basedOn w:val="DefaultParagraphFont"/>
    <w:uiPriority w:val="99"/>
    <w:semiHidden/>
    <w:unhideWhenUsed/>
    <w:rsid w:val="00421470"/>
    <w:rPr>
      <w:color w:val="954F72" w:themeColor="followedHyperlink"/>
      <w:u w:val="single"/>
    </w:rPr>
  </w:style>
  <w:style w:type="paragraph" w:styleId="Bibliography">
    <w:name w:val="Bibliography"/>
    <w:basedOn w:val="Normal"/>
    <w:next w:val="Normal"/>
    <w:uiPriority w:val="37"/>
    <w:unhideWhenUsed/>
    <w:rsid w:val="00726F9A"/>
    <w:pPr>
      <w:tabs>
        <w:tab w:val="left" w:pos="624"/>
      </w:tabs>
      <w:spacing w:after="240"/>
      <w:ind w:left="624" w:hanging="624"/>
    </w:pPr>
  </w:style>
  <w:style w:type="paragraph" w:styleId="Header">
    <w:name w:val="header"/>
    <w:basedOn w:val="Normal"/>
    <w:link w:val="HeaderChar"/>
    <w:uiPriority w:val="99"/>
    <w:unhideWhenUsed/>
    <w:rsid w:val="00A9782B"/>
    <w:pPr>
      <w:tabs>
        <w:tab w:val="center" w:pos="4513"/>
        <w:tab w:val="right" w:pos="9026"/>
      </w:tabs>
    </w:pPr>
  </w:style>
  <w:style w:type="character" w:customStyle="1" w:styleId="HeaderChar">
    <w:name w:val="Header Char"/>
    <w:basedOn w:val="DefaultParagraphFont"/>
    <w:link w:val="Header"/>
    <w:uiPriority w:val="99"/>
    <w:rsid w:val="00A9782B"/>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9782B"/>
    <w:pPr>
      <w:tabs>
        <w:tab w:val="center" w:pos="4513"/>
        <w:tab w:val="right" w:pos="9026"/>
      </w:tabs>
    </w:pPr>
  </w:style>
  <w:style w:type="character" w:customStyle="1" w:styleId="FooterChar">
    <w:name w:val="Footer Char"/>
    <w:basedOn w:val="DefaultParagraphFont"/>
    <w:link w:val="Footer"/>
    <w:uiPriority w:val="99"/>
    <w:rsid w:val="00A9782B"/>
    <w:rPr>
      <w:rFonts w:ascii="Times New Roman" w:eastAsia="Times New Roman" w:hAnsi="Times New Roman" w:cs="Times New Roman"/>
      <w:sz w:val="24"/>
      <w:szCs w:val="24"/>
      <w:lang w:val="en-US"/>
    </w:rPr>
  </w:style>
  <w:style w:type="character" w:styleId="LineNumber">
    <w:name w:val="line number"/>
    <w:basedOn w:val="DefaultParagraphFont"/>
    <w:uiPriority w:val="99"/>
    <w:semiHidden/>
    <w:unhideWhenUsed/>
    <w:rsid w:val="007F6240"/>
  </w:style>
  <w:style w:type="paragraph" w:customStyle="1" w:styleId="xmsonormal">
    <w:name w:val="x_msonormal"/>
    <w:basedOn w:val="Normal"/>
    <w:rsid w:val="00F73871"/>
    <w:pPr>
      <w:spacing w:before="100" w:beforeAutospacing="1" w:after="100" w:afterAutospacing="1"/>
    </w:pPr>
    <w:rPr>
      <w:rFonts w:eastAsiaTheme="minorHAnsi"/>
      <w:lang w:val="en-GB" w:eastAsia="en-GB"/>
    </w:rPr>
  </w:style>
  <w:style w:type="character" w:customStyle="1" w:styleId="author-sup-separator">
    <w:name w:val="author-sup-separator"/>
    <w:basedOn w:val="DefaultParagraphFont"/>
    <w:rsid w:val="001B703A"/>
  </w:style>
  <w:style w:type="paragraph" w:customStyle="1" w:styleId="Default">
    <w:name w:val="Default"/>
    <w:rsid w:val="00C2475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ublication-type">
    <w:name w:val="publication-type"/>
    <w:basedOn w:val="DefaultParagraphFont"/>
    <w:rsid w:val="00C07A5E"/>
  </w:style>
  <w:style w:type="character" w:customStyle="1" w:styleId="UnresolvedMention2">
    <w:name w:val="Unresolved Mention2"/>
    <w:basedOn w:val="DefaultParagraphFont"/>
    <w:uiPriority w:val="99"/>
    <w:semiHidden/>
    <w:unhideWhenUsed/>
    <w:rsid w:val="00654452"/>
    <w:rPr>
      <w:color w:val="605E5C"/>
      <w:shd w:val="clear" w:color="auto" w:fill="E1DFDD"/>
    </w:rPr>
  </w:style>
  <w:style w:type="character" w:customStyle="1" w:styleId="Heading3Char">
    <w:name w:val="Heading 3 Char"/>
    <w:basedOn w:val="DefaultParagraphFont"/>
    <w:link w:val="Heading3"/>
    <w:uiPriority w:val="9"/>
    <w:semiHidden/>
    <w:rsid w:val="000C3C2B"/>
    <w:rPr>
      <w:rFonts w:asciiTheme="majorHAnsi" w:eastAsiaTheme="majorEastAsia" w:hAnsiTheme="majorHAnsi" w:cstheme="majorBidi"/>
      <w:color w:val="1F4D78" w:themeColor="accent1" w:themeShade="7F"/>
      <w:sz w:val="24"/>
      <w:szCs w:val="24"/>
      <w:lang w:val="en-US"/>
    </w:rPr>
  </w:style>
  <w:style w:type="character" w:customStyle="1" w:styleId="article-headerdoilabel">
    <w:name w:val="article-header__doi__label"/>
    <w:basedOn w:val="DefaultParagraphFont"/>
    <w:rsid w:val="000C3C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13408">
      <w:bodyDiv w:val="1"/>
      <w:marLeft w:val="0"/>
      <w:marRight w:val="0"/>
      <w:marTop w:val="0"/>
      <w:marBottom w:val="0"/>
      <w:divBdr>
        <w:top w:val="none" w:sz="0" w:space="0" w:color="auto"/>
        <w:left w:val="none" w:sz="0" w:space="0" w:color="auto"/>
        <w:bottom w:val="none" w:sz="0" w:space="0" w:color="auto"/>
        <w:right w:val="none" w:sz="0" w:space="0" w:color="auto"/>
      </w:divBdr>
    </w:div>
    <w:div w:id="124279213">
      <w:bodyDiv w:val="1"/>
      <w:marLeft w:val="0"/>
      <w:marRight w:val="0"/>
      <w:marTop w:val="0"/>
      <w:marBottom w:val="0"/>
      <w:divBdr>
        <w:top w:val="none" w:sz="0" w:space="0" w:color="auto"/>
        <w:left w:val="none" w:sz="0" w:space="0" w:color="auto"/>
        <w:bottom w:val="none" w:sz="0" w:space="0" w:color="auto"/>
        <w:right w:val="none" w:sz="0" w:space="0" w:color="auto"/>
      </w:divBdr>
      <w:divsChild>
        <w:div w:id="1357851374">
          <w:marLeft w:val="0"/>
          <w:marRight w:val="0"/>
          <w:marTop w:val="0"/>
          <w:marBottom w:val="0"/>
          <w:divBdr>
            <w:top w:val="none" w:sz="0" w:space="0" w:color="auto"/>
            <w:left w:val="none" w:sz="0" w:space="0" w:color="auto"/>
            <w:bottom w:val="none" w:sz="0" w:space="0" w:color="auto"/>
            <w:right w:val="none" w:sz="0" w:space="0" w:color="auto"/>
          </w:divBdr>
        </w:div>
      </w:divsChild>
    </w:div>
    <w:div w:id="140510543">
      <w:bodyDiv w:val="1"/>
      <w:marLeft w:val="0"/>
      <w:marRight w:val="0"/>
      <w:marTop w:val="0"/>
      <w:marBottom w:val="0"/>
      <w:divBdr>
        <w:top w:val="none" w:sz="0" w:space="0" w:color="auto"/>
        <w:left w:val="none" w:sz="0" w:space="0" w:color="auto"/>
        <w:bottom w:val="none" w:sz="0" w:space="0" w:color="auto"/>
        <w:right w:val="none" w:sz="0" w:space="0" w:color="auto"/>
      </w:divBdr>
      <w:divsChild>
        <w:div w:id="401682062">
          <w:marLeft w:val="0"/>
          <w:marRight w:val="0"/>
          <w:marTop w:val="0"/>
          <w:marBottom w:val="0"/>
          <w:divBdr>
            <w:top w:val="none" w:sz="0" w:space="0" w:color="auto"/>
            <w:left w:val="none" w:sz="0" w:space="0" w:color="auto"/>
            <w:bottom w:val="none" w:sz="0" w:space="0" w:color="auto"/>
            <w:right w:val="none" w:sz="0" w:space="0" w:color="auto"/>
          </w:divBdr>
          <w:divsChild>
            <w:div w:id="1252543153">
              <w:marLeft w:val="0"/>
              <w:marRight w:val="0"/>
              <w:marTop w:val="0"/>
              <w:marBottom w:val="0"/>
              <w:divBdr>
                <w:top w:val="none" w:sz="0" w:space="0" w:color="auto"/>
                <w:left w:val="none" w:sz="0" w:space="0" w:color="auto"/>
                <w:bottom w:val="none" w:sz="0" w:space="0" w:color="auto"/>
                <w:right w:val="none" w:sz="0" w:space="0" w:color="auto"/>
              </w:divBdr>
              <w:divsChild>
                <w:div w:id="2147310503">
                  <w:marLeft w:val="0"/>
                  <w:marRight w:val="0"/>
                  <w:marTop w:val="0"/>
                  <w:marBottom w:val="0"/>
                  <w:divBdr>
                    <w:top w:val="none" w:sz="0" w:space="0" w:color="auto"/>
                    <w:left w:val="none" w:sz="0" w:space="0" w:color="auto"/>
                    <w:bottom w:val="none" w:sz="0" w:space="0" w:color="auto"/>
                    <w:right w:val="none" w:sz="0" w:space="0" w:color="auto"/>
                  </w:divBdr>
                  <w:divsChild>
                    <w:div w:id="16696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0852">
          <w:marLeft w:val="0"/>
          <w:marRight w:val="0"/>
          <w:marTop w:val="0"/>
          <w:marBottom w:val="0"/>
          <w:divBdr>
            <w:top w:val="none" w:sz="0" w:space="0" w:color="auto"/>
            <w:left w:val="none" w:sz="0" w:space="0" w:color="auto"/>
            <w:bottom w:val="none" w:sz="0" w:space="0" w:color="auto"/>
            <w:right w:val="none" w:sz="0" w:space="0" w:color="auto"/>
          </w:divBdr>
          <w:divsChild>
            <w:div w:id="2057241513">
              <w:marLeft w:val="0"/>
              <w:marRight w:val="0"/>
              <w:marTop w:val="0"/>
              <w:marBottom w:val="0"/>
              <w:divBdr>
                <w:top w:val="none" w:sz="0" w:space="0" w:color="auto"/>
                <w:left w:val="none" w:sz="0" w:space="0" w:color="auto"/>
                <w:bottom w:val="none" w:sz="0" w:space="0" w:color="auto"/>
                <w:right w:val="none" w:sz="0" w:space="0" w:color="auto"/>
              </w:divBdr>
              <w:divsChild>
                <w:div w:id="4583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3276">
      <w:bodyDiv w:val="1"/>
      <w:marLeft w:val="0"/>
      <w:marRight w:val="0"/>
      <w:marTop w:val="0"/>
      <w:marBottom w:val="0"/>
      <w:divBdr>
        <w:top w:val="none" w:sz="0" w:space="0" w:color="auto"/>
        <w:left w:val="none" w:sz="0" w:space="0" w:color="auto"/>
        <w:bottom w:val="none" w:sz="0" w:space="0" w:color="auto"/>
        <w:right w:val="none" w:sz="0" w:space="0" w:color="auto"/>
      </w:divBdr>
    </w:div>
    <w:div w:id="166016437">
      <w:bodyDiv w:val="1"/>
      <w:marLeft w:val="0"/>
      <w:marRight w:val="0"/>
      <w:marTop w:val="0"/>
      <w:marBottom w:val="0"/>
      <w:divBdr>
        <w:top w:val="none" w:sz="0" w:space="0" w:color="auto"/>
        <w:left w:val="none" w:sz="0" w:space="0" w:color="auto"/>
        <w:bottom w:val="none" w:sz="0" w:space="0" w:color="auto"/>
        <w:right w:val="none" w:sz="0" w:space="0" w:color="auto"/>
      </w:divBdr>
      <w:divsChild>
        <w:div w:id="686952696">
          <w:marLeft w:val="0"/>
          <w:marRight w:val="0"/>
          <w:marTop w:val="0"/>
          <w:marBottom w:val="0"/>
          <w:divBdr>
            <w:top w:val="none" w:sz="0" w:space="0" w:color="auto"/>
            <w:left w:val="none" w:sz="0" w:space="0" w:color="auto"/>
            <w:bottom w:val="none" w:sz="0" w:space="0" w:color="auto"/>
            <w:right w:val="none" w:sz="0" w:space="0" w:color="auto"/>
          </w:divBdr>
        </w:div>
      </w:divsChild>
    </w:div>
    <w:div w:id="167914682">
      <w:bodyDiv w:val="1"/>
      <w:marLeft w:val="0"/>
      <w:marRight w:val="0"/>
      <w:marTop w:val="0"/>
      <w:marBottom w:val="0"/>
      <w:divBdr>
        <w:top w:val="none" w:sz="0" w:space="0" w:color="auto"/>
        <w:left w:val="none" w:sz="0" w:space="0" w:color="auto"/>
        <w:bottom w:val="none" w:sz="0" w:space="0" w:color="auto"/>
        <w:right w:val="none" w:sz="0" w:space="0" w:color="auto"/>
      </w:divBdr>
      <w:divsChild>
        <w:div w:id="826170798">
          <w:marLeft w:val="0"/>
          <w:marRight w:val="0"/>
          <w:marTop w:val="0"/>
          <w:marBottom w:val="0"/>
          <w:divBdr>
            <w:top w:val="none" w:sz="0" w:space="0" w:color="auto"/>
            <w:left w:val="none" w:sz="0" w:space="0" w:color="auto"/>
            <w:bottom w:val="none" w:sz="0" w:space="0" w:color="auto"/>
            <w:right w:val="none" w:sz="0" w:space="0" w:color="auto"/>
          </w:divBdr>
        </w:div>
      </w:divsChild>
    </w:div>
    <w:div w:id="221019452">
      <w:bodyDiv w:val="1"/>
      <w:marLeft w:val="0"/>
      <w:marRight w:val="0"/>
      <w:marTop w:val="0"/>
      <w:marBottom w:val="0"/>
      <w:divBdr>
        <w:top w:val="none" w:sz="0" w:space="0" w:color="auto"/>
        <w:left w:val="none" w:sz="0" w:space="0" w:color="auto"/>
        <w:bottom w:val="none" w:sz="0" w:space="0" w:color="auto"/>
        <w:right w:val="none" w:sz="0" w:space="0" w:color="auto"/>
      </w:divBdr>
      <w:divsChild>
        <w:div w:id="1978365770">
          <w:marLeft w:val="0"/>
          <w:marRight w:val="0"/>
          <w:marTop w:val="0"/>
          <w:marBottom w:val="0"/>
          <w:divBdr>
            <w:top w:val="none" w:sz="0" w:space="0" w:color="auto"/>
            <w:left w:val="none" w:sz="0" w:space="0" w:color="auto"/>
            <w:bottom w:val="none" w:sz="0" w:space="0" w:color="auto"/>
            <w:right w:val="none" w:sz="0" w:space="0" w:color="auto"/>
          </w:divBdr>
          <w:divsChild>
            <w:div w:id="294070698">
              <w:marLeft w:val="0"/>
              <w:marRight w:val="0"/>
              <w:marTop w:val="0"/>
              <w:marBottom w:val="0"/>
              <w:divBdr>
                <w:top w:val="none" w:sz="0" w:space="0" w:color="auto"/>
                <w:left w:val="none" w:sz="0" w:space="0" w:color="auto"/>
                <w:bottom w:val="none" w:sz="0" w:space="0" w:color="auto"/>
                <w:right w:val="none" w:sz="0" w:space="0" w:color="auto"/>
              </w:divBdr>
              <w:divsChild>
                <w:div w:id="1422020661">
                  <w:marLeft w:val="0"/>
                  <w:marRight w:val="0"/>
                  <w:marTop w:val="0"/>
                  <w:marBottom w:val="0"/>
                  <w:divBdr>
                    <w:top w:val="none" w:sz="0" w:space="0" w:color="auto"/>
                    <w:left w:val="none" w:sz="0" w:space="0" w:color="auto"/>
                    <w:bottom w:val="none" w:sz="0" w:space="0" w:color="auto"/>
                    <w:right w:val="none" w:sz="0" w:space="0" w:color="auto"/>
                  </w:divBdr>
                  <w:divsChild>
                    <w:div w:id="247232808">
                      <w:marLeft w:val="0"/>
                      <w:marRight w:val="0"/>
                      <w:marTop w:val="0"/>
                      <w:marBottom w:val="0"/>
                      <w:divBdr>
                        <w:top w:val="none" w:sz="0" w:space="0" w:color="auto"/>
                        <w:left w:val="none" w:sz="0" w:space="0" w:color="auto"/>
                        <w:bottom w:val="none" w:sz="0" w:space="0" w:color="auto"/>
                        <w:right w:val="none" w:sz="0" w:space="0" w:color="auto"/>
                      </w:divBdr>
                    </w:div>
                    <w:div w:id="851723722">
                      <w:marLeft w:val="0"/>
                      <w:marRight w:val="0"/>
                      <w:marTop w:val="0"/>
                      <w:marBottom w:val="0"/>
                      <w:divBdr>
                        <w:top w:val="none" w:sz="0" w:space="0" w:color="auto"/>
                        <w:left w:val="none" w:sz="0" w:space="0" w:color="auto"/>
                        <w:bottom w:val="none" w:sz="0" w:space="0" w:color="auto"/>
                        <w:right w:val="none" w:sz="0" w:space="0" w:color="auto"/>
                      </w:divBdr>
                    </w:div>
                    <w:div w:id="19573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586915">
      <w:bodyDiv w:val="1"/>
      <w:marLeft w:val="0"/>
      <w:marRight w:val="0"/>
      <w:marTop w:val="0"/>
      <w:marBottom w:val="0"/>
      <w:divBdr>
        <w:top w:val="none" w:sz="0" w:space="0" w:color="auto"/>
        <w:left w:val="none" w:sz="0" w:space="0" w:color="auto"/>
        <w:bottom w:val="none" w:sz="0" w:space="0" w:color="auto"/>
        <w:right w:val="none" w:sz="0" w:space="0" w:color="auto"/>
      </w:divBdr>
    </w:div>
    <w:div w:id="329646795">
      <w:bodyDiv w:val="1"/>
      <w:marLeft w:val="0"/>
      <w:marRight w:val="0"/>
      <w:marTop w:val="0"/>
      <w:marBottom w:val="0"/>
      <w:divBdr>
        <w:top w:val="none" w:sz="0" w:space="0" w:color="auto"/>
        <w:left w:val="none" w:sz="0" w:space="0" w:color="auto"/>
        <w:bottom w:val="none" w:sz="0" w:space="0" w:color="auto"/>
        <w:right w:val="none" w:sz="0" w:space="0" w:color="auto"/>
      </w:divBdr>
    </w:div>
    <w:div w:id="392388120">
      <w:bodyDiv w:val="1"/>
      <w:marLeft w:val="0"/>
      <w:marRight w:val="0"/>
      <w:marTop w:val="0"/>
      <w:marBottom w:val="0"/>
      <w:divBdr>
        <w:top w:val="none" w:sz="0" w:space="0" w:color="auto"/>
        <w:left w:val="none" w:sz="0" w:space="0" w:color="auto"/>
        <w:bottom w:val="none" w:sz="0" w:space="0" w:color="auto"/>
        <w:right w:val="none" w:sz="0" w:space="0" w:color="auto"/>
      </w:divBdr>
      <w:divsChild>
        <w:div w:id="1245794971">
          <w:marLeft w:val="0"/>
          <w:marRight w:val="0"/>
          <w:marTop w:val="0"/>
          <w:marBottom w:val="0"/>
          <w:divBdr>
            <w:top w:val="none" w:sz="0" w:space="0" w:color="auto"/>
            <w:left w:val="none" w:sz="0" w:space="0" w:color="auto"/>
            <w:bottom w:val="none" w:sz="0" w:space="0" w:color="auto"/>
            <w:right w:val="none" w:sz="0" w:space="0" w:color="auto"/>
          </w:divBdr>
        </w:div>
      </w:divsChild>
    </w:div>
    <w:div w:id="414011670">
      <w:bodyDiv w:val="1"/>
      <w:marLeft w:val="0"/>
      <w:marRight w:val="0"/>
      <w:marTop w:val="0"/>
      <w:marBottom w:val="0"/>
      <w:divBdr>
        <w:top w:val="none" w:sz="0" w:space="0" w:color="auto"/>
        <w:left w:val="none" w:sz="0" w:space="0" w:color="auto"/>
        <w:bottom w:val="none" w:sz="0" w:space="0" w:color="auto"/>
        <w:right w:val="none" w:sz="0" w:space="0" w:color="auto"/>
      </w:divBdr>
      <w:divsChild>
        <w:div w:id="256908107">
          <w:marLeft w:val="0"/>
          <w:marRight w:val="0"/>
          <w:marTop w:val="0"/>
          <w:marBottom w:val="0"/>
          <w:divBdr>
            <w:top w:val="none" w:sz="0" w:space="0" w:color="auto"/>
            <w:left w:val="none" w:sz="0" w:space="0" w:color="auto"/>
            <w:bottom w:val="none" w:sz="0" w:space="0" w:color="auto"/>
            <w:right w:val="none" w:sz="0" w:space="0" w:color="auto"/>
          </w:divBdr>
        </w:div>
      </w:divsChild>
    </w:div>
    <w:div w:id="463549749">
      <w:bodyDiv w:val="1"/>
      <w:marLeft w:val="0"/>
      <w:marRight w:val="0"/>
      <w:marTop w:val="0"/>
      <w:marBottom w:val="0"/>
      <w:divBdr>
        <w:top w:val="none" w:sz="0" w:space="0" w:color="auto"/>
        <w:left w:val="none" w:sz="0" w:space="0" w:color="auto"/>
        <w:bottom w:val="none" w:sz="0" w:space="0" w:color="auto"/>
        <w:right w:val="none" w:sz="0" w:space="0" w:color="auto"/>
      </w:divBdr>
      <w:divsChild>
        <w:div w:id="513768194">
          <w:marLeft w:val="0"/>
          <w:marRight w:val="0"/>
          <w:marTop w:val="0"/>
          <w:marBottom w:val="0"/>
          <w:divBdr>
            <w:top w:val="none" w:sz="0" w:space="0" w:color="auto"/>
            <w:left w:val="none" w:sz="0" w:space="0" w:color="auto"/>
            <w:bottom w:val="none" w:sz="0" w:space="0" w:color="auto"/>
            <w:right w:val="none" w:sz="0" w:space="0" w:color="auto"/>
          </w:divBdr>
          <w:divsChild>
            <w:div w:id="782187185">
              <w:marLeft w:val="0"/>
              <w:marRight w:val="0"/>
              <w:marTop w:val="0"/>
              <w:marBottom w:val="0"/>
              <w:divBdr>
                <w:top w:val="none" w:sz="0" w:space="0" w:color="auto"/>
                <w:left w:val="none" w:sz="0" w:space="0" w:color="auto"/>
                <w:bottom w:val="none" w:sz="0" w:space="0" w:color="auto"/>
                <w:right w:val="none" w:sz="0" w:space="0" w:color="auto"/>
              </w:divBdr>
              <w:divsChild>
                <w:div w:id="6403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66636">
          <w:marLeft w:val="0"/>
          <w:marRight w:val="0"/>
          <w:marTop w:val="0"/>
          <w:marBottom w:val="0"/>
          <w:divBdr>
            <w:top w:val="none" w:sz="0" w:space="0" w:color="auto"/>
            <w:left w:val="none" w:sz="0" w:space="0" w:color="auto"/>
            <w:bottom w:val="none" w:sz="0" w:space="0" w:color="auto"/>
            <w:right w:val="none" w:sz="0" w:space="0" w:color="auto"/>
          </w:divBdr>
          <w:divsChild>
            <w:div w:id="1814593011">
              <w:marLeft w:val="0"/>
              <w:marRight w:val="0"/>
              <w:marTop w:val="0"/>
              <w:marBottom w:val="0"/>
              <w:divBdr>
                <w:top w:val="none" w:sz="0" w:space="0" w:color="auto"/>
                <w:left w:val="none" w:sz="0" w:space="0" w:color="auto"/>
                <w:bottom w:val="none" w:sz="0" w:space="0" w:color="auto"/>
                <w:right w:val="none" w:sz="0" w:space="0" w:color="auto"/>
              </w:divBdr>
              <w:divsChild>
                <w:div w:id="423190751">
                  <w:marLeft w:val="0"/>
                  <w:marRight w:val="0"/>
                  <w:marTop w:val="0"/>
                  <w:marBottom w:val="0"/>
                  <w:divBdr>
                    <w:top w:val="none" w:sz="0" w:space="0" w:color="auto"/>
                    <w:left w:val="none" w:sz="0" w:space="0" w:color="auto"/>
                    <w:bottom w:val="none" w:sz="0" w:space="0" w:color="auto"/>
                    <w:right w:val="none" w:sz="0" w:space="0" w:color="auto"/>
                  </w:divBdr>
                  <w:divsChild>
                    <w:div w:id="92310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834478">
      <w:bodyDiv w:val="1"/>
      <w:marLeft w:val="0"/>
      <w:marRight w:val="0"/>
      <w:marTop w:val="0"/>
      <w:marBottom w:val="0"/>
      <w:divBdr>
        <w:top w:val="none" w:sz="0" w:space="0" w:color="auto"/>
        <w:left w:val="none" w:sz="0" w:space="0" w:color="auto"/>
        <w:bottom w:val="none" w:sz="0" w:space="0" w:color="auto"/>
        <w:right w:val="none" w:sz="0" w:space="0" w:color="auto"/>
      </w:divBdr>
    </w:div>
    <w:div w:id="492525009">
      <w:bodyDiv w:val="1"/>
      <w:marLeft w:val="0"/>
      <w:marRight w:val="0"/>
      <w:marTop w:val="0"/>
      <w:marBottom w:val="0"/>
      <w:divBdr>
        <w:top w:val="none" w:sz="0" w:space="0" w:color="auto"/>
        <w:left w:val="none" w:sz="0" w:space="0" w:color="auto"/>
        <w:bottom w:val="none" w:sz="0" w:space="0" w:color="auto"/>
        <w:right w:val="none" w:sz="0" w:space="0" w:color="auto"/>
      </w:divBdr>
      <w:divsChild>
        <w:div w:id="187068419">
          <w:marLeft w:val="0"/>
          <w:marRight w:val="0"/>
          <w:marTop w:val="0"/>
          <w:marBottom w:val="0"/>
          <w:divBdr>
            <w:top w:val="none" w:sz="0" w:space="0" w:color="auto"/>
            <w:left w:val="none" w:sz="0" w:space="0" w:color="auto"/>
            <w:bottom w:val="none" w:sz="0" w:space="0" w:color="auto"/>
            <w:right w:val="none" w:sz="0" w:space="0" w:color="auto"/>
          </w:divBdr>
          <w:divsChild>
            <w:div w:id="1271472904">
              <w:marLeft w:val="0"/>
              <w:marRight w:val="0"/>
              <w:marTop w:val="0"/>
              <w:marBottom w:val="0"/>
              <w:divBdr>
                <w:top w:val="none" w:sz="0" w:space="0" w:color="auto"/>
                <w:left w:val="none" w:sz="0" w:space="0" w:color="auto"/>
                <w:bottom w:val="none" w:sz="0" w:space="0" w:color="auto"/>
                <w:right w:val="none" w:sz="0" w:space="0" w:color="auto"/>
              </w:divBdr>
              <w:divsChild>
                <w:div w:id="86386416">
                  <w:marLeft w:val="0"/>
                  <w:marRight w:val="0"/>
                  <w:marTop w:val="0"/>
                  <w:marBottom w:val="0"/>
                  <w:divBdr>
                    <w:top w:val="none" w:sz="0" w:space="0" w:color="auto"/>
                    <w:left w:val="none" w:sz="0" w:space="0" w:color="auto"/>
                    <w:bottom w:val="none" w:sz="0" w:space="0" w:color="auto"/>
                    <w:right w:val="none" w:sz="0" w:space="0" w:color="auto"/>
                  </w:divBdr>
                  <w:divsChild>
                    <w:div w:id="65437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08327">
          <w:marLeft w:val="0"/>
          <w:marRight w:val="0"/>
          <w:marTop w:val="0"/>
          <w:marBottom w:val="0"/>
          <w:divBdr>
            <w:top w:val="none" w:sz="0" w:space="0" w:color="auto"/>
            <w:left w:val="none" w:sz="0" w:space="0" w:color="auto"/>
            <w:bottom w:val="none" w:sz="0" w:space="0" w:color="auto"/>
            <w:right w:val="none" w:sz="0" w:space="0" w:color="auto"/>
          </w:divBdr>
          <w:divsChild>
            <w:div w:id="1767070004">
              <w:marLeft w:val="0"/>
              <w:marRight w:val="0"/>
              <w:marTop w:val="0"/>
              <w:marBottom w:val="0"/>
              <w:divBdr>
                <w:top w:val="none" w:sz="0" w:space="0" w:color="auto"/>
                <w:left w:val="none" w:sz="0" w:space="0" w:color="auto"/>
                <w:bottom w:val="none" w:sz="0" w:space="0" w:color="auto"/>
                <w:right w:val="none" w:sz="0" w:space="0" w:color="auto"/>
              </w:divBdr>
              <w:divsChild>
                <w:div w:id="114454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314210">
      <w:bodyDiv w:val="1"/>
      <w:marLeft w:val="0"/>
      <w:marRight w:val="0"/>
      <w:marTop w:val="0"/>
      <w:marBottom w:val="0"/>
      <w:divBdr>
        <w:top w:val="none" w:sz="0" w:space="0" w:color="auto"/>
        <w:left w:val="none" w:sz="0" w:space="0" w:color="auto"/>
        <w:bottom w:val="none" w:sz="0" w:space="0" w:color="auto"/>
        <w:right w:val="none" w:sz="0" w:space="0" w:color="auto"/>
      </w:divBdr>
    </w:div>
    <w:div w:id="500974292">
      <w:bodyDiv w:val="1"/>
      <w:marLeft w:val="0"/>
      <w:marRight w:val="0"/>
      <w:marTop w:val="0"/>
      <w:marBottom w:val="0"/>
      <w:divBdr>
        <w:top w:val="none" w:sz="0" w:space="0" w:color="auto"/>
        <w:left w:val="none" w:sz="0" w:space="0" w:color="auto"/>
        <w:bottom w:val="none" w:sz="0" w:space="0" w:color="auto"/>
        <w:right w:val="none" w:sz="0" w:space="0" w:color="auto"/>
      </w:divBdr>
      <w:divsChild>
        <w:div w:id="769551425">
          <w:marLeft w:val="0"/>
          <w:marRight w:val="0"/>
          <w:marTop w:val="0"/>
          <w:marBottom w:val="0"/>
          <w:divBdr>
            <w:top w:val="none" w:sz="0" w:space="0" w:color="auto"/>
            <w:left w:val="none" w:sz="0" w:space="0" w:color="auto"/>
            <w:bottom w:val="none" w:sz="0" w:space="0" w:color="auto"/>
            <w:right w:val="none" w:sz="0" w:space="0" w:color="auto"/>
          </w:divBdr>
        </w:div>
      </w:divsChild>
    </w:div>
    <w:div w:id="508257049">
      <w:bodyDiv w:val="1"/>
      <w:marLeft w:val="0"/>
      <w:marRight w:val="0"/>
      <w:marTop w:val="0"/>
      <w:marBottom w:val="0"/>
      <w:divBdr>
        <w:top w:val="none" w:sz="0" w:space="0" w:color="auto"/>
        <w:left w:val="none" w:sz="0" w:space="0" w:color="auto"/>
        <w:bottom w:val="none" w:sz="0" w:space="0" w:color="auto"/>
        <w:right w:val="none" w:sz="0" w:space="0" w:color="auto"/>
      </w:divBdr>
      <w:divsChild>
        <w:div w:id="1051735845">
          <w:marLeft w:val="0"/>
          <w:marRight w:val="0"/>
          <w:marTop w:val="0"/>
          <w:marBottom w:val="0"/>
          <w:divBdr>
            <w:top w:val="none" w:sz="0" w:space="0" w:color="auto"/>
            <w:left w:val="none" w:sz="0" w:space="0" w:color="auto"/>
            <w:bottom w:val="none" w:sz="0" w:space="0" w:color="auto"/>
            <w:right w:val="none" w:sz="0" w:space="0" w:color="auto"/>
          </w:divBdr>
          <w:divsChild>
            <w:div w:id="1519930021">
              <w:marLeft w:val="0"/>
              <w:marRight w:val="0"/>
              <w:marTop w:val="0"/>
              <w:marBottom w:val="0"/>
              <w:divBdr>
                <w:top w:val="none" w:sz="0" w:space="0" w:color="auto"/>
                <w:left w:val="none" w:sz="0" w:space="0" w:color="auto"/>
                <w:bottom w:val="none" w:sz="0" w:space="0" w:color="auto"/>
                <w:right w:val="none" w:sz="0" w:space="0" w:color="auto"/>
              </w:divBdr>
              <w:divsChild>
                <w:div w:id="1234198834">
                  <w:marLeft w:val="0"/>
                  <w:marRight w:val="0"/>
                  <w:marTop w:val="0"/>
                  <w:marBottom w:val="0"/>
                  <w:divBdr>
                    <w:top w:val="none" w:sz="0" w:space="0" w:color="auto"/>
                    <w:left w:val="none" w:sz="0" w:space="0" w:color="auto"/>
                    <w:bottom w:val="none" w:sz="0" w:space="0" w:color="auto"/>
                    <w:right w:val="none" w:sz="0" w:space="0" w:color="auto"/>
                  </w:divBdr>
                  <w:divsChild>
                    <w:div w:id="97710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33976">
          <w:marLeft w:val="0"/>
          <w:marRight w:val="0"/>
          <w:marTop w:val="0"/>
          <w:marBottom w:val="0"/>
          <w:divBdr>
            <w:top w:val="none" w:sz="0" w:space="0" w:color="auto"/>
            <w:left w:val="none" w:sz="0" w:space="0" w:color="auto"/>
            <w:bottom w:val="none" w:sz="0" w:space="0" w:color="auto"/>
            <w:right w:val="none" w:sz="0" w:space="0" w:color="auto"/>
          </w:divBdr>
          <w:divsChild>
            <w:div w:id="652640081">
              <w:marLeft w:val="0"/>
              <w:marRight w:val="0"/>
              <w:marTop w:val="0"/>
              <w:marBottom w:val="0"/>
              <w:divBdr>
                <w:top w:val="none" w:sz="0" w:space="0" w:color="auto"/>
                <w:left w:val="none" w:sz="0" w:space="0" w:color="auto"/>
                <w:bottom w:val="none" w:sz="0" w:space="0" w:color="auto"/>
                <w:right w:val="none" w:sz="0" w:space="0" w:color="auto"/>
              </w:divBdr>
              <w:divsChild>
                <w:div w:id="29838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4577">
      <w:bodyDiv w:val="1"/>
      <w:marLeft w:val="0"/>
      <w:marRight w:val="0"/>
      <w:marTop w:val="0"/>
      <w:marBottom w:val="0"/>
      <w:divBdr>
        <w:top w:val="none" w:sz="0" w:space="0" w:color="auto"/>
        <w:left w:val="none" w:sz="0" w:space="0" w:color="auto"/>
        <w:bottom w:val="none" w:sz="0" w:space="0" w:color="auto"/>
        <w:right w:val="none" w:sz="0" w:space="0" w:color="auto"/>
      </w:divBdr>
    </w:div>
    <w:div w:id="661618290">
      <w:bodyDiv w:val="1"/>
      <w:marLeft w:val="0"/>
      <w:marRight w:val="0"/>
      <w:marTop w:val="0"/>
      <w:marBottom w:val="0"/>
      <w:divBdr>
        <w:top w:val="none" w:sz="0" w:space="0" w:color="auto"/>
        <w:left w:val="none" w:sz="0" w:space="0" w:color="auto"/>
        <w:bottom w:val="none" w:sz="0" w:space="0" w:color="auto"/>
        <w:right w:val="none" w:sz="0" w:space="0" w:color="auto"/>
      </w:divBdr>
    </w:div>
    <w:div w:id="678391488">
      <w:bodyDiv w:val="1"/>
      <w:marLeft w:val="0"/>
      <w:marRight w:val="0"/>
      <w:marTop w:val="0"/>
      <w:marBottom w:val="0"/>
      <w:divBdr>
        <w:top w:val="none" w:sz="0" w:space="0" w:color="auto"/>
        <w:left w:val="none" w:sz="0" w:space="0" w:color="auto"/>
        <w:bottom w:val="none" w:sz="0" w:space="0" w:color="auto"/>
        <w:right w:val="none" w:sz="0" w:space="0" w:color="auto"/>
      </w:divBdr>
    </w:div>
    <w:div w:id="717708368">
      <w:bodyDiv w:val="1"/>
      <w:marLeft w:val="0"/>
      <w:marRight w:val="0"/>
      <w:marTop w:val="0"/>
      <w:marBottom w:val="0"/>
      <w:divBdr>
        <w:top w:val="none" w:sz="0" w:space="0" w:color="auto"/>
        <w:left w:val="none" w:sz="0" w:space="0" w:color="auto"/>
        <w:bottom w:val="none" w:sz="0" w:space="0" w:color="auto"/>
        <w:right w:val="none" w:sz="0" w:space="0" w:color="auto"/>
      </w:divBdr>
      <w:divsChild>
        <w:div w:id="727800572">
          <w:marLeft w:val="0"/>
          <w:marRight w:val="0"/>
          <w:marTop w:val="0"/>
          <w:marBottom w:val="0"/>
          <w:divBdr>
            <w:top w:val="none" w:sz="0" w:space="0" w:color="auto"/>
            <w:left w:val="none" w:sz="0" w:space="0" w:color="auto"/>
            <w:bottom w:val="none" w:sz="0" w:space="0" w:color="auto"/>
            <w:right w:val="none" w:sz="0" w:space="0" w:color="auto"/>
          </w:divBdr>
        </w:div>
      </w:divsChild>
    </w:div>
    <w:div w:id="757990940">
      <w:bodyDiv w:val="1"/>
      <w:marLeft w:val="0"/>
      <w:marRight w:val="0"/>
      <w:marTop w:val="0"/>
      <w:marBottom w:val="0"/>
      <w:divBdr>
        <w:top w:val="none" w:sz="0" w:space="0" w:color="auto"/>
        <w:left w:val="none" w:sz="0" w:space="0" w:color="auto"/>
        <w:bottom w:val="none" w:sz="0" w:space="0" w:color="auto"/>
        <w:right w:val="none" w:sz="0" w:space="0" w:color="auto"/>
      </w:divBdr>
    </w:div>
    <w:div w:id="786655390">
      <w:bodyDiv w:val="1"/>
      <w:marLeft w:val="0"/>
      <w:marRight w:val="0"/>
      <w:marTop w:val="0"/>
      <w:marBottom w:val="0"/>
      <w:divBdr>
        <w:top w:val="none" w:sz="0" w:space="0" w:color="auto"/>
        <w:left w:val="none" w:sz="0" w:space="0" w:color="auto"/>
        <w:bottom w:val="none" w:sz="0" w:space="0" w:color="auto"/>
        <w:right w:val="none" w:sz="0" w:space="0" w:color="auto"/>
      </w:divBdr>
    </w:div>
    <w:div w:id="820655563">
      <w:bodyDiv w:val="1"/>
      <w:marLeft w:val="0"/>
      <w:marRight w:val="0"/>
      <w:marTop w:val="0"/>
      <w:marBottom w:val="0"/>
      <w:divBdr>
        <w:top w:val="none" w:sz="0" w:space="0" w:color="auto"/>
        <w:left w:val="none" w:sz="0" w:space="0" w:color="auto"/>
        <w:bottom w:val="none" w:sz="0" w:space="0" w:color="auto"/>
        <w:right w:val="none" w:sz="0" w:space="0" w:color="auto"/>
      </w:divBdr>
    </w:div>
    <w:div w:id="911352250">
      <w:bodyDiv w:val="1"/>
      <w:marLeft w:val="0"/>
      <w:marRight w:val="0"/>
      <w:marTop w:val="0"/>
      <w:marBottom w:val="0"/>
      <w:divBdr>
        <w:top w:val="none" w:sz="0" w:space="0" w:color="auto"/>
        <w:left w:val="none" w:sz="0" w:space="0" w:color="auto"/>
        <w:bottom w:val="none" w:sz="0" w:space="0" w:color="auto"/>
        <w:right w:val="none" w:sz="0" w:space="0" w:color="auto"/>
      </w:divBdr>
    </w:div>
    <w:div w:id="913276137">
      <w:bodyDiv w:val="1"/>
      <w:marLeft w:val="0"/>
      <w:marRight w:val="0"/>
      <w:marTop w:val="0"/>
      <w:marBottom w:val="0"/>
      <w:divBdr>
        <w:top w:val="none" w:sz="0" w:space="0" w:color="auto"/>
        <w:left w:val="none" w:sz="0" w:space="0" w:color="auto"/>
        <w:bottom w:val="none" w:sz="0" w:space="0" w:color="auto"/>
        <w:right w:val="none" w:sz="0" w:space="0" w:color="auto"/>
      </w:divBdr>
    </w:div>
    <w:div w:id="943613383">
      <w:bodyDiv w:val="1"/>
      <w:marLeft w:val="0"/>
      <w:marRight w:val="0"/>
      <w:marTop w:val="0"/>
      <w:marBottom w:val="0"/>
      <w:divBdr>
        <w:top w:val="none" w:sz="0" w:space="0" w:color="auto"/>
        <w:left w:val="none" w:sz="0" w:space="0" w:color="auto"/>
        <w:bottom w:val="none" w:sz="0" w:space="0" w:color="auto"/>
        <w:right w:val="none" w:sz="0" w:space="0" w:color="auto"/>
      </w:divBdr>
      <w:divsChild>
        <w:div w:id="797648704">
          <w:marLeft w:val="0"/>
          <w:marRight w:val="0"/>
          <w:marTop w:val="0"/>
          <w:marBottom w:val="0"/>
          <w:divBdr>
            <w:top w:val="none" w:sz="0" w:space="0" w:color="auto"/>
            <w:left w:val="none" w:sz="0" w:space="0" w:color="auto"/>
            <w:bottom w:val="none" w:sz="0" w:space="0" w:color="auto"/>
            <w:right w:val="none" w:sz="0" w:space="0" w:color="auto"/>
          </w:divBdr>
          <w:divsChild>
            <w:div w:id="1444613742">
              <w:marLeft w:val="0"/>
              <w:marRight w:val="0"/>
              <w:marTop w:val="0"/>
              <w:marBottom w:val="0"/>
              <w:divBdr>
                <w:top w:val="none" w:sz="0" w:space="0" w:color="auto"/>
                <w:left w:val="none" w:sz="0" w:space="0" w:color="auto"/>
                <w:bottom w:val="none" w:sz="0" w:space="0" w:color="auto"/>
                <w:right w:val="none" w:sz="0" w:space="0" w:color="auto"/>
              </w:divBdr>
              <w:divsChild>
                <w:div w:id="1889102794">
                  <w:marLeft w:val="0"/>
                  <w:marRight w:val="0"/>
                  <w:marTop w:val="0"/>
                  <w:marBottom w:val="0"/>
                  <w:divBdr>
                    <w:top w:val="none" w:sz="0" w:space="0" w:color="auto"/>
                    <w:left w:val="none" w:sz="0" w:space="0" w:color="auto"/>
                    <w:bottom w:val="none" w:sz="0" w:space="0" w:color="auto"/>
                    <w:right w:val="none" w:sz="0" w:space="0" w:color="auto"/>
                  </w:divBdr>
                  <w:divsChild>
                    <w:div w:id="101904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646020">
          <w:marLeft w:val="0"/>
          <w:marRight w:val="0"/>
          <w:marTop w:val="0"/>
          <w:marBottom w:val="0"/>
          <w:divBdr>
            <w:top w:val="none" w:sz="0" w:space="0" w:color="auto"/>
            <w:left w:val="none" w:sz="0" w:space="0" w:color="auto"/>
            <w:bottom w:val="none" w:sz="0" w:space="0" w:color="auto"/>
            <w:right w:val="none" w:sz="0" w:space="0" w:color="auto"/>
          </w:divBdr>
          <w:divsChild>
            <w:div w:id="1512064258">
              <w:marLeft w:val="0"/>
              <w:marRight w:val="0"/>
              <w:marTop w:val="0"/>
              <w:marBottom w:val="0"/>
              <w:divBdr>
                <w:top w:val="none" w:sz="0" w:space="0" w:color="auto"/>
                <w:left w:val="none" w:sz="0" w:space="0" w:color="auto"/>
                <w:bottom w:val="none" w:sz="0" w:space="0" w:color="auto"/>
                <w:right w:val="none" w:sz="0" w:space="0" w:color="auto"/>
              </w:divBdr>
              <w:divsChild>
                <w:div w:id="133464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543385">
      <w:bodyDiv w:val="1"/>
      <w:marLeft w:val="0"/>
      <w:marRight w:val="0"/>
      <w:marTop w:val="0"/>
      <w:marBottom w:val="0"/>
      <w:divBdr>
        <w:top w:val="none" w:sz="0" w:space="0" w:color="auto"/>
        <w:left w:val="none" w:sz="0" w:space="0" w:color="auto"/>
        <w:bottom w:val="none" w:sz="0" w:space="0" w:color="auto"/>
        <w:right w:val="none" w:sz="0" w:space="0" w:color="auto"/>
      </w:divBdr>
    </w:div>
    <w:div w:id="979917729">
      <w:bodyDiv w:val="1"/>
      <w:marLeft w:val="0"/>
      <w:marRight w:val="0"/>
      <w:marTop w:val="0"/>
      <w:marBottom w:val="0"/>
      <w:divBdr>
        <w:top w:val="none" w:sz="0" w:space="0" w:color="auto"/>
        <w:left w:val="none" w:sz="0" w:space="0" w:color="auto"/>
        <w:bottom w:val="none" w:sz="0" w:space="0" w:color="auto"/>
        <w:right w:val="none" w:sz="0" w:space="0" w:color="auto"/>
      </w:divBdr>
    </w:div>
    <w:div w:id="980236095">
      <w:bodyDiv w:val="1"/>
      <w:marLeft w:val="0"/>
      <w:marRight w:val="0"/>
      <w:marTop w:val="0"/>
      <w:marBottom w:val="0"/>
      <w:divBdr>
        <w:top w:val="none" w:sz="0" w:space="0" w:color="auto"/>
        <w:left w:val="none" w:sz="0" w:space="0" w:color="auto"/>
        <w:bottom w:val="none" w:sz="0" w:space="0" w:color="auto"/>
        <w:right w:val="none" w:sz="0" w:space="0" w:color="auto"/>
      </w:divBdr>
      <w:divsChild>
        <w:div w:id="2107723162">
          <w:marLeft w:val="0"/>
          <w:marRight w:val="0"/>
          <w:marTop w:val="0"/>
          <w:marBottom w:val="0"/>
          <w:divBdr>
            <w:top w:val="none" w:sz="0" w:space="0" w:color="auto"/>
            <w:left w:val="none" w:sz="0" w:space="0" w:color="auto"/>
            <w:bottom w:val="none" w:sz="0" w:space="0" w:color="auto"/>
            <w:right w:val="none" w:sz="0" w:space="0" w:color="auto"/>
          </w:divBdr>
        </w:div>
      </w:divsChild>
    </w:div>
    <w:div w:id="982392588">
      <w:bodyDiv w:val="1"/>
      <w:marLeft w:val="0"/>
      <w:marRight w:val="0"/>
      <w:marTop w:val="0"/>
      <w:marBottom w:val="0"/>
      <w:divBdr>
        <w:top w:val="none" w:sz="0" w:space="0" w:color="auto"/>
        <w:left w:val="none" w:sz="0" w:space="0" w:color="auto"/>
        <w:bottom w:val="none" w:sz="0" w:space="0" w:color="auto"/>
        <w:right w:val="none" w:sz="0" w:space="0" w:color="auto"/>
      </w:divBdr>
    </w:div>
    <w:div w:id="994338386">
      <w:bodyDiv w:val="1"/>
      <w:marLeft w:val="0"/>
      <w:marRight w:val="0"/>
      <w:marTop w:val="0"/>
      <w:marBottom w:val="0"/>
      <w:divBdr>
        <w:top w:val="none" w:sz="0" w:space="0" w:color="auto"/>
        <w:left w:val="none" w:sz="0" w:space="0" w:color="auto"/>
        <w:bottom w:val="none" w:sz="0" w:space="0" w:color="auto"/>
        <w:right w:val="none" w:sz="0" w:space="0" w:color="auto"/>
      </w:divBdr>
      <w:divsChild>
        <w:div w:id="662586331">
          <w:marLeft w:val="0"/>
          <w:marRight w:val="0"/>
          <w:marTop w:val="0"/>
          <w:marBottom w:val="0"/>
          <w:divBdr>
            <w:top w:val="none" w:sz="0" w:space="0" w:color="auto"/>
            <w:left w:val="none" w:sz="0" w:space="0" w:color="auto"/>
            <w:bottom w:val="none" w:sz="0" w:space="0" w:color="auto"/>
            <w:right w:val="none" w:sz="0" w:space="0" w:color="auto"/>
          </w:divBdr>
          <w:divsChild>
            <w:div w:id="37167891">
              <w:marLeft w:val="0"/>
              <w:marRight w:val="0"/>
              <w:marTop w:val="0"/>
              <w:marBottom w:val="0"/>
              <w:divBdr>
                <w:top w:val="none" w:sz="0" w:space="0" w:color="auto"/>
                <w:left w:val="none" w:sz="0" w:space="0" w:color="auto"/>
                <w:bottom w:val="none" w:sz="0" w:space="0" w:color="auto"/>
                <w:right w:val="none" w:sz="0" w:space="0" w:color="auto"/>
              </w:divBdr>
              <w:divsChild>
                <w:div w:id="1977685400">
                  <w:marLeft w:val="0"/>
                  <w:marRight w:val="0"/>
                  <w:marTop w:val="0"/>
                  <w:marBottom w:val="0"/>
                  <w:divBdr>
                    <w:top w:val="none" w:sz="0" w:space="0" w:color="auto"/>
                    <w:left w:val="none" w:sz="0" w:space="0" w:color="auto"/>
                    <w:bottom w:val="none" w:sz="0" w:space="0" w:color="auto"/>
                    <w:right w:val="none" w:sz="0" w:space="0" w:color="auto"/>
                  </w:divBdr>
                  <w:divsChild>
                    <w:div w:id="133341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526448">
          <w:marLeft w:val="0"/>
          <w:marRight w:val="0"/>
          <w:marTop w:val="0"/>
          <w:marBottom w:val="0"/>
          <w:divBdr>
            <w:top w:val="none" w:sz="0" w:space="0" w:color="auto"/>
            <w:left w:val="none" w:sz="0" w:space="0" w:color="auto"/>
            <w:bottom w:val="none" w:sz="0" w:space="0" w:color="auto"/>
            <w:right w:val="none" w:sz="0" w:space="0" w:color="auto"/>
          </w:divBdr>
          <w:divsChild>
            <w:div w:id="1261329440">
              <w:marLeft w:val="0"/>
              <w:marRight w:val="0"/>
              <w:marTop w:val="0"/>
              <w:marBottom w:val="0"/>
              <w:divBdr>
                <w:top w:val="none" w:sz="0" w:space="0" w:color="auto"/>
                <w:left w:val="none" w:sz="0" w:space="0" w:color="auto"/>
                <w:bottom w:val="none" w:sz="0" w:space="0" w:color="auto"/>
                <w:right w:val="none" w:sz="0" w:space="0" w:color="auto"/>
              </w:divBdr>
              <w:divsChild>
                <w:div w:id="140675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10939">
      <w:bodyDiv w:val="1"/>
      <w:marLeft w:val="0"/>
      <w:marRight w:val="0"/>
      <w:marTop w:val="0"/>
      <w:marBottom w:val="0"/>
      <w:divBdr>
        <w:top w:val="none" w:sz="0" w:space="0" w:color="auto"/>
        <w:left w:val="none" w:sz="0" w:space="0" w:color="auto"/>
        <w:bottom w:val="none" w:sz="0" w:space="0" w:color="auto"/>
        <w:right w:val="none" w:sz="0" w:space="0" w:color="auto"/>
      </w:divBdr>
    </w:div>
    <w:div w:id="1119297718">
      <w:bodyDiv w:val="1"/>
      <w:marLeft w:val="0"/>
      <w:marRight w:val="0"/>
      <w:marTop w:val="0"/>
      <w:marBottom w:val="0"/>
      <w:divBdr>
        <w:top w:val="none" w:sz="0" w:space="0" w:color="auto"/>
        <w:left w:val="none" w:sz="0" w:space="0" w:color="auto"/>
        <w:bottom w:val="none" w:sz="0" w:space="0" w:color="auto"/>
        <w:right w:val="none" w:sz="0" w:space="0" w:color="auto"/>
      </w:divBdr>
      <w:divsChild>
        <w:div w:id="1652557419">
          <w:marLeft w:val="0"/>
          <w:marRight w:val="0"/>
          <w:marTop w:val="150"/>
          <w:marBottom w:val="270"/>
          <w:divBdr>
            <w:top w:val="none" w:sz="0" w:space="0" w:color="auto"/>
            <w:left w:val="none" w:sz="0" w:space="0" w:color="auto"/>
            <w:bottom w:val="none" w:sz="0" w:space="0" w:color="auto"/>
            <w:right w:val="none" w:sz="0" w:space="0" w:color="auto"/>
          </w:divBdr>
        </w:div>
      </w:divsChild>
    </w:div>
    <w:div w:id="1184439919">
      <w:bodyDiv w:val="1"/>
      <w:marLeft w:val="0"/>
      <w:marRight w:val="0"/>
      <w:marTop w:val="0"/>
      <w:marBottom w:val="0"/>
      <w:divBdr>
        <w:top w:val="none" w:sz="0" w:space="0" w:color="auto"/>
        <w:left w:val="none" w:sz="0" w:space="0" w:color="auto"/>
        <w:bottom w:val="none" w:sz="0" w:space="0" w:color="auto"/>
        <w:right w:val="none" w:sz="0" w:space="0" w:color="auto"/>
      </w:divBdr>
      <w:divsChild>
        <w:div w:id="331492293">
          <w:marLeft w:val="0"/>
          <w:marRight w:val="0"/>
          <w:marTop w:val="0"/>
          <w:marBottom w:val="0"/>
          <w:divBdr>
            <w:top w:val="none" w:sz="0" w:space="0" w:color="auto"/>
            <w:left w:val="none" w:sz="0" w:space="0" w:color="auto"/>
            <w:bottom w:val="none" w:sz="0" w:space="0" w:color="auto"/>
            <w:right w:val="none" w:sz="0" w:space="0" w:color="auto"/>
          </w:divBdr>
          <w:divsChild>
            <w:div w:id="1361517730">
              <w:marLeft w:val="0"/>
              <w:marRight w:val="0"/>
              <w:marTop w:val="0"/>
              <w:marBottom w:val="0"/>
              <w:divBdr>
                <w:top w:val="none" w:sz="0" w:space="0" w:color="auto"/>
                <w:left w:val="none" w:sz="0" w:space="0" w:color="auto"/>
                <w:bottom w:val="none" w:sz="0" w:space="0" w:color="auto"/>
                <w:right w:val="none" w:sz="0" w:space="0" w:color="auto"/>
              </w:divBdr>
              <w:divsChild>
                <w:div w:id="1108890235">
                  <w:marLeft w:val="0"/>
                  <w:marRight w:val="0"/>
                  <w:marTop w:val="0"/>
                  <w:marBottom w:val="0"/>
                  <w:divBdr>
                    <w:top w:val="none" w:sz="0" w:space="0" w:color="auto"/>
                    <w:left w:val="none" w:sz="0" w:space="0" w:color="auto"/>
                    <w:bottom w:val="none" w:sz="0" w:space="0" w:color="auto"/>
                    <w:right w:val="none" w:sz="0" w:space="0" w:color="auto"/>
                  </w:divBdr>
                  <w:divsChild>
                    <w:div w:id="5219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155841">
          <w:marLeft w:val="0"/>
          <w:marRight w:val="0"/>
          <w:marTop w:val="0"/>
          <w:marBottom w:val="0"/>
          <w:divBdr>
            <w:top w:val="none" w:sz="0" w:space="0" w:color="auto"/>
            <w:left w:val="none" w:sz="0" w:space="0" w:color="auto"/>
            <w:bottom w:val="none" w:sz="0" w:space="0" w:color="auto"/>
            <w:right w:val="none" w:sz="0" w:space="0" w:color="auto"/>
          </w:divBdr>
          <w:divsChild>
            <w:div w:id="373237056">
              <w:marLeft w:val="0"/>
              <w:marRight w:val="0"/>
              <w:marTop w:val="0"/>
              <w:marBottom w:val="0"/>
              <w:divBdr>
                <w:top w:val="none" w:sz="0" w:space="0" w:color="auto"/>
                <w:left w:val="none" w:sz="0" w:space="0" w:color="auto"/>
                <w:bottom w:val="none" w:sz="0" w:space="0" w:color="auto"/>
                <w:right w:val="none" w:sz="0" w:space="0" w:color="auto"/>
              </w:divBdr>
              <w:divsChild>
                <w:div w:id="6973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907590">
      <w:bodyDiv w:val="1"/>
      <w:marLeft w:val="0"/>
      <w:marRight w:val="0"/>
      <w:marTop w:val="0"/>
      <w:marBottom w:val="0"/>
      <w:divBdr>
        <w:top w:val="none" w:sz="0" w:space="0" w:color="auto"/>
        <w:left w:val="none" w:sz="0" w:space="0" w:color="auto"/>
        <w:bottom w:val="none" w:sz="0" w:space="0" w:color="auto"/>
        <w:right w:val="none" w:sz="0" w:space="0" w:color="auto"/>
      </w:divBdr>
    </w:div>
    <w:div w:id="1270775275">
      <w:bodyDiv w:val="1"/>
      <w:marLeft w:val="0"/>
      <w:marRight w:val="0"/>
      <w:marTop w:val="0"/>
      <w:marBottom w:val="0"/>
      <w:divBdr>
        <w:top w:val="none" w:sz="0" w:space="0" w:color="auto"/>
        <w:left w:val="none" w:sz="0" w:space="0" w:color="auto"/>
        <w:bottom w:val="none" w:sz="0" w:space="0" w:color="auto"/>
        <w:right w:val="none" w:sz="0" w:space="0" w:color="auto"/>
      </w:divBdr>
      <w:divsChild>
        <w:div w:id="782379610">
          <w:marLeft w:val="0"/>
          <w:marRight w:val="0"/>
          <w:marTop w:val="0"/>
          <w:marBottom w:val="0"/>
          <w:divBdr>
            <w:top w:val="none" w:sz="0" w:space="0" w:color="auto"/>
            <w:left w:val="none" w:sz="0" w:space="0" w:color="auto"/>
            <w:bottom w:val="none" w:sz="0" w:space="0" w:color="auto"/>
            <w:right w:val="none" w:sz="0" w:space="0" w:color="auto"/>
          </w:divBdr>
        </w:div>
      </w:divsChild>
    </w:div>
    <w:div w:id="1272199284">
      <w:bodyDiv w:val="1"/>
      <w:marLeft w:val="0"/>
      <w:marRight w:val="0"/>
      <w:marTop w:val="0"/>
      <w:marBottom w:val="0"/>
      <w:divBdr>
        <w:top w:val="none" w:sz="0" w:space="0" w:color="auto"/>
        <w:left w:val="none" w:sz="0" w:space="0" w:color="auto"/>
        <w:bottom w:val="none" w:sz="0" w:space="0" w:color="auto"/>
        <w:right w:val="none" w:sz="0" w:space="0" w:color="auto"/>
      </w:divBdr>
    </w:div>
    <w:div w:id="1272934072">
      <w:bodyDiv w:val="1"/>
      <w:marLeft w:val="0"/>
      <w:marRight w:val="0"/>
      <w:marTop w:val="0"/>
      <w:marBottom w:val="0"/>
      <w:divBdr>
        <w:top w:val="none" w:sz="0" w:space="0" w:color="auto"/>
        <w:left w:val="none" w:sz="0" w:space="0" w:color="auto"/>
        <w:bottom w:val="none" w:sz="0" w:space="0" w:color="auto"/>
        <w:right w:val="none" w:sz="0" w:space="0" w:color="auto"/>
      </w:divBdr>
      <w:divsChild>
        <w:div w:id="326327474">
          <w:marLeft w:val="0"/>
          <w:marRight w:val="0"/>
          <w:marTop w:val="0"/>
          <w:marBottom w:val="0"/>
          <w:divBdr>
            <w:top w:val="none" w:sz="0" w:space="0" w:color="auto"/>
            <w:left w:val="none" w:sz="0" w:space="0" w:color="auto"/>
            <w:bottom w:val="none" w:sz="0" w:space="0" w:color="auto"/>
            <w:right w:val="none" w:sz="0" w:space="0" w:color="auto"/>
          </w:divBdr>
        </w:div>
      </w:divsChild>
    </w:div>
    <w:div w:id="1280188870">
      <w:bodyDiv w:val="1"/>
      <w:marLeft w:val="0"/>
      <w:marRight w:val="0"/>
      <w:marTop w:val="0"/>
      <w:marBottom w:val="0"/>
      <w:divBdr>
        <w:top w:val="none" w:sz="0" w:space="0" w:color="auto"/>
        <w:left w:val="none" w:sz="0" w:space="0" w:color="auto"/>
        <w:bottom w:val="none" w:sz="0" w:space="0" w:color="auto"/>
        <w:right w:val="none" w:sz="0" w:space="0" w:color="auto"/>
      </w:divBdr>
    </w:div>
    <w:div w:id="1286473150">
      <w:bodyDiv w:val="1"/>
      <w:marLeft w:val="0"/>
      <w:marRight w:val="0"/>
      <w:marTop w:val="0"/>
      <w:marBottom w:val="0"/>
      <w:divBdr>
        <w:top w:val="none" w:sz="0" w:space="0" w:color="auto"/>
        <w:left w:val="none" w:sz="0" w:space="0" w:color="auto"/>
        <w:bottom w:val="none" w:sz="0" w:space="0" w:color="auto"/>
        <w:right w:val="none" w:sz="0" w:space="0" w:color="auto"/>
      </w:divBdr>
    </w:div>
    <w:div w:id="1296761063">
      <w:bodyDiv w:val="1"/>
      <w:marLeft w:val="0"/>
      <w:marRight w:val="0"/>
      <w:marTop w:val="0"/>
      <w:marBottom w:val="0"/>
      <w:divBdr>
        <w:top w:val="none" w:sz="0" w:space="0" w:color="auto"/>
        <w:left w:val="none" w:sz="0" w:space="0" w:color="auto"/>
        <w:bottom w:val="none" w:sz="0" w:space="0" w:color="auto"/>
        <w:right w:val="none" w:sz="0" w:space="0" w:color="auto"/>
      </w:divBdr>
    </w:div>
    <w:div w:id="1362509880">
      <w:bodyDiv w:val="1"/>
      <w:marLeft w:val="0"/>
      <w:marRight w:val="0"/>
      <w:marTop w:val="0"/>
      <w:marBottom w:val="0"/>
      <w:divBdr>
        <w:top w:val="none" w:sz="0" w:space="0" w:color="auto"/>
        <w:left w:val="none" w:sz="0" w:space="0" w:color="auto"/>
        <w:bottom w:val="none" w:sz="0" w:space="0" w:color="auto"/>
        <w:right w:val="none" w:sz="0" w:space="0" w:color="auto"/>
      </w:divBdr>
    </w:div>
    <w:div w:id="1369990874">
      <w:bodyDiv w:val="1"/>
      <w:marLeft w:val="0"/>
      <w:marRight w:val="0"/>
      <w:marTop w:val="0"/>
      <w:marBottom w:val="0"/>
      <w:divBdr>
        <w:top w:val="none" w:sz="0" w:space="0" w:color="auto"/>
        <w:left w:val="none" w:sz="0" w:space="0" w:color="auto"/>
        <w:bottom w:val="none" w:sz="0" w:space="0" w:color="auto"/>
        <w:right w:val="none" w:sz="0" w:space="0" w:color="auto"/>
      </w:divBdr>
      <w:divsChild>
        <w:div w:id="1369603747">
          <w:marLeft w:val="0"/>
          <w:marRight w:val="0"/>
          <w:marTop w:val="0"/>
          <w:marBottom w:val="0"/>
          <w:divBdr>
            <w:top w:val="none" w:sz="0" w:space="0" w:color="auto"/>
            <w:left w:val="none" w:sz="0" w:space="0" w:color="auto"/>
            <w:bottom w:val="none" w:sz="0" w:space="0" w:color="auto"/>
            <w:right w:val="none" w:sz="0" w:space="0" w:color="auto"/>
          </w:divBdr>
        </w:div>
      </w:divsChild>
    </w:div>
    <w:div w:id="1386103840">
      <w:bodyDiv w:val="1"/>
      <w:marLeft w:val="0"/>
      <w:marRight w:val="0"/>
      <w:marTop w:val="0"/>
      <w:marBottom w:val="0"/>
      <w:divBdr>
        <w:top w:val="none" w:sz="0" w:space="0" w:color="auto"/>
        <w:left w:val="none" w:sz="0" w:space="0" w:color="auto"/>
        <w:bottom w:val="none" w:sz="0" w:space="0" w:color="auto"/>
        <w:right w:val="none" w:sz="0" w:space="0" w:color="auto"/>
      </w:divBdr>
      <w:divsChild>
        <w:div w:id="335305818">
          <w:marLeft w:val="547"/>
          <w:marRight w:val="0"/>
          <w:marTop w:val="0"/>
          <w:marBottom w:val="0"/>
          <w:divBdr>
            <w:top w:val="none" w:sz="0" w:space="0" w:color="auto"/>
            <w:left w:val="none" w:sz="0" w:space="0" w:color="auto"/>
            <w:bottom w:val="none" w:sz="0" w:space="0" w:color="auto"/>
            <w:right w:val="none" w:sz="0" w:space="0" w:color="auto"/>
          </w:divBdr>
        </w:div>
        <w:div w:id="475878293">
          <w:marLeft w:val="547"/>
          <w:marRight w:val="0"/>
          <w:marTop w:val="0"/>
          <w:marBottom w:val="0"/>
          <w:divBdr>
            <w:top w:val="none" w:sz="0" w:space="0" w:color="auto"/>
            <w:left w:val="none" w:sz="0" w:space="0" w:color="auto"/>
            <w:bottom w:val="none" w:sz="0" w:space="0" w:color="auto"/>
            <w:right w:val="none" w:sz="0" w:space="0" w:color="auto"/>
          </w:divBdr>
        </w:div>
        <w:div w:id="476149709">
          <w:marLeft w:val="547"/>
          <w:marRight w:val="0"/>
          <w:marTop w:val="0"/>
          <w:marBottom w:val="0"/>
          <w:divBdr>
            <w:top w:val="none" w:sz="0" w:space="0" w:color="auto"/>
            <w:left w:val="none" w:sz="0" w:space="0" w:color="auto"/>
            <w:bottom w:val="none" w:sz="0" w:space="0" w:color="auto"/>
            <w:right w:val="none" w:sz="0" w:space="0" w:color="auto"/>
          </w:divBdr>
        </w:div>
        <w:div w:id="921573453">
          <w:marLeft w:val="547"/>
          <w:marRight w:val="0"/>
          <w:marTop w:val="0"/>
          <w:marBottom w:val="0"/>
          <w:divBdr>
            <w:top w:val="none" w:sz="0" w:space="0" w:color="auto"/>
            <w:left w:val="none" w:sz="0" w:space="0" w:color="auto"/>
            <w:bottom w:val="none" w:sz="0" w:space="0" w:color="auto"/>
            <w:right w:val="none" w:sz="0" w:space="0" w:color="auto"/>
          </w:divBdr>
        </w:div>
        <w:div w:id="994333138">
          <w:marLeft w:val="547"/>
          <w:marRight w:val="0"/>
          <w:marTop w:val="0"/>
          <w:marBottom w:val="0"/>
          <w:divBdr>
            <w:top w:val="none" w:sz="0" w:space="0" w:color="auto"/>
            <w:left w:val="none" w:sz="0" w:space="0" w:color="auto"/>
            <w:bottom w:val="none" w:sz="0" w:space="0" w:color="auto"/>
            <w:right w:val="none" w:sz="0" w:space="0" w:color="auto"/>
          </w:divBdr>
        </w:div>
        <w:div w:id="1014260166">
          <w:marLeft w:val="547"/>
          <w:marRight w:val="0"/>
          <w:marTop w:val="0"/>
          <w:marBottom w:val="0"/>
          <w:divBdr>
            <w:top w:val="none" w:sz="0" w:space="0" w:color="auto"/>
            <w:left w:val="none" w:sz="0" w:space="0" w:color="auto"/>
            <w:bottom w:val="none" w:sz="0" w:space="0" w:color="auto"/>
            <w:right w:val="none" w:sz="0" w:space="0" w:color="auto"/>
          </w:divBdr>
        </w:div>
        <w:div w:id="1566380544">
          <w:marLeft w:val="547"/>
          <w:marRight w:val="0"/>
          <w:marTop w:val="0"/>
          <w:marBottom w:val="0"/>
          <w:divBdr>
            <w:top w:val="none" w:sz="0" w:space="0" w:color="auto"/>
            <w:left w:val="none" w:sz="0" w:space="0" w:color="auto"/>
            <w:bottom w:val="none" w:sz="0" w:space="0" w:color="auto"/>
            <w:right w:val="none" w:sz="0" w:space="0" w:color="auto"/>
          </w:divBdr>
        </w:div>
        <w:div w:id="1963269639">
          <w:marLeft w:val="547"/>
          <w:marRight w:val="0"/>
          <w:marTop w:val="0"/>
          <w:marBottom w:val="0"/>
          <w:divBdr>
            <w:top w:val="none" w:sz="0" w:space="0" w:color="auto"/>
            <w:left w:val="none" w:sz="0" w:space="0" w:color="auto"/>
            <w:bottom w:val="none" w:sz="0" w:space="0" w:color="auto"/>
            <w:right w:val="none" w:sz="0" w:space="0" w:color="auto"/>
          </w:divBdr>
        </w:div>
        <w:div w:id="2099717832">
          <w:marLeft w:val="547"/>
          <w:marRight w:val="0"/>
          <w:marTop w:val="0"/>
          <w:marBottom w:val="0"/>
          <w:divBdr>
            <w:top w:val="none" w:sz="0" w:space="0" w:color="auto"/>
            <w:left w:val="none" w:sz="0" w:space="0" w:color="auto"/>
            <w:bottom w:val="none" w:sz="0" w:space="0" w:color="auto"/>
            <w:right w:val="none" w:sz="0" w:space="0" w:color="auto"/>
          </w:divBdr>
        </w:div>
      </w:divsChild>
    </w:div>
    <w:div w:id="1438134012">
      <w:bodyDiv w:val="1"/>
      <w:marLeft w:val="0"/>
      <w:marRight w:val="0"/>
      <w:marTop w:val="0"/>
      <w:marBottom w:val="0"/>
      <w:divBdr>
        <w:top w:val="none" w:sz="0" w:space="0" w:color="auto"/>
        <w:left w:val="none" w:sz="0" w:space="0" w:color="auto"/>
        <w:bottom w:val="none" w:sz="0" w:space="0" w:color="auto"/>
        <w:right w:val="none" w:sz="0" w:space="0" w:color="auto"/>
      </w:divBdr>
    </w:div>
    <w:div w:id="1457988303">
      <w:bodyDiv w:val="1"/>
      <w:marLeft w:val="0"/>
      <w:marRight w:val="0"/>
      <w:marTop w:val="0"/>
      <w:marBottom w:val="0"/>
      <w:divBdr>
        <w:top w:val="none" w:sz="0" w:space="0" w:color="auto"/>
        <w:left w:val="none" w:sz="0" w:space="0" w:color="auto"/>
        <w:bottom w:val="none" w:sz="0" w:space="0" w:color="auto"/>
        <w:right w:val="none" w:sz="0" w:space="0" w:color="auto"/>
      </w:divBdr>
    </w:div>
    <w:div w:id="1461343799">
      <w:bodyDiv w:val="1"/>
      <w:marLeft w:val="0"/>
      <w:marRight w:val="0"/>
      <w:marTop w:val="0"/>
      <w:marBottom w:val="0"/>
      <w:divBdr>
        <w:top w:val="none" w:sz="0" w:space="0" w:color="auto"/>
        <w:left w:val="none" w:sz="0" w:space="0" w:color="auto"/>
        <w:bottom w:val="none" w:sz="0" w:space="0" w:color="auto"/>
        <w:right w:val="none" w:sz="0" w:space="0" w:color="auto"/>
      </w:divBdr>
    </w:div>
    <w:div w:id="1518933234">
      <w:bodyDiv w:val="1"/>
      <w:marLeft w:val="0"/>
      <w:marRight w:val="0"/>
      <w:marTop w:val="0"/>
      <w:marBottom w:val="0"/>
      <w:divBdr>
        <w:top w:val="none" w:sz="0" w:space="0" w:color="auto"/>
        <w:left w:val="none" w:sz="0" w:space="0" w:color="auto"/>
        <w:bottom w:val="none" w:sz="0" w:space="0" w:color="auto"/>
        <w:right w:val="none" w:sz="0" w:space="0" w:color="auto"/>
      </w:divBdr>
      <w:divsChild>
        <w:div w:id="712537705">
          <w:marLeft w:val="0"/>
          <w:marRight w:val="0"/>
          <w:marTop w:val="0"/>
          <w:marBottom w:val="0"/>
          <w:divBdr>
            <w:top w:val="none" w:sz="0" w:space="0" w:color="auto"/>
            <w:left w:val="none" w:sz="0" w:space="0" w:color="auto"/>
            <w:bottom w:val="none" w:sz="0" w:space="0" w:color="auto"/>
            <w:right w:val="none" w:sz="0" w:space="0" w:color="auto"/>
          </w:divBdr>
          <w:divsChild>
            <w:div w:id="598027939">
              <w:marLeft w:val="0"/>
              <w:marRight w:val="0"/>
              <w:marTop w:val="0"/>
              <w:marBottom w:val="0"/>
              <w:divBdr>
                <w:top w:val="none" w:sz="0" w:space="0" w:color="auto"/>
                <w:left w:val="none" w:sz="0" w:space="0" w:color="auto"/>
                <w:bottom w:val="none" w:sz="0" w:space="0" w:color="auto"/>
                <w:right w:val="none" w:sz="0" w:space="0" w:color="auto"/>
              </w:divBdr>
              <w:divsChild>
                <w:div w:id="1418861451">
                  <w:marLeft w:val="0"/>
                  <w:marRight w:val="0"/>
                  <w:marTop w:val="0"/>
                  <w:marBottom w:val="0"/>
                  <w:divBdr>
                    <w:top w:val="none" w:sz="0" w:space="0" w:color="auto"/>
                    <w:left w:val="none" w:sz="0" w:space="0" w:color="auto"/>
                    <w:bottom w:val="none" w:sz="0" w:space="0" w:color="auto"/>
                    <w:right w:val="none" w:sz="0" w:space="0" w:color="auto"/>
                  </w:divBdr>
                  <w:divsChild>
                    <w:div w:id="5813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93102">
          <w:marLeft w:val="0"/>
          <w:marRight w:val="0"/>
          <w:marTop w:val="0"/>
          <w:marBottom w:val="0"/>
          <w:divBdr>
            <w:top w:val="none" w:sz="0" w:space="0" w:color="auto"/>
            <w:left w:val="none" w:sz="0" w:space="0" w:color="auto"/>
            <w:bottom w:val="none" w:sz="0" w:space="0" w:color="auto"/>
            <w:right w:val="none" w:sz="0" w:space="0" w:color="auto"/>
          </w:divBdr>
          <w:divsChild>
            <w:div w:id="1309243298">
              <w:marLeft w:val="0"/>
              <w:marRight w:val="0"/>
              <w:marTop w:val="0"/>
              <w:marBottom w:val="0"/>
              <w:divBdr>
                <w:top w:val="none" w:sz="0" w:space="0" w:color="auto"/>
                <w:left w:val="none" w:sz="0" w:space="0" w:color="auto"/>
                <w:bottom w:val="none" w:sz="0" w:space="0" w:color="auto"/>
                <w:right w:val="none" w:sz="0" w:space="0" w:color="auto"/>
              </w:divBdr>
              <w:divsChild>
                <w:div w:id="14509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10892">
      <w:bodyDiv w:val="1"/>
      <w:marLeft w:val="0"/>
      <w:marRight w:val="0"/>
      <w:marTop w:val="0"/>
      <w:marBottom w:val="0"/>
      <w:divBdr>
        <w:top w:val="none" w:sz="0" w:space="0" w:color="auto"/>
        <w:left w:val="none" w:sz="0" w:space="0" w:color="auto"/>
        <w:bottom w:val="none" w:sz="0" w:space="0" w:color="auto"/>
        <w:right w:val="none" w:sz="0" w:space="0" w:color="auto"/>
      </w:divBdr>
      <w:divsChild>
        <w:div w:id="1494222444">
          <w:marLeft w:val="0"/>
          <w:marRight w:val="0"/>
          <w:marTop w:val="0"/>
          <w:marBottom w:val="0"/>
          <w:divBdr>
            <w:top w:val="none" w:sz="0" w:space="0" w:color="auto"/>
            <w:left w:val="none" w:sz="0" w:space="0" w:color="auto"/>
            <w:bottom w:val="none" w:sz="0" w:space="0" w:color="auto"/>
            <w:right w:val="none" w:sz="0" w:space="0" w:color="auto"/>
          </w:divBdr>
          <w:divsChild>
            <w:div w:id="1353534745">
              <w:marLeft w:val="0"/>
              <w:marRight w:val="0"/>
              <w:marTop w:val="0"/>
              <w:marBottom w:val="0"/>
              <w:divBdr>
                <w:top w:val="none" w:sz="0" w:space="0" w:color="auto"/>
                <w:left w:val="none" w:sz="0" w:space="0" w:color="auto"/>
                <w:bottom w:val="none" w:sz="0" w:space="0" w:color="auto"/>
                <w:right w:val="none" w:sz="0" w:space="0" w:color="auto"/>
              </w:divBdr>
              <w:divsChild>
                <w:div w:id="40607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965248">
      <w:bodyDiv w:val="1"/>
      <w:marLeft w:val="0"/>
      <w:marRight w:val="0"/>
      <w:marTop w:val="0"/>
      <w:marBottom w:val="0"/>
      <w:divBdr>
        <w:top w:val="none" w:sz="0" w:space="0" w:color="auto"/>
        <w:left w:val="none" w:sz="0" w:space="0" w:color="auto"/>
        <w:bottom w:val="none" w:sz="0" w:space="0" w:color="auto"/>
        <w:right w:val="none" w:sz="0" w:space="0" w:color="auto"/>
      </w:divBdr>
      <w:divsChild>
        <w:div w:id="887574680">
          <w:marLeft w:val="0"/>
          <w:marRight w:val="0"/>
          <w:marTop w:val="0"/>
          <w:marBottom w:val="0"/>
          <w:divBdr>
            <w:top w:val="none" w:sz="0" w:space="0" w:color="auto"/>
            <w:left w:val="none" w:sz="0" w:space="0" w:color="auto"/>
            <w:bottom w:val="none" w:sz="0" w:space="0" w:color="auto"/>
            <w:right w:val="none" w:sz="0" w:space="0" w:color="auto"/>
          </w:divBdr>
          <w:divsChild>
            <w:div w:id="1715956835">
              <w:marLeft w:val="0"/>
              <w:marRight w:val="0"/>
              <w:marTop w:val="0"/>
              <w:marBottom w:val="0"/>
              <w:divBdr>
                <w:top w:val="none" w:sz="0" w:space="0" w:color="auto"/>
                <w:left w:val="none" w:sz="0" w:space="0" w:color="auto"/>
                <w:bottom w:val="none" w:sz="0" w:space="0" w:color="auto"/>
                <w:right w:val="none" w:sz="0" w:space="0" w:color="auto"/>
              </w:divBdr>
              <w:divsChild>
                <w:div w:id="120804254">
                  <w:marLeft w:val="0"/>
                  <w:marRight w:val="0"/>
                  <w:marTop w:val="0"/>
                  <w:marBottom w:val="0"/>
                  <w:divBdr>
                    <w:top w:val="none" w:sz="0" w:space="0" w:color="auto"/>
                    <w:left w:val="none" w:sz="0" w:space="0" w:color="auto"/>
                    <w:bottom w:val="none" w:sz="0" w:space="0" w:color="auto"/>
                    <w:right w:val="none" w:sz="0" w:space="0" w:color="auto"/>
                  </w:divBdr>
                  <w:divsChild>
                    <w:div w:id="15232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45744">
          <w:marLeft w:val="0"/>
          <w:marRight w:val="0"/>
          <w:marTop w:val="0"/>
          <w:marBottom w:val="0"/>
          <w:divBdr>
            <w:top w:val="none" w:sz="0" w:space="0" w:color="auto"/>
            <w:left w:val="none" w:sz="0" w:space="0" w:color="auto"/>
            <w:bottom w:val="none" w:sz="0" w:space="0" w:color="auto"/>
            <w:right w:val="none" w:sz="0" w:space="0" w:color="auto"/>
          </w:divBdr>
          <w:divsChild>
            <w:div w:id="1011955912">
              <w:marLeft w:val="0"/>
              <w:marRight w:val="0"/>
              <w:marTop w:val="0"/>
              <w:marBottom w:val="0"/>
              <w:divBdr>
                <w:top w:val="none" w:sz="0" w:space="0" w:color="auto"/>
                <w:left w:val="none" w:sz="0" w:space="0" w:color="auto"/>
                <w:bottom w:val="none" w:sz="0" w:space="0" w:color="auto"/>
                <w:right w:val="none" w:sz="0" w:space="0" w:color="auto"/>
              </w:divBdr>
              <w:divsChild>
                <w:div w:id="167977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16276">
      <w:bodyDiv w:val="1"/>
      <w:marLeft w:val="0"/>
      <w:marRight w:val="0"/>
      <w:marTop w:val="0"/>
      <w:marBottom w:val="0"/>
      <w:divBdr>
        <w:top w:val="none" w:sz="0" w:space="0" w:color="auto"/>
        <w:left w:val="none" w:sz="0" w:space="0" w:color="auto"/>
        <w:bottom w:val="none" w:sz="0" w:space="0" w:color="auto"/>
        <w:right w:val="none" w:sz="0" w:space="0" w:color="auto"/>
      </w:divBdr>
    </w:div>
    <w:div w:id="1589384938">
      <w:bodyDiv w:val="1"/>
      <w:marLeft w:val="0"/>
      <w:marRight w:val="0"/>
      <w:marTop w:val="0"/>
      <w:marBottom w:val="0"/>
      <w:divBdr>
        <w:top w:val="none" w:sz="0" w:space="0" w:color="auto"/>
        <w:left w:val="none" w:sz="0" w:space="0" w:color="auto"/>
        <w:bottom w:val="none" w:sz="0" w:space="0" w:color="auto"/>
        <w:right w:val="none" w:sz="0" w:space="0" w:color="auto"/>
      </w:divBdr>
      <w:divsChild>
        <w:div w:id="1402406481">
          <w:marLeft w:val="0"/>
          <w:marRight w:val="0"/>
          <w:marTop w:val="0"/>
          <w:marBottom w:val="0"/>
          <w:divBdr>
            <w:top w:val="none" w:sz="0" w:space="0" w:color="auto"/>
            <w:left w:val="none" w:sz="0" w:space="0" w:color="auto"/>
            <w:bottom w:val="none" w:sz="0" w:space="0" w:color="auto"/>
            <w:right w:val="none" w:sz="0" w:space="0" w:color="auto"/>
          </w:divBdr>
        </w:div>
      </w:divsChild>
    </w:div>
    <w:div w:id="1610774937">
      <w:bodyDiv w:val="1"/>
      <w:marLeft w:val="0"/>
      <w:marRight w:val="0"/>
      <w:marTop w:val="0"/>
      <w:marBottom w:val="0"/>
      <w:divBdr>
        <w:top w:val="none" w:sz="0" w:space="0" w:color="auto"/>
        <w:left w:val="none" w:sz="0" w:space="0" w:color="auto"/>
        <w:bottom w:val="none" w:sz="0" w:space="0" w:color="auto"/>
        <w:right w:val="none" w:sz="0" w:space="0" w:color="auto"/>
      </w:divBdr>
    </w:div>
    <w:div w:id="1657683433">
      <w:bodyDiv w:val="1"/>
      <w:marLeft w:val="0"/>
      <w:marRight w:val="0"/>
      <w:marTop w:val="0"/>
      <w:marBottom w:val="0"/>
      <w:divBdr>
        <w:top w:val="none" w:sz="0" w:space="0" w:color="auto"/>
        <w:left w:val="none" w:sz="0" w:space="0" w:color="auto"/>
        <w:bottom w:val="none" w:sz="0" w:space="0" w:color="auto"/>
        <w:right w:val="none" w:sz="0" w:space="0" w:color="auto"/>
      </w:divBdr>
      <w:divsChild>
        <w:div w:id="309359480">
          <w:marLeft w:val="0"/>
          <w:marRight w:val="0"/>
          <w:marTop w:val="0"/>
          <w:marBottom w:val="0"/>
          <w:divBdr>
            <w:top w:val="none" w:sz="0" w:space="0" w:color="auto"/>
            <w:left w:val="none" w:sz="0" w:space="0" w:color="auto"/>
            <w:bottom w:val="none" w:sz="0" w:space="0" w:color="auto"/>
            <w:right w:val="none" w:sz="0" w:space="0" w:color="auto"/>
          </w:divBdr>
          <w:divsChild>
            <w:div w:id="125751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1523">
      <w:bodyDiv w:val="1"/>
      <w:marLeft w:val="0"/>
      <w:marRight w:val="0"/>
      <w:marTop w:val="0"/>
      <w:marBottom w:val="0"/>
      <w:divBdr>
        <w:top w:val="none" w:sz="0" w:space="0" w:color="auto"/>
        <w:left w:val="none" w:sz="0" w:space="0" w:color="auto"/>
        <w:bottom w:val="none" w:sz="0" w:space="0" w:color="auto"/>
        <w:right w:val="none" w:sz="0" w:space="0" w:color="auto"/>
      </w:divBdr>
    </w:div>
    <w:div w:id="1747608801">
      <w:bodyDiv w:val="1"/>
      <w:marLeft w:val="0"/>
      <w:marRight w:val="0"/>
      <w:marTop w:val="0"/>
      <w:marBottom w:val="0"/>
      <w:divBdr>
        <w:top w:val="none" w:sz="0" w:space="0" w:color="auto"/>
        <w:left w:val="none" w:sz="0" w:space="0" w:color="auto"/>
        <w:bottom w:val="none" w:sz="0" w:space="0" w:color="auto"/>
        <w:right w:val="none" w:sz="0" w:space="0" w:color="auto"/>
      </w:divBdr>
      <w:divsChild>
        <w:div w:id="1229730212">
          <w:marLeft w:val="0"/>
          <w:marRight w:val="0"/>
          <w:marTop w:val="0"/>
          <w:marBottom w:val="0"/>
          <w:divBdr>
            <w:top w:val="none" w:sz="0" w:space="0" w:color="auto"/>
            <w:left w:val="none" w:sz="0" w:space="0" w:color="auto"/>
            <w:bottom w:val="none" w:sz="0" w:space="0" w:color="auto"/>
            <w:right w:val="none" w:sz="0" w:space="0" w:color="auto"/>
          </w:divBdr>
        </w:div>
      </w:divsChild>
    </w:div>
    <w:div w:id="1770353567">
      <w:bodyDiv w:val="1"/>
      <w:marLeft w:val="0"/>
      <w:marRight w:val="0"/>
      <w:marTop w:val="0"/>
      <w:marBottom w:val="0"/>
      <w:divBdr>
        <w:top w:val="none" w:sz="0" w:space="0" w:color="auto"/>
        <w:left w:val="none" w:sz="0" w:space="0" w:color="auto"/>
        <w:bottom w:val="none" w:sz="0" w:space="0" w:color="auto"/>
        <w:right w:val="none" w:sz="0" w:space="0" w:color="auto"/>
      </w:divBdr>
    </w:div>
    <w:div w:id="1789274446">
      <w:bodyDiv w:val="1"/>
      <w:marLeft w:val="0"/>
      <w:marRight w:val="0"/>
      <w:marTop w:val="0"/>
      <w:marBottom w:val="0"/>
      <w:divBdr>
        <w:top w:val="none" w:sz="0" w:space="0" w:color="auto"/>
        <w:left w:val="none" w:sz="0" w:space="0" w:color="auto"/>
        <w:bottom w:val="none" w:sz="0" w:space="0" w:color="auto"/>
        <w:right w:val="none" w:sz="0" w:space="0" w:color="auto"/>
      </w:divBdr>
      <w:divsChild>
        <w:div w:id="449469829">
          <w:marLeft w:val="0"/>
          <w:marRight w:val="0"/>
          <w:marTop w:val="0"/>
          <w:marBottom w:val="0"/>
          <w:divBdr>
            <w:top w:val="none" w:sz="0" w:space="0" w:color="auto"/>
            <w:left w:val="none" w:sz="0" w:space="0" w:color="auto"/>
            <w:bottom w:val="none" w:sz="0" w:space="0" w:color="auto"/>
            <w:right w:val="none" w:sz="0" w:space="0" w:color="auto"/>
          </w:divBdr>
          <w:divsChild>
            <w:div w:id="910188968">
              <w:marLeft w:val="0"/>
              <w:marRight w:val="0"/>
              <w:marTop w:val="0"/>
              <w:marBottom w:val="0"/>
              <w:divBdr>
                <w:top w:val="none" w:sz="0" w:space="0" w:color="auto"/>
                <w:left w:val="none" w:sz="0" w:space="0" w:color="auto"/>
                <w:bottom w:val="none" w:sz="0" w:space="0" w:color="auto"/>
                <w:right w:val="none" w:sz="0" w:space="0" w:color="auto"/>
              </w:divBdr>
              <w:divsChild>
                <w:div w:id="53990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98009">
          <w:marLeft w:val="0"/>
          <w:marRight w:val="0"/>
          <w:marTop w:val="0"/>
          <w:marBottom w:val="0"/>
          <w:divBdr>
            <w:top w:val="none" w:sz="0" w:space="0" w:color="auto"/>
            <w:left w:val="none" w:sz="0" w:space="0" w:color="auto"/>
            <w:bottom w:val="none" w:sz="0" w:space="0" w:color="auto"/>
            <w:right w:val="none" w:sz="0" w:space="0" w:color="auto"/>
          </w:divBdr>
          <w:divsChild>
            <w:div w:id="75177860">
              <w:marLeft w:val="0"/>
              <w:marRight w:val="0"/>
              <w:marTop w:val="0"/>
              <w:marBottom w:val="0"/>
              <w:divBdr>
                <w:top w:val="none" w:sz="0" w:space="0" w:color="auto"/>
                <w:left w:val="none" w:sz="0" w:space="0" w:color="auto"/>
                <w:bottom w:val="none" w:sz="0" w:space="0" w:color="auto"/>
                <w:right w:val="none" w:sz="0" w:space="0" w:color="auto"/>
              </w:divBdr>
              <w:divsChild>
                <w:div w:id="931864341">
                  <w:marLeft w:val="0"/>
                  <w:marRight w:val="0"/>
                  <w:marTop w:val="0"/>
                  <w:marBottom w:val="0"/>
                  <w:divBdr>
                    <w:top w:val="none" w:sz="0" w:space="0" w:color="auto"/>
                    <w:left w:val="none" w:sz="0" w:space="0" w:color="auto"/>
                    <w:bottom w:val="none" w:sz="0" w:space="0" w:color="auto"/>
                    <w:right w:val="none" w:sz="0" w:space="0" w:color="auto"/>
                  </w:divBdr>
                  <w:divsChild>
                    <w:div w:id="202886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513563">
      <w:bodyDiv w:val="1"/>
      <w:marLeft w:val="0"/>
      <w:marRight w:val="0"/>
      <w:marTop w:val="0"/>
      <w:marBottom w:val="0"/>
      <w:divBdr>
        <w:top w:val="none" w:sz="0" w:space="0" w:color="auto"/>
        <w:left w:val="none" w:sz="0" w:space="0" w:color="auto"/>
        <w:bottom w:val="none" w:sz="0" w:space="0" w:color="auto"/>
        <w:right w:val="none" w:sz="0" w:space="0" w:color="auto"/>
      </w:divBdr>
      <w:divsChild>
        <w:div w:id="905608159">
          <w:marLeft w:val="0"/>
          <w:marRight w:val="0"/>
          <w:marTop w:val="0"/>
          <w:marBottom w:val="0"/>
          <w:divBdr>
            <w:top w:val="none" w:sz="0" w:space="0" w:color="auto"/>
            <w:left w:val="none" w:sz="0" w:space="0" w:color="auto"/>
            <w:bottom w:val="none" w:sz="0" w:space="0" w:color="auto"/>
            <w:right w:val="none" w:sz="0" w:space="0" w:color="auto"/>
          </w:divBdr>
          <w:divsChild>
            <w:div w:id="1614286940">
              <w:marLeft w:val="0"/>
              <w:marRight w:val="0"/>
              <w:marTop w:val="0"/>
              <w:marBottom w:val="0"/>
              <w:divBdr>
                <w:top w:val="none" w:sz="0" w:space="0" w:color="auto"/>
                <w:left w:val="none" w:sz="0" w:space="0" w:color="auto"/>
                <w:bottom w:val="none" w:sz="0" w:space="0" w:color="auto"/>
                <w:right w:val="none" w:sz="0" w:space="0" w:color="auto"/>
              </w:divBdr>
              <w:divsChild>
                <w:div w:id="263542139">
                  <w:marLeft w:val="0"/>
                  <w:marRight w:val="0"/>
                  <w:marTop w:val="0"/>
                  <w:marBottom w:val="0"/>
                  <w:divBdr>
                    <w:top w:val="none" w:sz="0" w:space="0" w:color="auto"/>
                    <w:left w:val="none" w:sz="0" w:space="0" w:color="auto"/>
                    <w:bottom w:val="none" w:sz="0" w:space="0" w:color="auto"/>
                    <w:right w:val="none" w:sz="0" w:space="0" w:color="auto"/>
                  </w:divBdr>
                  <w:divsChild>
                    <w:div w:id="5324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456632">
          <w:marLeft w:val="0"/>
          <w:marRight w:val="0"/>
          <w:marTop w:val="0"/>
          <w:marBottom w:val="0"/>
          <w:divBdr>
            <w:top w:val="none" w:sz="0" w:space="0" w:color="auto"/>
            <w:left w:val="none" w:sz="0" w:space="0" w:color="auto"/>
            <w:bottom w:val="none" w:sz="0" w:space="0" w:color="auto"/>
            <w:right w:val="none" w:sz="0" w:space="0" w:color="auto"/>
          </w:divBdr>
          <w:divsChild>
            <w:div w:id="1701660869">
              <w:marLeft w:val="0"/>
              <w:marRight w:val="0"/>
              <w:marTop w:val="0"/>
              <w:marBottom w:val="0"/>
              <w:divBdr>
                <w:top w:val="none" w:sz="0" w:space="0" w:color="auto"/>
                <w:left w:val="none" w:sz="0" w:space="0" w:color="auto"/>
                <w:bottom w:val="none" w:sz="0" w:space="0" w:color="auto"/>
                <w:right w:val="none" w:sz="0" w:space="0" w:color="auto"/>
              </w:divBdr>
              <w:divsChild>
                <w:div w:id="105758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2837">
      <w:bodyDiv w:val="1"/>
      <w:marLeft w:val="0"/>
      <w:marRight w:val="0"/>
      <w:marTop w:val="0"/>
      <w:marBottom w:val="0"/>
      <w:divBdr>
        <w:top w:val="none" w:sz="0" w:space="0" w:color="auto"/>
        <w:left w:val="none" w:sz="0" w:space="0" w:color="auto"/>
        <w:bottom w:val="none" w:sz="0" w:space="0" w:color="auto"/>
        <w:right w:val="none" w:sz="0" w:space="0" w:color="auto"/>
      </w:divBdr>
      <w:divsChild>
        <w:div w:id="459106431">
          <w:marLeft w:val="0"/>
          <w:marRight w:val="0"/>
          <w:marTop w:val="150"/>
          <w:marBottom w:val="270"/>
          <w:divBdr>
            <w:top w:val="none" w:sz="0" w:space="0" w:color="auto"/>
            <w:left w:val="none" w:sz="0" w:space="0" w:color="auto"/>
            <w:bottom w:val="none" w:sz="0" w:space="0" w:color="auto"/>
            <w:right w:val="none" w:sz="0" w:space="0" w:color="auto"/>
          </w:divBdr>
        </w:div>
        <w:div w:id="1029574818">
          <w:marLeft w:val="0"/>
          <w:marRight w:val="0"/>
          <w:marTop w:val="150"/>
          <w:marBottom w:val="270"/>
          <w:divBdr>
            <w:top w:val="none" w:sz="0" w:space="0" w:color="auto"/>
            <w:left w:val="none" w:sz="0" w:space="0" w:color="auto"/>
            <w:bottom w:val="none" w:sz="0" w:space="0" w:color="auto"/>
            <w:right w:val="none" w:sz="0" w:space="0" w:color="auto"/>
          </w:divBdr>
        </w:div>
      </w:divsChild>
    </w:div>
    <w:div w:id="1884055875">
      <w:bodyDiv w:val="1"/>
      <w:marLeft w:val="0"/>
      <w:marRight w:val="0"/>
      <w:marTop w:val="0"/>
      <w:marBottom w:val="0"/>
      <w:divBdr>
        <w:top w:val="none" w:sz="0" w:space="0" w:color="auto"/>
        <w:left w:val="none" w:sz="0" w:space="0" w:color="auto"/>
        <w:bottom w:val="none" w:sz="0" w:space="0" w:color="auto"/>
        <w:right w:val="none" w:sz="0" w:space="0" w:color="auto"/>
      </w:divBdr>
    </w:div>
    <w:div w:id="1929387611">
      <w:bodyDiv w:val="1"/>
      <w:marLeft w:val="0"/>
      <w:marRight w:val="0"/>
      <w:marTop w:val="0"/>
      <w:marBottom w:val="0"/>
      <w:divBdr>
        <w:top w:val="none" w:sz="0" w:space="0" w:color="auto"/>
        <w:left w:val="none" w:sz="0" w:space="0" w:color="auto"/>
        <w:bottom w:val="none" w:sz="0" w:space="0" w:color="auto"/>
        <w:right w:val="none" w:sz="0" w:space="0" w:color="auto"/>
      </w:divBdr>
      <w:divsChild>
        <w:div w:id="1909070839">
          <w:marLeft w:val="0"/>
          <w:marRight w:val="0"/>
          <w:marTop w:val="0"/>
          <w:marBottom w:val="0"/>
          <w:divBdr>
            <w:top w:val="none" w:sz="0" w:space="0" w:color="auto"/>
            <w:left w:val="none" w:sz="0" w:space="0" w:color="auto"/>
            <w:bottom w:val="none" w:sz="0" w:space="0" w:color="auto"/>
            <w:right w:val="none" w:sz="0" w:space="0" w:color="auto"/>
          </w:divBdr>
        </w:div>
      </w:divsChild>
    </w:div>
    <w:div w:id="1937668389">
      <w:bodyDiv w:val="1"/>
      <w:marLeft w:val="0"/>
      <w:marRight w:val="0"/>
      <w:marTop w:val="0"/>
      <w:marBottom w:val="0"/>
      <w:divBdr>
        <w:top w:val="none" w:sz="0" w:space="0" w:color="auto"/>
        <w:left w:val="none" w:sz="0" w:space="0" w:color="auto"/>
        <w:bottom w:val="none" w:sz="0" w:space="0" w:color="auto"/>
        <w:right w:val="none" w:sz="0" w:space="0" w:color="auto"/>
      </w:divBdr>
      <w:divsChild>
        <w:div w:id="627861321">
          <w:marLeft w:val="0"/>
          <w:marRight w:val="0"/>
          <w:marTop w:val="0"/>
          <w:marBottom w:val="0"/>
          <w:divBdr>
            <w:top w:val="none" w:sz="0" w:space="0" w:color="auto"/>
            <w:left w:val="none" w:sz="0" w:space="0" w:color="auto"/>
            <w:bottom w:val="none" w:sz="0" w:space="0" w:color="auto"/>
            <w:right w:val="none" w:sz="0" w:space="0" w:color="auto"/>
          </w:divBdr>
        </w:div>
      </w:divsChild>
    </w:div>
    <w:div w:id="2011784459">
      <w:bodyDiv w:val="1"/>
      <w:marLeft w:val="0"/>
      <w:marRight w:val="0"/>
      <w:marTop w:val="0"/>
      <w:marBottom w:val="0"/>
      <w:divBdr>
        <w:top w:val="none" w:sz="0" w:space="0" w:color="auto"/>
        <w:left w:val="none" w:sz="0" w:space="0" w:color="auto"/>
        <w:bottom w:val="none" w:sz="0" w:space="0" w:color="auto"/>
        <w:right w:val="none" w:sz="0" w:space="0" w:color="auto"/>
      </w:divBdr>
      <w:divsChild>
        <w:div w:id="513350708">
          <w:marLeft w:val="0"/>
          <w:marRight w:val="0"/>
          <w:marTop w:val="75"/>
          <w:marBottom w:val="300"/>
          <w:divBdr>
            <w:top w:val="none" w:sz="0" w:space="0" w:color="auto"/>
            <w:left w:val="none" w:sz="0" w:space="0" w:color="auto"/>
            <w:bottom w:val="none" w:sz="0" w:space="0" w:color="auto"/>
            <w:right w:val="none" w:sz="0" w:space="0" w:color="auto"/>
          </w:divBdr>
        </w:div>
        <w:div w:id="1501509966">
          <w:marLeft w:val="0"/>
          <w:marRight w:val="0"/>
          <w:marTop w:val="75"/>
          <w:marBottom w:val="0"/>
          <w:divBdr>
            <w:top w:val="none" w:sz="0" w:space="0" w:color="auto"/>
            <w:left w:val="none" w:sz="0" w:space="0" w:color="auto"/>
            <w:bottom w:val="none" w:sz="0" w:space="0" w:color="auto"/>
            <w:right w:val="none" w:sz="0" w:space="0" w:color="auto"/>
          </w:divBdr>
        </w:div>
        <w:div w:id="1880513109">
          <w:marLeft w:val="0"/>
          <w:marRight w:val="0"/>
          <w:marTop w:val="75"/>
          <w:marBottom w:val="0"/>
          <w:divBdr>
            <w:top w:val="none" w:sz="0" w:space="0" w:color="auto"/>
            <w:left w:val="none" w:sz="0" w:space="0" w:color="auto"/>
            <w:bottom w:val="none" w:sz="0" w:space="0" w:color="auto"/>
            <w:right w:val="none" w:sz="0" w:space="0" w:color="auto"/>
          </w:divBdr>
        </w:div>
      </w:divsChild>
    </w:div>
    <w:div w:id="2043750206">
      <w:bodyDiv w:val="1"/>
      <w:marLeft w:val="0"/>
      <w:marRight w:val="0"/>
      <w:marTop w:val="0"/>
      <w:marBottom w:val="0"/>
      <w:divBdr>
        <w:top w:val="none" w:sz="0" w:space="0" w:color="auto"/>
        <w:left w:val="none" w:sz="0" w:space="0" w:color="auto"/>
        <w:bottom w:val="none" w:sz="0" w:space="0" w:color="auto"/>
        <w:right w:val="none" w:sz="0" w:space="0" w:color="auto"/>
      </w:divBdr>
      <w:divsChild>
        <w:div w:id="751705226">
          <w:marLeft w:val="0"/>
          <w:marRight w:val="0"/>
          <w:marTop w:val="0"/>
          <w:marBottom w:val="0"/>
          <w:divBdr>
            <w:top w:val="none" w:sz="0" w:space="0" w:color="auto"/>
            <w:left w:val="none" w:sz="0" w:space="0" w:color="auto"/>
            <w:bottom w:val="none" w:sz="0" w:space="0" w:color="auto"/>
            <w:right w:val="none" w:sz="0" w:space="0" w:color="auto"/>
          </w:divBdr>
        </w:div>
      </w:divsChild>
    </w:div>
    <w:div w:id="2048947041">
      <w:bodyDiv w:val="1"/>
      <w:marLeft w:val="0"/>
      <w:marRight w:val="0"/>
      <w:marTop w:val="0"/>
      <w:marBottom w:val="0"/>
      <w:divBdr>
        <w:top w:val="none" w:sz="0" w:space="0" w:color="auto"/>
        <w:left w:val="none" w:sz="0" w:space="0" w:color="auto"/>
        <w:bottom w:val="none" w:sz="0" w:space="0" w:color="auto"/>
        <w:right w:val="none" w:sz="0" w:space="0" w:color="auto"/>
      </w:divBdr>
      <w:divsChild>
        <w:div w:id="808550138">
          <w:marLeft w:val="0"/>
          <w:marRight w:val="0"/>
          <w:marTop w:val="0"/>
          <w:marBottom w:val="0"/>
          <w:divBdr>
            <w:top w:val="none" w:sz="0" w:space="0" w:color="auto"/>
            <w:left w:val="none" w:sz="0" w:space="0" w:color="auto"/>
            <w:bottom w:val="none" w:sz="0" w:space="0" w:color="auto"/>
            <w:right w:val="none" w:sz="0" w:space="0" w:color="auto"/>
          </w:divBdr>
        </w:div>
      </w:divsChild>
    </w:div>
    <w:div w:id="2091540052">
      <w:bodyDiv w:val="1"/>
      <w:marLeft w:val="0"/>
      <w:marRight w:val="0"/>
      <w:marTop w:val="0"/>
      <w:marBottom w:val="0"/>
      <w:divBdr>
        <w:top w:val="none" w:sz="0" w:space="0" w:color="auto"/>
        <w:left w:val="none" w:sz="0" w:space="0" w:color="auto"/>
        <w:bottom w:val="none" w:sz="0" w:space="0" w:color="auto"/>
        <w:right w:val="none" w:sz="0" w:space="0" w:color="auto"/>
      </w:divBdr>
      <w:divsChild>
        <w:div w:id="177550466">
          <w:marLeft w:val="0"/>
          <w:marRight w:val="0"/>
          <w:marTop w:val="166"/>
          <w:marBottom w:val="166"/>
          <w:divBdr>
            <w:top w:val="none" w:sz="0" w:space="0" w:color="auto"/>
            <w:left w:val="none" w:sz="0" w:space="0" w:color="auto"/>
            <w:bottom w:val="none" w:sz="0" w:space="0" w:color="auto"/>
            <w:right w:val="none" w:sz="0" w:space="0" w:color="auto"/>
          </w:divBdr>
          <w:divsChild>
            <w:div w:id="592669687">
              <w:marLeft w:val="0"/>
              <w:marRight w:val="0"/>
              <w:marTop w:val="0"/>
              <w:marBottom w:val="0"/>
              <w:divBdr>
                <w:top w:val="none" w:sz="0" w:space="0" w:color="auto"/>
                <w:left w:val="none" w:sz="0" w:space="0" w:color="auto"/>
                <w:bottom w:val="none" w:sz="0" w:space="0" w:color="auto"/>
                <w:right w:val="none" w:sz="0" w:space="0" w:color="auto"/>
              </w:divBdr>
            </w:div>
          </w:divsChild>
        </w:div>
        <w:div w:id="1230339071">
          <w:marLeft w:val="0"/>
          <w:marRight w:val="0"/>
          <w:marTop w:val="0"/>
          <w:marBottom w:val="166"/>
          <w:divBdr>
            <w:top w:val="none" w:sz="0" w:space="0" w:color="auto"/>
            <w:left w:val="none" w:sz="0" w:space="0" w:color="auto"/>
            <w:bottom w:val="none" w:sz="0" w:space="0" w:color="auto"/>
            <w:right w:val="none" w:sz="0" w:space="0" w:color="auto"/>
          </w:divBdr>
          <w:divsChild>
            <w:div w:id="693655997">
              <w:marLeft w:val="0"/>
              <w:marRight w:val="0"/>
              <w:marTop w:val="0"/>
              <w:marBottom w:val="0"/>
              <w:divBdr>
                <w:top w:val="none" w:sz="0" w:space="0" w:color="auto"/>
                <w:left w:val="none" w:sz="0" w:space="0" w:color="auto"/>
                <w:bottom w:val="none" w:sz="0" w:space="0" w:color="auto"/>
                <w:right w:val="none" w:sz="0" w:space="0" w:color="auto"/>
              </w:divBdr>
              <w:divsChild>
                <w:div w:id="802966980">
                  <w:marLeft w:val="0"/>
                  <w:marRight w:val="0"/>
                  <w:marTop w:val="0"/>
                  <w:marBottom w:val="0"/>
                  <w:divBdr>
                    <w:top w:val="none" w:sz="0" w:space="0" w:color="auto"/>
                    <w:left w:val="none" w:sz="0" w:space="0" w:color="auto"/>
                    <w:bottom w:val="none" w:sz="0" w:space="0" w:color="auto"/>
                    <w:right w:val="none" w:sz="0" w:space="0" w:color="auto"/>
                  </w:divBdr>
                </w:div>
                <w:div w:id="1896238213">
                  <w:marLeft w:val="0"/>
                  <w:marRight w:val="0"/>
                  <w:marTop w:val="0"/>
                  <w:marBottom w:val="0"/>
                  <w:divBdr>
                    <w:top w:val="none" w:sz="0" w:space="0" w:color="auto"/>
                    <w:left w:val="none" w:sz="0" w:space="0" w:color="auto"/>
                    <w:bottom w:val="none" w:sz="0" w:space="0" w:color="auto"/>
                    <w:right w:val="none" w:sz="0" w:space="0" w:color="auto"/>
                  </w:divBdr>
                </w:div>
              </w:divsChild>
            </w:div>
            <w:div w:id="2018339515">
              <w:marLeft w:val="0"/>
              <w:marRight w:val="0"/>
              <w:marTop w:val="0"/>
              <w:marBottom w:val="0"/>
              <w:divBdr>
                <w:top w:val="none" w:sz="0" w:space="0" w:color="auto"/>
                <w:left w:val="none" w:sz="0" w:space="0" w:color="auto"/>
                <w:bottom w:val="none" w:sz="0" w:space="0" w:color="auto"/>
                <w:right w:val="none" w:sz="0" w:space="0" w:color="auto"/>
              </w:divBdr>
              <w:divsChild>
                <w:div w:id="1663043724">
                  <w:marLeft w:val="0"/>
                  <w:marRight w:val="0"/>
                  <w:marTop w:val="0"/>
                  <w:marBottom w:val="0"/>
                  <w:divBdr>
                    <w:top w:val="none" w:sz="0" w:space="0" w:color="auto"/>
                    <w:left w:val="none" w:sz="0" w:space="0" w:color="auto"/>
                    <w:bottom w:val="none" w:sz="0" w:space="0" w:color="auto"/>
                    <w:right w:val="none" w:sz="0" w:space="0" w:color="auto"/>
                  </w:divBdr>
                  <w:divsChild>
                    <w:div w:id="1596867622">
                      <w:marLeft w:val="0"/>
                      <w:marRight w:val="0"/>
                      <w:marTop w:val="0"/>
                      <w:marBottom w:val="0"/>
                      <w:divBdr>
                        <w:top w:val="none" w:sz="0" w:space="0" w:color="auto"/>
                        <w:left w:val="none" w:sz="0" w:space="0" w:color="auto"/>
                        <w:bottom w:val="none" w:sz="0" w:space="0" w:color="auto"/>
                        <w:right w:val="none" w:sz="0" w:space="0" w:color="auto"/>
                      </w:divBdr>
                    </w:div>
                    <w:div w:id="21305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922321">
      <w:bodyDiv w:val="1"/>
      <w:marLeft w:val="0"/>
      <w:marRight w:val="0"/>
      <w:marTop w:val="0"/>
      <w:marBottom w:val="0"/>
      <w:divBdr>
        <w:top w:val="none" w:sz="0" w:space="0" w:color="auto"/>
        <w:left w:val="none" w:sz="0" w:space="0" w:color="auto"/>
        <w:bottom w:val="none" w:sz="0" w:space="0" w:color="auto"/>
        <w:right w:val="none" w:sz="0" w:space="0" w:color="auto"/>
      </w:divBdr>
      <w:divsChild>
        <w:div w:id="766270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omments" Target="comments.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iabetesgenes.org/mody-probability-calculator"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diabetesgenes.org/exeter-diabetes-app/ModyCalculator" TargetMode="External"/><Relationship Id="rId23" Type="http://schemas.openxmlformats.org/officeDocument/2006/relationships/image" Target="media/image7.png"/><Relationship Id="rId10" Type="http://schemas.openxmlformats.org/officeDocument/2006/relationships/endnotes" Target="endnotes.xml"/><Relationship Id="rId1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6.png"/><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CAF508FA665843928E0575D27D9AF7" ma:contentTypeVersion="13" ma:contentTypeDescription="Create a new document." ma:contentTypeScope="" ma:versionID="d15f35e8ec4e00bbec03695e1913a458">
  <xsd:schema xmlns:xsd="http://www.w3.org/2001/XMLSchema" xmlns:xs="http://www.w3.org/2001/XMLSchema" xmlns:p="http://schemas.microsoft.com/office/2006/metadata/properties" xmlns:ns3="eec291a1-e356-4a4c-82ca-923dd163bfb8" xmlns:ns4="afabf8f4-7b55-4cdd-b8dd-0919925a8dcf" targetNamespace="http://schemas.microsoft.com/office/2006/metadata/properties" ma:root="true" ma:fieldsID="3a15f72145372ad8dbf123dcef3f5f94" ns3:_="" ns4:_="">
    <xsd:import namespace="eec291a1-e356-4a4c-82ca-923dd163bfb8"/>
    <xsd:import namespace="afabf8f4-7b55-4cdd-b8dd-0919925a8dc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291a1-e356-4a4c-82ca-923dd163bf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abf8f4-7b55-4cdd-b8dd-0919925a8dc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2F1B7-4B1E-467C-8221-E7E115A166CA}">
  <ds:schemaRefs>
    <ds:schemaRef ds:uri="http://schemas.microsoft.com/office/2006/documentManagement/types"/>
    <ds:schemaRef ds:uri="http://schemas.microsoft.com/office/infopath/2007/PartnerControls"/>
    <ds:schemaRef ds:uri="http://purl.org/dc/elements/1.1/"/>
    <ds:schemaRef ds:uri="http://purl.org/dc/terms/"/>
    <ds:schemaRef ds:uri="http://www.w3.org/XML/1998/namespace"/>
    <ds:schemaRef ds:uri="http://purl.org/dc/dcmitype/"/>
    <ds:schemaRef ds:uri="eec291a1-e356-4a4c-82ca-923dd163bfb8"/>
    <ds:schemaRef ds:uri="http://schemas.microsoft.com/office/2006/metadata/properties"/>
    <ds:schemaRef ds:uri="http://schemas.openxmlformats.org/package/2006/metadata/core-properties"/>
    <ds:schemaRef ds:uri="afabf8f4-7b55-4cdd-b8dd-0919925a8dcf"/>
  </ds:schemaRefs>
</ds:datastoreItem>
</file>

<file path=customXml/itemProps2.xml><?xml version="1.0" encoding="utf-8"?>
<ds:datastoreItem xmlns:ds="http://schemas.openxmlformats.org/officeDocument/2006/customXml" ds:itemID="{4725488D-E724-4AC0-A35F-3AF3CC07A561}">
  <ds:schemaRefs>
    <ds:schemaRef ds:uri="http://schemas.microsoft.com/sharepoint/v3/contenttype/forms"/>
  </ds:schemaRefs>
</ds:datastoreItem>
</file>

<file path=customXml/itemProps3.xml><?xml version="1.0" encoding="utf-8"?>
<ds:datastoreItem xmlns:ds="http://schemas.openxmlformats.org/officeDocument/2006/customXml" ds:itemID="{289E0B16-070B-4C04-BA21-9C6B6827ED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291a1-e356-4a4c-82ca-923dd163bfb8"/>
    <ds:schemaRef ds:uri="afabf8f4-7b55-4cdd-b8dd-0919925a8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36E7DF-75B1-4B6A-BB7C-4935BE095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80</Pages>
  <Words>171028</Words>
  <Characters>974860</Characters>
  <Application>Microsoft Office Word</Application>
  <DocSecurity>0</DocSecurity>
  <Lines>8123</Lines>
  <Paragraphs>2287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Southampton</Company>
  <LinksUpToDate>false</LinksUpToDate>
  <CharactersWithSpaces>1143601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Holt R.I.G.</dc:creator>
  <cp:keywords/>
  <dc:description/>
  <cp:lastModifiedBy>Richard Holt</cp:lastModifiedBy>
  <cp:revision>8</cp:revision>
  <dcterms:created xsi:type="dcterms:W3CDTF">2021-08-12T15:19:00Z</dcterms:created>
  <dcterms:modified xsi:type="dcterms:W3CDTF">2021-08-12T15:30:00Z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0x0101009ACAF508FA665843928E0575D27D9AF7</vt:lpwstr>
  </property>
  <property fmtid="{D5CDD505-2E9C-101B-9397-08002B2CF9AE}" pid="3" name="ZOTERO_PREF_1">
    <vt:lpwstr>&lt;data data-version="3" zotero-version="5.0.96.2"&gt;&lt;session id="BFeR7nYN"/&gt;&lt;style id="http://www.zotero.org/styles/diabetes-care" hasBibliography="1" bibliographyStyleHasBeenSet="1"/&gt;&lt;prefs&gt;&lt;pref name="fieldType" value="Field"/&gt;&lt;pref name="delayCitationUpda</vt:lpwstr>
  </property>
  <property fmtid="{D5CDD505-2E9C-101B-9397-08002B2CF9AE}" pid="4" name="ZOTERO_PREF_2">
    <vt:lpwstr>tes" value="true"/&gt;&lt;pref name="dontAskDelayCitationUpdates" value="true"/&gt;&lt;/prefs&gt;&lt;/data&gt;</vt:lpwstr>
  </property>
</Properties>
</file>