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4220B" w14:textId="14499A14" w:rsidR="005B0F43" w:rsidRPr="007A7515" w:rsidRDefault="00503DB9" w:rsidP="005B0F43">
      <w:pPr>
        <w:pStyle w:val="NoSpacing"/>
        <w:rPr>
          <w:rFonts w:asciiTheme="minorHAnsi" w:hAnsiTheme="minorHAnsi" w:cstheme="minorHAnsi"/>
          <w:b/>
          <w:szCs w:val="24"/>
          <w:lang w:eastAsia="en-GB"/>
        </w:rPr>
      </w:pPr>
      <w:r w:rsidRPr="007A7515">
        <w:rPr>
          <w:rFonts w:asciiTheme="minorHAnsi" w:hAnsiTheme="minorHAnsi" w:cstheme="minorHAnsi"/>
          <w:b/>
          <w:szCs w:val="24"/>
          <w:lang w:eastAsia="en-GB"/>
        </w:rPr>
        <w:t>Comparative A</w:t>
      </w:r>
      <w:r w:rsidR="005B0F43" w:rsidRPr="007A7515">
        <w:rPr>
          <w:rFonts w:asciiTheme="minorHAnsi" w:hAnsiTheme="minorHAnsi" w:cstheme="minorHAnsi"/>
          <w:b/>
          <w:szCs w:val="24"/>
          <w:lang w:eastAsia="en-GB"/>
        </w:rPr>
        <w:t>ccuracy</w:t>
      </w:r>
      <w:r w:rsidRPr="007A7515">
        <w:rPr>
          <w:rFonts w:asciiTheme="minorHAnsi" w:hAnsiTheme="minorHAnsi" w:cstheme="minorHAnsi"/>
          <w:b/>
          <w:szCs w:val="24"/>
          <w:lang w:eastAsia="en-GB"/>
        </w:rPr>
        <w:t xml:space="preserve"> and Cost-Effectiveness</w:t>
      </w:r>
      <w:r w:rsidR="005B0F43" w:rsidRPr="007A7515">
        <w:rPr>
          <w:rFonts w:asciiTheme="minorHAnsi" w:hAnsiTheme="minorHAnsi" w:cstheme="minorHAnsi"/>
          <w:b/>
          <w:szCs w:val="24"/>
          <w:lang w:eastAsia="en-GB"/>
        </w:rPr>
        <w:t xml:space="preserve"> of Dynamic Contrast Enhanced Computed Tomography </w:t>
      </w:r>
      <w:r w:rsidR="0040357E" w:rsidRPr="007A7515">
        <w:rPr>
          <w:rFonts w:asciiTheme="minorHAnsi" w:hAnsiTheme="minorHAnsi" w:cstheme="minorHAnsi"/>
          <w:b/>
          <w:szCs w:val="24"/>
          <w:lang w:eastAsia="en-GB"/>
        </w:rPr>
        <w:t xml:space="preserve">and Positron Emission Tomography </w:t>
      </w:r>
      <w:r w:rsidR="005B0F43" w:rsidRPr="007A7515">
        <w:rPr>
          <w:rFonts w:asciiTheme="minorHAnsi" w:hAnsiTheme="minorHAnsi" w:cstheme="minorHAnsi"/>
          <w:b/>
          <w:szCs w:val="24"/>
          <w:lang w:eastAsia="en-GB"/>
        </w:rPr>
        <w:t>in the Characterisation of Solitary Pulmonary Nodules</w:t>
      </w:r>
    </w:p>
    <w:p w14:paraId="195B45DB" w14:textId="77777777" w:rsidR="00971F7A" w:rsidRPr="007A7515" w:rsidRDefault="00971F7A" w:rsidP="00217290">
      <w:pPr>
        <w:pStyle w:val="NoSpacing"/>
        <w:rPr>
          <w:rFonts w:asciiTheme="minorHAnsi" w:hAnsiTheme="minorHAnsi" w:cstheme="minorHAnsi"/>
          <w:b/>
          <w:szCs w:val="24"/>
          <w:lang w:eastAsia="en-GB"/>
        </w:rPr>
      </w:pPr>
    </w:p>
    <w:p w14:paraId="78537490" w14:textId="51432E7D" w:rsidR="005273F4" w:rsidRPr="007A7515" w:rsidRDefault="005273F4" w:rsidP="00217290">
      <w:pPr>
        <w:pStyle w:val="NoSpacing"/>
        <w:rPr>
          <w:rFonts w:asciiTheme="minorHAnsi" w:hAnsiTheme="minorHAnsi" w:cstheme="minorHAnsi"/>
          <w:b/>
          <w:szCs w:val="24"/>
          <w:lang w:eastAsia="en-GB"/>
        </w:rPr>
      </w:pPr>
      <w:r w:rsidRPr="007A7515">
        <w:rPr>
          <w:rFonts w:asciiTheme="minorHAnsi" w:hAnsiTheme="minorHAnsi" w:cstheme="minorHAnsi"/>
          <w:b/>
          <w:szCs w:val="24"/>
          <w:lang w:eastAsia="en-GB"/>
        </w:rPr>
        <w:t>Authors:</w:t>
      </w:r>
    </w:p>
    <w:p w14:paraId="2D0F201C" w14:textId="27181725" w:rsidR="00EE3198" w:rsidRPr="007A7515" w:rsidRDefault="008531E6"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F</w:t>
      </w:r>
      <w:r w:rsidR="002F7097" w:rsidRPr="007A7515">
        <w:rPr>
          <w:rFonts w:asciiTheme="minorHAnsi" w:hAnsiTheme="minorHAnsi" w:cstheme="minorHAnsi"/>
          <w:szCs w:val="24"/>
          <w:lang w:eastAsia="en-GB"/>
        </w:rPr>
        <w:t xml:space="preserve"> </w:t>
      </w:r>
      <w:r w:rsidRPr="007A7515">
        <w:rPr>
          <w:rFonts w:asciiTheme="minorHAnsi" w:hAnsiTheme="minorHAnsi" w:cstheme="minorHAnsi"/>
          <w:szCs w:val="24"/>
          <w:lang w:eastAsia="en-GB"/>
        </w:rPr>
        <w:t>J Gilbert</w:t>
      </w:r>
      <w:r w:rsidR="00EE3198" w:rsidRPr="007A7515">
        <w:rPr>
          <w:rFonts w:asciiTheme="minorHAnsi" w:hAnsiTheme="minorHAnsi" w:cstheme="minorHAnsi"/>
          <w:szCs w:val="24"/>
          <w:lang w:eastAsia="en-GB"/>
        </w:rPr>
        <w:t>,</w:t>
      </w:r>
      <w:r w:rsidR="00EE3198" w:rsidRPr="007A7515">
        <w:rPr>
          <w:rFonts w:asciiTheme="minorHAnsi" w:hAnsiTheme="minorHAnsi" w:cstheme="minorHAnsi"/>
          <w:szCs w:val="24"/>
          <w:vertAlign w:val="superscript"/>
        </w:rPr>
        <w:t>1</w:t>
      </w:r>
      <w:r w:rsidR="0031664B" w:rsidRPr="007A7515">
        <w:rPr>
          <w:rFonts w:asciiTheme="minorHAnsi" w:hAnsiTheme="minorHAnsi" w:cstheme="minorHAnsi"/>
          <w:szCs w:val="24"/>
          <w:vertAlign w:val="superscript"/>
        </w:rPr>
        <w:t>*</w:t>
      </w:r>
      <w:r w:rsidR="00EE3198"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S Harris,</w:t>
      </w:r>
      <w:r w:rsidR="00DD222C" w:rsidRPr="007A7515">
        <w:rPr>
          <w:rFonts w:asciiTheme="minorHAnsi" w:hAnsiTheme="minorHAnsi" w:cstheme="minorHAnsi"/>
          <w:szCs w:val="24"/>
          <w:vertAlign w:val="superscript"/>
          <w:lang w:eastAsia="en-GB"/>
        </w:rPr>
        <w:t>5</w:t>
      </w:r>
      <w:r w:rsidR="00DD222C" w:rsidRPr="007A7515">
        <w:rPr>
          <w:rFonts w:asciiTheme="minorHAnsi" w:hAnsiTheme="minorHAnsi" w:cstheme="minorHAnsi"/>
          <w:szCs w:val="24"/>
          <w:lang w:eastAsia="en-GB"/>
        </w:rPr>
        <w:t xml:space="preserve"> K A Miles,</w:t>
      </w:r>
      <w:r w:rsidR="00DD222C" w:rsidRPr="007A7515">
        <w:rPr>
          <w:rFonts w:asciiTheme="minorHAnsi" w:hAnsiTheme="minorHAnsi" w:cstheme="minorHAnsi"/>
          <w:szCs w:val="24"/>
          <w:vertAlign w:val="superscript"/>
          <w:lang w:eastAsia="en-GB"/>
        </w:rPr>
        <w:t>4</w:t>
      </w:r>
      <w:r w:rsidR="00DD222C"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J R Weir-McCall,</w:t>
      </w:r>
      <w:r w:rsidR="002F7097" w:rsidRPr="007A7515">
        <w:rPr>
          <w:rFonts w:asciiTheme="minorHAnsi" w:hAnsiTheme="minorHAnsi" w:cstheme="minorHAnsi"/>
          <w:szCs w:val="24"/>
          <w:vertAlign w:val="superscript"/>
          <w:lang w:eastAsia="en-GB"/>
        </w:rPr>
        <w:t>1,2</w:t>
      </w:r>
      <w:r w:rsidR="00EE3198" w:rsidRPr="007A7515">
        <w:rPr>
          <w:rFonts w:asciiTheme="minorHAnsi" w:hAnsiTheme="minorHAnsi" w:cstheme="minorHAnsi"/>
          <w:szCs w:val="24"/>
          <w:lang w:eastAsia="en-GB"/>
        </w:rPr>
        <w:t xml:space="preserve">  </w:t>
      </w:r>
      <w:r w:rsidRPr="007A7515">
        <w:rPr>
          <w:rFonts w:asciiTheme="minorHAnsi" w:hAnsiTheme="minorHAnsi" w:cstheme="minorHAnsi"/>
          <w:szCs w:val="24"/>
          <w:lang w:eastAsia="en-GB"/>
        </w:rPr>
        <w:t>N R Qureshi</w:t>
      </w:r>
      <w:r w:rsidR="00D07347" w:rsidRPr="007A7515">
        <w:rPr>
          <w:rFonts w:asciiTheme="minorHAnsi" w:hAnsiTheme="minorHAnsi" w:cstheme="minorHAnsi"/>
          <w:szCs w:val="24"/>
          <w:vertAlign w:val="superscript"/>
          <w:lang w:eastAsia="en-GB"/>
        </w:rPr>
        <w:t>2</w:t>
      </w:r>
      <w:r w:rsidRPr="007A7515">
        <w:rPr>
          <w:rFonts w:asciiTheme="minorHAnsi" w:hAnsiTheme="minorHAnsi" w:cstheme="minorHAnsi"/>
          <w:szCs w:val="24"/>
          <w:lang w:eastAsia="en-GB"/>
        </w:rPr>
        <w:t xml:space="preserve"> , R</w:t>
      </w:r>
      <w:r w:rsidR="002F7097" w:rsidRPr="007A7515">
        <w:rPr>
          <w:rFonts w:asciiTheme="minorHAnsi" w:hAnsiTheme="minorHAnsi" w:cstheme="minorHAnsi"/>
          <w:szCs w:val="24"/>
          <w:lang w:eastAsia="en-GB"/>
        </w:rPr>
        <w:t xml:space="preserve"> C</w:t>
      </w:r>
      <w:r w:rsidRPr="007A7515">
        <w:rPr>
          <w:rFonts w:asciiTheme="minorHAnsi" w:hAnsiTheme="minorHAnsi" w:cstheme="minorHAnsi"/>
          <w:szCs w:val="24"/>
          <w:lang w:eastAsia="en-GB"/>
        </w:rPr>
        <w:t xml:space="preserve"> Rintoul</w:t>
      </w:r>
      <w:r w:rsidR="00ED5B80" w:rsidRPr="007A7515">
        <w:rPr>
          <w:rFonts w:asciiTheme="minorHAnsi" w:hAnsiTheme="minorHAnsi" w:cstheme="minorHAnsi"/>
          <w:szCs w:val="24"/>
          <w:vertAlign w:val="superscript"/>
          <w:lang w:eastAsia="en-GB"/>
        </w:rPr>
        <w:t>3</w:t>
      </w:r>
      <w:r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S Dizdarevic,</w:t>
      </w:r>
      <w:r w:rsidR="00B323EB" w:rsidRPr="007A7515">
        <w:rPr>
          <w:rFonts w:asciiTheme="minorHAnsi" w:hAnsiTheme="minorHAnsi" w:cstheme="minorHAnsi"/>
          <w:szCs w:val="24"/>
          <w:vertAlign w:val="superscript"/>
          <w:lang w:eastAsia="en-GB"/>
        </w:rPr>
        <w:t>1</w:t>
      </w:r>
      <w:r w:rsidR="006B57FD" w:rsidRPr="007A7515">
        <w:rPr>
          <w:rFonts w:asciiTheme="minorHAnsi" w:hAnsiTheme="minorHAnsi" w:cstheme="minorHAnsi"/>
          <w:szCs w:val="24"/>
          <w:vertAlign w:val="superscript"/>
          <w:lang w:eastAsia="en-GB"/>
        </w:rPr>
        <w:t>2</w:t>
      </w:r>
      <w:r w:rsidR="00B323EB"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vertAlign w:val="superscript"/>
          <w:lang w:eastAsia="en-GB"/>
        </w:rPr>
        <w:t>6</w:t>
      </w:r>
      <w:r w:rsidR="00DD222C" w:rsidRPr="007A7515">
        <w:rPr>
          <w:rFonts w:asciiTheme="minorHAnsi" w:hAnsiTheme="minorHAnsi" w:cstheme="minorHAnsi"/>
          <w:szCs w:val="24"/>
          <w:lang w:eastAsia="en-GB"/>
        </w:rPr>
        <w:t xml:space="preserve"> L Pike,</w:t>
      </w:r>
      <w:r w:rsidR="00DD222C" w:rsidRPr="007A7515">
        <w:rPr>
          <w:rFonts w:asciiTheme="minorHAnsi" w:hAnsiTheme="minorHAnsi" w:cstheme="minorHAnsi"/>
          <w:szCs w:val="24"/>
          <w:vertAlign w:val="superscript"/>
          <w:lang w:eastAsia="en-GB"/>
        </w:rPr>
        <w:t>8</w:t>
      </w:r>
      <w:r w:rsidR="00DD222C" w:rsidRPr="007A7515">
        <w:rPr>
          <w:rFonts w:asciiTheme="minorHAnsi" w:hAnsiTheme="minorHAnsi" w:cstheme="minorHAnsi"/>
          <w:szCs w:val="24"/>
          <w:lang w:eastAsia="en-GB"/>
        </w:rPr>
        <w:t xml:space="preserve"> D Sinclair,</w:t>
      </w:r>
      <w:r w:rsidR="00DD222C" w:rsidRPr="007A7515">
        <w:rPr>
          <w:rFonts w:asciiTheme="minorHAnsi" w:hAnsiTheme="minorHAnsi" w:cstheme="minorHAnsi"/>
          <w:szCs w:val="24"/>
          <w:vertAlign w:val="superscript"/>
          <w:lang w:eastAsia="en-GB"/>
        </w:rPr>
        <w:t>8</w:t>
      </w:r>
      <w:r w:rsidR="00DD222C" w:rsidRPr="007A7515">
        <w:rPr>
          <w:rFonts w:asciiTheme="minorHAnsi" w:hAnsiTheme="minorHAnsi" w:cstheme="minorHAnsi"/>
          <w:szCs w:val="24"/>
          <w:lang w:eastAsia="en-GB"/>
        </w:rPr>
        <w:t xml:space="preserve"> A Shah,</w:t>
      </w:r>
      <w:r w:rsidR="00F7544A" w:rsidRPr="007A7515">
        <w:rPr>
          <w:rFonts w:asciiTheme="minorHAnsi" w:hAnsiTheme="minorHAnsi" w:cstheme="minorHAnsi"/>
          <w:szCs w:val="24"/>
          <w:vertAlign w:val="superscript"/>
          <w:lang w:eastAsia="en-GB"/>
        </w:rPr>
        <w:t>10</w:t>
      </w:r>
      <w:r w:rsidR="00DD222C" w:rsidRPr="007A7515">
        <w:rPr>
          <w:rFonts w:asciiTheme="minorHAnsi" w:hAnsiTheme="minorHAnsi" w:cstheme="minorHAnsi"/>
          <w:szCs w:val="24"/>
          <w:lang w:eastAsia="en-GB"/>
        </w:rPr>
        <w:t xml:space="preserve"> R Eaton,</w:t>
      </w:r>
      <w:r w:rsidR="00F7544A" w:rsidRPr="007A7515">
        <w:rPr>
          <w:rFonts w:asciiTheme="minorHAnsi" w:hAnsiTheme="minorHAnsi" w:cstheme="minorHAnsi"/>
          <w:szCs w:val="24"/>
          <w:vertAlign w:val="superscript"/>
          <w:lang w:eastAsia="en-GB"/>
        </w:rPr>
        <w:t>10</w:t>
      </w:r>
      <w:r w:rsidR="00DD222C"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J Jones,</w:t>
      </w:r>
      <w:r w:rsidR="00ED5B80" w:rsidRPr="007A7515">
        <w:rPr>
          <w:rFonts w:asciiTheme="minorHAnsi" w:hAnsiTheme="minorHAnsi" w:cstheme="minorHAnsi"/>
          <w:szCs w:val="24"/>
          <w:vertAlign w:val="superscript"/>
          <w:lang w:eastAsia="en-GB"/>
        </w:rPr>
        <w:t>7</w:t>
      </w:r>
      <w:r w:rsidR="00EE3198"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A</w:t>
      </w:r>
      <w:r w:rsidR="002A1B1B" w:rsidRPr="007A7515">
        <w:rPr>
          <w:rFonts w:asciiTheme="minorHAnsi" w:hAnsiTheme="minorHAnsi" w:cstheme="minorHAnsi"/>
          <w:szCs w:val="24"/>
          <w:lang w:eastAsia="en-GB"/>
        </w:rPr>
        <w:t xml:space="preserve"> J</w:t>
      </w:r>
      <w:r w:rsidR="00DD222C" w:rsidRPr="007A7515">
        <w:rPr>
          <w:rFonts w:asciiTheme="minorHAnsi" w:hAnsiTheme="minorHAnsi" w:cstheme="minorHAnsi"/>
          <w:szCs w:val="24"/>
          <w:lang w:eastAsia="en-GB"/>
        </w:rPr>
        <w:t xml:space="preserve"> Clegg </w:t>
      </w:r>
      <w:r w:rsidR="00F7544A" w:rsidRPr="007A7515">
        <w:rPr>
          <w:rFonts w:asciiTheme="minorHAnsi" w:hAnsiTheme="minorHAnsi" w:cstheme="minorHAnsi"/>
          <w:szCs w:val="24"/>
          <w:vertAlign w:val="superscript"/>
          <w:lang w:eastAsia="en-GB"/>
        </w:rPr>
        <w:t>20</w:t>
      </w:r>
      <w:r w:rsidR="00DD222C" w:rsidRPr="007A7515">
        <w:rPr>
          <w:rFonts w:asciiTheme="minorHAnsi" w:hAnsiTheme="minorHAnsi" w:cstheme="minorHAnsi"/>
          <w:szCs w:val="24"/>
          <w:lang w:eastAsia="en-GB"/>
        </w:rPr>
        <w:t>; V Benedetto,</w:t>
      </w:r>
      <w:r w:rsidR="00F7544A" w:rsidRPr="007A7515">
        <w:rPr>
          <w:rFonts w:asciiTheme="minorHAnsi" w:hAnsiTheme="minorHAnsi" w:cstheme="minorHAnsi"/>
          <w:szCs w:val="24"/>
          <w:vertAlign w:val="superscript"/>
          <w:lang w:eastAsia="en-GB"/>
        </w:rPr>
        <w:t>20</w:t>
      </w:r>
      <w:r w:rsidR="00B323EB" w:rsidRPr="007A7515">
        <w:rPr>
          <w:rFonts w:asciiTheme="minorHAnsi" w:hAnsiTheme="minorHAnsi" w:cstheme="minorHAnsi"/>
          <w:szCs w:val="24"/>
          <w:lang w:eastAsia="en-GB"/>
        </w:rPr>
        <w:t xml:space="preserve"> </w:t>
      </w:r>
      <w:r w:rsidR="00C03F92" w:rsidRPr="007A7515">
        <w:rPr>
          <w:rFonts w:asciiTheme="minorHAnsi" w:hAnsiTheme="minorHAnsi" w:cstheme="minorHAnsi"/>
          <w:szCs w:val="24"/>
        </w:rPr>
        <w:t xml:space="preserve">J E </w:t>
      </w:r>
      <w:r w:rsidR="002C0031" w:rsidRPr="007A7515">
        <w:rPr>
          <w:rFonts w:asciiTheme="minorHAnsi" w:hAnsiTheme="minorHAnsi" w:cstheme="minorHAnsi"/>
          <w:szCs w:val="24"/>
        </w:rPr>
        <w:t>Hill</w:t>
      </w:r>
      <w:r w:rsidR="005F2602" w:rsidRPr="007A7515">
        <w:rPr>
          <w:rFonts w:asciiTheme="minorHAnsi" w:hAnsiTheme="minorHAnsi" w:cstheme="minorHAnsi"/>
          <w:szCs w:val="24"/>
        </w:rPr>
        <w:t>,</w:t>
      </w:r>
      <w:r w:rsidR="005F2602" w:rsidRPr="007A7515">
        <w:rPr>
          <w:rFonts w:asciiTheme="minorHAnsi" w:hAnsiTheme="minorHAnsi" w:cstheme="minorHAnsi"/>
          <w:szCs w:val="24"/>
          <w:vertAlign w:val="superscript"/>
          <w:lang w:eastAsia="en-GB"/>
        </w:rPr>
        <w:t xml:space="preserve"> </w:t>
      </w:r>
      <w:r w:rsidR="00F7544A" w:rsidRPr="007A7515">
        <w:rPr>
          <w:rFonts w:asciiTheme="minorHAnsi" w:hAnsiTheme="minorHAnsi" w:cstheme="minorHAnsi"/>
          <w:szCs w:val="24"/>
          <w:vertAlign w:val="superscript"/>
          <w:lang w:eastAsia="en-GB"/>
        </w:rPr>
        <w:t>20</w:t>
      </w:r>
      <w:r w:rsidR="00B323EB" w:rsidRPr="007A7515">
        <w:rPr>
          <w:rFonts w:asciiTheme="minorHAnsi" w:hAnsiTheme="minorHAnsi" w:cstheme="minorHAnsi"/>
          <w:color w:val="FF0000"/>
          <w:szCs w:val="24"/>
        </w:rPr>
        <w:t xml:space="preserve"> </w:t>
      </w:r>
      <w:r w:rsidR="00B323EB"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A</w:t>
      </w:r>
      <w:r w:rsidR="0031664B"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Cook</w:t>
      </w:r>
      <w:r w:rsidR="00A3405C" w:rsidRPr="007A7515">
        <w:rPr>
          <w:rFonts w:asciiTheme="minorHAnsi" w:hAnsiTheme="minorHAnsi" w:cstheme="minorHAnsi"/>
          <w:szCs w:val="24"/>
          <w:lang w:eastAsia="en-GB"/>
        </w:rPr>
        <w:t>,</w:t>
      </w:r>
      <w:r w:rsidR="00DD222C" w:rsidRPr="007A7515">
        <w:rPr>
          <w:rFonts w:asciiTheme="minorHAnsi" w:hAnsiTheme="minorHAnsi" w:cstheme="minorHAnsi"/>
          <w:szCs w:val="24"/>
          <w:vertAlign w:val="superscript"/>
          <w:lang w:eastAsia="en-GB"/>
        </w:rPr>
        <w:t xml:space="preserve">6  </w:t>
      </w:r>
      <w:r w:rsidR="00DD222C" w:rsidRPr="007A7515">
        <w:rPr>
          <w:rFonts w:asciiTheme="minorHAnsi" w:hAnsiTheme="minorHAnsi" w:cstheme="minorHAnsi"/>
          <w:szCs w:val="24"/>
          <w:lang w:eastAsia="en-GB"/>
        </w:rPr>
        <w:t>D Tzeli</w:t>
      </w:r>
      <w:r w:rsidR="005B7960" w:rsidRPr="007A7515">
        <w:rPr>
          <w:rFonts w:asciiTheme="minorHAnsi" w:hAnsiTheme="minorHAnsi" w:cstheme="minorHAnsi"/>
          <w:szCs w:val="24"/>
          <w:lang w:eastAsia="en-GB"/>
        </w:rPr>
        <w:t>s</w:t>
      </w:r>
      <w:r w:rsidR="00DD222C" w:rsidRPr="007A7515">
        <w:rPr>
          <w:rFonts w:asciiTheme="minorHAnsi" w:hAnsiTheme="minorHAnsi" w:cstheme="minorHAnsi"/>
          <w:szCs w:val="24"/>
          <w:lang w:eastAsia="en-GB"/>
        </w:rPr>
        <w:t>,</w:t>
      </w:r>
      <w:r w:rsidR="00277F14" w:rsidRPr="007A7515">
        <w:rPr>
          <w:rFonts w:asciiTheme="minorHAnsi" w:hAnsiTheme="minorHAnsi" w:cstheme="minorHAnsi"/>
          <w:szCs w:val="24"/>
          <w:vertAlign w:val="superscript"/>
          <w:lang w:eastAsia="en-GB"/>
        </w:rPr>
        <w:t>2</w:t>
      </w:r>
      <w:r w:rsidR="00F7544A" w:rsidRPr="007A7515">
        <w:rPr>
          <w:rFonts w:asciiTheme="minorHAnsi" w:hAnsiTheme="minorHAnsi" w:cstheme="minorHAnsi"/>
          <w:szCs w:val="24"/>
          <w:vertAlign w:val="superscript"/>
          <w:lang w:eastAsia="en-GB"/>
        </w:rPr>
        <w:t>1</w:t>
      </w:r>
      <w:r w:rsidR="00277F14"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L Vale,</w:t>
      </w:r>
      <w:r w:rsidR="00B323EB" w:rsidRPr="007A7515">
        <w:rPr>
          <w:rFonts w:asciiTheme="minorHAnsi" w:hAnsiTheme="minorHAnsi" w:cstheme="minorHAnsi"/>
          <w:szCs w:val="24"/>
          <w:vertAlign w:val="superscript"/>
          <w:lang w:eastAsia="en-GB"/>
        </w:rPr>
        <w:t>2</w:t>
      </w:r>
      <w:r w:rsidR="00F7544A" w:rsidRPr="007A7515">
        <w:rPr>
          <w:rFonts w:asciiTheme="minorHAnsi" w:hAnsiTheme="minorHAnsi" w:cstheme="minorHAnsi"/>
          <w:szCs w:val="24"/>
          <w:vertAlign w:val="superscript"/>
          <w:lang w:eastAsia="en-GB"/>
        </w:rPr>
        <w:t>1</w:t>
      </w:r>
      <w:r w:rsidR="00B323EB" w:rsidRPr="007A7515">
        <w:rPr>
          <w:rFonts w:asciiTheme="minorHAnsi" w:hAnsiTheme="minorHAnsi" w:cstheme="minorHAnsi"/>
          <w:szCs w:val="24"/>
          <w:vertAlign w:val="superscript"/>
          <w:lang w:eastAsia="en-GB"/>
        </w:rPr>
        <w:t xml:space="preserve">  </w:t>
      </w:r>
      <w:r w:rsidR="00DD222C" w:rsidRPr="007A7515">
        <w:rPr>
          <w:rFonts w:asciiTheme="minorHAnsi" w:hAnsiTheme="minorHAnsi" w:cstheme="minorHAnsi"/>
          <w:szCs w:val="24"/>
          <w:lang w:eastAsia="en-GB"/>
        </w:rPr>
        <w:t>L Brindle,</w:t>
      </w:r>
      <w:r w:rsidR="00F7544A" w:rsidRPr="007A7515">
        <w:rPr>
          <w:rFonts w:asciiTheme="minorHAnsi" w:hAnsiTheme="minorHAnsi" w:cstheme="minorHAnsi"/>
          <w:szCs w:val="24"/>
          <w:vertAlign w:val="superscript"/>
          <w:lang w:eastAsia="en-GB"/>
        </w:rPr>
        <w:t>9</w:t>
      </w:r>
      <w:r w:rsidR="00277F14" w:rsidRPr="007A7515">
        <w:rPr>
          <w:rFonts w:asciiTheme="minorHAnsi" w:hAnsiTheme="minorHAnsi" w:cstheme="minorHAnsi"/>
          <w:szCs w:val="24"/>
          <w:lang w:eastAsia="en-GB"/>
        </w:rPr>
        <w:t xml:space="preserve"> </w:t>
      </w:r>
      <w:r w:rsidR="00DD222C" w:rsidRPr="007A7515">
        <w:rPr>
          <w:rFonts w:asciiTheme="minorHAnsi" w:hAnsiTheme="minorHAnsi" w:cstheme="minorHAnsi"/>
          <w:szCs w:val="24"/>
          <w:lang w:eastAsia="en-GB"/>
        </w:rPr>
        <w:t>J Madden,</w:t>
      </w:r>
      <w:r w:rsidR="00DD222C" w:rsidRPr="007A7515">
        <w:rPr>
          <w:rFonts w:asciiTheme="minorHAnsi" w:hAnsiTheme="minorHAnsi" w:cstheme="minorHAnsi"/>
          <w:szCs w:val="24"/>
          <w:vertAlign w:val="superscript"/>
          <w:lang w:eastAsia="en-GB"/>
        </w:rPr>
        <w:t>6</w:t>
      </w:r>
      <w:r w:rsidR="00DD222C" w:rsidRPr="007A7515">
        <w:rPr>
          <w:rFonts w:asciiTheme="minorHAnsi" w:hAnsiTheme="minorHAnsi" w:cstheme="minorHAnsi"/>
          <w:szCs w:val="24"/>
          <w:lang w:eastAsia="en-GB"/>
        </w:rPr>
        <w:t xml:space="preserve"> K Cozens,</w:t>
      </w:r>
      <w:r w:rsidR="00DD222C" w:rsidRPr="007A7515">
        <w:rPr>
          <w:rFonts w:asciiTheme="minorHAnsi" w:hAnsiTheme="minorHAnsi" w:cstheme="minorHAnsi"/>
          <w:szCs w:val="24"/>
          <w:vertAlign w:val="superscript"/>
          <w:lang w:eastAsia="en-GB"/>
        </w:rPr>
        <w:t>6</w:t>
      </w:r>
      <w:r w:rsidR="00DD222C" w:rsidRPr="007A7515">
        <w:rPr>
          <w:rFonts w:asciiTheme="minorHAnsi" w:hAnsiTheme="minorHAnsi" w:cstheme="minorHAnsi"/>
          <w:szCs w:val="24"/>
          <w:lang w:eastAsia="en-GB"/>
        </w:rPr>
        <w:t xml:space="preserve"> L A Little,</w:t>
      </w:r>
      <w:r w:rsidR="00DD222C" w:rsidRPr="007A7515">
        <w:rPr>
          <w:rFonts w:asciiTheme="minorHAnsi" w:hAnsiTheme="minorHAnsi" w:cstheme="minorHAnsi"/>
          <w:szCs w:val="24"/>
          <w:vertAlign w:val="superscript"/>
          <w:lang w:eastAsia="en-GB"/>
        </w:rPr>
        <w:t>6</w:t>
      </w:r>
      <w:r w:rsidR="00DD222C" w:rsidRPr="007A7515">
        <w:rPr>
          <w:rFonts w:asciiTheme="minorHAnsi" w:hAnsiTheme="minorHAnsi" w:cstheme="minorHAnsi"/>
          <w:szCs w:val="24"/>
          <w:lang w:eastAsia="en-GB"/>
        </w:rPr>
        <w:t xml:space="preserve"> K Eichhorst,</w:t>
      </w:r>
      <w:r w:rsidR="00DD222C" w:rsidRPr="007A7515">
        <w:rPr>
          <w:rFonts w:asciiTheme="minorHAnsi" w:hAnsiTheme="minorHAnsi" w:cstheme="minorHAnsi"/>
          <w:szCs w:val="24"/>
          <w:vertAlign w:val="superscript"/>
          <w:lang w:eastAsia="en-GB"/>
        </w:rPr>
        <w:t xml:space="preserve">6 </w:t>
      </w:r>
      <w:r w:rsidR="00EE3198" w:rsidRPr="007A7515">
        <w:rPr>
          <w:rFonts w:asciiTheme="minorHAnsi" w:hAnsiTheme="minorHAnsi" w:cstheme="minorHAnsi"/>
          <w:szCs w:val="24"/>
          <w:lang w:eastAsia="en-GB"/>
        </w:rPr>
        <w:t>P Moate,</w:t>
      </w:r>
      <w:r w:rsidR="00ED5B80" w:rsidRPr="007A7515">
        <w:rPr>
          <w:rFonts w:asciiTheme="minorHAnsi" w:hAnsiTheme="minorHAnsi" w:cstheme="minorHAnsi"/>
          <w:szCs w:val="24"/>
          <w:vertAlign w:val="superscript"/>
          <w:lang w:eastAsia="en-GB"/>
        </w:rPr>
        <w:t>6</w:t>
      </w:r>
      <w:r w:rsidR="000F157F" w:rsidRPr="007A7515">
        <w:rPr>
          <w:rFonts w:asciiTheme="minorHAnsi" w:hAnsiTheme="minorHAnsi" w:cstheme="minorHAnsi"/>
          <w:szCs w:val="24"/>
          <w:vertAlign w:val="superscript"/>
          <w:lang w:eastAsia="en-GB"/>
        </w:rPr>
        <w:t>+</w:t>
      </w:r>
      <w:r w:rsidR="00EE3198" w:rsidRPr="007A7515">
        <w:rPr>
          <w:rFonts w:asciiTheme="minorHAnsi" w:hAnsiTheme="minorHAnsi" w:cstheme="minorHAnsi"/>
          <w:szCs w:val="24"/>
          <w:lang w:eastAsia="en-GB"/>
        </w:rPr>
        <w:t xml:space="preserve"> </w:t>
      </w:r>
      <w:r w:rsidR="00083916" w:rsidRPr="007A7515">
        <w:rPr>
          <w:rFonts w:asciiTheme="minorHAnsi" w:hAnsiTheme="minorHAnsi" w:cstheme="minorHAnsi"/>
          <w:szCs w:val="24"/>
          <w:lang w:eastAsia="en-GB"/>
        </w:rPr>
        <w:t>C McClement</w:t>
      </w:r>
      <w:r w:rsidR="00083916" w:rsidRPr="007A7515">
        <w:rPr>
          <w:rFonts w:asciiTheme="minorHAnsi" w:hAnsiTheme="minorHAnsi" w:cstheme="minorHAnsi"/>
          <w:szCs w:val="24"/>
          <w:vertAlign w:val="superscript"/>
          <w:lang w:eastAsia="en-GB"/>
        </w:rPr>
        <w:t>6</w:t>
      </w:r>
      <w:r w:rsidR="000F157F" w:rsidRPr="007A7515">
        <w:rPr>
          <w:rFonts w:asciiTheme="minorHAnsi" w:hAnsiTheme="minorHAnsi" w:cstheme="minorHAnsi"/>
          <w:szCs w:val="24"/>
          <w:vertAlign w:val="superscript"/>
          <w:lang w:eastAsia="en-GB"/>
        </w:rPr>
        <w:t>+</w:t>
      </w:r>
      <w:r w:rsidR="009B2D89" w:rsidRPr="007A7515">
        <w:rPr>
          <w:rFonts w:asciiTheme="minorHAnsi" w:hAnsiTheme="minorHAnsi" w:cstheme="minorHAnsi"/>
          <w:szCs w:val="24"/>
          <w:lang w:eastAsia="en-GB"/>
        </w:rPr>
        <w:t>,</w:t>
      </w:r>
      <w:r w:rsidR="00083916"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C Peebles,</w:t>
      </w:r>
      <w:r w:rsidR="00277F14"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1</w:t>
      </w:r>
      <w:r w:rsidR="00277F14"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A Banerjee,</w:t>
      </w:r>
      <w:r w:rsidR="00277F14"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1</w:t>
      </w:r>
      <w:r w:rsidR="00277F14"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S Han,</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3</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F W Poon,</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3</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A M Groves,</w:t>
      </w:r>
      <w:r w:rsidR="004B4CEC" w:rsidRPr="007A7515">
        <w:rPr>
          <w:rFonts w:asciiTheme="minorHAnsi" w:hAnsiTheme="minorHAnsi" w:cstheme="minorHAnsi"/>
          <w:szCs w:val="24"/>
          <w:vertAlign w:val="superscript"/>
          <w:lang w:eastAsia="en-GB"/>
        </w:rPr>
        <w:t>4</w:t>
      </w:r>
      <w:r w:rsidR="00EE3198" w:rsidRPr="007A7515">
        <w:rPr>
          <w:rFonts w:asciiTheme="minorHAnsi" w:hAnsiTheme="minorHAnsi" w:cstheme="minorHAnsi"/>
          <w:szCs w:val="24"/>
          <w:lang w:eastAsia="en-GB"/>
        </w:rPr>
        <w:t xml:space="preserve"> L Kurban,</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4</w:t>
      </w:r>
      <w:r w:rsidR="00B323EB" w:rsidRPr="007A7515">
        <w:rPr>
          <w:rFonts w:asciiTheme="minorHAnsi" w:hAnsiTheme="minorHAnsi" w:cstheme="minorHAnsi"/>
          <w:szCs w:val="24"/>
          <w:lang w:eastAsia="en-GB"/>
        </w:rPr>
        <w:t xml:space="preserve"> A J Frew,</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2</w:t>
      </w:r>
      <w:r w:rsidR="00427C66" w:rsidRPr="007A7515">
        <w:rPr>
          <w:rFonts w:asciiTheme="minorHAnsi" w:hAnsiTheme="minorHAnsi" w:cstheme="minorHAnsi"/>
          <w:szCs w:val="24"/>
          <w:vertAlign w:val="superscript"/>
          <w:lang w:eastAsia="en-GB"/>
        </w:rPr>
        <w:t>+</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M E Callister,</w:t>
      </w:r>
      <w:r w:rsidR="00F7544A" w:rsidRPr="007A7515">
        <w:rPr>
          <w:rFonts w:asciiTheme="minorHAnsi" w:hAnsiTheme="minorHAnsi" w:cstheme="minorHAnsi"/>
          <w:szCs w:val="24"/>
          <w:vertAlign w:val="superscript"/>
          <w:lang w:eastAsia="en-GB"/>
        </w:rPr>
        <w:t>15</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P Crosbie,</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6</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F V Gleeson,</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7</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K Karunasaagarar,</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8</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O Kankam,</w:t>
      </w:r>
      <w:r w:rsidR="00B323EB" w:rsidRPr="007A7515">
        <w:rPr>
          <w:rFonts w:asciiTheme="minorHAnsi" w:hAnsiTheme="minorHAnsi" w:cstheme="minorHAnsi"/>
          <w:szCs w:val="24"/>
          <w:vertAlign w:val="superscript"/>
          <w:lang w:eastAsia="en-GB"/>
        </w:rPr>
        <w:t>1</w:t>
      </w:r>
      <w:r w:rsidR="00F7544A" w:rsidRPr="007A7515">
        <w:rPr>
          <w:rFonts w:asciiTheme="minorHAnsi" w:hAnsiTheme="minorHAnsi" w:cstheme="minorHAnsi"/>
          <w:szCs w:val="24"/>
          <w:vertAlign w:val="superscript"/>
          <w:lang w:eastAsia="en-GB"/>
        </w:rPr>
        <w:t>9</w:t>
      </w:r>
      <w:r w:rsidR="00B323EB"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 xml:space="preserve">and, </w:t>
      </w:r>
      <w:r w:rsidRPr="007A7515">
        <w:rPr>
          <w:rFonts w:asciiTheme="minorHAnsi" w:hAnsiTheme="minorHAnsi" w:cstheme="minorHAnsi"/>
          <w:szCs w:val="24"/>
          <w:lang w:eastAsia="en-GB"/>
        </w:rPr>
        <w:t>S George,</w:t>
      </w:r>
      <w:r w:rsidR="007F46B2" w:rsidRPr="007A7515">
        <w:rPr>
          <w:rFonts w:asciiTheme="minorHAnsi" w:hAnsiTheme="minorHAnsi" w:cstheme="minorHAnsi"/>
          <w:szCs w:val="24"/>
          <w:vertAlign w:val="superscript"/>
          <w:lang w:eastAsia="en-GB"/>
        </w:rPr>
        <w:t>5+</w:t>
      </w:r>
      <w:r w:rsidRPr="007A7515">
        <w:rPr>
          <w:rFonts w:asciiTheme="minorHAnsi" w:hAnsiTheme="minorHAnsi" w:cstheme="minorHAnsi"/>
          <w:szCs w:val="24"/>
          <w:lang w:eastAsia="en-GB"/>
        </w:rPr>
        <w:t xml:space="preserve"> </w:t>
      </w:r>
      <w:r w:rsidR="00EE3198" w:rsidRPr="007A7515">
        <w:rPr>
          <w:rFonts w:asciiTheme="minorHAnsi" w:hAnsiTheme="minorHAnsi" w:cstheme="minorHAnsi"/>
          <w:szCs w:val="24"/>
          <w:lang w:eastAsia="en-GB"/>
        </w:rPr>
        <w:t xml:space="preserve">on behalf of the </w:t>
      </w:r>
      <w:proofErr w:type="spellStart"/>
      <w:r w:rsidR="00EE3198" w:rsidRPr="007A7515">
        <w:rPr>
          <w:rFonts w:asciiTheme="minorHAnsi" w:hAnsiTheme="minorHAnsi" w:cstheme="minorHAnsi"/>
          <w:szCs w:val="24"/>
          <w:lang w:eastAsia="en-GB"/>
        </w:rPr>
        <w:t>SPU</w:t>
      </w:r>
      <w:r w:rsidR="00684456" w:rsidRPr="007A7515">
        <w:rPr>
          <w:rFonts w:asciiTheme="minorHAnsi" w:hAnsiTheme="minorHAnsi" w:cstheme="minorHAnsi"/>
          <w:szCs w:val="24"/>
          <w:lang w:eastAsia="en-GB"/>
        </w:rPr>
        <w:t>t</w:t>
      </w:r>
      <w:r w:rsidR="00EE3198" w:rsidRPr="007A7515">
        <w:rPr>
          <w:rFonts w:asciiTheme="minorHAnsi" w:hAnsiTheme="minorHAnsi" w:cstheme="minorHAnsi"/>
          <w:szCs w:val="24"/>
          <w:lang w:eastAsia="en-GB"/>
        </w:rPr>
        <w:t>NI</w:t>
      </w:r>
      <w:r w:rsidR="00684456" w:rsidRPr="007A7515">
        <w:rPr>
          <w:rFonts w:asciiTheme="minorHAnsi" w:hAnsiTheme="minorHAnsi" w:cstheme="minorHAnsi"/>
          <w:szCs w:val="24"/>
          <w:lang w:eastAsia="en-GB"/>
        </w:rPr>
        <w:t>k</w:t>
      </w:r>
      <w:proofErr w:type="spellEnd"/>
      <w:r w:rsidR="00EE3198" w:rsidRPr="007A7515">
        <w:rPr>
          <w:rFonts w:asciiTheme="minorHAnsi" w:hAnsiTheme="minorHAnsi" w:cstheme="minorHAnsi"/>
          <w:szCs w:val="24"/>
          <w:lang w:eastAsia="en-GB"/>
        </w:rPr>
        <w:t xml:space="preserve"> investigators</w:t>
      </w:r>
    </w:p>
    <w:p w14:paraId="7E10492E" w14:textId="51D466EA" w:rsidR="00F83105" w:rsidRPr="007A7515" w:rsidRDefault="00F83105" w:rsidP="00EE3198">
      <w:pPr>
        <w:pStyle w:val="NoSpacing"/>
        <w:rPr>
          <w:rFonts w:asciiTheme="minorHAnsi" w:hAnsiTheme="minorHAnsi" w:cstheme="minorHAnsi"/>
          <w:szCs w:val="24"/>
          <w:lang w:eastAsia="en-GB"/>
        </w:rPr>
      </w:pPr>
    </w:p>
    <w:p w14:paraId="0E1E7514" w14:textId="77777777" w:rsidR="008531E6" w:rsidRPr="007A7515" w:rsidRDefault="008531E6"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Department of Radiology, University of Cambridge School of Clinical Medicine, Biomedical Research Centre, University of Cambridge, Cambridge, UK</w:t>
      </w:r>
    </w:p>
    <w:p w14:paraId="5E7EFAB3" w14:textId="0F7F2083"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 xml:space="preserve">Department of Radiology, </w:t>
      </w:r>
      <w:r w:rsidR="00D07347" w:rsidRPr="007A7515">
        <w:rPr>
          <w:rFonts w:asciiTheme="minorHAnsi" w:hAnsiTheme="minorHAnsi" w:cstheme="minorHAnsi"/>
          <w:szCs w:val="24"/>
          <w:lang w:eastAsia="en-GB"/>
        </w:rPr>
        <w:t xml:space="preserve">Royal </w:t>
      </w:r>
      <w:r w:rsidRPr="007A7515">
        <w:rPr>
          <w:rFonts w:asciiTheme="minorHAnsi" w:hAnsiTheme="minorHAnsi" w:cstheme="minorHAnsi"/>
          <w:szCs w:val="24"/>
          <w:lang w:eastAsia="en-GB"/>
        </w:rPr>
        <w:t>Papworth Hospital, Cambridge, UK</w:t>
      </w:r>
    </w:p>
    <w:p w14:paraId="2A39FA67" w14:textId="666F4E0D" w:rsidR="00C86412"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 xml:space="preserve">Department of Thoracic Oncology, </w:t>
      </w:r>
      <w:r w:rsidR="00D07347" w:rsidRPr="007A7515">
        <w:rPr>
          <w:rFonts w:asciiTheme="minorHAnsi" w:hAnsiTheme="minorHAnsi" w:cstheme="minorHAnsi"/>
          <w:szCs w:val="24"/>
          <w:lang w:eastAsia="en-GB"/>
        </w:rPr>
        <w:t xml:space="preserve">Royal </w:t>
      </w:r>
      <w:r w:rsidRPr="007A7515">
        <w:rPr>
          <w:rFonts w:asciiTheme="minorHAnsi" w:hAnsiTheme="minorHAnsi" w:cstheme="minorHAnsi"/>
          <w:szCs w:val="24"/>
          <w:lang w:eastAsia="en-GB"/>
        </w:rPr>
        <w:t>Papworth Hospital</w:t>
      </w:r>
      <w:r w:rsidR="00C86412" w:rsidRPr="007A7515">
        <w:rPr>
          <w:rFonts w:asciiTheme="minorHAnsi" w:hAnsiTheme="minorHAnsi" w:cstheme="minorHAnsi"/>
          <w:szCs w:val="24"/>
          <w:lang w:eastAsia="en-GB"/>
        </w:rPr>
        <w:t xml:space="preserve"> / </w:t>
      </w:r>
      <w:r w:rsidR="00C86412" w:rsidRPr="007A7515">
        <w:rPr>
          <w:rFonts w:asciiTheme="minorHAnsi" w:hAnsiTheme="minorHAnsi" w:cstheme="minorHAnsi"/>
          <w:szCs w:val="24"/>
        </w:rPr>
        <w:t>Department of Oncology, University of Cambridge</w:t>
      </w:r>
      <w:r w:rsidRPr="007A7515">
        <w:rPr>
          <w:rFonts w:asciiTheme="minorHAnsi" w:hAnsiTheme="minorHAnsi" w:cstheme="minorHAnsi"/>
          <w:szCs w:val="24"/>
          <w:lang w:eastAsia="en-GB"/>
        </w:rPr>
        <w:t>, Cambridge, UK</w:t>
      </w:r>
      <w:r w:rsidR="00C86412" w:rsidRPr="007A7515">
        <w:rPr>
          <w:rFonts w:asciiTheme="minorHAnsi" w:hAnsiTheme="minorHAnsi" w:cstheme="minorHAnsi"/>
          <w:szCs w:val="24"/>
          <w:lang w:eastAsia="en-GB"/>
        </w:rPr>
        <w:t xml:space="preserve">. </w:t>
      </w:r>
    </w:p>
    <w:p w14:paraId="530A94D2" w14:textId="731C3846"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Institute of Nuclear Medicine, University College London, London, UK</w:t>
      </w:r>
    </w:p>
    <w:p w14:paraId="57FC0CD6" w14:textId="37A1B530"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Public Health Sciences and Medical Statistics, University of Southampton, Southampton, UK</w:t>
      </w:r>
    </w:p>
    <w:p w14:paraId="7B8551B1" w14:textId="7E46411E"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Southampton Clinical Trials Unit, University of Southampton, Southampton, UK</w:t>
      </w:r>
    </w:p>
    <w:p w14:paraId="60C411F5" w14:textId="77777777" w:rsidR="00C73CC3"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Centre for Innovation and Leadership in Health Sciences, University of Southampton, UK</w:t>
      </w:r>
    </w:p>
    <w:p w14:paraId="2F9F992E" w14:textId="6CCE2CDF" w:rsidR="00EE3198" w:rsidRPr="007A7515" w:rsidRDefault="00C73CC3"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rPr>
        <w:t>King's College London and Guy's &amp; St Thomas' PET Centre, School of Biomedical Engineering and Imaging Sciences, Kings College London, UK</w:t>
      </w:r>
    </w:p>
    <w:p w14:paraId="0653926A" w14:textId="36517AFF" w:rsidR="00F7544A" w:rsidRPr="007A7515" w:rsidRDefault="002B43BC"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 xml:space="preserve">School </w:t>
      </w:r>
      <w:r w:rsidR="00EE3198" w:rsidRPr="007A7515">
        <w:rPr>
          <w:rFonts w:asciiTheme="minorHAnsi" w:hAnsiTheme="minorHAnsi" w:cstheme="minorHAnsi"/>
          <w:szCs w:val="24"/>
          <w:lang w:eastAsia="en-GB"/>
        </w:rPr>
        <w:t>of Health Sciences, University of Southampton, Southampton, UK</w:t>
      </w:r>
    </w:p>
    <w:p w14:paraId="4D52981C" w14:textId="77BA9DDE" w:rsidR="00F7544A" w:rsidRPr="007A7515" w:rsidRDefault="00F7544A" w:rsidP="00673D96">
      <w:pPr>
        <w:pStyle w:val="NoSpacing"/>
        <w:numPr>
          <w:ilvl w:val="0"/>
          <w:numId w:val="5"/>
        </w:numPr>
        <w:rPr>
          <w:rFonts w:asciiTheme="minorHAnsi" w:hAnsiTheme="minorHAnsi" w:cstheme="minorHAnsi"/>
          <w:szCs w:val="24"/>
          <w:lang w:eastAsia="en-GB"/>
        </w:rPr>
      </w:pPr>
      <w:r w:rsidRPr="007A7515">
        <w:rPr>
          <w:rFonts w:asciiTheme="minorHAnsi" w:eastAsiaTheme="minorHAnsi" w:hAnsiTheme="minorHAnsi" w:cstheme="minorHAnsi"/>
          <w:szCs w:val="24"/>
          <w:lang w:eastAsia="en-GB"/>
        </w:rPr>
        <w:t>Radiation Protection Department, East and North Hertfordshire NHS Trust, Stevenage, UK</w:t>
      </w:r>
    </w:p>
    <w:p w14:paraId="60FB4204" w14:textId="3BA42550"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Department of Radiology and Respiratory Medicine, Southampton University Hospitals NHS Foundation Trust, Southampton, UK</w:t>
      </w:r>
    </w:p>
    <w:p w14:paraId="22207B28" w14:textId="048DB068"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lastRenderedPageBreak/>
        <w:t xml:space="preserve">Departments of </w:t>
      </w:r>
      <w:r w:rsidR="00C86412" w:rsidRPr="007A7515">
        <w:rPr>
          <w:rFonts w:asciiTheme="minorHAnsi" w:hAnsiTheme="minorHAnsi" w:cstheme="minorHAnsi"/>
          <w:szCs w:val="24"/>
        </w:rPr>
        <w:t>Imaging and Nuclear Medicine and Respiratory Medicine</w:t>
      </w:r>
      <w:r w:rsidRPr="007A7515">
        <w:rPr>
          <w:rFonts w:asciiTheme="minorHAnsi" w:hAnsiTheme="minorHAnsi" w:cstheme="minorHAnsi"/>
          <w:szCs w:val="24"/>
          <w:lang w:eastAsia="en-GB"/>
        </w:rPr>
        <w:t>, Brighton and Sussex University Hospitals NHS Trust, Brighton, UK</w:t>
      </w:r>
      <w:r w:rsidR="00C86412" w:rsidRPr="007A7515">
        <w:rPr>
          <w:rFonts w:asciiTheme="minorHAnsi" w:hAnsiTheme="minorHAnsi" w:cstheme="minorHAnsi"/>
          <w:szCs w:val="24"/>
          <w:lang w:eastAsia="en-GB"/>
        </w:rPr>
        <w:t>, Brighton and Sussex Medical School</w:t>
      </w:r>
    </w:p>
    <w:p w14:paraId="53216FFE" w14:textId="5CBF0BF0"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 xml:space="preserve">West of Scotland PET Centre, </w:t>
      </w:r>
      <w:proofErr w:type="spellStart"/>
      <w:r w:rsidRPr="007A7515">
        <w:rPr>
          <w:rFonts w:asciiTheme="minorHAnsi" w:hAnsiTheme="minorHAnsi" w:cstheme="minorHAnsi"/>
          <w:szCs w:val="24"/>
          <w:lang w:eastAsia="en-GB"/>
        </w:rPr>
        <w:t>Gartnavel</w:t>
      </w:r>
      <w:proofErr w:type="spellEnd"/>
      <w:r w:rsidRPr="007A7515">
        <w:rPr>
          <w:rFonts w:asciiTheme="minorHAnsi" w:hAnsiTheme="minorHAnsi" w:cstheme="minorHAnsi"/>
          <w:szCs w:val="24"/>
          <w:lang w:eastAsia="en-GB"/>
        </w:rPr>
        <w:t xml:space="preserve"> Hospital, Glasgow, UK</w:t>
      </w:r>
    </w:p>
    <w:p w14:paraId="44D24189" w14:textId="4A8C7D18"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Department of Radiology, Aberdeen Royal Hospitals NHS Trust, Aberdeen, UK</w:t>
      </w:r>
    </w:p>
    <w:p w14:paraId="5128EB93" w14:textId="57C83917"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Department of Respiratory Medicine, Leeds Teaching Hospitals NHS Trust, Leeds, UK</w:t>
      </w:r>
    </w:p>
    <w:p w14:paraId="29E25932" w14:textId="739D4F2E"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North West Lung Centre, University Hospital of South Manchester, Manchester, UK</w:t>
      </w:r>
    </w:p>
    <w:p w14:paraId="6B849121" w14:textId="18858157"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Department of Radiology, Churchill Hospital and University of Oxford, Oxford, UK</w:t>
      </w:r>
    </w:p>
    <w:p w14:paraId="57C08125" w14:textId="2B72878E" w:rsidR="00EE3198" w:rsidRPr="007A7515" w:rsidRDefault="00D6791D"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Sheffield Teaching Hospitals NHS Trust, Sheffield, UK</w:t>
      </w:r>
    </w:p>
    <w:p w14:paraId="0F27407C" w14:textId="20279D1E" w:rsidR="00EE3198" w:rsidRPr="007A7515" w:rsidRDefault="00EE3198" w:rsidP="00673D96">
      <w:pPr>
        <w:pStyle w:val="NoSpacing"/>
        <w:numPr>
          <w:ilvl w:val="0"/>
          <w:numId w:val="5"/>
        </w:numPr>
        <w:rPr>
          <w:rFonts w:asciiTheme="minorHAnsi" w:hAnsiTheme="minorHAnsi" w:cstheme="minorHAnsi"/>
          <w:szCs w:val="24"/>
          <w:lang w:eastAsia="en-GB"/>
        </w:rPr>
      </w:pPr>
      <w:r w:rsidRPr="007A7515">
        <w:rPr>
          <w:rFonts w:asciiTheme="minorHAnsi" w:hAnsiTheme="minorHAnsi" w:cstheme="minorHAnsi"/>
          <w:szCs w:val="24"/>
          <w:lang w:eastAsia="en-GB"/>
        </w:rPr>
        <w:t>Department of Thoracic Medicine, East Sussex Hospitals NHS Trust, Saint Leonards-on-Sea, UK</w:t>
      </w:r>
    </w:p>
    <w:p w14:paraId="294D63C7" w14:textId="6EE869E4" w:rsidR="002C5252" w:rsidRPr="007A7515" w:rsidRDefault="008B2CDB" w:rsidP="00673D96">
      <w:pPr>
        <w:pStyle w:val="PlainText"/>
        <w:numPr>
          <w:ilvl w:val="0"/>
          <w:numId w:val="5"/>
        </w:numPr>
        <w:spacing w:line="360" w:lineRule="auto"/>
        <w:rPr>
          <w:rFonts w:asciiTheme="minorHAnsi" w:hAnsiTheme="minorHAnsi" w:cstheme="minorHAnsi"/>
          <w:sz w:val="24"/>
          <w:szCs w:val="24"/>
        </w:rPr>
      </w:pPr>
      <w:r w:rsidRPr="007A7515">
        <w:rPr>
          <w:rFonts w:asciiTheme="minorHAnsi" w:hAnsiTheme="minorHAnsi" w:cstheme="minorHAnsi"/>
          <w:sz w:val="24"/>
          <w:szCs w:val="24"/>
        </w:rPr>
        <w:t>Faculty of Health and Wellbeing, University of Central Lancashire, Preston, UK</w:t>
      </w:r>
    </w:p>
    <w:p w14:paraId="79F9B262" w14:textId="58DA6D57" w:rsidR="005C71AA" w:rsidRPr="007A7515" w:rsidRDefault="00293D2D" w:rsidP="00673D96">
      <w:pPr>
        <w:pStyle w:val="PlainText"/>
        <w:numPr>
          <w:ilvl w:val="0"/>
          <w:numId w:val="5"/>
        </w:numPr>
        <w:spacing w:line="360" w:lineRule="auto"/>
        <w:rPr>
          <w:rFonts w:asciiTheme="minorHAnsi" w:hAnsiTheme="minorHAnsi" w:cstheme="minorHAnsi"/>
          <w:sz w:val="24"/>
          <w:szCs w:val="24"/>
        </w:rPr>
      </w:pPr>
      <w:r w:rsidRPr="007A7515">
        <w:rPr>
          <w:rFonts w:asciiTheme="minorHAnsi" w:hAnsiTheme="minorHAnsi" w:cstheme="minorHAnsi"/>
          <w:sz w:val="24"/>
          <w:szCs w:val="24"/>
        </w:rPr>
        <w:t>Population Health Science Institute</w:t>
      </w:r>
      <w:r w:rsidR="005C71AA" w:rsidRPr="007A7515">
        <w:rPr>
          <w:rFonts w:asciiTheme="minorHAnsi" w:hAnsiTheme="minorHAnsi" w:cstheme="minorHAnsi"/>
          <w:sz w:val="24"/>
          <w:szCs w:val="24"/>
        </w:rPr>
        <w:t>, Newcastle University, UK</w:t>
      </w:r>
    </w:p>
    <w:p w14:paraId="4EA194A5" w14:textId="15CF1A64" w:rsidR="00657902" w:rsidRPr="007A7515" w:rsidRDefault="000F157F" w:rsidP="00657902">
      <w:pPr>
        <w:pStyle w:val="PlainText"/>
        <w:spacing w:line="360" w:lineRule="auto"/>
        <w:ind w:left="720"/>
        <w:rPr>
          <w:rFonts w:asciiTheme="minorHAnsi" w:hAnsiTheme="minorHAnsi" w:cstheme="minorHAnsi"/>
          <w:sz w:val="24"/>
          <w:szCs w:val="24"/>
        </w:rPr>
      </w:pPr>
      <w:r w:rsidRPr="007A7515">
        <w:rPr>
          <w:rFonts w:asciiTheme="minorHAnsi" w:hAnsiTheme="minorHAnsi" w:cstheme="minorHAnsi"/>
          <w:sz w:val="24"/>
          <w:szCs w:val="24"/>
        </w:rPr>
        <w:t>+ Deceased</w:t>
      </w:r>
    </w:p>
    <w:p w14:paraId="45342E51" w14:textId="77777777" w:rsidR="000F157F" w:rsidRPr="007A7515" w:rsidRDefault="000F157F" w:rsidP="00657902">
      <w:pPr>
        <w:pStyle w:val="PlainText"/>
        <w:spacing w:line="360" w:lineRule="auto"/>
        <w:ind w:left="720"/>
        <w:rPr>
          <w:rFonts w:asciiTheme="minorHAnsi" w:hAnsiTheme="minorHAnsi" w:cstheme="minorHAnsi"/>
          <w:sz w:val="24"/>
          <w:szCs w:val="24"/>
        </w:rPr>
      </w:pPr>
    </w:p>
    <w:p w14:paraId="12C69543" w14:textId="0762DC5B" w:rsidR="00457FA3" w:rsidRPr="007A7515" w:rsidRDefault="00DF5F9F" w:rsidP="00C0772F">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*Corresponding author</w:t>
      </w:r>
      <w:r w:rsidR="00457FA3" w:rsidRPr="007A7515">
        <w:rPr>
          <w:rFonts w:asciiTheme="minorHAnsi" w:hAnsiTheme="minorHAnsi" w:cstheme="minorHAnsi"/>
          <w:szCs w:val="24"/>
          <w:lang w:eastAsia="en-GB"/>
        </w:rPr>
        <w:t xml:space="preserve">: </w:t>
      </w:r>
    </w:p>
    <w:p w14:paraId="76AC4BAC" w14:textId="72DC9C32" w:rsidR="00EE3198" w:rsidRPr="007A7515" w:rsidRDefault="00EE3198" w:rsidP="00C0772F">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Fiona J Gilbert</w:t>
      </w:r>
    </w:p>
    <w:p w14:paraId="15FD96E2" w14:textId="77777777"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Department of Radiology, </w:t>
      </w:r>
    </w:p>
    <w:p w14:paraId="6F6795D4" w14:textId="77777777"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University of Cambridge School of Clinical Medicine, </w:t>
      </w:r>
    </w:p>
    <w:p w14:paraId="6A029CFD" w14:textId="6D16AF3D"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Biomedical </w:t>
      </w:r>
      <w:r w:rsidR="008531E6" w:rsidRPr="007A7515">
        <w:rPr>
          <w:rFonts w:asciiTheme="minorHAnsi" w:hAnsiTheme="minorHAnsi" w:cstheme="minorHAnsi"/>
          <w:szCs w:val="24"/>
          <w:lang w:eastAsia="en-GB"/>
        </w:rPr>
        <w:t>R</w:t>
      </w:r>
      <w:r w:rsidRPr="007A7515">
        <w:rPr>
          <w:rFonts w:asciiTheme="minorHAnsi" w:hAnsiTheme="minorHAnsi" w:cstheme="minorHAnsi"/>
          <w:szCs w:val="24"/>
          <w:lang w:eastAsia="en-GB"/>
        </w:rPr>
        <w:t xml:space="preserve">esearch </w:t>
      </w:r>
      <w:r w:rsidR="008531E6" w:rsidRPr="007A7515">
        <w:rPr>
          <w:rFonts w:asciiTheme="minorHAnsi" w:hAnsiTheme="minorHAnsi" w:cstheme="minorHAnsi"/>
          <w:szCs w:val="24"/>
          <w:lang w:eastAsia="en-GB"/>
        </w:rPr>
        <w:t>C</w:t>
      </w:r>
      <w:r w:rsidRPr="007A7515">
        <w:rPr>
          <w:rFonts w:asciiTheme="minorHAnsi" w:hAnsiTheme="minorHAnsi" w:cstheme="minorHAnsi"/>
          <w:szCs w:val="24"/>
          <w:lang w:eastAsia="en-GB"/>
        </w:rPr>
        <w:t xml:space="preserve">entre, </w:t>
      </w:r>
    </w:p>
    <w:p w14:paraId="008B47E6" w14:textId="77777777"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University of Cambridge, </w:t>
      </w:r>
    </w:p>
    <w:p w14:paraId="7F497A33" w14:textId="77777777"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Cambridge, </w:t>
      </w:r>
    </w:p>
    <w:p w14:paraId="3EB93616" w14:textId="7600E6E7"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CB2 0QQ</w:t>
      </w:r>
    </w:p>
    <w:p w14:paraId="6E5FF873" w14:textId="59A23432" w:rsidR="00EE3198" w:rsidRPr="007A7515" w:rsidRDefault="00EE3198" w:rsidP="00EE319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UK</w:t>
      </w:r>
    </w:p>
    <w:p w14:paraId="3415A8F1" w14:textId="36385DD0" w:rsidR="00EE3198" w:rsidRPr="007A7515" w:rsidRDefault="009126F7" w:rsidP="00C0772F">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Email Address: fjg28@cam.ac.uk </w:t>
      </w:r>
    </w:p>
    <w:p w14:paraId="355B6941" w14:textId="4C30BCD0" w:rsidR="009126F7" w:rsidRPr="007A7515" w:rsidRDefault="009126F7" w:rsidP="00C0772F">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 xml:space="preserve">Telephone: </w:t>
      </w:r>
      <w:r w:rsidRPr="007A7515">
        <w:rPr>
          <w:rFonts w:asciiTheme="minorHAnsi" w:hAnsiTheme="minorHAnsi" w:cstheme="minorHAnsi"/>
          <w:color w:val="171717"/>
          <w:szCs w:val="24"/>
        </w:rPr>
        <w:t xml:space="preserve">+ 44 (0)1223 </w:t>
      </w:r>
      <w:r w:rsidR="00F55C00" w:rsidRPr="007A7515">
        <w:rPr>
          <w:rFonts w:asciiTheme="minorHAnsi" w:hAnsiTheme="minorHAnsi" w:cstheme="minorHAnsi"/>
          <w:color w:val="171717"/>
          <w:szCs w:val="24"/>
        </w:rPr>
        <w:t>7</w:t>
      </w:r>
      <w:r w:rsidRPr="007A7515">
        <w:rPr>
          <w:rFonts w:asciiTheme="minorHAnsi" w:hAnsiTheme="minorHAnsi" w:cstheme="minorHAnsi"/>
          <w:color w:val="171717"/>
          <w:szCs w:val="24"/>
        </w:rPr>
        <w:t>4643</w:t>
      </w:r>
      <w:r w:rsidR="00F55C00" w:rsidRPr="007A7515">
        <w:rPr>
          <w:rFonts w:asciiTheme="minorHAnsi" w:hAnsiTheme="minorHAnsi" w:cstheme="minorHAnsi"/>
          <w:color w:val="171717"/>
          <w:szCs w:val="24"/>
        </w:rPr>
        <w:t>9</w:t>
      </w:r>
    </w:p>
    <w:p w14:paraId="3688F982" w14:textId="6758EBB4" w:rsidR="00DF5F9F" w:rsidRPr="007A7515" w:rsidRDefault="00DF5F9F" w:rsidP="00C0772F">
      <w:pPr>
        <w:pStyle w:val="NoSpacing"/>
        <w:rPr>
          <w:rFonts w:asciiTheme="minorHAnsi" w:hAnsiTheme="minorHAnsi" w:cstheme="minorHAnsi"/>
          <w:szCs w:val="24"/>
          <w:lang w:eastAsia="en-GB"/>
        </w:rPr>
      </w:pPr>
    </w:p>
    <w:p w14:paraId="141B6601" w14:textId="77777777" w:rsidR="004A1585" w:rsidRPr="007D6C2A" w:rsidRDefault="004A1585" w:rsidP="004A1585">
      <w:pPr>
        <w:pStyle w:val="NoSpacing"/>
        <w:rPr>
          <w:b/>
          <w:lang w:eastAsia="en-GB"/>
        </w:rPr>
      </w:pPr>
      <w:r w:rsidRPr="007D6C2A">
        <w:rPr>
          <w:b/>
          <w:lang w:eastAsia="en-GB"/>
        </w:rPr>
        <w:t xml:space="preserve">SPUTNIK investigators: </w:t>
      </w:r>
    </w:p>
    <w:p w14:paraId="7A24E896" w14:textId="77777777" w:rsidR="004A1585" w:rsidRDefault="004A1585" w:rsidP="004A1585">
      <w:pPr>
        <w:pStyle w:val="NoSpacing"/>
        <w:rPr>
          <w:rFonts w:ascii="Arial" w:hAnsi="Arial" w:cs="Arial"/>
          <w:sz w:val="20"/>
          <w:szCs w:val="20"/>
          <w:lang w:eastAsia="en-GB"/>
        </w:rPr>
      </w:pPr>
    </w:p>
    <w:p w14:paraId="74FBB37B" w14:textId="77777777" w:rsidR="004A1585" w:rsidRPr="008D3AD2" w:rsidRDefault="004A1585" w:rsidP="004A1585">
      <w:pPr>
        <w:pStyle w:val="NoSpacing"/>
        <w:rPr>
          <w:rFonts w:asciiTheme="majorHAnsi" w:hAnsiTheme="majorHAnsi" w:cstheme="majorHAnsi"/>
          <w:sz w:val="22"/>
          <w:lang w:eastAsia="en-GB"/>
        </w:rPr>
      </w:pPr>
      <w:proofErr w:type="spellStart"/>
      <w:r w:rsidRPr="008D3AD2">
        <w:rPr>
          <w:rFonts w:asciiTheme="majorHAnsi" w:hAnsiTheme="majorHAnsi" w:cstheme="majorHAnsi"/>
          <w:sz w:val="22"/>
        </w:rPr>
        <w:t>Anindo</w:t>
      </w:r>
      <w:proofErr w:type="spellEnd"/>
      <w:r w:rsidRPr="008D3AD2">
        <w:rPr>
          <w:rFonts w:asciiTheme="majorHAnsi" w:hAnsiTheme="majorHAnsi" w:cstheme="majorHAnsi"/>
          <w:sz w:val="22"/>
        </w:rPr>
        <w:t xml:space="preserve"> Banerjee,</w:t>
      </w:r>
      <w:r w:rsidRPr="008D3AD2">
        <w:rPr>
          <w:rFonts w:asciiTheme="majorHAnsi" w:eastAsiaTheme="minorEastAsia" w:hAnsiTheme="majorHAnsi" w:cstheme="majorHAnsi"/>
          <w:sz w:val="22"/>
          <w:lang w:eastAsia="zh-CN"/>
        </w:rPr>
        <w:t xml:space="preserve"> Lucy Brindle, </w:t>
      </w:r>
      <w:r w:rsidRPr="008D3AD2">
        <w:rPr>
          <w:rFonts w:asciiTheme="majorHAnsi" w:eastAsiaTheme="minorEastAsia" w:hAnsiTheme="majorHAnsi" w:cstheme="majorHAnsi"/>
          <w:sz w:val="22"/>
        </w:rPr>
        <w:t xml:space="preserve">Matthew Callister, </w:t>
      </w:r>
      <w:r w:rsidRPr="008D3AD2">
        <w:rPr>
          <w:rFonts w:asciiTheme="majorHAnsi" w:eastAsiaTheme="minorEastAsia" w:hAnsiTheme="majorHAnsi" w:cstheme="majorHAnsi"/>
          <w:sz w:val="22"/>
          <w:lang w:eastAsia="zh-CN"/>
        </w:rPr>
        <w:t xml:space="preserve">Andrew Clegg, Andrew Cook, Kelly Cozens, </w:t>
      </w:r>
      <w:r w:rsidRPr="008D3AD2">
        <w:rPr>
          <w:rFonts w:asciiTheme="majorHAnsi" w:eastAsiaTheme="minorEastAsia" w:hAnsiTheme="majorHAnsi" w:cstheme="majorHAnsi"/>
          <w:sz w:val="22"/>
        </w:rPr>
        <w:t xml:space="preserve">Philip Crosbie, </w:t>
      </w:r>
      <w:r w:rsidRPr="008D3AD2">
        <w:rPr>
          <w:rFonts w:asciiTheme="majorHAnsi" w:eastAsiaTheme="minorEastAsia" w:hAnsiTheme="majorHAnsi" w:cstheme="majorHAnsi"/>
          <w:sz w:val="22"/>
          <w:lang w:eastAsia="zh-CN"/>
        </w:rPr>
        <w:t xml:space="preserve">Sabina </w:t>
      </w:r>
      <w:proofErr w:type="spellStart"/>
      <w:r w:rsidRPr="008D3AD2">
        <w:rPr>
          <w:rFonts w:asciiTheme="majorHAnsi" w:eastAsiaTheme="minorEastAsia" w:hAnsiTheme="majorHAnsi" w:cstheme="majorHAnsi"/>
          <w:sz w:val="22"/>
          <w:lang w:eastAsia="zh-CN"/>
        </w:rPr>
        <w:t>Dizdarevic</w:t>
      </w:r>
      <w:proofErr w:type="spellEnd"/>
      <w:r w:rsidRPr="008D3AD2">
        <w:rPr>
          <w:rFonts w:asciiTheme="majorHAnsi" w:eastAsiaTheme="minorEastAsia" w:hAnsiTheme="majorHAnsi" w:cstheme="majorHAnsi"/>
          <w:sz w:val="22"/>
          <w:lang w:eastAsia="zh-CN"/>
        </w:rPr>
        <w:t xml:space="preserve">, Rosemary Eaton, Kathrin </w:t>
      </w:r>
      <w:proofErr w:type="spellStart"/>
      <w:r w:rsidRPr="008D3AD2">
        <w:rPr>
          <w:rFonts w:asciiTheme="majorHAnsi" w:eastAsiaTheme="minorEastAsia" w:hAnsiTheme="majorHAnsi" w:cstheme="majorHAnsi"/>
          <w:sz w:val="22"/>
          <w:lang w:eastAsia="zh-CN"/>
        </w:rPr>
        <w:t>Eichhorst</w:t>
      </w:r>
      <w:proofErr w:type="spellEnd"/>
      <w:r w:rsidRPr="008D3AD2">
        <w:rPr>
          <w:rFonts w:asciiTheme="majorHAnsi" w:eastAsiaTheme="minorEastAsia" w:hAnsiTheme="majorHAnsi" w:cstheme="majorHAnsi"/>
          <w:sz w:val="22"/>
          <w:lang w:eastAsia="zh-CN"/>
        </w:rPr>
        <w:t xml:space="preserve">,  </w:t>
      </w:r>
      <w:r w:rsidRPr="008D3AD2">
        <w:rPr>
          <w:rFonts w:asciiTheme="majorHAnsi" w:eastAsiaTheme="minorEastAsia" w:hAnsiTheme="majorHAnsi" w:cstheme="majorHAnsi"/>
          <w:sz w:val="22"/>
        </w:rPr>
        <w:t xml:space="preserve">Anthony Frew, </w:t>
      </w:r>
      <w:r w:rsidRPr="008D3AD2">
        <w:rPr>
          <w:rFonts w:asciiTheme="majorHAnsi" w:hAnsiTheme="majorHAnsi" w:cstheme="majorHAnsi"/>
          <w:sz w:val="22"/>
        </w:rPr>
        <w:t>Ashley Groves,</w:t>
      </w:r>
      <w:r w:rsidRPr="008D3AD2">
        <w:rPr>
          <w:rFonts w:asciiTheme="majorHAnsi" w:eastAsiaTheme="minorEastAsia" w:hAnsiTheme="majorHAnsi" w:cstheme="majorHAnsi"/>
          <w:sz w:val="22"/>
        </w:rPr>
        <w:t xml:space="preserve"> </w:t>
      </w:r>
      <w:r w:rsidRPr="008D3AD2">
        <w:rPr>
          <w:rFonts w:asciiTheme="majorHAnsi" w:hAnsiTheme="majorHAnsi" w:cstheme="majorHAnsi"/>
          <w:sz w:val="22"/>
        </w:rPr>
        <w:t xml:space="preserve">Sai Han, </w:t>
      </w:r>
      <w:r w:rsidRPr="008D3AD2">
        <w:rPr>
          <w:rFonts w:asciiTheme="majorHAnsi" w:eastAsiaTheme="minorEastAsia" w:hAnsiTheme="majorHAnsi" w:cstheme="majorHAnsi"/>
          <w:sz w:val="22"/>
          <w:lang w:eastAsia="zh-CN"/>
        </w:rPr>
        <w:t xml:space="preserve">Jeremy Jones, </w:t>
      </w:r>
      <w:proofErr w:type="spellStart"/>
      <w:r w:rsidRPr="008D3AD2">
        <w:rPr>
          <w:rFonts w:asciiTheme="majorHAnsi" w:hAnsiTheme="majorHAnsi" w:cstheme="majorHAnsi"/>
          <w:sz w:val="22"/>
        </w:rPr>
        <w:t>Osie</w:t>
      </w:r>
      <w:proofErr w:type="spellEnd"/>
      <w:r w:rsidRPr="008D3AD2">
        <w:rPr>
          <w:rFonts w:asciiTheme="majorHAnsi" w:eastAsiaTheme="minorEastAsia" w:hAnsiTheme="majorHAnsi" w:cstheme="majorHAnsi"/>
          <w:sz w:val="22"/>
        </w:rPr>
        <w:t xml:space="preserve"> </w:t>
      </w:r>
      <w:proofErr w:type="spellStart"/>
      <w:r w:rsidRPr="008D3AD2">
        <w:rPr>
          <w:rFonts w:asciiTheme="majorHAnsi" w:eastAsiaTheme="minorEastAsia" w:hAnsiTheme="majorHAnsi" w:cstheme="majorHAnsi"/>
          <w:sz w:val="22"/>
        </w:rPr>
        <w:t>Kankam</w:t>
      </w:r>
      <w:proofErr w:type="spellEnd"/>
      <w:r w:rsidRPr="008D3AD2">
        <w:rPr>
          <w:rFonts w:asciiTheme="majorHAnsi" w:eastAsiaTheme="minorEastAsia" w:hAnsiTheme="majorHAnsi" w:cstheme="majorHAnsi"/>
          <w:sz w:val="22"/>
        </w:rPr>
        <w:t xml:space="preserve">, </w:t>
      </w:r>
      <w:proofErr w:type="spellStart"/>
      <w:r w:rsidRPr="008D3AD2">
        <w:rPr>
          <w:rFonts w:asciiTheme="majorHAnsi" w:hAnsiTheme="majorHAnsi" w:cstheme="majorHAnsi"/>
          <w:sz w:val="22"/>
        </w:rPr>
        <w:t>Kavitasagary</w:t>
      </w:r>
      <w:proofErr w:type="spellEnd"/>
      <w:r w:rsidRPr="008D3AD2">
        <w:rPr>
          <w:rFonts w:asciiTheme="majorHAnsi" w:eastAsiaTheme="minorEastAsia" w:hAnsiTheme="majorHAnsi" w:cstheme="majorHAnsi"/>
          <w:sz w:val="22"/>
        </w:rPr>
        <w:t xml:space="preserve"> </w:t>
      </w:r>
      <w:proofErr w:type="spellStart"/>
      <w:r w:rsidRPr="008D3AD2">
        <w:rPr>
          <w:rFonts w:asciiTheme="majorHAnsi" w:eastAsiaTheme="minorEastAsia" w:hAnsiTheme="majorHAnsi" w:cstheme="majorHAnsi"/>
          <w:sz w:val="22"/>
        </w:rPr>
        <w:t>Karunasaagarar</w:t>
      </w:r>
      <w:proofErr w:type="spellEnd"/>
      <w:r w:rsidRPr="008D3AD2">
        <w:rPr>
          <w:rFonts w:asciiTheme="majorHAnsi" w:eastAsiaTheme="minorEastAsia" w:hAnsiTheme="majorHAnsi" w:cstheme="majorHAnsi"/>
          <w:sz w:val="22"/>
        </w:rPr>
        <w:t xml:space="preserve">, Lutfi </w:t>
      </w:r>
      <w:proofErr w:type="spellStart"/>
      <w:r w:rsidRPr="008D3AD2">
        <w:rPr>
          <w:rFonts w:asciiTheme="majorHAnsi" w:eastAsiaTheme="minorEastAsia" w:hAnsiTheme="majorHAnsi" w:cstheme="majorHAnsi"/>
          <w:sz w:val="22"/>
        </w:rPr>
        <w:t>Kurban</w:t>
      </w:r>
      <w:proofErr w:type="spellEnd"/>
      <w:r w:rsidRPr="008D3AD2">
        <w:rPr>
          <w:rFonts w:asciiTheme="majorHAnsi" w:eastAsiaTheme="minorEastAsia" w:hAnsiTheme="majorHAnsi" w:cstheme="majorHAnsi"/>
          <w:sz w:val="22"/>
        </w:rPr>
        <w:t xml:space="preserve">, </w:t>
      </w:r>
      <w:r w:rsidRPr="008D3AD2">
        <w:rPr>
          <w:rFonts w:asciiTheme="majorHAnsi" w:eastAsiaTheme="minorEastAsia" w:hAnsiTheme="majorHAnsi" w:cstheme="majorHAnsi"/>
          <w:sz w:val="22"/>
          <w:lang w:eastAsia="zh-CN"/>
        </w:rPr>
        <w:t xml:space="preserve">Louisa </w:t>
      </w:r>
      <w:r w:rsidRPr="008D3AD2">
        <w:rPr>
          <w:rFonts w:asciiTheme="majorHAnsi" w:eastAsiaTheme="minorEastAsia" w:hAnsiTheme="majorHAnsi" w:cstheme="majorHAnsi"/>
          <w:sz w:val="22"/>
          <w:lang w:eastAsia="zh-CN"/>
        </w:rPr>
        <w:lastRenderedPageBreak/>
        <w:t xml:space="preserve">Little, Jackie Madden, </w:t>
      </w:r>
      <w:r>
        <w:rPr>
          <w:rFonts w:asciiTheme="majorHAnsi" w:eastAsiaTheme="minorEastAsia" w:hAnsiTheme="majorHAnsi" w:cstheme="majorHAnsi"/>
          <w:sz w:val="22"/>
          <w:lang w:eastAsia="zh-CN"/>
        </w:rPr>
        <w:t>Chris</w:t>
      </w:r>
      <w:r w:rsidRPr="008D3AD2">
        <w:rPr>
          <w:rFonts w:asciiTheme="majorHAnsi" w:eastAsiaTheme="minorEastAsia" w:hAnsiTheme="majorHAnsi" w:cstheme="majorHAnsi"/>
          <w:sz w:val="22"/>
          <w:lang w:eastAsia="zh-CN"/>
        </w:rPr>
        <w:t xml:space="preserve"> McClement, </w:t>
      </w:r>
      <w:r w:rsidRPr="008D3AD2">
        <w:rPr>
          <w:rFonts w:asciiTheme="majorHAnsi" w:eastAsiaTheme="minorEastAsia" w:hAnsiTheme="majorHAnsi" w:cstheme="majorHAnsi"/>
          <w:sz w:val="22"/>
        </w:rPr>
        <w:t xml:space="preserve"> </w:t>
      </w:r>
      <w:r w:rsidRPr="008D3AD2">
        <w:rPr>
          <w:rFonts w:asciiTheme="majorHAnsi" w:hAnsiTheme="majorHAnsi" w:cstheme="majorHAnsi"/>
          <w:sz w:val="22"/>
        </w:rPr>
        <w:t xml:space="preserve">Ken Miles, </w:t>
      </w:r>
      <w:r w:rsidRPr="008D3AD2">
        <w:rPr>
          <w:rFonts w:asciiTheme="majorHAnsi" w:eastAsiaTheme="minorEastAsia" w:hAnsiTheme="majorHAnsi" w:cstheme="majorHAnsi"/>
          <w:sz w:val="22"/>
          <w:lang w:eastAsia="zh-CN"/>
        </w:rPr>
        <w:t xml:space="preserve">Patricia </w:t>
      </w:r>
      <w:proofErr w:type="spellStart"/>
      <w:r w:rsidRPr="008D3AD2">
        <w:rPr>
          <w:rFonts w:asciiTheme="majorHAnsi" w:eastAsiaTheme="minorEastAsia" w:hAnsiTheme="majorHAnsi" w:cstheme="majorHAnsi"/>
          <w:sz w:val="22"/>
          <w:lang w:eastAsia="zh-CN"/>
        </w:rPr>
        <w:t>Moate</w:t>
      </w:r>
      <w:proofErr w:type="spellEnd"/>
      <w:r w:rsidRPr="008D3AD2">
        <w:rPr>
          <w:rFonts w:asciiTheme="majorHAnsi" w:eastAsiaTheme="minorEastAsia" w:hAnsiTheme="majorHAnsi" w:cstheme="majorHAnsi"/>
          <w:sz w:val="22"/>
          <w:lang w:eastAsia="zh-CN"/>
        </w:rPr>
        <w:t xml:space="preserve">, </w:t>
      </w:r>
      <w:r w:rsidRPr="008D3AD2">
        <w:rPr>
          <w:rFonts w:asciiTheme="majorHAnsi" w:eastAsiaTheme="minorEastAsia" w:hAnsiTheme="majorHAnsi" w:cstheme="majorHAnsi"/>
          <w:sz w:val="22"/>
        </w:rPr>
        <w:t>Charles Peebles,</w:t>
      </w:r>
      <w:r w:rsidRPr="008D3AD2">
        <w:rPr>
          <w:rFonts w:asciiTheme="majorHAnsi" w:eastAsiaTheme="minorEastAsia" w:hAnsiTheme="majorHAnsi" w:cstheme="majorHAnsi"/>
          <w:sz w:val="22"/>
          <w:lang w:eastAsia="zh-CN"/>
        </w:rPr>
        <w:t xml:space="preserve"> Lucy Pike, </w:t>
      </w:r>
      <w:r w:rsidRPr="008D3AD2">
        <w:rPr>
          <w:rFonts w:asciiTheme="majorHAnsi" w:hAnsiTheme="majorHAnsi" w:cstheme="majorHAnsi"/>
          <w:sz w:val="22"/>
        </w:rPr>
        <w:t>Fat-</w:t>
      </w:r>
      <w:proofErr w:type="spellStart"/>
      <w:r w:rsidRPr="008D3AD2">
        <w:rPr>
          <w:rFonts w:asciiTheme="majorHAnsi" w:hAnsiTheme="majorHAnsi" w:cstheme="majorHAnsi"/>
          <w:sz w:val="22"/>
        </w:rPr>
        <w:t>Wui</w:t>
      </w:r>
      <w:proofErr w:type="spellEnd"/>
      <w:r w:rsidRPr="008D3AD2">
        <w:rPr>
          <w:rFonts w:asciiTheme="majorHAnsi" w:hAnsiTheme="majorHAnsi" w:cstheme="majorHAnsi"/>
          <w:sz w:val="22"/>
        </w:rPr>
        <w:t xml:space="preserve"> Poon, </w:t>
      </w:r>
      <w:r w:rsidRPr="008D3AD2">
        <w:rPr>
          <w:rFonts w:asciiTheme="majorHAnsi" w:eastAsiaTheme="minorEastAsia" w:hAnsiTheme="majorHAnsi" w:cstheme="majorHAnsi"/>
          <w:sz w:val="22"/>
          <w:lang w:eastAsia="zh-CN"/>
        </w:rPr>
        <w:t>Donald Sinclair, Andrew Shah, Luke Vale</w:t>
      </w:r>
      <w:r w:rsidRPr="008D3AD2">
        <w:rPr>
          <w:rFonts w:asciiTheme="majorHAnsi" w:hAnsiTheme="majorHAnsi" w:cstheme="majorHAnsi"/>
          <w:sz w:val="22"/>
        </w:rPr>
        <w:t xml:space="preserve">, Steve George, </w:t>
      </w:r>
      <w:r w:rsidRPr="008D3AD2">
        <w:rPr>
          <w:rFonts w:asciiTheme="majorHAnsi" w:hAnsiTheme="majorHAnsi" w:cstheme="majorHAnsi"/>
          <w:color w:val="000000"/>
          <w:sz w:val="22"/>
          <w:shd w:val="clear" w:color="auto" w:fill="FFFFFF"/>
        </w:rPr>
        <w:t xml:space="preserve">Richard Riley, Andrea Lodge, John </w:t>
      </w:r>
      <w:proofErr w:type="spellStart"/>
      <w:r w:rsidRPr="008D3AD2">
        <w:rPr>
          <w:rFonts w:asciiTheme="majorHAnsi" w:hAnsiTheme="majorHAnsi" w:cstheme="majorHAnsi"/>
          <w:color w:val="000000"/>
          <w:sz w:val="22"/>
          <w:shd w:val="clear" w:color="auto" w:fill="FFFFFF"/>
        </w:rPr>
        <w:t>Buscombe</w:t>
      </w:r>
      <w:proofErr w:type="spellEnd"/>
      <w:r w:rsidRPr="008D3AD2">
        <w:rPr>
          <w:rFonts w:asciiTheme="majorHAnsi" w:hAnsiTheme="majorHAnsi" w:cstheme="majorHAnsi"/>
          <w:color w:val="000000"/>
          <w:sz w:val="22"/>
          <w:shd w:val="clear" w:color="auto" w:fill="FFFFFF"/>
        </w:rPr>
        <w:t xml:space="preserve">, Theresa Green, Amanda Stone, Neal </w:t>
      </w:r>
      <w:proofErr w:type="spellStart"/>
      <w:r w:rsidRPr="008D3AD2">
        <w:rPr>
          <w:rFonts w:asciiTheme="majorHAnsi" w:hAnsiTheme="majorHAnsi" w:cstheme="majorHAnsi"/>
          <w:color w:val="000000"/>
          <w:sz w:val="22"/>
          <w:shd w:val="clear" w:color="auto" w:fill="FFFFFF"/>
        </w:rPr>
        <w:t>Navani</w:t>
      </w:r>
      <w:proofErr w:type="spellEnd"/>
      <w:r w:rsidRPr="008D3AD2">
        <w:rPr>
          <w:rFonts w:asciiTheme="majorHAnsi" w:hAnsiTheme="majorHAnsi" w:cstheme="majorHAnsi"/>
          <w:color w:val="000000"/>
          <w:sz w:val="22"/>
          <w:shd w:val="clear" w:color="auto" w:fill="FFFFFF"/>
        </w:rPr>
        <w:t xml:space="preserve">, Robert </w:t>
      </w:r>
      <w:proofErr w:type="spellStart"/>
      <w:r w:rsidRPr="008D3AD2">
        <w:rPr>
          <w:rFonts w:asciiTheme="majorHAnsi" w:hAnsiTheme="majorHAnsi" w:cstheme="majorHAnsi"/>
          <w:color w:val="000000"/>
          <w:sz w:val="22"/>
          <w:shd w:val="clear" w:color="auto" w:fill="FFFFFF"/>
        </w:rPr>
        <w:t>Shortman</w:t>
      </w:r>
      <w:proofErr w:type="spellEnd"/>
      <w:r w:rsidRPr="008D3AD2">
        <w:rPr>
          <w:rFonts w:asciiTheme="majorHAnsi" w:hAnsiTheme="majorHAnsi" w:cstheme="majorHAnsi"/>
          <w:color w:val="000000"/>
          <w:sz w:val="22"/>
          <w:shd w:val="clear" w:color="auto" w:fill="FFFFFF"/>
        </w:rPr>
        <w:t xml:space="preserve">, Gabriella Azzopardi, Sarah </w:t>
      </w:r>
      <w:proofErr w:type="spellStart"/>
      <w:r w:rsidRPr="008D3AD2">
        <w:rPr>
          <w:rFonts w:asciiTheme="majorHAnsi" w:hAnsiTheme="majorHAnsi" w:cstheme="majorHAnsi"/>
          <w:color w:val="000000"/>
          <w:sz w:val="22"/>
          <w:shd w:val="clear" w:color="auto" w:fill="FFFFFF"/>
        </w:rPr>
        <w:t>Doffman</w:t>
      </w:r>
      <w:proofErr w:type="spellEnd"/>
      <w:r w:rsidRPr="008D3AD2">
        <w:rPr>
          <w:rFonts w:asciiTheme="majorHAnsi" w:hAnsiTheme="majorHAnsi" w:cstheme="majorHAnsi"/>
          <w:color w:val="000000"/>
          <w:sz w:val="22"/>
          <w:shd w:val="clear" w:color="auto" w:fill="FFFFFF"/>
        </w:rPr>
        <w:t xml:space="preserve">, Janice Bush, Jane </w:t>
      </w:r>
      <w:proofErr w:type="spellStart"/>
      <w:r w:rsidRPr="008D3AD2">
        <w:rPr>
          <w:rFonts w:asciiTheme="majorHAnsi" w:hAnsiTheme="majorHAnsi" w:cstheme="majorHAnsi"/>
          <w:color w:val="000000"/>
          <w:sz w:val="22"/>
          <w:shd w:val="clear" w:color="auto" w:fill="FFFFFF"/>
        </w:rPr>
        <w:t>Lyttle</w:t>
      </w:r>
      <w:proofErr w:type="spellEnd"/>
      <w:r w:rsidRPr="008D3AD2">
        <w:rPr>
          <w:rFonts w:asciiTheme="majorHAnsi" w:hAnsiTheme="majorHAnsi" w:cstheme="majorHAnsi"/>
          <w:color w:val="000000"/>
          <w:sz w:val="22"/>
          <w:shd w:val="clear" w:color="auto" w:fill="FFFFFF"/>
        </w:rPr>
        <w:t xml:space="preserve">, Kenneth Jacob, Joris van der Horst, Joseph </w:t>
      </w:r>
      <w:proofErr w:type="spellStart"/>
      <w:r w:rsidRPr="008D3AD2">
        <w:rPr>
          <w:rFonts w:asciiTheme="majorHAnsi" w:hAnsiTheme="majorHAnsi" w:cstheme="majorHAnsi"/>
          <w:color w:val="000000"/>
          <w:sz w:val="22"/>
          <w:shd w:val="clear" w:color="auto" w:fill="FFFFFF"/>
        </w:rPr>
        <w:t>Sarvesvaran</w:t>
      </w:r>
      <w:proofErr w:type="spellEnd"/>
      <w:r w:rsidRPr="008D3AD2">
        <w:rPr>
          <w:rFonts w:asciiTheme="majorHAnsi" w:hAnsiTheme="majorHAnsi" w:cstheme="majorHAnsi"/>
          <w:color w:val="000000"/>
          <w:sz w:val="22"/>
          <w:shd w:val="clear" w:color="auto" w:fill="FFFFFF"/>
        </w:rPr>
        <w:t xml:space="preserve">, Barbara McLaren, Lesley </w:t>
      </w:r>
      <w:proofErr w:type="spellStart"/>
      <w:r w:rsidRPr="008D3AD2">
        <w:rPr>
          <w:rFonts w:asciiTheme="majorHAnsi" w:hAnsiTheme="majorHAnsi" w:cstheme="majorHAnsi"/>
          <w:color w:val="000000"/>
          <w:sz w:val="22"/>
          <w:shd w:val="clear" w:color="auto" w:fill="FFFFFF"/>
        </w:rPr>
        <w:t>Gomersall</w:t>
      </w:r>
      <w:proofErr w:type="spellEnd"/>
      <w:r w:rsidRPr="008D3AD2">
        <w:rPr>
          <w:rFonts w:asciiTheme="majorHAnsi" w:hAnsiTheme="majorHAnsi" w:cstheme="majorHAnsi"/>
          <w:color w:val="000000"/>
          <w:sz w:val="22"/>
          <w:shd w:val="clear" w:color="auto" w:fill="FFFFFF"/>
        </w:rPr>
        <w:t xml:space="preserve">, Ravi Sharma, Kathleen Collie, Steve </w:t>
      </w:r>
      <w:proofErr w:type="spellStart"/>
      <w:r w:rsidRPr="008D3AD2">
        <w:rPr>
          <w:rFonts w:asciiTheme="majorHAnsi" w:hAnsiTheme="majorHAnsi" w:cstheme="majorHAnsi"/>
          <w:color w:val="000000"/>
          <w:sz w:val="22"/>
          <w:shd w:val="clear" w:color="auto" w:fill="FFFFFF"/>
        </w:rPr>
        <w:t>O'Hickey</w:t>
      </w:r>
      <w:proofErr w:type="spellEnd"/>
      <w:r w:rsidRPr="008D3AD2">
        <w:rPr>
          <w:rFonts w:asciiTheme="majorHAnsi" w:hAnsiTheme="majorHAnsi" w:cstheme="majorHAnsi"/>
          <w:color w:val="000000"/>
          <w:sz w:val="22"/>
          <w:shd w:val="clear" w:color="auto" w:fill="FFFFFF"/>
        </w:rPr>
        <w:t xml:space="preserve">, Jayne Tyler, Sue King, John O'Brien, Rajiv Srivastava, Hugh Lloyd-Jones, Sandra Beech, Andrew </w:t>
      </w:r>
      <w:proofErr w:type="spellStart"/>
      <w:r w:rsidRPr="008D3AD2">
        <w:rPr>
          <w:rFonts w:asciiTheme="majorHAnsi" w:hAnsiTheme="majorHAnsi" w:cstheme="majorHAnsi"/>
          <w:color w:val="000000"/>
          <w:sz w:val="22"/>
          <w:shd w:val="clear" w:color="auto" w:fill="FFFFFF"/>
        </w:rPr>
        <w:t>Scarsbrook</w:t>
      </w:r>
      <w:proofErr w:type="spellEnd"/>
      <w:r w:rsidRPr="008D3AD2">
        <w:rPr>
          <w:rFonts w:asciiTheme="majorHAnsi" w:hAnsiTheme="majorHAnsi" w:cstheme="majorHAnsi"/>
          <w:color w:val="000000"/>
          <w:sz w:val="22"/>
          <w:shd w:val="clear" w:color="auto" w:fill="FFFFFF"/>
        </w:rPr>
        <w:t xml:space="preserve">, Victoria Ashford-Turner, Elaine Smith, Susan </w:t>
      </w:r>
      <w:proofErr w:type="spellStart"/>
      <w:r w:rsidRPr="008D3AD2">
        <w:rPr>
          <w:rFonts w:asciiTheme="majorHAnsi" w:hAnsiTheme="majorHAnsi" w:cstheme="majorHAnsi"/>
          <w:color w:val="000000"/>
          <w:sz w:val="22"/>
          <w:shd w:val="clear" w:color="auto" w:fill="FFFFFF"/>
        </w:rPr>
        <w:t>Mbale</w:t>
      </w:r>
      <w:proofErr w:type="spellEnd"/>
      <w:r w:rsidRPr="008D3AD2">
        <w:rPr>
          <w:rFonts w:asciiTheme="majorHAnsi" w:hAnsiTheme="majorHAnsi" w:cstheme="majorHAnsi"/>
          <w:color w:val="000000"/>
          <w:sz w:val="22"/>
          <w:shd w:val="clear" w:color="auto" w:fill="FFFFFF"/>
        </w:rPr>
        <w:t>, Nick Adams, and Gail Pottinger</w:t>
      </w:r>
      <w:r w:rsidRPr="008D3AD2">
        <w:rPr>
          <w:rFonts w:asciiTheme="majorHAnsi" w:hAnsiTheme="majorHAnsi" w:cstheme="majorHAnsi"/>
          <w:sz w:val="22"/>
          <w:lang w:eastAsia="en-GB"/>
        </w:rPr>
        <w:t xml:space="preserve"> </w:t>
      </w:r>
    </w:p>
    <w:p w14:paraId="02DED600" w14:textId="77777777" w:rsidR="004A1585" w:rsidRDefault="004A1585" w:rsidP="00DF5F9F">
      <w:pPr>
        <w:pStyle w:val="NoSpacing"/>
        <w:rPr>
          <w:rFonts w:asciiTheme="minorHAnsi" w:hAnsiTheme="minorHAnsi" w:cstheme="minorHAnsi"/>
          <w:b/>
          <w:bCs/>
          <w:szCs w:val="24"/>
          <w:lang w:eastAsia="en-GB"/>
        </w:rPr>
      </w:pPr>
    </w:p>
    <w:p w14:paraId="3D738754" w14:textId="77777777" w:rsidR="004A1585" w:rsidRDefault="004A1585" w:rsidP="00DF5F9F">
      <w:pPr>
        <w:pStyle w:val="NoSpacing"/>
        <w:rPr>
          <w:rFonts w:asciiTheme="minorHAnsi" w:hAnsiTheme="minorHAnsi" w:cstheme="minorHAnsi"/>
          <w:b/>
          <w:bCs/>
          <w:szCs w:val="24"/>
          <w:lang w:eastAsia="en-GB"/>
        </w:rPr>
      </w:pPr>
    </w:p>
    <w:p w14:paraId="430D0C9C" w14:textId="39C45EBF" w:rsidR="00517FB4" w:rsidRPr="007A7515" w:rsidRDefault="00DF5F9F" w:rsidP="00DF5F9F">
      <w:pPr>
        <w:pStyle w:val="NoSpacing"/>
        <w:rPr>
          <w:rFonts w:asciiTheme="minorHAnsi" w:hAnsiTheme="minorHAnsi" w:cstheme="minorHAnsi"/>
          <w:szCs w:val="24"/>
          <w:lang w:eastAsia="en-GB"/>
        </w:rPr>
      </w:pPr>
      <w:r w:rsidRPr="007A7515">
        <w:rPr>
          <w:rFonts w:asciiTheme="minorHAnsi" w:hAnsiTheme="minorHAnsi" w:cstheme="minorHAnsi"/>
          <w:b/>
          <w:bCs/>
          <w:szCs w:val="24"/>
          <w:lang w:eastAsia="en-GB"/>
        </w:rPr>
        <w:t>Declared competing interests of authors</w:t>
      </w:r>
      <w:r w:rsidRPr="007A7515">
        <w:rPr>
          <w:rFonts w:asciiTheme="minorHAnsi" w:hAnsiTheme="minorHAnsi" w:cstheme="minorHAnsi"/>
          <w:szCs w:val="24"/>
          <w:lang w:eastAsia="en-GB"/>
        </w:rPr>
        <w:t>:</w:t>
      </w:r>
    </w:p>
    <w:p w14:paraId="57655D8E" w14:textId="047FE205" w:rsidR="00457FA3" w:rsidRPr="007A7515" w:rsidRDefault="00D64101" w:rsidP="00DF5F9F">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The authors have no competing interests to declare</w:t>
      </w:r>
    </w:p>
    <w:p w14:paraId="5BD9D3C8" w14:textId="77777777" w:rsidR="004A1585" w:rsidRPr="007A7515" w:rsidRDefault="004A1585" w:rsidP="004C1A79">
      <w:pPr>
        <w:pStyle w:val="NoSpacing"/>
        <w:rPr>
          <w:rFonts w:asciiTheme="minorHAnsi" w:hAnsiTheme="minorHAnsi" w:cstheme="minorHAnsi"/>
          <w:bCs/>
          <w:szCs w:val="24"/>
          <w:lang w:eastAsia="en-GB"/>
        </w:rPr>
      </w:pPr>
    </w:p>
    <w:p w14:paraId="57447D5D" w14:textId="2BAEA19F" w:rsidR="005273F4" w:rsidRPr="007A7515" w:rsidRDefault="00126987" w:rsidP="00DF5F9F">
      <w:pPr>
        <w:pStyle w:val="NoSpacing"/>
        <w:rPr>
          <w:rFonts w:asciiTheme="minorHAnsi" w:hAnsiTheme="minorHAnsi" w:cstheme="minorHAnsi"/>
          <w:b/>
          <w:bCs/>
          <w:szCs w:val="24"/>
          <w:lang w:eastAsia="en-GB"/>
        </w:rPr>
      </w:pPr>
      <w:r w:rsidRPr="007A7515">
        <w:rPr>
          <w:rFonts w:asciiTheme="minorHAnsi" w:hAnsiTheme="minorHAnsi" w:cstheme="minorHAnsi"/>
          <w:b/>
          <w:bCs/>
          <w:szCs w:val="24"/>
          <w:lang w:eastAsia="en-GB"/>
        </w:rPr>
        <w:t>W</w:t>
      </w:r>
      <w:r w:rsidR="00D50B93" w:rsidRPr="007A7515">
        <w:rPr>
          <w:rFonts w:asciiTheme="minorHAnsi" w:hAnsiTheme="minorHAnsi" w:cstheme="minorHAnsi"/>
          <w:b/>
          <w:bCs/>
          <w:szCs w:val="24"/>
          <w:lang w:eastAsia="en-GB"/>
        </w:rPr>
        <w:t>ord count:</w:t>
      </w:r>
    </w:p>
    <w:p w14:paraId="73EA3B44" w14:textId="4EB56E53" w:rsidR="00D50B93" w:rsidRPr="007A7515" w:rsidRDefault="00ED68E1" w:rsidP="00DF5F9F">
      <w:pPr>
        <w:pStyle w:val="NoSpacing"/>
        <w:rPr>
          <w:rFonts w:asciiTheme="minorHAnsi" w:hAnsiTheme="minorHAnsi" w:cstheme="minorHAnsi"/>
          <w:b/>
          <w:bCs/>
          <w:szCs w:val="24"/>
          <w:lang w:eastAsia="en-GB"/>
        </w:rPr>
      </w:pPr>
      <w:r>
        <w:rPr>
          <w:rFonts w:asciiTheme="minorHAnsi" w:hAnsiTheme="minorHAnsi" w:cstheme="minorHAnsi"/>
          <w:szCs w:val="24"/>
          <w:lang w:eastAsia="en-GB"/>
        </w:rPr>
        <w:t>3437</w:t>
      </w:r>
      <w:r w:rsidR="00126987" w:rsidRPr="007A7515">
        <w:rPr>
          <w:rFonts w:asciiTheme="minorHAnsi" w:hAnsiTheme="minorHAnsi" w:cstheme="minorHAnsi"/>
          <w:szCs w:val="24"/>
          <w:lang w:eastAsia="en-GB"/>
        </w:rPr>
        <w:t xml:space="preserve"> manuscript only</w:t>
      </w:r>
    </w:p>
    <w:p w14:paraId="66A9A485" w14:textId="77777777" w:rsidR="004804D0" w:rsidRPr="007A7515" w:rsidRDefault="004804D0" w:rsidP="004804D0">
      <w:pPr>
        <w:spacing w:after="200" w:line="360" w:lineRule="auto"/>
        <w:rPr>
          <w:rFonts w:asciiTheme="minorHAnsi" w:hAnsiTheme="minorHAnsi" w:cstheme="minorHAnsi"/>
          <w:b/>
          <w:bCs/>
          <w:sz w:val="24"/>
          <w:szCs w:val="24"/>
          <w:lang w:eastAsia="en-GB"/>
        </w:rPr>
      </w:pPr>
      <w:r w:rsidRPr="007A7515">
        <w:rPr>
          <w:rFonts w:asciiTheme="minorHAnsi" w:hAnsiTheme="minorHAnsi" w:cstheme="minorHAnsi"/>
          <w:b/>
          <w:bCs/>
          <w:sz w:val="24"/>
          <w:szCs w:val="24"/>
          <w:lang w:eastAsia="en-GB"/>
        </w:rPr>
        <w:br w:type="page"/>
      </w:r>
    </w:p>
    <w:p w14:paraId="15197915" w14:textId="7019C84D" w:rsidR="00101D2B" w:rsidRPr="007A7515" w:rsidRDefault="00D47551" w:rsidP="00E50FE3">
      <w:pPr>
        <w:pStyle w:val="Heading1"/>
        <w:numPr>
          <w:ilvl w:val="0"/>
          <w:numId w:val="0"/>
        </w:numPr>
        <w:rPr>
          <w:rFonts w:asciiTheme="minorHAnsi" w:hAnsiTheme="minorHAnsi" w:cstheme="minorHAnsi"/>
          <w:sz w:val="24"/>
          <w:szCs w:val="24"/>
          <w:lang w:eastAsia="en-GB"/>
        </w:rPr>
      </w:pPr>
      <w:bookmarkStart w:id="0" w:name="_Toc26861586"/>
      <w:r w:rsidRPr="007A7515">
        <w:rPr>
          <w:rFonts w:asciiTheme="minorHAnsi" w:hAnsiTheme="minorHAnsi" w:cstheme="minorHAnsi"/>
          <w:sz w:val="24"/>
          <w:szCs w:val="24"/>
        </w:rPr>
        <w:lastRenderedPageBreak/>
        <w:t>Abstract</w:t>
      </w:r>
      <w:bookmarkEnd w:id="0"/>
    </w:p>
    <w:p w14:paraId="3B4FA1F0" w14:textId="4C84DD95" w:rsidR="00280810" w:rsidRPr="007A7515" w:rsidRDefault="00280810" w:rsidP="00280810">
      <w:pPr>
        <w:pStyle w:val="NoSpacing"/>
        <w:rPr>
          <w:rFonts w:asciiTheme="minorHAnsi" w:hAnsiTheme="minorHAnsi" w:cstheme="minorHAnsi"/>
          <w:szCs w:val="24"/>
          <w:lang w:eastAsia="en-GB"/>
        </w:rPr>
      </w:pPr>
      <w:r>
        <w:rPr>
          <w:rFonts w:asciiTheme="minorHAnsi" w:hAnsiTheme="minorHAnsi" w:cstheme="minorHAnsi"/>
          <w:b/>
          <w:szCs w:val="24"/>
          <w:lang w:eastAsia="en-GB"/>
        </w:rPr>
        <w:t>Introduction</w:t>
      </w:r>
      <w:r w:rsidRPr="007A7515">
        <w:rPr>
          <w:rFonts w:asciiTheme="minorHAnsi" w:hAnsiTheme="minorHAnsi" w:cstheme="minorHAnsi"/>
          <w:b/>
          <w:szCs w:val="24"/>
          <w:lang w:eastAsia="en-GB"/>
        </w:rPr>
        <w:t>:</w:t>
      </w:r>
      <w:r w:rsidRPr="007A7515">
        <w:rPr>
          <w:rFonts w:asciiTheme="minorHAnsi" w:hAnsiTheme="minorHAnsi" w:cstheme="minorHAnsi"/>
          <w:szCs w:val="24"/>
          <w:lang w:eastAsia="en-GB"/>
        </w:rPr>
        <w:t xml:space="preserve"> </w:t>
      </w:r>
    </w:p>
    <w:p w14:paraId="790457D7" w14:textId="77777777" w:rsidR="00280810" w:rsidRPr="007A7515" w:rsidRDefault="00280810" w:rsidP="00280810">
      <w:pPr>
        <w:pStyle w:val="NoSpacing"/>
        <w:rPr>
          <w:rFonts w:asciiTheme="minorHAnsi" w:hAnsiTheme="minorHAnsi" w:cstheme="minorHAnsi"/>
          <w:szCs w:val="24"/>
          <w:lang w:eastAsia="en-GB"/>
        </w:rPr>
      </w:pPr>
      <w:bookmarkStart w:id="1" w:name="_Hlk43581328"/>
      <w:r w:rsidRPr="007A7515">
        <w:rPr>
          <w:rFonts w:asciiTheme="minorHAnsi" w:hAnsiTheme="minorHAnsi" w:cstheme="minorHAnsi"/>
          <w:szCs w:val="24"/>
          <w:lang w:eastAsia="en-GB"/>
        </w:rPr>
        <w:t xml:space="preserve">Dynamic contrast-enhanced computed tomography </w:t>
      </w:r>
      <w:bookmarkEnd w:id="1"/>
      <w:r w:rsidRPr="007A7515">
        <w:rPr>
          <w:rFonts w:asciiTheme="minorHAnsi" w:hAnsiTheme="minorHAnsi" w:cstheme="minorHAnsi"/>
          <w:szCs w:val="24"/>
          <w:lang w:eastAsia="en-GB"/>
        </w:rPr>
        <w:t>(DCE-CT) and Positron Emission Tomography/Computed Tomography (PET/CT) have a high reported accuracy for the diagnosis of malignancy in solitary pulmonary nodules.  The aim of this study was to compare the accuracy and cost-effectiveness of the</w:t>
      </w:r>
      <w:r>
        <w:rPr>
          <w:rFonts w:asciiTheme="minorHAnsi" w:hAnsiTheme="minorHAnsi" w:cstheme="minorHAnsi"/>
          <w:szCs w:val="24"/>
          <w:lang w:eastAsia="en-GB"/>
        </w:rPr>
        <w:t>se</w:t>
      </w:r>
      <w:r w:rsidRPr="007A7515">
        <w:rPr>
          <w:rFonts w:asciiTheme="minorHAnsi" w:hAnsiTheme="minorHAnsi" w:cstheme="minorHAnsi"/>
          <w:szCs w:val="24"/>
          <w:lang w:eastAsia="en-GB"/>
        </w:rPr>
        <w:t>.</w:t>
      </w:r>
    </w:p>
    <w:p w14:paraId="36AAC346" w14:textId="77777777" w:rsidR="00280810" w:rsidRPr="007A7515" w:rsidRDefault="00280810" w:rsidP="00280810">
      <w:pPr>
        <w:pStyle w:val="NoSpacing"/>
        <w:rPr>
          <w:rFonts w:asciiTheme="minorHAnsi" w:hAnsiTheme="minorHAnsi" w:cstheme="minorHAnsi"/>
          <w:szCs w:val="24"/>
          <w:lang w:eastAsia="en-GB"/>
        </w:rPr>
      </w:pPr>
      <w:r w:rsidRPr="007A7515">
        <w:rPr>
          <w:rFonts w:asciiTheme="minorHAnsi" w:hAnsiTheme="minorHAnsi" w:cstheme="minorHAnsi"/>
          <w:b/>
          <w:szCs w:val="24"/>
          <w:lang w:eastAsia="en-GB"/>
        </w:rPr>
        <w:t>Methods:</w:t>
      </w:r>
      <w:r w:rsidRPr="007A7515">
        <w:rPr>
          <w:rFonts w:asciiTheme="minorHAnsi" w:hAnsiTheme="minorHAnsi" w:cstheme="minorHAnsi"/>
          <w:szCs w:val="24"/>
          <w:lang w:eastAsia="en-GB"/>
        </w:rPr>
        <w:t xml:space="preserve"> </w:t>
      </w:r>
    </w:p>
    <w:p w14:paraId="50122B1F" w14:textId="77777777" w:rsidR="00280810" w:rsidRPr="007A7515" w:rsidRDefault="00280810" w:rsidP="00280810">
      <w:pPr>
        <w:pStyle w:val="NoSpacing"/>
        <w:rPr>
          <w:rFonts w:asciiTheme="minorHAnsi" w:hAnsiTheme="minorHAnsi" w:cstheme="minorHAnsi"/>
          <w:szCs w:val="24"/>
        </w:rPr>
      </w:pPr>
      <w:r w:rsidRPr="007A7515">
        <w:rPr>
          <w:rFonts w:asciiTheme="minorHAnsi" w:hAnsiTheme="minorHAnsi" w:cstheme="minorHAnsi"/>
          <w:szCs w:val="24"/>
          <w:lang w:eastAsia="en-GB"/>
        </w:rPr>
        <w:t>In this prospective multicentre trial, 380 participants with a</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 xml:space="preserve">solitary pulmonary nodule (8-30mm) and no recent history of malignancy underwent DCE-CT and PET/CT. All patients underwent either biopsy with histological diagnosis or completed CT follow-up.  </w:t>
      </w:r>
      <w:r w:rsidRPr="007A7515">
        <w:rPr>
          <w:rFonts w:asciiTheme="minorHAnsi" w:hAnsiTheme="minorHAnsi" w:cstheme="minorHAnsi"/>
          <w:szCs w:val="24"/>
        </w:rPr>
        <w:t xml:space="preserve">Primary outcome measures were sensitivity, specificity, and overall diagnostic accuracy for PET/CT and DCE-CT. Costs and cost-effectiveness were estimated from a healthcare provider perspective using a decision-model. </w:t>
      </w:r>
    </w:p>
    <w:p w14:paraId="640D242B" w14:textId="77777777" w:rsidR="00280810" w:rsidRPr="007A7515" w:rsidRDefault="00280810" w:rsidP="00280810">
      <w:pPr>
        <w:pStyle w:val="NoSpacing"/>
        <w:rPr>
          <w:rFonts w:asciiTheme="minorHAnsi" w:hAnsiTheme="minorHAnsi" w:cstheme="minorHAnsi"/>
          <w:szCs w:val="24"/>
          <w:lang w:eastAsia="en-GB"/>
        </w:rPr>
      </w:pPr>
      <w:r>
        <w:rPr>
          <w:rFonts w:asciiTheme="minorHAnsi" w:hAnsiTheme="minorHAnsi" w:cstheme="minorHAnsi"/>
          <w:b/>
          <w:szCs w:val="24"/>
          <w:lang w:eastAsia="en-GB"/>
        </w:rPr>
        <w:t>Results</w:t>
      </w:r>
      <w:r w:rsidRPr="007A7515">
        <w:rPr>
          <w:rFonts w:asciiTheme="minorHAnsi" w:hAnsiTheme="minorHAnsi" w:cstheme="minorHAnsi"/>
          <w:b/>
          <w:szCs w:val="24"/>
          <w:lang w:eastAsia="en-GB"/>
        </w:rPr>
        <w:t>:</w:t>
      </w:r>
      <w:r w:rsidRPr="007A7515">
        <w:rPr>
          <w:rFonts w:asciiTheme="minorHAnsi" w:hAnsiTheme="minorHAnsi" w:cstheme="minorHAnsi"/>
          <w:szCs w:val="24"/>
          <w:lang w:eastAsia="en-GB"/>
        </w:rPr>
        <w:t xml:space="preserve"> </w:t>
      </w:r>
    </w:p>
    <w:p w14:paraId="7E9E780D" w14:textId="6F504A05" w:rsidR="00A02305" w:rsidRPr="00A02305" w:rsidRDefault="00280810" w:rsidP="00A02305">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312 participants (47% female, 68</w:t>
      </w:r>
      <w:r>
        <w:rPr>
          <w:rFonts w:asciiTheme="minorHAnsi" w:hAnsiTheme="minorHAnsi" w:cstheme="minorHAnsi"/>
          <w:szCs w:val="24"/>
          <w:lang w:eastAsia="en-GB"/>
        </w:rPr>
        <w:t>.</w:t>
      </w:r>
      <w:r w:rsidRPr="007A7515">
        <w:rPr>
          <w:rFonts w:asciiTheme="minorHAnsi" w:hAnsiTheme="minorHAnsi" w:cstheme="minorHAnsi"/>
          <w:szCs w:val="24"/>
          <w:lang w:eastAsia="en-GB"/>
        </w:rPr>
        <w:t>1±9.0 years) completed the study, with 61% rate of malignancy at 2 years.  The sensitivity</w:t>
      </w:r>
      <w:r w:rsidR="00A02305">
        <w:rPr>
          <w:rFonts w:asciiTheme="minorHAnsi" w:hAnsiTheme="minorHAnsi" w:cstheme="minorHAnsi"/>
          <w:szCs w:val="24"/>
          <w:lang w:eastAsia="en-GB"/>
        </w:rPr>
        <w:t xml:space="preserve">, </w:t>
      </w:r>
      <w:r w:rsidRPr="007A7515">
        <w:rPr>
          <w:rFonts w:asciiTheme="minorHAnsi" w:hAnsiTheme="minorHAnsi" w:cstheme="minorHAnsi"/>
          <w:szCs w:val="24"/>
          <w:lang w:eastAsia="en-GB"/>
        </w:rPr>
        <w:t>specificity</w:t>
      </w:r>
      <w:r w:rsidR="00A02305">
        <w:rPr>
          <w:rFonts w:asciiTheme="minorHAnsi" w:hAnsiTheme="minorHAnsi" w:cstheme="minorHAnsi"/>
          <w:szCs w:val="24"/>
          <w:lang w:eastAsia="en-GB"/>
        </w:rPr>
        <w:t>, positive predictive value and negative predictive values</w:t>
      </w:r>
      <w:r w:rsidRPr="007A7515">
        <w:rPr>
          <w:rFonts w:asciiTheme="minorHAnsi" w:hAnsiTheme="minorHAnsi" w:cstheme="minorHAnsi"/>
          <w:szCs w:val="24"/>
          <w:lang w:eastAsia="en-GB"/>
        </w:rPr>
        <w:t xml:space="preserve"> for DCE-CT were 95</w:t>
      </w:r>
      <w:r>
        <w:rPr>
          <w:rFonts w:asciiTheme="minorHAnsi" w:hAnsiTheme="minorHAnsi" w:cstheme="minorHAnsi"/>
          <w:szCs w:val="24"/>
          <w:lang w:eastAsia="en-GB"/>
        </w:rPr>
        <w:t>.</w:t>
      </w:r>
      <w:r w:rsidRPr="007A7515">
        <w:rPr>
          <w:rFonts w:asciiTheme="minorHAnsi" w:hAnsiTheme="minorHAnsi" w:cstheme="minorHAnsi"/>
          <w:szCs w:val="24"/>
          <w:lang w:eastAsia="en-GB"/>
        </w:rPr>
        <w:t>3% [95% CI 91</w:t>
      </w:r>
      <w:r>
        <w:rPr>
          <w:rFonts w:asciiTheme="minorHAnsi" w:hAnsiTheme="minorHAnsi" w:cstheme="minorHAnsi"/>
          <w:szCs w:val="24"/>
          <w:lang w:eastAsia="en-GB"/>
        </w:rPr>
        <w:t>.</w:t>
      </w:r>
      <w:r w:rsidRPr="007A7515">
        <w:rPr>
          <w:rFonts w:asciiTheme="minorHAnsi" w:hAnsiTheme="minorHAnsi" w:cstheme="minorHAnsi"/>
          <w:szCs w:val="24"/>
          <w:lang w:eastAsia="en-GB"/>
        </w:rPr>
        <w:t>3;97</w:t>
      </w:r>
      <w:r>
        <w:rPr>
          <w:rFonts w:asciiTheme="minorHAnsi" w:hAnsiTheme="minorHAnsi" w:cstheme="minorHAnsi"/>
          <w:szCs w:val="24"/>
          <w:lang w:eastAsia="en-GB"/>
        </w:rPr>
        <w:t>.</w:t>
      </w:r>
      <w:r w:rsidRPr="007A7515">
        <w:rPr>
          <w:rFonts w:asciiTheme="minorHAnsi" w:hAnsiTheme="minorHAnsi" w:cstheme="minorHAnsi"/>
          <w:szCs w:val="24"/>
          <w:lang w:eastAsia="en-GB"/>
        </w:rPr>
        <w:t>5]</w:t>
      </w:r>
      <w:r w:rsidR="00A02305">
        <w:rPr>
          <w:rFonts w:asciiTheme="minorHAnsi" w:hAnsiTheme="minorHAnsi" w:cstheme="minorHAnsi"/>
          <w:szCs w:val="24"/>
          <w:lang w:eastAsia="en-GB"/>
        </w:rPr>
        <w:t xml:space="preserve">, </w:t>
      </w:r>
      <w:r w:rsidRPr="007A7515">
        <w:rPr>
          <w:rFonts w:asciiTheme="minorHAnsi" w:hAnsiTheme="minorHAnsi" w:cstheme="minorHAnsi"/>
          <w:szCs w:val="24"/>
          <w:lang w:eastAsia="en-GB"/>
        </w:rPr>
        <w:t>29</w:t>
      </w:r>
      <w:r>
        <w:rPr>
          <w:rFonts w:asciiTheme="minorHAnsi" w:hAnsiTheme="minorHAnsi" w:cstheme="minorHAnsi"/>
          <w:szCs w:val="24"/>
          <w:lang w:eastAsia="en-GB"/>
        </w:rPr>
        <w:t>.</w:t>
      </w:r>
      <w:r w:rsidRPr="007A7515">
        <w:rPr>
          <w:rFonts w:asciiTheme="minorHAnsi" w:hAnsiTheme="minorHAnsi" w:cstheme="minorHAnsi"/>
          <w:szCs w:val="24"/>
          <w:lang w:eastAsia="en-GB"/>
        </w:rPr>
        <w:t>8% [95% CI 22.3;38</w:t>
      </w:r>
      <w:r>
        <w:rPr>
          <w:rFonts w:asciiTheme="minorHAnsi" w:hAnsiTheme="minorHAnsi" w:cstheme="minorHAnsi"/>
          <w:szCs w:val="24"/>
          <w:lang w:eastAsia="en-GB"/>
        </w:rPr>
        <w:t>.</w:t>
      </w:r>
      <w:r w:rsidRPr="007A7515">
        <w:rPr>
          <w:rFonts w:asciiTheme="minorHAnsi" w:hAnsiTheme="minorHAnsi" w:cstheme="minorHAnsi"/>
          <w:szCs w:val="24"/>
          <w:lang w:eastAsia="en-GB"/>
        </w:rPr>
        <w:t>4]</w:t>
      </w:r>
      <w:r w:rsidR="00A02305">
        <w:rPr>
          <w:rFonts w:asciiTheme="minorHAnsi" w:hAnsiTheme="minorHAnsi" w:cstheme="minorHAnsi"/>
          <w:szCs w:val="24"/>
          <w:lang w:eastAsia="en-GB"/>
        </w:rPr>
        <w:t xml:space="preserve">, </w:t>
      </w:r>
      <w:r w:rsidR="00A02305" w:rsidRPr="00A02305">
        <w:rPr>
          <w:rFonts w:asciiTheme="minorHAnsi" w:hAnsiTheme="minorHAnsi" w:cstheme="minorHAnsi"/>
          <w:szCs w:val="24"/>
          <w:lang w:eastAsia="en-GB"/>
        </w:rPr>
        <w:t>68</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2%</w:t>
      </w:r>
      <w:r w:rsidR="00A02305">
        <w:rPr>
          <w:rFonts w:asciiTheme="minorHAnsi" w:hAnsiTheme="minorHAnsi" w:cstheme="minorHAnsi"/>
          <w:szCs w:val="24"/>
          <w:lang w:eastAsia="en-GB"/>
        </w:rPr>
        <w:t xml:space="preserve"> [</w:t>
      </w:r>
      <w:r w:rsidR="00A02305" w:rsidRPr="007A7515">
        <w:rPr>
          <w:rFonts w:asciiTheme="minorHAnsi" w:hAnsiTheme="minorHAnsi" w:cstheme="minorHAnsi"/>
          <w:szCs w:val="24"/>
          <w:lang w:eastAsia="en-GB"/>
        </w:rPr>
        <w:t xml:space="preserve">95% CI </w:t>
      </w:r>
      <w:r w:rsidR="00A02305" w:rsidRPr="00A02305">
        <w:rPr>
          <w:rFonts w:asciiTheme="minorHAnsi" w:hAnsiTheme="minorHAnsi" w:cstheme="minorHAnsi"/>
          <w:szCs w:val="24"/>
          <w:lang w:eastAsia="en-GB"/>
        </w:rPr>
        <w:t>62</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4%</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73</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5%</w:t>
      </w:r>
      <w:r w:rsidR="00A02305">
        <w:rPr>
          <w:rFonts w:asciiTheme="minorHAnsi" w:hAnsiTheme="minorHAnsi" w:cstheme="minorHAnsi"/>
          <w:szCs w:val="24"/>
          <w:lang w:eastAsia="en-GB"/>
        </w:rPr>
        <w:t xml:space="preserve">] and </w:t>
      </w:r>
      <w:r w:rsidR="00A02305" w:rsidRPr="00A02305">
        <w:rPr>
          <w:rFonts w:asciiTheme="minorHAnsi" w:hAnsiTheme="minorHAnsi" w:cstheme="minorHAnsi"/>
          <w:szCs w:val="24"/>
          <w:lang w:eastAsia="en-GB"/>
        </w:rPr>
        <w:t>80</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0%</w:t>
      </w:r>
      <w:r w:rsidR="00A02305">
        <w:rPr>
          <w:rFonts w:asciiTheme="minorHAnsi" w:hAnsiTheme="minorHAnsi" w:cstheme="minorHAnsi"/>
          <w:szCs w:val="24"/>
          <w:lang w:eastAsia="en-GB"/>
        </w:rPr>
        <w:t xml:space="preserve"> </w:t>
      </w:r>
      <w:r w:rsidR="00A02305">
        <w:rPr>
          <w:rFonts w:asciiTheme="minorHAnsi" w:hAnsiTheme="minorHAnsi" w:cstheme="minorHAnsi"/>
          <w:szCs w:val="24"/>
          <w:lang w:eastAsia="en-GB"/>
        </w:rPr>
        <w:t>[</w:t>
      </w:r>
      <w:r w:rsidR="00A02305" w:rsidRPr="007A7515">
        <w:rPr>
          <w:rFonts w:asciiTheme="minorHAnsi" w:hAnsiTheme="minorHAnsi" w:cstheme="minorHAnsi"/>
          <w:szCs w:val="24"/>
          <w:lang w:eastAsia="en-GB"/>
        </w:rPr>
        <w:t>95% CI</w:t>
      </w:r>
      <w:r w:rsidR="00A02305">
        <w:rPr>
          <w:rFonts w:asciiTheme="minorHAnsi" w:hAnsiTheme="minorHAnsi" w:cstheme="minorHAnsi"/>
          <w:szCs w:val="24"/>
          <w:lang w:eastAsia="en-GB"/>
        </w:rPr>
        <w:t xml:space="preserve"> </w:t>
      </w:r>
      <w:r w:rsidR="00A02305" w:rsidRPr="00A02305">
        <w:rPr>
          <w:rFonts w:asciiTheme="minorHAnsi" w:hAnsiTheme="minorHAnsi" w:cstheme="minorHAnsi"/>
          <w:szCs w:val="24"/>
          <w:lang w:eastAsia="en-GB"/>
        </w:rPr>
        <w:t>66</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2</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89</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1</w:t>
      </w:r>
      <w:r w:rsidR="00A02305">
        <w:rPr>
          <w:rFonts w:asciiTheme="minorHAnsi" w:hAnsiTheme="minorHAnsi" w:cstheme="minorHAnsi"/>
          <w:szCs w:val="24"/>
          <w:lang w:eastAsia="en-GB"/>
        </w:rPr>
        <w:t>]</w:t>
      </w:r>
      <w:r w:rsidRPr="007A7515">
        <w:rPr>
          <w:rFonts w:asciiTheme="minorHAnsi" w:hAnsiTheme="minorHAnsi" w:cstheme="minorHAnsi"/>
          <w:szCs w:val="24"/>
          <w:lang w:eastAsia="en-GB"/>
        </w:rPr>
        <w:t xml:space="preserve"> respectively, and for PET/CT were 79</w:t>
      </w:r>
      <w:r>
        <w:rPr>
          <w:rFonts w:asciiTheme="minorHAnsi" w:hAnsiTheme="minorHAnsi" w:cstheme="minorHAnsi"/>
          <w:szCs w:val="24"/>
          <w:lang w:eastAsia="en-GB"/>
        </w:rPr>
        <w:t>.</w:t>
      </w:r>
      <w:r w:rsidRPr="007A7515">
        <w:rPr>
          <w:rFonts w:asciiTheme="minorHAnsi" w:hAnsiTheme="minorHAnsi" w:cstheme="minorHAnsi"/>
          <w:szCs w:val="24"/>
          <w:lang w:eastAsia="en-GB"/>
        </w:rPr>
        <w:t>1% [95% CI 72</w:t>
      </w:r>
      <w:r>
        <w:rPr>
          <w:rFonts w:asciiTheme="minorHAnsi" w:hAnsiTheme="minorHAnsi" w:cstheme="minorHAnsi"/>
          <w:szCs w:val="24"/>
          <w:lang w:eastAsia="en-GB"/>
        </w:rPr>
        <w:t>.</w:t>
      </w:r>
      <w:r w:rsidRPr="007A7515">
        <w:rPr>
          <w:rFonts w:asciiTheme="minorHAnsi" w:hAnsiTheme="minorHAnsi" w:cstheme="minorHAnsi"/>
          <w:szCs w:val="24"/>
          <w:lang w:eastAsia="en-GB"/>
        </w:rPr>
        <w:t>7;84</w:t>
      </w:r>
      <w:r>
        <w:rPr>
          <w:rFonts w:asciiTheme="minorHAnsi" w:hAnsiTheme="minorHAnsi" w:cstheme="minorHAnsi"/>
          <w:szCs w:val="24"/>
          <w:lang w:eastAsia="en-GB"/>
        </w:rPr>
        <w:t>.</w:t>
      </w:r>
      <w:r w:rsidRPr="007A7515">
        <w:rPr>
          <w:rFonts w:asciiTheme="minorHAnsi" w:hAnsiTheme="minorHAnsi" w:cstheme="minorHAnsi"/>
          <w:szCs w:val="24"/>
          <w:lang w:eastAsia="en-GB"/>
        </w:rPr>
        <w:t>2]</w:t>
      </w:r>
      <w:r w:rsidR="00A02305">
        <w:rPr>
          <w:rFonts w:asciiTheme="minorHAnsi" w:hAnsiTheme="minorHAnsi" w:cstheme="minorHAnsi"/>
          <w:szCs w:val="24"/>
          <w:lang w:eastAsia="en-GB"/>
        </w:rPr>
        <w:t xml:space="preserve">, </w:t>
      </w:r>
      <w:r w:rsidRPr="007A7515">
        <w:rPr>
          <w:rFonts w:asciiTheme="minorHAnsi" w:hAnsiTheme="minorHAnsi" w:cstheme="minorHAnsi"/>
          <w:szCs w:val="24"/>
          <w:lang w:eastAsia="en-GB"/>
        </w:rPr>
        <w:t>81</w:t>
      </w:r>
      <w:r>
        <w:rPr>
          <w:rFonts w:asciiTheme="minorHAnsi" w:hAnsiTheme="minorHAnsi" w:cstheme="minorHAnsi"/>
          <w:szCs w:val="24"/>
          <w:lang w:eastAsia="en-GB"/>
        </w:rPr>
        <w:t>.</w:t>
      </w:r>
      <w:r w:rsidRPr="007A7515">
        <w:rPr>
          <w:rFonts w:asciiTheme="minorHAnsi" w:hAnsiTheme="minorHAnsi" w:cstheme="minorHAnsi"/>
          <w:szCs w:val="24"/>
          <w:lang w:eastAsia="en-GB"/>
        </w:rPr>
        <w:t>8% [95% CI 74</w:t>
      </w:r>
      <w:r>
        <w:rPr>
          <w:rFonts w:asciiTheme="minorHAnsi" w:hAnsiTheme="minorHAnsi" w:cstheme="minorHAnsi"/>
          <w:szCs w:val="24"/>
          <w:lang w:eastAsia="en-GB"/>
        </w:rPr>
        <w:t>.</w:t>
      </w:r>
      <w:r w:rsidRPr="007A7515">
        <w:rPr>
          <w:rFonts w:asciiTheme="minorHAnsi" w:hAnsiTheme="minorHAnsi" w:cstheme="minorHAnsi"/>
          <w:szCs w:val="24"/>
          <w:lang w:eastAsia="en-GB"/>
        </w:rPr>
        <w:t>0;87</w:t>
      </w:r>
      <w:r>
        <w:rPr>
          <w:rFonts w:asciiTheme="minorHAnsi" w:hAnsiTheme="minorHAnsi" w:cstheme="minorHAnsi"/>
          <w:szCs w:val="24"/>
          <w:lang w:eastAsia="en-GB"/>
        </w:rPr>
        <w:t>.</w:t>
      </w:r>
      <w:r w:rsidRPr="007A7515">
        <w:rPr>
          <w:rFonts w:asciiTheme="minorHAnsi" w:hAnsiTheme="minorHAnsi" w:cstheme="minorHAnsi"/>
          <w:szCs w:val="24"/>
          <w:lang w:eastAsia="en-GB"/>
        </w:rPr>
        <w:t>7]</w:t>
      </w:r>
      <w:r w:rsidR="00A02305">
        <w:rPr>
          <w:rFonts w:asciiTheme="minorHAnsi" w:hAnsiTheme="minorHAnsi" w:cstheme="minorHAnsi"/>
          <w:szCs w:val="24"/>
          <w:lang w:eastAsia="en-GB"/>
        </w:rPr>
        <w:t xml:space="preserve">, </w:t>
      </w:r>
      <w:r w:rsidR="00A02305" w:rsidRPr="00A02305">
        <w:rPr>
          <w:rFonts w:asciiTheme="minorHAnsi" w:hAnsiTheme="minorHAnsi" w:cstheme="minorHAnsi"/>
          <w:szCs w:val="24"/>
          <w:lang w:eastAsia="en-GB"/>
        </w:rPr>
        <w:t>87</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3%</w:t>
      </w:r>
      <w:r w:rsidR="00A02305">
        <w:rPr>
          <w:rFonts w:asciiTheme="minorHAnsi" w:hAnsiTheme="minorHAnsi" w:cstheme="minorHAnsi"/>
          <w:szCs w:val="24"/>
          <w:lang w:eastAsia="en-GB"/>
        </w:rPr>
        <w:t>[</w:t>
      </w:r>
      <w:r w:rsidR="00A02305" w:rsidRPr="007A7515">
        <w:rPr>
          <w:rFonts w:asciiTheme="minorHAnsi" w:hAnsiTheme="minorHAnsi" w:cstheme="minorHAnsi"/>
          <w:szCs w:val="24"/>
          <w:lang w:eastAsia="en-GB"/>
        </w:rPr>
        <w:t>95% CI</w:t>
      </w:r>
      <w:r w:rsidR="00A02305">
        <w:rPr>
          <w:rFonts w:asciiTheme="minorHAnsi" w:hAnsiTheme="minorHAnsi" w:cstheme="minorHAnsi"/>
          <w:szCs w:val="24"/>
          <w:lang w:eastAsia="en-GB"/>
        </w:rPr>
        <w:t xml:space="preserve"> </w:t>
      </w:r>
      <w:r w:rsidR="00A02305" w:rsidRPr="00A02305">
        <w:rPr>
          <w:rFonts w:asciiTheme="minorHAnsi" w:hAnsiTheme="minorHAnsi" w:cstheme="minorHAnsi"/>
          <w:szCs w:val="24"/>
          <w:lang w:eastAsia="en-GB"/>
        </w:rPr>
        <w:t>81</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5</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91</w:t>
      </w:r>
      <w:r w:rsidR="00A02305">
        <w:rPr>
          <w:rFonts w:asciiTheme="minorHAnsi" w:hAnsiTheme="minorHAnsi" w:cstheme="minorHAnsi"/>
          <w:szCs w:val="24"/>
          <w:lang w:eastAsia="en-GB"/>
        </w:rPr>
        <w:t>.</w:t>
      </w:r>
      <w:r w:rsidR="00A02305" w:rsidRPr="00A02305">
        <w:rPr>
          <w:rFonts w:asciiTheme="minorHAnsi" w:hAnsiTheme="minorHAnsi" w:cstheme="minorHAnsi"/>
          <w:szCs w:val="24"/>
          <w:lang w:eastAsia="en-GB"/>
        </w:rPr>
        <w:t>5)</w:t>
      </w:r>
      <w:r w:rsidR="00A02305">
        <w:rPr>
          <w:rFonts w:asciiTheme="minorHAnsi" w:hAnsiTheme="minorHAnsi" w:cstheme="minorHAnsi"/>
          <w:szCs w:val="24"/>
          <w:lang w:eastAsia="en-GB"/>
        </w:rPr>
        <w:t xml:space="preserve"> and </w:t>
      </w:r>
      <w:r w:rsidR="00A02305" w:rsidRPr="00A02305">
        <w:rPr>
          <w:rFonts w:asciiTheme="minorHAnsi" w:hAnsiTheme="minorHAnsi" w:cstheme="minorHAnsi"/>
          <w:szCs w:val="24"/>
          <w:lang w:eastAsia="en-GB"/>
        </w:rPr>
        <w:t>71·2%</w:t>
      </w:r>
    </w:p>
    <w:p w14:paraId="673172A4" w14:textId="3CBE9E14" w:rsidR="00280810" w:rsidRPr="007A7515" w:rsidRDefault="00A02305" w:rsidP="00A02305">
      <w:pPr>
        <w:pStyle w:val="NoSpacing"/>
        <w:rPr>
          <w:rFonts w:asciiTheme="minorHAnsi" w:hAnsiTheme="minorHAnsi" w:cstheme="minorHAnsi"/>
          <w:szCs w:val="24"/>
          <w:lang w:eastAsia="en-GB"/>
        </w:rPr>
      </w:pPr>
      <w:r>
        <w:rPr>
          <w:rFonts w:asciiTheme="minorHAnsi" w:hAnsiTheme="minorHAnsi" w:cstheme="minorHAnsi"/>
          <w:szCs w:val="24"/>
          <w:lang w:eastAsia="en-GB"/>
        </w:rPr>
        <w:t>[</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63</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w:t>
      </w:r>
      <w:r w:rsidRPr="00A02305">
        <w:rPr>
          <w:rFonts w:asciiTheme="minorHAnsi" w:hAnsiTheme="minorHAnsi" w:cstheme="minorHAnsi"/>
          <w:szCs w:val="24"/>
          <w:lang w:eastAsia="en-GB"/>
        </w:rPr>
        <w:t>78</w:t>
      </w:r>
      <w:r>
        <w:rPr>
          <w:rFonts w:asciiTheme="minorHAnsi" w:hAnsiTheme="minorHAnsi" w:cstheme="minorHAnsi"/>
          <w:szCs w:val="24"/>
          <w:lang w:eastAsia="en-GB"/>
        </w:rPr>
        <w:t>.</w:t>
      </w:r>
      <w:r w:rsidRPr="00A02305">
        <w:rPr>
          <w:rFonts w:asciiTheme="minorHAnsi" w:hAnsiTheme="minorHAnsi" w:cstheme="minorHAnsi"/>
          <w:szCs w:val="24"/>
          <w:lang w:eastAsia="en-GB"/>
        </w:rPr>
        <w:t>1</w:t>
      </w:r>
      <w:r>
        <w:rPr>
          <w:rFonts w:asciiTheme="minorHAnsi" w:hAnsiTheme="minorHAnsi" w:cstheme="minorHAnsi"/>
          <w:szCs w:val="24"/>
          <w:lang w:eastAsia="en-GB"/>
        </w:rPr>
        <w:t>]</w:t>
      </w:r>
      <w:r w:rsidR="00280810" w:rsidRPr="007A7515">
        <w:rPr>
          <w:rFonts w:asciiTheme="minorHAnsi" w:hAnsiTheme="minorHAnsi" w:cstheme="minorHAnsi"/>
          <w:szCs w:val="24"/>
          <w:lang w:eastAsia="en-GB"/>
        </w:rPr>
        <w:t>.  The area under the receiver operator characteristic curve (AUROC) for DCE-CT and PET/CT was 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62 [95%CI 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58;0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67] and 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80 [95%CI 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76;0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85] respectively (p&lt;0.001).  Combined results significantly increased diagnostic accuracy over PET/CT alone (AUROC=0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90 [95%CI 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86;0</w:t>
      </w:r>
      <w:r w:rsidR="00280810">
        <w:rPr>
          <w:rFonts w:asciiTheme="minorHAnsi" w:hAnsiTheme="minorHAnsi" w:cstheme="minorHAnsi"/>
          <w:szCs w:val="24"/>
          <w:lang w:eastAsia="en-GB"/>
        </w:rPr>
        <w:t>.</w:t>
      </w:r>
      <w:r w:rsidR="00280810" w:rsidRPr="007A7515">
        <w:rPr>
          <w:rFonts w:asciiTheme="minorHAnsi" w:hAnsiTheme="minorHAnsi" w:cstheme="minorHAnsi"/>
          <w:szCs w:val="24"/>
          <w:lang w:eastAsia="en-GB"/>
        </w:rPr>
        <w:t>93], p&lt;0.001). DCE-CT was preferred when the willingness to pay per incremental cost per correctly treated malignancy was below £9000.  Above £15500 a combined approach was preferred.</w:t>
      </w:r>
    </w:p>
    <w:p w14:paraId="6F07E26E" w14:textId="20357C71" w:rsidR="00280810" w:rsidRPr="007A7515" w:rsidRDefault="00280810" w:rsidP="00280810">
      <w:pPr>
        <w:pStyle w:val="NoSpacing"/>
        <w:rPr>
          <w:rFonts w:asciiTheme="minorHAnsi" w:hAnsiTheme="minorHAnsi" w:cstheme="minorHAnsi"/>
          <w:szCs w:val="24"/>
          <w:lang w:eastAsia="en-GB"/>
        </w:rPr>
      </w:pPr>
      <w:r>
        <w:rPr>
          <w:rFonts w:asciiTheme="minorHAnsi" w:hAnsiTheme="minorHAnsi" w:cstheme="minorHAnsi"/>
          <w:b/>
          <w:szCs w:val="24"/>
          <w:lang w:eastAsia="en-GB"/>
        </w:rPr>
        <w:t>Conclusions</w:t>
      </w:r>
      <w:r w:rsidRPr="007A7515">
        <w:rPr>
          <w:rFonts w:asciiTheme="minorHAnsi" w:hAnsiTheme="minorHAnsi" w:cstheme="minorHAnsi"/>
          <w:b/>
          <w:szCs w:val="24"/>
          <w:lang w:eastAsia="en-GB"/>
        </w:rPr>
        <w:t>:</w:t>
      </w:r>
      <w:r w:rsidRPr="007A7515">
        <w:rPr>
          <w:rFonts w:asciiTheme="minorHAnsi" w:hAnsiTheme="minorHAnsi" w:cstheme="minorHAnsi"/>
          <w:szCs w:val="24"/>
          <w:lang w:eastAsia="en-GB"/>
        </w:rPr>
        <w:t xml:space="preserve"> </w:t>
      </w:r>
    </w:p>
    <w:p w14:paraId="1C868289" w14:textId="77777777" w:rsidR="00280810" w:rsidRDefault="00280810" w:rsidP="00280810">
      <w:pPr>
        <w:pStyle w:val="NoSpacing"/>
        <w:rPr>
          <w:rFonts w:asciiTheme="minorHAnsi" w:hAnsiTheme="minorHAnsi"/>
        </w:rPr>
      </w:pPr>
      <w:r w:rsidRPr="007A7515">
        <w:rPr>
          <w:rFonts w:asciiTheme="minorHAnsi" w:hAnsiTheme="minorHAnsi" w:cstheme="minorHAnsi"/>
          <w:szCs w:val="24"/>
          <w:lang w:eastAsia="en-GB"/>
        </w:rPr>
        <w:t xml:space="preserve">PET/CT has a superior diagnostic accuracy to DCE-CT for the diagnosis of solitary pulmonary nodules. Combining both techniques improves the diagnostic accuracy over either test alone </w:t>
      </w:r>
      <w:proofErr w:type="gramStart"/>
      <w:r w:rsidRPr="007A7515">
        <w:rPr>
          <w:rFonts w:asciiTheme="minorHAnsi" w:hAnsiTheme="minorHAnsi" w:cstheme="minorHAnsi"/>
          <w:szCs w:val="24"/>
          <w:lang w:eastAsia="en-GB"/>
        </w:rPr>
        <w:t>and</w:t>
      </w:r>
      <w:proofErr w:type="gramEnd"/>
      <w:r w:rsidRPr="007A7515">
        <w:rPr>
          <w:rFonts w:asciiTheme="minorHAnsi" w:hAnsiTheme="minorHAnsi" w:cstheme="minorHAnsi"/>
          <w:szCs w:val="24"/>
          <w:lang w:eastAsia="en-GB"/>
        </w:rPr>
        <w:t xml:space="preserve"> could be cost-effective</w:t>
      </w:r>
      <w:r w:rsidRPr="00524490">
        <w:rPr>
          <w:rFonts w:asciiTheme="minorHAnsi" w:hAnsiTheme="minorHAnsi" w:cstheme="minorHAnsi"/>
          <w:szCs w:val="24"/>
          <w:lang w:eastAsia="en-GB"/>
        </w:rPr>
        <w:t>. (</w:t>
      </w:r>
      <w:bookmarkStart w:id="2" w:name="_Toc26861592"/>
      <w:r w:rsidRPr="00524490">
        <w:rPr>
          <w:rFonts w:asciiTheme="minorHAnsi" w:hAnsiTheme="minorHAnsi" w:cstheme="minorHAnsi"/>
          <w:szCs w:val="24"/>
        </w:rPr>
        <w:t xml:space="preserve">Clinical trials.gov </w:t>
      </w:r>
      <w:r w:rsidRPr="00524490">
        <w:rPr>
          <w:rFonts w:asciiTheme="minorHAnsi" w:hAnsiTheme="minorHAnsi"/>
        </w:rPr>
        <w:t xml:space="preserve">- </w:t>
      </w:r>
      <w:r w:rsidRPr="00524490">
        <w:rPr>
          <w:rFonts w:asciiTheme="minorHAnsi" w:hAnsiTheme="minorHAnsi" w:cstheme="minorHAnsi"/>
          <w:szCs w:val="24"/>
        </w:rPr>
        <w:t>NCT02013063).</w:t>
      </w:r>
    </w:p>
    <w:bookmarkEnd w:id="2"/>
    <w:p w14:paraId="3AB9B91E" w14:textId="650A69BD" w:rsidR="00CD3C40" w:rsidRPr="007A7515" w:rsidRDefault="00CD3C40">
      <w:pPr>
        <w:pStyle w:val="NoSpacing"/>
        <w:rPr>
          <w:rFonts w:asciiTheme="minorHAnsi" w:hAnsiTheme="minorHAnsi" w:cstheme="minorHAnsi"/>
          <w:b/>
          <w:bCs/>
          <w:szCs w:val="24"/>
        </w:rPr>
      </w:pPr>
    </w:p>
    <w:p w14:paraId="165C0289" w14:textId="77777777" w:rsidR="0010043E" w:rsidRPr="007A7515" w:rsidRDefault="0010043E">
      <w:pPr>
        <w:spacing w:after="200" w:line="276" w:lineRule="auto"/>
        <w:rPr>
          <w:rFonts w:asciiTheme="minorHAnsi" w:hAnsiTheme="minorHAnsi" w:cstheme="minorHAnsi"/>
          <w:b/>
          <w:bCs/>
          <w:sz w:val="24"/>
          <w:szCs w:val="24"/>
          <w:lang w:eastAsia="en-GB"/>
        </w:rPr>
      </w:pPr>
      <w:bookmarkStart w:id="3" w:name="_Hlk22046038"/>
      <w:bookmarkStart w:id="4" w:name="_Toc403121944"/>
      <w:r w:rsidRPr="007A7515">
        <w:rPr>
          <w:rFonts w:asciiTheme="minorHAnsi" w:hAnsiTheme="minorHAnsi" w:cstheme="minorHAnsi"/>
          <w:b/>
          <w:bCs/>
          <w:sz w:val="24"/>
          <w:szCs w:val="24"/>
          <w:lang w:eastAsia="en-GB"/>
        </w:rPr>
        <w:t>Key words</w:t>
      </w:r>
    </w:p>
    <w:p w14:paraId="67E04D3C" w14:textId="77777777" w:rsidR="00512AA7" w:rsidRDefault="0010043E">
      <w:pPr>
        <w:spacing w:after="200" w:line="276" w:lineRule="auto"/>
        <w:rPr>
          <w:rFonts w:asciiTheme="minorHAnsi" w:hAnsiTheme="minorHAnsi" w:cstheme="minorHAnsi"/>
          <w:sz w:val="24"/>
          <w:szCs w:val="24"/>
          <w:lang w:eastAsia="en-GB"/>
        </w:rPr>
      </w:pPr>
      <w:r w:rsidRPr="007A7515">
        <w:rPr>
          <w:rFonts w:asciiTheme="minorHAnsi" w:hAnsiTheme="minorHAnsi" w:cstheme="minorHAnsi"/>
          <w:sz w:val="24"/>
          <w:szCs w:val="24"/>
          <w:lang w:eastAsia="en-GB"/>
        </w:rPr>
        <w:lastRenderedPageBreak/>
        <w:t>Solitary Pulmonary Nodule; Positron Emission Tomography Computed Tomography; Tomography, X-Ray Computed; Diagnostic Test Accuracy; Costs and Cost Analysis</w:t>
      </w:r>
    </w:p>
    <w:p w14:paraId="4505A96A" w14:textId="77777777" w:rsidR="00512AA7" w:rsidRPr="00512AA7" w:rsidRDefault="00512AA7" w:rsidP="00512AA7">
      <w:pPr>
        <w:rPr>
          <w:rFonts w:ascii="Times New Roman" w:hAnsi="Times New Roman"/>
          <w:b/>
          <w:bCs/>
          <w:sz w:val="24"/>
          <w:szCs w:val="24"/>
          <w:lang w:eastAsia="en-GB"/>
        </w:rPr>
      </w:pPr>
      <w:r w:rsidRPr="00512AA7">
        <w:rPr>
          <w:rFonts w:ascii="Helvetica Neue" w:hAnsi="Helvetica Neue"/>
          <w:b/>
          <w:bCs/>
          <w:color w:val="000000"/>
          <w:sz w:val="24"/>
          <w:szCs w:val="24"/>
          <w:lang w:eastAsia="en-GB"/>
        </w:rPr>
        <w:t>Key Messages</w:t>
      </w:r>
    </w:p>
    <w:p w14:paraId="4FC7D747" w14:textId="77777777" w:rsidR="00512AA7" w:rsidRPr="005211E9" w:rsidRDefault="00512AA7">
      <w:pPr>
        <w:spacing w:after="200" w:line="276" w:lineRule="auto"/>
        <w:rPr>
          <w:rFonts w:asciiTheme="minorHAnsi" w:hAnsiTheme="minorHAnsi" w:cstheme="minorHAnsi"/>
          <w:b/>
          <w:bCs/>
          <w:sz w:val="24"/>
          <w:szCs w:val="24"/>
          <w:lang w:eastAsia="en-GB"/>
        </w:rPr>
      </w:pPr>
    </w:p>
    <w:p w14:paraId="6251633C" w14:textId="6C132C3E" w:rsidR="00512AA7" w:rsidRPr="005211E9" w:rsidRDefault="00512AA7" w:rsidP="005211E9">
      <w:pPr>
        <w:spacing w:after="100" w:afterAutospacing="1" w:line="360" w:lineRule="auto"/>
        <w:textAlignment w:val="baseline"/>
        <w:rPr>
          <w:rFonts w:ascii="inherit" w:hAnsi="inherit"/>
          <w:b/>
          <w:bCs/>
          <w:color w:val="000000"/>
          <w:sz w:val="24"/>
          <w:szCs w:val="24"/>
          <w:lang w:eastAsia="en-GB"/>
        </w:rPr>
      </w:pPr>
      <w:r w:rsidRPr="00512AA7">
        <w:rPr>
          <w:rFonts w:ascii="inherit" w:hAnsi="inherit"/>
          <w:b/>
          <w:bCs/>
          <w:color w:val="000000"/>
          <w:sz w:val="24"/>
          <w:szCs w:val="24"/>
          <w:lang w:eastAsia="en-GB"/>
        </w:rPr>
        <w:t>What is the key question?</w:t>
      </w:r>
      <w:r w:rsidR="005211E9" w:rsidRPr="005211E9">
        <w:rPr>
          <w:rFonts w:ascii="inherit" w:hAnsi="inherit"/>
          <w:b/>
          <w:bCs/>
          <w:color w:val="000000"/>
          <w:sz w:val="24"/>
          <w:szCs w:val="24"/>
          <w:lang w:eastAsia="en-GB"/>
        </w:rPr>
        <w:t xml:space="preserve"> </w:t>
      </w:r>
    </w:p>
    <w:p w14:paraId="6F4D26C4" w14:textId="344277A1" w:rsidR="005211E9" w:rsidRPr="00CC6216" w:rsidRDefault="005211E9" w:rsidP="005211E9">
      <w:pPr>
        <w:spacing w:after="100" w:afterAutospacing="1" w:line="360" w:lineRule="auto"/>
        <w:textAlignment w:val="baseline"/>
        <w:rPr>
          <w:rFonts w:ascii="inherit" w:hAnsi="inherit"/>
          <w:color w:val="000000"/>
          <w:sz w:val="24"/>
          <w:szCs w:val="24"/>
          <w:lang w:eastAsia="en-GB"/>
        </w:rPr>
      </w:pPr>
      <w:r>
        <w:rPr>
          <w:rFonts w:ascii="inherit" w:hAnsi="inherit"/>
          <w:color w:val="000000"/>
          <w:sz w:val="24"/>
          <w:szCs w:val="24"/>
          <w:lang w:eastAsia="en-GB"/>
        </w:rPr>
        <w:t xml:space="preserve">Which out of dynamic contrast enhanced CT (DCE-CT) and PET/CT is the most accurate and cost effective approach to the diagnosis of solitary pulmonary nodules between 8 and 30mm in </w:t>
      </w:r>
      <w:proofErr w:type="gramStart"/>
      <w:r>
        <w:rPr>
          <w:rFonts w:ascii="inherit" w:hAnsi="inherit"/>
          <w:color w:val="000000"/>
          <w:sz w:val="24"/>
          <w:szCs w:val="24"/>
          <w:lang w:eastAsia="en-GB"/>
        </w:rPr>
        <w:t>size.</w:t>
      </w:r>
      <w:proofErr w:type="gramEnd"/>
    </w:p>
    <w:p w14:paraId="6758D753" w14:textId="7DD529A8" w:rsidR="00512AA7" w:rsidRPr="005211E9" w:rsidRDefault="00512AA7" w:rsidP="005211E9">
      <w:pPr>
        <w:spacing w:after="100" w:afterAutospacing="1" w:line="360" w:lineRule="auto"/>
        <w:textAlignment w:val="baseline"/>
        <w:rPr>
          <w:rFonts w:ascii="inherit" w:hAnsi="inherit"/>
          <w:b/>
          <w:bCs/>
          <w:color w:val="000000"/>
          <w:sz w:val="24"/>
          <w:szCs w:val="24"/>
          <w:lang w:eastAsia="en-GB"/>
        </w:rPr>
      </w:pPr>
      <w:r w:rsidRPr="00512AA7">
        <w:rPr>
          <w:rFonts w:ascii="inherit" w:hAnsi="inherit"/>
          <w:b/>
          <w:bCs/>
          <w:color w:val="000000"/>
          <w:sz w:val="24"/>
          <w:szCs w:val="24"/>
          <w:lang w:eastAsia="en-GB"/>
        </w:rPr>
        <w:t>What is the bottom line?</w:t>
      </w:r>
    </w:p>
    <w:p w14:paraId="75AC06FE" w14:textId="6CE9FE54" w:rsidR="005211E9" w:rsidRPr="00512AA7" w:rsidRDefault="005211E9" w:rsidP="005211E9">
      <w:pPr>
        <w:spacing w:after="100" w:afterAutospacing="1" w:line="360" w:lineRule="auto"/>
        <w:textAlignment w:val="baseline"/>
        <w:rPr>
          <w:rFonts w:ascii="inherit" w:hAnsi="inherit"/>
          <w:color w:val="000000"/>
          <w:sz w:val="24"/>
          <w:szCs w:val="24"/>
          <w:lang w:eastAsia="en-GB"/>
        </w:rPr>
      </w:pPr>
      <w:r w:rsidRPr="005211E9">
        <w:rPr>
          <w:rFonts w:asciiTheme="minorHAnsi" w:hAnsiTheme="minorHAnsi" w:cstheme="minorHAnsi"/>
          <w:sz w:val="24"/>
          <w:szCs w:val="24"/>
        </w:rPr>
        <w:t>While DCE-CT is more sensitive, PET/CT has higher overall accuracy for the characterisation of solitary pulmonary nodules. Combining the metabolic and perfusion data from the two techniques may be more accurate and cost-effective.</w:t>
      </w:r>
    </w:p>
    <w:p w14:paraId="564985E2" w14:textId="1A836116" w:rsidR="00512AA7" w:rsidRDefault="00512AA7" w:rsidP="005211E9">
      <w:pPr>
        <w:spacing w:after="100" w:afterAutospacing="1" w:line="360" w:lineRule="auto"/>
        <w:textAlignment w:val="baseline"/>
        <w:rPr>
          <w:rFonts w:ascii="inherit" w:hAnsi="inherit"/>
          <w:b/>
          <w:bCs/>
          <w:color w:val="000000"/>
          <w:sz w:val="24"/>
          <w:szCs w:val="24"/>
          <w:lang w:eastAsia="en-GB"/>
        </w:rPr>
      </w:pPr>
      <w:r w:rsidRPr="00512AA7">
        <w:rPr>
          <w:rFonts w:ascii="inherit" w:hAnsi="inherit"/>
          <w:b/>
          <w:bCs/>
          <w:color w:val="000000"/>
          <w:sz w:val="24"/>
          <w:szCs w:val="24"/>
          <w:lang w:eastAsia="en-GB"/>
        </w:rPr>
        <w:t>Why read on?</w:t>
      </w:r>
    </w:p>
    <w:p w14:paraId="3D305425" w14:textId="5F5792C4" w:rsidR="005211E9" w:rsidRPr="00512AA7" w:rsidRDefault="00CC6216" w:rsidP="005211E9">
      <w:pPr>
        <w:spacing w:after="100" w:afterAutospacing="1" w:line="360" w:lineRule="auto"/>
        <w:textAlignment w:val="baseline"/>
        <w:rPr>
          <w:rFonts w:ascii="inherit" w:hAnsi="inherit"/>
          <w:color w:val="000000"/>
          <w:sz w:val="24"/>
          <w:szCs w:val="24"/>
          <w:lang w:eastAsia="en-GB"/>
        </w:rPr>
      </w:pPr>
      <w:r>
        <w:rPr>
          <w:rFonts w:ascii="inherit" w:hAnsi="inherit"/>
          <w:color w:val="000000"/>
          <w:sz w:val="24"/>
          <w:szCs w:val="24"/>
          <w:lang w:eastAsia="en-GB"/>
        </w:rPr>
        <w:t xml:space="preserve">Solitary pulmonary nodules form an opportunity to treat cancer at a potentially curative stage, however only a minority of nodules will be malignant. A cost effective and accurate technique is required to detect those that require treatment. </w:t>
      </w:r>
    </w:p>
    <w:p w14:paraId="2D8AB6DD" w14:textId="22FFF0DB" w:rsidR="00991719" w:rsidRPr="007A7515" w:rsidRDefault="00991719">
      <w:pPr>
        <w:spacing w:after="200" w:line="276" w:lineRule="auto"/>
        <w:rPr>
          <w:rFonts w:asciiTheme="minorHAnsi" w:eastAsiaTheme="majorEastAsia" w:hAnsiTheme="minorHAnsi" w:cstheme="minorHAnsi"/>
          <w:sz w:val="24"/>
          <w:szCs w:val="24"/>
          <w:lang w:eastAsia="en-GB"/>
        </w:rPr>
      </w:pPr>
      <w:r w:rsidRPr="007A7515">
        <w:rPr>
          <w:rFonts w:asciiTheme="minorHAnsi" w:hAnsiTheme="minorHAnsi" w:cstheme="minorHAnsi"/>
          <w:sz w:val="24"/>
          <w:szCs w:val="24"/>
          <w:lang w:eastAsia="en-GB"/>
        </w:rPr>
        <w:br w:type="page"/>
      </w:r>
    </w:p>
    <w:bookmarkEnd w:id="3"/>
    <w:bookmarkEnd w:id="4"/>
    <w:p w14:paraId="457C401B" w14:textId="35AE0546" w:rsidR="009D3549" w:rsidRPr="007A7515" w:rsidRDefault="00280810" w:rsidP="00E50FE3">
      <w:pPr>
        <w:pStyle w:val="Heading2"/>
        <w:numPr>
          <w:ilvl w:val="0"/>
          <w:numId w:val="0"/>
        </w:numPr>
        <w:rPr>
          <w:rFonts w:asciiTheme="minorHAnsi" w:hAnsiTheme="minorHAnsi"/>
        </w:rPr>
      </w:pPr>
      <w:r>
        <w:rPr>
          <w:rFonts w:asciiTheme="minorHAnsi" w:hAnsiTheme="minorHAnsi"/>
        </w:rPr>
        <w:lastRenderedPageBreak/>
        <w:t>Introduction</w:t>
      </w:r>
    </w:p>
    <w:p w14:paraId="13246AE0" w14:textId="4FC949A8" w:rsidR="00971F7A" w:rsidRPr="007A7515" w:rsidRDefault="00971F7A" w:rsidP="00971F7A">
      <w:pPr>
        <w:pStyle w:val="Default"/>
        <w:spacing w:line="360" w:lineRule="auto"/>
        <w:rPr>
          <w:rFonts w:asciiTheme="minorHAnsi" w:hAnsiTheme="minorHAnsi" w:cstheme="minorHAnsi"/>
          <w:color w:val="auto"/>
        </w:rPr>
      </w:pPr>
      <w:r w:rsidRPr="007A7515">
        <w:rPr>
          <w:rFonts w:asciiTheme="minorHAnsi" w:hAnsiTheme="minorHAnsi" w:cstheme="minorHAnsi"/>
          <w:color w:val="auto"/>
        </w:rPr>
        <w:t>Despite</w:t>
      </w:r>
      <w:r w:rsidR="00BA402D" w:rsidRPr="007A7515">
        <w:rPr>
          <w:rFonts w:asciiTheme="minorHAnsi" w:hAnsiTheme="minorHAnsi" w:cstheme="minorHAnsi"/>
          <w:color w:val="auto"/>
        </w:rPr>
        <w:t xml:space="preserve"> a</w:t>
      </w:r>
      <w:r w:rsidRPr="007A7515">
        <w:rPr>
          <w:rFonts w:asciiTheme="minorHAnsi" w:hAnsiTheme="minorHAnsi" w:cstheme="minorHAnsi"/>
          <w:color w:val="auto"/>
        </w:rPr>
        <w:t xml:space="preserve"> </w:t>
      </w:r>
      <w:r w:rsidR="008E1576" w:rsidRPr="007A7515">
        <w:rPr>
          <w:rFonts w:asciiTheme="minorHAnsi" w:hAnsiTheme="minorHAnsi" w:cstheme="minorHAnsi"/>
          <w:color w:val="auto"/>
        </w:rPr>
        <w:t>declining</w:t>
      </w:r>
      <w:r w:rsidRPr="007A7515">
        <w:rPr>
          <w:rFonts w:asciiTheme="minorHAnsi" w:hAnsiTheme="minorHAnsi" w:cstheme="minorHAnsi"/>
          <w:color w:val="auto"/>
        </w:rPr>
        <w:t xml:space="preserve"> incidence </w:t>
      </w:r>
      <w:r w:rsidR="00610ABB" w:rsidRPr="007A7515">
        <w:rPr>
          <w:rFonts w:asciiTheme="minorHAnsi" w:hAnsiTheme="minorHAnsi" w:cstheme="minorHAnsi"/>
          <w:color w:val="auto"/>
        </w:rPr>
        <w:t xml:space="preserve">in many first world countries, lung cancer remains the leading cause of cancer related </w:t>
      </w:r>
      <w:r w:rsidR="00672427" w:rsidRPr="007A7515">
        <w:rPr>
          <w:rFonts w:asciiTheme="minorHAnsi" w:hAnsiTheme="minorHAnsi" w:cstheme="minorHAnsi"/>
          <w:color w:val="auto"/>
        </w:rPr>
        <w:t xml:space="preserve">death </w:t>
      </w:r>
      <w:r w:rsidR="00610ABB" w:rsidRPr="007A7515">
        <w:rPr>
          <w:rFonts w:asciiTheme="minorHAnsi" w:hAnsiTheme="minorHAnsi" w:cstheme="minorHAnsi"/>
          <w:color w:val="auto"/>
        </w:rPr>
        <w:t xml:space="preserve">worldwide </w:t>
      </w:r>
      <w:r w:rsidR="00F3068D" w:rsidRPr="007A7515">
        <w:rPr>
          <w:rFonts w:asciiTheme="minorHAnsi" w:hAnsiTheme="minorHAnsi" w:cstheme="minorHAnsi"/>
          <w:color w:val="auto"/>
        </w:rPr>
        <w:fldChar w:fldCharType="begin" w:fldLock="1"/>
      </w:r>
      <w:r w:rsidR="00844534">
        <w:rPr>
          <w:rFonts w:asciiTheme="minorHAnsi" w:hAnsiTheme="minorHAnsi" w:cstheme="minorHAnsi"/>
          <w:color w:val="auto"/>
        </w:rPr>
        <w:instrText>ADDIN CSL_CITATION {"citationItems":[{"id":"ITEM-1","itemData":{"URL":"https://www.cancerresearchuk.org/health-professional/cancer-statistics/statistics-by-cancer-type/lung-cancer/incidence#heading-Zero","accessed":{"date-parts":[["2019","12","27"]]},"author":[{"dropping-particle":"","family":"Cancer Research UK","given":"","non-dropping-particle":"","parse-names":false,"suffix":""}],"id":"ITEM-1","issued":{"date-parts":[["2018"]]},"title":"Lung cancer incidence statistics","type":"webpage"},"uris":["http://www.mendeley.com/documents/?uuid=373fc491-41e2-3025-9b3a-64eb07f0296b","http://www.mendeley.com/documents/?uuid=38ced17d-5210-4d2e-9657-83c2965fa8ec"]}],"mendeley":{"formattedCitation":"&lt;sup&gt;1&lt;/sup&gt;","plainTextFormattedCitation":"1","previouslyFormattedCitation":"&lt;sup&gt;1&lt;/sup&gt;"},"properties":{"noteIndex":0},"schema":"https://github.com/citation-style-language/schema/raw/master/csl-citation.json"}</w:instrText>
      </w:r>
      <w:r w:rsidR="00F3068D" w:rsidRPr="007A7515">
        <w:rPr>
          <w:rFonts w:asciiTheme="minorHAnsi" w:hAnsiTheme="minorHAnsi" w:cstheme="minorHAnsi"/>
          <w:color w:val="auto"/>
        </w:rPr>
        <w:fldChar w:fldCharType="separate"/>
      </w:r>
      <w:r w:rsidR="007814CF" w:rsidRPr="007A7515">
        <w:rPr>
          <w:rFonts w:asciiTheme="minorHAnsi" w:hAnsiTheme="minorHAnsi" w:cstheme="minorHAnsi"/>
          <w:noProof/>
          <w:color w:val="auto"/>
          <w:vertAlign w:val="superscript"/>
        </w:rPr>
        <w:t>1</w:t>
      </w:r>
      <w:r w:rsidR="00F3068D" w:rsidRPr="007A7515">
        <w:rPr>
          <w:rFonts w:asciiTheme="minorHAnsi" w:hAnsiTheme="minorHAnsi" w:cstheme="minorHAnsi"/>
          <w:color w:val="auto"/>
        </w:rPr>
        <w:fldChar w:fldCharType="end"/>
      </w:r>
      <w:r w:rsidRPr="007A7515">
        <w:rPr>
          <w:rFonts w:asciiTheme="minorHAnsi" w:hAnsiTheme="minorHAnsi" w:cstheme="minorHAnsi"/>
          <w:color w:val="auto"/>
        </w:rPr>
        <w:t>. A proportion of patients with lung cancer present with a solitary pulmonary nodule (SPN) on diagnostic imaging tests</w:t>
      </w:r>
      <w:r w:rsidR="008E1576" w:rsidRPr="007A7515">
        <w:rPr>
          <w:rFonts w:asciiTheme="minorHAnsi" w:hAnsiTheme="minorHAnsi" w:cstheme="minorHAnsi"/>
          <w:color w:val="auto"/>
        </w:rPr>
        <w:t>, which</w:t>
      </w:r>
      <w:r w:rsidR="005B0A8D" w:rsidRPr="007A7515">
        <w:rPr>
          <w:rFonts w:asciiTheme="minorHAnsi" w:hAnsiTheme="minorHAnsi" w:cstheme="minorHAnsi"/>
          <w:color w:val="auto"/>
        </w:rPr>
        <w:t xml:space="preserve"> represents an important group of patients </w:t>
      </w:r>
      <w:r w:rsidR="00367478" w:rsidRPr="007A7515">
        <w:rPr>
          <w:rFonts w:asciiTheme="minorHAnsi" w:hAnsiTheme="minorHAnsi" w:cstheme="minorHAnsi"/>
          <w:color w:val="auto"/>
        </w:rPr>
        <w:t>as it</w:t>
      </w:r>
      <w:r w:rsidR="005B0A8D" w:rsidRPr="007A7515">
        <w:rPr>
          <w:rFonts w:asciiTheme="minorHAnsi" w:hAnsiTheme="minorHAnsi" w:cstheme="minorHAnsi"/>
          <w:color w:val="auto"/>
        </w:rPr>
        <w:t xml:space="preserve"> represents early disease with </w:t>
      </w:r>
      <w:r w:rsidRPr="007A7515">
        <w:rPr>
          <w:rFonts w:asciiTheme="minorHAnsi" w:hAnsiTheme="minorHAnsi" w:cstheme="minorHAnsi"/>
          <w:color w:val="auto"/>
        </w:rPr>
        <w:t xml:space="preserve">excellent survival rates following </w:t>
      </w:r>
      <w:r w:rsidR="005B0A8D" w:rsidRPr="007A7515">
        <w:rPr>
          <w:rFonts w:asciiTheme="minorHAnsi" w:hAnsiTheme="minorHAnsi" w:cstheme="minorHAnsi"/>
          <w:color w:val="auto"/>
        </w:rPr>
        <w:t xml:space="preserve"> radical treatment</w:t>
      </w:r>
      <w:r w:rsidR="00F3068D" w:rsidRPr="007A7515">
        <w:rPr>
          <w:rFonts w:asciiTheme="minorHAnsi" w:hAnsiTheme="minorHAnsi" w:cstheme="minorHAnsi"/>
          <w:color w:val="auto"/>
        </w:rPr>
        <w:fldChar w:fldCharType="begin" w:fldLock="1"/>
      </w:r>
      <w:r w:rsidR="00844534">
        <w:rPr>
          <w:rFonts w:asciiTheme="minorHAnsi" w:hAnsiTheme="minorHAnsi" w:cstheme="minorHAnsi"/>
          <w:color w:val="auto"/>
        </w:rPr>
        <w:instrText>ADDIN CSL_CITATION {"citationItems":[{"id":"ITEM-1","itemData":{"DOI":"10.1164/rccm.201705-0914OC","ISSN":"15354970","PMID":"28722466","abstract":"Rationale: The findings of the NLST (National Lung Screening Trial) are the basis for screening high-risk individuals according to age and smoking history. Although screening is covered for eligible Medicare beneficiaries, the generalizability of the NLST in the elderly population has been questioned.Objectives: Compare outcomes of patients diagnosed with stage 1 non–small cell lung cancer in the NLST to a nationally representative cohort of elderly patientsMethods: Analysis of Surveillance, Epidemiology, and End Results (SEER)-Medicare and NLST datasets for patients with stage 1 disease aged 65 to 74 years.Measurements and Main Results: Lung cancer–specific mortality, all-cause mortality, and 30-, 60-, and 90-day treatment mortality were measured. When compared with the NLST group undergoing surgery for stage 1 non–small cell lung cancer, those in the SEER-Medicare NLST eligible cohort had no difference in adjusted odds ratios for 30-, 60-, and 90-day surgical mortality (P values = 0.97, 0.65, and 0.46, ...","author":[{"dropping-particle":"","family":"Tanner","given":"Nichole T.","non-dropping-particle":"","parse-names":false,"suffix":""},{"dropping-particle":"","family":"Dai","given":"Lin","non-dropping-particle":"","parse-names":false,"suffix":""},{"dropping-particle":"","family":"Bade","given":"Brett C.","non-dropping-particle":"","parse-names":false,"suffix":""},{"dropping-particle":"","family":"Gebregziabher","given":"Mulugeta","non-dropping-particle":"","parse-names":false,"suffix":""},{"dropping-particle":"","family":"Silvestri","given":"Gerard A.","non-dropping-particle":"","parse-names":false,"suffix":""}],"container-title":"American Journal of Respiratory and Critical Care Medicine","id":"ITEM-1","issue":"5","issued":{"date-parts":[["2017"]]},"page":"602-608","title":"Assessing the generalizability of the national lung screening trial: Comparison of patients with stage 1 disease","type":"article-journal","volume":"196"},"uris":["http://www.mendeley.com/documents/?uuid=723121a6-1851-4603-b362-576bd7b9a739"]}],"mendeley":{"formattedCitation":"&lt;sup&gt;2&lt;/sup&gt;","plainTextFormattedCitation":"2","previouslyFormattedCitation":"&lt;sup&gt;2&lt;/sup&gt;"},"properties":{"noteIndex":0},"schema":"https://github.com/citation-style-language/schema/raw/master/csl-citation.json"}</w:instrText>
      </w:r>
      <w:r w:rsidR="00F3068D" w:rsidRPr="007A7515">
        <w:rPr>
          <w:rFonts w:asciiTheme="minorHAnsi" w:hAnsiTheme="minorHAnsi" w:cstheme="minorHAnsi"/>
          <w:color w:val="auto"/>
        </w:rPr>
        <w:fldChar w:fldCharType="separate"/>
      </w:r>
      <w:r w:rsidR="007814CF" w:rsidRPr="007A7515">
        <w:rPr>
          <w:rFonts w:asciiTheme="minorHAnsi" w:hAnsiTheme="minorHAnsi" w:cstheme="minorHAnsi"/>
          <w:noProof/>
          <w:color w:val="auto"/>
          <w:vertAlign w:val="superscript"/>
        </w:rPr>
        <w:t>2</w:t>
      </w:r>
      <w:r w:rsidR="00F3068D" w:rsidRPr="007A7515">
        <w:rPr>
          <w:rFonts w:asciiTheme="minorHAnsi" w:hAnsiTheme="minorHAnsi" w:cstheme="minorHAnsi"/>
          <w:color w:val="auto"/>
        </w:rPr>
        <w:fldChar w:fldCharType="end"/>
      </w:r>
      <w:r w:rsidRPr="007A7515">
        <w:rPr>
          <w:rFonts w:asciiTheme="minorHAnsi" w:hAnsiTheme="minorHAnsi" w:cstheme="minorHAnsi"/>
          <w:color w:val="auto"/>
        </w:rPr>
        <w:t xml:space="preserve">. However, not all SPNs are due to lung cancer and the accurate characterisation of SPNs is an on-going diagnostic challenge with significant associated health costs. With the advent of </w:t>
      </w:r>
      <w:r w:rsidR="003C222B" w:rsidRPr="007A7515">
        <w:rPr>
          <w:rFonts w:asciiTheme="minorHAnsi" w:hAnsiTheme="minorHAnsi" w:cstheme="minorHAnsi"/>
          <w:color w:val="auto"/>
        </w:rPr>
        <w:t>national lung cancer screening programs</w:t>
      </w:r>
      <w:r w:rsidR="005B0A8D" w:rsidRPr="007A7515">
        <w:rPr>
          <w:rFonts w:asciiTheme="minorHAnsi" w:hAnsiTheme="minorHAnsi" w:cstheme="minorHAnsi"/>
          <w:color w:val="auto"/>
        </w:rPr>
        <w:t>,</w:t>
      </w:r>
      <w:r w:rsidR="00275C1C" w:rsidRPr="007A7515">
        <w:rPr>
          <w:rFonts w:asciiTheme="minorHAnsi" w:hAnsiTheme="minorHAnsi" w:cstheme="minorHAnsi"/>
          <w:color w:val="auto"/>
        </w:rPr>
        <w:t xml:space="preserve"> </w:t>
      </w:r>
      <w:r w:rsidRPr="007A7515">
        <w:rPr>
          <w:rFonts w:asciiTheme="minorHAnsi" w:hAnsiTheme="minorHAnsi" w:cstheme="minorHAnsi"/>
          <w:color w:val="auto"/>
        </w:rPr>
        <w:t>the number of patients with a SPN requiring further investigation will increase substantially</w:t>
      </w:r>
      <w:r w:rsidR="00437A17">
        <w:rPr>
          <w:rFonts w:asciiTheme="minorHAnsi" w:hAnsiTheme="minorHAnsi" w:cstheme="minorHAnsi"/>
          <w:color w:val="auto"/>
        </w:rPr>
        <w:t xml:space="preserve"> </w:t>
      </w:r>
      <w:r w:rsidR="00437A17">
        <w:rPr>
          <w:rFonts w:asciiTheme="minorHAnsi" w:hAnsiTheme="minorHAnsi" w:cstheme="minorHAnsi"/>
          <w:color w:val="auto"/>
        </w:rPr>
        <w:fldChar w:fldCharType="begin" w:fldLock="1"/>
      </w:r>
      <w:r w:rsidR="00437A17">
        <w:rPr>
          <w:rFonts w:asciiTheme="minorHAnsi" w:hAnsiTheme="minorHAnsi" w:cstheme="minorHAnsi"/>
          <w:color w:val="auto"/>
        </w:rPr>
        <w:instrText>ADDIN CSL_CITATION {"citationItems":[{"id":"ITEM-1","itemData":{"DOI":"10.1136/thoraxjnl-2015-207140","ISBN":"0040-6376","ISSN":"14683296","PMID":"26645413","abstract":"BACKGROUND: Lung cancer screening using low-dose CT (LDCT) was shown to reduce lung cancer mortality by 20% in the National Lung Screening Trial.\\n\\nMETHODS: The pilot UK Lung Cancer Screening (UKLS) is a randomised controlled trial of LDCT screening for lung cancer versus usual care. A population-based questionnaire was used to identify high-risk individuals. CT screen-detected nodules were managed by a pre-specified protocol. Cost effectiveness was modelled with reference to the National Lung Cancer Screening Trial mortality reduction.\\n\\nRESULTS: 247 354 individuals aged 50-75 years were approached; 30.7% expressed an interest, 8729 (11.5%) were eligible and 4055 were randomised, 2028 into the CT arm (1994 underwent a CT). Forty-two participants (2.1%) had confirmed lung cancer, 34 (1.7%) at baseline and 8 (0.4%) at the 12-month scan. 28/42 (66.7%) had stage I disease, 36/42 (85.7%) had stage I or II disease. 35/42 (83.3%) had surgical resection. 536 subjects had nodules greater than 50 mm(3) or 5 mm diameter and 41/536 were found to have lung cancer. One further cancer was detected by follow-up of nodules between 15 and 50 mm(3) at 12 months. The baseline estimate for the incremental cost-effectiveness ratio of once-only CT screening, under the UKLS protocol, was £8466 per quality adjusted life year gained (CI £5542 to £12 569).\\n\\nCONCLUSIONS: The UKLS pilot trial demonstrated that it is possible to detect lung cancer at an early stage and deliver potentially curative treatment in over 80% of cases. Health economic analysis suggests that the intervention would be cost effective-this needs to be confirmed using data on observed lung cancer mortality reduction.\\n\\nTRIAL REGISTRATION: ISRCTN 78513845.","author":[{"dropping-particle":"","family":"Field","given":"J. K.","non-dropping-particle":"","parse-names":false,"suffix":""},{"dropping-particle":"","family":"Duffy","given":"S. W.","non-dropping-particle":"","parse-names":false,"suffix":""},{"dropping-particle":"","family":"Baldwin","given":"D. R.","non-dropping-particle":"","parse-names":false,"suffix":""},{"dropping-particle":"","family":"Whynes","given":"D. K.","non-dropping-particle":"","parse-names":false,"suffix":""},{"dropping-particle":"","family":"Devaraj","given":"A.","non-dropping-particle":"","parse-names":false,"suffix":""},{"dropping-particle":"","family":"Brain","given":"K. E.","non-dropping-particle":"","parse-names":false,"suffix":""},{"dropping-particle":"","family":"Eisen","given":"T.","non-dropping-particle":"","parse-names":false,"suffix":""},{"dropping-particle":"","family":"Gosney","given":"J.","non-dropping-particle":"","parse-names":false,"suffix":""},{"dropping-particle":"","family":"Green","given":"B. A.","non-dropping-particle":"","parse-names":false,"suffix":""},{"dropping-particle":"","family":"Holemans","given":"J. A.","non-dropping-particle":"","parse-names":false,"suffix":""},{"dropping-particle":"","family":"Kavanagh","given":"T.","non-dropping-particle":"","parse-names":false,"suffix":""},{"dropping-particle":"","family":"Kerr","given":"K. M.","non-dropping-particle":"","parse-names":false,"suffix":""},{"dropping-particle":"","family":"Ledson","given":"M.","non-dropping-particle":"","parse-names":false,"suffix":""},{"dropping-particle":"","family":"Lifford","given":"K. J.","non-dropping-particle":"","parse-names":false,"suffix":""},{"dropping-particle":"","family":"McRonald","given":"F. E.","non-dropping-particle":"","parse-names":false,"suffix":""},{"dropping-particle":"","family":"Nair","given":"A.","non-dropping-particle":"","parse-names":false,"suffix":""},{"dropping-particle":"","family":"Page","given":"R. D.","non-dropping-particle":"","parse-names":false,"suffix":""},{"dropping-particle":"","family":"Parmar","given":"M. K.B.","non-dropping-particle":"","parse-names":false,"suffix":""},{"dropping-particle":"","family":"Rassl","given":"D. M.","non-dropping-particle":"","parse-names":false,"suffix":""},{"dropping-particle":"","family":"Rintoul","given":"R. C.","non-dropping-particle":"","parse-names":false,"suffix":""},{"dropping-particle":"","family":"Screaton","given":"N. J.","non-dropping-particle":"","parse-names":false,"suffix":""},{"dropping-particle":"","family":"Wald","given":"N. J.","non-dropping-particle":"","parse-names":false,"suffix":""},{"dropping-particle":"","family":"Weller","given":"D.","non-dropping-particle":"","parse-names":false,"suffix":""},{"dropping-particle":"","family":"Williamson","given":"P. R.","non-dropping-particle":"","parse-names":false,"suffix":""},{"dropping-particle":"","family":"Yadegarfar","given":"G.","non-dropping-particle":"","parse-names":false,"suffix":""},{"dropping-particle":"","family":"Hansell","given":"D. M.","non-dropping-particle":"","parse-names":false,"suffix":""}],"container-title":"Thorax","id":"ITEM-1","issue":"2","issued":{"date-parts":[["2016"]]},"page":"161-170","title":"UK Lung Cancer RCT Pilot Screening Trial: Baseline findings from the screening arm provide evidence for the potential implementation of lung cancer screening","type":"article-journal","volume":"71"},"uris":["http://www.mendeley.com/documents/?uuid=48cc7fde-0055-4681-820f-f74b1ebab654"]}],"mendeley":{"formattedCitation":"&lt;sup&gt;3&lt;/sup&gt;","plainTextFormattedCitation":"3","previouslyFormattedCitation":"&lt;sup&gt;3&lt;/sup&gt;"},"properties":{"noteIndex":0},"schema":"https://github.com/citation-style-language/schema/raw/master/csl-citation.json"}</w:instrText>
      </w:r>
      <w:r w:rsidR="00437A17">
        <w:rPr>
          <w:rFonts w:asciiTheme="minorHAnsi" w:hAnsiTheme="minorHAnsi" w:cstheme="minorHAnsi"/>
          <w:color w:val="auto"/>
        </w:rPr>
        <w:fldChar w:fldCharType="separate"/>
      </w:r>
      <w:r w:rsidR="00437A17" w:rsidRPr="00437A17">
        <w:rPr>
          <w:rFonts w:asciiTheme="minorHAnsi" w:hAnsiTheme="minorHAnsi" w:cstheme="minorHAnsi"/>
          <w:noProof/>
          <w:color w:val="auto"/>
          <w:vertAlign w:val="superscript"/>
        </w:rPr>
        <w:t>3</w:t>
      </w:r>
      <w:r w:rsidR="00437A17">
        <w:rPr>
          <w:rFonts w:asciiTheme="minorHAnsi" w:hAnsiTheme="minorHAnsi" w:cstheme="minorHAnsi"/>
          <w:color w:val="auto"/>
        </w:rPr>
        <w:fldChar w:fldCharType="end"/>
      </w:r>
      <w:r w:rsidR="00C73662">
        <w:rPr>
          <w:rFonts w:asciiTheme="minorHAnsi" w:hAnsiTheme="minorHAnsi" w:cstheme="minorHAnsi"/>
          <w:color w:val="auto"/>
        </w:rPr>
        <w:t>.</w:t>
      </w:r>
    </w:p>
    <w:p w14:paraId="1E418DD0" w14:textId="77777777" w:rsidR="00971F7A" w:rsidRPr="007A7515" w:rsidRDefault="00971F7A" w:rsidP="0089693A">
      <w:pPr>
        <w:pStyle w:val="NoSpacing"/>
        <w:rPr>
          <w:rFonts w:asciiTheme="minorHAnsi" w:hAnsiTheme="minorHAnsi" w:cstheme="minorHAnsi"/>
          <w:szCs w:val="24"/>
        </w:rPr>
      </w:pPr>
    </w:p>
    <w:p w14:paraId="2C1AB062" w14:textId="375CA9BD" w:rsidR="0089693A" w:rsidRPr="007A7515" w:rsidRDefault="0089693A" w:rsidP="0089693A">
      <w:pPr>
        <w:pStyle w:val="NoSpacing"/>
        <w:rPr>
          <w:rFonts w:asciiTheme="minorHAnsi" w:hAnsiTheme="minorHAnsi" w:cstheme="minorHAnsi"/>
          <w:szCs w:val="24"/>
        </w:rPr>
      </w:pPr>
      <w:r w:rsidRPr="007A7515">
        <w:rPr>
          <w:rFonts w:asciiTheme="minorHAnsi" w:hAnsiTheme="minorHAnsi" w:cstheme="minorHAnsi"/>
          <w:szCs w:val="24"/>
        </w:rPr>
        <w:t>Due to the association between nodule size and likelihood of malignancy</w:t>
      </w:r>
      <w:r w:rsidR="000F157F" w:rsidRPr="007A7515">
        <w:rPr>
          <w:rFonts w:asciiTheme="minorHAnsi" w:hAnsiTheme="minorHAnsi" w:cstheme="minorHAnsi"/>
          <w:szCs w:val="24"/>
        </w:rPr>
        <w:t>,</w:t>
      </w:r>
      <w:r w:rsidRPr="007A7515">
        <w:rPr>
          <w:rFonts w:asciiTheme="minorHAnsi" w:hAnsiTheme="minorHAnsi" w:cstheme="minorHAnsi"/>
          <w:szCs w:val="24"/>
        </w:rPr>
        <w:t xml:space="preserve"> current management strategies are directed by nodule size. Nodules &lt;5mm require no follow-up, while nodules </w:t>
      </w:r>
      <w:r w:rsidR="005B0A8D" w:rsidRPr="007A7515">
        <w:rPr>
          <w:rFonts w:asciiTheme="minorHAnsi" w:hAnsiTheme="minorHAnsi" w:cstheme="minorHAnsi"/>
          <w:szCs w:val="24"/>
        </w:rPr>
        <w:t xml:space="preserve"> ≥</w:t>
      </w:r>
      <w:r w:rsidRPr="007A7515">
        <w:rPr>
          <w:rFonts w:asciiTheme="minorHAnsi" w:hAnsiTheme="minorHAnsi" w:cstheme="minorHAnsi"/>
          <w:szCs w:val="24"/>
        </w:rPr>
        <w:t xml:space="preserve">8mm in diameter require further diagnostic work-up with </w:t>
      </w:r>
      <w:r w:rsidR="005B0A8D" w:rsidRPr="007A7515">
        <w:rPr>
          <w:rFonts w:asciiTheme="minorHAnsi" w:hAnsiTheme="minorHAnsi" w:cstheme="minorHAnsi"/>
          <w:szCs w:val="24"/>
          <w:vertAlign w:val="superscript"/>
        </w:rPr>
        <w:t>18</w:t>
      </w:r>
      <w:r w:rsidR="005B0A8D" w:rsidRPr="007A7515">
        <w:rPr>
          <w:rFonts w:asciiTheme="minorHAnsi" w:hAnsiTheme="minorHAnsi" w:cstheme="minorHAnsi"/>
          <w:szCs w:val="24"/>
        </w:rPr>
        <w:t>Fluorine Fluorodeoxyglucose</w:t>
      </w:r>
      <w:r w:rsidR="009864EC">
        <w:rPr>
          <w:rFonts w:asciiTheme="minorHAnsi" w:hAnsiTheme="minorHAnsi" w:cstheme="minorHAnsi"/>
          <w:szCs w:val="24"/>
        </w:rPr>
        <w:t xml:space="preserve"> (</w:t>
      </w:r>
      <w:r w:rsidR="009864EC" w:rsidRPr="00646CD7">
        <w:rPr>
          <w:rFonts w:asciiTheme="minorHAnsi" w:hAnsiTheme="minorHAnsi" w:cstheme="minorHAnsi"/>
          <w:szCs w:val="24"/>
          <w:vertAlign w:val="superscript"/>
        </w:rPr>
        <w:t>18</w:t>
      </w:r>
      <w:r w:rsidR="009864EC" w:rsidRPr="007A7515">
        <w:rPr>
          <w:rFonts w:asciiTheme="minorHAnsi" w:hAnsiTheme="minorHAnsi" w:cstheme="minorHAnsi"/>
          <w:szCs w:val="24"/>
        </w:rPr>
        <w:t>F-FDG</w:t>
      </w:r>
      <w:r w:rsidR="009864EC">
        <w:rPr>
          <w:rFonts w:asciiTheme="minorHAnsi" w:hAnsiTheme="minorHAnsi" w:cstheme="minorHAnsi"/>
          <w:szCs w:val="24"/>
        </w:rPr>
        <w:t>)</w:t>
      </w:r>
      <w:r w:rsidR="005B0A8D" w:rsidRPr="007A7515">
        <w:rPr>
          <w:rFonts w:asciiTheme="minorHAnsi" w:hAnsiTheme="minorHAnsi" w:cstheme="minorHAnsi"/>
          <w:szCs w:val="24"/>
        </w:rPr>
        <w:t xml:space="preserve"> </w:t>
      </w:r>
      <w:r w:rsidR="003A134F" w:rsidRPr="007A7515">
        <w:rPr>
          <w:rFonts w:asciiTheme="minorHAnsi" w:hAnsiTheme="minorHAnsi" w:cstheme="minorHAnsi"/>
          <w:szCs w:val="24"/>
        </w:rPr>
        <w:t xml:space="preserve">Positron Emission Tomography/Computed Tomography (PET/CT) </w:t>
      </w:r>
      <w:r w:rsidRPr="007A7515">
        <w:rPr>
          <w:rFonts w:asciiTheme="minorHAnsi" w:hAnsiTheme="minorHAnsi" w:cstheme="minorHAnsi"/>
          <w:szCs w:val="24"/>
        </w:rPr>
        <w:t>or biopsy</w:t>
      </w:r>
      <w:r w:rsidR="000C6170" w:rsidRPr="007A7515">
        <w:rPr>
          <w:rFonts w:asciiTheme="minorHAnsi" w:hAnsiTheme="minorHAnsi" w:cstheme="minorHAnsi"/>
          <w:szCs w:val="24"/>
        </w:rPr>
        <w:t xml:space="preserve"> </w:t>
      </w:r>
      <w:r w:rsidR="000C6170"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{"citationItems":[{"id":"ITEM-1","itemData":{"DOI":"10.1136/thoraxjnl-2015-207168","ISSN":"1468-3296","PMID":"26082159","author":[{"dropping-particle":"","family":"Callister","given":"M E J","non-dropping-particle":"","parse-names":false,"suffix":""},{"dropping-particle":"","family":"Baldwin","given":"David R","non-dropping-particle":"","parse-names":false,"suffix":""},{"dropping-particle":"","family":"Akram","given":"A R","non-dropping-particle":"","parse-names":false,"suffix":""},{"dropping-particle":"","family":"Barnard","given":"S","non-dropping-particle":"","parse-names":false,"suffix":""},{"dropping-particle":"","family":"Cane","given":"P","non-dropping-particle":"","parse-names":false,"suffix":""},{"dropping-particle":"","family":"Draffan","given":"J","non-dropping-particle":"","parse-names":false,"suffix":""},{"dropping-particle":"","family":"Franks","given":"K","non-dropping-particle":"","parse-names":false,"suffix":""},{"dropping-particle":"","family":"Gleeson","given":"F","non-dropping-particle":"","parse-names":false,"suffix":""},{"dropping-particle":"","family":"Graham","given":"R","non-dropping-particle":"","parse-names":false,"suffix":""},{"dropping-particle":"","family":"Malhotra","given":"P","non-dropping-particle":"","parse-names":false,"suffix":""},{"dropping-particle":"","family":"Prokop","given":"M","non-dropping-particle":"","parse-names":false,"suffix":""},{"dropping-particle":"","family":"Rodger","given":"K","non-dropping-particle":"","parse-names":false,"suffix":""},{"dropping-particle":"","family":"Subesinghe","given":"M","non-dropping-particle":"","parse-names":false,"suffix":""},{"dropping-particle":"","family":"Waller","given":"D","non-dropping-particle":"","parse-names":false,"suffix":""},{"dropping-particle":"","family":"Woolhouse","given":"I","non-dropping-particle":"","parse-names":false,"suffix":""},{"dropping-particle":"","family":"British Thoracic Society Pulmonary Nodule Guideline Development Group","given":"","non-dropping-particle":"","parse-names":false,"suffix":""},{"dropping-particle":"","family":"British Thoracic Society Standards of Care Committee","given":"","non-dropping-particle":"","parse-names":false,"suffix":""}],"container-title":"Thorax","id":"ITEM-1","issue":"8","issued":{"date-parts":[["2015","8"]]},"page":"ii1-ii54","title":"British Thoracic Society guidelines for the investigation and management of pulmonary nodules.","type":"article-journal","volume":"70 Suppl 2"},"uris":["http://www.mendeley.com/documents/?uuid=336f502f-4bcb-4af0-9fa5-d9658d01631a"]}],"mendeley":{"formattedCitation":"&lt;sup&gt;4&lt;/sup&gt;","plainTextFormattedCitation":"4","previouslyFormattedCitation":"&lt;sup&gt;4&lt;/sup&gt;"},"properties":{"noteIndex":0},"schema":"https://github.com/citation-style-language/schema/raw/master/csl-citation.json"}</w:instrText>
      </w:r>
      <w:r w:rsidR="000C6170"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4</w:t>
      </w:r>
      <w:r w:rsidR="000C6170" w:rsidRPr="007A7515">
        <w:rPr>
          <w:rFonts w:asciiTheme="minorHAnsi" w:hAnsiTheme="minorHAnsi" w:cstheme="minorHAnsi"/>
          <w:szCs w:val="24"/>
        </w:rPr>
        <w:fldChar w:fldCharType="end"/>
      </w:r>
      <w:r w:rsidR="00F1569E" w:rsidRPr="007A7515">
        <w:rPr>
          <w:rFonts w:asciiTheme="minorHAnsi" w:hAnsiTheme="minorHAnsi" w:cstheme="minorHAnsi"/>
          <w:szCs w:val="24"/>
        </w:rPr>
        <w:t>.</w:t>
      </w:r>
      <w:r w:rsidRPr="007A7515">
        <w:rPr>
          <w:rFonts w:asciiTheme="minorHAnsi" w:hAnsiTheme="minorHAnsi" w:cstheme="minorHAnsi"/>
          <w:szCs w:val="24"/>
        </w:rPr>
        <w:t xml:space="preserve"> </w:t>
      </w:r>
      <w:r w:rsidR="005B0A8D" w:rsidRPr="007A7515">
        <w:rPr>
          <w:rFonts w:asciiTheme="minorHAnsi" w:hAnsiTheme="minorHAnsi" w:cstheme="minorHAnsi"/>
          <w:szCs w:val="24"/>
        </w:rPr>
        <w:t>However, both procedures are not without limitations</w:t>
      </w:r>
      <w:r w:rsidR="005946E9" w:rsidRPr="007A7515">
        <w:rPr>
          <w:rFonts w:asciiTheme="minorHAnsi" w:hAnsiTheme="minorHAnsi" w:cstheme="minorHAnsi"/>
          <w:szCs w:val="24"/>
        </w:rPr>
        <w:t>;</w:t>
      </w:r>
      <w:r w:rsidRPr="007A7515">
        <w:rPr>
          <w:rFonts w:asciiTheme="minorHAnsi" w:hAnsiTheme="minorHAnsi" w:cstheme="minorHAnsi"/>
          <w:szCs w:val="24"/>
        </w:rPr>
        <w:t xml:space="preserve"> </w:t>
      </w:r>
      <w:r w:rsidR="0024586F" w:rsidRPr="007A7515">
        <w:rPr>
          <w:rFonts w:asciiTheme="minorHAnsi" w:hAnsiTheme="minorHAnsi" w:cstheme="minorHAnsi"/>
          <w:szCs w:val="24"/>
        </w:rPr>
        <w:t xml:space="preserve">biopsy </w:t>
      </w:r>
      <w:r w:rsidR="00124114" w:rsidRPr="007A7515">
        <w:rPr>
          <w:rFonts w:asciiTheme="minorHAnsi" w:hAnsiTheme="minorHAnsi" w:cstheme="minorHAnsi"/>
          <w:szCs w:val="24"/>
        </w:rPr>
        <w:t xml:space="preserve">is </w:t>
      </w:r>
      <w:proofErr w:type="gramStart"/>
      <w:r w:rsidR="00124114" w:rsidRPr="007A7515">
        <w:rPr>
          <w:rFonts w:asciiTheme="minorHAnsi" w:hAnsiTheme="minorHAnsi" w:cstheme="minorHAnsi"/>
          <w:szCs w:val="24"/>
        </w:rPr>
        <w:t>invasive</w:t>
      </w:r>
      <w:proofErr w:type="gramEnd"/>
      <w:r w:rsidR="00124114" w:rsidRPr="007A7515">
        <w:rPr>
          <w:rFonts w:asciiTheme="minorHAnsi" w:hAnsiTheme="minorHAnsi" w:cstheme="minorHAnsi"/>
          <w:szCs w:val="24"/>
        </w:rPr>
        <w:t xml:space="preserve"> </w:t>
      </w:r>
      <w:r w:rsidR="0024586F" w:rsidRPr="007A7515">
        <w:rPr>
          <w:rFonts w:asciiTheme="minorHAnsi" w:hAnsiTheme="minorHAnsi" w:cstheme="minorHAnsi"/>
          <w:szCs w:val="24"/>
        </w:rPr>
        <w:t xml:space="preserve">and </w:t>
      </w:r>
      <w:r w:rsidR="003A134F" w:rsidRPr="007A7515">
        <w:rPr>
          <w:rFonts w:asciiTheme="minorHAnsi" w:hAnsiTheme="minorHAnsi" w:cstheme="minorHAnsi"/>
          <w:szCs w:val="24"/>
          <w:lang w:eastAsia="en-GB"/>
        </w:rPr>
        <w:t xml:space="preserve">PET/CT </w:t>
      </w:r>
      <w:r w:rsidR="00124114" w:rsidRPr="007A7515">
        <w:rPr>
          <w:rFonts w:asciiTheme="minorHAnsi" w:hAnsiTheme="minorHAnsi" w:cstheme="minorHAnsi"/>
          <w:szCs w:val="24"/>
        </w:rPr>
        <w:t>is</w:t>
      </w:r>
      <w:r w:rsidRPr="007A7515">
        <w:rPr>
          <w:rFonts w:asciiTheme="minorHAnsi" w:hAnsiTheme="minorHAnsi" w:cstheme="minorHAnsi"/>
          <w:szCs w:val="24"/>
        </w:rPr>
        <w:t xml:space="preserve"> expensive and </w:t>
      </w:r>
      <w:r w:rsidR="005946E9" w:rsidRPr="007A7515">
        <w:rPr>
          <w:rFonts w:asciiTheme="minorHAnsi" w:hAnsiTheme="minorHAnsi" w:cstheme="minorHAnsi"/>
          <w:szCs w:val="24"/>
        </w:rPr>
        <w:t>has limited availability</w:t>
      </w:r>
      <w:r w:rsidRPr="007A7515">
        <w:rPr>
          <w:rFonts w:asciiTheme="minorHAnsi" w:hAnsiTheme="minorHAnsi" w:cstheme="minorHAnsi"/>
          <w:szCs w:val="24"/>
        </w:rPr>
        <w:t xml:space="preserve">. </w:t>
      </w:r>
      <w:r w:rsidR="008C0216" w:rsidRPr="007A7515">
        <w:rPr>
          <w:rFonts w:asciiTheme="minorHAnsi" w:hAnsiTheme="minorHAnsi" w:cstheme="minorHAnsi"/>
          <w:szCs w:val="24"/>
        </w:rPr>
        <w:t xml:space="preserve"> </w:t>
      </w:r>
      <w:r w:rsidRPr="007A7515">
        <w:rPr>
          <w:rFonts w:asciiTheme="minorHAnsi" w:hAnsiTheme="minorHAnsi" w:cstheme="minorHAnsi"/>
          <w:szCs w:val="24"/>
        </w:rPr>
        <w:t xml:space="preserve">Dynamic contrast-enhanced computed tomography (DCE-CT) </w:t>
      </w:r>
      <w:r w:rsidR="00220917" w:rsidRPr="007A7515">
        <w:rPr>
          <w:rFonts w:asciiTheme="minorHAnsi" w:hAnsiTheme="minorHAnsi" w:cstheme="minorHAnsi"/>
          <w:szCs w:val="24"/>
        </w:rPr>
        <w:t xml:space="preserve">allows </w:t>
      </w:r>
      <w:r w:rsidRPr="007A7515">
        <w:rPr>
          <w:rFonts w:asciiTheme="minorHAnsi" w:hAnsiTheme="minorHAnsi" w:cstheme="minorHAnsi"/>
          <w:szCs w:val="24"/>
        </w:rPr>
        <w:t>quantifi</w:t>
      </w:r>
      <w:r w:rsidR="00220917" w:rsidRPr="007A7515">
        <w:rPr>
          <w:rFonts w:asciiTheme="minorHAnsi" w:hAnsiTheme="minorHAnsi" w:cstheme="minorHAnsi"/>
          <w:szCs w:val="24"/>
        </w:rPr>
        <w:t xml:space="preserve">cation </w:t>
      </w:r>
      <w:r w:rsidRPr="007A7515">
        <w:rPr>
          <w:rFonts w:asciiTheme="minorHAnsi" w:hAnsiTheme="minorHAnsi" w:cstheme="minorHAnsi"/>
          <w:szCs w:val="24"/>
        </w:rPr>
        <w:t xml:space="preserve">of </w:t>
      </w:r>
      <w:r w:rsidR="00220917" w:rsidRPr="007A7515">
        <w:rPr>
          <w:rFonts w:asciiTheme="minorHAnsi" w:hAnsiTheme="minorHAnsi" w:cstheme="minorHAnsi"/>
          <w:szCs w:val="24"/>
        </w:rPr>
        <w:t xml:space="preserve">the </w:t>
      </w:r>
      <w:r w:rsidRPr="007A7515">
        <w:rPr>
          <w:rFonts w:asciiTheme="minorHAnsi" w:hAnsiTheme="minorHAnsi" w:cstheme="minorHAnsi"/>
          <w:szCs w:val="24"/>
        </w:rPr>
        <w:t xml:space="preserve">enhancement of pulmonary nodules following </w:t>
      </w:r>
      <w:r w:rsidR="005946E9" w:rsidRPr="007A7515">
        <w:rPr>
          <w:rFonts w:asciiTheme="minorHAnsi" w:hAnsiTheme="minorHAnsi" w:cstheme="minorHAnsi"/>
          <w:szCs w:val="24"/>
        </w:rPr>
        <w:t xml:space="preserve">administration of </w:t>
      </w:r>
      <w:r w:rsidRPr="007A7515">
        <w:rPr>
          <w:rFonts w:asciiTheme="minorHAnsi" w:hAnsiTheme="minorHAnsi" w:cstheme="minorHAnsi"/>
          <w:szCs w:val="24"/>
        </w:rPr>
        <w:t>intravenous iodine</w:t>
      </w:r>
      <w:r w:rsidR="009A255B" w:rsidRPr="007A7515">
        <w:rPr>
          <w:rFonts w:asciiTheme="minorHAnsi" w:hAnsiTheme="minorHAnsi" w:cstheme="minorHAnsi"/>
          <w:szCs w:val="24"/>
        </w:rPr>
        <w:t>-</w:t>
      </w:r>
      <w:r w:rsidRPr="007A7515">
        <w:rPr>
          <w:rFonts w:asciiTheme="minorHAnsi" w:hAnsiTheme="minorHAnsi" w:cstheme="minorHAnsi"/>
          <w:szCs w:val="24"/>
        </w:rPr>
        <w:t>based contrast</w:t>
      </w:r>
      <w:r w:rsidR="003A134F" w:rsidRPr="007A7515">
        <w:rPr>
          <w:rFonts w:asciiTheme="minorHAnsi" w:hAnsiTheme="minorHAnsi" w:cstheme="minorHAnsi"/>
          <w:szCs w:val="24"/>
        </w:rPr>
        <w:t xml:space="preserve"> material</w:t>
      </w:r>
      <w:r w:rsidR="000C6170"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{"citationItems":[{"id":"ITEM-1","itemData":{"DOI":"10.1148/radiol.2463062148","ISBN":"1527-1315","ISSN":"0033-8419","PMID":"18235105","abstract":"PURPOSE: To perform a meta-analysis to estimate the diagnostic accuracy of dynamic contrast material-enhanced computed tomography (CT) and magnetic resonance (MR) imaging, fluorine 18 fluorodeoxyglucose (FDG) positron emission tomography (PET), and technetium 99m ((99m)Tc) depreotide single photon emission computed tomography (SPECT) for evaluation of solitary pulmonary nodules (SPNs). MATERIALS AND METHODS: Data sources were studies published in PubMed between January 1990 and December 2005. The selected investigations were comparative and noncomparative diagnostic cohort studies to examine the operating characteristics of the four imaging modalities for evaluation of SPNs, involving at least 10 enrolled participants with histologic confirmation and having sufficient data to calculate contingency tables. A random coefficient binary regression model with disease probability conditioned on test results was used to summarize test performance and construct summary receiver operating characteristic (ROC) curves. Sensitivities, specificities, predictive values, diagnostic odds ratios, and areas under the ROC curve were calculated. RESULTS: Forty-four studies--10 dynamic CT, six dynamic MR, 22 FDG PET, and seven (99m)Tc-depreotide SPECT--met the inclusion criteria. (One study was included in both the FDG PET and SPECT groups.) Sensitivities, specificities, positive predictive values, negative predictive values, diagnostic odds ratios, and areas under the ROC curve were, respectively, 0.93 (95% confidence interval [CI]: 0.88, 0.97), 0.76 (95% CI: 0.68, 0.97), 0.80 (95% CI: 0.74, 0.86), 0.95 (95% CI: 0.93, 0.98), 39.91 (95% CI: 1.21, 81.04), and 0.93 (95% CI: 0.81, 0.97) for dynamic CT; 0.94 (95% CI: 0.91, 0.97), 0.79 (95% CI: 0.73, 0.86), 0.86 (95% CI: 0.83, 0.89), 0.93 (95% CI: 0.90, 0.96), 60.59 (95% CI: 5.56, 115.62), and 0.94 (95% CI: 0.83, 0.98) for dynamic MR; 0.95 (95% CI: 0.93, 0.98), 0.82 (95% CI: 0.77, 0.88), 0.91 (95% CI: 0.88, 0.93), 0.90 (95% CI: 0.85, 0.94), 97.31 (95% CI: 6.26, 188.37), and 0.94 (95% CI: 0.83, 0.98) for FDG PET; and 0.95 (95% CI: 0.93, 0.97), 0.82 (95% CI: 0.78, 0.85), 0.90 (95% CI: 0.83, 0.97), 0.91 (95% CI: 0.84, 0.98), 84.50 (95% CI: 34.28, 134.73), and 0.94 (95% CI: 0.83, 0.98) for (99m)Tc-depreotide SPECT. CONCLUSION: Dynamic CT and MR, FDG PET, and (99m)Tc-depreotide SPECT are noninvasive and accurate in distinguishing malignant from benign SPNs; differences among these tests are nonsignificant.","author":[{"dropping-particle":"","family":"Cronin","given":"Paul","non-dropping-particle":"","parse-names":false,"suffix":""},{"dropping-particle":"","family":"Dwamena","given":"Ben A.","non-dropping-particle":"","parse-names":false,"suffix":""},{"dropping-particle":"","family":"Kelly","given":"Aine Marie","non-dropping-particle":"","parse-names":false,"suffix":""},{"dropping-particle":"","family":"Carlos","given":"Ruth C.","non-dropping-particle":"","parse-names":false,"suffix":""}],"container-title":"Radiology","id":"ITEM-1","issue":"3","issued":{"date-parts":[["2008"]]},"page":"772-782","title":"Solitary Pulmonary Nodules: Meta-analytic Comparison of Cross-sectional Imaging Modalities for Diagnosis of Malignancy","type":"article-journal","volume":"246"},"uris":["http://www.mendeley.com/documents/?uuid=fb8fc9f2-d686-4438-a237-e2728c9c13a3"]}],"mendeley":{"formattedCitation":"&lt;sup&gt;5&lt;/sup&gt;","plainTextFormattedCitation":"5","previouslyFormattedCitation":"&lt;sup&gt;5&lt;/sup&gt;"},"properties":{"noteIndex":0},"schema":"https://github.com/citation-style-language/schema/raw/master/csl-citation.json"}</w:instrText>
      </w:r>
      <w:r w:rsidR="000C6170"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5</w:t>
      </w:r>
      <w:r w:rsidR="000C6170" w:rsidRPr="007A7515">
        <w:rPr>
          <w:rFonts w:asciiTheme="minorHAnsi" w:hAnsiTheme="minorHAnsi" w:cstheme="minorHAnsi"/>
          <w:szCs w:val="24"/>
        </w:rPr>
        <w:fldChar w:fldCharType="end"/>
      </w:r>
      <w:r w:rsidRPr="007A7515">
        <w:rPr>
          <w:rFonts w:asciiTheme="minorHAnsi" w:hAnsiTheme="minorHAnsi" w:cstheme="minorHAnsi"/>
          <w:szCs w:val="24"/>
        </w:rPr>
        <w:t>.  The enhancement reflects the extent of vascularity w</w:t>
      </w:r>
      <w:r w:rsidR="00124114" w:rsidRPr="007A7515">
        <w:rPr>
          <w:rFonts w:asciiTheme="minorHAnsi" w:hAnsiTheme="minorHAnsi" w:cstheme="minorHAnsi"/>
          <w:szCs w:val="24"/>
        </w:rPr>
        <w:t>ith</w:t>
      </w:r>
      <w:r w:rsidRPr="007A7515">
        <w:rPr>
          <w:rFonts w:asciiTheme="minorHAnsi" w:hAnsiTheme="minorHAnsi" w:cstheme="minorHAnsi"/>
          <w:szCs w:val="24"/>
        </w:rPr>
        <w:t xml:space="preserve"> </w:t>
      </w:r>
      <w:r w:rsidR="00124114" w:rsidRPr="007A7515">
        <w:rPr>
          <w:rFonts w:asciiTheme="minorHAnsi" w:hAnsiTheme="minorHAnsi" w:cstheme="minorHAnsi"/>
          <w:szCs w:val="24"/>
        </w:rPr>
        <w:t xml:space="preserve">high sensitivity and moderate specificity for </w:t>
      </w:r>
      <w:r w:rsidRPr="007A7515">
        <w:rPr>
          <w:rFonts w:asciiTheme="minorHAnsi" w:hAnsiTheme="minorHAnsi" w:cstheme="minorHAnsi"/>
          <w:szCs w:val="24"/>
        </w:rPr>
        <w:t xml:space="preserve">the diagnosis of SPNs </w:t>
      </w:r>
      <w:r w:rsidR="000C6170"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{"citationItems":[{"id":"ITEM-1","itemData":{"DOI":"10.1148/radiol.2331031535","ISBN":"0033-8419","ISSN":"0033-8419","PMID":"15304661","abstract":"PURPOSE: To evaluate enhancement dynamics of solitary pulmonary nodules at multi-detector row computed tomography (CT) and to correlate results with extent of tumor angiogenesis in pathologic specimens. MATERIALS AND METHODS: One hundred thirty-one patients with solitary pulmonary nodules underwent unenhanced thin-section CT, followed by dynamic helical CT (throughout the nodule for 30 mm along the z-axis [13 images] and at 20-second intervals for 3 minutes [130 images total]) after intravenous injection of 120 mL of contrast medium. Diagnosis of malignancy or benignancy was assigned in 109 patients, and follow-up imaging suggested benignancy in the remaining 22. CT findings were analyzed for peak attenuation, net enhancement, and enhancement dynamics. In 54 patients with surgical diagnoses, Pearson correlation coefficient was used to correlate enhancement pattern with extent of microvessel density and vascular endothelial growth factor (VEGF) staining. RESULTS: With 30 HU or more of net enhancement as a cutoff value in differentiation of malignant and benign nodules, sensitivity for malignant nodules was 99% (69 of 70 malignant nodules), specificity was 54% (33 of 61 benign nodules), positive predictive value was 71% (69 of 97 malignant readings), negative predictive value was 97% (33 of 34 benign readings), and accuracy was 78% (102 of 131 nodules). Peak attenuation was correlated positively with extent of microvessel density (r = 0.369, P =.006) and VEGF staining (r = 0.277, P =.042). Malignant nodules showed significantly higher VEGF expression (P =.009) than that of benign nodules. CONCLUSION: Dynamic enhancement with multi-detector row CT shows high sensitivity and negative predictive values for diagnosis of malignant nodules but low specificity because of highly enhancing benign nodules. Extent of enhancement reflects underlying nodule angiogenesis.","author":[{"dropping-particle":"","family":"Yi","given":"Chin A","non-dropping-particle":"","parse-names":false,"suffix":""},{"dropping-particle":"","family":"Lee","given":"Kyung Soo","non-dropping-particle":"","parse-names":false,"suffix":""},{"dropping-particle":"","family":"Kim","given":"Eun A","non-dropping-particle":"","parse-names":false,"suffix":""},{"dropping-particle":"","family":"Han","given":"Joungho","non-dropping-particle":"","parse-names":false,"suffix":""},{"dropping-particle":"","family":"Kim","given":"Hojoong","non-dropping-particle":"","parse-names":false,"suffix":""},{"dropping-particle":"","family":"Kwon","given":"O Jung","non-dropping-particle":"","parse-names":false,"suffix":""},{"dropping-particle":"","family":"Jeong","given":"Yeon Joo","non-dropping-particle":"","parse-names":false,"suffix":""},{"dropping-particle":"","family":"Kim","given":"Seonwoo","non-dropping-particle":"","parse-names":false,"suffix":""}],"container-title":"Radiology","id":"ITEM-1","issue":"1","issued":{"date-parts":[["2004"]]},"page":"191-199","title":"Solitary Pulmonary Nodules: Dynamic Enhanced Multi–Detector Row CT Study and Comparison with Vascular Endothelial Growth Factor and Microvessel Density","type":"article-journal","volume":"233"},"uris":["http://www.mendeley.com/documents/?uuid=cc0c3803-8f97-48d0-8372-6029f4b35ac7"]}],"mendeley":{"formattedCitation":"&lt;sup&gt;6&lt;/sup&gt;","plainTextFormattedCitation":"6","previouslyFormattedCitation":"&lt;sup&gt;6&lt;/sup&gt;"},"properties":{"noteIndex":0},"schema":"https://github.com/citation-style-language/schema/raw/master/csl-citation.json"}</w:instrText>
      </w:r>
      <w:r w:rsidR="000C6170"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6</w:t>
      </w:r>
      <w:r w:rsidR="000C6170" w:rsidRPr="007A7515">
        <w:rPr>
          <w:rFonts w:asciiTheme="minorHAnsi" w:hAnsiTheme="minorHAnsi" w:cstheme="minorHAnsi"/>
          <w:szCs w:val="24"/>
        </w:rPr>
        <w:fldChar w:fldCharType="end"/>
      </w:r>
      <w:r w:rsidRPr="007A7515">
        <w:rPr>
          <w:rFonts w:asciiTheme="minorHAnsi" w:hAnsiTheme="minorHAnsi" w:cstheme="minorHAnsi"/>
          <w:szCs w:val="24"/>
        </w:rPr>
        <w:t xml:space="preserve">. DCE-CT </w:t>
      </w:r>
      <w:r w:rsidR="000F157F" w:rsidRPr="007A7515">
        <w:rPr>
          <w:rFonts w:asciiTheme="minorHAnsi" w:hAnsiTheme="minorHAnsi" w:cstheme="minorHAnsi"/>
          <w:szCs w:val="24"/>
        </w:rPr>
        <w:t>may be</w:t>
      </w:r>
      <w:r w:rsidRPr="007A7515">
        <w:rPr>
          <w:rFonts w:asciiTheme="minorHAnsi" w:hAnsiTheme="minorHAnsi" w:cstheme="minorHAnsi"/>
          <w:szCs w:val="24"/>
        </w:rPr>
        <w:t xml:space="preserve"> a more cost-effective approach in the diagnostic work-up of nodules than PET/CT</w:t>
      </w:r>
      <w:r w:rsidR="000C6170" w:rsidRPr="007A7515">
        <w:rPr>
          <w:rFonts w:asciiTheme="minorHAnsi" w:hAnsiTheme="minorHAnsi" w:cstheme="minorHAnsi"/>
          <w:szCs w:val="24"/>
        </w:rPr>
        <w:t xml:space="preserve"> </w:t>
      </w:r>
      <w:r w:rsidR="000C6170"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{"citationItems":[{"id":"ITEM-1","itemData":{"DOI":"10.1016/s0009-9260(03)00166-1","ISBN":"0009-9260 (Print)","ISSN":"0009-9260","PMID":"12943643","abstract":"AIM To determine the impact of quantitative contrast-enhanced computed tomography (QECT) on the cost-effectiveness of diagnostic strategies for the assessment of solitary pulmonary nodules (SPNs). MATERIALS AND METHODS Four diagnostic strategies were evaluated using decision tree analysis: conventional CT alone; conventional CT followed by QECT; conventional CT followed positron emission tomography (PET); and conventional CT followed by QECT and PET (QECT+PET). The average cost per patient, accuracy of management and incremental cost:accuracy ratio (ICAR) were determined for each strategy. Although baseline assumptions reflected the Australian setting, sensitivity analysis was used to extrapolate the results to the UK. RESULTS At the baseline prevalence of malignancy (54%) and cost of PET relative to surgery (16%), the QECT strategy incurs the least cost (5560 dollars/patient) but the QECT+PET strategy is the most cost-effective (ICAR 12,059 dollars/patient). At reported levels of disease prevalence (68.5%) and cost of PET relative to surgery (29.9%) in the UK, the QECT strategy is the most cost-effective. CONCLUSION QECT offers a cost-effective approach to evaluation of SPNs. Whether QECT is used alone or in combination with PET will depend upon local availability and regional values for prior probability of malignancy within SPNs and the cost of PET relative to surgery.","author":[{"dropping-particle":"","family":"Comber","given":"L. A.","non-dropping-particle":"","parse-names":false,"suffix":""},{"dropping-particle":"","family":"Keith","given":"C. J.","non-dropping-particle":"","parse-names":false,"suffix":""},{"dropping-particle":"","family":"Griffiths","given":"M.","non-dropping-particle":"","parse-names":false,"suffix":""},{"dropping-particle":"","family":"Miles","given":"K. A.","non-dropping-particle":"","parse-names":false,"suffix":""}],"container-title":"Clinical radiology","id":"ITEM-1","issue":"9","issued":{"date-parts":[["2003","9"]]},"page":"706-11","title":"Solitary pulmonary nodules: impact of quantitative contrast-enhanced CT on the cost-effectiveness of FDG-PET.","type":"article-journal","volume":"58"},"uris":["http://www.mendeley.com/documents/?uuid=e7ca7257-e150-45b1-8e4c-3a6e78f65d55"]}],"mendeley":{"formattedCitation":"&lt;sup&gt;7&lt;/sup&gt;","plainTextFormattedCitation":"7","previouslyFormattedCitation":"&lt;sup&gt;7&lt;/sup&gt;"},"properties":{"noteIndex":0},"schema":"https://github.com/citation-style-language/schema/raw/master/csl-citation.json"}</w:instrText>
      </w:r>
      <w:r w:rsidR="000C6170"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7</w:t>
      </w:r>
      <w:r w:rsidR="000C6170" w:rsidRPr="007A7515">
        <w:rPr>
          <w:rFonts w:asciiTheme="minorHAnsi" w:hAnsiTheme="minorHAnsi" w:cstheme="minorHAnsi"/>
          <w:szCs w:val="24"/>
        </w:rPr>
        <w:fldChar w:fldCharType="end"/>
      </w:r>
      <w:r w:rsidR="00124114" w:rsidRPr="007A7515">
        <w:rPr>
          <w:rFonts w:asciiTheme="minorHAnsi" w:hAnsiTheme="minorHAnsi" w:cstheme="minorHAnsi"/>
          <w:szCs w:val="24"/>
        </w:rPr>
        <w:t xml:space="preserve"> although</w:t>
      </w:r>
      <w:r w:rsidRPr="007A7515">
        <w:rPr>
          <w:rFonts w:asciiTheme="minorHAnsi" w:hAnsiTheme="minorHAnsi" w:cstheme="minorHAnsi"/>
          <w:szCs w:val="24"/>
        </w:rPr>
        <w:t xml:space="preserve"> this </w:t>
      </w:r>
      <w:r w:rsidR="00220917" w:rsidRPr="007A7515">
        <w:rPr>
          <w:rFonts w:asciiTheme="minorHAnsi" w:hAnsiTheme="minorHAnsi" w:cstheme="minorHAnsi"/>
          <w:szCs w:val="24"/>
        </w:rPr>
        <w:t xml:space="preserve">evidence </w:t>
      </w:r>
      <w:r w:rsidR="00124114" w:rsidRPr="007A7515">
        <w:rPr>
          <w:rFonts w:asciiTheme="minorHAnsi" w:hAnsiTheme="minorHAnsi" w:cstheme="minorHAnsi"/>
          <w:szCs w:val="24"/>
        </w:rPr>
        <w:t>is</w:t>
      </w:r>
      <w:r w:rsidRPr="007A7515">
        <w:rPr>
          <w:rFonts w:asciiTheme="minorHAnsi" w:hAnsiTheme="minorHAnsi" w:cstheme="minorHAnsi"/>
          <w:szCs w:val="24"/>
        </w:rPr>
        <w:t xml:space="preserve"> weak. Th</w:t>
      </w:r>
      <w:r w:rsidR="00124114" w:rsidRPr="007A7515">
        <w:rPr>
          <w:rFonts w:asciiTheme="minorHAnsi" w:hAnsiTheme="minorHAnsi" w:cstheme="minorHAnsi"/>
          <w:szCs w:val="24"/>
        </w:rPr>
        <w:t xml:space="preserve">e studies </w:t>
      </w:r>
      <w:r w:rsidR="005946E9" w:rsidRPr="007A7515">
        <w:rPr>
          <w:rFonts w:asciiTheme="minorHAnsi" w:hAnsiTheme="minorHAnsi" w:cstheme="minorHAnsi"/>
          <w:szCs w:val="24"/>
        </w:rPr>
        <w:t xml:space="preserve">were </w:t>
      </w:r>
      <w:r w:rsidRPr="007A7515">
        <w:rPr>
          <w:rFonts w:asciiTheme="minorHAnsi" w:hAnsiTheme="minorHAnsi" w:cstheme="minorHAnsi"/>
          <w:szCs w:val="24"/>
        </w:rPr>
        <w:t>predominantly single</w:t>
      </w:r>
      <w:r w:rsidR="005946E9" w:rsidRPr="007A7515">
        <w:rPr>
          <w:rFonts w:asciiTheme="minorHAnsi" w:hAnsiTheme="minorHAnsi" w:cstheme="minorHAnsi"/>
          <w:szCs w:val="24"/>
        </w:rPr>
        <w:t>-</w:t>
      </w:r>
      <w:r w:rsidRPr="007A7515">
        <w:rPr>
          <w:rFonts w:asciiTheme="minorHAnsi" w:hAnsiTheme="minorHAnsi" w:cstheme="minorHAnsi"/>
          <w:szCs w:val="24"/>
        </w:rPr>
        <w:t>centre</w:t>
      </w:r>
      <w:r w:rsidR="005946E9" w:rsidRPr="007A7515">
        <w:rPr>
          <w:rFonts w:asciiTheme="minorHAnsi" w:hAnsiTheme="minorHAnsi" w:cstheme="minorHAnsi"/>
          <w:szCs w:val="24"/>
        </w:rPr>
        <w:t>d</w:t>
      </w:r>
      <w:r w:rsidRPr="007A7515">
        <w:rPr>
          <w:rFonts w:asciiTheme="minorHAnsi" w:hAnsiTheme="minorHAnsi" w:cstheme="minorHAnsi"/>
          <w:szCs w:val="24"/>
        </w:rPr>
        <w:t xml:space="preserve">, did not directly compare PET with DCE-CT, included pulmonary masses as well as nodules, </w:t>
      </w:r>
      <w:r w:rsidR="005546A2" w:rsidRPr="007A7515">
        <w:rPr>
          <w:rFonts w:asciiTheme="minorHAnsi" w:hAnsiTheme="minorHAnsi" w:cstheme="minorHAnsi"/>
          <w:szCs w:val="24"/>
        </w:rPr>
        <w:t>or</w:t>
      </w:r>
      <w:r w:rsidRPr="007A7515">
        <w:rPr>
          <w:rFonts w:asciiTheme="minorHAnsi" w:hAnsiTheme="minorHAnsi" w:cstheme="minorHAnsi"/>
          <w:szCs w:val="24"/>
        </w:rPr>
        <w:t xml:space="preserve"> </w:t>
      </w:r>
      <w:r w:rsidR="00B15453" w:rsidRPr="007A7515">
        <w:rPr>
          <w:rFonts w:asciiTheme="minorHAnsi" w:hAnsiTheme="minorHAnsi" w:cstheme="minorHAnsi"/>
          <w:szCs w:val="24"/>
        </w:rPr>
        <w:t xml:space="preserve">used </w:t>
      </w:r>
      <w:r w:rsidR="00A20B01" w:rsidRPr="007A7515">
        <w:rPr>
          <w:rFonts w:asciiTheme="minorHAnsi" w:hAnsiTheme="minorHAnsi" w:cstheme="minorHAnsi"/>
          <w:szCs w:val="24"/>
        </w:rPr>
        <w:t>older</w:t>
      </w:r>
      <w:r w:rsidR="001376CD" w:rsidRPr="007A7515">
        <w:rPr>
          <w:rFonts w:asciiTheme="minorHAnsi" w:hAnsiTheme="minorHAnsi" w:cstheme="minorHAnsi"/>
          <w:szCs w:val="24"/>
        </w:rPr>
        <w:t xml:space="preserve"> </w:t>
      </w:r>
      <w:r w:rsidR="00220917" w:rsidRPr="007A7515">
        <w:rPr>
          <w:rFonts w:asciiTheme="minorHAnsi" w:hAnsiTheme="minorHAnsi" w:cstheme="minorHAnsi"/>
          <w:szCs w:val="24"/>
        </w:rPr>
        <w:t xml:space="preserve">PET </w:t>
      </w:r>
      <w:r w:rsidRPr="007A7515">
        <w:rPr>
          <w:rFonts w:asciiTheme="minorHAnsi" w:hAnsiTheme="minorHAnsi" w:cstheme="minorHAnsi"/>
          <w:szCs w:val="24"/>
        </w:rPr>
        <w:t>technology w</w:t>
      </w:r>
      <w:r w:rsidR="00124114" w:rsidRPr="007A7515">
        <w:rPr>
          <w:rFonts w:asciiTheme="minorHAnsi" w:hAnsiTheme="minorHAnsi" w:cstheme="minorHAnsi"/>
          <w:szCs w:val="24"/>
        </w:rPr>
        <w:t>ith poor</w:t>
      </w:r>
      <w:r w:rsidRPr="007A7515">
        <w:rPr>
          <w:rFonts w:asciiTheme="minorHAnsi" w:hAnsiTheme="minorHAnsi" w:cstheme="minorHAnsi"/>
          <w:szCs w:val="24"/>
        </w:rPr>
        <w:t xml:space="preserve"> spatial resolution</w:t>
      </w:r>
      <w:r w:rsidR="00623653"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{"citationItems":[{"id":"ITEM-1","itemData":{"DOI":"10.1016/s0009-9260(03)00166-1","ISBN":"0009-9260 (Print)","ISSN":"0009-9260","PMID":"12943643","abstract":"AIM To determine the impact of quantitative contrast-enhanced computed tomography (QECT) on the cost-effectiveness of diagnostic strategies for the assessment of solitary pulmonary nodules (SPNs). MATERIALS AND METHODS Four diagnostic strategies were evaluated using decision tree analysis: conventional CT alone; conventional CT followed by QECT; conventional CT followed positron emission tomography (PET); and conventional CT followed by QECT and PET (QECT+PET). The average cost per patient, accuracy of management and incremental cost:accuracy ratio (ICAR) were determined for each strategy. Although baseline assumptions reflected the Australian setting, sensitivity analysis was used to extrapolate the results to the UK. RESULTS At the baseline prevalence of malignancy (54%) and cost of PET relative to surgery (16%), the QECT strategy incurs the least cost (5560 dollars/patient) but the QECT+PET strategy is the most cost-effective (ICAR 12,059 dollars/patient). At reported levels of disease prevalence (68.5%) and cost of PET relative to surgery (29.9%) in the UK, the QECT strategy is the most cost-effective. CONCLUSION QECT offers a cost-effective approach to evaluation of SPNs. Whether QECT is used alone or in combination with PET will depend upon local availability and regional values for prior probability of malignancy within SPNs and the cost of PET relative to surgery.","author":[{"dropping-particle":"","family":"Comber","given":"L. A.","non-dropping-particle":"","parse-names":false,"suffix":""},{"dropping-particle":"","family":"Keith","given":"C. J.","non-dropping-particle":"","parse-names":false,"suffix":""},{"dropping-particle":"","family":"Griffiths","given":"M.","non-dropping-particle":"","parse-names":false,"suffix":""},{"dropping-particle":"","family":"Miles","given":"K. A.","non-dropping-particle":"","parse-names":false,"suffix":""}],"container-title":"Clinical radiology","id":"ITEM-1","issue":"9","issued":{"date-parts":[["2003","9"]]},"page":"706-11","title":"Solitary pulmonary nodules: impact of quantitative contrast-enhanced CT on the cost-effectiveness of FDG-PET.","type":"article-journal","volume":"58"},"uris":["http://www.mendeley.com/documents/?uuid=e7ca7257-e150-45b1-8e4c-3a6e78f65d55"]},{"id":"ITEM-2","itemData":{"ISSN":"1539-3704","PMID":"12729427","abstract":"BACKGROUND Positron emission tomography (PET) with 18-fluorodeoxyglucose (FDG) is a potentially useful but expensive test to diagnose solitary pulmonary nodules. OBJECTIVE To evaluate the cost-effectiveness of strategies for pulmonary nodule diagnosis and to specifically compare strategies that did and did not include FDG-PET. DESIGN Decision model. DATA SOURCES Accuracy and complications of diagnostic tests were estimated by using meta-analysis and literature review. Modeled survival was based on data from a large tumor registry. Cost estimates were derived from Medicare reimbursement and other sources. TARGET POPULATION All adult patients with a new, noncalcified pulmonary nodule seen on chest radiograph. TIME HORIZON Patient lifetime. PERSPECTIVE Societal. INTERVENTION 40 clinically plausible combinations of 5 diagnostic interventions, including computed tomography, FDG-PET, transthoracic needle biopsy, surgery, and watchful waiting. OUTCOME MEASURES Costs, quality-adjusted life-years (QALYs), and incremental cost-effectiveness ratios. RESULTS OF BASE-CASE ANALYSIS The cost-effectiveness of strategies depended critically on the pretest probability of malignancy. For patients with low pretest probability (26%), strategies that used FDG-PET selectively when computed tomography results were possibly malignant cost as little as 20 000 dollars per QALY gained. For patients with high pretest probability (79%), strategies that used FDG-PET selectively when computed tomography results were benign cost as little as 16 000 dollars per QALY gained. For patients with intermediate pretest probability (55%), FDG-PET strategies cost more than 220 000 dollars per QALY gained because they were more costly but only marginally more effective than computed tomography-based strategies. RESULTS OF SENSITIVITY ANALYSIS The choice of strategy also depended on the risk for surgical complications, the probability of nondiagnostic needle biopsy, the sensitivity of computed tomography, and patient preferences for time spent in watchful waiting. In probabilistic sensitivity analysis, FDG-PET strategies were cost saving or cost less than 100 000 dollars per QALY gained in 76.7%, 24.4%, and 99.9% of computer simulations for patients with low, intermediate, and high pretest probability, respectively. CONCLUSIONS FDG-PET should be used selectively when pretest probability and computed tomography findings are discordant or in patients with intermediate pretest probability who are at …","author":[{"dropping-particle":"","family":"Gould","given":"Michael K","non-dropping-particle":"","parse-names":false,"suffix":""},{"dropping-particle":"","family":"Sanders","given":"Gillian D","non-dropping-particle":"","parse-names":false,"suffix":""},{"dropping-particle":"","family":"Barnett","given":"Paul G","non-dropping-particle":"","parse-names":false,"suffix":""},{"dropping-particle":"","family":"Rydzak","given":"Chara E","non-dropping-particle":"","parse-names":false,"suffix":""},{"dropping-particle":"","family":"Maclean","given":"Courtney C","non-dropping-particle":"","parse-names":false,"suffix":""},{"dropping-particle":"","family":"McClellan","given":"Mark B","non-dropping-particle":"","parse-names":false,"suffix":""},{"dropping-particle":"","family":"Owens","given":"Douglas K","non-dropping-particle":"","parse-names":false,"suffix":""}],"container-title":"Annals of internal medicine","id":"ITEM-2","issue":"9","issued":{"date-parts":[["2003","5","6"]]},"page":"724-35","title":"Cost-effectiveness of alternative management strategies for patients with solitary pulmonary nodules.","type":"article-journal","volume":"138"},"uris":["http://www.mendeley.com/documents/?uuid=7c668f03-5d2a-4dac-8c2e-23f9eeea17df"]}],"mendeley":{"formattedCitation":"&lt;sup&gt;7,8&lt;/sup&gt;","plainTextFormattedCitation":"7,8","previouslyFormattedCitation":"&lt;sup&gt;7,8&lt;/sup&gt;"},"properties":{"noteIndex":0},"schema":"https://github.com/citation-style-language/schema/raw/master/csl-citation.json"}</w:instrText>
      </w:r>
      <w:r w:rsidR="00623653"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7,8</w:t>
      </w:r>
      <w:r w:rsidR="00623653" w:rsidRPr="007A7515">
        <w:rPr>
          <w:rFonts w:asciiTheme="minorHAnsi" w:hAnsiTheme="minorHAnsi" w:cstheme="minorHAnsi"/>
          <w:szCs w:val="24"/>
        </w:rPr>
        <w:fldChar w:fldCharType="end"/>
      </w:r>
      <w:r w:rsidRPr="007A7515">
        <w:rPr>
          <w:rFonts w:asciiTheme="minorHAnsi" w:hAnsiTheme="minorHAnsi" w:cstheme="minorHAnsi"/>
          <w:szCs w:val="24"/>
        </w:rPr>
        <w:t xml:space="preserve">. </w:t>
      </w:r>
      <w:r w:rsidR="00124114" w:rsidRPr="007A7515">
        <w:rPr>
          <w:rFonts w:asciiTheme="minorHAnsi" w:hAnsiTheme="minorHAnsi" w:cstheme="minorHAnsi"/>
          <w:szCs w:val="24"/>
        </w:rPr>
        <w:t xml:space="preserve"> T</w:t>
      </w:r>
      <w:r w:rsidR="005546A2" w:rsidRPr="007A7515">
        <w:rPr>
          <w:rFonts w:asciiTheme="minorHAnsi" w:hAnsiTheme="minorHAnsi" w:cstheme="minorHAnsi"/>
          <w:szCs w:val="24"/>
        </w:rPr>
        <w:t>he British Thoracic Society</w:t>
      </w:r>
      <w:r w:rsidR="004E7B38" w:rsidRPr="007A7515">
        <w:rPr>
          <w:rFonts w:asciiTheme="minorHAnsi" w:hAnsiTheme="minorHAnsi" w:cstheme="minorHAnsi"/>
          <w:szCs w:val="24"/>
        </w:rPr>
        <w:t xml:space="preserve"> (BTS)</w:t>
      </w:r>
      <w:r w:rsidR="005546A2" w:rsidRPr="007A7515">
        <w:rPr>
          <w:rFonts w:asciiTheme="minorHAnsi" w:hAnsiTheme="minorHAnsi" w:cstheme="minorHAnsi"/>
          <w:szCs w:val="24"/>
        </w:rPr>
        <w:t xml:space="preserve"> guidelines called for further comparative studies comparing PET/CT with DCE-CT before it can be considered as a viable alternative</w:t>
      </w:r>
      <w:r w:rsidR="00623653" w:rsidRPr="007A7515">
        <w:rPr>
          <w:rFonts w:asciiTheme="minorHAnsi" w:hAnsiTheme="minorHAnsi" w:cstheme="minorHAnsi"/>
          <w:szCs w:val="24"/>
        </w:rPr>
        <w:t xml:space="preserve"> </w:t>
      </w:r>
      <w:r w:rsidR="00623653"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{"citationItems":[{"id":"ITEM-1","itemData":{"DOI":"10.1136/thoraxjnl-2015-207168","ISSN":"1468-3296","PMID":"26082159","author":[{"dropping-particle":"","family":"Callister","given":"M E J","non-dropping-particle":"","parse-names":false,"suffix":""},{"dropping-particle":"","family":"Baldwin","given":"David R","non-dropping-particle":"","parse-names":false,"suffix":""},{"dropping-particle":"","family":"Akram","given":"A R","non-dropping-particle":"","parse-names":false,"suffix":""},{"dropping-particle":"","family":"Barnard","given":"S","non-dropping-particle":"","parse-names":false,"suffix":""},{"dropping-particle":"","family":"Cane","given":"P","non-dropping-particle":"","parse-names":false,"suffix":""},{"dropping-particle":"","family":"Draffan","given":"J","non-dropping-particle":"","parse-names":false,"suffix":""},{"dropping-particle":"","family":"Franks","given":"K","non-dropping-particle":"","parse-names":false,"suffix":""},{"dropping-particle":"","family":"Gleeson","given":"F","non-dropping-particle":"","parse-names":false,"suffix":""},{"dropping-particle":"","family":"Graham","given":"R","non-dropping-particle":"","parse-names":false,"suffix":""},{"dropping-particle":"","family":"Malhotra","given":"P","non-dropping-particle":"","parse-names":false,"suffix":""},{"dropping-particle":"","family":"Prokop","given":"M","non-dropping-particle":"","parse-names":false,"suffix":""},{"dropping-particle":"","family":"Rodger","given":"K","non-dropping-particle":"","parse-names":false,"suffix":""},{"dropping-particle":"","family":"Subesinghe","given":"M","non-dropping-particle":"","parse-names":false,"suffix":""},{"dropping-particle":"","family":"Waller","given":"D","non-dropping-particle":"","parse-names":false,"suffix":""},{"dropping-particle":"","family":"Woolhouse","given":"I","non-dropping-particle":"","parse-names":false,"suffix":""},{"dropping-particle":"","family":"British Thoracic Society Pulmonary Nodule Guideline Development Group","given":"","non-dropping-particle":"","parse-names":false,"suffix":""},{"dropping-particle":"","family":"British Thoracic Society Standards of Care Committee","given":"","non-dropping-particle":"","parse-names":false,"suffix":""}],"container-title":"Thorax","id":"ITEM-1","issue":"8","issued":{"date-parts":[["2015","8"]]},"page":"ii1-ii54","title":"British Thoracic Society guidelines for the investigation and management of pulmonary nodules.","type":"article-journal","volume":"70 Suppl 2"},"uris":["http://www.mendeley.com/documents/?uuid=336f502f-4bcb-4af0-9fa5-d9658d01631a"]}],"mendeley":{"formattedCitation":"&lt;sup&gt;4&lt;/sup&gt;","plainTextFormattedCitation":"4","previouslyFormattedCitation":"&lt;sup&gt;4&lt;/sup&gt;"},"properties":{"noteIndex":0},"schema":"https://github.com/citation-style-language/schema/raw/master/csl-citation.json"}</w:instrText>
      </w:r>
      <w:r w:rsidR="00623653"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4</w:t>
      </w:r>
      <w:r w:rsidR="00623653" w:rsidRPr="007A7515">
        <w:rPr>
          <w:rFonts w:asciiTheme="minorHAnsi" w:hAnsiTheme="minorHAnsi" w:cstheme="minorHAnsi"/>
          <w:szCs w:val="24"/>
        </w:rPr>
        <w:fldChar w:fldCharType="end"/>
      </w:r>
      <w:r w:rsidR="005546A2" w:rsidRPr="007A7515">
        <w:rPr>
          <w:rFonts w:asciiTheme="minorHAnsi" w:hAnsiTheme="minorHAnsi" w:cstheme="minorHAnsi"/>
          <w:szCs w:val="24"/>
        </w:rPr>
        <w:t>.</w:t>
      </w:r>
    </w:p>
    <w:p w14:paraId="16ED7446" w14:textId="77777777" w:rsidR="0089693A" w:rsidRPr="007A7515" w:rsidRDefault="0089693A" w:rsidP="0089693A">
      <w:pPr>
        <w:pStyle w:val="NoSpacing"/>
        <w:rPr>
          <w:rFonts w:asciiTheme="minorHAnsi" w:hAnsiTheme="minorHAnsi" w:cstheme="minorHAnsi"/>
          <w:szCs w:val="24"/>
        </w:rPr>
      </w:pPr>
    </w:p>
    <w:p w14:paraId="340F000D" w14:textId="225F62A9" w:rsidR="00C30778" w:rsidRPr="007A7515" w:rsidRDefault="0089693A" w:rsidP="002F75E6">
      <w:pPr>
        <w:pStyle w:val="NoSpacing"/>
        <w:rPr>
          <w:rFonts w:asciiTheme="minorHAnsi" w:hAnsiTheme="minorHAnsi" w:cstheme="minorHAnsi"/>
          <w:szCs w:val="24"/>
        </w:rPr>
      </w:pPr>
      <w:r w:rsidRPr="007A7515">
        <w:rPr>
          <w:rFonts w:asciiTheme="minorHAnsi" w:hAnsiTheme="minorHAnsi" w:cstheme="minorHAnsi"/>
          <w:szCs w:val="24"/>
        </w:rPr>
        <w:t>Th</w:t>
      </w:r>
      <w:r w:rsidR="00786A21" w:rsidRPr="007A7515">
        <w:rPr>
          <w:rFonts w:asciiTheme="minorHAnsi" w:hAnsiTheme="minorHAnsi" w:cstheme="minorHAnsi"/>
          <w:szCs w:val="24"/>
        </w:rPr>
        <w:t>is</w:t>
      </w:r>
      <w:r w:rsidRPr="007A7515">
        <w:rPr>
          <w:rFonts w:asciiTheme="minorHAnsi" w:hAnsiTheme="minorHAnsi" w:cstheme="minorHAnsi"/>
          <w:szCs w:val="24"/>
        </w:rPr>
        <w:t xml:space="preserve"> multicentre trial</w:t>
      </w:r>
      <w:r w:rsidR="007B4B80" w:rsidRPr="007A7515">
        <w:rPr>
          <w:rFonts w:asciiTheme="minorHAnsi" w:hAnsiTheme="minorHAnsi" w:cstheme="minorHAnsi"/>
          <w:szCs w:val="24"/>
        </w:rPr>
        <w:t xml:space="preserve"> compar</w:t>
      </w:r>
      <w:r w:rsidR="00786A21" w:rsidRPr="007A7515">
        <w:rPr>
          <w:rFonts w:asciiTheme="minorHAnsi" w:hAnsiTheme="minorHAnsi" w:cstheme="minorHAnsi"/>
          <w:szCs w:val="24"/>
        </w:rPr>
        <w:t>es</w:t>
      </w:r>
      <w:r w:rsidR="007B4B80" w:rsidRPr="007A7515">
        <w:rPr>
          <w:rFonts w:asciiTheme="minorHAnsi" w:hAnsiTheme="minorHAnsi" w:cstheme="minorHAnsi"/>
          <w:szCs w:val="24"/>
        </w:rPr>
        <w:t xml:space="preserve"> the diagnostic accuracy and </w:t>
      </w:r>
      <w:r w:rsidR="00B15453" w:rsidRPr="007A7515">
        <w:rPr>
          <w:rFonts w:asciiTheme="minorHAnsi" w:hAnsiTheme="minorHAnsi" w:cstheme="minorHAnsi"/>
          <w:szCs w:val="24"/>
        </w:rPr>
        <w:t>cost-</w:t>
      </w:r>
      <w:r w:rsidR="007B4B80" w:rsidRPr="007A7515">
        <w:rPr>
          <w:rFonts w:asciiTheme="minorHAnsi" w:hAnsiTheme="minorHAnsi" w:cstheme="minorHAnsi"/>
          <w:szCs w:val="24"/>
        </w:rPr>
        <w:t>effectiveness</w:t>
      </w:r>
      <w:r w:rsidRPr="007A7515">
        <w:rPr>
          <w:rFonts w:asciiTheme="minorHAnsi" w:hAnsiTheme="minorHAnsi" w:cstheme="minorHAnsi"/>
          <w:szCs w:val="24"/>
        </w:rPr>
        <w:t xml:space="preserve"> </w:t>
      </w:r>
      <w:r w:rsidR="00C52ACB" w:rsidRPr="007A7515">
        <w:rPr>
          <w:rFonts w:asciiTheme="minorHAnsi" w:hAnsiTheme="minorHAnsi" w:cstheme="minorHAnsi"/>
          <w:szCs w:val="24"/>
        </w:rPr>
        <w:t>of</w:t>
      </w:r>
      <w:r w:rsidRPr="007A7515">
        <w:rPr>
          <w:rFonts w:asciiTheme="minorHAnsi" w:hAnsiTheme="minorHAnsi" w:cstheme="minorHAnsi"/>
          <w:szCs w:val="24"/>
        </w:rPr>
        <w:t xml:space="preserve"> DCE-CT with PET/CT in the assessment of </w:t>
      </w:r>
      <w:r w:rsidR="00A86410" w:rsidRPr="007A7515">
        <w:rPr>
          <w:rFonts w:asciiTheme="minorHAnsi" w:hAnsiTheme="minorHAnsi" w:cstheme="minorHAnsi"/>
          <w:szCs w:val="24"/>
        </w:rPr>
        <w:t xml:space="preserve">solitary </w:t>
      </w:r>
      <w:r w:rsidRPr="007A7515">
        <w:rPr>
          <w:rFonts w:asciiTheme="minorHAnsi" w:hAnsiTheme="minorHAnsi" w:cstheme="minorHAnsi"/>
          <w:szCs w:val="24"/>
        </w:rPr>
        <w:t xml:space="preserve">pulmonary nodules. </w:t>
      </w:r>
    </w:p>
    <w:p w14:paraId="44E784B1" w14:textId="77777777" w:rsidR="00600CA4" w:rsidRPr="007A7515" w:rsidRDefault="00600CA4" w:rsidP="00600CA4">
      <w:pPr>
        <w:pStyle w:val="NoSpacing"/>
        <w:rPr>
          <w:rFonts w:asciiTheme="minorHAnsi" w:hAnsiTheme="minorHAnsi" w:cstheme="minorHAnsi"/>
          <w:szCs w:val="24"/>
        </w:rPr>
      </w:pPr>
    </w:p>
    <w:p w14:paraId="7C20A275" w14:textId="1743B893" w:rsidR="001739EC" w:rsidRPr="007A7515" w:rsidRDefault="00280810" w:rsidP="00E50FE3">
      <w:pPr>
        <w:pStyle w:val="Heading2"/>
        <w:numPr>
          <w:ilvl w:val="0"/>
          <w:numId w:val="0"/>
        </w:numPr>
        <w:rPr>
          <w:rFonts w:asciiTheme="minorHAnsi" w:hAnsiTheme="minorHAnsi"/>
        </w:rPr>
      </w:pPr>
      <w:bookmarkStart w:id="5" w:name="_Toc26861602"/>
      <w:r>
        <w:rPr>
          <w:rFonts w:asciiTheme="minorHAnsi" w:hAnsiTheme="minorHAnsi"/>
        </w:rPr>
        <w:lastRenderedPageBreak/>
        <w:t xml:space="preserve">Materials and </w:t>
      </w:r>
      <w:r w:rsidR="001739EC" w:rsidRPr="007A7515">
        <w:rPr>
          <w:rFonts w:asciiTheme="minorHAnsi" w:hAnsiTheme="minorHAnsi"/>
        </w:rPr>
        <w:t>Methods</w:t>
      </w:r>
      <w:bookmarkEnd w:id="5"/>
    </w:p>
    <w:p w14:paraId="3F40DF92" w14:textId="5FB1A6B6" w:rsidR="00CF2DF4" w:rsidRPr="007A7515" w:rsidRDefault="006A590C" w:rsidP="00CF2DF4">
      <w:pPr>
        <w:pStyle w:val="NoSpacing"/>
        <w:rPr>
          <w:rFonts w:asciiTheme="minorHAnsi" w:hAnsiTheme="minorHAnsi" w:cstheme="minorHAnsi"/>
          <w:szCs w:val="24"/>
        </w:rPr>
      </w:pPr>
      <w:r w:rsidRPr="007A7515">
        <w:rPr>
          <w:rFonts w:asciiTheme="minorHAnsi" w:hAnsiTheme="minorHAnsi" w:cstheme="minorHAnsi"/>
          <w:szCs w:val="24"/>
        </w:rPr>
        <w:t>Th</w:t>
      </w:r>
      <w:r w:rsidR="00786A21" w:rsidRPr="007A7515">
        <w:rPr>
          <w:rFonts w:asciiTheme="minorHAnsi" w:hAnsiTheme="minorHAnsi" w:cstheme="minorHAnsi"/>
          <w:szCs w:val="24"/>
        </w:rPr>
        <w:t>is</w:t>
      </w:r>
      <w:r w:rsidRPr="007A7515">
        <w:rPr>
          <w:rFonts w:asciiTheme="minorHAnsi" w:hAnsiTheme="minorHAnsi" w:cstheme="minorHAnsi"/>
          <w:szCs w:val="24"/>
        </w:rPr>
        <w:t xml:space="preserve"> prospective </w:t>
      </w:r>
      <w:r w:rsidR="0089693A" w:rsidRPr="007A7515">
        <w:rPr>
          <w:rFonts w:asciiTheme="minorHAnsi" w:hAnsiTheme="minorHAnsi" w:cstheme="minorHAnsi"/>
          <w:szCs w:val="24"/>
        </w:rPr>
        <w:t xml:space="preserve">multicentre </w:t>
      </w:r>
      <w:r w:rsidRPr="007A7515">
        <w:rPr>
          <w:rFonts w:asciiTheme="minorHAnsi" w:hAnsiTheme="minorHAnsi" w:cstheme="minorHAnsi"/>
          <w:szCs w:val="24"/>
        </w:rPr>
        <w:t>observational study assess</w:t>
      </w:r>
      <w:r w:rsidR="00786A21" w:rsidRPr="007A7515">
        <w:rPr>
          <w:rFonts w:asciiTheme="minorHAnsi" w:hAnsiTheme="minorHAnsi" w:cstheme="minorHAnsi"/>
          <w:szCs w:val="24"/>
        </w:rPr>
        <w:t>es</w:t>
      </w:r>
      <w:r w:rsidRPr="007A7515">
        <w:rPr>
          <w:rFonts w:asciiTheme="minorHAnsi" w:hAnsiTheme="minorHAnsi" w:cstheme="minorHAnsi"/>
          <w:szCs w:val="24"/>
        </w:rPr>
        <w:t xml:space="preserve"> the diagnostic performance</w:t>
      </w:r>
      <w:r w:rsidRPr="007A7515">
        <w:rPr>
          <w:rFonts w:asciiTheme="minorHAnsi" w:hAnsiTheme="minorHAnsi" w:cstheme="minorHAnsi"/>
          <w:spacing w:val="40"/>
          <w:szCs w:val="24"/>
        </w:rPr>
        <w:t xml:space="preserve"> </w:t>
      </w:r>
      <w:r w:rsidRPr="007A7515">
        <w:rPr>
          <w:rFonts w:asciiTheme="minorHAnsi" w:hAnsiTheme="minorHAnsi" w:cstheme="minorHAnsi"/>
          <w:szCs w:val="24"/>
        </w:rPr>
        <w:t>and incremental value of DCE-CT</w:t>
      </w:r>
      <w:r w:rsidR="00E068D3" w:rsidRPr="007A7515">
        <w:rPr>
          <w:rFonts w:asciiTheme="minorHAnsi" w:hAnsiTheme="minorHAnsi" w:cstheme="minorHAnsi"/>
          <w:szCs w:val="24"/>
        </w:rPr>
        <w:t>, compared with</w:t>
      </w:r>
      <w:r w:rsidR="003A134F" w:rsidRPr="007A7515">
        <w:rPr>
          <w:rFonts w:asciiTheme="minorHAnsi" w:hAnsiTheme="minorHAnsi" w:cstheme="minorHAnsi"/>
          <w:szCs w:val="24"/>
        </w:rPr>
        <w:t xml:space="preserve"> PET/CT</w:t>
      </w:r>
      <w:r w:rsidR="0071513F" w:rsidRPr="007A7515">
        <w:rPr>
          <w:rFonts w:asciiTheme="minorHAnsi" w:hAnsiTheme="minorHAnsi" w:cstheme="minorHAnsi"/>
          <w:szCs w:val="24"/>
        </w:rPr>
        <w:t xml:space="preserve"> </w:t>
      </w:r>
      <w:r w:rsidR="003A134F" w:rsidRPr="007A7515">
        <w:rPr>
          <w:rFonts w:asciiTheme="minorHAnsi" w:hAnsiTheme="minorHAnsi" w:cstheme="minorHAnsi"/>
          <w:szCs w:val="24"/>
        </w:rPr>
        <w:t>i</w:t>
      </w:r>
      <w:r w:rsidRPr="007A7515">
        <w:rPr>
          <w:rFonts w:asciiTheme="minorHAnsi" w:hAnsiTheme="minorHAnsi" w:cstheme="minorHAnsi"/>
          <w:szCs w:val="24"/>
        </w:rPr>
        <w:t>n a cohort of patients</w:t>
      </w:r>
      <w:r w:rsidRPr="007A7515">
        <w:rPr>
          <w:rFonts w:asciiTheme="minorHAnsi" w:hAnsiTheme="minorHAnsi" w:cstheme="minorHAnsi"/>
          <w:spacing w:val="39"/>
          <w:szCs w:val="24"/>
        </w:rPr>
        <w:t xml:space="preserve"> </w:t>
      </w:r>
      <w:r w:rsidRPr="007A7515">
        <w:rPr>
          <w:rFonts w:asciiTheme="minorHAnsi" w:hAnsiTheme="minorHAnsi" w:cstheme="minorHAnsi"/>
          <w:szCs w:val="24"/>
        </w:rPr>
        <w:t>with SPN</w:t>
      </w:r>
      <w:r w:rsidR="00786A21" w:rsidRPr="007A7515">
        <w:rPr>
          <w:rFonts w:asciiTheme="minorHAnsi" w:hAnsiTheme="minorHAnsi" w:cstheme="minorHAnsi"/>
          <w:szCs w:val="24"/>
        </w:rPr>
        <w:t xml:space="preserve"> in</w:t>
      </w:r>
      <w:r w:rsidR="00786A21" w:rsidRPr="007A7515">
        <w:rPr>
          <w:rFonts w:asciiTheme="minorHAnsi" w:hAnsiTheme="minorHAnsi" w:cstheme="minorHAnsi"/>
          <w:spacing w:val="19"/>
          <w:szCs w:val="24"/>
        </w:rPr>
        <w:t xml:space="preserve"> </w:t>
      </w:r>
      <w:r w:rsidR="00786A21" w:rsidRPr="007A7515">
        <w:rPr>
          <w:rFonts w:asciiTheme="minorHAnsi" w:hAnsiTheme="minorHAnsi" w:cstheme="minorHAnsi"/>
          <w:szCs w:val="24"/>
        </w:rPr>
        <w:t>accordance</w:t>
      </w:r>
      <w:r w:rsidR="00786A21" w:rsidRPr="007A7515">
        <w:rPr>
          <w:rFonts w:asciiTheme="minorHAnsi" w:hAnsiTheme="minorHAnsi" w:cstheme="minorHAnsi"/>
          <w:spacing w:val="18"/>
          <w:szCs w:val="24"/>
        </w:rPr>
        <w:t xml:space="preserve"> </w:t>
      </w:r>
      <w:r w:rsidR="00786A21" w:rsidRPr="007A7515">
        <w:rPr>
          <w:rFonts w:asciiTheme="minorHAnsi" w:hAnsiTheme="minorHAnsi" w:cstheme="minorHAnsi"/>
          <w:szCs w:val="24"/>
        </w:rPr>
        <w:t>with</w:t>
      </w:r>
      <w:r w:rsidR="00786A21" w:rsidRPr="007A7515">
        <w:rPr>
          <w:rFonts w:asciiTheme="minorHAnsi" w:hAnsiTheme="minorHAnsi" w:cstheme="minorHAnsi"/>
          <w:spacing w:val="17"/>
          <w:szCs w:val="24"/>
        </w:rPr>
        <w:t xml:space="preserve"> </w:t>
      </w:r>
      <w:r w:rsidR="00786A21" w:rsidRPr="007A7515">
        <w:rPr>
          <w:rFonts w:asciiTheme="minorHAnsi" w:hAnsiTheme="minorHAnsi" w:cstheme="minorHAnsi"/>
          <w:szCs w:val="24"/>
        </w:rPr>
        <w:t>the</w:t>
      </w:r>
      <w:r w:rsidR="00786A21" w:rsidRPr="007A7515">
        <w:rPr>
          <w:rFonts w:asciiTheme="minorHAnsi" w:hAnsiTheme="minorHAnsi" w:cstheme="minorHAnsi"/>
          <w:spacing w:val="18"/>
          <w:szCs w:val="24"/>
        </w:rPr>
        <w:t xml:space="preserve"> </w:t>
      </w:r>
      <w:r w:rsidR="00786A21" w:rsidRPr="007A7515">
        <w:rPr>
          <w:rFonts w:asciiTheme="minorHAnsi" w:hAnsiTheme="minorHAnsi" w:cstheme="minorHAnsi"/>
          <w:szCs w:val="24"/>
        </w:rPr>
        <w:t>guidance</w:t>
      </w:r>
      <w:r w:rsidR="00786A21" w:rsidRPr="007A7515">
        <w:rPr>
          <w:rFonts w:asciiTheme="minorHAnsi" w:hAnsiTheme="minorHAnsi" w:cstheme="minorHAnsi"/>
          <w:spacing w:val="20"/>
          <w:szCs w:val="24"/>
        </w:rPr>
        <w:t xml:space="preserve"> </w:t>
      </w:r>
      <w:r w:rsidR="00786A21" w:rsidRPr="007A7515">
        <w:rPr>
          <w:rFonts w:asciiTheme="minorHAnsi" w:hAnsiTheme="minorHAnsi" w:cstheme="minorHAnsi"/>
          <w:szCs w:val="24"/>
        </w:rPr>
        <w:t>for</w:t>
      </w:r>
      <w:r w:rsidR="00786A21" w:rsidRPr="007A7515">
        <w:rPr>
          <w:rFonts w:asciiTheme="minorHAnsi" w:hAnsiTheme="minorHAnsi" w:cstheme="minorHAnsi"/>
          <w:spacing w:val="17"/>
          <w:szCs w:val="24"/>
        </w:rPr>
        <w:t xml:space="preserve"> </w:t>
      </w:r>
      <w:r w:rsidR="00786A21" w:rsidRPr="007A7515">
        <w:rPr>
          <w:rFonts w:asciiTheme="minorHAnsi" w:hAnsiTheme="minorHAnsi" w:cstheme="minorHAnsi"/>
          <w:szCs w:val="24"/>
        </w:rPr>
        <w:t>the</w:t>
      </w:r>
      <w:r w:rsidR="00786A21" w:rsidRPr="007A7515">
        <w:rPr>
          <w:rFonts w:asciiTheme="minorHAnsi" w:hAnsiTheme="minorHAnsi" w:cstheme="minorHAnsi"/>
          <w:spacing w:val="18"/>
          <w:szCs w:val="24"/>
        </w:rPr>
        <w:t xml:space="preserve"> </w:t>
      </w:r>
      <w:r w:rsidR="00786A21" w:rsidRPr="007A7515">
        <w:rPr>
          <w:rFonts w:asciiTheme="minorHAnsi" w:hAnsiTheme="minorHAnsi" w:cstheme="minorHAnsi"/>
          <w:szCs w:val="24"/>
        </w:rPr>
        <w:t>methods</w:t>
      </w:r>
      <w:r w:rsidR="00786A21" w:rsidRPr="007A7515">
        <w:rPr>
          <w:rFonts w:asciiTheme="minorHAnsi" w:hAnsiTheme="minorHAnsi" w:cstheme="minorHAnsi"/>
          <w:spacing w:val="17"/>
          <w:szCs w:val="24"/>
        </w:rPr>
        <w:t xml:space="preserve"> </w:t>
      </w:r>
      <w:r w:rsidR="00786A21" w:rsidRPr="007A7515">
        <w:rPr>
          <w:rFonts w:asciiTheme="minorHAnsi" w:hAnsiTheme="minorHAnsi" w:cstheme="minorHAnsi"/>
          <w:szCs w:val="24"/>
        </w:rPr>
        <w:t>of</w:t>
      </w:r>
      <w:r w:rsidR="00786A21" w:rsidRPr="007A7515">
        <w:rPr>
          <w:rFonts w:asciiTheme="minorHAnsi" w:hAnsiTheme="minorHAnsi" w:cstheme="minorHAnsi"/>
          <w:spacing w:val="17"/>
          <w:szCs w:val="24"/>
        </w:rPr>
        <w:t xml:space="preserve"> </w:t>
      </w:r>
      <w:r w:rsidR="00786A21" w:rsidRPr="007A7515">
        <w:rPr>
          <w:rFonts w:asciiTheme="minorHAnsi" w:hAnsiTheme="minorHAnsi" w:cstheme="minorHAnsi"/>
          <w:szCs w:val="24"/>
        </w:rPr>
        <w:t>technology</w:t>
      </w:r>
      <w:r w:rsidR="00786A21" w:rsidRPr="007A7515">
        <w:rPr>
          <w:rFonts w:asciiTheme="minorHAnsi" w:hAnsiTheme="minorHAnsi" w:cstheme="minorHAnsi"/>
          <w:spacing w:val="21"/>
          <w:szCs w:val="24"/>
        </w:rPr>
        <w:t xml:space="preserve"> </w:t>
      </w:r>
      <w:r w:rsidR="00786A21" w:rsidRPr="007A7515">
        <w:rPr>
          <w:rFonts w:asciiTheme="minorHAnsi" w:hAnsiTheme="minorHAnsi" w:cstheme="minorHAnsi"/>
          <w:szCs w:val="24"/>
        </w:rPr>
        <w:t>appraisal</w:t>
      </w:r>
      <w:r w:rsidR="00786A21" w:rsidRPr="007A7515">
        <w:rPr>
          <w:rFonts w:asciiTheme="minorHAnsi" w:hAnsiTheme="minorHAnsi" w:cstheme="minorHAnsi"/>
          <w:spacing w:val="-1"/>
          <w:szCs w:val="24"/>
        </w:rPr>
        <w:t xml:space="preserve"> </w:t>
      </w:r>
      <w:r w:rsidR="00786A21" w:rsidRPr="007A7515">
        <w:rPr>
          <w:rFonts w:asciiTheme="minorHAnsi" w:hAnsiTheme="minorHAnsi" w:cstheme="minorHAnsi"/>
          <w:szCs w:val="24"/>
        </w:rPr>
        <w:t xml:space="preserve">issued by NICE </w:t>
      </w:r>
      <w:r w:rsidR="00786A21"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{"citationItems":[{"id":"ITEM-1","itemData":{"DOI":"10.2165/00019053-200826090-00002","ISBN":"1846297419","ISSN":"1170-7690","PMID":"18767892","abstract":"The Institute is reviewing the ‘Guide to the methods of technology appraisal’, which underpins the technology appraisal programme. The document provides an overview of the principles and methods used by the Institute in assessing health technologies. It is a guide for all organisations considering submitting evidence to the technology appraisal programme and describes all aspects of appraisal methodology. It should be used in conjunction with the ‘Guide to the technology apprai","author":[{"dropping-particle":"","family":"National Institute for Health and Clinical Excellence","given":"","non-dropping-particle":"","parse-names":false,"suffix":""}],"container-title":"Nice","id":"ITEM-1","issue":"April","issued":{"date-parts":[["2013"]]},"page":"104","title":"Guide to the methods of technology appraisal","type":"article-journal"},"uris":["http://www.mendeley.com/documents/?uuid=0a6e28fa-0aa9-43bb-86c1-40314d8939b3"]}],"mendeley":{"formattedCitation":"&lt;sup&gt;9&lt;/sup&gt;","plainTextFormattedCitation":"9","previouslyFormattedCitation":"&lt;sup&gt;9&lt;/sup&gt;"},"properties":{"noteIndex":0},"schema":"https://github.com/citation-style-language/schema/raw/master/csl-citation.json"}</w:instrText>
      </w:r>
      <w:r w:rsidR="00786A21"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9</w:t>
      </w:r>
      <w:r w:rsidR="00786A21" w:rsidRPr="007A7515">
        <w:rPr>
          <w:rFonts w:asciiTheme="minorHAnsi" w:hAnsiTheme="minorHAnsi" w:cstheme="minorHAnsi"/>
          <w:szCs w:val="24"/>
        </w:rPr>
        <w:fldChar w:fldCharType="end"/>
      </w:r>
      <w:r w:rsidR="00786A21" w:rsidRPr="007A7515">
        <w:rPr>
          <w:rFonts w:asciiTheme="minorHAnsi" w:hAnsiTheme="minorHAnsi" w:cstheme="minorHAnsi"/>
          <w:szCs w:val="24"/>
        </w:rPr>
        <w:t xml:space="preserve">. </w:t>
      </w:r>
      <w:r w:rsidR="00623653" w:rsidRPr="007A7515">
        <w:rPr>
          <w:rFonts w:asciiTheme="minorHAnsi" w:hAnsiTheme="minorHAnsi" w:cstheme="minorHAnsi"/>
          <w:szCs w:val="24"/>
        </w:rPr>
        <w:t xml:space="preserve"> The </w:t>
      </w:r>
      <w:r w:rsidR="007207DD" w:rsidRPr="007A7515">
        <w:rPr>
          <w:rFonts w:asciiTheme="minorHAnsi" w:hAnsiTheme="minorHAnsi" w:cstheme="minorHAnsi"/>
          <w:szCs w:val="24"/>
        </w:rPr>
        <w:t xml:space="preserve">full </w:t>
      </w:r>
      <w:r w:rsidR="00623653" w:rsidRPr="007A7515">
        <w:rPr>
          <w:rFonts w:asciiTheme="minorHAnsi" w:hAnsiTheme="minorHAnsi" w:cstheme="minorHAnsi"/>
          <w:szCs w:val="24"/>
        </w:rPr>
        <w:t xml:space="preserve">trial protocol has been published </w:t>
      </w:r>
      <w:r w:rsidR="00623653"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{"citationItems":[{"id":"ITEM-1","itemData":{"DOI":"10.1136/bmjresp-2016-000156","ISBN":"2052-4439","ISSN":"20524439","PMID":"27843550","abstract":"INTRODUCTION: Solitary pulmonary nodules (SPNs) are common on CT. The most cost-effective investigation algorithm is still to be determined. Dynamic contrast-enhanced CT (DCE-CT) is an established diagnostic test not widely available in the UK currently. METHODS AND ANALYSIS: The SPUtNIk study will assess the diagnostic accuracy, clinical utility and cost-effectiveness of DCE-CT, alongside the current CT and 18-flurodeoxyglucose-positron emission tomography) (18FDG-PET)-CT nodule characterisation strategies in the National Health Service (NHS). Image acquisition and data analysis for 18FDG-PET-CT and DCE-CT will follow a standardised protocol with central review of 10% to ensure quality assurance. Decision analytic modelling will assess the likely costs and health outcomes resulting from incorporation of DCE-CT into management strategies for patients with SPNs. ETHICS AND DISSEMINATION: Approval has been granted by the South West Research Ethics Committee. Ethics reference number 12/SW/0206. The results of the trial will be presented at national and international meetings and published in an Health Technology Assessment (HTA) Monograph and in peer-reviewed journals. TRIAL REGISTRATION NUMBER: ISRCTN30784948; Pre-results.","author":[{"dropping-particle":"","family":"Qureshi","given":"N. R.","non-dropping-particle":"","parse-names":false,"suffix":""},{"dropping-particle":"","family":"Rintoul","given":"R. C.","non-dropping-particle":"","parse-names":false,"suffix":""},{"dropping-particle":"","family":"Miles","given":"K. A.","non-dropping-particle":"","parse-names":false,"suffix":""},{"dropping-particle":"","family":"George","given":"S.","non-dropping-particle":"","parse-names":false,"suffix":""},{"dropping-particle":"","family":"Harris","given":"S.","non-dropping-particle":"","parse-names":false,"suffix":""},{"dropping-particle":"","family":"Madden","given":"J.","non-dropping-particle":"","parse-names":false,"suffix":""},{"dropping-particle":"","family":"Cozens","given":"K.","non-dropping-particle":"","parse-names":false,"suffix":""},{"dropping-particle":"","family":"Little","given":"L. A.","non-dropping-particle":"","parse-names":false,"suffix":""},{"dropping-particle":"","family":"Eichhorst","given":"K.","non-dropping-particle":"","parse-names":false,"suffix":""},{"dropping-particle":"","family":"Jones","given":"J.","non-dropping-particle":"","parse-names":false,"suffix":""},{"dropping-particle":"","family":"Moate","given":"P.","non-dropping-particle":"","parse-names":false,"suffix":""},{"dropping-particle":"","family":"McClement","given":"C.","non-dropping-particle":"","parse-names":false,"suffix":""},{"dropping-particle":"","family":"Pike","given":"L.","non-dropping-particle":"","parse-names":false,"suffix":""},{"dropping-particle":"","family":"Sinclair","given":"D.","non-dropping-particle":"","parse-names":false,"suffix":""},{"dropping-particle":"","family":"Wong","given":"W. L.","non-dropping-particle":"","parse-names":false,"suffix":""},{"dropping-particle":"","family":"Shekhdar","given":"J.","non-dropping-particle":"","parse-names":false,"suffix":""},{"dropping-particle":"","family":"Eaton","given":"R.","non-dropping-particle":"","parse-names":false,"suffix":""},{"dropping-particle":"","family":"Shah","given":"A.","non-dropping-particle":"","parse-names":false,"suffix":""},{"dropping-particle":"","family":"Brindle","given":"L.","non-dropping-particle":"","parse-names":false,"suffix":""},{"dropping-particle":"","family":"Peebles","given":"C.","non-dropping-particle":"","parse-names":false,"suffix":""},{"dropping-particle":"","family":"Banerjee","given":"A.","non-dropping-particle":"","parse-names":false,"suffix":""},{"dropping-particle":"","family":"Dizdarevic","given":"S.","non-dropping-particle":"","parse-names":false,"suffix":""},{"dropping-particle":"","family":"Han","given":"S.","non-dropping-particle":"","parse-names":false,"suffix":""},{"dropping-particle":"","family":"Poon","given":"F. W.","non-dropping-particle":"","parse-names":false,"suffix":""},{"dropping-particle":"","family":"Groves","given":"A. M.","non-dropping-particle":"","parse-names":false,"suffix":""},{"dropping-particle":"","family":"Kurban","given":"L.","non-dropping-particle":"","parse-names":false,"suffix":""},{"dropping-particle":"","family":"Frew","given":"A. J.","non-dropping-particle":"","parse-names":false,"suffix":""},{"dropping-particle":"","family":"Callister","given":"M. E.","non-dropping-particle":"","parse-names":false,"suffix":""},{"dropping-particle":"","family":"Crosbie","given":"P.","non-dropping-particle":"","parse-names":false,"suffix":""},{"dropping-particle":"V.","family":"Gleeson","given":"F.","non-dropping-particle":"","parse-names":false,"suffix":""},{"dropping-particle":"","family":"Karunasaagarar","given":"K.","non-dropping-particle":"","parse-names":false,"suffix":""},{"dropping-particle":"","family":"Kankam","given":"O.","non-dropping-particle":"","parse-names":false,"suffix":""},{"dropping-particle":"","family":"Gilbert","given":"F. J.","non-dropping-particle":"","parse-names":false,"suffix":""}],"container-title":"BMJ Open Respiratory Research","id":"ITEM-1","issue":"1","issued":{"date-parts":[["2016"]]},"page":"1-4","title":"Accuracy and cost-effectiveness of dynamic contrast-enhanced CT in the characterisation of solitary pulmonary nodules — The SPUtNIk study","type":"article-journal","volume":"3"},"uris":["http://www.mendeley.com/documents/?uuid=7a998ec6-4c98-4307-a8ef-fd1c146559a4"]}],"mendeley":{"formattedCitation":"&lt;sup&gt;10&lt;/sup&gt;","plainTextFormattedCitation":"10","previouslyFormattedCitation":"&lt;sup&gt;10&lt;/sup&gt;"},"properties":{"noteIndex":0},"schema":"https://github.com/citation-style-language/schema/raw/master/csl-citation.json"}</w:instrText>
      </w:r>
      <w:r w:rsidR="00623653"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10</w:t>
      </w:r>
      <w:r w:rsidR="00623653" w:rsidRPr="007A7515">
        <w:rPr>
          <w:rFonts w:asciiTheme="minorHAnsi" w:hAnsiTheme="minorHAnsi" w:cstheme="minorHAnsi"/>
          <w:szCs w:val="24"/>
        </w:rPr>
        <w:fldChar w:fldCharType="end"/>
      </w:r>
      <w:r w:rsidR="00786A21" w:rsidRPr="007A7515">
        <w:rPr>
          <w:rFonts w:asciiTheme="minorHAnsi" w:hAnsiTheme="minorHAnsi" w:cstheme="minorHAnsi"/>
          <w:szCs w:val="24"/>
        </w:rPr>
        <w:t xml:space="preserve"> and registered on Clinical trials.gov (NCT02013063)</w:t>
      </w:r>
      <w:r w:rsidR="00623653" w:rsidRPr="007A7515">
        <w:rPr>
          <w:rFonts w:asciiTheme="minorHAnsi" w:hAnsiTheme="minorHAnsi" w:cstheme="minorHAnsi"/>
          <w:szCs w:val="24"/>
        </w:rPr>
        <w:t>.</w:t>
      </w:r>
      <w:r w:rsidR="00786A21" w:rsidRPr="007A7515">
        <w:rPr>
          <w:rFonts w:asciiTheme="minorHAnsi" w:hAnsiTheme="minorHAnsi" w:cstheme="minorHAnsi"/>
          <w:szCs w:val="24"/>
        </w:rPr>
        <w:t xml:space="preserve"> </w:t>
      </w:r>
      <w:r w:rsidR="00C45A30" w:rsidRPr="007A7515">
        <w:rPr>
          <w:rFonts w:asciiTheme="minorHAnsi" w:hAnsiTheme="minorHAnsi" w:cstheme="minorHAnsi"/>
          <w:szCs w:val="24"/>
        </w:rPr>
        <w:t xml:space="preserve">The </w:t>
      </w:r>
      <w:proofErr w:type="spellStart"/>
      <w:r w:rsidR="00C45A30" w:rsidRPr="007A7515">
        <w:rPr>
          <w:rFonts w:asciiTheme="minorHAnsi" w:hAnsiTheme="minorHAnsi" w:cstheme="minorHAnsi"/>
          <w:szCs w:val="24"/>
        </w:rPr>
        <w:t>SPUtNIk</w:t>
      </w:r>
      <w:proofErr w:type="spellEnd"/>
      <w:r w:rsidR="00C45A30" w:rsidRPr="007A7515">
        <w:rPr>
          <w:rFonts w:asciiTheme="minorHAnsi" w:hAnsiTheme="minorHAnsi" w:cstheme="minorHAnsi"/>
          <w:szCs w:val="24"/>
        </w:rPr>
        <w:t xml:space="preserve"> Trial was approved by </w:t>
      </w:r>
      <w:r w:rsidR="00BA402D" w:rsidRPr="007A7515">
        <w:rPr>
          <w:rFonts w:asciiTheme="minorHAnsi" w:hAnsiTheme="minorHAnsi" w:cstheme="minorHAnsi"/>
          <w:szCs w:val="24"/>
        </w:rPr>
        <w:t xml:space="preserve">the </w:t>
      </w:r>
      <w:r w:rsidR="00C45A30" w:rsidRPr="007A7515">
        <w:rPr>
          <w:rFonts w:asciiTheme="minorHAnsi" w:hAnsiTheme="minorHAnsi" w:cstheme="minorHAnsi"/>
          <w:szCs w:val="24"/>
        </w:rPr>
        <w:t>South West Research Ethics Committee Centre</w:t>
      </w:r>
      <w:r w:rsidR="001F3BF8" w:rsidRPr="007A7515">
        <w:rPr>
          <w:rFonts w:asciiTheme="minorHAnsi" w:hAnsiTheme="minorHAnsi" w:cstheme="minorHAnsi"/>
          <w:szCs w:val="24"/>
        </w:rPr>
        <w:t xml:space="preserve"> (</w:t>
      </w:r>
      <w:r w:rsidR="004A39FB" w:rsidRPr="007A7515">
        <w:rPr>
          <w:rFonts w:asciiTheme="minorHAnsi" w:hAnsiTheme="minorHAnsi" w:cstheme="minorHAnsi"/>
          <w:szCs w:val="24"/>
        </w:rPr>
        <w:t xml:space="preserve">12/SW/0206, </w:t>
      </w:r>
      <w:r w:rsidR="001F3BF8" w:rsidRPr="007A7515">
        <w:rPr>
          <w:rFonts w:asciiTheme="minorHAnsi" w:hAnsiTheme="minorHAnsi" w:cstheme="minorHAnsi"/>
          <w:szCs w:val="24"/>
        </w:rPr>
        <w:t>UK)</w:t>
      </w:r>
      <w:r w:rsidR="00C45A30" w:rsidRPr="007A7515">
        <w:rPr>
          <w:rFonts w:asciiTheme="minorHAnsi" w:hAnsiTheme="minorHAnsi" w:cstheme="minorHAnsi"/>
          <w:szCs w:val="24"/>
        </w:rPr>
        <w:t xml:space="preserve">. All participants provided written informed consent. </w:t>
      </w:r>
    </w:p>
    <w:p w14:paraId="6877D0C8" w14:textId="77777777" w:rsidR="00623653" w:rsidRPr="007A7515" w:rsidRDefault="00623653" w:rsidP="00CF2DF4">
      <w:pPr>
        <w:pStyle w:val="NoSpacing"/>
        <w:rPr>
          <w:rFonts w:asciiTheme="minorHAnsi" w:hAnsiTheme="minorHAnsi" w:cstheme="minorHAnsi"/>
          <w:szCs w:val="24"/>
        </w:rPr>
      </w:pPr>
    </w:p>
    <w:p w14:paraId="46A64D87" w14:textId="53E67584" w:rsidR="00CA12D8" w:rsidRPr="007A7515" w:rsidRDefault="001739EC" w:rsidP="002A3A32">
      <w:pPr>
        <w:pStyle w:val="Heading3"/>
        <w:numPr>
          <w:ilvl w:val="0"/>
          <w:numId w:val="0"/>
        </w:numPr>
        <w:jc w:val="lowKashida"/>
        <w:rPr>
          <w:rFonts w:asciiTheme="minorHAnsi" w:hAnsiTheme="minorHAnsi" w:cstheme="minorHAnsi"/>
          <w:szCs w:val="24"/>
        </w:rPr>
      </w:pPr>
      <w:bookmarkStart w:id="6" w:name="_Toc26861603"/>
      <w:r w:rsidRPr="007A7515">
        <w:rPr>
          <w:rFonts w:asciiTheme="minorHAnsi" w:hAnsiTheme="minorHAnsi" w:cstheme="minorHAnsi"/>
          <w:szCs w:val="24"/>
        </w:rPr>
        <w:t xml:space="preserve">Settings and </w:t>
      </w:r>
      <w:r w:rsidR="00BE4306" w:rsidRPr="007A7515">
        <w:rPr>
          <w:rFonts w:asciiTheme="minorHAnsi" w:hAnsiTheme="minorHAnsi" w:cstheme="minorHAnsi"/>
          <w:szCs w:val="24"/>
        </w:rPr>
        <w:t>p</w:t>
      </w:r>
      <w:r w:rsidR="00DD5464" w:rsidRPr="007A7515">
        <w:rPr>
          <w:rFonts w:asciiTheme="minorHAnsi" w:hAnsiTheme="minorHAnsi" w:cstheme="minorHAnsi"/>
          <w:szCs w:val="24"/>
        </w:rPr>
        <w:t>articipants</w:t>
      </w:r>
      <w:bookmarkEnd w:id="6"/>
    </w:p>
    <w:p w14:paraId="68F2DF90" w14:textId="119D29A5" w:rsidR="00326EF2" w:rsidRPr="007A7515" w:rsidRDefault="0089693A" w:rsidP="0024586F">
      <w:pPr>
        <w:spacing w:line="360" w:lineRule="auto"/>
        <w:rPr>
          <w:rFonts w:asciiTheme="minorHAnsi" w:eastAsia="Calibri" w:hAnsiTheme="minorHAnsi" w:cstheme="minorHAnsi"/>
          <w:sz w:val="24"/>
          <w:szCs w:val="24"/>
        </w:rPr>
      </w:pPr>
      <w:r w:rsidRPr="007A7515">
        <w:rPr>
          <w:rFonts w:asciiTheme="minorHAnsi" w:hAnsiTheme="minorHAnsi" w:cstheme="minorHAnsi"/>
          <w:sz w:val="24"/>
          <w:szCs w:val="24"/>
          <w:lang w:val="en"/>
        </w:rPr>
        <w:t xml:space="preserve">Participants with a </w:t>
      </w:r>
      <w:r w:rsidR="005946E9" w:rsidRPr="007A7515">
        <w:rPr>
          <w:rFonts w:asciiTheme="minorHAnsi" w:hAnsiTheme="minorHAnsi" w:cstheme="minorHAnsi"/>
          <w:sz w:val="24"/>
          <w:szCs w:val="24"/>
          <w:lang w:val="en"/>
        </w:rPr>
        <w:t xml:space="preserve">SPN </w:t>
      </w:r>
      <w:r w:rsidRPr="007A7515">
        <w:rPr>
          <w:rFonts w:asciiTheme="minorHAnsi" w:hAnsiTheme="minorHAnsi" w:cstheme="minorHAnsi"/>
          <w:sz w:val="24"/>
          <w:szCs w:val="24"/>
          <w:lang w:val="en"/>
        </w:rPr>
        <w:t xml:space="preserve">were recruited </w:t>
      </w:r>
      <w:r w:rsidR="00A86410" w:rsidRPr="007A7515">
        <w:rPr>
          <w:rFonts w:asciiTheme="minorHAnsi" w:hAnsiTheme="minorHAnsi" w:cstheme="minorHAnsi"/>
          <w:sz w:val="24"/>
          <w:szCs w:val="24"/>
          <w:lang w:val="en"/>
        </w:rPr>
        <w:t>from</w:t>
      </w:r>
      <w:r w:rsidRPr="007A7515">
        <w:rPr>
          <w:rFonts w:asciiTheme="minorHAnsi" w:hAnsiTheme="minorHAnsi" w:cstheme="minorHAnsi"/>
          <w:sz w:val="24"/>
          <w:szCs w:val="24"/>
          <w:lang w:val="en"/>
        </w:rPr>
        <w:t xml:space="preserve"> secondary </w:t>
      </w:r>
      <w:r w:rsidR="00FD5D56">
        <w:rPr>
          <w:rFonts w:asciiTheme="minorHAnsi" w:hAnsiTheme="minorHAnsi" w:cstheme="minorHAnsi"/>
          <w:sz w:val="24"/>
          <w:szCs w:val="24"/>
          <w:lang w:val="en"/>
        </w:rPr>
        <w:t>and</w:t>
      </w:r>
      <w:r w:rsidRPr="007A7515">
        <w:rPr>
          <w:rFonts w:asciiTheme="minorHAnsi" w:hAnsiTheme="minorHAnsi" w:cstheme="minorHAnsi"/>
          <w:sz w:val="24"/>
          <w:szCs w:val="24"/>
          <w:lang w:val="en"/>
        </w:rPr>
        <w:t xml:space="preserve"> tertiary outpatient settings at 16 hospitals within the UK. </w:t>
      </w:r>
      <w:r w:rsidR="00786A21" w:rsidRPr="007A7515">
        <w:rPr>
          <w:rFonts w:asciiTheme="minorHAnsi" w:hAnsiTheme="minorHAnsi" w:cstheme="minorHAnsi"/>
          <w:sz w:val="24"/>
          <w:szCs w:val="24"/>
        </w:rPr>
        <w:t>I</w:t>
      </w:r>
      <w:r w:rsidR="00326EF2" w:rsidRPr="007A7515">
        <w:rPr>
          <w:rFonts w:asciiTheme="minorHAnsi" w:hAnsiTheme="minorHAnsi" w:cstheme="minorHAnsi"/>
          <w:sz w:val="24"/>
          <w:szCs w:val="24"/>
        </w:rPr>
        <w:t>nclusion</w:t>
      </w:r>
      <w:r w:rsidR="00326EF2" w:rsidRPr="007A7515">
        <w:rPr>
          <w:rFonts w:asciiTheme="minorHAnsi" w:hAnsiTheme="minorHAnsi" w:cstheme="minorHAnsi"/>
          <w:spacing w:val="-7"/>
          <w:sz w:val="24"/>
          <w:szCs w:val="24"/>
        </w:rPr>
        <w:t xml:space="preserve"> </w:t>
      </w:r>
      <w:r w:rsidR="00BE4306" w:rsidRPr="007A7515">
        <w:rPr>
          <w:rFonts w:asciiTheme="minorHAnsi" w:hAnsiTheme="minorHAnsi" w:cstheme="minorHAnsi"/>
          <w:sz w:val="24"/>
          <w:szCs w:val="24"/>
        </w:rPr>
        <w:t>c</w:t>
      </w:r>
      <w:r w:rsidR="00326EF2" w:rsidRPr="007A7515">
        <w:rPr>
          <w:rFonts w:asciiTheme="minorHAnsi" w:hAnsiTheme="minorHAnsi" w:cstheme="minorHAnsi"/>
          <w:sz w:val="24"/>
          <w:szCs w:val="24"/>
        </w:rPr>
        <w:t>riteria</w:t>
      </w:r>
      <w:r w:rsidR="0024586F" w:rsidRPr="007A7515">
        <w:rPr>
          <w:rFonts w:asciiTheme="minorHAnsi" w:hAnsiTheme="minorHAnsi" w:cstheme="minorHAnsi"/>
          <w:sz w:val="24"/>
          <w:szCs w:val="24"/>
        </w:rPr>
        <w:t xml:space="preserve"> were: S</w:t>
      </w:r>
      <w:r w:rsidR="00326EF2" w:rsidRPr="007A7515">
        <w:rPr>
          <w:rFonts w:asciiTheme="minorHAnsi" w:eastAsia="Calibri" w:hAnsiTheme="minorHAnsi" w:cstheme="minorHAnsi"/>
          <w:sz w:val="24"/>
          <w:szCs w:val="24"/>
        </w:rPr>
        <w:t>oft tissue solitary dominant pulmonary nodule of ≥ 8mm and ≤30mm on</w:t>
      </w:r>
      <w:r w:rsidR="00326EF2" w:rsidRPr="007A7515">
        <w:rPr>
          <w:rFonts w:asciiTheme="minorHAnsi" w:eastAsia="Calibri" w:hAnsiTheme="minorHAnsi" w:cstheme="minorHAnsi"/>
          <w:spacing w:val="-30"/>
          <w:sz w:val="24"/>
          <w:szCs w:val="24"/>
        </w:rPr>
        <w:t xml:space="preserve"> </w:t>
      </w:r>
      <w:r w:rsidR="00326EF2" w:rsidRPr="007A7515">
        <w:rPr>
          <w:rFonts w:asciiTheme="minorHAnsi" w:eastAsia="Calibri" w:hAnsiTheme="minorHAnsi" w:cstheme="minorHAnsi"/>
          <w:sz w:val="24"/>
          <w:szCs w:val="24"/>
        </w:rPr>
        <w:t>axial</w:t>
      </w:r>
      <w:r w:rsidR="00326EF2" w:rsidRPr="007A7515">
        <w:rPr>
          <w:rFonts w:asciiTheme="minorHAnsi" w:eastAsia="Calibri" w:hAnsiTheme="minorHAnsi" w:cstheme="minorHAnsi"/>
          <w:spacing w:val="-1"/>
          <w:sz w:val="24"/>
          <w:szCs w:val="24"/>
        </w:rPr>
        <w:t xml:space="preserve"> </w:t>
      </w:r>
      <w:r w:rsidR="00326EF2" w:rsidRPr="007A7515">
        <w:rPr>
          <w:rFonts w:asciiTheme="minorHAnsi" w:eastAsia="Calibri" w:hAnsiTheme="minorHAnsi" w:cstheme="minorHAnsi"/>
          <w:sz w:val="24"/>
          <w:szCs w:val="24"/>
        </w:rPr>
        <w:t>plane</w:t>
      </w:r>
      <w:r w:rsidR="0024586F" w:rsidRPr="007A7515">
        <w:rPr>
          <w:rFonts w:asciiTheme="minorHAnsi" w:eastAsia="Calibri" w:hAnsiTheme="minorHAnsi" w:cstheme="minorHAnsi"/>
          <w:sz w:val="24"/>
          <w:szCs w:val="24"/>
        </w:rPr>
        <w:t xml:space="preserve"> m</w:t>
      </w:r>
      <w:r w:rsidR="00326EF2" w:rsidRPr="007A7515">
        <w:rPr>
          <w:rFonts w:asciiTheme="minorHAnsi" w:hAnsiTheme="minorHAnsi" w:cstheme="minorHAnsi"/>
          <w:sz w:val="24"/>
          <w:szCs w:val="24"/>
        </w:rPr>
        <w:t>easured on lung window using conventional CT</w:t>
      </w:r>
      <w:r w:rsidR="00326EF2" w:rsidRPr="007A7515">
        <w:rPr>
          <w:rFonts w:asciiTheme="minorHAnsi" w:hAnsiTheme="minorHAnsi" w:cstheme="minorHAnsi"/>
          <w:spacing w:val="-13"/>
          <w:sz w:val="24"/>
          <w:szCs w:val="24"/>
        </w:rPr>
        <w:t xml:space="preserve"> </w:t>
      </w:r>
      <w:r w:rsidR="00326EF2" w:rsidRPr="007A7515">
        <w:rPr>
          <w:rFonts w:asciiTheme="minorHAnsi" w:hAnsiTheme="minorHAnsi" w:cstheme="minorHAnsi"/>
          <w:sz w:val="24"/>
          <w:szCs w:val="24"/>
        </w:rPr>
        <w:t>scan</w:t>
      </w:r>
      <w:r w:rsidR="0024586F" w:rsidRPr="007A7515">
        <w:rPr>
          <w:rFonts w:asciiTheme="minorHAnsi" w:hAnsiTheme="minorHAnsi" w:cstheme="minorHAnsi"/>
          <w:sz w:val="24"/>
          <w:szCs w:val="24"/>
        </w:rPr>
        <w:t xml:space="preserve"> with n</w:t>
      </w:r>
      <w:r w:rsidR="00326EF2" w:rsidRPr="007A7515">
        <w:rPr>
          <w:rFonts w:asciiTheme="minorHAnsi" w:hAnsiTheme="minorHAnsi" w:cstheme="minorHAnsi"/>
          <w:sz w:val="24"/>
          <w:szCs w:val="24"/>
        </w:rPr>
        <w:t>o other ancillary evidence strongly indicative of malignancy (e.g.</w:t>
      </w:r>
      <w:r w:rsidR="00326EF2" w:rsidRPr="007A7515">
        <w:rPr>
          <w:rFonts w:asciiTheme="minorHAnsi" w:hAnsiTheme="minorHAnsi" w:cstheme="minorHAnsi"/>
          <w:spacing w:val="-26"/>
          <w:sz w:val="24"/>
          <w:szCs w:val="24"/>
        </w:rPr>
        <w:t xml:space="preserve"> </w:t>
      </w:r>
      <w:r w:rsidR="00326EF2" w:rsidRPr="007A7515">
        <w:rPr>
          <w:rFonts w:asciiTheme="minorHAnsi" w:hAnsiTheme="minorHAnsi" w:cstheme="minorHAnsi"/>
          <w:sz w:val="24"/>
          <w:szCs w:val="24"/>
        </w:rPr>
        <w:t>distant metastases or unequivocal local</w:t>
      </w:r>
      <w:r w:rsidR="00326EF2" w:rsidRPr="007A7515">
        <w:rPr>
          <w:rFonts w:asciiTheme="minorHAnsi" w:hAnsiTheme="minorHAnsi" w:cstheme="minorHAnsi"/>
          <w:spacing w:val="-6"/>
          <w:sz w:val="24"/>
          <w:szCs w:val="24"/>
        </w:rPr>
        <w:t xml:space="preserve"> </w:t>
      </w:r>
      <w:r w:rsidR="00326EF2" w:rsidRPr="007A7515">
        <w:rPr>
          <w:rFonts w:asciiTheme="minorHAnsi" w:hAnsiTheme="minorHAnsi" w:cstheme="minorHAnsi"/>
          <w:sz w:val="24"/>
          <w:szCs w:val="24"/>
        </w:rPr>
        <w:t>invasion)</w:t>
      </w:r>
      <w:r w:rsidR="0024586F" w:rsidRPr="007A7515">
        <w:rPr>
          <w:rFonts w:asciiTheme="minorHAnsi" w:hAnsiTheme="minorHAnsi" w:cstheme="minorHAnsi"/>
          <w:sz w:val="24"/>
          <w:szCs w:val="24"/>
        </w:rPr>
        <w:t xml:space="preserve">; </w:t>
      </w:r>
      <w:r w:rsidR="00786A21" w:rsidRPr="007A7515">
        <w:rPr>
          <w:rFonts w:asciiTheme="minorHAnsi" w:hAnsiTheme="minorHAnsi" w:cstheme="minorHAnsi"/>
          <w:sz w:val="24"/>
          <w:szCs w:val="24"/>
        </w:rPr>
        <w:t>&gt;</w:t>
      </w:r>
      <w:r w:rsidR="0024586F" w:rsidRPr="007A7515">
        <w:rPr>
          <w:rFonts w:asciiTheme="minorHAnsi" w:hAnsiTheme="minorHAnsi" w:cstheme="minorHAnsi"/>
          <w:sz w:val="24"/>
          <w:szCs w:val="24"/>
        </w:rPr>
        <w:t xml:space="preserve">18 years of age.  </w:t>
      </w:r>
      <w:r w:rsidR="00786A21" w:rsidRPr="007A7515">
        <w:rPr>
          <w:rFonts w:asciiTheme="minorHAnsi" w:hAnsiTheme="minorHAnsi" w:cstheme="minorHAnsi"/>
          <w:sz w:val="24"/>
          <w:szCs w:val="24"/>
        </w:rPr>
        <w:t>Presence of o</w:t>
      </w:r>
      <w:r w:rsidR="00326EF2" w:rsidRPr="007A7515">
        <w:rPr>
          <w:rFonts w:asciiTheme="minorHAnsi" w:hAnsiTheme="minorHAnsi" w:cstheme="minorHAnsi"/>
          <w:sz w:val="24"/>
          <w:szCs w:val="24"/>
        </w:rPr>
        <w:t>ther</w:t>
      </w:r>
      <w:r w:rsidR="00326EF2" w:rsidRPr="007A7515">
        <w:rPr>
          <w:rFonts w:asciiTheme="minorHAnsi" w:hAnsiTheme="minorHAnsi" w:cstheme="minorHAnsi"/>
          <w:spacing w:val="8"/>
          <w:sz w:val="24"/>
          <w:szCs w:val="24"/>
        </w:rPr>
        <w:t xml:space="preserve"> </w:t>
      </w:r>
      <w:r w:rsidR="00326EF2" w:rsidRPr="007A7515">
        <w:rPr>
          <w:rFonts w:asciiTheme="minorHAnsi" w:hAnsiTheme="minorHAnsi" w:cstheme="minorHAnsi"/>
          <w:sz w:val="24"/>
          <w:szCs w:val="24"/>
        </w:rPr>
        <w:t>small</w:t>
      </w:r>
      <w:r w:rsidR="00326EF2" w:rsidRPr="007A7515">
        <w:rPr>
          <w:rFonts w:asciiTheme="minorHAnsi" w:hAnsiTheme="minorHAnsi" w:cstheme="minorHAnsi"/>
          <w:spacing w:val="-1"/>
          <w:sz w:val="24"/>
          <w:szCs w:val="24"/>
        </w:rPr>
        <w:t xml:space="preserve"> </w:t>
      </w:r>
      <w:r w:rsidR="00326EF2" w:rsidRPr="007A7515">
        <w:rPr>
          <w:rFonts w:asciiTheme="minorHAnsi" w:hAnsiTheme="minorHAnsi" w:cstheme="minorHAnsi"/>
          <w:sz w:val="24"/>
          <w:szCs w:val="24"/>
        </w:rPr>
        <w:t xml:space="preserve">lesions &lt;4mm that would normally be disregarded, </w:t>
      </w:r>
      <w:r w:rsidR="00786A21" w:rsidRPr="007A7515">
        <w:rPr>
          <w:rFonts w:asciiTheme="minorHAnsi" w:hAnsiTheme="minorHAnsi" w:cstheme="minorHAnsi"/>
          <w:sz w:val="24"/>
          <w:szCs w:val="24"/>
        </w:rPr>
        <w:t xml:space="preserve">meant </w:t>
      </w:r>
      <w:r w:rsidR="00326EF2" w:rsidRPr="007A7515">
        <w:rPr>
          <w:rFonts w:asciiTheme="minorHAnsi" w:hAnsiTheme="minorHAnsi" w:cstheme="minorHAnsi"/>
          <w:sz w:val="24"/>
          <w:szCs w:val="24"/>
        </w:rPr>
        <w:t>the patient</w:t>
      </w:r>
      <w:r w:rsidR="00326EF2" w:rsidRPr="007A7515">
        <w:rPr>
          <w:rFonts w:asciiTheme="minorHAnsi" w:hAnsiTheme="minorHAnsi" w:cstheme="minorHAnsi"/>
          <w:spacing w:val="6"/>
          <w:sz w:val="24"/>
          <w:szCs w:val="24"/>
        </w:rPr>
        <w:t xml:space="preserve"> </w:t>
      </w:r>
      <w:r w:rsidR="0024586F" w:rsidRPr="007A7515">
        <w:rPr>
          <w:rFonts w:asciiTheme="minorHAnsi" w:hAnsiTheme="minorHAnsi" w:cstheme="minorHAnsi"/>
          <w:sz w:val="24"/>
          <w:szCs w:val="24"/>
        </w:rPr>
        <w:t>c</w:t>
      </w:r>
      <w:r w:rsidR="00326EF2" w:rsidRPr="007A7515">
        <w:rPr>
          <w:rFonts w:asciiTheme="minorHAnsi" w:hAnsiTheme="minorHAnsi" w:cstheme="minorHAnsi"/>
          <w:sz w:val="24"/>
          <w:szCs w:val="24"/>
        </w:rPr>
        <w:t>ould be included</w:t>
      </w:r>
      <w:r w:rsidR="0024586F" w:rsidRPr="007A7515">
        <w:rPr>
          <w:rFonts w:asciiTheme="minorHAnsi" w:hAnsiTheme="minorHAnsi" w:cstheme="minorHAnsi"/>
          <w:sz w:val="24"/>
          <w:szCs w:val="24"/>
        </w:rPr>
        <w:t xml:space="preserve">. Exclusion criteria were: </w:t>
      </w:r>
      <w:r w:rsidR="00326EF2" w:rsidRPr="007A7515">
        <w:rPr>
          <w:rFonts w:asciiTheme="minorHAnsi" w:hAnsiTheme="minorHAnsi" w:cstheme="minorHAnsi"/>
          <w:sz w:val="24"/>
          <w:szCs w:val="24"/>
        </w:rPr>
        <w:t>Pregnancy</w:t>
      </w:r>
      <w:r w:rsidR="0024586F" w:rsidRPr="007A7515">
        <w:rPr>
          <w:rFonts w:asciiTheme="minorHAnsi" w:hAnsiTheme="minorHAnsi" w:cstheme="minorHAnsi"/>
          <w:sz w:val="24"/>
          <w:szCs w:val="24"/>
        </w:rPr>
        <w:t xml:space="preserve">; </w:t>
      </w:r>
      <w:r w:rsidR="00326EF2" w:rsidRPr="007A7515">
        <w:rPr>
          <w:rFonts w:asciiTheme="minorHAnsi" w:hAnsiTheme="minorHAnsi" w:cstheme="minorHAnsi"/>
          <w:sz w:val="24"/>
          <w:szCs w:val="24"/>
        </w:rPr>
        <w:t>History of malignancy within the past 2</w:t>
      </w:r>
      <w:r w:rsidR="00326EF2" w:rsidRPr="007A7515">
        <w:rPr>
          <w:rFonts w:asciiTheme="minorHAnsi" w:hAnsiTheme="minorHAnsi" w:cstheme="minorHAnsi"/>
          <w:spacing w:val="-8"/>
          <w:sz w:val="24"/>
          <w:szCs w:val="24"/>
        </w:rPr>
        <w:t xml:space="preserve"> </w:t>
      </w:r>
      <w:r w:rsidR="00326EF2" w:rsidRPr="007A7515">
        <w:rPr>
          <w:rFonts w:asciiTheme="minorHAnsi" w:hAnsiTheme="minorHAnsi" w:cstheme="minorHAnsi"/>
          <w:sz w:val="24"/>
          <w:szCs w:val="24"/>
        </w:rPr>
        <w:t>years</w:t>
      </w:r>
      <w:r w:rsidR="0024586F" w:rsidRPr="007A7515">
        <w:rPr>
          <w:rFonts w:asciiTheme="minorHAnsi" w:hAnsiTheme="minorHAnsi" w:cstheme="minorHAnsi"/>
          <w:sz w:val="24"/>
          <w:szCs w:val="24"/>
        </w:rPr>
        <w:t xml:space="preserve">; </w:t>
      </w:r>
      <w:r w:rsidR="00326EF2" w:rsidRPr="007A7515">
        <w:rPr>
          <w:rFonts w:asciiTheme="minorHAnsi" w:eastAsia="Calibri" w:hAnsiTheme="minorHAnsi" w:cstheme="minorHAnsi"/>
          <w:sz w:val="24"/>
          <w:szCs w:val="24"/>
        </w:rPr>
        <w:t>Confirmed aetiology of the nodule at the time of qualifying CT scan</w:t>
      </w:r>
      <w:r w:rsidR="0024586F" w:rsidRPr="007A7515">
        <w:rPr>
          <w:rFonts w:asciiTheme="minorHAnsi" w:eastAsia="Calibri" w:hAnsiTheme="minorHAnsi" w:cstheme="minorHAnsi"/>
          <w:sz w:val="24"/>
          <w:szCs w:val="24"/>
        </w:rPr>
        <w:t xml:space="preserve">; </w:t>
      </w:r>
      <w:r w:rsidR="00326EF2" w:rsidRPr="007A7515">
        <w:rPr>
          <w:rFonts w:asciiTheme="minorHAnsi" w:hAnsiTheme="minorHAnsi" w:cstheme="minorHAnsi"/>
          <w:sz w:val="24"/>
          <w:szCs w:val="24"/>
        </w:rPr>
        <w:t>Biopsy of nodule prior to DCE-CT</w:t>
      </w:r>
      <w:r w:rsidR="00326EF2" w:rsidRPr="007A7515">
        <w:rPr>
          <w:rFonts w:asciiTheme="minorHAnsi" w:hAnsiTheme="minorHAnsi" w:cstheme="minorHAnsi"/>
          <w:spacing w:val="-1"/>
          <w:sz w:val="24"/>
          <w:szCs w:val="24"/>
        </w:rPr>
        <w:t xml:space="preserve"> </w:t>
      </w:r>
      <w:r w:rsidR="00326EF2" w:rsidRPr="007A7515">
        <w:rPr>
          <w:rFonts w:asciiTheme="minorHAnsi" w:hAnsiTheme="minorHAnsi" w:cstheme="minorHAnsi"/>
          <w:sz w:val="24"/>
          <w:szCs w:val="24"/>
        </w:rPr>
        <w:t>scan</w:t>
      </w:r>
      <w:r w:rsidR="0024586F" w:rsidRPr="007A7515">
        <w:rPr>
          <w:rFonts w:asciiTheme="minorHAnsi" w:hAnsiTheme="minorHAnsi" w:cstheme="minorHAnsi"/>
          <w:sz w:val="24"/>
          <w:szCs w:val="24"/>
        </w:rPr>
        <w:t xml:space="preserve">; </w:t>
      </w:r>
      <w:r w:rsidR="00326EF2" w:rsidRPr="007A7515">
        <w:rPr>
          <w:rFonts w:asciiTheme="minorHAnsi" w:hAnsiTheme="minorHAnsi" w:cstheme="minorHAnsi"/>
          <w:sz w:val="24"/>
          <w:szCs w:val="24"/>
        </w:rPr>
        <w:t xml:space="preserve">Contra-indication to </w:t>
      </w:r>
      <w:r w:rsidR="00BA3208" w:rsidRPr="007A7515">
        <w:rPr>
          <w:rFonts w:asciiTheme="minorHAnsi" w:hAnsiTheme="minorHAnsi" w:cstheme="minorHAnsi"/>
          <w:sz w:val="24"/>
          <w:szCs w:val="24"/>
        </w:rPr>
        <w:t xml:space="preserve">imaging examinations, </w:t>
      </w:r>
      <w:r w:rsidR="00326EF2" w:rsidRPr="007A7515">
        <w:rPr>
          <w:rFonts w:asciiTheme="minorHAnsi" w:hAnsiTheme="minorHAnsi" w:cstheme="minorHAnsi"/>
          <w:sz w:val="24"/>
          <w:szCs w:val="24"/>
        </w:rPr>
        <w:t>potential radiotherapy or</w:t>
      </w:r>
      <w:r w:rsidR="00326EF2" w:rsidRPr="007A7515">
        <w:rPr>
          <w:rFonts w:asciiTheme="minorHAnsi" w:hAnsiTheme="minorHAnsi" w:cstheme="minorHAnsi"/>
          <w:spacing w:val="-3"/>
          <w:sz w:val="24"/>
          <w:szCs w:val="24"/>
        </w:rPr>
        <w:t xml:space="preserve"> </w:t>
      </w:r>
      <w:r w:rsidR="00326EF2" w:rsidRPr="007A7515">
        <w:rPr>
          <w:rFonts w:asciiTheme="minorHAnsi" w:hAnsiTheme="minorHAnsi" w:cstheme="minorHAnsi"/>
          <w:sz w:val="24"/>
          <w:szCs w:val="24"/>
        </w:rPr>
        <w:t>surgery</w:t>
      </w:r>
      <w:r w:rsidR="000F157F" w:rsidRPr="007A7515">
        <w:rPr>
          <w:rFonts w:asciiTheme="minorHAnsi" w:hAnsiTheme="minorHAnsi" w:cstheme="minorHAnsi"/>
          <w:sz w:val="24"/>
          <w:szCs w:val="24"/>
        </w:rPr>
        <w:t>.</w:t>
      </w:r>
    </w:p>
    <w:p w14:paraId="38A07AF1" w14:textId="73D1635E" w:rsidR="00623653" w:rsidRPr="007A7515" w:rsidRDefault="00623653" w:rsidP="00623653">
      <w:pPr>
        <w:pStyle w:val="Heading2"/>
        <w:numPr>
          <w:ilvl w:val="0"/>
          <w:numId w:val="0"/>
        </w:numPr>
        <w:ind w:left="576" w:hanging="576"/>
        <w:rPr>
          <w:rFonts w:asciiTheme="minorHAnsi" w:hAnsiTheme="minorHAnsi"/>
        </w:rPr>
      </w:pPr>
      <w:bookmarkStart w:id="7" w:name="_Toc26861601"/>
    </w:p>
    <w:p w14:paraId="6D650A6D" w14:textId="47260CA3" w:rsidR="00C45A30" w:rsidRPr="007A7515" w:rsidRDefault="001F3BF8" w:rsidP="00C45A30">
      <w:pPr>
        <w:pStyle w:val="NoSpacing"/>
        <w:rPr>
          <w:rFonts w:asciiTheme="minorHAnsi" w:hAnsiTheme="minorHAnsi" w:cstheme="minorHAnsi"/>
          <w:szCs w:val="24"/>
        </w:rPr>
      </w:pPr>
      <w:r w:rsidRPr="007A7515">
        <w:rPr>
          <w:rFonts w:asciiTheme="minorHAnsi" w:hAnsiTheme="minorHAnsi" w:cstheme="minorHAnsi"/>
          <w:szCs w:val="24"/>
        </w:rPr>
        <w:t>Recruited patients underwent a</w:t>
      </w:r>
      <w:r w:rsidR="003A134F" w:rsidRPr="007A7515">
        <w:rPr>
          <w:rFonts w:asciiTheme="minorHAnsi" w:hAnsiTheme="minorHAnsi" w:cstheme="minorHAnsi"/>
          <w:szCs w:val="24"/>
        </w:rPr>
        <w:t xml:space="preserve"> PET/CT </w:t>
      </w:r>
      <w:r w:rsidRPr="007A7515">
        <w:rPr>
          <w:rFonts w:asciiTheme="minorHAnsi" w:hAnsiTheme="minorHAnsi" w:cstheme="minorHAnsi"/>
          <w:szCs w:val="24"/>
        </w:rPr>
        <w:t xml:space="preserve">and DCE-CT  </w:t>
      </w:r>
      <w:r w:rsidR="005946E9" w:rsidRPr="007A7515">
        <w:rPr>
          <w:rFonts w:asciiTheme="minorHAnsi" w:hAnsiTheme="minorHAnsi" w:cstheme="minorHAnsi"/>
          <w:szCs w:val="24"/>
        </w:rPr>
        <w:t xml:space="preserve"> to assess </w:t>
      </w:r>
      <w:r w:rsidRPr="007A7515">
        <w:rPr>
          <w:rFonts w:asciiTheme="minorHAnsi" w:hAnsiTheme="minorHAnsi" w:cstheme="minorHAnsi"/>
          <w:szCs w:val="24"/>
        </w:rPr>
        <w:t xml:space="preserve">their </w:t>
      </w:r>
      <w:r w:rsidR="005946E9" w:rsidRPr="007A7515">
        <w:rPr>
          <w:rFonts w:asciiTheme="minorHAnsi" w:hAnsiTheme="minorHAnsi" w:cstheme="minorHAnsi"/>
          <w:szCs w:val="24"/>
        </w:rPr>
        <w:t xml:space="preserve">pulmonary </w:t>
      </w:r>
      <w:r w:rsidRPr="007A7515">
        <w:rPr>
          <w:rFonts w:asciiTheme="minorHAnsi" w:hAnsiTheme="minorHAnsi" w:cstheme="minorHAnsi"/>
          <w:szCs w:val="24"/>
        </w:rPr>
        <w:t>nodules.</w:t>
      </w:r>
      <w:r w:rsidR="003A134F" w:rsidRPr="007A7515">
        <w:rPr>
          <w:rFonts w:asciiTheme="minorHAnsi" w:hAnsiTheme="minorHAnsi" w:cstheme="minorHAnsi"/>
          <w:szCs w:val="24"/>
        </w:rPr>
        <w:t xml:space="preserve"> PET/CT </w:t>
      </w:r>
      <w:r w:rsidR="00C45A30" w:rsidRPr="007A7515">
        <w:rPr>
          <w:rFonts w:asciiTheme="minorHAnsi" w:hAnsiTheme="minorHAnsi" w:cstheme="minorHAnsi"/>
          <w:szCs w:val="24"/>
        </w:rPr>
        <w:t>and DCE-CT scans were ideally performed within 14 day</w:t>
      </w:r>
      <w:r w:rsidR="006F3FFC" w:rsidRPr="007A7515">
        <w:rPr>
          <w:rFonts w:asciiTheme="minorHAnsi" w:hAnsiTheme="minorHAnsi" w:cstheme="minorHAnsi"/>
          <w:szCs w:val="24"/>
        </w:rPr>
        <w:t>s,</w:t>
      </w:r>
      <w:r w:rsidR="00C45A30" w:rsidRPr="007A7515">
        <w:rPr>
          <w:rFonts w:asciiTheme="minorHAnsi" w:hAnsiTheme="minorHAnsi" w:cstheme="minorHAnsi"/>
          <w:szCs w:val="24"/>
        </w:rPr>
        <w:t xml:space="preserve"> with </w:t>
      </w:r>
      <w:r w:rsidR="0024586F" w:rsidRPr="007A7515">
        <w:rPr>
          <w:rFonts w:asciiTheme="minorHAnsi" w:hAnsiTheme="minorHAnsi" w:cstheme="minorHAnsi"/>
          <w:szCs w:val="24"/>
        </w:rPr>
        <w:t>up to</w:t>
      </w:r>
      <w:r w:rsidR="00C45A30" w:rsidRPr="007A7515">
        <w:rPr>
          <w:rFonts w:asciiTheme="minorHAnsi" w:hAnsiTheme="minorHAnsi" w:cstheme="minorHAnsi"/>
          <w:szCs w:val="24"/>
        </w:rPr>
        <w:t xml:space="preserve"> 21 days allowed between scans when sites had difficulty with</w:t>
      </w:r>
      <w:r w:rsidR="00C45A30" w:rsidRPr="007A7515">
        <w:rPr>
          <w:rFonts w:asciiTheme="minorHAnsi" w:hAnsiTheme="minorHAnsi" w:cstheme="minorHAnsi"/>
          <w:spacing w:val="-34"/>
          <w:szCs w:val="24"/>
        </w:rPr>
        <w:t xml:space="preserve"> </w:t>
      </w:r>
      <w:r w:rsidR="00C45A30" w:rsidRPr="007A7515">
        <w:rPr>
          <w:rFonts w:asciiTheme="minorHAnsi" w:hAnsiTheme="minorHAnsi" w:cstheme="minorHAnsi"/>
          <w:szCs w:val="24"/>
        </w:rPr>
        <w:t>scheduling. Following th</w:t>
      </w:r>
      <w:r w:rsidR="003A134F" w:rsidRPr="007A7515">
        <w:rPr>
          <w:rFonts w:asciiTheme="minorHAnsi" w:hAnsiTheme="minorHAnsi" w:cstheme="minorHAnsi"/>
          <w:szCs w:val="24"/>
        </w:rPr>
        <w:t xml:space="preserve">e PET/CT </w:t>
      </w:r>
      <w:r w:rsidR="00C45A30" w:rsidRPr="007A7515">
        <w:rPr>
          <w:rFonts w:asciiTheme="minorHAnsi" w:hAnsiTheme="minorHAnsi" w:cstheme="minorHAnsi"/>
          <w:szCs w:val="24"/>
        </w:rPr>
        <w:t xml:space="preserve">and DCE-CT investigations, management of the SPN was directed by the local/specialist lung </w:t>
      </w:r>
      <w:r w:rsidR="005946E9" w:rsidRPr="007A7515">
        <w:rPr>
          <w:rFonts w:asciiTheme="minorHAnsi" w:hAnsiTheme="minorHAnsi" w:cstheme="minorHAnsi"/>
          <w:szCs w:val="24"/>
        </w:rPr>
        <w:t xml:space="preserve">multidisciplinary team meeting </w:t>
      </w:r>
      <w:r w:rsidR="00863F4E" w:rsidRPr="007A7515">
        <w:rPr>
          <w:rFonts w:asciiTheme="minorHAnsi" w:hAnsiTheme="minorHAnsi" w:cstheme="minorHAnsi"/>
          <w:szCs w:val="24"/>
        </w:rPr>
        <w:t>(</w:t>
      </w:r>
      <w:r w:rsidR="00C45A30" w:rsidRPr="007A7515">
        <w:rPr>
          <w:rFonts w:asciiTheme="minorHAnsi" w:hAnsiTheme="minorHAnsi" w:cstheme="minorHAnsi"/>
          <w:szCs w:val="24"/>
        </w:rPr>
        <w:t>MDT</w:t>
      </w:r>
      <w:r w:rsidR="00863F4E" w:rsidRPr="007A7515">
        <w:rPr>
          <w:rFonts w:asciiTheme="minorHAnsi" w:hAnsiTheme="minorHAnsi" w:cstheme="minorHAnsi"/>
          <w:szCs w:val="24"/>
        </w:rPr>
        <w:t>)</w:t>
      </w:r>
      <w:r w:rsidR="00C45A30" w:rsidRPr="007A7515">
        <w:rPr>
          <w:rFonts w:asciiTheme="minorHAnsi" w:hAnsiTheme="minorHAnsi" w:cstheme="minorHAnsi"/>
          <w:szCs w:val="24"/>
        </w:rPr>
        <w:t>.</w:t>
      </w:r>
    </w:p>
    <w:p w14:paraId="3560C2E7" w14:textId="77777777" w:rsidR="00C45A30" w:rsidRPr="007A7515" w:rsidRDefault="00C45A30" w:rsidP="00C45A30">
      <w:pPr>
        <w:rPr>
          <w:rFonts w:asciiTheme="minorHAnsi" w:hAnsiTheme="minorHAnsi" w:cstheme="minorHAnsi"/>
          <w:sz w:val="24"/>
          <w:szCs w:val="24"/>
        </w:rPr>
      </w:pPr>
    </w:p>
    <w:p w14:paraId="12B89E10" w14:textId="6EE3EA4D" w:rsidR="00623653" w:rsidRPr="007A7515" w:rsidRDefault="00623653" w:rsidP="00623653">
      <w:pPr>
        <w:pStyle w:val="Heading2"/>
        <w:numPr>
          <w:ilvl w:val="0"/>
          <w:numId w:val="0"/>
        </w:numPr>
        <w:ind w:left="576" w:hanging="576"/>
        <w:rPr>
          <w:rFonts w:asciiTheme="minorHAnsi" w:hAnsiTheme="minorHAnsi"/>
          <w:b w:val="0"/>
        </w:rPr>
      </w:pPr>
      <w:r w:rsidRPr="007A7515">
        <w:rPr>
          <w:rFonts w:asciiTheme="minorHAnsi" w:hAnsiTheme="minorHAnsi"/>
          <w:b w:val="0"/>
        </w:rPr>
        <w:t>Objectives</w:t>
      </w:r>
      <w:bookmarkEnd w:id="7"/>
    </w:p>
    <w:p w14:paraId="457085CA" w14:textId="5F4E717B" w:rsidR="00623653" w:rsidRPr="007A7515" w:rsidRDefault="00623653" w:rsidP="000C0C44">
      <w:pPr>
        <w:pStyle w:val="NoSpacing"/>
        <w:rPr>
          <w:rFonts w:asciiTheme="minorHAnsi" w:hAnsiTheme="minorHAnsi" w:cstheme="minorHAnsi"/>
          <w:szCs w:val="24"/>
        </w:rPr>
      </w:pPr>
      <w:r w:rsidRPr="007A7515">
        <w:rPr>
          <w:rFonts w:asciiTheme="minorHAnsi" w:hAnsiTheme="minorHAnsi" w:cstheme="minorHAnsi"/>
          <w:szCs w:val="24"/>
          <w:lang w:eastAsia="en-GB"/>
        </w:rPr>
        <w:t>The primary objective of the trial was t</w:t>
      </w:r>
      <w:r w:rsidRPr="007A7515">
        <w:rPr>
          <w:rFonts w:asciiTheme="minorHAnsi" w:hAnsiTheme="minorHAnsi" w:cstheme="minorHAnsi"/>
          <w:szCs w:val="24"/>
        </w:rPr>
        <w:t>o</w:t>
      </w:r>
      <w:r w:rsidRPr="007A7515">
        <w:rPr>
          <w:rFonts w:asciiTheme="minorHAnsi" w:hAnsiTheme="minorHAnsi" w:cstheme="minorHAnsi"/>
          <w:spacing w:val="29"/>
          <w:szCs w:val="24"/>
        </w:rPr>
        <w:t xml:space="preserve"> </w:t>
      </w:r>
      <w:r w:rsidRPr="007A7515">
        <w:rPr>
          <w:rFonts w:asciiTheme="minorHAnsi" w:hAnsiTheme="minorHAnsi" w:cstheme="minorHAnsi"/>
          <w:szCs w:val="24"/>
        </w:rPr>
        <w:t>determine</w:t>
      </w:r>
      <w:r w:rsidRPr="007A7515">
        <w:rPr>
          <w:rFonts w:asciiTheme="minorHAnsi" w:hAnsiTheme="minorHAnsi" w:cstheme="minorHAnsi"/>
          <w:spacing w:val="25"/>
          <w:szCs w:val="24"/>
        </w:rPr>
        <w:t xml:space="preserve"> </w:t>
      </w:r>
      <w:r w:rsidRPr="007A7515">
        <w:rPr>
          <w:rFonts w:asciiTheme="minorHAnsi" w:hAnsiTheme="minorHAnsi" w:cstheme="minorHAnsi"/>
          <w:szCs w:val="24"/>
        </w:rPr>
        <w:t>the</w:t>
      </w:r>
      <w:r w:rsidRPr="007A7515">
        <w:rPr>
          <w:rFonts w:asciiTheme="minorHAnsi" w:hAnsiTheme="minorHAnsi" w:cstheme="minorHAnsi"/>
          <w:spacing w:val="26"/>
          <w:szCs w:val="24"/>
        </w:rPr>
        <w:t xml:space="preserve"> </w:t>
      </w:r>
      <w:r w:rsidRPr="007A7515">
        <w:rPr>
          <w:rFonts w:asciiTheme="minorHAnsi" w:hAnsiTheme="minorHAnsi" w:cstheme="minorHAnsi"/>
          <w:szCs w:val="24"/>
        </w:rPr>
        <w:t>diagnostic</w:t>
      </w:r>
      <w:r w:rsidRPr="007A7515">
        <w:rPr>
          <w:rFonts w:asciiTheme="minorHAnsi" w:hAnsiTheme="minorHAnsi" w:cstheme="minorHAnsi"/>
          <w:spacing w:val="28"/>
          <w:szCs w:val="24"/>
        </w:rPr>
        <w:t xml:space="preserve"> </w:t>
      </w:r>
      <w:r w:rsidRPr="007A7515">
        <w:rPr>
          <w:rFonts w:asciiTheme="minorHAnsi" w:hAnsiTheme="minorHAnsi" w:cstheme="minorHAnsi"/>
          <w:szCs w:val="24"/>
        </w:rPr>
        <w:t>performances</w:t>
      </w:r>
      <w:r w:rsidR="000F157F" w:rsidRPr="007A7515">
        <w:rPr>
          <w:rFonts w:asciiTheme="minorHAnsi" w:hAnsiTheme="minorHAnsi" w:cstheme="minorHAnsi"/>
          <w:szCs w:val="24"/>
        </w:rPr>
        <w:t xml:space="preserve"> and cost-</w:t>
      </w:r>
      <w:r w:rsidR="007B4B80" w:rsidRPr="007A7515">
        <w:rPr>
          <w:rFonts w:asciiTheme="minorHAnsi" w:hAnsiTheme="minorHAnsi" w:cstheme="minorHAnsi"/>
          <w:szCs w:val="24"/>
        </w:rPr>
        <w:t>effectiveness</w:t>
      </w:r>
      <w:r w:rsidRPr="007A7515">
        <w:rPr>
          <w:rFonts w:asciiTheme="minorHAnsi" w:hAnsiTheme="minorHAnsi" w:cstheme="minorHAnsi"/>
          <w:spacing w:val="25"/>
          <w:szCs w:val="24"/>
        </w:rPr>
        <w:t xml:space="preserve"> </w:t>
      </w:r>
      <w:r w:rsidRPr="007A7515">
        <w:rPr>
          <w:rFonts w:asciiTheme="minorHAnsi" w:hAnsiTheme="minorHAnsi" w:cstheme="minorHAnsi"/>
          <w:szCs w:val="24"/>
        </w:rPr>
        <w:t>of</w:t>
      </w:r>
      <w:r w:rsidRPr="007A7515">
        <w:rPr>
          <w:rFonts w:asciiTheme="minorHAnsi" w:hAnsiTheme="minorHAnsi" w:cstheme="minorHAnsi"/>
          <w:spacing w:val="25"/>
          <w:szCs w:val="24"/>
        </w:rPr>
        <w:t xml:space="preserve"> </w:t>
      </w:r>
      <w:r w:rsidRPr="007A7515">
        <w:rPr>
          <w:rFonts w:asciiTheme="minorHAnsi" w:hAnsiTheme="minorHAnsi" w:cstheme="minorHAnsi"/>
          <w:szCs w:val="24"/>
        </w:rPr>
        <w:t>DCE-CT</w:t>
      </w:r>
      <w:r w:rsidRPr="007A7515">
        <w:rPr>
          <w:rFonts w:asciiTheme="minorHAnsi" w:hAnsiTheme="minorHAnsi" w:cstheme="minorHAnsi"/>
          <w:spacing w:val="25"/>
          <w:szCs w:val="24"/>
        </w:rPr>
        <w:t xml:space="preserve"> </w:t>
      </w:r>
      <w:r w:rsidRPr="007A7515">
        <w:rPr>
          <w:rFonts w:asciiTheme="minorHAnsi" w:hAnsiTheme="minorHAnsi" w:cstheme="minorHAnsi"/>
          <w:szCs w:val="24"/>
        </w:rPr>
        <w:t>and</w:t>
      </w:r>
      <w:r w:rsidR="003A134F" w:rsidRPr="007A7515">
        <w:rPr>
          <w:rFonts w:asciiTheme="minorHAnsi" w:hAnsiTheme="minorHAnsi" w:cstheme="minorHAnsi"/>
          <w:szCs w:val="24"/>
        </w:rPr>
        <w:t xml:space="preserve"> PET/CT </w:t>
      </w:r>
      <w:r w:rsidRPr="007A7515">
        <w:rPr>
          <w:rFonts w:asciiTheme="minorHAnsi" w:hAnsiTheme="minorHAnsi" w:cstheme="minorHAnsi"/>
          <w:szCs w:val="24"/>
        </w:rPr>
        <w:t>for the characterisation of SPNs. The secon</w:t>
      </w:r>
      <w:r w:rsidR="007B4B80" w:rsidRPr="007A7515">
        <w:rPr>
          <w:rFonts w:asciiTheme="minorHAnsi" w:hAnsiTheme="minorHAnsi" w:cstheme="minorHAnsi"/>
          <w:szCs w:val="24"/>
        </w:rPr>
        <w:t xml:space="preserve">dary objectives were to assess </w:t>
      </w:r>
      <w:r w:rsidRPr="007A7515">
        <w:rPr>
          <w:rFonts w:asciiTheme="minorHAnsi" w:hAnsiTheme="minorHAnsi" w:cstheme="minorHAnsi"/>
          <w:szCs w:val="24"/>
        </w:rPr>
        <w:t>whether combining DCE-CT with</w:t>
      </w:r>
      <w:r w:rsidR="003A134F" w:rsidRPr="007A7515">
        <w:rPr>
          <w:rFonts w:asciiTheme="minorHAnsi" w:hAnsiTheme="minorHAnsi" w:cstheme="minorHAnsi"/>
          <w:szCs w:val="24"/>
        </w:rPr>
        <w:t xml:space="preserve"> PET/CT </w:t>
      </w:r>
      <w:r w:rsidRPr="007A7515">
        <w:rPr>
          <w:rFonts w:asciiTheme="minorHAnsi" w:hAnsiTheme="minorHAnsi" w:cstheme="minorHAnsi"/>
          <w:szCs w:val="24"/>
        </w:rPr>
        <w:t>is more accurate and/or cost-effective, in the characterisation of SPNs, than either test used alone or in</w:t>
      </w:r>
      <w:r w:rsidRPr="007A7515">
        <w:rPr>
          <w:rFonts w:asciiTheme="minorHAnsi" w:hAnsiTheme="minorHAnsi" w:cstheme="minorHAnsi"/>
          <w:spacing w:val="-4"/>
          <w:szCs w:val="24"/>
        </w:rPr>
        <w:t xml:space="preserve"> </w:t>
      </w:r>
      <w:r w:rsidRPr="007A7515">
        <w:rPr>
          <w:rFonts w:asciiTheme="minorHAnsi" w:hAnsiTheme="minorHAnsi" w:cstheme="minorHAnsi"/>
          <w:szCs w:val="24"/>
        </w:rPr>
        <w:t>series.</w:t>
      </w:r>
    </w:p>
    <w:p w14:paraId="52B50BB5" w14:textId="77777777" w:rsidR="00B15453" w:rsidRPr="007A7515" w:rsidRDefault="00B15453" w:rsidP="000C0C44">
      <w:pPr>
        <w:pStyle w:val="NoSpacing"/>
        <w:rPr>
          <w:rFonts w:asciiTheme="minorHAnsi" w:hAnsiTheme="minorHAnsi" w:cstheme="minorHAnsi"/>
          <w:b/>
          <w:szCs w:val="24"/>
        </w:rPr>
      </w:pPr>
    </w:p>
    <w:p w14:paraId="00D5E765" w14:textId="467D5F12" w:rsidR="000B20E0" w:rsidRPr="007A7515" w:rsidRDefault="000B20E0" w:rsidP="000C0C44">
      <w:pPr>
        <w:pStyle w:val="NoSpacing"/>
        <w:rPr>
          <w:rFonts w:asciiTheme="minorHAnsi" w:eastAsia="Calibri" w:hAnsiTheme="minorHAnsi" w:cstheme="minorHAnsi"/>
          <w:b/>
          <w:szCs w:val="24"/>
        </w:rPr>
      </w:pPr>
      <w:r w:rsidRPr="007A7515">
        <w:rPr>
          <w:rFonts w:asciiTheme="minorHAnsi" w:hAnsiTheme="minorHAnsi" w:cstheme="minorHAnsi"/>
          <w:b/>
          <w:szCs w:val="24"/>
        </w:rPr>
        <w:lastRenderedPageBreak/>
        <w:t>PET/CT</w:t>
      </w:r>
    </w:p>
    <w:p w14:paraId="0154D26A" w14:textId="02B2A0DE" w:rsidR="009833F0" w:rsidRPr="007A7515" w:rsidRDefault="00137579" w:rsidP="008A5B43">
      <w:pPr>
        <w:pStyle w:val="NoSpacing"/>
        <w:rPr>
          <w:rFonts w:asciiTheme="minorHAnsi" w:hAnsiTheme="minorHAnsi" w:cstheme="minorHAnsi"/>
          <w:szCs w:val="24"/>
          <w:lang w:eastAsia="en-GB"/>
        </w:rPr>
      </w:pPr>
      <w:r w:rsidRPr="007A7515">
        <w:rPr>
          <w:rFonts w:asciiTheme="minorHAnsi" w:hAnsiTheme="minorHAnsi" w:cstheme="minorHAnsi"/>
          <w:szCs w:val="24"/>
        </w:rPr>
        <w:t xml:space="preserve">All </w:t>
      </w:r>
      <w:r w:rsidR="009E3EC4" w:rsidRPr="007A7515">
        <w:rPr>
          <w:rFonts w:asciiTheme="minorHAnsi" w:hAnsiTheme="minorHAnsi" w:cstheme="minorHAnsi"/>
          <w:szCs w:val="24"/>
        </w:rPr>
        <w:t xml:space="preserve">25 PET/CT </w:t>
      </w:r>
      <w:r w:rsidRPr="007A7515">
        <w:rPr>
          <w:rFonts w:asciiTheme="minorHAnsi" w:hAnsiTheme="minorHAnsi" w:cstheme="minorHAnsi"/>
          <w:szCs w:val="24"/>
        </w:rPr>
        <w:t>scanners</w:t>
      </w:r>
      <w:r w:rsidR="009E3EC4" w:rsidRPr="007A7515">
        <w:rPr>
          <w:rFonts w:asciiTheme="minorHAnsi" w:hAnsiTheme="minorHAnsi" w:cstheme="minorHAnsi"/>
          <w:szCs w:val="24"/>
        </w:rPr>
        <w:t xml:space="preserve"> (Supplementary Material)</w:t>
      </w:r>
      <w:r w:rsidR="000B20E0" w:rsidRPr="007A7515">
        <w:rPr>
          <w:rFonts w:asciiTheme="minorHAnsi" w:hAnsiTheme="minorHAnsi" w:cstheme="minorHAnsi"/>
          <w:szCs w:val="24"/>
        </w:rPr>
        <w:t xml:space="preserve"> underwent</w:t>
      </w:r>
      <w:r w:rsidR="009833F0" w:rsidRPr="007A7515">
        <w:rPr>
          <w:rFonts w:asciiTheme="minorHAnsi" w:hAnsiTheme="minorHAnsi" w:cstheme="minorHAnsi"/>
          <w:szCs w:val="24"/>
        </w:rPr>
        <w:t xml:space="preserve"> baseline</w:t>
      </w:r>
      <w:r w:rsidR="000B20E0" w:rsidRPr="007A7515">
        <w:rPr>
          <w:rFonts w:asciiTheme="minorHAnsi" w:hAnsiTheme="minorHAnsi" w:cstheme="minorHAnsi"/>
          <w:szCs w:val="24"/>
        </w:rPr>
        <w:t xml:space="preserve"> accreditation</w:t>
      </w:r>
      <w:r w:rsidR="009833F0" w:rsidRPr="007A7515">
        <w:rPr>
          <w:rFonts w:asciiTheme="minorHAnsi" w:hAnsiTheme="minorHAnsi" w:cstheme="minorHAnsi"/>
          <w:szCs w:val="24"/>
        </w:rPr>
        <w:t xml:space="preserve"> and annual quality assurance testing</w:t>
      </w:r>
      <w:r w:rsidR="000B20E0" w:rsidRPr="007A7515">
        <w:rPr>
          <w:rFonts w:asciiTheme="minorHAnsi" w:hAnsiTheme="minorHAnsi" w:cstheme="minorHAnsi"/>
          <w:szCs w:val="24"/>
        </w:rPr>
        <w:t xml:space="preserve"> by the UK PET Core Lab </w:t>
      </w:r>
      <w:r w:rsidR="000C0C44"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{"citationItems":[{"id":"ITEM-1","itemData":{"DOI":"10.1093/annonc/mdq428","ISSN":"09237534","abstract":"Background: Multicentre trials are required to determine how [fluorine-18]-2-fluoro-2-deoxy-D-glucose-positron emission tomography imaging can guide cancer treatment. Consistency in quality control (QC), scan acquisition and reporting is mandatory for high-quality results, which are comparable across sites. Methods: A national positron emission tomography (PET) clinical trials network (CTN) has been set up with a 'core laboratory' to coordinate QC and interpret scans. The CTN is involved in trials in Hodgkin's lymphoma [Randomised Phase III trial to determine the role of FDG-PET Imaging in Clinical Stages IA/IIA Hodgkin's Disease (RAPID) and Randomised Phase III trial to assess response adapted therapy using FDG-PET imaging in patients with newly diagnosed, advanced Hodgkin lymphoma (RATHL)] and diffuse large B-cell lymphoma [Blinded evaluation of prognostic value of FDG-PET after 2 cycles of chemotherapy in diffuse large B-cell Non-Hodgkins Lymphoma, a sub-study of the R-CHOP-21 vs R-CHOP-14 trial (R-CHOP PET substudy)]. Approval to join requires scanner validation and agreement to follow a standard QC protocol. Scans are transferred to the core laboratory and reported centrally according to predetermined criteria. Results: The qualification procedure was carried out on 15 scanners. All scanners were able to demonstrate the necessary quantitative accuracy, and following modification of image reconstruction where necessary, scanners demonstrated comparable recovery coefficients (RCs) indicating similar performance. The average RC (±1 standard deviation) was 0.56 ± 0.095 for the 13-mm sphere. Reports from 444 of 473 (94%) patients in RAPID and 67 of 73 (92%) patients in RATHL were available for randomisation of therapy. Conclusions: The CTN has enabled consistent quality assured PET results to be obtained from multiple centres in time for clinical decision making. The results of trials will be significantly strengthened by this system. © The Author 2010. Published by Oxford University Press on behalf of the European Society for Medical Oncology. All rights reserved.","author":[{"dropping-particle":"","family":"Barrington","given":"S. F.","non-dropping-particle":"","parse-names":false,"suffix":""},{"dropping-particle":"","family":"MacKewn","given":"J. E.","non-dropping-particle":"","parse-names":false,"suffix":""},{"dropping-particle":"","family":"Schleyer","given":"P.","non-dropping-particle":"","parse-names":false,"suffix":""},{"dropping-particle":"","family":"Marsden","given":"P. K.","non-dropping-particle":"","parse-names":false,"suffix":""},{"dropping-particle":"","family":"Mikhaeel","given":"N. G.","non-dropping-particle":"","parse-names":false,"suffix":""},{"dropping-particle":"","family":"Qian","given":"W.","non-dropping-particle":"","parse-names":false,"suffix":""},{"dropping-particle":"","family":"Mouncey","given":"P.","non-dropping-particle":"","parse-names":false,"suffix":""},{"dropping-particle":"","family":"Patrick","given":"P.","non-dropping-particle":"","parse-names":false,"suffix":""},{"dropping-particle":"","family":"Popova","given":"B.","non-dropping-particle":"","parse-names":false,"suffix":""},{"dropping-particle":"","family":"Johnson","given":"P.","non-dropping-particle":"","parse-names":false,"suffix":""},{"dropping-particle":"","family":"Radford","given":"J.","non-dropping-particle":"","parse-names":false,"suffix":""},{"dropping-particle":"","family":"O'Doherty","given":"M. J.","non-dropping-particle":"","parse-names":false,"suffix":""}],"container-title":"Annals of Oncology","id":"ITEM-1","issue":"3","issued":{"date-parts":[["2011"]]},"page":"739-745","title":"Establishment of a UK-wide network to facilitate the acquisition of quality assured FDG-PET data for clinical trials in lymphoma","type":"article-journal","volume":"22"},"uris":["http://www.mendeley.com/documents/?uuid=268d63c4-bfd2-43b1-8ec1-f9771db267d3","http://www.mendeley.com/documents/?uuid=1bafb518-0f96-46c7-b869-b9528342d3bf"]}],"mendeley":{"formattedCitation":"&lt;sup&gt;11&lt;/sup&gt;","plainTextFormattedCitation":"11","previouslyFormattedCitation":"&lt;sup&gt;11&lt;/sup&gt;"},"properties":{"noteIndex":0},"schema":"https://github.com/citation-style-language/schema/raw/master/csl-citation.json"}</w:instrText>
      </w:r>
      <w:r w:rsidR="000C0C44"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11</w:t>
      </w:r>
      <w:r w:rsidR="000C0C44" w:rsidRPr="007A7515">
        <w:rPr>
          <w:rFonts w:asciiTheme="minorHAnsi" w:hAnsiTheme="minorHAnsi" w:cstheme="minorHAnsi"/>
          <w:szCs w:val="24"/>
        </w:rPr>
        <w:fldChar w:fldCharType="end"/>
      </w:r>
      <w:r w:rsidR="009E3EC4" w:rsidRPr="007A7515">
        <w:rPr>
          <w:rFonts w:asciiTheme="minorHAnsi" w:hAnsiTheme="minorHAnsi" w:cstheme="minorHAnsi"/>
          <w:szCs w:val="24"/>
        </w:rPr>
        <w:t xml:space="preserve">. </w:t>
      </w:r>
      <w:r w:rsidRPr="007A7515">
        <w:rPr>
          <w:rFonts w:asciiTheme="minorHAnsi" w:hAnsiTheme="minorHAnsi" w:cstheme="minorHAnsi"/>
          <w:szCs w:val="24"/>
        </w:rPr>
        <w:t>All</w:t>
      </w:r>
      <w:r w:rsidR="003A134F" w:rsidRPr="007A7515">
        <w:rPr>
          <w:rFonts w:asciiTheme="minorHAnsi" w:hAnsiTheme="minorHAnsi" w:cstheme="minorHAnsi"/>
          <w:szCs w:val="24"/>
        </w:rPr>
        <w:t xml:space="preserve"> PET/CTs </w:t>
      </w:r>
      <w:r w:rsidRPr="007A7515">
        <w:rPr>
          <w:rFonts w:asciiTheme="minorHAnsi" w:hAnsiTheme="minorHAnsi" w:cstheme="minorHAnsi"/>
          <w:szCs w:val="24"/>
        </w:rPr>
        <w:t xml:space="preserve">were reported by </w:t>
      </w:r>
      <w:r w:rsidR="00723301" w:rsidRPr="007A7515">
        <w:rPr>
          <w:rFonts w:asciiTheme="minorHAnsi" w:hAnsiTheme="minorHAnsi" w:cstheme="minorHAnsi"/>
          <w:szCs w:val="24"/>
        </w:rPr>
        <w:t>accredited PET/CT reporters</w:t>
      </w:r>
      <w:r w:rsidR="00E00688" w:rsidRPr="007A7515">
        <w:rPr>
          <w:rFonts w:asciiTheme="minorHAnsi" w:hAnsiTheme="minorHAnsi" w:cstheme="minorHAnsi"/>
          <w:szCs w:val="24"/>
        </w:rPr>
        <w:t>, blind to the histology results</w:t>
      </w:r>
      <w:r w:rsidRPr="007A7515">
        <w:rPr>
          <w:rFonts w:asciiTheme="minorHAnsi" w:hAnsiTheme="minorHAnsi" w:cstheme="minorHAnsi"/>
          <w:szCs w:val="24"/>
        </w:rPr>
        <w:t xml:space="preserve">. </w:t>
      </w:r>
      <w:r w:rsidR="009833F0" w:rsidRPr="007A7515">
        <w:rPr>
          <w:rFonts w:asciiTheme="minorHAnsi" w:hAnsiTheme="minorHAnsi" w:cstheme="minorHAnsi"/>
          <w:szCs w:val="24"/>
        </w:rPr>
        <w:t>The CT features were graded as</w:t>
      </w:r>
      <w:r w:rsidR="008A5B43" w:rsidRPr="007A7515">
        <w:rPr>
          <w:rFonts w:asciiTheme="minorHAnsi" w:hAnsiTheme="minorHAnsi" w:cstheme="minorHAnsi"/>
          <w:szCs w:val="24"/>
        </w:rPr>
        <w:t>:</w:t>
      </w:r>
      <w:r w:rsidR="009833F0" w:rsidRPr="007A7515">
        <w:rPr>
          <w:rFonts w:asciiTheme="minorHAnsi" w:hAnsiTheme="minorHAnsi" w:cstheme="minorHAnsi"/>
          <w:szCs w:val="24"/>
        </w:rPr>
        <w:t xml:space="preserve"> 0 - Round, well</w:t>
      </w:r>
      <w:r w:rsidR="007407B2" w:rsidRPr="007A7515">
        <w:rPr>
          <w:rFonts w:asciiTheme="minorHAnsi" w:hAnsiTheme="minorHAnsi" w:cstheme="minorHAnsi"/>
          <w:szCs w:val="24"/>
        </w:rPr>
        <w:t>-</w:t>
      </w:r>
      <w:r w:rsidR="009833F0" w:rsidRPr="007A7515">
        <w:rPr>
          <w:rFonts w:asciiTheme="minorHAnsi" w:hAnsiTheme="minorHAnsi" w:cstheme="minorHAnsi"/>
          <w:szCs w:val="24"/>
        </w:rPr>
        <w:t>defined lesion with laminated or popcorn calcification</w:t>
      </w:r>
      <w:r w:rsidR="008A5B43" w:rsidRPr="007A7515">
        <w:rPr>
          <w:rFonts w:asciiTheme="minorHAnsi" w:hAnsiTheme="minorHAnsi" w:cstheme="minorHAnsi"/>
          <w:szCs w:val="24"/>
        </w:rPr>
        <w:t xml:space="preserve">; 1 = Inflammatory features e.g. air bronchograms, enfolded lung; 2 = Smooth well-defined margins, uniform density; 3 = Lobulated, </w:t>
      </w:r>
      <w:proofErr w:type="spellStart"/>
      <w:r w:rsidR="008A5B43" w:rsidRPr="007A7515">
        <w:rPr>
          <w:rFonts w:asciiTheme="minorHAnsi" w:hAnsiTheme="minorHAnsi" w:cstheme="minorHAnsi"/>
          <w:szCs w:val="24"/>
        </w:rPr>
        <w:t>spiculated</w:t>
      </w:r>
      <w:proofErr w:type="spellEnd"/>
      <w:r w:rsidR="008A5B43" w:rsidRPr="007A7515">
        <w:rPr>
          <w:rFonts w:asciiTheme="minorHAnsi" w:hAnsiTheme="minorHAnsi" w:cstheme="minorHAnsi"/>
          <w:szCs w:val="24"/>
        </w:rPr>
        <w:t xml:space="preserve"> or irregular margins; 4 = Evidence of distant metastases (i.e. M1 disease). The PET features were graded as 0 = </w:t>
      </w:r>
      <w:r w:rsidR="008A5B43" w:rsidRPr="007A7515">
        <w:rPr>
          <w:rFonts w:asciiTheme="minorHAnsi" w:hAnsiTheme="minorHAnsi" w:cstheme="minorHAnsi"/>
          <w:color w:val="000000"/>
          <w:szCs w:val="24"/>
          <w:lang w:eastAsia="en-GB"/>
        </w:rPr>
        <w:t xml:space="preserve">No visible uptake; 1 = Uptake less than mediastinal blood pool; 2 = Uptake comparable to mediastinal blood pool; 3 = Uptake greater than mediastinal blood pool; 4 = Evidence of distant metastases (i.e. M1 disease). The </w:t>
      </w:r>
      <w:r w:rsidR="00863F4E" w:rsidRPr="007A7515">
        <w:rPr>
          <w:rFonts w:asciiTheme="minorHAnsi" w:hAnsiTheme="minorHAnsi" w:cstheme="minorHAnsi"/>
          <w:color w:val="000000"/>
          <w:szCs w:val="24"/>
          <w:lang w:eastAsia="en-GB"/>
        </w:rPr>
        <w:t>maximum standardised uptake value (</w:t>
      </w:r>
      <w:proofErr w:type="spellStart"/>
      <w:r w:rsidR="008A5B43" w:rsidRPr="007A7515">
        <w:rPr>
          <w:rFonts w:asciiTheme="minorHAnsi" w:hAnsiTheme="minorHAnsi" w:cstheme="minorHAnsi"/>
          <w:color w:val="000000"/>
          <w:szCs w:val="24"/>
          <w:lang w:eastAsia="en-GB"/>
        </w:rPr>
        <w:t>SUVmax</w:t>
      </w:r>
      <w:proofErr w:type="spellEnd"/>
      <w:r w:rsidR="00863F4E" w:rsidRPr="007A7515">
        <w:rPr>
          <w:rFonts w:asciiTheme="minorHAnsi" w:hAnsiTheme="minorHAnsi" w:cstheme="minorHAnsi"/>
          <w:color w:val="000000"/>
          <w:szCs w:val="24"/>
          <w:lang w:eastAsia="en-GB"/>
        </w:rPr>
        <w:t>)</w:t>
      </w:r>
      <w:r w:rsidR="0081263E" w:rsidRPr="007A7515">
        <w:rPr>
          <w:rFonts w:asciiTheme="minorHAnsi" w:hAnsiTheme="minorHAnsi" w:cstheme="minorHAnsi"/>
          <w:color w:val="000000"/>
          <w:szCs w:val="24"/>
          <w:lang w:eastAsia="en-GB"/>
        </w:rPr>
        <w:t xml:space="preserve"> </w:t>
      </w:r>
      <w:r w:rsidR="008A5B43" w:rsidRPr="007A7515">
        <w:rPr>
          <w:rFonts w:asciiTheme="minorHAnsi" w:hAnsiTheme="minorHAnsi" w:cstheme="minorHAnsi"/>
          <w:color w:val="000000"/>
          <w:szCs w:val="24"/>
          <w:lang w:eastAsia="en-GB"/>
        </w:rPr>
        <w:t xml:space="preserve">was also recorded. </w:t>
      </w:r>
      <w:r w:rsidR="008A5B43" w:rsidRPr="007A7515">
        <w:rPr>
          <w:rFonts w:asciiTheme="minorHAnsi" w:hAnsiTheme="minorHAnsi" w:cstheme="minorHAnsi"/>
          <w:szCs w:val="24"/>
          <w:lang w:eastAsia="en-GB"/>
        </w:rPr>
        <w:t xml:space="preserve">The combined </w:t>
      </w:r>
      <w:bookmarkStart w:id="8" w:name="_Hlk43572645"/>
      <w:r w:rsidR="008A5B43" w:rsidRPr="007A7515">
        <w:rPr>
          <w:rFonts w:asciiTheme="minorHAnsi" w:hAnsiTheme="minorHAnsi" w:cstheme="minorHAnsi"/>
          <w:szCs w:val="24"/>
          <w:lang w:eastAsia="en-GB"/>
        </w:rPr>
        <w:t xml:space="preserve">PET/CT </w:t>
      </w:r>
      <w:bookmarkEnd w:id="8"/>
      <w:r w:rsidR="008A5B43" w:rsidRPr="007A7515">
        <w:rPr>
          <w:rFonts w:asciiTheme="minorHAnsi" w:hAnsiTheme="minorHAnsi" w:cstheme="minorHAnsi"/>
          <w:szCs w:val="24"/>
          <w:lang w:eastAsia="en-GB"/>
        </w:rPr>
        <w:t xml:space="preserve">assessment was classified as positive for malignancy if one of the following criteria </w:t>
      </w:r>
      <w:r w:rsidR="007407B2" w:rsidRPr="007A7515">
        <w:rPr>
          <w:rFonts w:asciiTheme="minorHAnsi" w:hAnsiTheme="minorHAnsi" w:cstheme="minorHAnsi"/>
          <w:szCs w:val="24"/>
          <w:lang w:eastAsia="en-GB"/>
        </w:rPr>
        <w:t>we</w:t>
      </w:r>
      <w:r w:rsidR="008A5B43" w:rsidRPr="007A7515">
        <w:rPr>
          <w:rFonts w:asciiTheme="minorHAnsi" w:hAnsiTheme="minorHAnsi" w:cstheme="minorHAnsi"/>
          <w:szCs w:val="24"/>
          <w:lang w:eastAsia="en-GB"/>
        </w:rPr>
        <w:t xml:space="preserve">re met: Grade 4 on PET or CT, Grade 3 on PET and </w:t>
      </w:r>
      <w:r w:rsidR="00481788" w:rsidRPr="007A7515">
        <w:rPr>
          <w:rFonts w:asciiTheme="minorHAnsi" w:hAnsiTheme="minorHAnsi" w:cstheme="minorHAnsi"/>
          <w:szCs w:val="24"/>
        </w:rPr>
        <w:t>≥</w:t>
      </w:r>
      <w:r w:rsidR="008A5B43" w:rsidRPr="007A7515">
        <w:rPr>
          <w:rFonts w:asciiTheme="minorHAnsi" w:hAnsiTheme="minorHAnsi" w:cstheme="minorHAnsi"/>
          <w:szCs w:val="24"/>
          <w:lang w:eastAsia="en-GB"/>
        </w:rPr>
        <w:t xml:space="preserve"> Grade 2 on CT, or Grade 2 on PET and </w:t>
      </w:r>
      <w:r w:rsidR="00481788" w:rsidRPr="007A7515">
        <w:rPr>
          <w:rFonts w:asciiTheme="minorHAnsi" w:hAnsiTheme="minorHAnsi" w:cstheme="minorHAnsi"/>
          <w:szCs w:val="24"/>
        </w:rPr>
        <w:t>≥</w:t>
      </w:r>
      <w:r w:rsidR="008A5B43" w:rsidRPr="007A7515">
        <w:rPr>
          <w:rFonts w:asciiTheme="minorHAnsi" w:hAnsiTheme="minorHAnsi" w:cstheme="minorHAnsi"/>
          <w:szCs w:val="24"/>
          <w:lang w:eastAsia="en-GB"/>
        </w:rPr>
        <w:t xml:space="preserve">Grade 3 on CT. For </w:t>
      </w:r>
      <w:proofErr w:type="spellStart"/>
      <w:r w:rsidR="008A5B43" w:rsidRPr="007A7515">
        <w:rPr>
          <w:rFonts w:asciiTheme="minorHAnsi" w:hAnsiTheme="minorHAnsi" w:cstheme="minorHAnsi"/>
          <w:szCs w:val="24"/>
          <w:lang w:eastAsia="en-GB"/>
        </w:rPr>
        <w:t>SUVmax</w:t>
      </w:r>
      <w:proofErr w:type="spellEnd"/>
      <w:r w:rsidR="008A5B43" w:rsidRPr="007A7515">
        <w:rPr>
          <w:rFonts w:asciiTheme="minorHAnsi" w:hAnsiTheme="minorHAnsi" w:cstheme="minorHAnsi"/>
          <w:szCs w:val="24"/>
          <w:lang w:eastAsia="en-GB"/>
        </w:rPr>
        <w:t xml:space="preserve"> analysis, an uptake </w:t>
      </w:r>
      <w:r w:rsidR="00481788" w:rsidRPr="007A7515">
        <w:rPr>
          <w:rFonts w:asciiTheme="minorHAnsi" w:hAnsiTheme="minorHAnsi" w:cstheme="minorHAnsi"/>
          <w:szCs w:val="24"/>
        </w:rPr>
        <w:t>≥</w:t>
      </w:r>
      <w:r w:rsidR="008A5B43" w:rsidRPr="007A7515">
        <w:rPr>
          <w:rFonts w:asciiTheme="minorHAnsi" w:hAnsiTheme="minorHAnsi" w:cstheme="minorHAnsi"/>
          <w:szCs w:val="24"/>
          <w:lang w:eastAsia="en-GB"/>
        </w:rPr>
        <w:t>2</w:t>
      </w:r>
      <w:r w:rsidR="0053128F" w:rsidRPr="007A7515">
        <w:rPr>
          <w:rFonts w:asciiTheme="minorHAnsi" w:hAnsiTheme="minorHAnsi" w:cstheme="minorHAnsi"/>
          <w:szCs w:val="24"/>
          <w:lang w:eastAsia="en-GB"/>
        </w:rPr>
        <w:t>·5</w:t>
      </w:r>
      <w:r w:rsidR="008A5B43" w:rsidRPr="007A7515">
        <w:rPr>
          <w:rFonts w:asciiTheme="minorHAnsi" w:hAnsiTheme="minorHAnsi" w:cstheme="minorHAnsi"/>
          <w:szCs w:val="24"/>
          <w:lang w:eastAsia="en-GB"/>
        </w:rPr>
        <w:t xml:space="preserve"> was considered</w:t>
      </w:r>
      <w:r w:rsidR="004A39FB" w:rsidRPr="007A7515">
        <w:rPr>
          <w:rFonts w:asciiTheme="minorHAnsi" w:hAnsiTheme="minorHAnsi" w:cstheme="minorHAnsi"/>
          <w:szCs w:val="24"/>
          <w:lang w:eastAsia="en-GB"/>
        </w:rPr>
        <w:t xml:space="preserve"> positive for</w:t>
      </w:r>
      <w:r w:rsidR="008A5B43" w:rsidRPr="007A7515">
        <w:rPr>
          <w:rFonts w:asciiTheme="minorHAnsi" w:hAnsiTheme="minorHAnsi" w:cstheme="minorHAnsi"/>
          <w:szCs w:val="24"/>
          <w:lang w:eastAsia="en-GB"/>
        </w:rPr>
        <w:t xml:space="preserve"> malignan</w:t>
      </w:r>
      <w:r w:rsidR="004A39FB" w:rsidRPr="007A7515">
        <w:rPr>
          <w:rFonts w:asciiTheme="minorHAnsi" w:hAnsiTheme="minorHAnsi" w:cstheme="minorHAnsi"/>
          <w:szCs w:val="24"/>
          <w:lang w:eastAsia="en-GB"/>
        </w:rPr>
        <w:t>cy</w:t>
      </w:r>
      <w:r w:rsidR="008A5B43" w:rsidRPr="007A7515">
        <w:rPr>
          <w:rFonts w:asciiTheme="minorHAnsi" w:hAnsiTheme="minorHAnsi" w:cstheme="minorHAnsi"/>
          <w:szCs w:val="24"/>
          <w:lang w:eastAsia="en-GB"/>
        </w:rPr>
        <w:t xml:space="preserve">. </w:t>
      </w:r>
    </w:p>
    <w:p w14:paraId="53278AEA" w14:textId="106EE59F" w:rsidR="008A5B43" w:rsidRPr="007A7515" w:rsidRDefault="008A5B43" w:rsidP="004378DF">
      <w:pPr>
        <w:pStyle w:val="NoSpacing"/>
        <w:rPr>
          <w:rFonts w:asciiTheme="minorHAnsi" w:hAnsiTheme="minorHAnsi" w:cstheme="minorHAnsi"/>
          <w:szCs w:val="24"/>
        </w:rPr>
      </w:pPr>
    </w:p>
    <w:p w14:paraId="54A7806B" w14:textId="3643F1F8" w:rsidR="00137579" w:rsidRPr="008F1133" w:rsidRDefault="00137579" w:rsidP="00137579">
      <w:pPr>
        <w:pStyle w:val="NoSpacing"/>
        <w:rPr>
          <w:rFonts w:asciiTheme="minorHAnsi" w:hAnsiTheme="minorHAnsi" w:cstheme="minorHAnsi"/>
          <w:b/>
          <w:szCs w:val="24"/>
        </w:rPr>
      </w:pPr>
      <w:r w:rsidRPr="008F1133">
        <w:rPr>
          <w:rFonts w:asciiTheme="minorHAnsi" w:hAnsiTheme="minorHAnsi" w:cstheme="minorHAnsi"/>
          <w:b/>
          <w:szCs w:val="24"/>
        </w:rPr>
        <w:t>DCE-CT</w:t>
      </w:r>
    </w:p>
    <w:p w14:paraId="70F1465B" w14:textId="58A3FC1D" w:rsidR="00137579" w:rsidRPr="007A7515" w:rsidRDefault="00600F3E" w:rsidP="007A7515">
      <w:pPr>
        <w:pStyle w:val="NoSpacing"/>
        <w:rPr>
          <w:rFonts w:asciiTheme="minorHAnsi" w:hAnsiTheme="minorHAnsi" w:cstheme="minorHAnsi"/>
          <w:szCs w:val="24"/>
        </w:rPr>
      </w:pPr>
      <w:r w:rsidRPr="008F1133">
        <w:rPr>
          <w:rFonts w:asciiTheme="minorHAnsi" w:eastAsiaTheme="minorEastAsia" w:hAnsiTheme="minorHAnsi" w:cstheme="minorHAnsi"/>
          <w:szCs w:val="24"/>
          <w:lang w:eastAsia="zh-CN"/>
        </w:rPr>
        <w:t xml:space="preserve">The CT scans were acquired on 16 scanners (Supplementary material). </w:t>
      </w:r>
      <w:r w:rsidR="00434EF8" w:rsidRPr="008F1133">
        <w:rPr>
          <w:rFonts w:asciiTheme="minorHAnsi" w:eastAsiaTheme="minorEastAsia" w:hAnsiTheme="minorHAnsi" w:cstheme="minorHAnsi"/>
          <w:szCs w:val="24"/>
          <w:lang w:eastAsia="zh-CN"/>
        </w:rPr>
        <w:t>The</w:t>
      </w:r>
      <w:r w:rsidR="00434EF8" w:rsidRPr="007A7515">
        <w:rPr>
          <w:rFonts w:asciiTheme="minorHAnsi" w:eastAsiaTheme="minorEastAsia" w:hAnsiTheme="minorHAnsi" w:cstheme="minorHAnsi"/>
          <w:szCs w:val="24"/>
          <w:lang w:eastAsia="zh-CN"/>
        </w:rPr>
        <w:t xml:space="preserve"> protocol for performing and analysing </w:t>
      </w:r>
      <w:r w:rsidR="009833F0" w:rsidRPr="007A7515">
        <w:rPr>
          <w:rFonts w:asciiTheme="minorHAnsi" w:eastAsiaTheme="minorEastAsia" w:hAnsiTheme="minorHAnsi" w:cstheme="minorHAnsi"/>
          <w:szCs w:val="24"/>
          <w:lang w:eastAsia="zh-CN"/>
        </w:rPr>
        <w:t xml:space="preserve">the </w:t>
      </w:r>
      <w:r w:rsidR="00434EF8" w:rsidRPr="007A7515">
        <w:rPr>
          <w:rFonts w:asciiTheme="minorHAnsi" w:eastAsiaTheme="minorEastAsia" w:hAnsiTheme="minorHAnsi" w:cstheme="minorHAnsi"/>
          <w:szCs w:val="24"/>
          <w:lang w:eastAsia="zh-CN"/>
        </w:rPr>
        <w:t xml:space="preserve">DCE-CT has been reported previously </w:t>
      </w:r>
      <w:r w:rsidR="00434EF8" w:rsidRPr="007A7515">
        <w:rPr>
          <w:rFonts w:asciiTheme="minorHAnsi" w:eastAsiaTheme="minorEastAsia" w:hAnsiTheme="minorHAnsi" w:cstheme="minorHAnsi"/>
          <w:szCs w:val="24"/>
          <w:lang w:eastAsia="zh-CN"/>
        </w:rPr>
        <w:fldChar w:fldCharType="begin" w:fldLock="1"/>
      </w:r>
      <w:r w:rsidR="00437A17">
        <w:rPr>
          <w:rFonts w:asciiTheme="minorHAnsi" w:eastAsiaTheme="minorEastAsia" w:hAnsiTheme="minorHAnsi" w:cstheme="minorHAnsi"/>
          <w:szCs w:val="24"/>
          <w:lang w:eastAsia="zh-CN"/>
        </w:rPr>
        <w:instrText>ADDIN CSL_CITATION {"citationItems":[{"id":"ITEM-1","itemData":{"DOI":"10.1186/s40644-016-0074-4","ISSN":"14707330","PMID":"27430260","abstract":"? 2016 The Author(s).Incidental indeterminate solitary pulmonary nodules (SPN) that measure less than 3 cm in size are an increasingly common finding on computed tomography (CT) worldwide. Once identified there are a number of imaging strategies that can be performed to help with nodule characterization. These include interval CT, dynamic contrast enhanced computed tomography (DCE-CT), 18F-fluorodeoxyglucose positron emission tomography-computed tomography (18F-FDG-PET-CT). To date the most cost effective and efficient non-invasive test or combination of tests for optimal nodule characterization has yet to be determined. DCE-CT is a functional test that involves the acquisition of a dynamic series of images of a nodule before and following the administration of intravenous iodinated contrast medium. This article provides an overview of the current indications and limitations of DCE- CT in nodule characterization and a systematic approach to how to perform, analyse and interpret a DCE-CT scan.","author":[{"dropping-particle":"","family":"Qureshi","given":"Nagmi R.","non-dropping-particle":"","parse-names":false,"suffix":""},{"dropping-particle":"","family":"Shah","given":"Andrew","non-dropping-particle":"","parse-names":false,"suffix":""},{"dropping-particle":"","family":"Eaton","given":"Rosemary J.","non-dropping-particle":"","parse-names":false,"suffix":""},{"dropping-particle":"","family":"Miles","given":"Ken","non-dropping-particle":"","parse-names":false,"suffix":""},{"dropping-particle":"","family":"Gilbert","given":"Fiona J.","non-dropping-particle":"","parse-names":false,"suffix":""}],"container-title":"Cancer Imaging","id":"ITEM-1","issue":"1","issued":{"date-parts":[["2016"]]},"page":"1-5","publisher":"Cancer Imaging","title":"Dynamic contrast enhanced CT in nodule characterization: How we review and report","type":"article-journal","volume":"16"},"uris":["http://www.mendeley.com/documents/?uuid=840a6903-7afb-454d-ad7e-2362281ce7f9"]}],"mendeley":{"formattedCitation":"&lt;sup&gt;12&lt;/sup&gt;","plainTextFormattedCitation":"12","previouslyFormattedCitation":"&lt;sup&gt;12&lt;/sup&gt;"},"properties":{"noteIndex":0},"schema":"https://github.com/citation-style-language/schema/raw/master/csl-citation.json"}</w:instrText>
      </w:r>
      <w:r w:rsidR="00434EF8" w:rsidRPr="007A7515">
        <w:rPr>
          <w:rFonts w:asciiTheme="minorHAnsi" w:eastAsiaTheme="minorEastAsia" w:hAnsiTheme="minorHAnsi" w:cstheme="minorHAnsi"/>
          <w:szCs w:val="24"/>
          <w:lang w:eastAsia="zh-CN"/>
        </w:rPr>
        <w:fldChar w:fldCharType="separate"/>
      </w:r>
      <w:r w:rsidR="00437A17" w:rsidRPr="00437A17">
        <w:rPr>
          <w:rFonts w:asciiTheme="minorHAnsi" w:eastAsiaTheme="minorEastAsia" w:hAnsiTheme="minorHAnsi" w:cstheme="minorHAnsi"/>
          <w:noProof/>
          <w:szCs w:val="24"/>
          <w:vertAlign w:val="superscript"/>
          <w:lang w:eastAsia="zh-CN"/>
        </w:rPr>
        <w:t>12</w:t>
      </w:r>
      <w:r w:rsidR="00434EF8" w:rsidRPr="007A7515">
        <w:rPr>
          <w:rFonts w:asciiTheme="minorHAnsi" w:eastAsiaTheme="minorEastAsia" w:hAnsiTheme="minorHAnsi" w:cstheme="minorHAnsi"/>
          <w:szCs w:val="24"/>
          <w:lang w:eastAsia="zh-CN"/>
        </w:rPr>
        <w:fldChar w:fldCharType="end"/>
      </w:r>
      <w:r w:rsidR="00434EF8" w:rsidRPr="007A7515">
        <w:rPr>
          <w:rFonts w:asciiTheme="minorHAnsi" w:eastAsiaTheme="minorEastAsia" w:hAnsiTheme="minorHAnsi" w:cstheme="minorHAnsi"/>
          <w:szCs w:val="24"/>
          <w:lang w:eastAsia="zh-CN"/>
        </w:rPr>
        <w:t>.</w:t>
      </w:r>
      <w:r w:rsidR="007B4B80" w:rsidRPr="007A7515">
        <w:rPr>
          <w:rFonts w:asciiTheme="minorHAnsi" w:eastAsiaTheme="minorEastAsia" w:hAnsiTheme="minorHAnsi" w:cstheme="minorHAnsi"/>
          <w:szCs w:val="24"/>
          <w:lang w:eastAsia="zh-CN"/>
        </w:rPr>
        <w:t xml:space="preserve">  </w:t>
      </w:r>
      <w:r w:rsidR="00623F94" w:rsidRPr="007A7515">
        <w:rPr>
          <w:rFonts w:asciiTheme="minorHAnsi" w:eastAsiaTheme="minorEastAsia" w:hAnsiTheme="minorHAnsi" w:cstheme="minorHAnsi"/>
          <w:szCs w:val="24"/>
          <w:lang w:eastAsia="zh-CN"/>
        </w:rPr>
        <w:t>F</w:t>
      </w:r>
      <w:r w:rsidRPr="007A7515">
        <w:rPr>
          <w:rFonts w:asciiTheme="minorHAnsi" w:eastAsiaTheme="minorEastAsia" w:hAnsiTheme="minorHAnsi" w:cstheme="minorHAnsi"/>
          <w:szCs w:val="24"/>
          <w:lang w:eastAsia="zh-CN"/>
        </w:rPr>
        <w:t>ollowing a bolus of</w:t>
      </w:r>
      <w:r w:rsidR="006F0B66" w:rsidRPr="007A7515">
        <w:rPr>
          <w:rFonts w:asciiTheme="minorHAnsi" w:eastAsiaTheme="minorEastAsia" w:hAnsiTheme="minorHAnsi" w:cstheme="minorHAnsi"/>
          <w:szCs w:val="24"/>
          <w:lang w:eastAsia="zh-CN"/>
        </w:rPr>
        <w:t xml:space="preserve"> 1·4 ml/kg</w:t>
      </w:r>
      <w:r w:rsidRPr="007A7515">
        <w:rPr>
          <w:rFonts w:asciiTheme="minorHAnsi" w:eastAsiaTheme="minorEastAsia" w:hAnsiTheme="minorHAnsi" w:cstheme="minorHAnsi"/>
          <w:szCs w:val="24"/>
          <w:lang w:eastAsia="zh-CN"/>
        </w:rPr>
        <w:t xml:space="preserve"> iodinated contrast material (300 mg/ml) injected intravenously at</w:t>
      </w:r>
      <w:r w:rsidR="00903144" w:rsidRPr="007A7515">
        <w:rPr>
          <w:rFonts w:asciiTheme="minorHAnsi" w:eastAsiaTheme="minorEastAsia" w:hAnsiTheme="minorHAnsi" w:cstheme="minorHAnsi"/>
          <w:szCs w:val="24"/>
          <w:lang w:eastAsia="zh-CN"/>
        </w:rPr>
        <w:t xml:space="preserve"> </w:t>
      </w:r>
      <w:r w:rsidRPr="007A7515">
        <w:rPr>
          <w:rFonts w:asciiTheme="minorHAnsi" w:eastAsiaTheme="minorEastAsia" w:hAnsiTheme="minorHAnsi" w:cstheme="minorHAnsi"/>
          <w:szCs w:val="24"/>
          <w:lang w:eastAsia="zh-CN"/>
        </w:rPr>
        <w:t>2ml/sec</w:t>
      </w:r>
      <w:r w:rsidR="00903144" w:rsidRPr="007A7515">
        <w:rPr>
          <w:rFonts w:asciiTheme="minorHAnsi" w:eastAsiaTheme="minorEastAsia" w:hAnsiTheme="minorHAnsi" w:cstheme="minorHAnsi"/>
          <w:szCs w:val="24"/>
          <w:lang w:eastAsia="zh-CN"/>
        </w:rPr>
        <w:t>,</w:t>
      </w:r>
      <w:r w:rsidRPr="007A7515">
        <w:rPr>
          <w:rFonts w:asciiTheme="minorHAnsi" w:eastAsiaTheme="minorEastAsia" w:hAnsiTheme="minorHAnsi" w:cstheme="minorHAnsi"/>
          <w:szCs w:val="24"/>
          <w:lang w:eastAsia="zh-CN"/>
        </w:rPr>
        <w:t xml:space="preserve"> </w:t>
      </w:r>
      <w:r w:rsidR="00623F94" w:rsidRPr="007A7515">
        <w:rPr>
          <w:rFonts w:asciiTheme="minorHAnsi" w:eastAsiaTheme="minorEastAsia" w:hAnsiTheme="minorHAnsi" w:cstheme="minorHAnsi"/>
          <w:szCs w:val="24"/>
          <w:lang w:eastAsia="zh-CN"/>
        </w:rPr>
        <w:t>i</w:t>
      </w:r>
      <w:r w:rsidR="009833F0" w:rsidRPr="007A7515">
        <w:rPr>
          <w:rFonts w:asciiTheme="minorHAnsi" w:eastAsiaTheme="minorEastAsia" w:hAnsiTheme="minorHAnsi" w:cstheme="minorHAnsi"/>
          <w:szCs w:val="24"/>
          <w:lang w:eastAsia="zh-CN"/>
        </w:rPr>
        <w:t>mages were acquired at</w:t>
      </w:r>
      <w:r w:rsidR="009230BB">
        <w:rPr>
          <w:rFonts w:asciiTheme="minorHAnsi" w:eastAsiaTheme="minorEastAsia" w:hAnsiTheme="minorHAnsi" w:cstheme="minorHAnsi"/>
          <w:szCs w:val="24"/>
          <w:lang w:eastAsia="zh-CN"/>
        </w:rPr>
        <w:t xml:space="preserve"> 100kV at</w:t>
      </w:r>
      <w:r w:rsidR="009833F0" w:rsidRPr="007A7515">
        <w:rPr>
          <w:rFonts w:asciiTheme="minorHAnsi" w:eastAsiaTheme="minorEastAsia" w:hAnsiTheme="minorHAnsi" w:cstheme="minorHAnsi"/>
          <w:szCs w:val="24"/>
          <w:lang w:eastAsia="zh-CN"/>
        </w:rPr>
        <w:t xml:space="preserve"> 0s, 60s, 120s, 180s and 240s</w:t>
      </w:r>
      <w:r w:rsidR="00501653" w:rsidRPr="007A7515">
        <w:rPr>
          <w:rFonts w:asciiTheme="minorHAnsi" w:eastAsiaTheme="minorEastAsia" w:hAnsiTheme="minorHAnsi" w:cstheme="minorHAnsi"/>
          <w:szCs w:val="24"/>
          <w:lang w:eastAsia="zh-CN"/>
        </w:rPr>
        <w:t xml:space="preserve"> and reported </w:t>
      </w:r>
      <w:r w:rsidR="00501653" w:rsidRPr="007A7515">
        <w:rPr>
          <w:rFonts w:asciiTheme="minorHAnsi" w:hAnsiTheme="minorHAnsi" w:cstheme="minorHAnsi"/>
          <w:szCs w:val="24"/>
        </w:rPr>
        <w:t>by local trained physicians</w:t>
      </w:r>
      <w:bookmarkStart w:id="9" w:name="_Hlk43573346"/>
      <w:r w:rsidR="009833F0" w:rsidRPr="007A7515">
        <w:rPr>
          <w:rFonts w:asciiTheme="minorHAnsi" w:eastAsiaTheme="minorEastAsia" w:hAnsiTheme="minorHAnsi" w:cstheme="minorHAnsi"/>
          <w:szCs w:val="24"/>
          <w:lang w:eastAsia="zh-CN"/>
        </w:rPr>
        <w:t xml:space="preserve">. </w:t>
      </w:r>
      <w:r w:rsidR="007A7515" w:rsidRPr="007A7515">
        <w:rPr>
          <w:rFonts w:asciiTheme="minorHAnsi" w:hAnsiTheme="minorHAnsi" w:cstheme="minorHAnsi"/>
          <w:szCs w:val="24"/>
        </w:rPr>
        <w:t>For each time point,</w:t>
      </w:r>
      <w:r w:rsidR="004378DF" w:rsidRPr="007A7515">
        <w:rPr>
          <w:rFonts w:asciiTheme="minorHAnsi" w:hAnsiTheme="minorHAnsi" w:cstheme="minorHAnsi"/>
          <w:szCs w:val="24"/>
        </w:rPr>
        <w:t xml:space="preserve"> the </w:t>
      </w:r>
      <w:r w:rsidRPr="007A7515">
        <w:rPr>
          <w:rFonts w:asciiTheme="minorHAnsi" w:hAnsiTheme="minorHAnsi" w:cstheme="minorHAnsi"/>
          <w:szCs w:val="24"/>
        </w:rPr>
        <w:t>attenuation</w:t>
      </w:r>
      <w:r w:rsidR="004378DF" w:rsidRPr="007A7515">
        <w:rPr>
          <w:rFonts w:asciiTheme="minorHAnsi" w:hAnsiTheme="minorHAnsi" w:cstheme="minorHAnsi"/>
          <w:szCs w:val="24"/>
        </w:rPr>
        <w:t xml:space="preserve"> of the nodule was measured in </w:t>
      </w:r>
      <w:r w:rsidR="00903144" w:rsidRPr="007A7515">
        <w:rPr>
          <w:rFonts w:asciiTheme="minorHAnsi" w:hAnsiTheme="minorHAnsi" w:cstheme="minorHAnsi"/>
          <w:szCs w:val="24"/>
        </w:rPr>
        <w:t>Hounsfield unit</w:t>
      </w:r>
      <w:r w:rsidR="004378DF" w:rsidRPr="007A7515">
        <w:rPr>
          <w:rFonts w:asciiTheme="minorHAnsi" w:hAnsiTheme="minorHAnsi" w:cstheme="minorHAnsi"/>
          <w:szCs w:val="24"/>
        </w:rPr>
        <w:t>s</w:t>
      </w:r>
      <w:r w:rsidR="00903144" w:rsidRPr="007A7515">
        <w:rPr>
          <w:rFonts w:asciiTheme="minorHAnsi" w:hAnsiTheme="minorHAnsi" w:cstheme="minorHAnsi"/>
          <w:szCs w:val="24"/>
        </w:rPr>
        <w:t xml:space="preserve"> (</w:t>
      </w:r>
      <w:r w:rsidRPr="007A7515">
        <w:rPr>
          <w:rFonts w:asciiTheme="minorHAnsi" w:hAnsiTheme="minorHAnsi" w:cstheme="minorHAnsi"/>
          <w:szCs w:val="24"/>
        </w:rPr>
        <w:t xml:space="preserve">HU) </w:t>
      </w:r>
      <w:r w:rsidR="004378DF" w:rsidRPr="007A7515">
        <w:rPr>
          <w:rFonts w:asciiTheme="minorHAnsi" w:hAnsiTheme="minorHAnsi" w:cstheme="minorHAnsi"/>
          <w:szCs w:val="24"/>
        </w:rPr>
        <w:t xml:space="preserve">by placing </w:t>
      </w:r>
      <w:r w:rsidR="009833F0" w:rsidRPr="007A7515">
        <w:rPr>
          <w:rFonts w:asciiTheme="minorHAnsi" w:hAnsiTheme="minorHAnsi" w:cstheme="minorHAnsi"/>
          <w:szCs w:val="24"/>
        </w:rPr>
        <w:t>a</w:t>
      </w:r>
      <w:r w:rsidRPr="007A7515">
        <w:rPr>
          <w:rFonts w:asciiTheme="minorHAnsi" w:hAnsiTheme="minorHAnsi" w:cstheme="minorHAnsi"/>
          <w:szCs w:val="24"/>
        </w:rPr>
        <w:t xml:space="preserve"> region of interest </w:t>
      </w:r>
      <w:r w:rsidR="004E7B38" w:rsidRPr="007A7515">
        <w:rPr>
          <w:rFonts w:asciiTheme="minorHAnsi" w:hAnsiTheme="minorHAnsi" w:cstheme="minorHAnsi"/>
          <w:szCs w:val="24"/>
        </w:rPr>
        <w:t xml:space="preserve">(ROI) </w:t>
      </w:r>
      <w:r w:rsidR="004378DF" w:rsidRPr="007A7515">
        <w:rPr>
          <w:rFonts w:asciiTheme="minorHAnsi" w:hAnsiTheme="minorHAnsi" w:cstheme="minorHAnsi"/>
          <w:szCs w:val="24"/>
        </w:rPr>
        <w:t xml:space="preserve">occupying </w:t>
      </w:r>
      <w:r w:rsidRPr="007A7515">
        <w:rPr>
          <w:rFonts w:asciiTheme="minorHAnsi" w:hAnsiTheme="minorHAnsi" w:cstheme="minorHAnsi"/>
          <w:szCs w:val="24"/>
        </w:rPr>
        <w:t xml:space="preserve">approximately 70% of the nodule’s </w:t>
      </w:r>
      <w:r w:rsidR="004378DF" w:rsidRPr="007A7515">
        <w:rPr>
          <w:rFonts w:asciiTheme="minorHAnsi" w:hAnsiTheme="minorHAnsi" w:cstheme="minorHAnsi"/>
          <w:szCs w:val="24"/>
        </w:rPr>
        <w:t xml:space="preserve">diameter. All attenuation analyses were performed in the axial plane using mediastinal windows.   </w:t>
      </w:r>
      <w:bookmarkEnd w:id="9"/>
      <w:r w:rsidR="00501653" w:rsidRPr="007A7515">
        <w:rPr>
          <w:rFonts w:asciiTheme="minorHAnsi" w:hAnsiTheme="minorHAnsi" w:cstheme="minorHAnsi"/>
          <w:szCs w:val="24"/>
        </w:rPr>
        <w:t>M</w:t>
      </w:r>
      <w:r w:rsidR="009833F0" w:rsidRPr="007A7515">
        <w:rPr>
          <w:rFonts w:asciiTheme="minorHAnsi" w:hAnsiTheme="minorHAnsi" w:cstheme="minorHAnsi"/>
          <w:szCs w:val="24"/>
        </w:rPr>
        <w:t xml:space="preserve">aximum </w:t>
      </w:r>
      <w:r w:rsidRPr="007A7515">
        <w:rPr>
          <w:rFonts w:asciiTheme="minorHAnsi" w:hAnsiTheme="minorHAnsi" w:cstheme="minorHAnsi"/>
          <w:szCs w:val="24"/>
        </w:rPr>
        <w:t>nodule enhancement</w:t>
      </w:r>
      <w:r w:rsidR="00501653" w:rsidRPr="007A7515">
        <w:rPr>
          <w:rFonts w:asciiTheme="minorHAnsi" w:hAnsiTheme="minorHAnsi" w:cstheme="minorHAnsi"/>
          <w:szCs w:val="24"/>
        </w:rPr>
        <w:t xml:space="preserve"> </w:t>
      </w:r>
      <w:r w:rsidR="007A7515" w:rsidRPr="007A7515">
        <w:rPr>
          <w:rFonts w:asciiTheme="minorHAnsi" w:hAnsiTheme="minorHAnsi" w:cstheme="minorHAnsi"/>
          <w:szCs w:val="24"/>
        </w:rPr>
        <w:t xml:space="preserve">was calculated as: </w:t>
      </w:r>
      <w:r w:rsidR="009833F0" w:rsidRPr="007A7515">
        <w:rPr>
          <w:rFonts w:asciiTheme="minorHAnsi" w:hAnsiTheme="minorHAnsi" w:cstheme="minorHAnsi"/>
          <w:szCs w:val="24"/>
        </w:rPr>
        <w:t>highest post contrast attenuation value</w:t>
      </w:r>
      <w:r w:rsidR="00501653" w:rsidRPr="007A7515">
        <w:rPr>
          <w:rFonts w:asciiTheme="minorHAnsi" w:hAnsiTheme="minorHAnsi" w:cstheme="minorHAnsi"/>
          <w:szCs w:val="24"/>
        </w:rPr>
        <w:t xml:space="preserve"> - baseline attenuation</w:t>
      </w:r>
      <w:r w:rsidR="009833F0" w:rsidRPr="007A7515">
        <w:rPr>
          <w:rFonts w:asciiTheme="minorHAnsi" w:hAnsiTheme="minorHAnsi" w:cstheme="minorHAnsi"/>
          <w:szCs w:val="24"/>
        </w:rPr>
        <w:t xml:space="preserve">. </w:t>
      </w:r>
      <w:r w:rsidR="008A5B43" w:rsidRPr="007A7515">
        <w:rPr>
          <w:rFonts w:asciiTheme="minorHAnsi" w:hAnsiTheme="minorHAnsi" w:cstheme="minorHAnsi"/>
          <w:szCs w:val="24"/>
        </w:rPr>
        <w:t>A</w:t>
      </w:r>
      <w:r w:rsidR="00F44FD0">
        <w:rPr>
          <w:rFonts w:asciiTheme="minorHAnsi" w:hAnsiTheme="minorHAnsi" w:cstheme="minorHAnsi"/>
          <w:szCs w:val="24"/>
        </w:rPr>
        <w:t xml:space="preserve"> P</w:t>
      </w:r>
      <w:r w:rsidR="00F44FD0" w:rsidRPr="007A7515">
        <w:rPr>
          <w:rFonts w:asciiTheme="minorHAnsi" w:hAnsiTheme="minorHAnsi" w:cstheme="minorHAnsi"/>
          <w:szCs w:val="24"/>
        </w:rPr>
        <w:t xml:space="preserve">eak Enhancement (PE) </w:t>
      </w:r>
      <w:r w:rsidR="00481788" w:rsidRPr="007A7515">
        <w:rPr>
          <w:rFonts w:asciiTheme="minorHAnsi" w:hAnsiTheme="minorHAnsi" w:cstheme="minorHAnsi"/>
          <w:szCs w:val="24"/>
        </w:rPr>
        <w:t>≥</w:t>
      </w:r>
      <w:r w:rsidR="008A5B43" w:rsidRPr="007A7515">
        <w:rPr>
          <w:rFonts w:asciiTheme="minorHAnsi" w:hAnsiTheme="minorHAnsi" w:cstheme="minorHAnsi"/>
          <w:szCs w:val="24"/>
        </w:rPr>
        <w:t xml:space="preserve">20HU was considered </w:t>
      </w:r>
      <w:r w:rsidR="004A39FB" w:rsidRPr="007A7515">
        <w:rPr>
          <w:rFonts w:asciiTheme="minorHAnsi" w:hAnsiTheme="minorHAnsi" w:cstheme="minorHAnsi"/>
          <w:szCs w:val="24"/>
          <w:lang w:eastAsia="en-GB"/>
        </w:rPr>
        <w:t>positive for malignancy</w:t>
      </w:r>
      <w:r w:rsidR="008A5B43" w:rsidRPr="007A7515">
        <w:rPr>
          <w:rFonts w:asciiTheme="minorHAnsi" w:hAnsiTheme="minorHAnsi" w:cstheme="minorHAnsi"/>
          <w:szCs w:val="24"/>
        </w:rPr>
        <w:t xml:space="preserve">. </w:t>
      </w:r>
    </w:p>
    <w:p w14:paraId="6F0AE1FB" w14:textId="77777777" w:rsidR="006F0B66" w:rsidRPr="007A7515" w:rsidRDefault="006F0B66" w:rsidP="006F0B66">
      <w:pPr>
        <w:autoSpaceDE w:val="0"/>
        <w:autoSpaceDN w:val="0"/>
        <w:adjustRightInd w:val="0"/>
        <w:spacing w:line="360" w:lineRule="auto"/>
        <w:rPr>
          <w:rFonts w:asciiTheme="minorHAnsi" w:hAnsiTheme="minorHAnsi" w:cstheme="minorHAnsi"/>
          <w:sz w:val="24"/>
          <w:szCs w:val="24"/>
        </w:rPr>
      </w:pPr>
    </w:p>
    <w:p w14:paraId="52B03FF9" w14:textId="26559B7E" w:rsidR="00FA58C3" w:rsidRPr="007A7515" w:rsidRDefault="00FA58C3" w:rsidP="000C0C44">
      <w:pPr>
        <w:pStyle w:val="Heading3"/>
        <w:numPr>
          <w:ilvl w:val="0"/>
          <w:numId w:val="0"/>
        </w:numPr>
        <w:ind w:left="720" w:hanging="720"/>
        <w:rPr>
          <w:rFonts w:asciiTheme="minorHAnsi" w:hAnsiTheme="minorHAnsi" w:cstheme="minorHAnsi"/>
          <w:i w:val="0"/>
          <w:szCs w:val="24"/>
        </w:rPr>
      </w:pPr>
      <w:bookmarkStart w:id="10" w:name="_Toc26861605"/>
      <w:bookmarkStart w:id="11" w:name="_Toc403121960"/>
      <w:r w:rsidRPr="007A7515">
        <w:rPr>
          <w:rFonts w:asciiTheme="minorHAnsi" w:hAnsiTheme="minorHAnsi" w:cstheme="minorHAnsi"/>
          <w:i w:val="0"/>
          <w:szCs w:val="24"/>
        </w:rPr>
        <w:lastRenderedPageBreak/>
        <w:t>Outcomes</w:t>
      </w:r>
      <w:bookmarkEnd w:id="10"/>
    </w:p>
    <w:p w14:paraId="03C12B5D" w14:textId="5899C17F" w:rsidR="0089693A" w:rsidRPr="007A7515" w:rsidRDefault="0089693A" w:rsidP="000C0C44">
      <w:pPr>
        <w:pStyle w:val="NoSpacing"/>
        <w:rPr>
          <w:rFonts w:asciiTheme="minorHAnsi" w:hAnsiTheme="minorHAnsi" w:cstheme="minorHAnsi"/>
          <w:szCs w:val="24"/>
        </w:rPr>
      </w:pPr>
      <w:r w:rsidRPr="007A7515">
        <w:rPr>
          <w:rFonts w:asciiTheme="minorHAnsi" w:hAnsiTheme="minorHAnsi" w:cstheme="minorHAnsi"/>
          <w:szCs w:val="24"/>
        </w:rPr>
        <w:t>The primary outcomes were the comparative diagnostic accuracy of DCE-CT and</w:t>
      </w:r>
      <w:r w:rsidR="003A134F" w:rsidRPr="007A7515">
        <w:rPr>
          <w:rFonts w:asciiTheme="minorHAnsi" w:hAnsiTheme="minorHAnsi" w:cstheme="minorHAnsi"/>
          <w:szCs w:val="24"/>
        </w:rPr>
        <w:t xml:space="preserve"> PET/CT</w:t>
      </w:r>
      <w:r w:rsidR="00224488">
        <w:rPr>
          <w:rFonts w:asciiTheme="minorHAnsi" w:hAnsiTheme="minorHAnsi" w:cstheme="minorHAnsi"/>
          <w:szCs w:val="24"/>
        </w:rPr>
        <w:t xml:space="preserve">, </w:t>
      </w:r>
      <w:r w:rsidRPr="007A7515">
        <w:rPr>
          <w:rFonts w:asciiTheme="minorHAnsi" w:hAnsiTheme="minorHAnsi" w:cstheme="minorHAnsi"/>
          <w:szCs w:val="24"/>
        </w:rPr>
        <w:t xml:space="preserve">and the </w:t>
      </w:r>
      <w:r w:rsidR="00293D2D" w:rsidRPr="007A7515">
        <w:rPr>
          <w:rFonts w:asciiTheme="minorHAnsi" w:hAnsiTheme="minorHAnsi" w:cstheme="minorHAnsi"/>
          <w:szCs w:val="24"/>
        </w:rPr>
        <w:t>cost-effective</w:t>
      </w:r>
      <w:r w:rsidRPr="007A7515">
        <w:rPr>
          <w:rFonts w:asciiTheme="minorHAnsi" w:hAnsiTheme="minorHAnsi" w:cstheme="minorHAnsi"/>
          <w:szCs w:val="24"/>
        </w:rPr>
        <w:t xml:space="preserve">ness of their implementation within the diagnostic work-up pathway for SPNs. </w:t>
      </w:r>
    </w:p>
    <w:p w14:paraId="24A94E1A" w14:textId="77777777" w:rsidR="0089693A" w:rsidRPr="007A7515" w:rsidRDefault="0089693A" w:rsidP="0089693A">
      <w:pPr>
        <w:pStyle w:val="NoSpacing"/>
        <w:rPr>
          <w:rFonts w:asciiTheme="minorHAnsi" w:hAnsiTheme="minorHAnsi" w:cstheme="minorHAnsi"/>
          <w:szCs w:val="24"/>
        </w:rPr>
      </w:pPr>
    </w:p>
    <w:p w14:paraId="0E260195" w14:textId="7548B9AE" w:rsidR="0089693A" w:rsidRPr="007A7515" w:rsidRDefault="0089693A" w:rsidP="0089693A">
      <w:pPr>
        <w:pStyle w:val="NoSpacing"/>
        <w:rPr>
          <w:rFonts w:asciiTheme="minorHAnsi" w:hAnsiTheme="minorHAnsi" w:cstheme="minorHAnsi"/>
          <w:szCs w:val="24"/>
        </w:rPr>
      </w:pPr>
      <w:r w:rsidRPr="007A7515">
        <w:rPr>
          <w:rFonts w:asciiTheme="minorHAnsi" w:hAnsiTheme="minorHAnsi" w:cstheme="minorHAnsi"/>
          <w:szCs w:val="24"/>
        </w:rPr>
        <w:t>For the diagnostic accuracy</w:t>
      </w:r>
      <w:r w:rsidR="00117703" w:rsidRPr="007A7515">
        <w:rPr>
          <w:rFonts w:asciiTheme="minorHAnsi" w:hAnsiTheme="minorHAnsi" w:cstheme="minorHAnsi"/>
          <w:szCs w:val="24"/>
        </w:rPr>
        <w:t>,</w:t>
      </w:r>
      <w:r w:rsidRPr="007A7515">
        <w:rPr>
          <w:rFonts w:asciiTheme="minorHAnsi" w:hAnsiTheme="minorHAnsi" w:cstheme="minorHAnsi"/>
          <w:szCs w:val="24"/>
        </w:rPr>
        <w:t xml:space="preserve"> the reference standard was histolog</w:t>
      </w:r>
      <w:r w:rsidR="00117703" w:rsidRPr="007A7515">
        <w:rPr>
          <w:rFonts w:asciiTheme="minorHAnsi" w:hAnsiTheme="minorHAnsi" w:cstheme="minorHAnsi"/>
          <w:szCs w:val="24"/>
        </w:rPr>
        <w:t>ical diagnosis</w:t>
      </w:r>
      <w:r w:rsidR="00646CD7">
        <w:rPr>
          <w:rFonts w:asciiTheme="minorHAnsi" w:hAnsiTheme="minorHAnsi" w:cstheme="minorHAnsi"/>
          <w:szCs w:val="24"/>
        </w:rPr>
        <w:t>, or MDT decision at 2 years follow-up</w:t>
      </w:r>
      <w:r w:rsidR="00117703" w:rsidRPr="007A7515">
        <w:rPr>
          <w:rFonts w:asciiTheme="minorHAnsi" w:hAnsiTheme="minorHAnsi" w:cstheme="minorHAnsi"/>
          <w:szCs w:val="24"/>
        </w:rPr>
        <w:t xml:space="preserve">. </w:t>
      </w:r>
      <w:r w:rsidRPr="007A7515">
        <w:rPr>
          <w:rFonts w:asciiTheme="minorHAnsi" w:hAnsiTheme="minorHAnsi" w:cstheme="minorHAnsi"/>
          <w:szCs w:val="24"/>
        </w:rPr>
        <w:t xml:space="preserve"> </w:t>
      </w:r>
      <w:r w:rsidR="000F199C" w:rsidRPr="007A7515">
        <w:rPr>
          <w:rFonts w:asciiTheme="minorHAnsi" w:hAnsiTheme="minorHAnsi" w:cstheme="minorHAnsi"/>
          <w:szCs w:val="24"/>
        </w:rPr>
        <w:t xml:space="preserve">In the absence of histological diagnosis, assessment </w:t>
      </w:r>
      <w:r w:rsidR="003A134F" w:rsidRPr="007A7515">
        <w:rPr>
          <w:rFonts w:asciiTheme="minorHAnsi" w:hAnsiTheme="minorHAnsi" w:cstheme="minorHAnsi"/>
          <w:szCs w:val="24"/>
        </w:rPr>
        <w:t xml:space="preserve">is based on </w:t>
      </w:r>
      <w:r w:rsidR="00485819" w:rsidRPr="007A7515">
        <w:rPr>
          <w:rFonts w:asciiTheme="minorHAnsi" w:hAnsiTheme="minorHAnsi" w:cstheme="minorHAnsi"/>
          <w:szCs w:val="24"/>
        </w:rPr>
        <w:t xml:space="preserve">nodule </w:t>
      </w:r>
      <w:r w:rsidR="000F199C" w:rsidRPr="007A7515">
        <w:rPr>
          <w:rFonts w:asciiTheme="minorHAnsi" w:hAnsiTheme="minorHAnsi" w:cstheme="minorHAnsi"/>
          <w:szCs w:val="24"/>
        </w:rPr>
        <w:t xml:space="preserve">growth </w:t>
      </w:r>
      <w:r w:rsidR="003A134F" w:rsidRPr="007A7515">
        <w:rPr>
          <w:rFonts w:asciiTheme="minorHAnsi" w:hAnsiTheme="minorHAnsi" w:cstheme="minorHAnsi"/>
          <w:szCs w:val="24"/>
        </w:rPr>
        <w:t xml:space="preserve">as </w:t>
      </w:r>
      <w:r w:rsidR="00C30A95" w:rsidRPr="007A7515">
        <w:rPr>
          <w:rFonts w:asciiTheme="minorHAnsi" w:hAnsiTheme="minorHAnsi" w:cstheme="minorHAnsi"/>
          <w:szCs w:val="24"/>
        </w:rPr>
        <w:t xml:space="preserve">per </w:t>
      </w:r>
      <w:r w:rsidR="004E7B38" w:rsidRPr="007A7515">
        <w:rPr>
          <w:rFonts w:asciiTheme="minorHAnsi" w:hAnsiTheme="minorHAnsi" w:cstheme="minorHAnsi"/>
          <w:szCs w:val="24"/>
        </w:rPr>
        <w:t xml:space="preserve">BTS </w:t>
      </w:r>
      <w:r w:rsidR="00C30A95" w:rsidRPr="007A7515">
        <w:rPr>
          <w:rFonts w:asciiTheme="minorHAnsi" w:hAnsiTheme="minorHAnsi" w:cstheme="minorHAnsi"/>
          <w:szCs w:val="24"/>
        </w:rPr>
        <w:t xml:space="preserve">guidelines </w:t>
      </w:r>
      <w:r w:rsidR="0071513F" w:rsidRPr="007A7515">
        <w:rPr>
          <w:rFonts w:asciiTheme="minorHAnsi" w:hAnsiTheme="minorHAnsi" w:cstheme="minorHAnsi"/>
          <w:szCs w:val="24"/>
        </w:rPr>
        <w:t>(</w:t>
      </w:r>
      <w:r w:rsidR="00C30A95" w:rsidRPr="007A7515">
        <w:rPr>
          <w:rFonts w:asciiTheme="minorHAnsi" w:hAnsiTheme="minorHAnsi" w:cstheme="minorHAnsi"/>
          <w:szCs w:val="24"/>
        </w:rPr>
        <w:t xml:space="preserve">nodule growth is defined as an increase in its </w:t>
      </w:r>
      <w:r w:rsidR="00727F02">
        <w:rPr>
          <w:rFonts w:asciiTheme="minorHAnsi" w:hAnsiTheme="minorHAnsi" w:cstheme="minorHAnsi"/>
          <w:szCs w:val="24"/>
        </w:rPr>
        <w:t>diameter or volume</w:t>
      </w:r>
      <w:r w:rsidR="00C30A95" w:rsidRPr="007A7515">
        <w:rPr>
          <w:rFonts w:asciiTheme="minorHAnsi" w:hAnsiTheme="minorHAnsi" w:cstheme="minorHAnsi"/>
          <w:szCs w:val="24"/>
        </w:rPr>
        <w:t xml:space="preserve"> of ≥ 25%</w:t>
      </w:r>
      <w:r w:rsidR="0071513F" w:rsidRPr="007A7515">
        <w:rPr>
          <w:rFonts w:asciiTheme="minorHAnsi" w:hAnsiTheme="minorHAnsi" w:cstheme="minorHAnsi"/>
          <w:szCs w:val="24"/>
        </w:rPr>
        <w:t>)</w:t>
      </w:r>
      <w:r w:rsidR="00844534">
        <w:rPr>
          <w:rFonts w:asciiTheme="minorHAnsi" w:hAnsiTheme="minorHAnsi" w:cstheme="minorHAnsi"/>
          <w:szCs w:val="24"/>
        </w:rPr>
        <w:t xml:space="preserve"> </w:t>
      </w:r>
      <w:r w:rsidR="00844534">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{"citationItems":[{"id":"ITEM-1","itemData":{"DOI":"10.1136/thoraxjnl-2015-207168","ISSN":"1468-3296","PMID":"26082159","author":[{"dropping-particle":"","family":"Callister","given":"M E J","non-dropping-particle":"","parse-names":false,"suffix":""},{"dropping-particle":"","family":"Baldwin","given":"David R","non-dropping-particle":"","parse-names":false,"suffix":""},{"dropping-particle":"","family":"Akram","given":"A R","non-dropping-particle":"","parse-names":false,"suffix":""},{"dropping-particle":"","family":"Barnard","given":"S","non-dropping-particle":"","parse-names":false,"suffix":""},{"dropping-particle":"","family":"Cane","given":"P","non-dropping-particle":"","parse-names":false,"suffix":""},{"dropping-particle":"","family":"Draffan","given":"J","non-dropping-particle":"","parse-names":false,"suffix":""},{"dropping-particle":"","family":"Franks","given":"K","non-dropping-particle":"","parse-names":false,"suffix":""},{"dropping-particle":"","family":"Gleeson","given":"F","non-dropping-particle":"","parse-names":false,"suffix":""},{"dropping-particle":"","family":"Graham","given":"R","non-dropping-particle":"","parse-names":false,"suffix":""},{"dropping-particle":"","family":"Malhotra","given":"P","non-dropping-particle":"","parse-names":false,"suffix":""},{"dropping-particle":"","family":"Prokop","given":"M","non-dropping-particle":"","parse-names":false,"suffix":""},{"dropping-particle":"","family":"Rodger","given":"K","non-dropping-particle":"","parse-names":false,"suffix":""},{"dropping-particle":"","family":"Subesinghe","given":"M","non-dropping-particle":"","parse-names":false,"suffix":""},{"dropping-particle":"","family":"Waller","given":"D","non-dropping-particle":"","parse-names":false,"suffix":""},{"dropping-particle":"","family":"Woolhouse","given":"I","non-dropping-particle":"","parse-names":false,"suffix":""},{"dropping-particle":"","family":"British Thoracic Society Pulmonary Nodule Guideline Development Group","given":"","non-dropping-particle":"","parse-names":false,"suffix":""},{"dropping-particle":"","family":"British Thoracic Society Standards of Care Committee","given":"","non-dropping-particle":"","parse-names":false,"suffix":""}],"container-title":"Thorax","id":"ITEM-1","issue":"8","issued":{"date-parts":[["2015","8"]]},"page":"ii1-ii54","title":"British Thoracic Society guidelines for the investigation and management of pulmonary nodules.","type":"article-journal","volume":"70 Suppl 2"},"uris":["http://www.mendeley.com/documents/?uuid=336f502f-4bcb-4af0-9fa5-d9658d01631a"]}],"mendeley":{"formattedCitation":"&lt;sup&gt;4&lt;/sup&gt;","plainTextFormattedCitation":"4","previouslyFormattedCitation":"&lt;sup&gt;4&lt;/sup&gt;"},"properties":{"noteIndex":0},"schema":"https://github.com/citation-style-language/schema/raw/master/csl-citation.json"}</w:instrText>
      </w:r>
      <w:r w:rsidR="00844534">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4</w:t>
      </w:r>
      <w:r w:rsidR="00844534">
        <w:rPr>
          <w:rFonts w:asciiTheme="minorHAnsi" w:hAnsiTheme="minorHAnsi" w:cstheme="minorHAnsi"/>
          <w:szCs w:val="24"/>
        </w:rPr>
        <w:fldChar w:fldCharType="end"/>
      </w:r>
      <w:r w:rsidR="00C30A95" w:rsidRPr="007A7515">
        <w:rPr>
          <w:rFonts w:asciiTheme="minorHAnsi" w:hAnsiTheme="minorHAnsi" w:cstheme="minorHAnsi"/>
          <w:szCs w:val="24"/>
        </w:rPr>
        <w:t>. Stability of nodule size was regarded as an indication of benign diagnosis following completion of 2 years CT follow up for</w:t>
      </w:r>
      <w:r w:rsidR="00D55048" w:rsidRPr="007A7515">
        <w:rPr>
          <w:rFonts w:asciiTheme="minorHAnsi" w:hAnsiTheme="minorHAnsi" w:cstheme="minorHAnsi"/>
          <w:szCs w:val="24"/>
        </w:rPr>
        <w:t xml:space="preserve"> 2D measurements</w:t>
      </w:r>
      <w:r w:rsidR="00C30A95" w:rsidRPr="007A7515">
        <w:rPr>
          <w:rFonts w:asciiTheme="minorHAnsi" w:hAnsiTheme="minorHAnsi" w:cstheme="minorHAnsi"/>
          <w:szCs w:val="24"/>
        </w:rPr>
        <w:t xml:space="preserve"> or 1 year for </w:t>
      </w:r>
      <w:r w:rsidR="00485819" w:rsidRPr="007A7515">
        <w:rPr>
          <w:rFonts w:asciiTheme="minorHAnsi" w:hAnsiTheme="minorHAnsi" w:cstheme="minorHAnsi"/>
          <w:szCs w:val="24"/>
        </w:rPr>
        <w:t xml:space="preserve">3D </w:t>
      </w:r>
      <w:r w:rsidR="00C30A95" w:rsidRPr="007A7515">
        <w:rPr>
          <w:rFonts w:asciiTheme="minorHAnsi" w:hAnsiTheme="minorHAnsi" w:cstheme="minorHAnsi"/>
          <w:szCs w:val="24"/>
        </w:rPr>
        <w:t>volumetr</w:t>
      </w:r>
      <w:r w:rsidR="00485819" w:rsidRPr="007A7515">
        <w:rPr>
          <w:rFonts w:asciiTheme="minorHAnsi" w:hAnsiTheme="minorHAnsi" w:cstheme="minorHAnsi"/>
          <w:szCs w:val="24"/>
        </w:rPr>
        <w:t>ic</w:t>
      </w:r>
      <w:r w:rsidR="00C30A95" w:rsidRPr="007A7515">
        <w:rPr>
          <w:rFonts w:asciiTheme="minorHAnsi" w:hAnsiTheme="minorHAnsi" w:cstheme="minorHAnsi"/>
          <w:szCs w:val="24"/>
        </w:rPr>
        <w:t xml:space="preserve"> monitoring</w:t>
      </w:r>
      <w:r w:rsidR="00623F94" w:rsidRPr="007A7515">
        <w:rPr>
          <w:rFonts w:asciiTheme="minorHAnsi" w:hAnsiTheme="minorHAnsi" w:cstheme="minorHAnsi"/>
          <w:szCs w:val="24"/>
        </w:rPr>
        <w:t xml:space="preserve"> </w:t>
      </w:r>
      <w:r w:rsidR="00623F94"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{"citationItems":[{"id":"ITEM-1","itemData":{"DOI":"10.1136/thoraxjnl-2015-207168","ISSN":"1468-3296","PMID":"26082159","author":[{"dropping-particle":"","family":"Callister","given":"M E J","non-dropping-particle":"","parse-names":false,"suffix":""},{"dropping-particle":"","family":"Baldwin","given":"David R","non-dropping-particle":"","parse-names":false,"suffix":""},{"dropping-particle":"","family":"Akram","given":"A R","non-dropping-particle":"","parse-names":false,"suffix":""},{"dropping-particle":"","family":"Barnard","given":"S","non-dropping-particle":"","parse-names":false,"suffix":""},{"dropping-particle":"","family":"Cane","given":"P","non-dropping-particle":"","parse-names":false,"suffix":""},{"dropping-particle":"","family":"Draffan","given":"J","non-dropping-particle":"","parse-names":false,"suffix":""},{"dropping-particle":"","family":"Franks","given":"K","non-dropping-particle":"","parse-names":false,"suffix":""},{"dropping-particle":"","family":"Gleeson","given":"F","non-dropping-particle":"","parse-names":false,"suffix":""},{"dropping-particle":"","family":"Graham","given":"R","non-dropping-particle":"","parse-names":false,"suffix":""},{"dropping-particle":"","family":"Malhotra","given":"P","non-dropping-particle":"","parse-names":false,"suffix":""},{"dropping-particle":"","family":"Prokop","given":"M","non-dropping-particle":"","parse-names":false,"suffix":""},{"dropping-particle":"","family":"Rodger","given":"K","non-dropping-particle":"","parse-names":false,"suffix":""},{"dropping-particle":"","family":"Subesinghe","given":"M","non-dropping-particle":"","parse-names":false,"suffix":""},{"dropping-particle":"","family":"Waller","given":"D","non-dropping-particle":"","parse-names":false,"suffix":""},{"dropping-particle":"","family":"Woolhouse","given":"I","non-dropping-particle":"","parse-names":false,"suffix":""},{"dropping-particle":"","family":"British Thoracic Society Pulmonary Nodule Guideline Development Group","given":"","non-dropping-particle":"","parse-names":false,"suffix":""},{"dropping-particle":"","family":"British Thoracic Society Standards of Care Committee","given":"","non-dropping-particle":"","parse-names":false,"suffix":""}],"container-title":"Thorax","id":"ITEM-1","issue":"8","issued":{"date-parts":[["2015","8"]]},"page":"ii1-ii54","title":"British Thoracic Society guidelines for the investigation and management of pulmonary nodules.","type":"article-journal","volume":"70 Suppl 2"},"uris":["http://www.mendeley.com/documents/?uuid=336f502f-4bcb-4af0-9fa5-d9658d01631a"]}],"mendeley":{"formattedCitation":"&lt;sup&gt;4&lt;/sup&gt;","plainTextFormattedCitation":"4","previouslyFormattedCitation":"&lt;sup&gt;4&lt;/sup&gt;"},"properties":{"noteIndex":0},"schema":"https://github.com/citation-style-language/schema/raw/master/csl-citation.json"}</w:instrText>
      </w:r>
      <w:r w:rsidR="00623F94"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4</w:t>
      </w:r>
      <w:r w:rsidR="00623F94" w:rsidRPr="007A7515">
        <w:rPr>
          <w:rFonts w:asciiTheme="minorHAnsi" w:hAnsiTheme="minorHAnsi" w:cstheme="minorHAnsi"/>
          <w:szCs w:val="24"/>
        </w:rPr>
        <w:fldChar w:fldCharType="end"/>
      </w:r>
      <w:r w:rsidRPr="007A7515">
        <w:rPr>
          <w:rFonts w:asciiTheme="minorHAnsi" w:hAnsiTheme="minorHAnsi" w:cstheme="minorHAnsi"/>
          <w:szCs w:val="24"/>
        </w:rPr>
        <w:t>.</w:t>
      </w:r>
      <w:r w:rsidR="005B0515" w:rsidRPr="007A7515">
        <w:rPr>
          <w:rFonts w:asciiTheme="minorHAnsi" w:hAnsiTheme="minorHAnsi" w:cstheme="minorHAnsi"/>
          <w:szCs w:val="24"/>
        </w:rPr>
        <w:t xml:space="preserve"> This reference standard was performed blind to the DCE-CT results, but not to the results of the PET/CT which was performed as part of the clinical care.</w:t>
      </w:r>
      <w:r w:rsidRPr="007A7515">
        <w:rPr>
          <w:rFonts w:asciiTheme="minorHAnsi" w:hAnsiTheme="minorHAnsi" w:cstheme="minorHAnsi"/>
          <w:szCs w:val="24"/>
        </w:rPr>
        <w:t xml:space="preserve"> The </w:t>
      </w:r>
      <w:r w:rsidR="007207DD" w:rsidRPr="007A7515">
        <w:rPr>
          <w:rFonts w:asciiTheme="minorHAnsi" w:hAnsiTheme="minorHAnsi" w:cstheme="minorHAnsi"/>
          <w:szCs w:val="24"/>
        </w:rPr>
        <w:t>participants’</w:t>
      </w:r>
      <w:r w:rsidRPr="007A7515">
        <w:rPr>
          <w:rFonts w:asciiTheme="minorHAnsi" w:hAnsiTheme="minorHAnsi" w:cstheme="minorHAnsi"/>
          <w:szCs w:val="24"/>
        </w:rPr>
        <w:t xml:space="preserve"> clinical notes were reviewed at 24 months to determine patient manage</w:t>
      </w:r>
      <w:r w:rsidR="00623F94" w:rsidRPr="007A7515">
        <w:rPr>
          <w:rFonts w:asciiTheme="minorHAnsi" w:hAnsiTheme="minorHAnsi" w:cstheme="minorHAnsi"/>
          <w:szCs w:val="24"/>
        </w:rPr>
        <w:t>ment</w:t>
      </w:r>
      <w:r w:rsidRPr="007A7515">
        <w:rPr>
          <w:rFonts w:asciiTheme="minorHAnsi" w:hAnsiTheme="minorHAnsi" w:cstheme="minorHAnsi"/>
          <w:szCs w:val="24"/>
        </w:rPr>
        <w:t xml:space="preserve"> includ</w:t>
      </w:r>
      <w:r w:rsidR="00623F94" w:rsidRPr="007A7515">
        <w:rPr>
          <w:rFonts w:asciiTheme="minorHAnsi" w:hAnsiTheme="minorHAnsi" w:cstheme="minorHAnsi"/>
          <w:szCs w:val="24"/>
        </w:rPr>
        <w:t>ing</w:t>
      </w:r>
      <w:r w:rsidRPr="007A7515">
        <w:rPr>
          <w:rFonts w:asciiTheme="minorHAnsi" w:hAnsiTheme="minorHAnsi" w:cstheme="minorHAnsi"/>
          <w:szCs w:val="24"/>
        </w:rPr>
        <w:t xml:space="preserve"> investigative procedures, surgical interventions, </w:t>
      </w:r>
      <w:r w:rsidR="00623F94" w:rsidRPr="007A7515">
        <w:rPr>
          <w:rFonts w:asciiTheme="minorHAnsi" w:hAnsiTheme="minorHAnsi" w:cstheme="minorHAnsi"/>
          <w:szCs w:val="24"/>
        </w:rPr>
        <w:t xml:space="preserve">treatment </w:t>
      </w:r>
      <w:r w:rsidRPr="007A7515">
        <w:rPr>
          <w:rFonts w:asciiTheme="minorHAnsi" w:hAnsiTheme="minorHAnsi" w:cstheme="minorHAnsi"/>
          <w:szCs w:val="24"/>
        </w:rPr>
        <w:t>an</w:t>
      </w:r>
      <w:r w:rsidR="005B0515" w:rsidRPr="007A7515">
        <w:rPr>
          <w:rFonts w:asciiTheme="minorHAnsi" w:hAnsiTheme="minorHAnsi" w:cstheme="minorHAnsi"/>
          <w:szCs w:val="24"/>
        </w:rPr>
        <w:t xml:space="preserve">d associated inpatient stays. </w:t>
      </w:r>
    </w:p>
    <w:p w14:paraId="343A6B69" w14:textId="0EDEFEBB" w:rsidR="001F3BF8" w:rsidRPr="007A7515" w:rsidRDefault="001F3BF8" w:rsidP="0089693A">
      <w:pPr>
        <w:pStyle w:val="NoSpacing"/>
        <w:rPr>
          <w:rFonts w:asciiTheme="minorHAnsi" w:hAnsiTheme="minorHAnsi" w:cstheme="minorHAnsi"/>
          <w:szCs w:val="24"/>
        </w:rPr>
      </w:pPr>
    </w:p>
    <w:p w14:paraId="0E605D4D" w14:textId="38E8DC2F" w:rsidR="001F3BF8" w:rsidRPr="007A7515" w:rsidRDefault="006F0B66" w:rsidP="001F3BF8">
      <w:pPr>
        <w:pStyle w:val="NoSpacing"/>
        <w:rPr>
          <w:rFonts w:asciiTheme="minorHAnsi" w:hAnsiTheme="minorHAnsi" w:cstheme="minorHAnsi"/>
          <w:b/>
          <w:szCs w:val="24"/>
        </w:rPr>
      </w:pPr>
      <w:r w:rsidRPr="007A7515">
        <w:rPr>
          <w:rFonts w:asciiTheme="minorHAnsi" w:hAnsiTheme="minorHAnsi" w:cstheme="minorHAnsi"/>
          <w:b/>
          <w:szCs w:val="24"/>
        </w:rPr>
        <w:t>Sample size calculation</w:t>
      </w:r>
    </w:p>
    <w:p w14:paraId="0D2A52CD" w14:textId="27D1390B" w:rsidR="001F3BF8" w:rsidRPr="007A7515" w:rsidRDefault="00E57D85" w:rsidP="001F3BF8">
      <w:pPr>
        <w:pStyle w:val="NoSpacing"/>
        <w:rPr>
          <w:rFonts w:asciiTheme="minorHAnsi" w:hAnsiTheme="minorHAnsi" w:cstheme="minorHAnsi"/>
          <w:szCs w:val="24"/>
        </w:rPr>
      </w:pPr>
      <w:r w:rsidRPr="007A7515">
        <w:rPr>
          <w:rFonts w:asciiTheme="minorHAnsi" w:hAnsiTheme="minorHAnsi" w:cstheme="minorHAnsi"/>
          <w:szCs w:val="24"/>
        </w:rPr>
        <w:t xml:space="preserve">At study inception </w:t>
      </w:r>
      <w:r w:rsidR="00836E5B" w:rsidRPr="007A7515">
        <w:rPr>
          <w:rFonts w:asciiTheme="minorHAnsi" w:hAnsiTheme="minorHAnsi" w:cstheme="minorHAnsi"/>
          <w:szCs w:val="24"/>
        </w:rPr>
        <w:t xml:space="preserve">375 participants was </w:t>
      </w:r>
      <w:r w:rsidRPr="007A7515">
        <w:rPr>
          <w:rFonts w:asciiTheme="minorHAnsi" w:hAnsiTheme="minorHAnsi" w:cstheme="minorHAnsi"/>
          <w:szCs w:val="24"/>
        </w:rPr>
        <w:t>considered</w:t>
      </w:r>
      <w:r w:rsidR="00836E5B" w:rsidRPr="007A7515">
        <w:rPr>
          <w:rFonts w:asciiTheme="minorHAnsi" w:hAnsiTheme="minorHAnsi" w:cstheme="minorHAnsi"/>
          <w:szCs w:val="24"/>
        </w:rPr>
        <w:t xml:space="preserve"> a</w:t>
      </w:r>
      <w:r w:rsidRPr="007A7515">
        <w:rPr>
          <w:rFonts w:asciiTheme="minorHAnsi" w:hAnsiTheme="minorHAnsi" w:cstheme="minorHAnsi"/>
          <w:szCs w:val="24"/>
        </w:rPr>
        <w:t xml:space="preserve">n adequate number for the study to be informative, whilst still being </w:t>
      </w:r>
      <w:r w:rsidR="00836E5B" w:rsidRPr="007A7515">
        <w:rPr>
          <w:rFonts w:asciiTheme="minorHAnsi" w:hAnsiTheme="minorHAnsi" w:cstheme="minorHAnsi"/>
          <w:szCs w:val="24"/>
        </w:rPr>
        <w:t xml:space="preserve">achievable within a reasonable timeframe. </w:t>
      </w:r>
      <w:r w:rsidR="001F3BF8" w:rsidRPr="007A7515">
        <w:rPr>
          <w:rFonts w:asciiTheme="minorHAnsi" w:hAnsiTheme="minorHAnsi" w:cstheme="minorHAnsi"/>
          <w:szCs w:val="24"/>
        </w:rPr>
        <w:t>Published sensitivity for PET/CT var</w:t>
      </w:r>
      <w:r w:rsidR="00610ABB" w:rsidRPr="007A7515">
        <w:rPr>
          <w:rFonts w:asciiTheme="minorHAnsi" w:hAnsiTheme="minorHAnsi" w:cstheme="minorHAnsi"/>
          <w:szCs w:val="24"/>
        </w:rPr>
        <w:t>ies</w:t>
      </w:r>
      <w:r w:rsidR="001F3BF8" w:rsidRPr="007A7515">
        <w:rPr>
          <w:rFonts w:asciiTheme="minorHAnsi" w:hAnsiTheme="minorHAnsi" w:cstheme="minorHAnsi"/>
          <w:szCs w:val="24"/>
        </w:rPr>
        <w:t xml:space="preserve"> between 77 and 96% (pooled weighted average: 92%) </w:t>
      </w:r>
      <w:r w:rsidR="004D66EE" w:rsidRPr="007A7515">
        <w:rPr>
          <w:rFonts w:asciiTheme="minorHAnsi" w:hAnsiTheme="minorHAnsi" w:cstheme="minorHAnsi"/>
          <w:szCs w:val="24"/>
        </w:rPr>
        <w:t>with</w:t>
      </w:r>
      <w:r w:rsidR="001F3BF8" w:rsidRPr="007A7515">
        <w:rPr>
          <w:rFonts w:asciiTheme="minorHAnsi" w:hAnsiTheme="minorHAnsi" w:cstheme="minorHAnsi"/>
          <w:szCs w:val="24"/>
        </w:rPr>
        <w:t xml:space="preserve"> specificity between 76 and 100% (pooled weighted average: 90%)</w:t>
      </w:r>
      <w:r w:rsidR="00844534">
        <w:rPr>
          <w:rFonts w:asciiTheme="minorHAnsi" w:hAnsiTheme="minorHAnsi" w:cstheme="minorHAnsi"/>
          <w:szCs w:val="24"/>
        </w:rPr>
        <w:t xml:space="preserve"> </w:t>
      </w:r>
      <w:r w:rsidR="00844534">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{"citationItems":[{"id":"ITEM-1","itemData":{"DOI":"10.1148/radiol.2463062148","ISBN":"1527-1315","ISSN":"0033-8419","PMID":"18235105","abstract":"PURPOSE: To perform a meta-analysis to estimate the diagnostic accuracy of dynamic contrast material-enhanced computed tomography (CT) and magnetic resonance (MR) imaging, fluorine 18 fluorodeoxyglucose (FDG) positron emission tomography (PET), and technetium 99m ((99m)Tc) depreotide single photon emission computed tomography (SPECT) for evaluation of solitary pulmonary nodules (SPNs). MATERIALS AND METHODS: Data sources were studies published in PubMed between January 1990 and December 2005. The selected investigations were comparative and noncomparative diagnostic cohort studies to examine the operating characteristics of the four imaging modalities for evaluation of SPNs, involving at least 10 enrolled participants with histologic confirmation and having sufficient data to calculate contingency tables. A random coefficient binary regression model with disease probability conditioned on test results was used to summarize test performance and construct summary receiver operating characteristic (ROC) curves. Sensitivities, specificities, predictive values, diagnostic odds ratios, and areas under the ROC curve were calculated. RESULTS: Forty-four studies--10 dynamic CT, six dynamic MR, 22 FDG PET, and seven (99m)Tc-depreotide SPECT--met the inclusion criteria. (One study was included in both the FDG PET and SPECT groups.) Sensitivities, specificities, positive predictive values, negative predictive values, diagnostic odds ratios, and areas under the ROC curve were, respectively, 0.93 (95% confidence interval [CI]: 0.88, 0.97), 0.76 (95% CI: 0.68, 0.97), 0.80 (95% CI: 0.74, 0.86), 0.95 (95% CI: 0.93, 0.98), 39.91 (95% CI: 1.21, 81.04), and 0.93 (95% CI: 0.81, 0.97) for dynamic CT; 0.94 (95% CI: 0.91, 0.97), 0.79 (95% CI: 0.73, 0.86), 0.86 (95% CI: 0.83, 0.89), 0.93 (95% CI: 0.90, 0.96), 60.59 (95% CI: 5.56, 115.62), and 0.94 (95% CI: 0.83, 0.98) for dynamic MR; 0.95 (95% CI: 0.93, 0.98), 0.82 (95% CI: 0.77, 0.88), 0.91 (95% CI: 0.88, 0.93), 0.90 (95% CI: 0.85, 0.94), 97.31 (95% CI: 6.26, 188.37), and 0.94 (95% CI: 0.83, 0.98) for FDG PET; and 0.95 (95% CI: 0.93, 0.97), 0.82 (95% CI: 0.78, 0.85), 0.90 (95% CI: 0.83, 0.97), 0.91 (95% CI: 0.84, 0.98), 84.50 (95% CI: 34.28, 134.73), and 0.94 (95% CI: 0.83, 0.98) for (99m)Tc-depreotide SPECT. CONCLUSION: Dynamic CT and MR, FDG PET, and (99m)Tc-depreotide SPECT are noninvasive and accurate in distinguishing malignant from benign SPNs; differences among these tests are nonsignificant.","author":[{"dropping-particle":"","family":"Cronin","given":"Paul","non-dropping-particle":"","parse-names":false,"suffix":""},{"dropping-particle":"","family":"Dwamena","given":"Ben A.","non-dropping-particle":"","parse-names":false,"suffix":""},{"dropping-particle":"","family":"Kelly","given":"Aine Marie","non-dropping-particle":"","parse-names":false,"suffix":""},{"dropping-particle":"","family":"Carlos","given":"Ruth C.","non-dropping-particle":"","parse-names":false,"suffix":""}],"container-title":"Radiology","id":"ITEM-1","issue":"3","issued":{"date-parts":[["2008"]]},"page":"772-782","title":"Solitary Pulmonary Nodules: Meta-analytic Comparison of Cross-sectional Imaging Modalities for Diagnosis of Malignancy","type":"article-journal","volume":"246"},"uris":["http://www.mendeley.com/documents/?uuid=fb8fc9f2-d686-4438-a237-e2728c9c13a3"]}],"mendeley":{"formattedCitation":"&lt;sup&gt;5&lt;/sup&gt;","plainTextFormattedCitation":"5","previouslyFormattedCitation":"&lt;sup&gt;5&lt;/sup&gt;"},"properties":{"noteIndex":0},"schema":"https://github.com/citation-style-language/schema/raw/master/csl-citation.json"}</w:instrText>
      </w:r>
      <w:r w:rsidR="00844534">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5</w:t>
      </w:r>
      <w:r w:rsidR="00844534">
        <w:rPr>
          <w:rFonts w:asciiTheme="minorHAnsi" w:hAnsiTheme="minorHAnsi" w:cstheme="minorHAnsi"/>
          <w:szCs w:val="24"/>
        </w:rPr>
        <w:fldChar w:fldCharType="end"/>
      </w:r>
      <w:r w:rsidR="001F3BF8" w:rsidRPr="007A7515">
        <w:rPr>
          <w:rFonts w:asciiTheme="minorHAnsi" w:hAnsiTheme="minorHAnsi" w:cstheme="minorHAnsi"/>
          <w:szCs w:val="24"/>
        </w:rPr>
        <w:t xml:space="preserve">. Published sensitivity and specificity values for DCE-CT vary between 81 and 100% (pooled weighted average: 87%) and 29 and 100% (pooled weighted average: 83%) respectively </w:t>
      </w:r>
      <w:r w:rsidR="00337752"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{"citationItems":[{"id":"ITEM-1","itemData":{"DOI":"10.1148/radiol.2463062148","ISBN":"1527-1315","ISSN":"0033-8419","PMID":"18235105","abstract":"PURPOSE: To perform a meta-analysis to estimate the diagnostic accuracy of dynamic contrast material-enhanced computed tomography (CT) and magnetic resonance (MR) imaging, fluorine 18 fluorodeoxyglucose (FDG) positron emission tomography (PET), and technetium 99m ((99m)Tc) depreotide single photon emission computed tomography (SPECT) for evaluation of solitary pulmonary nodules (SPNs). MATERIALS AND METHODS: Data sources were studies published in PubMed between January 1990 and December 2005. The selected investigations were comparative and noncomparative diagnostic cohort studies to examine the operating characteristics of the four imaging modalities for evaluation of SPNs, involving at least 10 enrolled participants with histologic confirmation and having sufficient data to calculate contingency tables. A random coefficient binary regression model with disease probability conditioned on test results was used to summarize test performance and construct summary receiver operating characteristic (ROC) curves. Sensitivities, specificities, predictive values, diagnostic odds ratios, and areas under the ROC curve were calculated. RESULTS: Forty-four studies--10 dynamic CT, six dynamic MR, 22 FDG PET, and seven (99m)Tc-depreotide SPECT--met the inclusion criteria. (One study was included in both the FDG PET and SPECT groups.) Sensitivities, specificities, positive predictive values, negative predictive values, diagnostic odds ratios, and areas under the ROC curve were, respectively, 0.93 (95% confidence interval [CI]: 0.88, 0.97), 0.76 (95% CI: 0.68, 0.97), 0.80 (95% CI: 0.74, 0.86), 0.95 (95% CI: 0.93, 0.98), 39.91 (95% CI: 1.21, 81.04), and 0.93 (95% CI: 0.81, 0.97) for dynamic CT; 0.94 (95% CI: 0.91, 0.97), 0.79 (95% CI: 0.73, 0.86), 0.86 (95% CI: 0.83, 0.89), 0.93 (95% CI: 0.90, 0.96), 60.59 (95% CI: 5.56, 115.62), and 0.94 (95% CI: 0.83, 0.98) for dynamic MR; 0.95 (95% CI: 0.93, 0.98), 0.82 (95% CI: 0.77, 0.88), 0.91 (95% CI: 0.88, 0.93), 0.90 (95% CI: 0.85, 0.94), 97.31 (95% CI: 6.26, 188.37), and 0.94 (95% CI: 0.83, 0.98) for FDG PET; and 0.95 (95% CI: 0.93, 0.97), 0.82 (95% CI: 0.78, 0.85), 0.90 (95% CI: 0.83, 0.97), 0.91 (95% CI: 0.84, 0.98), 84.50 (95% CI: 34.28, 134.73), and 0.94 (95% CI: 0.83, 0.98) for (99m)Tc-depreotide SPECT. CONCLUSION: Dynamic CT and MR, FDG PET, and (99m)Tc-depreotide SPECT are noninvasive and accurate in distinguishing malignant from benign SPNs; differences among these tests are nonsignificant.","author":[{"dropping-particle":"","family":"Cronin","given":"Paul","non-dropping-particle":"","parse-names":false,"suffix":""},{"dropping-particle":"","family":"Dwamena","given":"Ben A.","non-dropping-particle":"","parse-names":false,"suffix":""},{"dropping-particle":"","family":"Kelly","given":"Aine Marie","non-dropping-particle":"","parse-names":false,"suffix":""},{"dropping-particle":"","family":"Carlos","given":"Ruth C.","non-dropping-particle":"","parse-names":false,"suffix":""}],"container-title":"Radiology","id":"ITEM-1","issue":"3","issued":{"date-parts":[["2008"]]},"page":"772-782","title":"Solitary Pulmonary Nodules: Meta-analytic Comparison of Cross-sectional Imaging Modalities for Diagnosis of Malignancy","type":"article-journal","volume":"246"},"uris":["http://www.mendeley.com/documents/?uuid=fb8fc9f2-d686-4438-a237-e2728c9c13a3"]},{"id":"ITEM-2","itemData":{"DOI":"10.1148/radiol.2331031535","ISBN":"0033-8419","ISSN":"0033-8419","PMID":"15304661","abstract":"PURPOSE: To evaluate enhancement dynamics of solitary pulmonary nodules at multi-detector row computed tomography (CT) and to correlate results with extent of tumor angiogenesis in pathologic specimens. MATERIALS AND METHODS: One hundred thirty-one patients with solitary pulmonary nodules underwent unenhanced thin-section CT, followed by dynamic helical CT (throughout the nodule for 30 mm along the z-axis [13 images] and at 20-second intervals for 3 minutes [130 images total]) after intravenous injection of 120 mL of contrast medium. Diagnosis of malignancy or benignancy was assigned in 109 patients, and follow-up imaging suggested benignancy in the remaining 22. CT findings were analyzed for peak attenuation, net enhancement, and enhancement dynamics. In 54 patients with surgical diagnoses, Pearson correlation coefficient was used to correlate enhancement pattern with extent of microvessel density and vascular endothelial growth factor (VEGF) staining. RESULTS: With 30 HU or more of net enhancement as a cutoff value in differentiation of malignant and benign nodules, sensitivity for malignant nodules was 99% (69 of 70 malignant nodules), specificity was 54% (33 of 61 benign nodules), positive predictive value was 71% (69 of 97 malignant readings), negative predictive value was 97% (33 of 34 benign readings), and accuracy was 78% (102 of 131 nodules). Peak attenuation was correlated positively with extent of microvessel density (r = 0.369, P =.006) and VEGF staining (r = 0.277, P =.042). Malignant nodules showed significantly higher VEGF expression (P =.009) than that of benign nodules. CONCLUSION: Dynamic enhancement with multi-detector row CT shows high sensitivity and negative predictive values for diagnosis of malignant nodules but low specificity because of highly enhancing benign nodules. Extent of enhancement reflects underlying nodule angiogenesis.","author":[{"dropping-particle":"","family":"Yi","given":"Chin A","non-dropping-particle":"","parse-names":false,"suffix":""},{"dropping-particle":"","family":"Lee","given":"Kyung Soo","non-dropping-particle":"","parse-names":false,"suffix":""},{"dropping-particle":"","family":"Kim","given":"Eun A","non-dropping-particle":"","parse-names":false,"suffix":""},{"dropping-particle":"","family":"Han","given":"Joungho","non-dropping-particle":"","parse-names":false,"suffix":""},{"dropping-particle":"","family":"Kim","given":"Hojoong","non-dropping-particle":"","parse-names":false,"suffix":""},{"dropping-particle":"","family":"Kwon","given":"O Jung","non-dropping-particle":"","parse-names":false,"suffix":""},{"dropping-particle":"","family":"Jeong","given":"Yeon Joo","non-dropping-particle":"","parse-names":false,"suffix":""},{"dropping-particle":"","family":"Kim","given":"Seonwoo","non-dropping-particle":"","parse-names":false,"suffix":""}],"container-title":"Radiology","id":"ITEM-2","issue":"1","issued":{"date-parts":[["2004"]]},"page":"191-199","title":"Solitary Pulmonary Nodules: Dynamic Enhanced Multi–Detector Row CT Study and Comparison with Vascular Endothelial Growth Factor and Microvessel Density","type":"article-journal","volume":"233"},"uris":["http://www.mendeley.com/documents/?uuid=cc0c3803-8f97-48d0-8372-6029f4b35ac7"]},{"id":"ITEM-3","itemData":{"DOI":"10.2214/AJR.05.1166","ISBN":"1546-3141 (Electronic)\\r0361-803X (Linking)","ISSN":"0361803X","PMID":"17056930","abstract":"OBJECTIVE: The purpose of this study was to directly compare nodule-enhancement CT and 18F-FDG PET in the characterization of indeterminate solitary pulmonary nodules (SPNs) greater than 7 mm in size. MATERIALS AND METHODS: Examinations from patients undergoing both nodule-enhancement CT and 18F-FDG PET to characterize the same indeterminate SPN were reviewed. For nodule-enhancement CT, an SPN was considered malignant when it showed an unenhanced to peak contrast-enhanced increase in attenuation greater than 15 H. Fluorine-18-FDG PET studies were blindly reinterpreted by two qualified nuclear radiologists. SPNs qualitatively showing hypermetabolic activity greater than the mediastinal blood pool were interpreted as malignant. These interpretations were compared with the original prospective clinical readings and to semiquantitative standardized uptake value (SUV) analysis. Results were compared with pathologic and clinical follow-up. RESULTS: Forty-two pulmonary nodules were examined. Twenty-five (60%) were malignant, and 17 (40%) were benign. Nodule-enhancement CT was positive in all 25 malignant nodules and in 12 benign nodules, with sensitivity and specificity of 100% and 29%, respectively, and with a positive predictive value (PPV) and negative predictive value (NPV) of 68% and 100%, respectively. Qualitative 18F-FDG PET interpretations were positive in 24 of the 25 malignant nodules and in four benign nodules. Fluorine-18-FDG PET was considered negative in one malignant nodule and in 13 of the 17 benign nodules. This correlates with a sensitivity and specificity of 96% and 76%, respectively, and with a PPV and NPV of 86% and 93%, respectively. Original prospective 18F-FDG PET and semiquantitative SUV analysis showed sensitivity, specificity, PPV, and NPV of 88%, 76%, 85%, and 81% and 84%, 82%, 88%, and 78%, respectively. CONCLUSION: Due to its much higher specificity and only slightly reduced sensitivity, 18F-FDG PET is preferable to nodule-enhancement CT in evaluating indeterminate pulmonary nodules. However, nodule-enhancement CT remains useful due to its high NPV, convenience, and lower cost. Qualitative 18F-FDG PET interpretation provided the best balance of sensitivity and specificity when compared with original prospective interpretation or SUV analysis.","author":[{"dropping-particle":"","family":"Christensen","given":"Jared A.","non-dropping-particle":"","parse-names":false,"suffix":""},{"dropping-particle":"","family":"Nathan","given":"Mark A.","non-dropping-particle":"","parse-names":false,"suffix":""},{"dropping-particle":"","family":"Mullan","given":"Brian P.","non-dropping-particle":"","parse-names":false,"suffix":""},{"dropping-particle":"","family":"Hartman","given":"Thomas E.","non-dropping-particle":"","parse-names":false,"suffix":""},{"dropping-particle":"","family":"Swensen","given":"Stephen J.","non-dropping-particle":"","parse-names":false,"suffix":""},{"dropping-particle":"","family":"Lowe","given":"Val J.","non-dropping-particle":"","parse-names":false,"suffix":""}],"container-title":"American Journal of Roentgenology","id":"ITEM-3","issue":"5","issued":{"date-parts":[["2006"]]},"page":"1361-1367","title":"Characterization of the solitary pulmonary nodule: 18F-FDG PET versus nodule-enhancement CT","type":"article-journal","volume":"187"},"uris":["http://www.mendeley.com/documents/?uuid=68784085-2b38-425f-ba79-0c2de5de32ae"]},{"id":"ITEM-4","itemData":{"DOI":"10.1148/radiology.214.1.r00ja1473","ISBN":"0033-8419 (Print)\\r0033-8419 (Linking)","ISSN":"0033-8419","PMID":"10644104","abstract":"PURPOSE: To test the hypothesis that absence of statistically significant lung nodule enhancement (&lt; or =15 HU) at computed tomography (CT) is strongly predictive of benignity.\\nMATERIALS AND METHODS: Five hundred fifty lung nodules were studied. Of these, 356 met all entrance criteria and had a diagnosis. On nonenhanced, thin-section CT scans, the nodules were solid, 5-40 mm in diameter, relatively spherical, homogeneous, and without calcification or fat. All patients were examined with 3-mm-collimation CT before and after intravenous injection of contrast material. CT scans through the nodule were obtained at 1, 2, 3, and 4 minutes after the onset of injection. Peak net nodule enhancement and time-attenuation curves were analyzed. Seven centers participated.\\nRESULTS: The prevalence of malignancy was 48% (171 of 356 nodules). Malignant neoplasms enhanced (median, 38.1 HU; range, 14.0-165.3 HU) significantly more than granulomas and benign neoplasms (median, 10.0 HU; range, -20.0 to 96.0 HU; P &lt; .001). With 15 HU as the threshold, the sensitivity was 98% (167 of 171 malignant nodules), the specificity was 58% (107 of 185 benign nodules), and the accuracy was 77% (274 of 356 nodules).\\nCONCLUSION: Absence of significant lung nodule enhancement (&lt; or = 15 HU) at CT is strongly predictive of benignity.","author":[{"dropping-particle":"","family":"Swensen","given":"Stephen J.","non-dropping-particle":"","parse-names":false,"suffix":""},{"dropping-particle":"","family":"Viggiano","given":"Robert W.","non-dropping-particle":"","parse-names":false,"suffix":""},{"dropping-particle":"","family":"Midthun","given":"David E.","non-dropping-particle":"","parse-names":false,"suffix":""},{"dropping-particle":"","family":"Müller","given":"Nestor L.","non-dropping-particle":"","parse-names":false,"suffix":""},{"dropping-particle":"","family":"Sherrick","given":"Andrew","non-dropping-particle":"","parse-names":false,"suffix":""},{"dropping-particle":"","family":"Yamashita","given":"Keiji","non-dropping-particle":"","parse-names":false,"suffix":""},{"dropping-particle":"","family":"Naidich","given":"David P.","non-dropping-particle":"","parse-names":false,"suffix":""},{"dropping-particle":"","family":"Patz","given":"Edward F.","non-dropping-particle":"","parse-names":false,"suffix":""},{"dropping-particle":"","family":"Hartman","given":"Thomas E.","non-dropping-particle":"","parse-names":false,"suffix":""},{"dropping-particle":"","family":"Muhm","given":"John R.","non-dropping-particle":"","parse-names":false,"suffix":""},{"dropping-particle":"","family":"Weaver","given":"Amy L.","non-dropping-particle":"","parse-names":false,"suffix":""}],"container-title":"Radiology","id":"ITEM-4","issue":"1","issued":{"date-parts":[["2000"]]},"page":"73-80","title":"Lung Nodule Enhancement at CT: Multicenter Study","type":"article-journal","volume":"214"},"uris":["http://www.mendeley.com/documents/?uuid=1e0a50f7-b85c-417e-a6d9-25f1049e28fa"]}],"mendeley":{"formattedCitation":"&lt;sup&gt;5,6,13,14&lt;/sup&gt;","plainTextFormattedCitation":"5,6,13,14","previouslyFormattedCitation":"&lt;sup&gt;5,6,13,14&lt;/sup&gt;"},"properties":{"noteIndex":0},"schema":"https://github.com/citation-style-language/schema/raw/master/csl-citation.json"}</w:instrText>
      </w:r>
      <w:r w:rsidR="00337752"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5,6,13,14</w:t>
      </w:r>
      <w:r w:rsidR="00337752" w:rsidRPr="007A7515">
        <w:rPr>
          <w:rFonts w:asciiTheme="minorHAnsi" w:hAnsiTheme="minorHAnsi" w:cstheme="minorHAnsi"/>
          <w:szCs w:val="24"/>
        </w:rPr>
        <w:fldChar w:fldCharType="end"/>
      </w:r>
      <w:r w:rsidR="001F3BF8" w:rsidRPr="007A7515">
        <w:rPr>
          <w:rFonts w:asciiTheme="minorHAnsi" w:hAnsiTheme="minorHAnsi" w:cstheme="minorHAnsi"/>
          <w:szCs w:val="24"/>
        </w:rPr>
        <w:t xml:space="preserve">. </w:t>
      </w:r>
      <w:r w:rsidR="004D66EE" w:rsidRPr="007A7515">
        <w:rPr>
          <w:rFonts w:asciiTheme="minorHAnsi" w:hAnsiTheme="minorHAnsi" w:cstheme="minorHAnsi"/>
          <w:szCs w:val="24"/>
        </w:rPr>
        <w:t>T</w:t>
      </w:r>
      <w:r w:rsidR="001F3BF8" w:rsidRPr="007A7515">
        <w:rPr>
          <w:rFonts w:asciiTheme="minorHAnsi" w:hAnsiTheme="minorHAnsi" w:cstheme="minorHAnsi"/>
          <w:szCs w:val="24"/>
        </w:rPr>
        <w:t>he mean prevalence of malignancy in indeterminate SPN has been reported as 68</w:t>
      </w:r>
      <w:r w:rsidR="0053128F" w:rsidRPr="007A7515">
        <w:rPr>
          <w:rFonts w:asciiTheme="minorHAnsi" w:hAnsiTheme="minorHAnsi" w:cstheme="minorHAnsi"/>
          <w:szCs w:val="24"/>
        </w:rPr>
        <w:t>·5</w:t>
      </w:r>
      <w:r w:rsidR="001F3BF8" w:rsidRPr="007A7515">
        <w:rPr>
          <w:rFonts w:asciiTheme="minorHAnsi" w:hAnsiTheme="minorHAnsi" w:cstheme="minorHAnsi"/>
          <w:szCs w:val="24"/>
        </w:rPr>
        <w:t xml:space="preserve">% </w:t>
      </w:r>
      <w:r w:rsidR="00610C98"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{"citationItems":[{"id":"ITEM-1","itemData":{"DOI":"10.1016/s0009-9260(03)00166-1","ISBN":"0009-9260 (Print)","ISSN":"0009-9260","PMID":"12943643","abstract":"AIM To determine the impact of quantitative contrast-enhanced computed tomography (QECT) on the cost-effectiveness of diagnostic strategies for the assessment of solitary pulmonary nodules (SPNs). MATERIALS AND METHODS Four diagnostic strategies were evaluated using decision tree analysis: conventional CT alone; conventional CT followed by QECT; conventional CT followed positron emission tomography (PET); and conventional CT followed by QECT and PET (QECT+PET). The average cost per patient, accuracy of management and incremental cost:accuracy ratio (ICAR) were determined for each strategy. Although baseline assumptions reflected the Australian setting, sensitivity analysis was used to extrapolate the results to the UK. RESULTS At the baseline prevalence of malignancy (54%) and cost of PET relative to surgery (16%), the QECT strategy incurs the least cost (5560 dollars/patient) but the QECT+PET strategy is the most cost-effective (ICAR 12,059 dollars/patient). At reported levels of disease prevalence (68.5%) and cost of PET relative to surgery (29.9%) in the UK, the QECT strategy is the most cost-effective. CONCLUSION QECT offers a cost-effective approach to evaluation of SPNs. Whether QECT is used alone or in combination with PET will depend upon local availability and regional values for prior probability of malignancy within SPNs and the cost of PET relative to surgery.","author":[{"dropping-particle":"","family":"Comber","given":"L. A.","non-dropping-particle":"","parse-names":false,"suffix":""},{"dropping-particle":"","family":"Keith","given":"C. J.","non-dropping-particle":"","parse-names":false,"suffix":""},{"dropping-particle":"","family":"Griffiths","given":"M.","non-dropping-particle":"","parse-names":false,"suffix":""},{"dropping-particle":"","family":"Miles","given":"K. A.","non-dropping-particle":"","parse-names":false,"suffix":""}],"container-title":"Clinical radiology","id":"ITEM-1","issue":"9","issued":{"date-parts":[["2003","9"]]},"page":"706-11","title":"Solitary pulmonary nodules: impact of quantitative contrast-enhanced CT on the cost-effectiveness of FDG-PET.","type":"article-journal","volume":"58"},"uris":["http://www.mendeley.com/documents/?uuid=e7ca7257-e150-45b1-8e4c-3a6e78f65d55"]}],"mendeley":{"formattedCitation":"&lt;sup&gt;7&lt;/sup&gt;","plainTextFormattedCitation":"7","previouslyFormattedCitation":"&lt;sup&gt;7&lt;/sup&gt;"},"properties":{"noteIndex":0},"schema":"https://github.com/citation-style-language/schema/raw/master/csl-citation.json"}</w:instrText>
      </w:r>
      <w:r w:rsidR="00610C98"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7</w:t>
      </w:r>
      <w:r w:rsidR="00610C98" w:rsidRPr="007A7515">
        <w:rPr>
          <w:rFonts w:asciiTheme="minorHAnsi" w:hAnsiTheme="minorHAnsi" w:cstheme="minorHAnsi"/>
          <w:szCs w:val="24"/>
        </w:rPr>
        <w:fldChar w:fldCharType="end"/>
      </w:r>
      <w:r w:rsidR="001F3BF8" w:rsidRPr="007A7515">
        <w:rPr>
          <w:rFonts w:asciiTheme="minorHAnsi" w:hAnsiTheme="minorHAnsi" w:cstheme="minorHAnsi"/>
          <w:szCs w:val="24"/>
        </w:rPr>
        <w:t>. At this prevalence, a sample size of 375 w</w:t>
      </w:r>
      <w:r w:rsidR="00836E5B" w:rsidRPr="007A7515">
        <w:rPr>
          <w:rFonts w:asciiTheme="minorHAnsi" w:hAnsiTheme="minorHAnsi" w:cstheme="minorHAnsi"/>
          <w:szCs w:val="24"/>
        </w:rPr>
        <w:t>ould</w:t>
      </w:r>
      <w:r w:rsidR="001F3BF8" w:rsidRPr="007A7515">
        <w:rPr>
          <w:rFonts w:asciiTheme="minorHAnsi" w:hAnsiTheme="minorHAnsi" w:cstheme="minorHAnsi"/>
          <w:szCs w:val="24"/>
        </w:rPr>
        <w:t xml:space="preserve"> produce 257 malignant and 118 benign SPNs</w:t>
      </w:r>
      <w:r w:rsidR="00836E5B" w:rsidRPr="007A7515">
        <w:rPr>
          <w:rFonts w:asciiTheme="minorHAnsi" w:hAnsiTheme="minorHAnsi" w:cstheme="minorHAnsi"/>
          <w:szCs w:val="24"/>
        </w:rPr>
        <w:t xml:space="preserve">. </w:t>
      </w:r>
      <w:r w:rsidR="001F3BF8" w:rsidRPr="007A7515">
        <w:rPr>
          <w:rFonts w:asciiTheme="minorHAnsi" w:hAnsiTheme="minorHAnsi" w:cstheme="minorHAnsi"/>
          <w:szCs w:val="24"/>
        </w:rPr>
        <w:t xml:space="preserve">This will give confidence limits for sensitivity and specificity of DCE-CT of 87% </w:t>
      </w:r>
      <w:bookmarkStart w:id="12" w:name="_Hlk43580064"/>
      <w:r w:rsidR="00A43F89" w:rsidRPr="007A7515">
        <w:rPr>
          <w:rFonts w:asciiTheme="minorHAnsi" w:hAnsiTheme="minorHAnsi" w:cstheme="minorHAnsi"/>
          <w:szCs w:val="24"/>
        </w:rPr>
        <w:t xml:space="preserve">± </w:t>
      </w:r>
      <w:bookmarkEnd w:id="12"/>
      <w:r w:rsidR="001F3BF8" w:rsidRPr="007A7515">
        <w:rPr>
          <w:rFonts w:asciiTheme="minorHAnsi" w:hAnsiTheme="minorHAnsi" w:cstheme="minorHAnsi"/>
          <w:szCs w:val="24"/>
        </w:rPr>
        <w:t>4</w:t>
      </w:r>
      <w:r w:rsidR="0053128F" w:rsidRPr="007A7515">
        <w:rPr>
          <w:rFonts w:asciiTheme="minorHAnsi" w:hAnsiTheme="minorHAnsi" w:cstheme="minorHAnsi"/>
          <w:szCs w:val="24"/>
        </w:rPr>
        <w:t>·1</w:t>
      </w:r>
      <w:r w:rsidR="001F3BF8" w:rsidRPr="007A7515">
        <w:rPr>
          <w:rFonts w:asciiTheme="minorHAnsi" w:hAnsiTheme="minorHAnsi" w:cstheme="minorHAnsi"/>
          <w:szCs w:val="24"/>
        </w:rPr>
        <w:t xml:space="preserve">% and 83% </w:t>
      </w:r>
      <w:r w:rsidR="00A43F89" w:rsidRPr="007A7515">
        <w:rPr>
          <w:rFonts w:asciiTheme="minorHAnsi" w:hAnsiTheme="minorHAnsi" w:cstheme="minorHAnsi"/>
          <w:szCs w:val="24"/>
        </w:rPr>
        <w:t xml:space="preserve">± </w:t>
      </w:r>
      <w:r w:rsidR="001F3BF8" w:rsidRPr="007A7515">
        <w:rPr>
          <w:rFonts w:asciiTheme="minorHAnsi" w:hAnsiTheme="minorHAnsi" w:cstheme="minorHAnsi"/>
          <w:szCs w:val="24"/>
        </w:rPr>
        <w:t>6</w:t>
      </w:r>
      <w:r w:rsidR="0053128F" w:rsidRPr="007A7515">
        <w:rPr>
          <w:rFonts w:asciiTheme="minorHAnsi" w:hAnsiTheme="minorHAnsi" w:cstheme="minorHAnsi"/>
          <w:szCs w:val="24"/>
        </w:rPr>
        <w:t>·8</w:t>
      </w:r>
      <w:r w:rsidR="001F3BF8" w:rsidRPr="007A7515">
        <w:rPr>
          <w:rFonts w:asciiTheme="minorHAnsi" w:hAnsiTheme="minorHAnsi" w:cstheme="minorHAnsi"/>
          <w:szCs w:val="24"/>
        </w:rPr>
        <w:t>% and PET/CT of 92%</w:t>
      </w:r>
      <w:r w:rsidR="00646CD7">
        <w:rPr>
          <w:rFonts w:asciiTheme="minorHAnsi" w:hAnsiTheme="minorHAnsi" w:cstheme="minorHAnsi"/>
          <w:szCs w:val="24"/>
        </w:rPr>
        <w:t xml:space="preserve"> </w:t>
      </w:r>
      <w:r w:rsidR="00A43F89" w:rsidRPr="007A7515">
        <w:rPr>
          <w:rFonts w:asciiTheme="minorHAnsi" w:hAnsiTheme="minorHAnsi" w:cstheme="minorHAnsi"/>
          <w:szCs w:val="24"/>
        </w:rPr>
        <w:t xml:space="preserve">± </w:t>
      </w:r>
      <w:r w:rsidR="001F3BF8" w:rsidRPr="007A7515">
        <w:rPr>
          <w:rFonts w:asciiTheme="minorHAnsi" w:hAnsiTheme="minorHAnsi" w:cstheme="minorHAnsi"/>
          <w:szCs w:val="24"/>
        </w:rPr>
        <w:t>3</w:t>
      </w:r>
      <w:r w:rsidR="0053128F" w:rsidRPr="007A7515">
        <w:rPr>
          <w:rFonts w:asciiTheme="minorHAnsi" w:hAnsiTheme="minorHAnsi" w:cstheme="minorHAnsi"/>
          <w:szCs w:val="24"/>
        </w:rPr>
        <w:t>·3</w:t>
      </w:r>
      <w:r w:rsidR="001F3BF8" w:rsidRPr="007A7515">
        <w:rPr>
          <w:rFonts w:asciiTheme="minorHAnsi" w:hAnsiTheme="minorHAnsi" w:cstheme="minorHAnsi"/>
          <w:szCs w:val="24"/>
        </w:rPr>
        <w:t>% and 90%</w:t>
      </w:r>
      <w:r w:rsidR="00646CD7">
        <w:rPr>
          <w:rFonts w:asciiTheme="minorHAnsi" w:hAnsiTheme="minorHAnsi" w:cstheme="minorHAnsi"/>
          <w:szCs w:val="24"/>
        </w:rPr>
        <w:t xml:space="preserve"> </w:t>
      </w:r>
      <w:r w:rsidR="00A43F89" w:rsidRPr="007A7515">
        <w:rPr>
          <w:rFonts w:asciiTheme="minorHAnsi" w:hAnsiTheme="minorHAnsi" w:cstheme="minorHAnsi"/>
          <w:szCs w:val="24"/>
        </w:rPr>
        <w:t>±</w:t>
      </w:r>
      <w:r w:rsidR="001F3BF8" w:rsidRPr="007A7515">
        <w:rPr>
          <w:rFonts w:asciiTheme="minorHAnsi" w:hAnsiTheme="minorHAnsi" w:cstheme="minorHAnsi"/>
          <w:szCs w:val="24"/>
        </w:rPr>
        <w:t xml:space="preserve"> 5</w:t>
      </w:r>
      <w:r w:rsidR="0053128F" w:rsidRPr="007A7515">
        <w:rPr>
          <w:rFonts w:asciiTheme="minorHAnsi" w:hAnsiTheme="minorHAnsi" w:cstheme="minorHAnsi"/>
          <w:szCs w:val="24"/>
        </w:rPr>
        <w:t>·4</w:t>
      </w:r>
      <w:r w:rsidR="001F3BF8" w:rsidRPr="007A7515">
        <w:rPr>
          <w:rFonts w:asciiTheme="minorHAnsi" w:hAnsiTheme="minorHAnsi" w:cstheme="minorHAnsi"/>
          <w:szCs w:val="24"/>
        </w:rPr>
        <w:t>% respectively.</w:t>
      </w:r>
    </w:p>
    <w:p w14:paraId="4FE11017" w14:textId="7AA7A9CF" w:rsidR="001F3BF8" w:rsidRPr="007A7515" w:rsidRDefault="001F3BF8" w:rsidP="001F3BF8">
      <w:pPr>
        <w:pStyle w:val="NoSpacing"/>
        <w:rPr>
          <w:rFonts w:asciiTheme="minorHAnsi" w:hAnsiTheme="minorHAnsi" w:cstheme="minorHAnsi"/>
          <w:szCs w:val="24"/>
        </w:rPr>
      </w:pPr>
      <w:r w:rsidRPr="007A7515">
        <w:rPr>
          <w:rFonts w:asciiTheme="minorHAnsi" w:hAnsiTheme="minorHAnsi" w:cstheme="minorHAnsi"/>
          <w:szCs w:val="24"/>
        </w:rPr>
        <w:t> </w:t>
      </w:r>
    </w:p>
    <w:p w14:paraId="0739B86A" w14:textId="617AE3B6" w:rsidR="001F3BF8" w:rsidRPr="007A7515" w:rsidRDefault="006F0B66" w:rsidP="006F0B66">
      <w:pPr>
        <w:pStyle w:val="NoSpacing"/>
        <w:rPr>
          <w:rFonts w:asciiTheme="minorHAnsi" w:hAnsiTheme="minorHAnsi" w:cstheme="minorHAnsi"/>
          <w:szCs w:val="24"/>
        </w:rPr>
      </w:pPr>
      <w:r w:rsidRPr="007A7515">
        <w:rPr>
          <w:rFonts w:asciiTheme="minorHAnsi" w:hAnsiTheme="minorHAnsi" w:cstheme="minorHAnsi"/>
          <w:szCs w:val="24"/>
        </w:rPr>
        <w:t>When c</w:t>
      </w:r>
      <w:r w:rsidR="001F3BF8" w:rsidRPr="007A7515">
        <w:rPr>
          <w:rFonts w:asciiTheme="minorHAnsi" w:hAnsiTheme="minorHAnsi" w:cstheme="minorHAnsi"/>
          <w:szCs w:val="24"/>
        </w:rPr>
        <w:t>onsider</w:t>
      </w:r>
      <w:r w:rsidRPr="007A7515">
        <w:rPr>
          <w:rFonts w:asciiTheme="minorHAnsi" w:hAnsiTheme="minorHAnsi" w:cstheme="minorHAnsi"/>
          <w:szCs w:val="24"/>
        </w:rPr>
        <w:t xml:space="preserve">ing the accuracy </w:t>
      </w:r>
      <w:r w:rsidR="00836E5B" w:rsidRPr="007A7515">
        <w:rPr>
          <w:rFonts w:asciiTheme="minorHAnsi" w:hAnsiTheme="minorHAnsi" w:cstheme="minorHAnsi"/>
          <w:szCs w:val="24"/>
        </w:rPr>
        <w:t>of both tests in combination</w:t>
      </w:r>
      <w:r w:rsidRPr="007A7515">
        <w:rPr>
          <w:rFonts w:asciiTheme="minorHAnsi" w:hAnsiTheme="minorHAnsi" w:cstheme="minorHAnsi"/>
          <w:szCs w:val="24"/>
        </w:rPr>
        <w:t xml:space="preserve">, </w:t>
      </w:r>
      <w:r w:rsidR="001F3BF8" w:rsidRPr="007A7515">
        <w:rPr>
          <w:rFonts w:asciiTheme="minorHAnsi" w:hAnsiTheme="minorHAnsi" w:cstheme="minorHAnsi"/>
          <w:szCs w:val="24"/>
        </w:rPr>
        <w:t>those</w:t>
      </w:r>
      <w:r w:rsidR="00481788" w:rsidRPr="007A7515">
        <w:rPr>
          <w:rFonts w:asciiTheme="minorHAnsi" w:hAnsiTheme="minorHAnsi" w:cstheme="minorHAnsi"/>
          <w:szCs w:val="24"/>
        </w:rPr>
        <w:t xml:space="preserve"> with a negative </w:t>
      </w:r>
      <w:r w:rsidR="001F3BF8" w:rsidRPr="007A7515">
        <w:rPr>
          <w:rFonts w:asciiTheme="minorHAnsi" w:hAnsiTheme="minorHAnsi" w:cstheme="minorHAnsi"/>
          <w:szCs w:val="24"/>
        </w:rPr>
        <w:t xml:space="preserve">DCE-CT are classed as benign, </w:t>
      </w:r>
      <w:r w:rsidR="00481788" w:rsidRPr="007A7515">
        <w:rPr>
          <w:rFonts w:asciiTheme="minorHAnsi" w:hAnsiTheme="minorHAnsi" w:cstheme="minorHAnsi"/>
          <w:szCs w:val="24"/>
        </w:rPr>
        <w:t>while a positive</w:t>
      </w:r>
      <w:r w:rsidR="001F3BF8" w:rsidRPr="007A7515">
        <w:rPr>
          <w:rFonts w:asciiTheme="minorHAnsi" w:hAnsiTheme="minorHAnsi" w:cstheme="minorHAnsi"/>
          <w:szCs w:val="24"/>
        </w:rPr>
        <w:t xml:space="preserve"> DCE-CT </w:t>
      </w:r>
      <w:r w:rsidR="00481788" w:rsidRPr="007A7515">
        <w:rPr>
          <w:rFonts w:asciiTheme="minorHAnsi" w:hAnsiTheme="minorHAnsi" w:cstheme="minorHAnsi"/>
          <w:szCs w:val="24"/>
        </w:rPr>
        <w:t>progressed to</w:t>
      </w:r>
      <w:r w:rsidR="0071513F" w:rsidRPr="007A7515">
        <w:rPr>
          <w:rFonts w:asciiTheme="minorHAnsi" w:hAnsiTheme="minorHAnsi" w:cstheme="minorHAnsi"/>
          <w:szCs w:val="24"/>
        </w:rPr>
        <w:t xml:space="preserve"> PET/CT</w:t>
      </w:r>
      <w:r w:rsidR="00481788" w:rsidRPr="007A7515">
        <w:rPr>
          <w:rFonts w:asciiTheme="minorHAnsi" w:hAnsiTheme="minorHAnsi" w:cstheme="minorHAnsi"/>
          <w:szCs w:val="24"/>
        </w:rPr>
        <w:t>. If the</w:t>
      </w:r>
      <w:r w:rsidR="0071513F" w:rsidRPr="007A7515">
        <w:rPr>
          <w:rFonts w:asciiTheme="minorHAnsi" w:hAnsiTheme="minorHAnsi" w:cstheme="minorHAnsi"/>
          <w:szCs w:val="24"/>
        </w:rPr>
        <w:t xml:space="preserve"> PET/CT </w:t>
      </w:r>
      <w:r w:rsidR="00481788" w:rsidRPr="007A7515">
        <w:rPr>
          <w:rFonts w:asciiTheme="minorHAnsi" w:hAnsiTheme="minorHAnsi" w:cstheme="minorHAnsi"/>
          <w:szCs w:val="24"/>
        </w:rPr>
        <w:t xml:space="preserve">was positive the nodule was </w:t>
      </w:r>
      <w:r w:rsidR="001F3BF8" w:rsidRPr="007A7515">
        <w:rPr>
          <w:rFonts w:asciiTheme="minorHAnsi" w:hAnsiTheme="minorHAnsi" w:cstheme="minorHAnsi"/>
          <w:szCs w:val="24"/>
        </w:rPr>
        <w:t>classed as ‘malignant’ and those</w:t>
      </w:r>
      <w:r w:rsidR="0071513F" w:rsidRPr="007A7515">
        <w:rPr>
          <w:rFonts w:asciiTheme="minorHAnsi" w:hAnsiTheme="minorHAnsi" w:cstheme="minorHAnsi"/>
          <w:szCs w:val="24"/>
        </w:rPr>
        <w:t xml:space="preserve"> PET/CTs </w:t>
      </w:r>
      <w:r w:rsidR="00481788" w:rsidRPr="007A7515">
        <w:rPr>
          <w:rFonts w:asciiTheme="minorHAnsi" w:hAnsiTheme="minorHAnsi" w:cstheme="minorHAnsi"/>
          <w:szCs w:val="24"/>
        </w:rPr>
        <w:t>which were negative were</w:t>
      </w:r>
      <w:r w:rsidR="001F3BF8" w:rsidRPr="007A7515">
        <w:rPr>
          <w:rFonts w:asciiTheme="minorHAnsi" w:hAnsiTheme="minorHAnsi" w:cstheme="minorHAnsi"/>
          <w:szCs w:val="24"/>
        </w:rPr>
        <w:t xml:space="preserve"> </w:t>
      </w:r>
      <w:r w:rsidR="001F3BF8" w:rsidRPr="007A7515">
        <w:rPr>
          <w:rFonts w:asciiTheme="minorHAnsi" w:hAnsiTheme="minorHAnsi" w:cstheme="minorHAnsi"/>
          <w:szCs w:val="24"/>
        </w:rPr>
        <w:lastRenderedPageBreak/>
        <w:t>classed as ‘benign’. The specificity of this process is the same as using</w:t>
      </w:r>
      <w:r w:rsidR="0071513F" w:rsidRPr="007A7515">
        <w:rPr>
          <w:rFonts w:asciiTheme="minorHAnsi" w:hAnsiTheme="minorHAnsi" w:cstheme="minorHAnsi"/>
          <w:szCs w:val="24"/>
        </w:rPr>
        <w:t xml:space="preserve"> PET/CT </w:t>
      </w:r>
      <w:proofErr w:type="gramStart"/>
      <w:r w:rsidR="001F3BF8" w:rsidRPr="007A7515">
        <w:rPr>
          <w:rFonts w:asciiTheme="minorHAnsi" w:hAnsiTheme="minorHAnsi" w:cstheme="minorHAnsi"/>
          <w:szCs w:val="24"/>
        </w:rPr>
        <w:t>alone</w:t>
      </w:r>
      <w:proofErr w:type="gramEnd"/>
      <w:r w:rsidR="00A87875" w:rsidRPr="007A7515">
        <w:rPr>
          <w:rFonts w:asciiTheme="minorHAnsi" w:hAnsiTheme="minorHAnsi" w:cstheme="minorHAnsi"/>
          <w:szCs w:val="24"/>
        </w:rPr>
        <w:t xml:space="preserve"> but we need to estimate the sensitivity</w:t>
      </w:r>
      <w:r w:rsidR="001F3BF8" w:rsidRPr="007A7515">
        <w:rPr>
          <w:rFonts w:asciiTheme="minorHAnsi" w:hAnsiTheme="minorHAnsi" w:cstheme="minorHAnsi"/>
          <w:szCs w:val="24"/>
        </w:rPr>
        <w:t xml:space="preserve">. Based on previous data of 130 malignant tumours, 114 </w:t>
      </w:r>
      <w:r w:rsidR="00836E5B" w:rsidRPr="007A7515">
        <w:rPr>
          <w:rFonts w:asciiTheme="minorHAnsi" w:hAnsiTheme="minorHAnsi" w:cstheme="minorHAnsi"/>
          <w:szCs w:val="24"/>
        </w:rPr>
        <w:t>were both</w:t>
      </w:r>
      <w:r w:rsidR="001F3BF8" w:rsidRPr="007A7515">
        <w:rPr>
          <w:rFonts w:asciiTheme="minorHAnsi" w:hAnsiTheme="minorHAnsi" w:cstheme="minorHAnsi"/>
          <w:szCs w:val="24"/>
        </w:rPr>
        <w:t xml:space="preserve"> DCE-CT and</w:t>
      </w:r>
      <w:r w:rsidR="0071513F" w:rsidRPr="007A7515">
        <w:rPr>
          <w:rFonts w:asciiTheme="minorHAnsi" w:hAnsiTheme="minorHAnsi" w:cstheme="minorHAnsi"/>
          <w:szCs w:val="24"/>
        </w:rPr>
        <w:t xml:space="preserve"> PET/CT </w:t>
      </w:r>
      <w:r w:rsidR="00836E5B" w:rsidRPr="007A7515">
        <w:rPr>
          <w:rFonts w:asciiTheme="minorHAnsi" w:hAnsiTheme="minorHAnsi" w:cstheme="minorHAnsi"/>
          <w:szCs w:val="24"/>
        </w:rPr>
        <w:t>positive.</w:t>
      </w:r>
      <w:r w:rsidR="001F3BF8" w:rsidRPr="007A7515">
        <w:rPr>
          <w:rFonts w:asciiTheme="minorHAnsi" w:hAnsiTheme="minorHAnsi" w:cstheme="minorHAnsi"/>
          <w:szCs w:val="24"/>
        </w:rPr>
        <w:t xml:space="preserve"> </w:t>
      </w:r>
      <w:r w:rsidR="00836E5B" w:rsidRPr="007A7515">
        <w:rPr>
          <w:rFonts w:asciiTheme="minorHAnsi" w:hAnsiTheme="minorHAnsi" w:cstheme="minorHAnsi"/>
          <w:szCs w:val="24"/>
        </w:rPr>
        <w:t>T</w:t>
      </w:r>
      <w:r w:rsidR="001F3BF8" w:rsidRPr="007A7515">
        <w:rPr>
          <w:rFonts w:asciiTheme="minorHAnsi" w:hAnsiTheme="minorHAnsi" w:cstheme="minorHAnsi"/>
          <w:szCs w:val="24"/>
        </w:rPr>
        <w:t>his suggests the sensitivity of the joint testing procedure is 114 / 130 = 0</w:t>
      </w:r>
      <w:r w:rsidR="0053128F" w:rsidRPr="007A7515">
        <w:rPr>
          <w:rFonts w:asciiTheme="minorHAnsi" w:hAnsiTheme="minorHAnsi" w:cstheme="minorHAnsi"/>
          <w:szCs w:val="24"/>
        </w:rPr>
        <w:t>·8</w:t>
      </w:r>
      <w:r w:rsidR="001F3BF8" w:rsidRPr="007A7515">
        <w:rPr>
          <w:rFonts w:asciiTheme="minorHAnsi" w:hAnsiTheme="minorHAnsi" w:cstheme="minorHAnsi"/>
          <w:szCs w:val="24"/>
        </w:rPr>
        <w:t>77. Compared to the PET/CT sensitivity</w:t>
      </w:r>
      <w:r w:rsidR="00A87875" w:rsidRPr="007A7515">
        <w:rPr>
          <w:rFonts w:asciiTheme="minorHAnsi" w:hAnsiTheme="minorHAnsi" w:cstheme="minorHAnsi"/>
          <w:szCs w:val="24"/>
        </w:rPr>
        <w:t xml:space="preserve"> of</w:t>
      </w:r>
      <w:r w:rsidR="001F3BF8" w:rsidRPr="007A7515">
        <w:rPr>
          <w:rFonts w:asciiTheme="minorHAnsi" w:hAnsiTheme="minorHAnsi" w:cstheme="minorHAnsi"/>
          <w:szCs w:val="24"/>
        </w:rPr>
        <w:t xml:space="preserve"> 0</w:t>
      </w:r>
      <w:r w:rsidR="0053128F" w:rsidRPr="007A7515">
        <w:rPr>
          <w:rFonts w:asciiTheme="minorHAnsi" w:hAnsiTheme="minorHAnsi" w:cstheme="minorHAnsi"/>
          <w:szCs w:val="24"/>
        </w:rPr>
        <w:t>·9</w:t>
      </w:r>
      <w:r w:rsidR="001F3BF8" w:rsidRPr="007A7515">
        <w:rPr>
          <w:rFonts w:asciiTheme="minorHAnsi" w:hAnsiTheme="minorHAnsi" w:cstheme="minorHAnsi"/>
          <w:szCs w:val="24"/>
        </w:rPr>
        <w:t xml:space="preserve">2, the joint testing approach is projected to reduce sensitivity by about 4%. </w:t>
      </w:r>
      <w:r w:rsidR="00A87875" w:rsidRPr="007A7515">
        <w:rPr>
          <w:rFonts w:asciiTheme="minorHAnsi" w:hAnsiTheme="minorHAnsi" w:cstheme="minorHAnsi"/>
          <w:szCs w:val="24"/>
        </w:rPr>
        <w:t>A</w:t>
      </w:r>
      <w:r w:rsidR="001F3BF8" w:rsidRPr="007A7515">
        <w:rPr>
          <w:rFonts w:asciiTheme="minorHAnsi" w:hAnsiTheme="minorHAnsi" w:cstheme="minorHAnsi"/>
          <w:szCs w:val="24"/>
        </w:rPr>
        <w:t xml:space="preserve"> total sample size of 288 patients is required (including 197 with</w:t>
      </w:r>
      <w:r w:rsidR="00A87875" w:rsidRPr="007A7515">
        <w:rPr>
          <w:rFonts w:asciiTheme="minorHAnsi" w:hAnsiTheme="minorHAnsi" w:cstheme="minorHAnsi"/>
          <w:szCs w:val="24"/>
        </w:rPr>
        <w:t xml:space="preserve"> </w:t>
      </w:r>
      <w:r w:rsidR="001F3BF8" w:rsidRPr="007A7515">
        <w:rPr>
          <w:rFonts w:asciiTheme="minorHAnsi" w:hAnsiTheme="minorHAnsi" w:cstheme="minorHAnsi"/>
          <w:szCs w:val="24"/>
        </w:rPr>
        <w:t>malignant tumour</w:t>
      </w:r>
      <w:r w:rsidR="00A87875" w:rsidRPr="007A7515">
        <w:rPr>
          <w:rFonts w:asciiTheme="minorHAnsi" w:hAnsiTheme="minorHAnsi" w:cstheme="minorHAnsi"/>
          <w:szCs w:val="24"/>
        </w:rPr>
        <w:t>s</w:t>
      </w:r>
      <w:r w:rsidR="001F3BF8" w:rsidRPr="007A7515">
        <w:rPr>
          <w:rFonts w:asciiTheme="minorHAnsi" w:hAnsiTheme="minorHAnsi" w:cstheme="minorHAnsi"/>
          <w:szCs w:val="24"/>
        </w:rPr>
        <w:t>)</w:t>
      </w:r>
      <w:r w:rsidR="00A87875" w:rsidRPr="007A7515">
        <w:rPr>
          <w:rFonts w:asciiTheme="minorHAnsi" w:hAnsiTheme="minorHAnsi" w:cstheme="minorHAnsi"/>
          <w:szCs w:val="24"/>
        </w:rPr>
        <w:t xml:space="preserve"> to detect a 4% reduction in sensitivity for the combined approach compared to</w:t>
      </w:r>
      <w:r w:rsidR="0071513F" w:rsidRPr="007A7515">
        <w:rPr>
          <w:rFonts w:asciiTheme="minorHAnsi" w:hAnsiTheme="minorHAnsi" w:cstheme="minorHAnsi"/>
          <w:szCs w:val="24"/>
        </w:rPr>
        <w:t xml:space="preserve"> PET/CT </w:t>
      </w:r>
      <w:r w:rsidR="00A87875" w:rsidRPr="007A7515">
        <w:rPr>
          <w:rFonts w:asciiTheme="minorHAnsi" w:hAnsiTheme="minorHAnsi" w:cstheme="minorHAnsi"/>
          <w:szCs w:val="24"/>
        </w:rPr>
        <w:t>alone.</w:t>
      </w:r>
      <w:r w:rsidR="00A87875"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{"citationItems":[{"id":"ITEM-1","itemData":{"DOI":"10.1002/sim.1058","ISSN":"02776715","abstract":"Technologic advances give rise to new tests for detecting disease in many fields, including cancer and sexually transmitted disease. Before a new disease screening test is approved for public use, its accuracy should be shown to be better than or at least not inferior to an existing test. Standards do not yet exist for designing and analysing studies to address this issue. Established principles for the design of therapeutic studies can be adapted for studies of screening tests. In particular, drawing upon methods for superiority and non-inferiority studies of therapeutic agents, we propose that confidence intervals for the relative accuracy of dichotomous tests drive the design of comparative studies of disease screening tests. We derive sample size formulae for a variety of designs, including studies where patients undergo several tests and studies where patients receive only one of the tests under evaluation. Both cohort and case-control study designs are considered. Modifications to the confidence intervals and sample size formulae are discussed to accommodate studies where, because of the invasive nature of definitive testing, true disease status can only be obtained for subjects who are positive on one or more of the screening tests. The methods proposed are applied to a study comparing a modified pap test to the conventional pap for cervical cancer screening. The impact of error in the gold standard reference test on the design and evaluation of comparative screening test studies is also discussed. Copyright © 2002 John Wiley &amp; Sons, Ltd.","author":[{"dropping-particle":"","family":"Alonzo","given":"Todd A.","non-dropping-particle":"","parse-names":false,"suffix":""},{"dropping-particle":"","family":"Pepe","given":"Margaret S.","non-dropping-particle":"","parse-names":false,"suffix":""},{"dropping-particle":"","family":"Moskowitz","given":"Chaya S.","non-dropping-particle":"","parse-names":false,"suffix":""}],"container-title":"Statistics in Medicine","id":"ITEM-1","issued":{"date-parts":[["2002"]]},"title":"Sample size calculations for comparative studies of medical tests for detecting presence of disease","type":"article-journal"},"uris":["http://www.mendeley.com/documents/?uuid=371e3e14-12db-4455-b814-16ee4b87b655","http://www.mendeley.com/documents/?uuid=07cdf7ef-651a-467f-a5e8-6f78e6c9a774"]}],"mendeley":{"formattedCitation":"&lt;sup&gt;15&lt;/sup&gt;","plainTextFormattedCitation":"15","previouslyFormattedCitation":"&lt;sup&gt;15&lt;/sup&gt;"},"properties":{"noteIndex":0},"schema":"https://github.com/citation-style-language/schema/raw/master/csl-citation.json"}</w:instrText>
      </w:r>
      <w:r w:rsidR="00A87875"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15</w:t>
      </w:r>
      <w:r w:rsidR="00A87875" w:rsidRPr="007A7515">
        <w:rPr>
          <w:rFonts w:asciiTheme="minorHAnsi" w:hAnsiTheme="minorHAnsi" w:cstheme="minorHAnsi"/>
          <w:szCs w:val="24"/>
        </w:rPr>
        <w:fldChar w:fldCharType="end"/>
      </w:r>
      <w:r w:rsidR="001F3BF8" w:rsidRPr="007A7515">
        <w:rPr>
          <w:rFonts w:asciiTheme="minorHAnsi" w:hAnsiTheme="minorHAnsi" w:cstheme="minorHAnsi"/>
          <w:szCs w:val="24"/>
        </w:rPr>
        <w:t xml:space="preserve"> </w:t>
      </w:r>
      <w:r w:rsidR="00A87875" w:rsidRPr="007A7515">
        <w:rPr>
          <w:rFonts w:asciiTheme="minorHAnsi" w:hAnsiTheme="minorHAnsi" w:cstheme="minorHAnsi"/>
          <w:szCs w:val="24"/>
        </w:rPr>
        <w:t>T</w:t>
      </w:r>
      <w:r w:rsidR="001F3BF8" w:rsidRPr="007A7515">
        <w:rPr>
          <w:rFonts w:asciiTheme="minorHAnsi" w:hAnsiTheme="minorHAnsi" w:cstheme="minorHAnsi"/>
          <w:szCs w:val="24"/>
        </w:rPr>
        <w:t>his calculation assumes an 80% power, 5% significance level and prevalence of malignancy of 0</w:t>
      </w:r>
      <w:r w:rsidR="0053128F" w:rsidRPr="007A7515">
        <w:rPr>
          <w:rFonts w:asciiTheme="minorHAnsi" w:hAnsiTheme="minorHAnsi" w:cstheme="minorHAnsi"/>
          <w:szCs w:val="24"/>
        </w:rPr>
        <w:t>·6</w:t>
      </w:r>
      <w:r w:rsidR="001F3BF8" w:rsidRPr="007A7515">
        <w:rPr>
          <w:rFonts w:asciiTheme="minorHAnsi" w:hAnsiTheme="minorHAnsi" w:cstheme="minorHAnsi"/>
          <w:szCs w:val="24"/>
        </w:rPr>
        <w:t xml:space="preserve">85. </w:t>
      </w:r>
    </w:p>
    <w:p w14:paraId="4C646584" w14:textId="77777777" w:rsidR="001F3BF8" w:rsidRPr="007A7515" w:rsidRDefault="001F3BF8" w:rsidP="001F3BF8">
      <w:pPr>
        <w:pStyle w:val="NoSpacing"/>
        <w:rPr>
          <w:rFonts w:asciiTheme="minorHAnsi" w:hAnsiTheme="minorHAnsi" w:cstheme="minorHAnsi"/>
          <w:szCs w:val="24"/>
        </w:rPr>
      </w:pPr>
    </w:p>
    <w:p w14:paraId="42975CD5" w14:textId="3A4AFEF4" w:rsidR="001F3BF8" w:rsidRPr="007A7515" w:rsidRDefault="001F3BF8" w:rsidP="001F3BF8">
      <w:pPr>
        <w:pStyle w:val="NoSpacing"/>
        <w:rPr>
          <w:rFonts w:asciiTheme="minorHAnsi" w:hAnsiTheme="minorHAnsi" w:cstheme="minorHAnsi"/>
          <w:b/>
          <w:szCs w:val="24"/>
        </w:rPr>
      </w:pPr>
      <w:r w:rsidRPr="007A7515">
        <w:rPr>
          <w:rFonts w:asciiTheme="minorHAnsi" w:hAnsiTheme="minorHAnsi" w:cstheme="minorHAnsi"/>
          <w:b/>
          <w:szCs w:val="24"/>
        </w:rPr>
        <w:t>Statistical analysis</w:t>
      </w:r>
      <w:r w:rsidR="00C31722" w:rsidRPr="007A7515">
        <w:rPr>
          <w:rFonts w:asciiTheme="minorHAnsi" w:hAnsiTheme="minorHAnsi" w:cstheme="minorHAnsi"/>
          <w:b/>
          <w:szCs w:val="24"/>
        </w:rPr>
        <w:t xml:space="preserve"> - Accuracy</w:t>
      </w:r>
    </w:p>
    <w:p w14:paraId="6D21A63A" w14:textId="0E11357E" w:rsidR="00F103A3" w:rsidRPr="007A7515" w:rsidRDefault="001F3BF8" w:rsidP="001F3BF8">
      <w:pPr>
        <w:pStyle w:val="NoSpacing"/>
        <w:rPr>
          <w:rFonts w:asciiTheme="minorHAnsi" w:hAnsiTheme="minorHAnsi" w:cstheme="minorHAnsi"/>
          <w:szCs w:val="24"/>
        </w:rPr>
      </w:pPr>
      <w:r w:rsidRPr="007A7515">
        <w:rPr>
          <w:rFonts w:asciiTheme="minorHAnsi" w:hAnsiTheme="minorHAnsi" w:cstheme="minorHAnsi"/>
          <w:szCs w:val="24"/>
        </w:rPr>
        <w:t>We considered the diagnostic accuracy of positive</w:t>
      </w:r>
      <w:r w:rsidR="0071513F" w:rsidRPr="007A7515">
        <w:rPr>
          <w:rFonts w:asciiTheme="minorHAnsi" w:hAnsiTheme="minorHAnsi" w:cstheme="minorHAnsi"/>
          <w:szCs w:val="24"/>
        </w:rPr>
        <w:t xml:space="preserve"> PET/CT </w:t>
      </w:r>
      <w:r w:rsidRPr="007A7515">
        <w:rPr>
          <w:rFonts w:asciiTheme="minorHAnsi" w:hAnsiTheme="minorHAnsi" w:cstheme="minorHAnsi"/>
          <w:szCs w:val="24"/>
        </w:rPr>
        <w:t xml:space="preserve">and DCE-CT, both separately and in conjunction, in relation to a diagnosis of lung cancer by 2 years. </w:t>
      </w:r>
      <w:r w:rsidR="005B0515" w:rsidRPr="007A7515">
        <w:rPr>
          <w:rFonts w:asciiTheme="minorHAnsi" w:hAnsiTheme="minorHAnsi" w:cstheme="minorHAnsi"/>
          <w:szCs w:val="24"/>
        </w:rPr>
        <w:t>The diagnostic accuracy of the tests was assessed by sensitivity, specificity, and</w:t>
      </w:r>
      <w:r w:rsidR="00A87875" w:rsidRPr="007A7515">
        <w:rPr>
          <w:rFonts w:asciiTheme="minorHAnsi" w:hAnsiTheme="minorHAnsi" w:cstheme="minorHAnsi"/>
          <w:szCs w:val="24"/>
        </w:rPr>
        <w:t xml:space="preserve"> overall</w:t>
      </w:r>
      <w:r w:rsidR="005B0515" w:rsidRPr="007A7515">
        <w:rPr>
          <w:rFonts w:asciiTheme="minorHAnsi" w:hAnsiTheme="minorHAnsi" w:cstheme="minorHAnsi"/>
          <w:szCs w:val="24"/>
        </w:rPr>
        <w:t xml:space="preserve"> </w:t>
      </w:r>
      <w:r w:rsidR="00E57D85" w:rsidRPr="007A7515">
        <w:rPr>
          <w:rFonts w:asciiTheme="minorHAnsi" w:hAnsiTheme="minorHAnsi" w:cstheme="minorHAnsi"/>
          <w:szCs w:val="24"/>
        </w:rPr>
        <w:t xml:space="preserve">diagnostic </w:t>
      </w:r>
      <w:r w:rsidR="005B0515" w:rsidRPr="007A7515">
        <w:rPr>
          <w:rFonts w:asciiTheme="minorHAnsi" w:hAnsiTheme="minorHAnsi" w:cstheme="minorHAnsi"/>
          <w:szCs w:val="24"/>
        </w:rPr>
        <w:t>accuracy using the</w:t>
      </w:r>
      <w:r w:rsidR="00F103A3" w:rsidRPr="007A7515">
        <w:rPr>
          <w:rFonts w:asciiTheme="minorHAnsi" w:hAnsiTheme="minorHAnsi" w:cstheme="minorHAnsi"/>
          <w:szCs w:val="24"/>
        </w:rPr>
        <w:t xml:space="preserve"> </w:t>
      </w:r>
      <w:r w:rsidR="00D5252D" w:rsidRPr="007A7515">
        <w:rPr>
          <w:rFonts w:asciiTheme="minorHAnsi" w:hAnsiTheme="minorHAnsi" w:cstheme="minorHAnsi"/>
          <w:szCs w:val="24"/>
        </w:rPr>
        <w:t>pre-specified classifications (including the combination of tests) and</w:t>
      </w:r>
      <w:r w:rsidR="005B0515" w:rsidRPr="007A7515">
        <w:rPr>
          <w:rFonts w:asciiTheme="minorHAnsi" w:hAnsiTheme="minorHAnsi" w:cstheme="minorHAnsi"/>
          <w:szCs w:val="24"/>
        </w:rPr>
        <w:t xml:space="preserve"> cut-offs. Further exploratory analys</w:t>
      </w:r>
      <w:r w:rsidR="00A87875" w:rsidRPr="007A7515">
        <w:rPr>
          <w:rFonts w:asciiTheme="minorHAnsi" w:hAnsiTheme="minorHAnsi" w:cstheme="minorHAnsi"/>
          <w:szCs w:val="24"/>
        </w:rPr>
        <w:t>e</w:t>
      </w:r>
      <w:r w:rsidR="005B0515" w:rsidRPr="007A7515">
        <w:rPr>
          <w:rFonts w:asciiTheme="minorHAnsi" w:hAnsiTheme="minorHAnsi" w:cstheme="minorHAnsi"/>
          <w:szCs w:val="24"/>
        </w:rPr>
        <w:t>s were performed considering the full spectrum of cut-offs</w:t>
      </w:r>
      <w:r w:rsidR="00F44FD0">
        <w:rPr>
          <w:rFonts w:asciiTheme="minorHAnsi" w:hAnsiTheme="minorHAnsi" w:cstheme="minorHAnsi"/>
          <w:szCs w:val="24"/>
        </w:rPr>
        <w:t xml:space="preserve"> using </w:t>
      </w:r>
      <w:proofErr w:type="spellStart"/>
      <w:r w:rsidR="00F44FD0">
        <w:rPr>
          <w:rFonts w:asciiTheme="minorHAnsi" w:hAnsiTheme="minorHAnsi" w:cstheme="minorHAnsi"/>
          <w:szCs w:val="24"/>
        </w:rPr>
        <w:t>SUVmax</w:t>
      </w:r>
      <w:proofErr w:type="spellEnd"/>
      <w:r w:rsidR="00F44FD0">
        <w:rPr>
          <w:rFonts w:asciiTheme="minorHAnsi" w:hAnsiTheme="minorHAnsi" w:cstheme="minorHAnsi"/>
          <w:szCs w:val="24"/>
        </w:rPr>
        <w:t xml:space="preserve"> and </w:t>
      </w:r>
      <w:r w:rsidR="00F44FD0" w:rsidRPr="007A7515">
        <w:rPr>
          <w:rFonts w:asciiTheme="minorHAnsi" w:hAnsiTheme="minorHAnsi" w:cstheme="minorHAnsi"/>
          <w:szCs w:val="24"/>
        </w:rPr>
        <w:t xml:space="preserve">PE </w:t>
      </w:r>
      <w:r w:rsidR="00F44FD0">
        <w:rPr>
          <w:rFonts w:asciiTheme="minorHAnsi" w:hAnsiTheme="minorHAnsi" w:cstheme="minorHAnsi"/>
          <w:szCs w:val="24"/>
        </w:rPr>
        <w:t>separately</w:t>
      </w:r>
      <w:r w:rsidR="00D5252D" w:rsidRPr="007A7515">
        <w:rPr>
          <w:rFonts w:asciiTheme="minorHAnsi" w:hAnsiTheme="minorHAnsi" w:cstheme="minorHAnsi"/>
          <w:szCs w:val="24"/>
        </w:rPr>
        <w:t xml:space="preserve"> </w:t>
      </w:r>
      <w:r w:rsidR="005B0515" w:rsidRPr="007A7515">
        <w:rPr>
          <w:rFonts w:asciiTheme="minorHAnsi" w:hAnsiTheme="minorHAnsi" w:cstheme="minorHAnsi"/>
          <w:szCs w:val="24"/>
        </w:rPr>
        <w:t xml:space="preserve">and </w:t>
      </w:r>
      <w:r w:rsidR="00F44FD0">
        <w:rPr>
          <w:rFonts w:asciiTheme="minorHAnsi" w:hAnsiTheme="minorHAnsi" w:cstheme="minorHAnsi"/>
          <w:szCs w:val="24"/>
        </w:rPr>
        <w:t xml:space="preserve">in combination </w:t>
      </w:r>
      <w:r w:rsidR="00D5252D" w:rsidRPr="007A7515">
        <w:rPr>
          <w:rFonts w:asciiTheme="minorHAnsi" w:hAnsiTheme="minorHAnsi" w:cstheme="minorHAnsi"/>
          <w:szCs w:val="24"/>
        </w:rPr>
        <w:t>using logistic regression</w:t>
      </w:r>
      <w:r w:rsidR="005B0515" w:rsidRPr="007A7515">
        <w:rPr>
          <w:rFonts w:asciiTheme="minorHAnsi" w:hAnsiTheme="minorHAnsi" w:cstheme="minorHAnsi"/>
          <w:szCs w:val="24"/>
        </w:rPr>
        <w:t>. Receiver operator characteristic curves were constructed for these exploratory analys</w:t>
      </w:r>
      <w:r w:rsidR="00D5252D" w:rsidRPr="007A7515">
        <w:rPr>
          <w:rFonts w:asciiTheme="minorHAnsi" w:hAnsiTheme="minorHAnsi" w:cstheme="minorHAnsi"/>
          <w:szCs w:val="24"/>
        </w:rPr>
        <w:t>e</w:t>
      </w:r>
      <w:r w:rsidR="005B0515" w:rsidRPr="007A7515">
        <w:rPr>
          <w:rFonts w:asciiTheme="minorHAnsi" w:hAnsiTheme="minorHAnsi" w:cstheme="minorHAnsi"/>
          <w:szCs w:val="24"/>
        </w:rPr>
        <w:t>s</w:t>
      </w:r>
      <w:r w:rsidR="00D5252D" w:rsidRPr="007A7515">
        <w:rPr>
          <w:rFonts w:asciiTheme="minorHAnsi" w:hAnsiTheme="minorHAnsi" w:cstheme="minorHAnsi"/>
          <w:szCs w:val="24"/>
        </w:rPr>
        <w:t xml:space="preserve"> and</w:t>
      </w:r>
      <w:r w:rsidR="006F0B66" w:rsidRPr="007A7515">
        <w:rPr>
          <w:rFonts w:asciiTheme="minorHAnsi" w:hAnsiTheme="minorHAnsi" w:cstheme="minorHAnsi"/>
          <w:szCs w:val="24"/>
        </w:rPr>
        <w:t xml:space="preserve"> an</w:t>
      </w:r>
      <w:r w:rsidRPr="007A7515">
        <w:rPr>
          <w:rFonts w:asciiTheme="minorHAnsi" w:hAnsiTheme="minorHAnsi" w:cstheme="minorHAnsi"/>
          <w:szCs w:val="24"/>
        </w:rPr>
        <w:t xml:space="preserve"> optimal cut-point keeping the sensitivity above 90% and maximising specificity within this limitation</w:t>
      </w:r>
      <w:r w:rsidR="0013515A" w:rsidRPr="007A7515">
        <w:rPr>
          <w:rFonts w:asciiTheme="minorHAnsi" w:hAnsiTheme="minorHAnsi" w:cstheme="minorHAnsi"/>
          <w:szCs w:val="24"/>
        </w:rPr>
        <w:t xml:space="preserve"> was examined, as was an </w:t>
      </w:r>
      <w:r w:rsidRPr="007A7515">
        <w:rPr>
          <w:rFonts w:asciiTheme="minorHAnsi" w:hAnsiTheme="minorHAnsi" w:cstheme="minorHAnsi"/>
          <w:szCs w:val="24"/>
        </w:rPr>
        <w:t>alternative cut-point that provide</w:t>
      </w:r>
      <w:r w:rsidR="0013515A" w:rsidRPr="007A7515">
        <w:rPr>
          <w:rFonts w:asciiTheme="minorHAnsi" w:hAnsiTheme="minorHAnsi" w:cstheme="minorHAnsi"/>
          <w:szCs w:val="24"/>
        </w:rPr>
        <w:t>d</w:t>
      </w:r>
      <w:r w:rsidRPr="007A7515">
        <w:rPr>
          <w:rFonts w:asciiTheme="minorHAnsi" w:hAnsiTheme="minorHAnsi" w:cstheme="minorHAnsi"/>
          <w:szCs w:val="24"/>
        </w:rPr>
        <w:t xml:space="preserve"> the best trade off in sensitivity and specificity. </w:t>
      </w:r>
    </w:p>
    <w:p w14:paraId="6DED300B" w14:textId="77777777" w:rsidR="00C31722" w:rsidRPr="007A7515" w:rsidRDefault="00C31722" w:rsidP="00A20B01">
      <w:pPr>
        <w:pStyle w:val="NoSpacing"/>
        <w:rPr>
          <w:szCs w:val="24"/>
        </w:rPr>
      </w:pPr>
      <w:bookmarkStart w:id="13" w:name="_Toc26861606"/>
    </w:p>
    <w:p w14:paraId="5531913E" w14:textId="7DE3964F" w:rsidR="00C31722" w:rsidRPr="007A7515" w:rsidRDefault="00C31722" w:rsidP="00C31722">
      <w:pPr>
        <w:pStyle w:val="NoSpacing"/>
        <w:rPr>
          <w:rFonts w:asciiTheme="minorHAnsi" w:hAnsiTheme="minorHAnsi" w:cstheme="minorHAnsi"/>
          <w:bCs/>
          <w:szCs w:val="24"/>
        </w:rPr>
      </w:pPr>
      <w:r w:rsidRPr="007A7515">
        <w:rPr>
          <w:rFonts w:asciiTheme="minorHAnsi" w:hAnsiTheme="minorHAnsi" w:cstheme="minorHAnsi"/>
          <w:b/>
          <w:bCs/>
          <w:i/>
          <w:szCs w:val="24"/>
        </w:rPr>
        <w:t>Economic evaluation</w:t>
      </w:r>
    </w:p>
    <w:p w14:paraId="5CC05762" w14:textId="77777777" w:rsidR="00C60C37" w:rsidRPr="007A7515" w:rsidRDefault="00C60C37" w:rsidP="00C60C37">
      <w:pPr>
        <w:pStyle w:val="NoSpacing"/>
        <w:rPr>
          <w:rFonts w:asciiTheme="minorHAnsi" w:hAnsiTheme="minorHAnsi" w:cstheme="minorHAnsi"/>
          <w:bCs/>
          <w:szCs w:val="24"/>
        </w:rPr>
      </w:pPr>
      <w:r w:rsidRPr="007A7515">
        <w:rPr>
          <w:rFonts w:asciiTheme="minorHAnsi" w:hAnsiTheme="minorHAnsi" w:cstheme="minorHAnsi"/>
          <w:bCs/>
          <w:szCs w:val="24"/>
        </w:rPr>
        <w:t>A decision analytic model (</w:t>
      </w:r>
      <w:r w:rsidRPr="007A7515">
        <w:rPr>
          <w:rFonts w:asciiTheme="minorHAnsi" w:hAnsiTheme="minorHAnsi" w:cstheme="minorHAnsi"/>
          <w:szCs w:val="24"/>
        </w:rPr>
        <w:t>Supplementary Figure S1)</w:t>
      </w:r>
      <w:r w:rsidRPr="007A7515">
        <w:rPr>
          <w:rFonts w:asciiTheme="minorHAnsi" w:hAnsiTheme="minorHAnsi" w:cstheme="minorHAnsi"/>
          <w:bCs/>
          <w:szCs w:val="24"/>
        </w:rPr>
        <w:t xml:space="preserve"> on which the cost-consequence and cost-effectiveness analyses were based, was developed to synthesize evidence and estimate the expected costs and consequences of each imaging strategy for a cohort of people aged 68 years, presenting with a SPN (8-30mm) and managed according to the imaging test result.  The time horizon of the model was two-years but life-expectancy and quality adjusted life years (QALYs) were extrapolated over the patient lifetime. </w:t>
      </w:r>
    </w:p>
    <w:p w14:paraId="59E53A78" w14:textId="77777777" w:rsidR="00C60C37" w:rsidRPr="007A7515" w:rsidRDefault="00C60C37" w:rsidP="00C60C37">
      <w:pPr>
        <w:pStyle w:val="NoSpacing"/>
        <w:rPr>
          <w:rFonts w:asciiTheme="minorHAnsi" w:hAnsiTheme="minorHAnsi" w:cstheme="minorHAnsi"/>
          <w:bCs/>
          <w:szCs w:val="24"/>
        </w:rPr>
      </w:pPr>
    </w:p>
    <w:p w14:paraId="4A00EEB3" w14:textId="34BEFF05" w:rsidR="00C60C37" w:rsidRPr="007A7515" w:rsidRDefault="00C60C37" w:rsidP="00C60C37">
      <w:pPr>
        <w:pStyle w:val="NoSpacing"/>
        <w:rPr>
          <w:rFonts w:asciiTheme="minorHAnsi" w:hAnsiTheme="minorHAnsi" w:cstheme="minorHAnsi"/>
          <w:bCs/>
          <w:szCs w:val="24"/>
        </w:rPr>
      </w:pPr>
      <w:r w:rsidRPr="007A7515">
        <w:rPr>
          <w:rFonts w:asciiTheme="minorHAnsi" w:hAnsiTheme="minorHAnsi" w:cstheme="minorHAnsi"/>
          <w:bCs/>
          <w:szCs w:val="24"/>
        </w:rPr>
        <w:t xml:space="preserve">Imaging test accuracy and probabilities of following different management pathways were sourced from the trial, the literature, and clinical expert opinion. Cost estimates were derived from routine sources (i.e. NHS reference costs, etc) as well as from the literature </w:t>
      </w:r>
      <w:r w:rsidRPr="007A7515">
        <w:rPr>
          <w:rFonts w:asciiTheme="minorHAnsi" w:hAnsiTheme="minorHAnsi" w:cstheme="minorHAnsi"/>
          <w:bCs/>
          <w:szCs w:val="24"/>
        </w:rPr>
        <w:lastRenderedPageBreak/>
        <w:t xml:space="preserve">and were inflated where necessary, to 2018 prices. Further evidence required to estimate life expectancy and health related quality of life were sourced from the literature. The data used in the economic model are reported in Supplementary Tables </w:t>
      </w:r>
      <w:r w:rsidR="00173767" w:rsidRPr="007A7515">
        <w:rPr>
          <w:rFonts w:asciiTheme="minorHAnsi" w:hAnsiTheme="minorHAnsi" w:cstheme="minorHAnsi"/>
          <w:bCs/>
          <w:szCs w:val="24"/>
        </w:rPr>
        <w:t>S</w:t>
      </w:r>
      <w:r w:rsidR="00173767">
        <w:rPr>
          <w:rFonts w:asciiTheme="minorHAnsi" w:hAnsiTheme="minorHAnsi" w:cstheme="minorHAnsi"/>
          <w:bCs/>
          <w:szCs w:val="24"/>
        </w:rPr>
        <w:t>9</w:t>
      </w:r>
      <w:r w:rsidRPr="007A7515">
        <w:rPr>
          <w:rFonts w:asciiTheme="minorHAnsi" w:hAnsiTheme="minorHAnsi" w:cstheme="minorHAnsi"/>
          <w:bCs/>
          <w:szCs w:val="24"/>
        </w:rPr>
        <w:t>-</w:t>
      </w:r>
      <w:r w:rsidR="00173767" w:rsidRPr="007A7515">
        <w:rPr>
          <w:rFonts w:asciiTheme="minorHAnsi" w:hAnsiTheme="minorHAnsi" w:cstheme="minorHAnsi"/>
          <w:bCs/>
          <w:szCs w:val="24"/>
        </w:rPr>
        <w:t>S</w:t>
      </w:r>
      <w:r w:rsidR="00173767">
        <w:rPr>
          <w:rFonts w:asciiTheme="minorHAnsi" w:hAnsiTheme="minorHAnsi" w:cstheme="minorHAnsi"/>
          <w:bCs/>
          <w:szCs w:val="24"/>
        </w:rPr>
        <w:t>13</w:t>
      </w:r>
      <w:r w:rsidRPr="007A7515">
        <w:rPr>
          <w:rFonts w:asciiTheme="minorHAnsi" w:hAnsiTheme="minorHAnsi" w:cstheme="minorHAnsi"/>
          <w:bCs/>
          <w:szCs w:val="24"/>
        </w:rPr>
        <w:t>.</w:t>
      </w:r>
    </w:p>
    <w:p w14:paraId="20D23274" w14:textId="77777777" w:rsidR="00C60C37" w:rsidRPr="007A7515" w:rsidRDefault="00C60C37" w:rsidP="00C60C37">
      <w:pPr>
        <w:pStyle w:val="NoSpacing"/>
        <w:rPr>
          <w:rFonts w:asciiTheme="minorHAnsi" w:hAnsiTheme="minorHAnsi" w:cstheme="minorHAnsi"/>
          <w:bCs/>
          <w:szCs w:val="24"/>
        </w:rPr>
      </w:pPr>
    </w:p>
    <w:p w14:paraId="3AE6556C" w14:textId="77777777" w:rsidR="00C60C37" w:rsidRPr="007A7515" w:rsidRDefault="00C60C37" w:rsidP="00C60C37">
      <w:pPr>
        <w:pStyle w:val="NoSpacing"/>
        <w:rPr>
          <w:rFonts w:asciiTheme="minorHAnsi" w:hAnsiTheme="minorHAnsi" w:cstheme="minorHAnsi"/>
          <w:bCs/>
          <w:szCs w:val="24"/>
        </w:rPr>
      </w:pPr>
      <w:r w:rsidRPr="007A7515">
        <w:rPr>
          <w:rFonts w:asciiTheme="minorHAnsi" w:hAnsiTheme="minorHAnsi" w:cstheme="minorHAnsi"/>
          <w:bCs/>
          <w:szCs w:val="24"/>
        </w:rPr>
        <w:t xml:space="preserve">Parameter uncertainty within the model was addressed using probabilistic sensitivity analysis.  Multiple variable one-way sensitivity was also used to identify those parameters to which costs and the proportion of accurately treated cases and malignancies were most sensitive to. Scenario analyses explored the impact of structural assumptions (i.e. exclusion of indeterminate results) on the costs and consequences. Model validation involved the comparison of results to an independent model, developed to answer the same decision question using different software by other members of the study team. </w:t>
      </w:r>
    </w:p>
    <w:p w14:paraId="5FE2E5C4" w14:textId="7FB2156F" w:rsidR="00C31722" w:rsidRPr="007A7515" w:rsidRDefault="00C31722">
      <w:pPr>
        <w:spacing w:after="200" w:line="276" w:lineRule="auto"/>
        <w:rPr>
          <w:rFonts w:asciiTheme="minorHAnsi" w:hAnsiTheme="minorHAnsi" w:cstheme="minorHAnsi"/>
          <w:b/>
          <w:bCs/>
          <w:sz w:val="24"/>
          <w:szCs w:val="24"/>
        </w:rPr>
      </w:pPr>
      <w:r w:rsidRPr="007A7515">
        <w:rPr>
          <w:rFonts w:asciiTheme="minorHAnsi" w:hAnsiTheme="minorHAnsi" w:cstheme="minorHAnsi"/>
          <w:sz w:val="24"/>
          <w:szCs w:val="24"/>
        </w:rPr>
        <w:br w:type="page"/>
      </w:r>
    </w:p>
    <w:p w14:paraId="6CB05EDE" w14:textId="5DCB6B5E" w:rsidR="00026F87" w:rsidRPr="007A7515" w:rsidRDefault="00026F87" w:rsidP="00E50FE3">
      <w:pPr>
        <w:pStyle w:val="Heading2"/>
        <w:numPr>
          <w:ilvl w:val="0"/>
          <w:numId w:val="0"/>
        </w:numPr>
        <w:rPr>
          <w:rFonts w:asciiTheme="minorHAnsi" w:hAnsiTheme="minorHAnsi"/>
        </w:rPr>
      </w:pPr>
      <w:r w:rsidRPr="007A7515">
        <w:rPr>
          <w:rFonts w:asciiTheme="minorHAnsi" w:hAnsiTheme="minorHAnsi"/>
        </w:rPr>
        <w:lastRenderedPageBreak/>
        <w:t>Results</w:t>
      </w:r>
      <w:bookmarkEnd w:id="13"/>
    </w:p>
    <w:p w14:paraId="5B9D2740" w14:textId="6A8CC19D" w:rsidR="0098287E" w:rsidRPr="007A7515" w:rsidRDefault="009E3EC4" w:rsidP="00582A25">
      <w:pPr>
        <w:pStyle w:val="NoSpacing"/>
        <w:rPr>
          <w:rFonts w:asciiTheme="minorHAnsi" w:hAnsiTheme="minorHAnsi" w:cstheme="minorHAnsi"/>
          <w:szCs w:val="24"/>
          <w:lang w:eastAsia="en-GB"/>
        </w:rPr>
      </w:pPr>
      <w:r w:rsidRPr="007A7515">
        <w:rPr>
          <w:rFonts w:asciiTheme="minorHAnsi" w:hAnsiTheme="minorHAnsi" w:cstheme="minorHAnsi"/>
          <w:szCs w:val="24"/>
        </w:rPr>
        <w:t>Of the</w:t>
      </w:r>
      <w:r w:rsidR="005B0515" w:rsidRPr="007A7515">
        <w:rPr>
          <w:rFonts w:asciiTheme="minorHAnsi" w:hAnsiTheme="minorHAnsi" w:cstheme="minorHAnsi"/>
          <w:szCs w:val="24"/>
        </w:rPr>
        <w:t xml:space="preserve"> 2541 patients screened </w:t>
      </w:r>
      <w:r w:rsidRPr="007A7515">
        <w:rPr>
          <w:rFonts w:asciiTheme="minorHAnsi" w:hAnsiTheme="minorHAnsi" w:cstheme="minorHAnsi"/>
          <w:szCs w:val="24"/>
        </w:rPr>
        <w:t>(</w:t>
      </w:r>
      <w:r w:rsidR="005B0515" w:rsidRPr="007A7515">
        <w:rPr>
          <w:rFonts w:asciiTheme="minorHAnsi" w:hAnsiTheme="minorHAnsi" w:cstheme="minorHAnsi"/>
          <w:bCs/>
          <w:i/>
          <w:szCs w:val="24"/>
          <w:lang w:val="en-US"/>
        </w:rPr>
        <w:t>Figure 1</w:t>
      </w:r>
      <w:r w:rsidR="005B0515" w:rsidRPr="007A7515">
        <w:rPr>
          <w:rFonts w:asciiTheme="minorHAnsi" w:hAnsiTheme="minorHAnsi" w:cstheme="minorHAnsi"/>
          <w:szCs w:val="24"/>
        </w:rPr>
        <w:t xml:space="preserve">) </w:t>
      </w:r>
      <w:r w:rsidRPr="007A7515">
        <w:rPr>
          <w:rFonts w:asciiTheme="minorHAnsi" w:hAnsiTheme="minorHAnsi" w:cstheme="minorHAnsi"/>
          <w:szCs w:val="24"/>
        </w:rPr>
        <w:t>19%</w:t>
      </w:r>
      <w:r w:rsidR="005B0515" w:rsidRPr="007A7515">
        <w:rPr>
          <w:rFonts w:asciiTheme="minorHAnsi" w:hAnsiTheme="minorHAnsi" w:cstheme="minorHAnsi"/>
          <w:szCs w:val="24"/>
        </w:rPr>
        <w:t xml:space="preserve"> </w:t>
      </w:r>
      <w:r w:rsidRPr="007A7515">
        <w:rPr>
          <w:rFonts w:asciiTheme="minorHAnsi" w:hAnsiTheme="minorHAnsi" w:cstheme="minorHAnsi"/>
          <w:szCs w:val="24"/>
        </w:rPr>
        <w:t>(n=413) had</w:t>
      </w:r>
      <w:r w:rsidR="005B0515" w:rsidRPr="007A7515">
        <w:rPr>
          <w:rFonts w:asciiTheme="minorHAnsi" w:hAnsiTheme="minorHAnsi" w:cstheme="minorHAnsi"/>
          <w:szCs w:val="24"/>
        </w:rPr>
        <w:t xml:space="preserve"> more than one nodule</w:t>
      </w:r>
      <w:r w:rsidRPr="007A7515">
        <w:rPr>
          <w:rFonts w:asciiTheme="minorHAnsi" w:hAnsiTheme="minorHAnsi" w:cstheme="minorHAnsi"/>
          <w:szCs w:val="24"/>
        </w:rPr>
        <w:t xml:space="preserve">, 14% </w:t>
      </w:r>
      <w:r w:rsidR="005D44AF" w:rsidRPr="007A7515">
        <w:rPr>
          <w:rFonts w:asciiTheme="minorHAnsi" w:hAnsiTheme="minorHAnsi" w:cstheme="minorHAnsi"/>
          <w:szCs w:val="24"/>
        </w:rPr>
        <w:t xml:space="preserve">(n=296) </w:t>
      </w:r>
      <w:r w:rsidR="005B0515" w:rsidRPr="007A7515">
        <w:rPr>
          <w:rFonts w:asciiTheme="minorHAnsi" w:hAnsiTheme="minorHAnsi" w:cstheme="minorHAnsi"/>
          <w:szCs w:val="24"/>
        </w:rPr>
        <w:t>declin</w:t>
      </w:r>
      <w:r w:rsidRPr="007A7515">
        <w:rPr>
          <w:rFonts w:asciiTheme="minorHAnsi" w:hAnsiTheme="minorHAnsi" w:cstheme="minorHAnsi"/>
          <w:szCs w:val="24"/>
        </w:rPr>
        <w:t>ed,</w:t>
      </w:r>
      <w:r w:rsidR="008A099B" w:rsidRPr="007A7515">
        <w:rPr>
          <w:rFonts w:asciiTheme="minorHAnsi" w:hAnsiTheme="minorHAnsi" w:cstheme="minorHAnsi"/>
          <w:szCs w:val="24"/>
        </w:rPr>
        <w:t xml:space="preserve"> </w:t>
      </w:r>
      <w:r w:rsidR="005D44AF" w:rsidRPr="007A7515">
        <w:rPr>
          <w:rFonts w:asciiTheme="minorHAnsi" w:hAnsiTheme="minorHAnsi" w:cstheme="minorHAnsi"/>
          <w:szCs w:val="24"/>
        </w:rPr>
        <w:t xml:space="preserve">14% (n=306) </w:t>
      </w:r>
      <w:r w:rsidR="008A099B" w:rsidRPr="007A7515">
        <w:rPr>
          <w:rFonts w:asciiTheme="minorHAnsi" w:hAnsiTheme="minorHAnsi" w:cstheme="minorHAnsi"/>
          <w:szCs w:val="24"/>
        </w:rPr>
        <w:t xml:space="preserve">had a </w:t>
      </w:r>
      <w:r w:rsidR="005B0515" w:rsidRPr="007A7515">
        <w:rPr>
          <w:rFonts w:asciiTheme="minorHAnsi" w:hAnsiTheme="minorHAnsi" w:cstheme="minorHAnsi"/>
          <w:szCs w:val="24"/>
        </w:rPr>
        <w:t xml:space="preserve">nodule out size range and </w:t>
      </w:r>
      <w:r w:rsidR="005D44AF" w:rsidRPr="007A7515">
        <w:rPr>
          <w:rFonts w:asciiTheme="minorHAnsi" w:hAnsiTheme="minorHAnsi" w:cstheme="minorHAnsi"/>
          <w:szCs w:val="24"/>
        </w:rPr>
        <w:t xml:space="preserve">12% (n=264) had </w:t>
      </w:r>
      <w:r w:rsidR="005B0515" w:rsidRPr="007A7515">
        <w:rPr>
          <w:rFonts w:asciiTheme="minorHAnsi" w:hAnsiTheme="minorHAnsi" w:cstheme="minorHAnsi"/>
          <w:szCs w:val="24"/>
        </w:rPr>
        <w:t>malignancy within the last two years.</w:t>
      </w:r>
      <w:r w:rsidR="00B303E6" w:rsidRPr="007A7515">
        <w:rPr>
          <w:rFonts w:asciiTheme="minorHAnsi" w:hAnsiTheme="minorHAnsi" w:cstheme="minorHAnsi"/>
          <w:szCs w:val="24"/>
        </w:rPr>
        <w:t xml:space="preserve"> </w:t>
      </w:r>
      <w:r w:rsidR="0089693A" w:rsidRPr="007A7515">
        <w:rPr>
          <w:rFonts w:asciiTheme="minorHAnsi" w:hAnsiTheme="minorHAnsi" w:cstheme="minorHAnsi"/>
          <w:szCs w:val="24"/>
        </w:rPr>
        <w:t>Of the 380 pa</w:t>
      </w:r>
      <w:r w:rsidR="00D96626" w:rsidRPr="007A7515">
        <w:rPr>
          <w:rFonts w:asciiTheme="minorHAnsi" w:hAnsiTheme="minorHAnsi" w:cstheme="minorHAnsi"/>
          <w:szCs w:val="24"/>
        </w:rPr>
        <w:t>tients</w:t>
      </w:r>
      <w:r w:rsidR="0089693A" w:rsidRPr="007A7515">
        <w:rPr>
          <w:rFonts w:asciiTheme="minorHAnsi" w:hAnsiTheme="minorHAnsi" w:cstheme="minorHAnsi"/>
          <w:szCs w:val="24"/>
        </w:rPr>
        <w:t xml:space="preserve"> recruited, </w:t>
      </w:r>
      <w:r w:rsidR="0089693A" w:rsidRPr="007A7515">
        <w:rPr>
          <w:rFonts w:asciiTheme="minorHAnsi" w:hAnsiTheme="minorHAnsi" w:cstheme="minorHAnsi"/>
          <w:szCs w:val="24"/>
          <w:lang w:eastAsia="en-GB"/>
        </w:rPr>
        <w:t>312 (</w:t>
      </w:r>
      <w:r w:rsidR="00C26C54" w:rsidRPr="007A7515">
        <w:rPr>
          <w:rFonts w:asciiTheme="minorHAnsi" w:hAnsiTheme="minorHAnsi" w:cstheme="minorHAnsi"/>
          <w:szCs w:val="24"/>
          <w:lang w:eastAsia="en-GB"/>
        </w:rPr>
        <w:t>53</w:t>
      </w:r>
      <w:r w:rsidR="0089693A" w:rsidRPr="007A7515">
        <w:rPr>
          <w:rFonts w:asciiTheme="minorHAnsi" w:hAnsiTheme="minorHAnsi" w:cstheme="minorHAnsi"/>
          <w:szCs w:val="24"/>
          <w:lang w:eastAsia="en-GB"/>
        </w:rPr>
        <w:t xml:space="preserve">% male, </w:t>
      </w:r>
      <w:r w:rsidR="00AC2A8E" w:rsidRPr="007A7515">
        <w:rPr>
          <w:rFonts w:asciiTheme="minorHAnsi" w:hAnsiTheme="minorHAnsi" w:cstheme="minorHAnsi"/>
          <w:szCs w:val="24"/>
          <w:lang w:eastAsia="en-GB"/>
        </w:rPr>
        <w:t>median age of 69 years</w:t>
      </w:r>
      <w:r w:rsidR="001729F3" w:rsidRPr="007A7515">
        <w:rPr>
          <w:rFonts w:asciiTheme="minorHAnsi" w:hAnsiTheme="minorHAnsi" w:cstheme="minorHAnsi"/>
          <w:szCs w:val="24"/>
          <w:lang w:eastAsia="en-GB"/>
        </w:rPr>
        <w:t>,</w:t>
      </w:r>
      <w:r w:rsidR="00AC2A8E" w:rsidRPr="007A7515">
        <w:rPr>
          <w:rFonts w:asciiTheme="minorHAnsi" w:hAnsiTheme="minorHAnsi" w:cstheme="minorHAnsi"/>
          <w:szCs w:val="24"/>
          <w:lang w:eastAsia="en-GB"/>
        </w:rPr>
        <w:t xml:space="preserve"> </w:t>
      </w:r>
      <w:r w:rsidR="000711A0">
        <w:rPr>
          <w:rFonts w:asciiTheme="minorHAnsi" w:hAnsiTheme="minorHAnsi" w:cstheme="minorHAnsi"/>
          <w:szCs w:val="24"/>
          <w:lang w:eastAsia="en-GB"/>
        </w:rPr>
        <w:t>IQR</w:t>
      </w:r>
      <w:r w:rsidR="00AC2A8E" w:rsidRPr="007A7515">
        <w:rPr>
          <w:rFonts w:asciiTheme="minorHAnsi" w:hAnsiTheme="minorHAnsi" w:cstheme="minorHAnsi"/>
          <w:szCs w:val="24"/>
          <w:lang w:eastAsia="en-GB"/>
        </w:rPr>
        <w:t xml:space="preserve"> </w:t>
      </w:r>
      <w:r w:rsidR="001729F3" w:rsidRPr="007A7515">
        <w:rPr>
          <w:rFonts w:asciiTheme="minorHAnsi" w:hAnsiTheme="minorHAnsi" w:cstheme="minorHAnsi"/>
          <w:szCs w:val="24"/>
          <w:lang w:eastAsia="en-GB"/>
        </w:rPr>
        <w:t xml:space="preserve">= </w:t>
      </w:r>
      <w:r w:rsidR="000711A0">
        <w:rPr>
          <w:rFonts w:asciiTheme="minorHAnsi" w:hAnsiTheme="minorHAnsi" w:cstheme="minorHAnsi"/>
          <w:szCs w:val="24"/>
          <w:lang w:eastAsia="en-GB"/>
        </w:rPr>
        <w:t xml:space="preserve">62 to 74, range = </w:t>
      </w:r>
      <w:r w:rsidR="00AC2A8E" w:rsidRPr="007A7515">
        <w:rPr>
          <w:rFonts w:asciiTheme="minorHAnsi" w:hAnsiTheme="minorHAnsi" w:cstheme="minorHAnsi"/>
          <w:szCs w:val="24"/>
          <w:lang w:eastAsia="en-GB"/>
        </w:rPr>
        <w:t>35 to 89</w:t>
      </w:r>
      <w:r w:rsidR="0089693A" w:rsidRPr="007A7515">
        <w:rPr>
          <w:rFonts w:asciiTheme="minorHAnsi" w:hAnsiTheme="minorHAnsi" w:cstheme="minorHAnsi"/>
          <w:szCs w:val="24"/>
          <w:lang w:eastAsia="en-GB"/>
        </w:rPr>
        <w:t xml:space="preserve">) completed </w:t>
      </w:r>
      <w:r w:rsidR="009316B9">
        <w:rPr>
          <w:rFonts w:asciiTheme="minorHAnsi" w:hAnsiTheme="minorHAnsi" w:cstheme="minorHAnsi"/>
          <w:szCs w:val="24"/>
          <w:lang w:eastAsia="en-GB"/>
        </w:rPr>
        <w:t>both</w:t>
      </w:r>
      <w:r w:rsidR="00217CBD" w:rsidRPr="007A7515">
        <w:rPr>
          <w:rFonts w:asciiTheme="minorHAnsi" w:hAnsiTheme="minorHAnsi" w:cstheme="minorHAnsi"/>
          <w:szCs w:val="24"/>
        </w:rPr>
        <w:t xml:space="preserve"> DCE-CT and</w:t>
      </w:r>
      <w:r w:rsidR="0071513F" w:rsidRPr="007A7515">
        <w:rPr>
          <w:rFonts w:asciiTheme="minorHAnsi" w:hAnsiTheme="minorHAnsi" w:cstheme="minorHAnsi"/>
          <w:szCs w:val="24"/>
        </w:rPr>
        <w:t xml:space="preserve"> PET/CT </w:t>
      </w:r>
      <w:r w:rsidR="00217CBD" w:rsidRPr="007A7515">
        <w:rPr>
          <w:rFonts w:asciiTheme="minorHAnsi" w:hAnsiTheme="minorHAnsi" w:cstheme="minorHAnsi"/>
          <w:szCs w:val="24"/>
        </w:rPr>
        <w:t>examinations</w:t>
      </w:r>
      <w:r w:rsidR="009316B9">
        <w:rPr>
          <w:rFonts w:asciiTheme="minorHAnsi" w:hAnsiTheme="minorHAnsi" w:cstheme="minorHAnsi"/>
          <w:szCs w:val="24"/>
        </w:rPr>
        <w:t xml:space="preserve"> and 2 years of follow-up</w:t>
      </w:r>
      <w:r w:rsidR="005B0515" w:rsidRPr="007A7515">
        <w:rPr>
          <w:rFonts w:asciiTheme="minorHAnsi" w:hAnsiTheme="minorHAnsi" w:cstheme="minorHAnsi"/>
          <w:szCs w:val="24"/>
        </w:rPr>
        <w:t xml:space="preserve"> </w:t>
      </w:r>
      <w:r w:rsidR="00DD3CBD" w:rsidRPr="007A7515">
        <w:rPr>
          <w:rFonts w:asciiTheme="minorHAnsi" w:hAnsiTheme="minorHAnsi" w:cstheme="minorHAnsi"/>
          <w:szCs w:val="24"/>
        </w:rPr>
        <w:t xml:space="preserve">and comprise the dataset for analysis </w:t>
      </w:r>
      <w:r w:rsidR="005B0515" w:rsidRPr="007A7515">
        <w:rPr>
          <w:rFonts w:asciiTheme="minorHAnsi" w:hAnsiTheme="minorHAnsi" w:cstheme="minorHAnsi"/>
          <w:szCs w:val="24"/>
        </w:rPr>
        <w:t xml:space="preserve">(See </w:t>
      </w:r>
      <w:r w:rsidR="00B303E6" w:rsidRPr="007A7515">
        <w:rPr>
          <w:rFonts w:asciiTheme="minorHAnsi" w:hAnsiTheme="minorHAnsi" w:cstheme="minorHAnsi"/>
          <w:szCs w:val="24"/>
        </w:rPr>
        <w:t>Table</w:t>
      </w:r>
      <w:r w:rsidR="005B0515" w:rsidRPr="007A7515">
        <w:rPr>
          <w:rFonts w:asciiTheme="minorHAnsi" w:hAnsiTheme="minorHAnsi" w:cstheme="minorHAnsi"/>
          <w:szCs w:val="24"/>
        </w:rPr>
        <w:t xml:space="preserve"> 1</w:t>
      </w:r>
      <w:r w:rsidR="00B303E6" w:rsidRPr="007A7515">
        <w:rPr>
          <w:rFonts w:asciiTheme="minorHAnsi" w:hAnsiTheme="minorHAnsi" w:cstheme="minorHAnsi"/>
          <w:szCs w:val="24"/>
        </w:rPr>
        <w:t xml:space="preserve"> for Baseline characteristics</w:t>
      </w:r>
      <w:r w:rsidR="005B0515" w:rsidRPr="007A7515">
        <w:rPr>
          <w:rFonts w:asciiTheme="minorHAnsi" w:hAnsiTheme="minorHAnsi" w:cstheme="minorHAnsi"/>
          <w:szCs w:val="24"/>
        </w:rPr>
        <w:t>)</w:t>
      </w:r>
      <w:r w:rsidR="0089693A" w:rsidRPr="007A7515">
        <w:rPr>
          <w:rFonts w:asciiTheme="minorHAnsi" w:hAnsiTheme="minorHAnsi" w:cstheme="minorHAnsi"/>
          <w:szCs w:val="24"/>
          <w:lang w:eastAsia="en-GB"/>
        </w:rPr>
        <w:t xml:space="preserve">. </w:t>
      </w:r>
      <w:r w:rsidR="00C26C54" w:rsidRPr="007A7515">
        <w:rPr>
          <w:rFonts w:asciiTheme="minorHAnsi" w:hAnsiTheme="minorHAnsi" w:cstheme="minorHAnsi"/>
          <w:szCs w:val="24"/>
          <w:lang w:eastAsia="en-GB"/>
        </w:rPr>
        <w:t xml:space="preserve">Ex-smokers accounted for </w:t>
      </w:r>
      <w:r w:rsidR="003465CF" w:rsidRPr="007A7515">
        <w:rPr>
          <w:rFonts w:asciiTheme="minorHAnsi" w:hAnsiTheme="minorHAnsi" w:cstheme="minorHAnsi"/>
          <w:szCs w:val="24"/>
          <w:lang w:eastAsia="en-GB"/>
        </w:rPr>
        <w:t>57</w:t>
      </w:r>
      <w:r w:rsidR="00582A25" w:rsidRPr="007A7515">
        <w:rPr>
          <w:rFonts w:asciiTheme="minorHAnsi" w:hAnsiTheme="minorHAnsi" w:cstheme="minorHAnsi"/>
          <w:szCs w:val="24"/>
          <w:lang w:eastAsia="en-GB"/>
        </w:rPr>
        <w:t>% with 25% still smok</w:t>
      </w:r>
      <w:r w:rsidR="003465CF" w:rsidRPr="007A7515">
        <w:rPr>
          <w:rFonts w:asciiTheme="minorHAnsi" w:hAnsiTheme="minorHAnsi" w:cstheme="minorHAnsi"/>
          <w:szCs w:val="24"/>
          <w:lang w:eastAsia="en-GB"/>
        </w:rPr>
        <w:t>ing</w:t>
      </w:r>
      <w:r w:rsidR="00582A25" w:rsidRPr="007A7515">
        <w:rPr>
          <w:rFonts w:asciiTheme="minorHAnsi" w:hAnsiTheme="minorHAnsi" w:cstheme="minorHAnsi"/>
          <w:szCs w:val="24"/>
          <w:lang w:eastAsia="en-GB"/>
        </w:rPr>
        <w:t>.</w:t>
      </w:r>
      <w:r w:rsidR="0089693A" w:rsidRPr="007A7515">
        <w:rPr>
          <w:rFonts w:asciiTheme="minorHAnsi" w:hAnsiTheme="minorHAnsi" w:cstheme="minorHAnsi"/>
          <w:szCs w:val="24"/>
          <w:lang w:eastAsia="en-GB"/>
        </w:rPr>
        <w:t xml:space="preserve"> The me</w:t>
      </w:r>
      <w:r w:rsidR="008B09CC" w:rsidRPr="007A7515">
        <w:rPr>
          <w:rFonts w:asciiTheme="minorHAnsi" w:hAnsiTheme="minorHAnsi" w:cstheme="minorHAnsi"/>
          <w:szCs w:val="24"/>
          <w:lang w:eastAsia="en-GB"/>
        </w:rPr>
        <w:t>dian</w:t>
      </w:r>
      <w:r w:rsidR="0089693A" w:rsidRPr="007A7515">
        <w:rPr>
          <w:rFonts w:asciiTheme="minorHAnsi" w:hAnsiTheme="minorHAnsi" w:cstheme="minorHAnsi"/>
          <w:szCs w:val="24"/>
          <w:lang w:eastAsia="en-GB"/>
        </w:rPr>
        <w:t xml:space="preserve"> pulmonary nodule diameter</w:t>
      </w:r>
      <w:r w:rsidR="00582A25" w:rsidRPr="007A7515">
        <w:rPr>
          <w:rFonts w:asciiTheme="minorHAnsi" w:hAnsiTheme="minorHAnsi" w:cstheme="minorHAnsi"/>
          <w:szCs w:val="24"/>
          <w:lang w:eastAsia="en-GB"/>
        </w:rPr>
        <w:t xml:space="preserve"> on baseline CT</w:t>
      </w:r>
      <w:r w:rsidR="0089693A" w:rsidRPr="007A7515">
        <w:rPr>
          <w:rFonts w:asciiTheme="minorHAnsi" w:hAnsiTheme="minorHAnsi" w:cstheme="minorHAnsi"/>
          <w:szCs w:val="24"/>
          <w:lang w:eastAsia="en-GB"/>
        </w:rPr>
        <w:t xml:space="preserve"> was 1</w:t>
      </w:r>
      <w:r w:rsidR="00F237E6" w:rsidRPr="007A7515">
        <w:rPr>
          <w:rFonts w:asciiTheme="minorHAnsi" w:hAnsiTheme="minorHAnsi" w:cstheme="minorHAnsi"/>
          <w:szCs w:val="24"/>
          <w:lang w:eastAsia="en-GB"/>
        </w:rPr>
        <w:t>5</w:t>
      </w:r>
      <w:r w:rsidR="0089693A" w:rsidRPr="007A7515">
        <w:rPr>
          <w:rFonts w:asciiTheme="minorHAnsi" w:hAnsiTheme="minorHAnsi" w:cstheme="minorHAnsi"/>
          <w:szCs w:val="24"/>
          <w:lang w:eastAsia="en-GB"/>
        </w:rPr>
        <w:t xml:space="preserve">mm (IQR </w:t>
      </w:r>
      <w:r w:rsidR="001729F3" w:rsidRPr="007A7515">
        <w:rPr>
          <w:rFonts w:asciiTheme="minorHAnsi" w:hAnsiTheme="minorHAnsi" w:cstheme="minorHAnsi"/>
          <w:szCs w:val="24"/>
          <w:lang w:eastAsia="en-GB"/>
        </w:rPr>
        <w:t xml:space="preserve">= </w:t>
      </w:r>
      <w:r w:rsidR="0089693A" w:rsidRPr="007A7515">
        <w:rPr>
          <w:rFonts w:asciiTheme="minorHAnsi" w:hAnsiTheme="minorHAnsi" w:cstheme="minorHAnsi"/>
          <w:szCs w:val="24"/>
          <w:lang w:eastAsia="en-GB"/>
        </w:rPr>
        <w:t>1</w:t>
      </w:r>
      <w:r w:rsidR="008728B6" w:rsidRPr="007A7515">
        <w:rPr>
          <w:rFonts w:asciiTheme="minorHAnsi" w:hAnsiTheme="minorHAnsi" w:cstheme="minorHAnsi"/>
          <w:szCs w:val="24"/>
          <w:lang w:eastAsia="en-GB"/>
        </w:rPr>
        <w:t>2</w:t>
      </w:r>
      <w:r w:rsidR="0089693A" w:rsidRPr="007A7515">
        <w:rPr>
          <w:rFonts w:asciiTheme="minorHAnsi" w:hAnsiTheme="minorHAnsi" w:cstheme="minorHAnsi"/>
          <w:szCs w:val="24"/>
          <w:lang w:eastAsia="en-GB"/>
        </w:rPr>
        <w:t>-</w:t>
      </w:r>
      <w:r w:rsidR="008728B6" w:rsidRPr="007A7515">
        <w:rPr>
          <w:rFonts w:asciiTheme="minorHAnsi" w:hAnsiTheme="minorHAnsi" w:cstheme="minorHAnsi"/>
          <w:szCs w:val="24"/>
          <w:lang w:eastAsia="en-GB"/>
        </w:rPr>
        <w:t>20</w:t>
      </w:r>
      <w:r w:rsidR="0089693A" w:rsidRPr="007A7515">
        <w:rPr>
          <w:rFonts w:asciiTheme="minorHAnsi" w:hAnsiTheme="minorHAnsi" w:cstheme="minorHAnsi"/>
          <w:szCs w:val="24"/>
          <w:lang w:eastAsia="en-GB"/>
        </w:rPr>
        <w:t>)</w:t>
      </w:r>
      <w:r w:rsidR="00217CBD" w:rsidRPr="007A7515">
        <w:rPr>
          <w:rFonts w:asciiTheme="minorHAnsi" w:hAnsiTheme="minorHAnsi" w:cstheme="minorHAnsi"/>
          <w:szCs w:val="24"/>
          <w:lang w:eastAsia="en-GB"/>
        </w:rPr>
        <w:t xml:space="preserve">. </w:t>
      </w:r>
    </w:p>
    <w:p w14:paraId="7917DA4E" w14:textId="2DCE8858" w:rsidR="0098287E" w:rsidRPr="007A7515" w:rsidRDefault="0098287E" w:rsidP="00582A25">
      <w:pPr>
        <w:pStyle w:val="NoSpacing"/>
        <w:rPr>
          <w:rFonts w:asciiTheme="minorHAnsi" w:hAnsiTheme="minorHAnsi" w:cstheme="minorHAnsi"/>
          <w:szCs w:val="24"/>
          <w:lang w:eastAsia="en-GB"/>
        </w:rPr>
      </w:pPr>
    </w:p>
    <w:p w14:paraId="4E5D693B" w14:textId="538B0D76" w:rsidR="00116FC3" w:rsidRPr="007A7515" w:rsidRDefault="00BA3208" w:rsidP="00582A25">
      <w:pPr>
        <w:pStyle w:val="NoSpacing"/>
        <w:rPr>
          <w:rFonts w:asciiTheme="minorHAnsi" w:hAnsiTheme="minorHAnsi" w:cstheme="minorHAnsi"/>
          <w:szCs w:val="24"/>
        </w:rPr>
      </w:pPr>
      <w:r w:rsidRPr="007A7515">
        <w:rPr>
          <w:rFonts w:asciiTheme="minorHAnsi" w:hAnsiTheme="minorHAnsi" w:cstheme="minorHAnsi"/>
          <w:szCs w:val="24"/>
        </w:rPr>
        <w:t xml:space="preserve">Lung cancer was confirmed in </w:t>
      </w:r>
      <w:r w:rsidR="0098287E" w:rsidRPr="007A7515">
        <w:rPr>
          <w:rFonts w:asciiTheme="minorHAnsi" w:hAnsiTheme="minorHAnsi" w:cstheme="minorHAnsi"/>
          <w:szCs w:val="24"/>
        </w:rPr>
        <w:t>1</w:t>
      </w:r>
      <w:r w:rsidR="00116FC3" w:rsidRPr="007A7515">
        <w:rPr>
          <w:rFonts w:asciiTheme="minorHAnsi" w:hAnsiTheme="minorHAnsi" w:cstheme="minorHAnsi"/>
          <w:szCs w:val="24"/>
        </w:rPr>
        <w:t>91</w:t>
      </w:r>
      <w:r w:rsidR="00DD3CBD" w:rsidRPr="007A7515">
        <w:rPr>
          <w:rFonts w:asciiTheme="minorHAnsi" w:hAnsiTheme="minorHAnsi" w:cstheme="minorHAnsi"/>
          <w:szCs w:val="24"/>
        </w:rPr>
        <w:t>/312</w:t>
      </w:r>
      <w:r w:rsidR="0098287E" w:rsidRPr="007A7515">
        <w:rPr>
          <w:rFonts w:asciiTheme="minorHAnsi" w:hAnsiTheme="minorHAnsi" w:cstheme="minorHAnsi"/>
          <w:szCs w:val="24"/>
        </w:rPr>
        <w:t xml:space="preserve"> (61%) participants</w:t>
      </w:r>
      <w:r w:rsidR="00205B3C" w:rsidRPr="007A7515">
        <w:rPr>
          <w:rFonts w:asciiTheme="minorHAnsi" w:hAnsiTheme="minorHAnsi" w:cstheme="minorHAnsi"/>
          <w:szCs w:val="24"/>
        </w:rPr>
        <w:t xml:space="preserve"> (</w:t>
      </w:r>
      <w:r w:rsidR="0098287E" w:rsidRPr="007A7515">
        <w:rPr>
          <w:rFonts w:asciiTheme="minorHAnsi" w:hAnsiTheme="minorHAnsi" w:cstheme="minorHAnsi"/>
          <w:i/>
          <w:szCs w:val="24"/>
        </w:rPr>
        <w:t>Table 2</w:t>
      </w:r>
      <w:r w:rsidR="00205B3C" w:rsidRPr="007A7515">
        <w:rPr>
          <w:rFonts w:asciiTheme="minorHAnsi" w:hAnsiTheme="minorHAnsi" w:cstheme="minorHAnsi"/>
          <w:i/>
          <w:szCs w:val="24"/>
        </w:rPr>
        <w:t>).</w:t>
      </w:r>
      <w:r w:rsidR="0098287E" w:rsidRPr="007A7515">
        <w:rPr>
          <w:rFonts w:asciiTheme="minorHAnsi" w:hAnsiTheme="minorHAnsi" w:cstheme="minorHAnsi"/>
          <w:szCs w:val="24"/>
        </w:rPr>
        <w:t xml:space="preserve"> </w:t>
      </w:r>
      <w:r w:rsidR="00DD3CBD" w:rsidRPr="007A7515">
        <w:rPr>
          <w:rFonts w:asciiTheme="minorHAnsi" w:hAnsiTheme="minorHAnsi" w:cstheme="minorHAnsi"/>
          <w:szCs w:val="24"/>
        </w:rPr>
        <w:t xml:space="preserve"> </w:t>
      </w:r>
      <w:r w:rsidR="0098287E" w:rsidRPr="007A7515">
        <w:rPr>
          <w:rFonts w:asciiTheme="minorHAnsi" w:hAnsiTheme="minorHAnsi" w:cstheme="minorHAnsi"/>
          <w:szCs w:val="24"/>
        </w:rPr>
        <w:t xml:space="preserve">The commonest cancer </w:t>
      </w:r>
      <w:r w:rsidR="003679D5" w:rsidRPr="007A7515">
        <w:rPr>
          <w:rFonts w:asciiTheme="minorHAnsi" w:hAnsiTheme="minorHAnsi" w:cstheme="minorHAnsi"/>
          <w:szCs w:val="24"/>
        </w:rPr>
        <w:t xml:space="preserve">type </w:t>
      </w:r>
      <w:r w:rsidR="00C60C37" w:rsidRPr="007A7515">
        <w:rPr>
          <w:rFonts w:asciiTheme="minorHAnsi" w:hAnsiTheme="minorHAnsi" w:cstheme="minorHAnsi"/>
          <w:szCs w:val="24"/>
        </w:rPr>
        <w:t>was non-</w:t>
      </w:r>
      <w:r w:rsidR="0098287E" w:rsidRPr="007A7515">
        <w:rPr>
          <w:rFonts w:asciiTheme="minorHAnsi" w:hAnsiTheme="minorHAnsi" w:cstheme="minorHAnsi"/>
          <w:szCs w:val="24"/>
        </w:rPr>
        <w:t xml:space="preserve">small cell </w:t>
      </w:r>
      <w:r w:rsidR="003679D5" w:rsidRPr="007A7515">
        <w:rPr>
          <w:rFonts w:asciiTheme="minorHAnsi" w:hAnsiTheme="minorHAnsi" w:cstheme="minorHAnsi"/>
          <w:szCs w:val="24"/>
        </w:rPr>
        <w:t xml:space="preserve">lung cancer </w:t>
      </w:r>
      <w:r w:rsidR="0098287E" w:rsidRPr="007A7515">
        <w:rPr>
          <w:rFonts w:asciiTheme="minorHAnsi" w:hAnsiTheme="minorHAnsi" w:cstheme="minorHAnsi"/>
          <w:szCs w:val="24"/>
        </w:rPr>
        <w:t>(</w:t>
      </w:r>
      <w:r w:rsidR="00116FC3" w:rsidRPr="007A7515">
        <w:rPr>
          <w:rFonts w:asciiTheme="minorHAnsi" w:hAnsiTheme="minorHAnsi" w:cstheme="minorHAnsi"/>
          <w:szCs w:val="24"/>
        </w:rPr>
        <w:t>145/191, 76</w:t>
      </w:r>
      <w:r w:rsidR="0098287E" w:rsidRPr="007A7515">
        <w:rPr>
          <w:rFonts w:asciiTheme="minorHAnsi" w:hAnsiTheme="minorHAnsi" w:cstheme="minorHAnsi"/>
          <w:szCs w:val="24"/>
        </w:rPr>
        <w:t>%</w:t>
      </w:r>
      <w:r w:rsidR="003679D5" w:rsidRPr="007A7515">
        <w:rPr>
          <w:rFonts w:asciiTheme="minorHAnsi" w:hAnsiTheme="minorHAnsi" w:cstheme="minorHAnsi"/>
          <w:szCs w:val="24"/>
        </w:rPr>
        <w:t>)</w:t>
      </w:r>
      <w:r w:rsidR="00DD3CBD" w:rsidRPr="007A7515">
        <w:rPr>
          <w:rFonts w:asciiTheme="minorHAnsi" w:hAnsiTheme="minorHAnsi" w:cstheme="minorHAnsi"/>
          <w:szCs w:val="24"/>
        </w:rPr>
        <w:t>.</w:t>
      </w:r>
      <w:r w:rsidR="003679D5" w:rsidRPr="007A7515">
        <w:rPr>
          <w:rFonts w:asciiTheme="minorHAnsi" w:hAnsiTheme="minorHAnsi" w:cstheme="minorHAnsi"/>
          <w:szCs w:val="24"/>
        </w:rPr>
        <w:t xml:space="preserve">  Of these</w:t>
      </w:r>
      <w:r w:rsidR="001729F3" w:rsidRPr="007A7515">
        <w:rPr>
          <w:rFonts w:asciiTheme="minorHAnsi" w:hAnsiTheme="minorHAnsi" w:cstheme="minorHAnsi"/>
          <w:szCs w:val="24"/>
        </w:rPr>
        <w:t>,</w:t>
      </w:r>
      <w:r w:rsidR="003679D5" w:rsidRPr="007A7515">
        <w:rPr>
          <w:rFonts w:asciiTheme="minorHAnsi" w:hAnsiTheme="minorHAnsi" w:cstheme="minorHAnsi"/>
          <w:szCs w:val="24"/>
        </w:rPr>
        <w:t xml:space="preserve"> the </w:t>
      </w:r>
      <w:r w:rsidR="00C62722" w:rsidRPr="007A7515">
        <w:rPr>
          <w:rFonts w:asciiTheme="minorHAnsi" w:hAnsiTheme="minorHAnsi" w:cstheme="minorHAnsi"/>
          <w:szCs w:val="24"/>
        </w:rPr>
        <w:t xml:space="preserve">most common subtypes were </w:t>
      </w:r>
      <w:r w:rsidR="0098287E" w:rsidRPr="007A7515">
        <w:rPr>
          <w:rFonts w:asciiTheme="minorHAnsi" w:hAnsiTheme="minorHAnsi" w:cstheme="minorHAnsi"/>
          <w:szCs w:val="24"/>
        </w:rPr>
        <w:t>adenocarcinoma</w:t>
      </w:r>
      <w:r w:rsidR="00C62722" w:rsidRPr="007A7515">
        <w:rPr>
          <w:rFonts w:asciiTheme="minorHAnsi" w:hAnsiTheme="minorHAnsi" w:cstheme="minorHAnsi"/>
          <w:szCs w:val="24"/>
        </w:rPr>
        <w:t xml:space="preserve"> (</w:t>
      </w:r>
      <w:r w:rsidR="00116FC3" w:rsidRPr="007A7515">
        <w:rPr>
          <w:rFonts w:asciiTheme="minorHAnsi" w:hAnsiTheme="minorHAnsi" w:cstheme="minorHAnsi"/>
          <w:szCs w:val="24"/>
        </w:rPr>
        <w:t>107/145</w:t>
      </w:r>
      <w:r w:rsidR="00C62722" w:rsidRPr="007A7515">
        <w:rPr>
          <w:rFonts w:asciiTheme="minorHAnsi" w:hAnsiTheme="minorHAnsi" w:cstheme="minorHAnsi"/>
          <w:szCs w:val="24"/>
        </w:rPr>
        <w:t>, 74%</w:t>
      </w:r>
      <w:r w:rsidR="00116FC3" w:rsidRPr="007A7515">
        <w:rPr>
          <w:rFonts w:asciiTheme="minorHAnsi" w:hAnsiTheme="minorHAnsi" w:cstheme="minorHAnsi"/>
          <w:szCs w:val="24"/>
        </w:rPr>
        <w:t>)</w:t>
      </w:r>
      <w:r w:rsidR="00C62722" w:rsidRPr="007A7515">
        <w:rPr>
          <w:rFonts w:asciiTheme="minorHAnsi" w:hAnsiTheme="minorHAnsi" w:cstheme="minorHAnsi"/>
          <w:szCs w:val="24"/>
        </w:rPr>
        <w:t xml:space="preserve"> and s</w:t>
      </w:r>
      <w:r w:rsidR="0098287E" w:rsidRPr="007A7515">
        <w:rPr>
          <w:rFonts w:asciiTheme="minorHAnsi" w:hAnsiTheme="minorHAnsi" w:cstheme="minorHAnsi"/>
          <w:szCs w:val="24"/>
        </w:rPr>
        <w:t>quamous cell ca</w:t>
      </w:r>
      <w:r w:rsidR="00C62722" w:rsidRPr="007A7515">
        <w:rPr>
          <w:rFonts w:asciiTheme="minorHAnsi" w:hAnsiTheme="minorHAnsi" w:cstheme="minorHAnsi"/>
          <w:szCs w:val="24"/>
        </w:rPr>
        <w:t>rcinoma</w:t>
      </w:r>
      <w:r w:rsidR="0098287E" w:rsidRPr="007A7515">
        <w:rPr>
          <w:rFonts w:asciiTheme="minorHAnsi" w:hAnsiTheme="minorHAnsi" w:cstheme="minorHAnsi"/>
          <w:szCs w:val="24"/>
        </w:rPr>
        <w:t xml:space="preserve"> </w:t>
      </w:r>
      <w:r w:rsidR="00C62722" w:rsidRPr="007A7515">
        <w:rPr>
          <w:rFonts w:asciiTheme="minorHAnsi" w:hAnsiTheme="minorHAnsi" w:cstheme="minorHAnsi"/>
          <w:szCs w:val="24"/>
        </w:rPr>
        <w:t>(</w:t>
      </w:r>
      <w:r w:rsidR="0098287E" w:rsidRPr="007A7515">
        <w:rPr>
          <w:rFonts w:asciiTheme="minorHAnsi" w:hAnsiTheme="minorHAnsi" w:cstheme="minorHAnsi"/>
          <w:szCs w:val="24"/>
        </w:rPr>
        <w:t>30/</w:t>
      </w:r>
      <w:r w:rsidR="00C62722" w:rsidRPr="007A7515">
        <w:rPr>
          <w:rFonts w:asciiTheme="minorHAnsi" w:hAnsiTheme="minorHAnsi" w:cstheme="minorHAnsi"/>
          <w:szCs w:val="24"/>
        </w:rPr>
        <w:t xml:space="preserve">145, 21%). </w:t>
      </w:r>
      <w:r w:rsidR="0098287E" w:rsidRPr="007A7515">
        <w:rPr>
          <w:rFonts w:asciiTheme="minorHAnsi" w:hAnsiTheme="minorHAnsi" w:cstheme="minorHAnsi"/>
          <w:szCs w:val="24"/>
        </w:rPr>
        <w:t xml:space="preserve"> </w:t>
      </w:r>
      <w:r w:rsidRPr="007A7515">
        <w:rPr>
          <w:rFonts w:asciiTheme="minorHAnsi" w:hAnsiTheme="minorHAnsi" w:cstheme="minorHAnsi"/>
          <w:szCs w:val="24"/>
        </w:rPr>
        <w:t>In</w:t>
      </w:r>
      <w:r w:rsidR="0098287E" w:rsidRPr="007A7515">
        <w:rPr>
          <w:rFonts w:asciiTheme="minorHAnsi" w:hAnsiTheme="minorHAnsi" w:cstheme="minorHAnsi"/>
          <w:szCs w:val="24"/>
        </w:rPr>
        <w:t xml:space="preserve"> </w:t>
      </w:r>
      <w:r w:rsidR="00C62722" w:rsidRPr="007A7515">
        <w:rPr>
          <w:rFonts w:asciiTheme="minorHAnsi" w:hAnsiTheme="minorHAnsi" w:cstheme="minorHAnsi"/>
          <w:szCs w:val="24"/>
        </w:rPr>
        <w:t>20 cases</w:t>
      </w:r>
      <w:r w:rsidR="00B15453" w:rsidRPr="007A7515">
        <w:rPr>
          <w:rFonts w:asciiTheme="minorHAnsi" w:hAnsiTheme="minorHAnsi" w:cstheme="minorHAnsi"/>
          <w:szCs w:val="24"/>
        </w:rPr>
        <w:t>,</w:t>
      </w:r>
      <w:r w:rsidR="00C62722" w:rsidRPr="007A7515">
        <w:rPr>
          <w:rFonts w:asciiTheme="minorHAnsi" w:hAnsiTheme="minorHAnsi" w:cstheme="minorHAnsi"/>
          <w:szCs w:val="24"/>
        </w:rPr>
        <w:t xml:space="preserve"> it was not possible to achieve a histological diagnosis due to co-morbidities and therefore a</w:t>
      </w:r>
      <w:r w:rsidR="001729F3" w:rsidRPr="007A7515">
        <w:rPr>
          <w:rFonts w:asciiTheme="minorHAnsi" w:hAnsiTheme="minorHAnsi" w:cstheme="minorHAnsi"/>
          <w:szCs w:val="24"/>
        </w:rPr>
        <w:t>n MDT decision based on clinical and</w:t>
      </w:r>
      <w:r w:rsidR="00C62722" w:rsidRPr="007A7515">
        <w:rPr>
          <w:rFonts w:asciiTheme="minorHAnsi" w:hAnsiTheme="minorHAnsi" w:cstheme="minorHAnsi"/>
          <w:szCs w:val="24"/>
        </w:rPr>
        <w:t xml:space="preserve"> radiological diagnosis was made.  In 11 of these cases</w:t>
      </w:r>
      <w:r w:rsidR="001729F3" w:rsidRPr="007A7515">
        <w:rPr>
          <w:rFonts w:asciiTheme="minorHAnsi" w:hAnsiTheme="minorHAnsi" w:cstheme="minorHAnsi"/>
          <w:szCs w:val="24"/>
        </w:rPr>
        <w:t>,</w:t>
      </w:r>
      <w:r w:rsidR="00C62722" w:rsidRPr="007A7515">
        <w:rPr>
          <w:rFonts w:asciiTheme="minorHAnsi" w:hAnsiTheme="minorHAnsi" w:cstheme="minorHAnsi"/>
          <w:szCs w:val="24"/>
        </w:rPr>
        <w:t xml:space="preserve"> treatment with stereotactic ablative radiotherapy (SABR) was undertaken.  </w:t>
      </w:r>
      <w:r w:rsidR="0098287E" w:rsidRPr="007A7515">
        <w:rPr>
          <w:rFonts w:asciiTheme="minorHAnsi" w:hAnsiTheme="minorHAnsi" w:cstheme="minorHAnsi"/>
          <w:szCs w:val="24"/>
        </w:rPr>
        <w:t xml:space="preserve">Benign disease was </w:t>
      </w:r>
      <w:r w:rsidR="00553B53" w:rsidRPr="007A7515">
        <w:rPr>
          <w:rFonts w:asciiTheme="minorHAnsi" w:hAnsiTheme="minorHAnsi" w:cstheme="minorHAnsi"/>
          <w:szCs w:val="24"/>
        </w:rPr>
        <w:t xml:space="preserve">diagnosed </w:t>
      </w:r>
      <w:r w:rsidR="00DD3CBD" w:rsidRPr="007A7515">
        <w:rPr>
          <w:rFonts w:asciiTheme="minorHAnsi" w:hAnsiTheme="minorHAnsi" w:cstheme="minorHAnsi"/>
          <w:szCs w:val="24"/>
        </w:rPr>
        <w:t xml:space="preserve">in 121/312 participants.  This was </w:t>
      </w:r>
      <w:r w:rsidR="0098287E" w:rsidRPr="007A7515">
        <w:rPr>
          <w:rFonts w:asciiTheme="minorHAnsi" w:hAnsiTheme="minorHAnsi" w:cstheme="minorHAnsi"/>
          <w:szCs w:val="24"/>
        </w:rPr>
        <w:t>confirmed by biopsy in 2</w:t>
      </w:r>
      <w:r w:rsidR="00116FC3" w:rsidRPr="007A7515">
        <w:rPr>
          <w:rFonts w:asciiTheme="minorHAnsi" w:hAnsiTheme="minorHAnsi" w:cstheme="minorHAnsi"/>
          <w:szCs w:val="24"/>
        </w:rPr>
        <w:t>7</w:t>
      </w:r>
      <w:r w:rsidR="0098287E" w:rsidRPr="007A7515">
        <w:rPr>
          <w:rFonts w:asciiTheme="minorHAnsi" w:hAnsiTheme="minorHAnsi" w:cstheme="minorHAnsi"/>
          <w:szCs w:val="24"/>
        </w:rPr>
        <w:t xml:space="preserve"> cases </w:t>
      </w:r>
      <w:r w:rsidRPr="007A7515">
        <w:rPr>
          <w:rFonts w:asciiTheme="minorHAnsi" w:hAnsiTheme="minorHAnsi" w:cstheme="minorHAnsi"/>
          <w:szCs w:val="24"/>
        </w:rPr>
        <w:t>and</w:t>
      </w:r>
      <w:r w:rsidR="0098287E" w:rsidRPr="007A7515">
        <w:rPr>
          <w:rFonts w:asciiTheme="minorHAnsi" w:hAnsiTheme="minorHAnsi" w:cstheme="minorHAnsi"/>
          <w:szCs w:val="24"/>
        </w:rPr>
        <w:t xml:space="preserve"> </w:t>
      </w:r>
      <w:r w:rsidR="00DD3CBD" w:rsidRPr="007A7515">
        <w:rPr>
          <w:rFonts w:asciiTheme="minorHAnsi" w:hAnsiTheme="minorHAnsi" w:cstheme="minorHAnsi"/>
          <w:szCs w:val="24"/>
        </w:rPr>
        <w:t xml:space="preserve">using </w:t>
      </w:r>
      <w:r w:rsidR="0098287E" w:rsidRPr="007A7515">
        <w:rPr>
          <w:rFonts w:asciiTheme="minorHAnsi" w:hAnsiTheme="minorHAnsi" w:cstheme="minorHAnsi"/>
          <w:szCs w:val="24"/>
        </w:rPr>
        <w:t xml:space="preserve">up to two years </w:t>
      </w:r>
      <w:r w:rsidR="00205B3C" w:rsidRPr="007A7515">
        <w:rPr>
          <w:rFonts w:asciiTheme="minorHAnsi" w:hAnsiTheme="minorHAnsi" w:cstheme="minorHAnsi"/>
          <w:szCs w:val="24"/>
        </w:rPr>
        <w:t xml:space="preserve">CT </w:t>
      </w:r>
      <w:r w:rsidR="0098287E" w:rsidRPr="007A7515">
        <w:rPr>
          <w:rFonts w:asciiTheme="minorHAnsi" w:hAnsiTheme="minorHAnsi" w:cstheme="minorHAnsi"/>
          <w:szCs w:val="24"/>
        </w:rPr>
        <w:t xml:space="preserve">follow-up in 94 patients. </w:t>
      </w:r>
    </w:p>
    <w:p w14:paraId="1162050C" w14:textId="77777777" w:rsidR="00B303E6" w:rsidRPr="007A7515" w:rsidRDefault="00B303E6" w:rsidP="00B303E6">
      <w:pPr>
        <w:pStyle w:val="NoSpacing"/>
        <w:rPr>
          <w:rFonts w:asciiTheme="minorHAnsi" w:hAnsiTheme="minorHAnsi" w:cstheme="minorHAnsi"/>
          <w:szCs w:val="24"/>
        </w:rPr>
      </w:pPr>
    </w:p>
    <w:p w14:paraId="70E2F6B5" w14:textId="1B9FC48D" w:rsidR="00B303E6" w:rsidRDefault="00B303E6" w:rsidP="00B303E6">
      <w:pPr>
        <w:pStyle w:val="NoSpacing"/>
        <w:rPr>
          <w:rFonts w:asciiTheme="minorHAnsi" w:hAnsiTheme="minorHAnsi" w:cstheme="minorHAnsi"/>
          <w:szCs w:val="24"/>
        </w:rPr>
      </w:pPr>
      <w:r w:rsidRPr="007A7515">
        <w:rPr>
          <w:rFonts w:asciiTheme="minorHAnsi" w:hAnsiTheme="minorHAnsi" w:cstheme="minorHAnsi"/>
          <w:szCs w:val="24"/>
        </w:rPr>
        <w:t xml:space="preserve">Of the 312 participants </w:t>
      </w:r>
      <w:r w:rsidR="008A099B" w:rsidRPr="007A7515">
        <w:rPr>
          <w:rFonts w:asciiTheme="minorHAnsi" w:hAnsiTheme="minorHAnsi" w:cstheme="minorHAnsi"/>
          <w:szCs w:val="24"/>
        </w:rPr>
        <w:t>49% had their DCE-CT on the same day as thei</w:t>
      </w:r>
      <w:r w:rsidR="0071513F" w:rsidRPr="007A7515">
        <w:rPr>
          <w:rFonts w:asciiTheme="minorHAnsi" w:hAnsiTheme="minorHAnsi" w:cstheme="minorHAnsi"/>
          <w:szCs w:val="24"/>
        </w:rPr>
        <w:t>r PET/CT</w:t>
      </w:r>
      <w:r w:rsidR="008A099B" w:rsidRPr="007A7515">
        <w:rPr>
          <w:rFonts w:asciiTheme="minorHAnsi" w:hAnsiTheme="minorHAnsi" w:cstheme="minorHAnsi"/>
          <w:szCs w:val="24"/>
        </w:rPr>
        <w:t xml:space="preserve">, </w:t>
      </w:r>
      <w:r w:rsidRPr="007A7515">
        <w:rPr>
          <w:rFonts w:asciiTheme="minorHAnsi" w:hAnsiTheme="minorHAnsi" w:cstheme="minorHAnsi"/>
          <w:szCs w:val="24"/>
        </w:rPr>
        <w:t xml:space="preserve">90% </w:t>
      </w:r>
      <w:r w:rsidR="008A099B" w:rsidRPr="007A7515">
        <w:rPr>
          <w:rFonts w:asciiTheme="minorHAnsi" w:hAnsiTheme="minorHAnsi" w:cstheme="minorHAnsi"/>
          <w:szCs w:val="24"/>
        </w:rPr>
        <w:t>within</w:t>
      </w:r>
      <w:r w:rsidRPr="007A7515">
        <w:rPr>
          <w:rFonts w:asciiTheme="minorHAnsi" w:hAnsiTheme="minorHAnsi" w:cstheme="minorHAnsi"/>
          <w:szCs w:val="24"/>
        </w:rPr>
        <w:t xml:space="preserve"> two weeks (median delay = 1 day, </w:t>
      </w:r>
      <w:r w:rsidR="000711A0">
        <w:rPr>
          <w:rFonts w:asciiTheme="minorHAnsi" w:hAnsiTheme="minorHAnsi" w:cstheme="minorHAnsi"/>
          <w:szCs w:val="24"/>
        </w:rPr>
        <w:t xml:space="preserve">IQR  0 to 8, </w:t>
      </w:r>
      <w:r w:rsidRPr="007A7515">
        <w:rPr>
          <w:rFonts w:asciiTheme="minorHAnsi" w:hAnsiTheme="minorHAnsi" w:cstheme="minorHAnsi"/>
          <w:szCs w:val="24"/>
        </w:rPr>
        <w:t xml:space="preserve">range = 0 to 32 days) </w:t>
      </w:r>
      <w:r w:rsidR="008A099B" w:rsidRPr="007A7515">
        <w:rPr>
          <w:rFonts w:asciiTheme="minorHAnsi" w:hAnsiTheme="minorHAnsi" w:cstheme="minorHAnsi"/>
          <w:szCs w:val="24"/>
        </w:rPr>
        <w:t xml:space="preserve">and </w:t>
      </w:r>
      <w:r w:rsidRPr="007A7515">
        <w:rPr>
          <w:rFonts w:asciiTheme="minorHAnsi" w:hAnsiTheme="minorHAnsi" w:cstheme="minorHAnsi"/>
          <w:szCs w:val="24"/>
        </w:rPr>
        <w:t>98% within three weeks</w:t>
      </w:r>
      <w:r w:rsidR="008A099B" w:rsidRPr="007A7515">
        <w:rPr>
          <w:rFonts w:asciiTheme="minorHAnsi" w:hAnsiTheme="minorHAnsi" w:cstheme="minorHAnsi"/>
          <w:szCs w:val="24"/>
        </w:rPr>
        <w:t xml:space="preserve">. </w:t>
      </w:r>
      <w:r w:rsidR="00911E5A" w:rsidRPr="007A7515">
        <w:rPr>
          <w:rFonts w:asciiTheme="minorHAnsi" w:hAnsiTheme="minorHAnsi" w:cstheme="minorHAnsi"/>
          <w:szCs w:val="24"/>
        </w:rPr>
        <w:t>On the baseline</w:t>
      </w:r>
      <w:r w:rsidR="0071513F" w:rsidRPr="007A7515">
        <w:rPr>
          <w:rFonts w:asciiTheme="minorHAnsi" w:hAnsiTheme="minorHAnsi" w:cstheme="minorHAnsi"/>
          <w:szCs w:val="24"/>
        </w:rPr>
        <w:t xml:space="preserve"> PET/CT </w:t>
      </w:r>
      <w:r w:rsidR="00911E5A" w:rsidRPr="007A7515">
        <w:rPr>
          <w:rFonts w:asciiTheme="minorHAnsi" w:hAnsiTheme="minorHAnsi" w:cstheme="minorHAnsi"/>
          <w:szCs w:val="24"/>
        </w:rPr>
        <w:t xml:space="preserve">and DCE-CT </w:t>
      </w:r>
      <w:r w:rsidRPr="007A7515">
        <w:rPr>
          <w:rFonts w:asciiTheme="minorHAnsi" w:hAnsiTheme="minorHAnsi" w:cstheme="minorHAnsi"/>
          <w:szCs w:val="24"/>
        </w:rPr>
        <w:t>the majority of the nodules were classified as Grade 3</w:t>
      </w:r>
      <w:r w:rsidR="00205B3C" w:rsidRPr="007A7515">
        <w:rPr>
          <w:rFonts w:asciiTheme="minorHAnsi" w:hAnsiTheme="minorHAnsi" w:cstheme="minorHAnsi"/>
          <w:szCs w:val="24"/>
        </w:rPr>
        <w:t xml:space="preserve"> (Table 3)</w:t>
      </w:r>
      <w:r w:rsidRPr="007A7515">
        <w:rPr>
          <w:rFonts w:asciiTheme="minorHAnsi" w:hAnsiTheme="minorHAnsi" w:cstheme="minorHAnsi"/>
          <w:szCs w:val="24"/>
        </w:rPr>
        <w:t>. On</w:t>
      </w:r>
      <w:r w:rsidR="0071513F" w:rsidRPr="007A7515">
        <w:rPr>
          <w:rFonts w:asciiTheme="minorHAnsi" w:hAnsiTheme="minorHAnsi" w:cstheme="minorHAnsi"/>
          <w:szCs w:val="24"/>
        </w:rPr>
        <w:t xml:space="preserve"> PET/CT </w:t>
      </w:r>
      <w:r w:rsidRPr="007A7515">
        <w:rPr>
          <w:rFonts w:asciiTheme="minorHAnsi" w:hAnsiTheme="minorHAnsi" w:cstheme="minorHAnsi"/>
          <w:szCs w:val="24"/>
        </w:rPr>
        <w:t xml:space="preserve">161 (52%) </w:t>
      </w:r>
      <w:r w:rsidR="00911E5A" w:rsidRPr="007A7515">
        <w:rPr>
          <w:rFonts w:asciiTheme="minorHAnsi" w:hAnsiTheme="minorHAnsi" w:cstheme="minorHAnsi"/>
          <w:szCs w:val="24"/>
        </w:rPr>
        <w:t>had</w:t>
      </w:r>
      <w:r w:rsidRPr="007A7515">
        <w:rPr>
          <w:rFonts w:asciiTheme="minorHAnsi" w:hAnsiTheme="minorHAnsi" w:cstheme="minorHAnsi"/>
          <w:szCs w:val="24"/>
        </w:rPr>
        <w:t xml:space="preserve"> </w:t>
      </w:r>
      <w:r w:rsidR="008A099B" w:rsidRPr="00646CD7">
        <w:rPr>
          <w:rFonts w:asciiTheme="minorHAnsi" w:hAnsiTheme="minorHAnsi" w:cstheme="minorHAnsi"/>
          <w:szCs w:val="24"/>
          <w:vertAlign w:val="superscript"/>
        </w:rPr>
        <w:t>18</w:t>
      </w:r>
      <w:r w:rsidR="008A099B" w:rsidRPr="007A7515">
        <w:rPr>
          <w:rFonts w:asciiTheme="minorHAnsi" w:hAnsiTheme="minorHAnsi" w:cstheme="minorHAnsi"/>
          <w:szCs w:val="24"/>
        </w:rPr>
        <w:t xml:space="preserve">F-FDG </w:t>
      </w:r>
      <w:r w:rsidRPr="007A7515">
        <w:rPr>
          <w:rFonts w:asciiTheme="minorHAnsi" w:hAnsiTheme="minorHAnsi" w:cstheme="minorHAnsi"/>
          <w:szCs w:val="24"/>
        </w:rPr>
        <w:t>uptake greater than the mediastinal blood pool (grade 3)</w:t>
      </w:r>
      <w:r w:rsidR="008A099B" w:rsidRPr="007A7515">
        <w:rPr>
          <w:rFonts w:asciiTheme="minorHAnsi" w:hAnsiTheme="minorHAnsi" w:cstheme="minorHAnsi"/>
          <w:szCs w:val="24"/>
        </w:rPr>
        <w:t>,</w:t>
      </w:r>
      <w:r w:rsidRPr="007A7515">
        <w:rPr>
          <w:rFonts w:asciiTheme="minorHAnsi" w:hAnsiTheme="minorHAnsi" w:cstheme="minorHAnsi"/>
          <w:szCs w:val="24"/>
        </w:rPr>
        <w:t xml:space="preserve"> </w:t>
      </w:r>
      <w:r w:rsidR="00753A89" w:rsidRPr="007A7515">
        <w:rPr>
          <w:rFonts w:asciiTheme="minorHAnsi" w:hAnsiTheme="minorHAnsi" w:cstheme="minorHAnsi"/>
          <w:szCs w:val="24"/>
        </w:rPr>
        <w:t>1</w:t>
      </w:r>
      <w:r w:rsidRPr="007A7515">
        <w:rPr>
          <w:rFonts w:asciiTheme="minorHAnsi" w:hAnsiTheme="minorHAnsi" w:cstheme="minorHAnsi"/>
          <w:szCs w:val="24"/>
        </w:rPr>
        <w:t xml:space="preserve">0% </w:t>
      </w:r>
      <w:r w:rsidR="00753A89" w:rsidRPr="007A7515">
        <w:rPr>
          <w:rFonts w:asciiTheme="minorHAnsi" w:hAnsiTheme="minorHAnsi" w:cstheme="minorHAnsi"/>
          <w:szCs w:val="24"/>
        </w:rPr>
        <w:t xml:space="preserve">had </w:t>
      </w:r>
      <w:r w:rsidRPr="007A7515">
        <w:rPr>
          <w:rFonts w:asciiTheme="minorHAnsi" w:hAnsiTheme="minorHAnsi" w:cstheme="minorHAnsi"/>
          <w:szCs w:val="24"/>
        </w:rPr>
        <w:t>similar uptake (grade 2)</w:t>
      </w:r>
      <w:r w:rsidR="00646CD7">
        <w:rPr>
          <w:rFonts w:asciiTheme="minorHAnsi" w:hAnsiTheme="minorHAnsi" w:cstheme="minorHAnsi"/>
          <w:szCs w:val="24"/>
        </w:rPr>
        <w:t>, 21% had uptake less than the mediastinal blood pool (grade 1)</w:t>
      </w:r>
      <w:r w:rsidR="008A099B" w:rsidRPr="007A7515">
        <w:rPr>
          <w:rFonts w:asciiTheme="minorHAnsi" w:hAnsiTheme="minorHAnsi" w:cstheme="minorHAnsi"/>
          <w:szCs w:val="24"/>
        </w:rPr>
        <w:t xml:space="preserve"> and 17% had no</w:t>
      </w:r>
      <w:r w:rsidR="00646CD7">
        <w:rPr>
          <w:rFonts w:asciiTheme="minorHAnsi" w:hAnsiTheme="minorHAnsi" w:cstheme="minorHAnsi"/>
          <w:szCs w:val="24"/>
        </w:rPr>
        <w:t xml:space="preserve"> uptake </w:t>
      </w:r>
      <w:r w:rsidR="00B904B6" w:rsidRPr="007A7515">
        <w:rPr>
          <w:rFonts w:asciiTheme="minorHAnsi" w:hAnsiTheme="minorHAnsi" w:cstheme="minorHAnsi"/>
          <w:szCs w:val="24"/>
        </w:rPr>
        <w:t xml:space="preserve">(grade </w:t>
      </w:r>
      <w:r w:rsidR="00646CD7">
        <w:rPr>
          <w:rFonts w:asciiTheme="minorHAnsi" w:hAnsiTheme="minorHAnsi" w:cstheme="minorHAnsi"/>
          <w:szCs w:val="24"/>
        </w:rPr>
        <w:t>0</w:t>
      </w:r>
      <w:r w:rsidR="00B904B6" w:rsidRPr="007A7515">
        <w:rPr>
          <w:rFonts w:asciiTheme="minorHAnsi" w:hAnsiTheme="minorHAnsi" w:cstheme="minorHAnsi"/>
          <w:szCs w:val="24"/>
        </w:rPr>
        <w:t>)</w:t>
      </w:r>
      <w:r w:rsidRPr="007A7515">
        <w:rPr>
          <w:rFonts w:asciiTheme="minorHAnsi" w:hAnsiTheme="minorHAnsi" w:cstheme="minorHAnsi"/>
          <w:szCs w:val="24"/>
        </w:rPr>
        <w:t>.</w:t>
      </w:r>
      <w:r w:rsidR="00911E5A" w:rsidRPr="007A7515">
        <w:rPr>
          <w:rFonts w:asciiTheme="minorHAnsi" w:hAnsiTheme="minorHAnsi" w:cstheme="minorHAnsi"/>
          <w:szCs w:val="24"/>
        </w:rPr>
        <w:t xml:space="preserve"> </w:t>
      </w:r>
      <w:r w:rsidRPr="007A7515">
        <w:rPr>
          <w:rFonts w:asciiTheme="minorHAnsi" w:hAnsiTheme="minorHAnsi" w:cstheme="minorHAnsi"/>
          <w:szCs w:val="24"/>
        </w:rPr>
        <w:t xml:space="preserve">The mean of the </w:t>
      </w:r>
      <w:proofErr w:type="spellStart"/>
      <w:r w:rsidR="00B904B6" w:rsidRPr="007A7515">
        <w:rPr>
          <w:rFonts w:asciiTheme="minorHAnsi" w:hAnsiTheme="minorHAnsi" w:cstheme="minorHAnsi"/>
          <w:szCs w:val="24"/>
        </w:rPr>
        <w:t>SUVmax</w:t>
      </w:r>
      <w:proofErr w:type="spellEnd"/>
      <w:r w:rsidRPr="007A7515">
        <w:rPr>
          <w:rFonts w:asciiTheme="minorHAnsi" w:hAnsiTheme="minorHAnsi" w:cstheme="minorHAnsi"/>
          <w:szCs w:val="24"/>
        </w:rPr>
        <w:t xml:space="preserve"> was 4</w:t>
      </w:r>
      <w:r w:rsidR="0053128F" w:rsidRPr="007A7515">
        <w:rPr>
          <w:rFonts w:asciiTheme="minorHAnsi" w:hAnsiTheme="minorHAnsi" w:cstheme="minorHAnsi"/>
          <w:szCs w:val="24"/>
        </w:rPr>
        <w:t>·7</w:t>
      </w:r>
      <w:r w:rsidRPr="007A7515">
        <w:rPr>
          <w:rFonts w:asciiTheme="minorHAnsi" w:hAnsiTheme="minorHAnsi" w:cstheme="minorHAnsi"/>
          <w:szCs w:val="24"/>
        </w:rPr>
        <w:t>5</w:t>
      </w:r>
      <w:r w:rsidR="002741FC">
        <w:rPr>
          <w:rFonts w:asciiTheme="minorHAnsi" w:hAnsiTheme="minorHAnsi" w:cstheme="minorHAnsi"/>
          <w:szCs w:val="24"/>
        </w:rPr>
        <w:t>±</w:t>
      </w:r>
      <w:r w:rsidR="002741FC" w:rsidRPr="007D6C2A">
        <w:rPr>
          <w:rFonts w:asciiTheme="minorHAnsi" w:hAnsiTheme="minorHAnsi" w:cs="Arial"/>
          <w:szCs w:val="20"/>
        </w:rPr>
        <w:t>5.65</w:t>
      </w:r>
      <w:r w:rsidRPr="007A7515">
        <w:rPr>
          <w:rFonts w:asciiTheme="minorHAnsi" w:hAnsiTheme="minorHAnsi" w:cstheme="minorHAnsi"/>
          <w:szCs w:val="24"/>
        </w:rPr>
        <w:t xml:space="preserve"> (</w:t>
      </w:r>
      <w:r w:rsidR="00911E5A" w:rsidRPr="007A7515">
        <w:rPr>
          <w:rFonts w:asciiTheme="minorHAnsi" w:hAnsiTheme="minorHAnsi" w:cstheme="minorHAnsi"/>
          <w:szCs w:val="24"/>
        </w:rPr>
        <w:t>R</w:t>
      </w:r>
      <w:r w:rsidRPr="007A7515">
        <w:rPr>
          <w:rFonts w:asciiTheme="minorHAnsi" w:hAnsiTheme="minorHAnsi" w:cstheme="minorHAnsi"/>
          <w:szCs w:val="24"/>
        </w:rPr>
        <w:t>ange</w:t>
      </w:r>
      <w:r w:rsidR="00911E5A" w:rsidRPr="007A7515">
        <w:rPr>
          <w:rFonts w:asciiTheme="minorHAnsi" w:hAnsiTheme="minorHAnsi" w:cstheme="minorHAnsi"/>
          <w:szCs w:val="24"/>
        </w:rPr>
        <w:t xml:space="preserve">: </w:t>
      </w:r>
      <w:r w:rsidRPr="007A7515">
        <w:rPr>
          <w:rFonts w:asciiTheme="minorHAnsi" w:hAnsiTheme="minorHAnsi" w:cstheme="minorHAnsi"/>
          <w:szCs w:val="24"/>
        </w:rPr>
        <w:t>0</w:t>
      </w:r>
      <w:r w:rsidR="00911E5A" w:rsidRPr="007A7515">
        <w:rPr>
          <w:rFonts w:asciiTheme="minorHAnsi" w:hAnsiTheme="minorHAnsi" w:cstheme="minorHAnsi"/>
          <w:szCs w:val="24"/>
        </w:rPr>
        <w:t>-</w:t>
      </w:r>
      <w:r w:rsidRPr="007A7515">
        <w:rPr>
          <w:rFonts w:asciiTheme="minorHAnsi" w:hAnsiTheme="minorHAnsi" w:cstheme="minorHAnsi"/>
          <w:szCs w:val="24"/>
        </w:rPr>
        <w:t>35</w:t>
      </w:r>
      <w:r w:rsidR="0053128F" w:rsidRPr="007A7515">
        <w:rPr>
          <w:rFonts w:asciiTheme="minorHAnsi" w:hAnsiTheme="minorHAnsi" w:cstheme="minorHAnsi"/>
          <w:szCs w:val="24"/>
        </w:rPr>
        <w:t>·3</w:t>
      </w:r>
      <w:r w:rsidRPr="007A7515">
        <w:rPr>
          <w:rFonts w:asciiTheme="minorHAnsi" w:hAnsiTheme="minorHAnsi" w:cstheme="minorHAnsi"/>
          <w:szCs w:val="24"/>
        </w:rPr>
        <w:t>)</w:t>
      </w:r>
      <w:r w:rsidR="00893908" w:rsidRPr="007A7515">
        <w:rPr>
          <w:rFonts w:asciiTheme="minorHAnsi" w:hAnsiTheme="minorHAnsi" w:cstheme="minorHAnsi"/>
          <w:szCs w:val="24"/>
        </w:rPr>
        <w:t xml:space="preserve">. </w:t>
      </w:r>
      <w:r w:rsidRPr="007A7515">
        <w:rPr>
          <w:rFonts w:asciiTheme="minorHAnsi" w:hAnsiTheme="minorHAnsi" w:cstheme="minorHAnsi"/>
          <w:szCs w:val="24"/>
        </w:rPr>
        <w:t xml:space="preserve"> </w:t>
      </w:r>
      <w:r w:rsidR="009336C6" w:rsidRPr="007A7515">
        <w:rPr>
          <w:rFonts w:asciiTheme="minorHAnsi" w:hAnsiTheme="minorHAnsi" w:cstheme="minorHAnsi"/>
          <w:szCs w:val="24"/>
        </w:rPr>
        <w:t>T</w:t>
      </w:r>
      <w:r w:rsidRPr="007A7515">
        <w:rPr>
          <w:rFonts w:asciiTheme="minorHAnsi" w:hAnsiTheme="minorHAnsi" w:cstheme="minorHAnsi"/>
          <w:szCs w:val="24"/>
        </w:rPr>
        <w:t xml:space="preserve">here was lymph node involvement </w:t>
      </w:r>
      <w:r w:rsidR="009336C6" w:rsidRPr="007A7515">
        <w:rPr>
          <w:rFonts w:asciiTheme="minorHAnsi" w:hAnsiTheme="minorHAnsi" w:cstheme="minorHAnsi"/>
          <w:szCs w:val="24"/>
        </w:rPr>
        <w:t xml:space="preserve">in 40 (13%) </w:t>
      </w:r>
      <w:r w:rsidR="00753A89" w:rsidRPr="007A7515">
        <w:rPr>
          <w:rFonts w:asciiTheme="minorHAnsi" w:hAnsiTheme="minorHAnsi" w:cstheme="minorHAnsi"/>
          <w:szCs w:val="24"/>
        </w:rPr>
        <w:t xml:space="preserve">cases </w:t>
      </w:r>
      <w:r w:rsidRPr="007A7515">
        <w:rPr>
          <w:rFonts w:asciiTheme="minorHAnsi" w:hAnsiTheme="minorHAnsi" w:cstheme="minorHAnsi"/>
          <w:szCs w:val="24"/>
        </w:rPr>
        <w:t>and</w:t>
      </w:r>
      <w:r w:rsidR="00485819" w:rsidRPr="007A7515">
        <w:rPr>
          <w:rFonts w:asciiTheme="minorHAnsi" w:hAnsiTheme="minorHAnsi" w:cstheme="minorHAnsi"/>
          <w:szCs w:val="24"/>
        </w:rPr>
        <w:t xml:space="preserve"> 4</w:t>
      </w:r>
      <w:r w:rsidRPr="007A7515">
        <w:rPr>
          <w:rFonts w:asciiTheme="minorHAnsi" w:hAnsiTheme="minorHAnsi" w:cstheme="minorHAnsi"/>
          <w:szCs w:val="24"/>
        </w:rPr>
        <w:t xml:space="preserve"> (1%)</w:t>
      </w:r>
      <w:r w:rsidR="00485819" w:rsidRPr="007A7515">
        <w:rPr>
          <w:rFonts w:asciiTheme="minorHAnsi" w:hAnsiTheme="minorHAnsi" w:cstheme="minorHAnsi"/>
          <w:szCs w:val="24"/>
        </w:rPr>
        <w:t xml:space="preserve"> were found to have metastatic disease. </w:t>
      </w:r>
      <w:r w:rsidR="00646CD7">
        <w:rPr>
          <w:rFonts w:asciiTheme="minorHAnsi" w:hAnsiTheme="minorHAnsi" w:cstheme="minorHAnsi"/>
          <w:szCs w:val="24"/>
        </w:rPr>
        <w:t>On</w:t>
      </w:r>
      <w:r w:rsidR="005D44AF" w:rsidRPr="007A7515">
        <w:rPr>
          <w:rFonts w:asciiTheme="minorHAnsi" w:hAnsiTheme="minorHAnsi" w:cstheme="minorHAnsi"/>
          <w:szCs w:val="24"/>
        </w:rPr>
        <w:t xml:space="preserve"> DCE-CT</w:t>
      </w:r>
      <w:r w:rsidR="00646CD7">
        <w:rPr>
          <w:rFonts w:asciiTheme="minorHAnsi" w:hAnsiTheme="minorHAnsi" w:cstheme="minorHAnsi"/>
          <w:szCs w:val="24"/>
        </w:rPr>
        <w:t xml:space="preserve"> the </w:t>
      </w:r>
      <w:r w:rsidR="00646CD7" w:rsidRPr="007A7515">
        <w:rPr>
          <w:rFonts w:asciiTheme="minorHAnsi" w:hAnsiTheme="minorHAnsi" w:cstheme="minorHAnsi"/>
          <w:szCs w:val="24"/>
        </w:rPr>
        <w:t xml:space="preserve">mean Peak Enhancement (PE) </w:t>
      </w:r>
      <w:r w:rsidR="00646CD7">
        <w:rPr>
          <w:rFonts w:asciiTheme="minorHAnsi" w:hAnsiTheme="minorHAnsi" w:cstheme="minorHAnsi"/>
          <w:szCs w:val="24"/>
        </w:rPr>
        <w:t xml:space="preserve">was </w:t>
      </w:r>
      <w:r w:rsidR="00646CD7" w:rsidRPr="007A7515">
        <w:rPr>
          <w:rFonts w:asciiTheme="minorHAnsi" w:hAnsiTheme="minorHAnsi" w:cstheme="minorHAnsi"/>
          <w:szCs w:val="24"/>
        </w:rPr>
        <w:t>48·6</w:t>
      </w:r>
      <w:r w:rsidR="002741FC">
        <w:rPr>
          <w:rFonts w:asciiTheme="minorHAnsi" w:hAnsiTheme="minorHAnsi" w:cstheme="minorHAnsi"/>
          <w:szCs w:val="24"/>
        </w:rPr>
        <w:t>±</w:t>
      </w:r>
      <w:r w:rsidR="002741FC" w:rsidRPr="007D6C2A">
        <w:rPr>
          <w:rFonts w:asciiTheme="minorHAnsi" w:hAnsiTheme="minorHAnsi" w:cs="Arial"/>
          <w:szCs w:val="20"/>
        </w:rPr>
        <w:t>28.3</w:t>
      </w:r>
      <w:r w:rsidR="002741FC">
        <w:rPr>
          <w:rFonts w:asciiTheme="minorHAnsi" w:hAnsiTheme="minorHAnsi" w:cs="Arial"/>
          <w:szCs w:val="20"/>
        </w:rPr>
        <w:t xml:space="preserve"> HU</w:t>
      </w:r>
      <w:r w:rsidR="00646CD7" w:rsidRPr="007A7515">
        <w:rPr>
          <w:rFonts w:asciiTheme="minorHAnsi" w:hAnsiTheme="minorHAnsi" w:cstheme="minorHAnsi"/>
          <w:szCs w:val="24"/>
        </w:rPr>
        <w:t xml:space="preserve"> (Range 0-179)</w:t>
      </w:r>
      <w:r w:rsidR="00646CD7">
        <w:rPr>
          <w:rFonts w:asciiTheme="minorHAnsi" w:hAnsiTheme="minorHAnsi" w:cstheme="minorHAnsi"/>
          <w:szCs w:val="24"/>
        </w:rPr>
        <w:t xml:space="preserve">, with a </w:t>
      </w:r>
      <w:r w:rsidR="009336C6" w:rsidRPr="007A7515">
        <w:rPr>
          <w:rFonts w:asciiTheme="minorHAnsi" w:hAnsiTheme="minorHAnsi" w:cstheme="minorHAnsi"/>
          <w:szCs w:val="24"/>
        </w:rPr>
        <w:t>PE</w:t>
      </w:r>
      <w:r w:rsidRPr="007A7515">
        <w:rPr>
          <w:rFonts w:asciiTheme="minorHAnsi" w:hAnsiTheme="minorHAnsi" w:cstheme="minorHAnsi"/>
          <w:szCs w:val="24"/>
        </w:rPr>
        <w:t xml:space="preserve"> ≥ 20 H</w:t>
      </w:r>
      <w:r w:rsidR="005D44AF" w:rsidRPr="007A7515">
        <w:rPr>
          <w:rFonts w:asciiTheme="minorHAnsi" w:hAnsiTheme="minorHAnsi" w:cstheme="minorHAnsi"/>
          <w:szCs w:val="24"/>
        </w:rPr>
        <w:t xml:space="preserve">U </w:t>
      </w:r>
      <w:r w:rsidRPr="007A7515">
        <w:rPr>
          <w:rFonts w:asciiTheme="minorHAnsi" w:hAnsiTheme="minorHAnsi" w:cstheme="minorHAnsi"/>
          <w:szCs w:val="24"/>
        </w:rPr>
        <w:t xml:space="preserve">reached in 267 (86%) </w:t>
      </w:r>
      <w:r w:rsidR="00646CD7">
        <w:rPr>
          <w:rFonts w:asciiTheme="minorHAnsi" w:hAnsiTheme="minorHAnsi" w:cstheme="minorHAnsi"/>
          <w:szCs w:val="24"/>
        </w:rPr>
        <w:t xml:space="preserve">of </w:t>
      </w:r>
      <w:r w:rsidR="009336C6" w:rsidRPr="007A7515">
        <w:rPr>
          <w:rFonts w:asciiTheme="minorHAnsi" w:hAnsiTheme="minorHAnsi" w:cstheme="minorHAnsi"/>
          <w:szCs w:val="24"/>
        </w:rPr>
        <w:t>patient</w:t>
      </w:r>
      <w:r w:rsidRPr="007A7515">
        <w:rPr>
          <w:rFonts w:asciiTheme="minorHAnsi" w:hAnsiTheme="minorHAnsi" w:cstheme="minorHAnsi"/>
          <w:szCs w:val="24"/>
        </w:rPr>
        <w:t>s</w:t>
      </w:r>
      <w:r w:rsidR="00646CD7">
        <w:rPr>
          <w:rFonts w:asciiTheme="minorHAnsi" w:hAnsiTheme="minorHAnsi" w:cstheme="minorHAnsi"/>
          <w:szCs w:val="24"/>
        </w:rPr>
        <w:t>.</w:t>
      </w:r>
    </w:p>
    <w:p w14:paraId="5B4423BF" w14:textId="601C3E03" w:rsidR="008E6018" w:rsidRDefault="008E6018" w:rsidP="00B303E6">
      <w:pPr>
        <w:pStyle w:val="NoSpacing"/>
        <w:rPr>
          <w:rFonts w:asciiTheme="minorHAnsi" w:hAnsiTheme="minorHAnsi" w:cstheme="minorHAnsi"/>
          <w:szCs w:val="24"/>
        </w:rPr>
      </w:pPr>
    </w:p>
    <w:p w14:paraId="7B73584B" w14:textId="77777777" w:rsidR="008E6018" w:rsidRPr="00A02305" w:rsidRDefault="008E6018" w:rsidP="008E601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t>The sensitivity</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specificity</w:t>
      </w:r>
      <w:r>
        <w:rPr>
          <w:rFonts w:asciiTheme="minorHAnsi" w:hAnsiTheme="minorHAnsi" w:cstheme="minorHAnsi"/>
          <w:szCs w:val="24"/>
          <w:lang w:eastAsia="en-GB"/>
        </w:rPr>
        <w:t>, positive predictive value and negative predictive values</w:t>
      </w:r>
      <w:r w:rsidRPr="007A7515">
        <w:rPr>
          <w:rFonts w:asciiTheme="minorHAnsi" w:hAnsiTheme="minorHAnsi" w:cstheme="minorHAnsi"/>
          <w:szCs w:val="24"/>
          <w:lang w:eastAsia="en-GB"/>
        </w:rPr>
        <w:t xml:space="preserve"> for DCE-CT were 95</w:t>
      </w:r>
      <w:r>
        <w:rPr>
          <w:rFonts w:asciiTheme="minorHAnsi" w:hAnsiTheme="minorHAnsi" w:cstheme="minorHAnsi"/>
          <w:szCs w:val="24"/>
          <w:lang w:eastAsia="en-GB"/>
        </w:rPr>
        <w:t>.</w:t>
      </w:r>
      <w:r w:rsidRPr="007A7515">
        <w:rPr>
          <w:rFonts w:asciiTheme="minorHAnsi" w:hAnsiTheme="minorHAnsi" w:cstheme="minorHAnsi"/>
          <w:szCs w:val="24"/>
          <w:lang w:eastAsia="en-GB"/>
        </w:rPr>
        <w:t>3% [95% CI 91</w:t>
      </w:r>
      <w:r>
        <w:rPr>
          <w:rFonts w:asciiTheme="minorHAnsi" w:hAnsiTheme="minorHAnsi" w:cstheme="minorHAnsi"/>
          <w:szCs w:val="24"/>
          <w:lang w:eastAsia="en-GB"/>
        </w:rPr>
        <w:t>.</w:t>
      </w:r>
      <w:r w:rsidRPr="007A7515">
        <w:rPr>
          <w:rFonts w:asciiTheme="minorHAnsi" w:hAnsiTheme="minorHAnsi" w:cstheme="minorHAnsi"/>
          <w:szCs w:val="24"/>
          <w:lang w:eastAsia="en-GB"/>
        </w:rPr>
        <w:t>3;97</w:t>
      </w:r>
      <w:r>
        <w:rPr>
          <w:rFonts w:asciiTheme="minorHAnsi" w:hAnsiTheme="minorHAnsi" w:cstheme="minorHAnsi"/>
          <w:szCs w:val="24"/>
          <w:lang w:eastAsia="en-GB"/>
        </w:rPr>
        <w:t>.</w:t>
      </w:r>
      <w:r w:rsidRPr="007A7515">
        <w:rPr>
          <w:rFonts w:asciiTheme="minorHAnsi" w:hAnsiTheme="minorHAnsi" w:cstheme="minorHAnsi"/>
          <w:szCs w:val="24"/>
          <w:lang w:eastAsia="en-GB"/>
        </w:rPr>
        <w:t>5]</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29</w:t>
      </w:r>
      <w:r>
        <w:rPr>
          <w:rFonts w:asciiTheme="minorHAnsi" w:hAnsiTheme="minorHAnsi" w:cstheme="minorHAnsi"/>
          <w:szCs w:val="24"/>
          <w:lang w:eastAsia="en-GB"/>
        </w:rPr>
        <w:t>.</w:t>
      </w:r>
      <w:r w:rsidRPr="007A7515">
        <w:rPr>
          <w:rFonts w:asciiTheme="minorHAnsi" w:hAnsiTheme="minorHAnsi" w:cstheme="minorHAnsi"/>
          <w:szCs w:val="24"/>
          <w:lang w:eastAsia="en-GB"/>
        </w:rPr>
        <w:t>8% [95% CI 22.3;38</w:t>
      </w:r>
      <w:r>
        <w:rPr>
          <w:rFonts w:asciiTheme="minorHAnsi" w:hAnsiTheme="minorHAnsi" w:cstheme="minorHAnsi"/>
          <w:szCs w:val="24"/>
          <w:lang w:eastAsia="en-GB"/>
        </w:rPr>
        <w:t>.</w:t>
      </w:r>
      <w:r w:rsidRPr="007A7515">
        <w:rPr>
          <w:rFonts w:asciiTheme="minorHAnsi" w:hAnsiTheme="minorHAnsi" w:cstheme="minorHAnsi"/>
          <w:szCs w:val="24"/>
          <w:lang w:eastAsia="en-GB"/>
        </w:rPr>
        <w:t>4]</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68</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 xml:space="preserve">95% CI </w:t>
      </w:r>
      <w:r w:rsidRPr="00A02305">
        <w:rPr>
          <w:rFonts w:asciiTheme="minorHAnsi" w:hAnsiTheme="minorHAnsi" w:cstheme="minorHAnsi"/>
          <w:szCs w:val="24"/>
          <w:lang w:eastAsia="en-GB"/>
        </w:rPr>
        <w:t>62</w:t>
      </w:r>
      <w:r>
        <w:rPr>
          <w:rFonts w:asciiTheme="minorHAnsi" w:hAnsiTheme="minorHAnsi" w:cstheme="minorHAnsi"/>
          <w:szCs w:val="24"/>
          <w:lang w:eastAsia="en-GB"/>
        </w:rPr>
        <w:t>.</w:t>
      </w:r>
      <w:r w:rsidRPr="00A02305">
        <w:rPr>
          <w:rFonts w:asciiTheme="minorHAnsi" w:hAnsiTheme="minorHAnsi" w:cstheme="minorHAnsi"/>
          <w:szCs w:val="24"/>
          <w:lang w:eastAsia="en-GB"/>
        </w:rPr>
        <w:t>4%</w:t>
      </w:r>
      <w:r>
        <w:rPr>
          <w:rFonts w:asciiTheme="minorHAnsi" w:hAnsiTheme="minorHAnsi" w:cstheme="minorHAnsi"/>
          <w:szCs w:val="24"/>
          <w:lang w:eastAsia="en-GB"/>
        </w:rPr>
        <w:t>;</w:t>
      </w:r>
      <w:r w:rsidRPr="00A02305">
        <w:rPr>
          <w:rFonts w:asciiTheme="minorHAnsi" w:hAnsiTheme="minorHAnsi" w:cstheme="minorHAnsi"/>
          <w:szCs w:val="24"/>
          <w:lang w:eastAsia="en-GB"/>
        </w:rPr>
        <w:t>73</w:t>
      </w:r>
      <w:r>
        <w:rPr>
          <w:rFonts w:asciiTheme="minorHAnsi" w:hAnsiTheme="minorHAnsi" w:cstheme="minorHAnsi"/>
          <w:szCs w:val="24"/>
          <w:lang w:eastAsia="en-GB"/>
        </w:rPr>
        <w:t>.</w:t>
      </w:r>
      <w:r w:rsidRPr="00A02305">
        <w:rPr>
          <w:rFonts w:asciiTheme="minorHAnsi" w:hAnsiTheme="minorHAnsi" w:cstheme="minorHAnsi"/>
          <w:szCs w:val="24"/>
          <w:lang w:eastAsia="en-GB"/>
        </w:rPr>
        <w:t>5%</w:t>
      </w:r>
      <w:r>
        <w:rPr>
          <w:rFonts w:asciiTheme="minorHAnsi" w:hAnsiTheme="minorHAnsi" w:cstheme="minorHAnsi"/>
          <w:szCs w:val="24"/>
          <w:lang w:eastAsia="en-GB"/>
        </w:rPr>
        <w:t xml:space="preserve">] </w:t>
      </w:r>
      <w:r>
        <w:rPr>
          <w:rFonts w:asciiTheme="minorHAnsi" w:hAnsiTheme="minorHAnsi" w:cstheme="minorHAnsi"/>
          <w:szCs w:val="24"/>
          <w:lang w:eastAsia="en-GB"/>
        </w:rPr>
        <w:lastRenderedPageBreak/>
        <w:t xml:space="preserve">and </w:t>
      </w:r>
      <w:r w:rsidRPr="00A02305">
        <w:rPr>
          <w:rFonts w:asciiTheme="minorHAnsi" w:hAnsiTheme="minorHAnsi" w:cstheme="minorHAnsi"/>
          <w:szCs w:val="24"/>
          <w:lang w:eastAsia="en-GB"/>
        </w:rPr>
        <w:t>80</w:t>
      </w:r>
      <w:r>
        <w:rPr>
          <w:rFonts w:asciiTheme="minorHAnsi" w:hAnsiTheme="minorHAnsi" w:cstheme="minorHAnsi"/>
          <w:szCs w:val="24"/>
          <w:lang w:eastAsia="en-GB"/>
        </w:rPr>
        <w:t>.</w:t>
      </w:r>
      <w:r w:rsidRPr="00A02305">
        <w:rPr>
          <w:rFonts w:asciiTheme="minorHAnsi" w:hAnsiTheme="minorHAnsi" w:cstheme="minorHAnsi"/>
          <w:szCs w:val="24"/>
          <w:lang w:eastAsia="en-GB"/>
        </w:rPr>
        <w:t>0%</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66</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w:t>
      </w:r>
      <w:r w:rsidRPr="00A02305">
        <w:rPr>
          <w:rFonts w:asciiTheme="minorHAnsi" w:hAnsiTheme="minorHAnsi" w:cstheme="minorHAnsi"/>
          <w:szCs w:val="24"/>
          <w:lang w:eastAsia="en-GB"/>
        </w:rPr>
        <w:t>89</w:t>
      </w:r>
      <w:r>
        <w:rPr>
          <w:rFonts w:asciiTheme="minorHAnsi" w:hAnsiTheme="minorHAnsi" w:cstheme="minorHAnsi"/>
          <w:szCs w:val="24"/>
          <w:lang w:eastAsia="en-GB"/>
        </w:rPr>
        <w:t>.</w:t>
      </w:r>
      <w:r w:rsidRPr="00A02305">
        <w:rPr>
          <w:rFonts w:asciiTheme="minorHAnsi" w:hAnsiTheme="minorHAnsi" w:cstheme="minorHAnsi"/>
          <w:szCs w:val="24"/>
          <w:lang w:eastAsia="en-GB"/>
        </w:rPr>
        <w:t>1</w:t>
      </w:r>
      <w:r>
        <w:rPr>
          <w:rFonts w:asciiTheme="minorHAnsi" w:hAnsiTheme="minorHAnsi" w:cstheme="minorHAnsi"/>
          <w:szCs w:val="24"/>
          <w:lang w:eastAsia="en-GB"/>
        </w:rPr>
        <w:t>]</w:t>
      </w:r>
      <w:r w:rsidRPr="007A7515">
        <w:rPr>
          <w:rFonts w:asciiTheme="minorHAnsi" w:hAnsiTheme="minorHAnsi" w:cstheme="minorHAnsi"/>
          <w:szCs w:val="24"/>
          <w:lang w:eastAsia="en-GB"/>
        </w:rPr>
        <w:t xml:space="preserve"> respectively, and for PET/CT were 79</w:t>
      </w:r>
      <w:r>
        <w:rPr>
          <w:rFonts w:asciiTheme="minorHAnsi" w:hAnsiTheme="minorHAnsi" w:cstheme="minorHAnsi"/>
          <w:szCs w:val="24"/>
          <w:lang w:eastAsia="en-GB"/>
        </w:rPr>
        <w:t>.</w:t>
      </w:r>
      <w:r w:rsidRPr="007A7515">
        <w:rPr>
          <w:rFonts w:asciiTheme="minorHAnsi" w:hAnsiTheme="minorHAnsi" w:cstheme="minorHAnsi"/>
          <w:szCs w:val="24"/>
          <w:lang w:eastAsia="en-GB"/>
        </w:rPr>
        <w:t>1% [95% CI 72</w:t>
      </w:r>
      <w:r>
        <w:rPr>
          <w:rFonts w:asciiTheme="minorHAnsi" w:hAnsiTheme="minorHAnsi" w:cstheme="minorHAnsi"/>
          <w:szCs w:val="24"/>
          <w:lang w:eastAsia="en-GB"/>
        </w:rPr>
        <w:t>.</w:t>
      </w:r>
      <w:r w:rsidRPr="007A7515">
        <w:rPr>
          <w:rFonts w:asciiTheme="minorHAnsi" w:hAnsiTheme="minorHAnsi" w:cstheme="minorHAnsi"/>
          <w:szCs w:val="24"/>
          <w:lang w:eastAsia="en-GB"/>
        </w:rPr>
        <w:t>7;84</w:t>
      </w:r>
      <w:r>
        <w:rPr>
          <w:rFonts w:asciiTheme="minorHAnsi" w:hAnsiTheme="minorHAnsi" w:cstheme="minorHAnsi"/>
          <w:szCs w:val="24"/>
          <w:lang w:eastAsia="en-GB"/>
        </w:rPr>
        <w:t>.</w:t>
      </w:r>
      <w:r w:rsidRPr="007A7515">
        <w:rPr>
          <w:rFonts w:asciiTheme="minorHAnsi" w:hAnsiTheme="minorHAnsi" w:cstheme="minorHAnsi"/>
          <w:szCs w:val="24"/>
          <w:lang w:eastAsia="en-GB"/>
        </w:rPr>
        <w:t>2]</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81</w:t>
      </w:r>
      <w:r>
        <w:rPr>
          <w:rFonts w:asciiTheme="minorHAnsi" w:hAnsiTheme="minorHAnsi" w:cstheme="minorHAnsi"/>
          <w:szCs w:val="24"/>
          <w:lang w:eastAsia="en-GB"/>
        </w:rPr>
        <w:t>.</w:t>
      </w:r>
      <w:r w:rsidRPr="007A7515">
        <w:rPr>
          <w:rFonts w:asciiTheme="minorHAnsi" w:hAnsiTheme="minorHAnsi" w:cstheme="minorHAnsi"/>
          <w:szCs w:val="24"/>
          <w:lang w:eastAsia="en-GB"/>
        </w:rPr>
        <w:t>8% [95% CI 74</w:t>
      </w:r>
      <w:r>
        <w:rPr>
          <w:rFonts w:asciiTheme="minorHAnsi" w:hAnsiTheme="minorHAnsi" w:cstheme="minorHAnsi"/>
          <w:szCs w:val="24"/>
          <w:lang w:eastAsia="en-GB"/>
        </w:rPr>
        <w:t>.</w:t>
      </w:r>
      <w:r w:rsidRPr="007A7515">
        <w:rPr>
          <w:rFonts w:asciiTheme="minorHAnsi" w:hAnsiTheme="minorHAnsi" w:cstheme="minorHAnsi"/>
          <w:szCs w:val="24"/>
          <w:lang w:eastAsia="en-GB"/>
        </w:rPr>
        <w:t>0;87</w:t>
      </w:r>
      <w:r>
        <w:rPr>
          <w:rFonts w:asciiTheme="minorHAnsi" w:hAnsiTheme="minorHAnsi" w:cstheme="minorHAnsi"/>
          <w:szCs w:val="24"/>
          <w:lang w:eastAsia="en-GB"/>
        </w:rPr>
        <w:t>.</w:t>
      </w:r>
      <w:r w:rsidRPr="007A7515">
        <w:rPr>
          <w:rFonts w:asciiTheme="minorHAnsi" w:hAnsiTheme="minorHAnsi" w:cstheme="minorHAnsi"/>
          <w:szCs w:val="24"/>
          <w:lang w:eastAsia="en-GB"/>
        </w:rPr>
        <w:t>7]</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87</w:t>
      </w:r>
      <w:r>
        <w:rPr>
          <w:rFonts w:asciiTheme="minorHAnsi" w:hAnsiTheme="minorHAnsi" w:cstheme="minorHAnsi"/>
          <w:szCs w:val="24"/>
          <w:lang w:eastAsia="en-GB"/>
        </w:rPr>
        <w:t>.</w:t>
      </w:r>
      <w:r w:rsidRPr="00A02305">
        <w:rPr>
          <w:rFonts w:asciiTheme="minorHAnsi" w:hAnsiTheme="minorHAnsi" w:cstheme="minorHAnsi"/>
          <w:szCs w:val="24"/>
          <w:lang w:eastAsia="en-GB"/>
        </w:rPr>
        <w:t>3%</w:t>
      </w:r>
      <w:r>
        <w:rPr>
          <w:rFonts w:asciiTheme="minorHAnsi" w:hAnsiTheme="minorHAnsi" w:cstheme="minorHAnsi"/>
          <w:szCs w:val="24"/>
          <w:lang w:eastAsia="en-GB"/>
        </w:rPr>
        <w:t>[</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81</w:t>
      </w:r>
      <w:r>
        <w:rPr>
          <w:rFonts w:asciiTheme="minorHAnsi" w:hAnsiTheme="minorHAnsi" w:cstheme="minorHAnsi"/>
          <w:szCs w:val="24"/>
          <w:lang w:eastAsia="en-GB"/>
        </w:rPr>
        <w:t>.</w:t>
      </w:r>
      <w:r w:rsidRPr="00A02305">
        <w:rPr>
          <w:rFonts w:asciiTheme="minorHAnsi" w:hAnsiTheme="minorHAnsi" w:cstheme="minorHAnsi"/>
          <w:szCs w:val="24"/>
          <w:lang w:eastAsia="en-GB"/>
        </w:rPr>
        <w:t>5</w:t>
      </w:r>
      <w:r>
        <w:rPr>
          <w:rFonts w:asciiTheme="minorHAnsi" w:hAnsiTheme="minorHAnsi" w:cstheme="minorHAnsi"/>
          <w:szCs w:val="24"/>
          <w:lang w:eastAsia="en-GB"/>
        </w:rPr>
        <w:t>;</w:t>
      </w:r>
      <w:r w:rsidRPr="00A02305">
        <w:rPr>
          <w:rFonts w:asciiTheme="minorHAnsi" w:hAnsiTheme="minorHAnsi" w:cstheme="minorHAnsi"/>
          <w:szCs w:val="24"/>
          <w:lang w:eastAsia="en-GB"/>
        </w:rPr>
        <w:t>91</w:t>
      </w:r>
      <w:r>
        <w:rPr>
          <w:rFonts w:asciiTheme="minorHAnsi" w:hAnsiTheme="minorHAnsi" w:cstheme="minorHAnsi"/>
          <w:szCs w:val="24"/>
          <w:lang w:eastAsia="en-GB"/>
        </w:rPr>
        <w:t>.</w:t>
      </w:r>
      <w:r w:rsidRPr="00A02305">
        <w:rPr>
          <w:rFonts w:asciiTheme="minorHAnsi" w:hAnsiTheme="minorHAnsi" w:cstheme="minorHAnsi"/>
          <w:szCs w:val="24"/>
          <w:lang w:eastAsia="en-GB"/>
        </w:rPr>
        <w:t>5)</w:t>
      </w:r>
      <w:r>
        <w:rPr>
          <w:rFonts w:asciiTheme="minorHAnsi" w:hAnsiTheme="minorHAnsi" w:cstheme="minorHAnsi"/>
          <w:szCs w:val="24"/>
          <w:lang w:eastAsia="en-GB"/>
        </w:rPr>
        <w:t xml:space="preserve"> and </w:t>
      </w:r>
      <w:r w:rsidRPr="00A02305">
        <w:rPr>
          <w:rFonts w:asciiTheme="minorHAnsi" w:hAnsiTheme="minorHAnsi" w:cstheme="minorHAnsi"/>
          <w:szCs w:val="24"/>
          <w:lang w:eastAsia="en-GB"/>
        </w:rPr>
        <w:t>71·2%</w:t>
      </w:r>
    </w:p>
    <w:p w14:paraId="3683DAF2" w14:textId="130F220C" w:rsidR="008E6018" w:rsidRPr="007A7515" w:rsidRDefault="008E6018" w:rsidP="008E6018">
      <w:pPr>
        <w:pStyle w:val="NoSpacing"/>
        <w:rPr>
          <w:rFonts w:asciiTheme="minorHAnsi" w:hAnsiTheme="minorHAnsi" w:cstheme="minorHAnsi"/>
          <w:szCs w:val="24"/>
        </w:rPr>
      </w:pPr>
      <w:r>
        <w:rPr>
          <w:rFonts w:asciiTheme="minorHAnsi" w:hAnsiTheme="minorHAnsi" w:cstheme="minorHAnsi"/>
          <w:szCs w:val="24"/>
          <w:lang w:eastAsia="en-GB"/>
        </w:rPr>
        <w:t>[</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63</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w:t>
      </w:r>
      <w:r w:rsidRPr="00A02305">
        <w:rPr>
          <w:rFonts w:asciiTheme="minorHAnsi" w:hAnsiTheme="minorHAnsi" w:cstheme="minorHAnsi"/>
          <w:szCs w:val="24"/>
          <w:lang w:eastAsia="en-GB"/>
        </w:rPr>
        <w:t>78</w:t>
      </w:r>
      <w:r>
        <w:rPr>
          <w:rFonts w:asciiTheme="minorHAnsi" w:hAnsiTheme="minorHAnsi" w:cstheme="minorHAnsi"/>
          <w:szCs w:val="24"/>
          <w:lang w:eastAsia="en-GB"/>
        </w:rPr>
        <w:t>.</w:t>
      </w:r>
      <w:r w:rsidRPr="00A02305">
        <w:rPr>
          <w:rFonts w:asciiTheme="minorHAnsi" w:hAnsiTheme="minorHAnsi" w:cstheme="minorHAnsi"/>
          <w:szCs w:val="24"/>
          <w:lang w:eastAsia="en-GB"/>
        </w:rPr>
        <w:t>1</w:t>
      </w:r>
      <w:r>
        <w:rPr>
          <w:rFonts w:asciiTheme="minorHAnsi" w:hAnsiTheme="minorHAnsi" w:cstheme="minorHAnsi"/>
          <w:szCs w:val="24"/>
          <w:lang w:eastAsia="en-GB"/>
        </w:rPr>
        <w:t>]</w:t>
      </w:r>
      <w:r w:rsidRPr="007A7515">
        <w:rPr>
          <w:rFonts w:asciiTheme="minorHAnsi" w:hAnsiTheme="minorHAnsi" w:cstheme="minorHAnsi"/>
          <w:szCs w:val="24"/>
          <w:lang w:eastAsia="en-GB"/>
        </w:rPr>
        <w:t xml:space="preserve">.  </w:t>
      </w:r>
    </w:p>
    <w:p w14:paraId="4E1F6262" w14:textId="77777777" w:rsidR="00B303E6" w:rsidRPr="007A7515" w:rsidRDefault="00B303E6" w:rsidP="00B303E6">
      <w:pPr>
        <w:pStyle w:val="NoSpacing"/>
        <w:rPr>
          <w:rFonts w:asciiTheme="minorHAnsi" w:hAnsiTheme="minorHAnsi" w:cstheme="minorHAnsi"/>
          <w:szCs w:val="24"/>
          <w:highlight w:val="yellow"/>
        </w:rPr>
      </w:pPr>
    </w:p>
    <w:p w14:paraId="1394A2FE" w14:textId="2BDF2EE5" w:rsidR="004170AB" w:rsidRPr="0016054A" w:rsidRDefault="008E6018" w:rsidP="004170AB">
      <w:pPr>
        <w:pStyle w:val="NoSpacing"/>
        <w:rPr>
          <w:rFonts w:asciiTheme="minorHAnsi" w:hAnsiTheme="minorHAnsi" w:cstheme="minorHAnsi"/>
          <w:szCs w:val="24"/>
        </w:rPr>
      </w:pPr>
      <w:r w:rsidRPr="007A7515">
        <w:rPr>
          <w:rFonts w:asciiTheme="minorHAnsi" w:hAnsiTheme="minorHAnsi" w:cstheme="minorHAnsi"/>
          <w:szCs w:val="24"/>
          <w:lang w:eastAsia="en-GB"/>
        </w:rPr>
        <w:t>The sensitivity</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specificity</w:t>
      </w:r>
      <w:r>
        <w:rPr>
          <w:rFonts w:asciiTheme="minorHAnsi" w:hAnsiTheme="minorHAnsi" w:cstheme="minorHAnsi"/>
          <w:szCs w:val="24"/>
          <w:lang w:eastAsia="en-GB"/>
        </w:rPr>
        <w:t>, positive predictive value and negative predictive values</w:t>
      </w:r>
      <w:r w:rsidRPr="007A7515" w:rsidDel="008E6018">
        <w:rPr>
          <w:rFonts w:asciiTheme="minorHAnsi" w:hAnsiTheme="minorHAnsi" w:cstheme="minorHAnsi"/>
          <w:szCs w:val="24"/>
          <w:lang w:eastAsia="en-GB"/>
        </w:rPr>
        <w:t xml:space="preserve"> </w:t>
      </w:r>
      <w:r w:rsidR="0089693A" w:rsidRPr="007A7515">
        <w:rPr>
          <w:rFonts w:asciiTheme="minorHAnsi" w:hAnsiTheme="minorHAnsi" w:cstheme="minorHAnsi"/>
          <w:szCs w:val="24"/>
          <w:lang w:eastAsia="en-GB"/>
        </w:rPr>
        <w:t>for DCE-CT was 95</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3</w:t>
      </w:r>
      <w:r w:rsidR="0089693A" w:rsidRPr="007A7515">
        <w:rPr>
          <w:rFonts w:asciiTheme="minorHAnsi" w:hAnsiTheme="minorHAnsi" w:cstheme="minorHAnsi"/>
          <w:szCs w:val="24"/>
          <w:lang w:eastAsia="en-GB"/>
        </w:rPr>
        <w:t>% (95% CI 91</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3</w:t>
      </w:r>
      <w:r w:rsidR="0089693A" w:rsidRPr="007A7515">
        <w:rPr>
          <w:rFonts w:asciiTheme="minorHAnsi" w:hAnsiTheme="minorHAnsi" w:cstheme="minorHAnsi"/>
          <w:szCs w:val="24"/>
          <w:lang w:eastAsia="en-GB"/>
        </w:rPr>
        <w:t>;97</w:t>
      </w:r>
      <w:r w:rsidR="0053128F" w:rsidRPr="007A7515">
        <w:rPr>
          <w:rFonts w:asciiTheme="minorHAnsi" w:hAnsiTheme="minorHAnsi" w:cstheme="minorHAnsi"/>
          <w:szCs w:val="24"/>
          <w:lang w:eastAsia="en-GB"/>
        </w:rPr>
        <w:t>·5</w:t>
      </w:r>
      <w:r w:rsidR="0089693A" w:rsidRPr="007A7515">
        <w:rPr>
          <w:rFonts w:asciiTheme="minorHAnsi" w:hAnsiTheme="minorHAnsi" w:cstheme="minorHAnsi"/>
          <w:szCs w:val="24"/>
          <w:lang w:eastAsia="en-GB"/>
        </w:rPr>
        <w:t>)</w:t>
      </w:r>
      <w:r>
        <w:rPr>
          <w:rFonts w:asciiTheme="minorHAnsi" w:hAnsiTheme="minorHAnsi" w:cstheme="minorHAnsi"/>
          <w:szCs w:val="24"/>
          <w:lang w:eastAsia="en-GB"/>
        </w:rPr>
        <w:t xml:space="preserve">, </w:t>
      </w:r>
      <w:r w:rsidR="0089693A" w:rsidRPr="007A7515">
        <w:rPr>
          <w:rFonts w:asciiTheme="minorHAnsi" w:hAnsiTheme="minorHAnsi" w:cstheme="minorHAnsi"/>
          <w:szCs w:val="24"/>
          <w:lang w:eastAsia="en-GB"/>
        </w:rPr>
        <w:t>29</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8</w:t>
      </w:r>
      <w:r w:rsidR="0089693A" w:rsidRPr="007A7515">
        <w:rPr>
          <w:rFonts w:asciiTheme="minorHAnsi" w:hAnsiTheme="minorHAnsi" w:cstheme="minorHAnsi"/>
          <w:szCs w:val="24"/>
          <w:lang w:eastAsia="en-GB"/>
        </w:rPr>
        <w:t>% (95% CI</w:t>
      </w:r>
      <w:r w:rsidR="00B904B6" w:rsidRPr="007A7515">
        <w:rPr>
          <w:rFonts w:asciiTheme="minorHAnsi" w:hAnsiTheme="minorHAnsi" w:cstheme="minorHAnsi"/>
          <w:szCs w:val="24"/>
          <w:lang w:eastAsia="en-GB"/>
        </w:rPr>
        <w:t xml:space="preserve"> </w:t>
      </w:r>
      <w:r w:rsidR="0089693A" w:rsidRPr="007A7515">
        <w:rPr>
          <w:rFonts w:asciiTheme="minorHAnsi" w:hAnsiTheme="minorHAnsi" w:cstheme="minorHAnsi"/>
          <w:szCs w:val="24"/>
          <w:lang w:eastAsia="en-GB"/>
        </w:rPr>
        <w:t>22.</w:t>
      </w:r>
      <w:r w:rsidR="00771A6A" w:rsidRPr="007A7515">
        <w:rPr>
          <w:rFonts w:asciiTheme="minorHAnsi" w:hAnsiTheme="minorHAnsi" w:cstheme="minorHAnsi"/>
          <w:szCs w:val="24"/>
          <w:lang w:eastAsia="en-GB"/>
        </w:rPr>
        <w:t>3</w:t>
      </w:r>
      <w:r w:rsidR="0089693A" w:rsidRPr="007A7515">
        <w:rPr>
          <w:rFonts w:asciiTheme="minorHAnsi" w:hAnsiTheme="minorHAnsi" w:cstheme="minorHAnsi"/>
          <w:szCs w:val="24"/>
          <w:lang w:eastAsia="en-GB"/>
        </w:rPr>
        <w:t>;3</w:t>
      </w:r>
      <w:r w:rsidR="00771A6A" w:rsidRPr="007A7515">
        <w:rPr>
          <w:rFonts w:asciiTheme="minorHAnsi" w:hAnsiTheme="minorHAnsi" w:cstheme="minorHAnsi"/>
          <w:szCs w:val="24"/>
          <w:lang w:eastAsia="en-GB"/>
        </w:rPr>
        <w:t>8</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4</w:t>
      </w:r>
      <w:r w:rsidR="0089693A" w:rsidRPr="007A7515">
        <w:rPr>
          <w:rFonts w:asciiTheme="minorHAnsi" w:hAnsiTheme="minorHAnsi" w:cstheme="minorHAnsi"/>
          <w:szCs w:val="24"/>
          <w:lang w:eastAsia="en-GB"/>
        </w:rPr>
        <w:t>)</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68</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 xml:space="preserve">95% CI </w:t>
      </w:r>
      <w:r w:rsidRPr="00A02305">
        <w:rPr>
          <w:rFonts w:asciiTheme="minorHAnsi" w:hAnsiTheme="minorHAnsi" w:cstheme="minorHAnsi"/>
          <w:szCs w:val="24"/>
          <w:lang w:eastAsia="en-GB"/>
        </w:rPr>
        <w:t>62</w:t>
      </w:r>
      <w:r>
        <w:rPr>
          <w:rFonts w:asciiTheme="minorHAnsi" w:hAnsiTheme="minorHAnsi" w:cstheme="minorHAnsi"/>
          <w:szCs w:val="24"/>
          <w:lang w:eastAsia="en-GB"/>
        </w:rPr>
        <w:t>.</w:t>
      </w:r>
      <w:r w:rsidRPr="00A02305">
        <w:rPr>
          <w:rFonts w:asciiTheme="minorHAnsi" w:hAnsiTheme="minorHAnsi" w:cstheme="minorHAnsi"/>
          <w:szCs w:val="24"/>
          <w:lang w:eastAsia="en-GB"/>
        </w:rPr>
        <w:t>4%</w:t>
      </w:r>
      <w:r>
        <w:rPr>
          <w:rFonts w:asciiTheme="minorHAnsi" w:hAnsiTheme="minorHAnsi" w:cstheme="minorHAnsi"/>
          <w:szCs w:val="24"/>
          <w:lang w:eastAsia="en-GB"/>
        </w:rPr>
        <w:t>;</w:t>
      </w:r>
      <w:r w:rsidRPr="00A02305">
        <w:rPr>
          <w:rFonts w:asciiTheme="minorHAnsi" w:hAnsiTheme="minorHAnsi" w:cstheme="minorHAnsi"/>
          <w:szCs w:val="24"/>
          <w:lang w:eastAsia="en-GB"/>
        </w:rPr>
        <w:t>73</w:t>
      </w:r>
      <w:r>
        <w:rPr>
          <w:rFonts w:asciiTheme="minorHAnsi" w:hAnsiTheme="minorHAnsi" w:cstheme="minorHAnsi"/>
          <w:szCs w:val="24"/>
          <w:lang w:eastAsia="en-GB"/>
        </w:rPr>
        <w:t>.</w:t>
      </w:r>
      <w:r w:rsidRPr="00A02305">
        <w:rPr>
          <w:rFonts w:asciiTheme="minorHAnsi" w:hAnsiTheme="minorHAnsi" w:cstheme="minorHAnsi"/>
          <w:szCs w:val="24"/>
          <w:lang w:eastAsia="en-GB"/>
        </w:rPr>
        <w:t>5%</w:t>
      </w:r>
      <w:r>
        <w:rPr>
          <w:rFonts w:asciiTheme="minorHAnsi" w:hAnsiTheme="minorHAnsi" w:cstheme="minorHAnsi"/>
          <w:szCs w:val="24"/>
          <w:lang w:eastAsia="en-GB"/>
        </w:rPr>
        <w:t xml:space="preserve">] and </w:t>
      </w:r>
      <w:r w:rsidRPr="00A02305">
        <w:rPr>
          <w:rFonts w:asciiTheme="minorHAnsi" w:hAnsiTheme="minorHAnsi" w:cstheme="minorHAnsi"/>
          <w:szCs w:val="24"/>
          <w:lang w:eastAsia="en-GB"/>
        </w:rPr>
        <w:t>80</w:t>
      </w:r>
      <w:r>
        <w:rPr>
          <w:rFonts w:asciiTheme="minorHAnsi" w:hAnsiTheme="minorHAnsi" w:cstheme="minorHAnsi"/>
          <w:szCs w:val="24"/>
          <w:lang w:eastAsia="en-GB"/>
        </w:rPr>
        <w:t>.</w:t>
      </w:r>
      <w:r w:rsidRPr="00A02305">
        <w:rPr>
          <w:rFonts w:asciiTheme="minorHAnsi" w:hAnsiTheme="minorHAnsi" w:cstheme="minorHAnsi"/>
          <w:szCs w:val="24"/>
          <w:lang w:eastAsia="en-GB"/>
        </w:rPr>
        <w:t>0%</w:t>
      </w:r>
      <w:r>
        <w:rPr>
          <w:rFonts w:asciiTheme="minorHAnsi" w:hAnsiTheme="minorHAnsi" w:cstheme="minorHAnsi"/>
          <w:szCs w:val="24"/>
          <w:lang w:eastAsia="en-GB"/>
        </w:rPr>
        <w:t xml:space="preserve"> [</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66</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w:t>
      </w:r>
      <w:r w:rsidRPr="00A02305">
        <w:rPr>
          <w:rFonts w:asciiTheme="minorHAnsi" w:hAnsiTheme="minorHAnsi" w:cstheme="minorHAnsi"/>
          <w:szCs w:val="24"/>
          <w:lang w:eastAsia="en-GB"/>
        </w:rPr>
        <w:t>89</w:t>
      </w:r>
      <w:r>
        <w:rPr>
          <w:rFonts w:asciiTheme="minorHAnsi" w:hAnsiTheme="minorHAnsi" w:cstheme="minorHAnsi"/>
          <w:szCs w:val="24"/>
          <w:lang w:eastAsia="en-GB"/>
        </w:rPr>
        <w:t>.</w:t>
      </w:r>
      <w:r w:rsidRPr="00A02305">
        <w:rPr>
          <w:rFonts w:asciiTheme="minorHAnsi" w:hAnsiTheme="minorHAnsi" w:cstheme="minorHAnsi"/>
          <w:szCs w:val="24"/>
          <w:lang w:eastAsia="en-GB"/>
        </w:rPr>
        <w:t>1</w:t>
      </w:r>
      <w:r>
        <w:rPr>
          <w:rFonts w:asciiTheme="minorHAnsi" w:hAnsiTheme="minorHAnsi" w:cstheme="minorHAnsi"/>
          <w:szCs w:val="24"/>
          <w:lang w:eastAsia="en-GB"/>
        </w:rPr>
        <w:t>]</w:t>
      </w:r>
      <w:r w:rsidRPr="007A7515">
        <w:rPr>
          <w:rFonts w:asciiTheme="minorHAnsi" w:hAnsiTheme="minorHAnsi" w:cstheme="minorHAnsi"/>
          <w:szCs w:val="24"/>
          <w:lang w:eastAsia="en-GB"/>
        </w:rPr>
        <w:t xml:space="preserve"> respectively</w:t>
      </w:r>
      <w:r w:rsidR="0089693A" w:rsidRPr="007A7515">
        <w:rPr>
          <w:rFonts w:asciiTheme="minorHAnsi" w:hAnsiTheme="minorHAnsi" w:cstheme="minorHAnsi"/>
          <w:szCs w:val="24"/>
          <w:lang w:eastAsia="en-GB"/>
        </w:rPr>
        <w:t>, and for</w:t>
      </w:r>
      <w:r w:rsidR="0071513F" w:rsidRPr="007A7515">
        <w:rPr>
          <w:rFonts w:asciiTheme="minorHAnsi" w:hAnsiTheme="minorHAnsi" w:cstheme="minorHAnsi"/>
          <w:szCs w:val="24"/>
          <w:lang w:eastAsia="en-GB"/>
        </w:rPr>
        <w:t xml:space="preserve"> PET/CT </w:t>
      </w:r>
      <w:r w:rsidR="004B6B7C" w:rsidRPr="007A7515">
        <w:rPr>
          <w:rFonts w:asciiTheme="minorHAnsi" w:hAnsiTheme="minorHAnsi" w:cstheme="minorHAnsi"/>
          <w:szCs w:val="24"/>
          <w:lang w:eastAsia="en-GB"/>
        </w:rPr>
        <w:t xml:space="preserve">grade was </w:t>
      </w:r>
      <w:r w:rsidR="0089693A" w:rsidRPr="007A7515">
        <w:rPr>
          <w:rFonts w:asciiTheme="minorHAnsi" w:hAnsiTheme="minorHAnsi" w:cstheme="minorHAnsi"/>
          <w:szCs w:val="24"/>
          <w:lang w:eastAsia="en-GB"/>
        </w:rPr>
        <w:t>7</w:t>
      </w:r>
      <w:r w:rsidR="00771A6A" w:rsidRPr="007A7515">
        <w:rPr>
          <w:rFonts w:asciiTheme="minorHAnsi" w:hAnsiTheme="minorHAnsi" w:cstheme="minorHAnsi"/>
          <w:szCs w:val="24"/>
          <w:lang w:eastAsia="en-GB"/>
        </w:rPr>
        <w:t>9</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1</w:t>
      </w:r>
      <w:r w:rsidR="0089693A" w:rsidRPr="007A7515">
        <w:rPr>
          <w:rFonts w:asciiTheme="minorHAnsi" w:hAnsiTheme="minorHAnsi" w:cstheme="minorHAnsi"/>
          <w:szCs w:val="24"/>
          <w:lang w:eastAsia="en-GB"/>
        </w:rPr>
        <w:t xml:space="preserve">% (95% CI </w:t>
      </w:r>
      <w:r w:rsidR="00771A6A" w:rsidRPr="007A7515">
        <w:rPr>
          <w:rFonts w:asciiTheme="minorHAnsi" w:hAnsiTheme="minorHAnsi" w:cstheme="minorHAnsi"/>
          <w:szCs w:val="24"/>
          <w:lang w:eastAsia="en-GB"/>
        </w:rPr>
        <w:t>72</w:t>
      </w:r>
      <w:r w:rsidR="0053128F" w:rsidRPr="007A7515">
        <w:rPr>
          <w:rFonts w:asciiTheme="minorHAnsi" w:hAnsiTheme="minorHAnsi" w:cstheme="minorHAnsi"/>
          <w:szCs w:val="24"/>
          <w:lang w:eastAsia="en-GB"/>
        </w:rPr>
        <w:t>·7</w:t>
      </w:r>
      <w:r w:rsidR="0089693A" w:rsidRPr="007A7515">
        <w:rPr>
          <w:rFonts w:asciiTheme="minorHAnsi" w:hAnsiTheme="minorHAnsi" w:cstheme="minorHAnsi"/>
          <w:szCs w:val="24"/>
          <w:lang w:eastAsia="en-GB"/>
        </w:rPr>
        <w:t>;8</w:t>
      </w:r>
      <w:r w:rsidR="00771A6A" w:rsidRPr="007A7515">
        <w:rPr>
          <w:rFonts w:asciiTheme="minorHAnsi" w:hAnsiTheme="minorHAnsi" w:cstheme="minorHAnsi"/>
          <w:szCs w:val="24"/>
          <w:lang w:eastAsia="en-GB"/>
        </w:rPr>
        <w:t>4</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2</w:t>
      </w:r>
      <w:r w:rsidR="0089693A" w:rsidRPr="007A7515">
        <w:rPr>
          <w:rFonts w:asciiTheme="minorHAnsi" w:hAnsiTheme="minorHAnsi" w:cstheme="minorHAnsi"/>
          <w:szCs w:val="24"/>
          <w:lang w:eastAsia="en-GB"/>
        </w:rPr>
        <w:t>)</w:t>
      </w:r>
      <w:r>
        <w:rPr>
          <w:rFonts w:asciiTheme="minorHAnsi" w:hAnsiTheme="minorHAnsi" w:cstheme="minorHAnsi"/>
          <w:szCs w:val="24"/>
          <w:lang w:eastAsia="en-GB"/>
        </w:rPr>
        <w:t>,</w:t>
      </w:r>
      <w:r w:rsidR="0089693A" w:rsidRPr="007A7515">
        <w:rPr>
          <w:rFonts w:asciiTheme="minorHAnsi" w:hAnsiTheme="minorHAnsi" w:cstheme="minorHAnsi"/>
          <w:szCs w:val="24"/>
          <w:lang w:eastAsia="en-GB"/>
        </w:rPr>
        <w:t xml:space="preserve"> 8</w:t>
      </w:r>
      <w:r w:rsidR="00771A6A" w:rsidRPr="007A7515">
        <w:rPr>
          <w:rFonts w:asciiTheme="minorHAnsi" w:hAnsiTheme="minorHAnsi" w:cstheme="minorHAnsi"/>
          <w:szCs w:val="24"/>
          <w:lang w:eastAsia="en-GB"/>
        </w:rPr>
        <w:t>1</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8</w:t>
      </w:r>
      <w:r w:rsidR="0089693A" w:rsidRPr="007A7515">
        <w:rPr>
          <w:rFonts w:asciiTheme="minorHAnsi" w:hAnsiTheme="minorHAnsi" w:cstheme="minorHAnsi"/>
          <w:szCs w:val="24"/>
          <w:lang w:eastAsia="en-GB"/>
        </w:rPr>
        <w:t>% (95% CI 7</w:t>
      </w:r>
      <w:r w:rsidR="00771A6A" w:rsidRPr="007A7515">
        <w:rPr>
          <w:rFonts w:asciiTheme="minorHAnsi" w:hAnsiTheme="minorHAnsi" w:cstheme="minorHAnsi"/>
          <w:szCs w:val="24"/>
          <w:lang w:eastAsia="en-GB"/>
        </w:rPr>
        <w:t>4</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0</w:t>
      </w:r>
      <w:r w:rsidR="0089693A" w:rsidRPr="007A7515">
        <w:rPr>
          <w:rFonts w:asciiTheme="minorHAnsi" w:hAnsiTheme="minorHAnsi" w:cstheme="minorHAnsi"/>
          <w:szCs w:val="24"/>
          <w:lang w:eastAsia="en-GB"/>
        </w:rPr>
        <w:t>;8</w:t>
      </w:r>
      <w:r w:rsidR="00771A6A" w:rsidRPr="007A7515">
        <w:rPr>
          <w:rFonts w:asciiTheme="minorHAnsi" w:hAnsiTheme="minorHAnsi" w:cstheme="minorHAnsi"/>
          <w:szCs w:val="24"/>
          <w:lang w:eastAsia="en-GB"/>
        </w:rPr>
        <w:t>7</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7</w:t>
      </w:r>
      <w:r w:rsidR="0089693A" w:rsidRPr="007A7515">
        <w:rPr>
          <w:rFonts w:asciiTheme="minorHAnsi" w:hAnsiTheme="minorHAnsi" w:cstheme="minorHAnsi"/>
          <w:szCs w:val="24"/>
          <w:lang w:eastAsia="en-GB"/>
        </w:rPr>
        <w:t>)</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87</w:t>
      </w:r>
      <w:r>
        <w:rPr>
          <w:rFonts w:asciiTheme="minorHAnsi" w:hAnsiTheme="minorHAnsi" w:cstheme="minorHAnsi"/>
          <w:szCs w:val="24"/>
          <w:lang w:eastAsia="en-GB"/>
        </w:rPr>
        <w:t>.</w:t>
      </w:r>
      <w:r w:rsidRPr="00A02305">
        <w:rPr>
          <w:rFonts w:asciiTheme="minorHAnsi" w:hAnsiTheme="minorHAnsi" w:cstheme="minorHAnsi"/>
          <w:szCs w:val="24"/>
          <w:lang w:eastAsia="en-GB"/>
        </w:rPr>
        <w:t>3%</w:t>
      </w:r>
      <w:r>
        <w:rPr>
          <w:rFonts w:asciiTheme="minorHAnsi" w:hAnsiTheme="minorHAnsi" w:cstheme="minorHAnsi"/>
          <w:szCs w:val="24"/>
          <w:lang w:eastAsia="en-GB"/>
        </w:rPr>
        <w:t>[</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81</w:t>
      </w:r>
      <w:r>
        <w:rPr>
          <w:rFonts w:asciiTheme="minorHAnsi" w:hAnsiTheme="minorHAnsi" w:cstheme="minorHAnsi"/>
          <w:szCs w:val="24"/>
          <w:lang w:eastAsia="en-GB"/>
        </w:rPr>
        <w:t>.</w:t>
      </w:r>
      <w:r w:rsidRPr="00A02305">
        <w:rPr>
          <w:rFonts w:asciiTheme="minorHAnsi" w:hAnsiTheme="minorHAnsi" w:cstheme="minorHAnsi"/>
          <w:szCs w:val="24"/>
          <w:lang w:eastAsia="en-GB"/>
        </w:rPr>
        <w:t>5</w:t>
      </w:r>
      <w:r>
        <w:rPr>
          <w:rFonts w:asciiTheme="minorHAnsi" w:hAnsiTheme="minorHAnsi" w:cstheme="minorHAnsi"/>
          <w:szCs w:val="24"/>
          <w:lang w:eastAsia="en-GB"/>
        </w:rPr>
        <w:t>;</w:t>
      </w:r>
      <w:r w:rsidRPr="00A02305">
        <w:rPr>
          <w:rFonts w:asciiTheme="minorHAnsi" w:hAnsiTheme="minorHAnsi" w:cstheme="minorHAnsi"/>
          <w:szCs w:val="24"/>
          <w:lang w:eastAsia="en-GB"/>
        </w:rPr>
        <w:t>91</w:t>
      </w:r>
      <w:r>
        <w:rPr>
          <w:rFonts w:asciiTheme="minorHAnsi" w:hAnsiTheme="minorHAnsi" w:cstheme="minorHAnsi"/>
          <w:szCs w:val="24"/>
          <w:lang w:eastAsia="en-GB"/>
        </w:rPr>
        <w:t>.</w:t>
      </w:r>
      <w:r w:rsidRPr="00A02305">
        <w:rPr>
          <w:rFonts w:asciiTheme="minorHAnsi" w:hAnsiTheme="minorHAnsi" w:cstheme="minorHAnsi"/>
          <w:szCs w:val="24"/>
          <w:lang w:eastAsia="en-GB"/>
        </w:rPr>
        <w:t>5)</w:t>
      </w:r>
      <w:r>
        <w:rPr>
          <w:rFonts w:asciiTheme="minorHAnsi" w:hAnsiTheme="minorHAnsi" w:cstheme="minorHAnsi"/>
          <w:szCs w:val="24"/>
          <w:lang w:eastAsia="en-GB"/>
        </w:rPr>
        <w:t xml:space="preserve"> and </w:t>
      </w:r>
      <w:r w:rsidRPr="00A02305">
        <w:rPr>
          <w:rFonts w:asciiTheme="minorHAnsi" w:hAnsiTheme="minorHAnsi" w:cstheme="minorHAnsi"/>
          <w:szCs w:val="24"/>
          <w:lang w:eastAsia="en-GB"/>
        </w:rPr>
        <w:t>71·2%</w:t>
      </w:r>
      <w:r>
        <w:rPr>
          <w:rFonts w:asciiTheme="minorHAnsi" w:hAnsiTheme="minorHAnsi" w:cstheme="minorHAnsi"/>
          <w:szCs w:val="24"/>
          <w:lang w:eastAsia="en-GB"/>
        </w:rPr>
        <w:t xml:space="preserve"> </w:t>
      </w:r>
      <w:r>
        <w:rPr>
          <w:rFonts w:asciiTheme="minorHAnsi" w:hAnsiTheme="minorHAnsi" w:cstheme="minorHAnsi"/>
          <w:szCs w:val="24"/>
          <w:lang w:eastAsia="en-GB"/>
        </w:rPr>
        <w:t>[</w:t>
      </w:r>
      <w:r w:rsidRPr="007A7515">
        <w:rPr>
          <w:rFonts w:asciiTheme="minorHAnsi" w:hAnsiTheme="minorHAnsi" w:cstheme="minorHAnsi"/>
          <w:szCs w:val="24"/>
          <w:lang w:eastAsia="en-GB"/>
        </w:rPr>
        <w:t>95% CI</w:t>
      </w:r>
      <w:r>
        <w:rPr>
          <w:rFonts w:asciiTheme="minorHAnsi" w:hAnsiTheme="minorHAnsi" w:cstheme="minorHAnsi"/>
          <w:szCs w:val="24"/>
          <w:lang w:eastAsia="en-GB"/>
        </w:rPr>
        <w:t xml:space="preserve"> </w:t>
      </w:r>
      <w:r w:rsidRPr="00A02305">
        <w:rPr>
          <w:rFonts w:asciiTheme="minorHAnsi" w:hAnsiTheme="minorHAnsi" w:cstheme="minorHAnsi"/>
          <w:szCs w:val="24"/>
          <w:lang w:eastAsia="en-GB"/>
        </w:rPr>
        <w:t>63</w:t>
      </w:r>
      <w:r>
        <w:rPr>
          <w:rFonts w:asciiTheme="minorHAnsi" w:hAnsiTheme="minorHAnsi" w:cstheme="minorHAnsi"/>
          <w:szCs w:val="24"/>
          <w:lang w:eastAsia="en-GB"/>
        </w:rPr>
        <w:t>.</w:t>
      </w:r>
      <w:r w:rsidRPr="00A02305">
        <w:rPr>
          <w:rFonts w:asciiTheme="minorHAnsi" w:hAnsiTheme="minorHAnsi" w:cstheme="minorHAnsi"/>
          <w:szCs w:val="24"/>
          <w:lang w:eastAsia="en-GB"/>
        </w:rPr>
        <w:t>2</w:t>
      </w:r>
      <w:r>
        <w:rPr>
          <w:rFonts w:asciiTheme="minorHAnsi" w:hAnsiTheme="minorHAnsi" w:cstheme="minorHAnsi"/>
          <w:szCs w:val="24"/>
          <w:lang w:eastAsia="en-GB"/>
        </w:rPr>
        <w:t>;</w:t>
      </w:r>
      <w:r w:rsidRPr="00A02305">
        <w:rPr>
          <w:rFonts w:asciiTheme="minorHAnsi" w:hAnsiTheme="minorHAnsi" w:cstheme="minorHAnsi"/>
          <w:szCs w:val="24"/>
          <w:lang w:eastAsia="en-GB"/>
        </w:rPr>
        <w:t>78</w:t>
      </w:r>
      <w:r>
        <w:rPr>
          <w:rFonts w:asciiTheme="minorHAnsi" w:hAnsiTheme="minorHAnsi" w:cstheme="minorHAnsi"/>
          <w:szCs w:val="24"/>
          <w:lang w:eastAsia="en-GB"/>
        </w:rPr>
        <w:t>.</w:t>
      </w:r>
      <w:r w:rsidRPr="00A02305">
        <w:rPr>
          <w:rFonts w:asciiTheme="minorHAnsi" w:hAnsiTheme="minorHAnsi" w:cstheme="minorHAnsi"/>
          <w:szCs w:val="24"/>
          <w:lang w:eastAsia="en-GB"/>
        </w:rPr>
        <w:t>1</w:t>
      </w:r>
      <w:r>
        <w:rPr>
          <w:rFonts w:asciiTheme="minorHAnsi" w:hAnsiTheme="minorHAnsi" w:cstheme="minorHAnsi"/>
          <w:szCs w:val="24"/>
          <w:lang w:eastAsia="en-GB"/>
        </w:rPr>
        <w:t>]</w:t>
      </w:r>
      <w:r w:rsidR="00F93D5D" w:rsidRPr="007A7515">
        <w:rPr>
          <w:rFonts w:asciiTheme="minorHAnsi" w:hAnsiTheme="minorHAnsi" w:cstheme="minorHAnsi"/>
          <w:szCs w:val="24"/>
          <w:lang w:eastAsia="en-GB"/>
        </w:rPr>
        <w:t xml:space="preserve"> (Table 4)</w:t>
      </w:r>
      <w:r w:rsidR="0089693A" w:rsidRPr="007A7515">
        <w:rPr>
          <w:rFonts w:asciiTheme="minorHAnsi" w:hAnsiTheme="minorHAnsi" w:cstheme="minorHAnsi"/>
          <w:szCs w:val="24"/>
          <w:lang w:eastAsia="en-GB"/>
        </w:rPr>
        <w:t>.</w:t>
      </w:r>
      <w:r w:rsidR="00F93D5D" w:rsidRPr="007A7515">
        <w:rPr>
          <w:rFonts w:asciiTheme="minorHAnsi" w:hAnsiTheme="minorHAnsi" w:cstheme="minorHAnsi"/>
          <w:szCs w:val="24"/>
          <w:lang w:eastAsia="en-GB"/>
        </w:rPr>
        <w:t xml:space="preserve"> </w:t>
      </w:r>
      <w:r w:rsidR="00784C93" w:rsidRPr="007A7515">
        <w:rPr>
          <w:rFonts w:asciiTheme="minorHAnsi" w:hAnsiTheme="minorHAnsi" w:cstheme="minorHAnsi"/>
          <w:szCs w:val="24"/>
          <w:lang w:eastAsia="en-GB"/>
        </w:rPr>
        <w:t xml:space="preserve">Using an </w:t>
      </w:r>
      <w:proofErr w:type="spellStart"/>
      <w:r w:rsidR="00F93D5D" w:rsidRPr="007A7515">
        <w:rPr>
          <w:rFonts w:asciiTheme="minorHAnsi" w:hAnsiTheme="minorHAnsi" w:cstheme="minorHAnsi"/>
          <w:szCs w:val="24"/>
          <w:lang w:eastAsia="en-GB"/>
        </w:rPr>
        <w:t>SUVmax</w:t>
      </w:r>
      <w:proofErr w:type="spellEnd"/>
      <w:r w:rsidR="00F93D5D" w:rsidRPr="007A7515">
        <w:rPr>
          <w:rFonts w:asciiTheme="minorHAnsi" w:hAnsiTheme="minorHAnsi" w:cstheme="minorHAnsi"/>
          <w:szCs w:val="24"/>
          <w:lang w:eastAsia="en-GB"/>
        </w:rPr>
        <w:t xml:space="preserve"> of ≥2</w:t>
      </w:r>
      <w:r w:rsidR="0053128F" w:rsidRPr="007A7515">
        <w:rPr>
          <w:rFonts w:asciiTheme="minorHAnsi" w:hAnsiTheme="minorHAnsi" w:cstheme="minorHAnsi"/>
          <w:szCs w:val="24"/>
          <w:lang w:eastAsia="en-GB"/>
        </w:rPr>
        <w:t>·5</w:t>
      </w:r>
      <w:r w:rsidR="00784C93" w:rsidRPr="007A7515">
        <w:rPr>
          <w:rFonts w:asciiTheme="minorHAnsi" w:hAnsiTheme="minorHAnsi" w:cstheme="minorHAnsi"/>
          <w:szCs w:val="24"/>
          <w:lang w:eastAsia="en-GB"/>
        </w:rPr>
        <w:t xml:space="preserve"> as a cut</w:t>
      </w:r>
      <w:r w:rsidR="00485819" w:rsidRPr="007A7515">
        <w:rPr>
          <w:rFonts w:asciiTheme="minorHAnsi" w:hAnsiTheme="minorHAnsi" w:cstheme="minorHAnsi"/>
          <w:szCs w:val="24"/>
          <w:lang w:eastAsia="en-GB"/>
        </w:rPr>
        <w:t>-</w:t>
      </w:r>
      <w:r w:rsidR="00784C93" w:rsidRPr="007A7515">
        <w:rPr>
          <w:rFonts w:asciiTheme="minorHAnsi" w:hAnsiTheme="minorHAnsi" w:cstheme="minorHAnsi"/>
          <w:szCs w:val="24"/>
          <w:lang w:eastAsia="en-GB"/>
        </w:rPr>
        <w:t>off</w:t>
      </w:r>
      <w:r w:rsidR="00F93D5D" w:rsidRPr="007A7515">
        <w:rPr>
          <w:rFonts w:asciiTheme="minorHAnsi" w:hAnsiTheme="minorHAnsi" w:cstheme="minorHAnsi"/>
          <w:szCs w:val="24"/>
          <w:lang w:eastAsia="en-GB"/>
        </w:rPr>
        <w:t xml:space="preserve">, the sensitivity and specificity </w:t>
      </w:r>
      <w:r w:rsidR="009336C6" w:rsidRPr="007A7515">
        <w:rPr>
          <w:rFonts w:asciiTheme="minorHAnsi" w:hAnsiTheme="minorHAnsi" w:cstheme="minorHAnsi"/>
          <w:szCs w:val="24"/>
          <w:lang w:eastAsia="en-GB"/>
        </w:rPr>
        <w:t xml:space="preserve">was </w:t>
      </w:r>
      <w:r w:rsidR="004170AB" w:rsidRPr="007A7515">
        <w:rPr>
          <w:rFonts w:asciiTheme="minorHAnsi" w:hAnsiTheme="minorHAnsi" w:cstheme="minorHAnsi"/>
          <w:szCs w:val="24"/>
          <w:lang w:eastAsia="en-GB"/>
        </w:rPr>
        <w:t>76</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4</w:t>
      </w:r>
      <w:r w:rsidR="004170AB" w:rsidRPr="007A7515">
        <w:rPr>
          <w:rFonts w:asciiTheme="minorHAnsi" w:hAnsiTheme="minorHAnsi" w:cstheme="minorHAnsi"/>
          <w:szCs w:val="24"/>
          <w:lang w:eastAsia="en-GB"/>
        </w:rPr>
        <w:t>% (95% CI 69</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9</w:t>
      </w:r>
      <w:r w:rsidR="004170AB" w:rsidRPr="007A7515">
        <w:rPr>
          <w:rFonts w:asciiTheme="minorHAnsi" w:hAnsiTheme="minorHAnsi" w:cstheme="minorHAnsi"/>
          <w:szCs w:val="24"/>
          <w:lang w:eastAsia="en-GB"/>
        </w:rPr>
        <w:t>;81</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9</w:t>
      </w:r>
      <w:r w:rsidR="004170AB" w:rsidRPr="007A7515">
        <w:rPr>
          <w:rFonts w:asciiTheme="minorHAnsi" w:hAnsiTheme="minorHAnsi" w:cstheme="minorHAnsi"/>
          <w:szCs w:val="24"/>
          <w:lang w:eastAsia="en-GB"/>
        </w:rPr>
        <w:t>) and 8</w:t>
      </w:r>
      <w:r w:rsidR="00771A6A" w:rsidRPr="007A7515">
        <w:rPr>
          <w:rFonts w:asciiTheme="minorHAnsi" w:hAnsiTheme="minorHAnsi" w:cstheme="minorHAnsi"/>
          <w:szCs w:val="24"/>
          <w:lang w:eastAsia="en-GB"/>
        </w:rPr>
        <w:t>1</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5</w:t>
      </w:r>
      <w:r w:rsidR="004170AB" w:rsidRPr="007A7515">
        <w:rPr>
          <w:rFonts w:asciiTheme="minorHAnsi" w:hAnsiTheme="minorHAnsi" w:cstheme="minorHAnsi"/>
          <w:szCs w:val="24"/>
          <w:lang w:eastAsia="en-GB"/>
        </w:rPr>
        <w:t>% (95% CI 7</w:t>
      </w:r>
      <w:r w:rsidR="00771A6A" w:rsidRPr="007A7515">
        <w:rPr>
          <w:rFonts w:asciiTheme="minorHAnsi" w:hAnsiTheme="minorHAnsi" w:cstheme="minorHAnsi"/>
          <w:szCs w:val="24"/>
          <w:lang w:eastAsia="en-GB"/>
        </w:rPr>
        <w:t>3</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6</w:t>
      </w:r>
      <w:r w:rsidR="004170AB" w:rsidRPr="007A7515">
        <w:rPr>
          <w:rFonts w:asciiTheme="minorHAnsi" w:hAnsiTheme="minorHAnsi" w:cstheme="minorHAnsi"/>
          <w:szCs w:val="24"/>
          <w:lang w:eastAsia="en-GB"/>
        </w:rPr>
        <w:t>;8</w:t>
      </w:r>
      <w:r w:rsidR="00771A6A" w:rsidRPr="007A7515">
        <w:rPr>
          <w:rFonts w:asciiTheme="minorHAnsi" w:hAnsiTheme="minorHAnsi" w:cstheme="minorHAnsi"/>
          <w:szCs w:val="24"/>
          <w:lang w:eastAsia="en-GB"/>
        </w:rPr>
        <w:t>7</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5</w:t>
      </w:r>
      <w:r w:rsidR="004170AB" w:rsidRPr="007A7515">
        <w:rPr>
          <w:rFonts w:asciiTheme="minorHAnsi" w:hAnsiTheme="minorHAnsi" w:cstheme="minorHAnsi"/>
          <w:szCs w:val="24"/>
          <w:lang w:eastAsia="en-GB"/>
        </w:rPr>
        <w:t>)</w:t>
      </w:r>
      <w:r w:rsidR="009336C6" w:rsidRPr="007A7515">
        <w:rPr>
          <w:rFonts w:asciiTheme="minorHAnsi" w:hAnsiTheme="minorHAnsi" w:cstheme="minorHAnsi"/>
          <w:szCs w:val="24"/>
          <w:lang w:eastAsia="en-GB"/>
        </w:rPr>
        <w:t xml:space="preserve"> respectively</w:t>
      </w:r>
      <w:r w:rsidR="00F93D5D" w:rsidRPr="007A7515">
        <w:rPr>
          <w:rFonts w:asciiTheme="minorHAnsi" w:hAnsiTheme="minorHAnsi" w:cstheme="minorHAnsi"/>
          <w:szCs w:val="24"/>
          <w:lang w:eastAsia="en-GB"/>
        </w:rPr>
        <w:t>.</w:t>
      </w:r>
      <w:r w:rsidR="004170AB" w:rsidRPr="007A7515">
        <w:rPr>
          <w:rFonts w:asciiTheme="minorHAnsi" w:hAnsiTheme="minorHAnsi" w:cstheme="minorHAnsi"/>
          <w:szCs w:val="24"/>
          <w:lang w:eastAsia="en-GB"/>
        </w:rPr>
        <w:t xml:space="preserve"> </w:t>
      </w:r>
      <w:r w:rsidR="004170AB" w:rsidRPr="007A7515">
        <w:rPr>
          <w:rFonts w:asciiTheme="minorHAnsi" w:hAnsiTheme="minorHAnsi" w:cstheme="minorHAnsi"/>
          <w:szCs w:val="24"/>
        </w:rPr>
        <w:t xml:space="preserve">When combining </w:t>
      </w:r>
      <w:r w:rsidR="004170AB" w:rsidRPr="007A7515">
        <w:rPr>
          <w:rFonts w:asciiTheme="minorHAnsi" w:eastAsiaTheme="majorEastAsia" w:hAnsiTheme="minorHAnsi" w:cstheme="minorHAnsi"/>
          <w:szCs w:val="24"/>
        </w:rPr>
        <w:t>DCE-CT with</w:t>
      </w:r>
      <w:r w:rsidR="0071513F" w:rsidRPr="007A7515">
        <w:rPr>
          <w:rFonts w:asciiTheme="minorHAnsi" w:eastAsiaTheme="majorEastAsia" w:hAnsiTheme="minorHAnsi" w:cstheme="minorHAnsi"/>
          <w:szCs w:val="24"/>
        </w:rPr>
        <w:t xml:space="preserve"> PET/CT </w:t>
      </w:r>
      <w:r w:rsidR="004170AB" w:rsidRPr="007A7515">
        <w:rPr>
          <w:rFonts w:asciiTheme="minorHAnsi" w:eastAsiaTheme="majorEastAsia" w:hAnsiTheme="minorHAnsi" w:cstheme="minorHAnsi"/>
          <w:szCs w:val="24"/>
        </w:rPr>
        <w:t>(</w:t>
      </w:r>
      <w:r w:rsidR="004170AB" w:rsidRPr="007A7515">
        <w:rPr>
          <w:rFonts w:asciiTheme="minorHAnsi" w:eastAsiaTheme="majorEastAsia" w:hAnsiTheme="minorHAnsi" w:cstheme="minorHAnsi"/>
          <w:iCs/>
          <w:szCs w:val="24"/>
        </w:rPr>
        <w:t>Table 4</w:t>
      </w:r>
      <w:r w:rsidR="004170AB" w:rsidRPr="007A7515">
        <w:rPr>
          <w:rFonts w:asciiTheme="minorHAnsi" w:eastAsiaTheme="majorEastAsia" w:hAnsiTheme="minorHAnsi" w:cstheme="minorHAnsi"/>
          <w:szCs w:val="24"/>
        </w:rPr>
        <w:t>) the performance is similar to</w:t>
      </w:r>
      <w:r w:rsidR="0071513F" w:rsidRPr="007A7515">
        <w:rPr>
          <w:rFonts w:asciiTheme="minorHAnsi" w:eastAsiaTheme="majorEastAsia" w:hAnsiTheme="minorHAnsi" w:cstheme="minorHAnsi"/>
          <w:szCs w:val="24"/>
        </w:rPr>
        <w:t xml:space="preserve"> PET/CT </w:t>
      </w:r>
      <w:r w:rsidR="004170AB" w:rsidRPr="007A7515">
        <w:rPr>
          <w:rFonts w:asciiTheme="minorHAnsi" w:eastAsiaTheme="majorEastAsia" w:hAnsiTheme="minorHAnsi" w:cstheme="minorHAnsi"/>
          <w:szCs w:val="24"/>
        </w:rPr>
        <w:t xml:space="preserve">alone, but with a slightly lower sensitivity of </w:t>
      </w:r>
      <w:r w:rsidR="00771A6A" w:rsidRPr="007A7515">
        <w:rPr>
          <w:rFonts w:asciiTheme="minorHAnsi" w:eastAsiaTheme="majorEastAsia" w:hAnsiTheme="minorHAnsi" w:cstheme="minorHAnsi"/>
          <w:szCs w:val="24"/>
        </w:rPr>
        <w:t>7</w:t>
      </w:r>
      <w:r w:rsidR="00E47D68" w:rsidRPr="007A7515">
        <w:rPr>
          <w:rFonts w:asciiTheme="minorHAnsi" w:eastAsiaTheme="majorEastAsia" w:hAnsiTheme="minorHAnsi" w:cstheme="minorHAnsi"/>
          <w:szCs w:val="24"/>
        </w:rPr>
        <w:t>5</w:t>
      </w:r>
      <w:r w:rsidR="0053128F" w:rsidRPr="007A7515">
        <w:rPr>
          <w:rFonts w:asciiTheme="minorHAnsi" w:eastAsiaTheme="majorEastAsia" w:hAnsiTheme="minorHAnsi" w:cstheme="minorHAnsi"/>
          <w:szCs w:val="24"/>
        </w:rPr>
        <w:t>·</w:t>
      </w:r>
      <w:r w:rsidR="00E47D68" w:rsidRPr="007A7515">
        <w:rPr>
          <w:rFonts w:asciiTheme="minorHAnsi" w:eastAsiaTheme="majorEastAsia" w:hAnsiTheme="minorHAnsi" w:cstheme="minorHAnsi"/>
          <w:szCs w:val="24"/>
        </w:rPr>
        <w:t>4</w:t>
      </w:r>
      <w:r w:rsidR="004170AB" w:rsidRPr="007A7515">
        <w:rPr>
          <w:rFonts w:asciiTheme="minorHAnsi" w:eastAsiaTheme="majorEastAsia" w:hAnsiTheme="minorHAnsi" w:cstheme="minorHAnsi"/>
          <w:szCs w:val="24"/>
        </w:rPr>
        <w:t>% and a slightly higher specificity of 8</w:t>
      </w:r>
      <w:r w:rsidR="00771A6A" w:rsidRPr="007A7515">
        <w:rPr>
          <w:rFonts w:asciiTheme="minorHAnsi" w:eastAsiaTheme="majorEastAsia" w:hAnsiTheme="minorHAnsi" w:cstheme="minorHAnsi"/>
          <w:szCs w:val="24"/>
        </w:rPr>
        <w:t>3</w:t>
      </w:r>
      <w:r w:rsidR="0053128F" w:rsidRPr="007A7515">
        <w:rPr>
          <w:rFonts w:asciiTheme="minorHAnsi" w:eastAsiaTheme="majorEastAsia" w:hAnsiTheme="minorHAnsi" w:cstheme="minorHAnsi"/>
          <w:szCs w:val="24"/>
        </w:rPr>
        <w:t>·</w:t>
      </w:r>
      <w:r w:rsidR="00771A6A" w:rsidRPr="007A7515">
        <w:rPr>
          <w:rFonts w:asciiTheme="minorHAnsi" w:eastAsiaTheme="majorEastAsia" w:hAnsiTheme="minorHAnsi" w:cstheme="minorHAnsi"/>
          <w:szCs w:val="24"/>
        </w:rPr>
        <w:t>5</w:t>
      </w:r>
      <w:r w:rsidR="004170AB" w:rsidRPr="007A7515">
        <w:rPr>
          <w:rFonts w:asciiTheme="minorHAnsi" w:eastAsiaTheme="majorEastAsia" w:hAnsiTheme="minorHAnsi" w:cstheme="minorHAnsi"/>
          <w:szCs w:val="24"/>
        </w:rPr>
        <w:t xml:space="preserve">%. </w:t>
      </w:r>
      <w:bookmarkStart w:id="14" w:name="_GoBack"/>
      <w:bookmarkEnd w:id="14"/>
    </w:p>
    <w:p w14:paraId="429F66D8" w14:textId="7ABF2FAB" w:rsidR="00F93D5D" w:rsidRPr="007A7515" w:rsidRDefault="00F93D5D" w:rsidP="00AC2A8E">
      <w:pPr>
        <w:pStyle w:val="NoSpacing"/>
        <w:rPr>
          <w:rFonts w:asciiTheme="minorHAnsi" w:hAnsiTheme="minorHAnsi" w:cstheme="minorHAnsi"/>
          <w:szCs w:val="24"/>
          <w:highlight w:val="yellow"/>
          <w:lang w:eastAsia="en-GB"/>
        </w:rPr>
      </w:pPr>
    </w:p>
    <w:p w14:paraId="05E748B2" w14:textId="33163E17" w:rsidR="004D58BC" w:rsidRPr="007A7515" w:rsidRDefault="00210100" w:rsidP="004D58BC">
      <w:pPr>
        <w:pStyle w:val="NoSpacing"/>
        <w:rPr>
          <w:rFonts w:asciiTheme="minorHAnsi" w:hAnsiTheme="minorHAnsi" w:cstheme="minorHAnsi"/>
          <w:szCs w:val="24"/>
          <w:highlight w:val="yellow"/>
        </w:rPr>
      </w:pPr>
      <w:r w:rsidRPr="007A7515">
        <w:rPr>
          <w:rFonts w:asciiTheme="minorHAnsi" w:hAnsiTheme="minorHAnsi" w:cstheme="minorHAnsi"/>
          <w:szCs w:val="24"/>
        </w:rPr>
        <w:t xml:space="preserve">Figure 2 shows Receiver Operating Characteristic (ROC) curves for the pre-specified rules and the best performing combinations following exploratory modelling with logistic regression using the key elements from the imaging scans. </w:t>
      </w:r>
      <w:r w:rsidR="004D58BC" w:rsidRPr="007A7515">
        <w:rPr>
          <w:rFonts w:asciiTheme="minorHAnsi" w:hAnsiTheme="minorHAnsi" w:cstheme="minorHAnsi"/>
          <w:szCs w:val="24"/>
          <w:lang w:eastAsia="en-GB"/>
        </w:rPr>
        <w:t>The area under the receiver operator characteristic curve (AUROC) was 0</w:t>
      </w:r>
      <w:r w:rsidR="0053128F" w:rsidRPr="007A7515">
        <w:rPr>
          <w:rFonts w:asciiTheme="minorHAnsi" w:hAnsiTheme="minorHAnsi" w:cstheme="minorHAnsi"/>
          <w:szCs w:val="24"/>
          <w:lang w:eastAsia="en-GB"/>
        </w:rPr>
        <w:t>·6</w:t>
      </w:r>
      <w:r w:rsidR="004D58BC" w:rsidRPr="007A7515">
        <w:rPr>
          <w:rFonts w:asciiTheme="minorHAnsi" w:hAnsiTheme="minorHAnsi" w:cstheme="minorHAnsi"/>
          <w:szCs w:val="24"/>
          <w:lang w:eastAsia="en-GB"/>
        </w:rPr>
        <w:t>2 (95%</w:t>
      </w:r>
      <w:r w:rsidR="00B904B6" w:rsidRPr="007A7515">
        <w:rPr>
          <w:rFonts w:asciiTheme="minorHAnsi" w:hAnsiTheme="minorHAnsi" w:cstheme="minorHAnsi"/>
          <w:szCs w:val="24"/>
          <w:lang w:eastAsia="en-GB"/>
        </w:rPr>
        <w:t xml:space="preserve"> </w:t>
      </w:r>
      <w:r w:rsidR="004D58BC" w:rsidRPr="007A7515">
        <w:rPr>
          <w:rFonts w:asciiTheme="minorHAnsi" w:hAnsiTheme="minorHAnsi" w:cstheme="minorHAnsi"/>
          <w:szCs w:val="24"/>
          <w:lang w:eastAsia="en-GB"/>
        </w:rPr>
        <w:t>CI 0</w:t>
      </w:r>
      <w:r w:rsidR="0053128F" w:rsidRPr="007A7515">
        <w:rPr>
          <w:rFonts w:asciiTheme="minorHAnsi" w:hAnsiTheme="minorHAnsi" w:cstheme="minorHAnsi"/>
          <w:szCs w:val="24"/>
          <w:lang w:eastAsia="en-GB"/>
        </w:rPr>
        <w:t>·5</w:t>
      </w:r>
      <w:r w:rsidR="004D58BC" w:rsidRPr="007A7515">
        <w:rPr>
          <w:rFonts w:asciiTheme="minorHAnsi" w:hAnsiTheme="minorHAnsi" w:cstheme="minorHAnsi"/>
          <w:szCs w:val="24"/>
          <w:lang w:eastAsia="en-GB"/>
        </w:rPr>
        <w:t>8;0</w:t>
      </w:r>
      <w:r w:rsidR="0053128F" w:rsidRPr="007A7515">
        <w:rPr>
          <w:rFonts w:asciiTheme="minorHAnsi" w:hAnsiTheme="minorHAnsi" w:cstheme="minorHAnsi"/>
          <w:szCs w:val="24"/>
          <w:lang w:eastAsia="en-GB"/>
        </w:rPr>
        <w:t>·6</w:t>
      </w:r>
      <w:r w:rsidR="004D58BC" w:rsidRPr="007A7515">
        <w:rPr>
          <w:rFonts w:asciiTheme="minorHAnsi" w:hAnsiTheme="minorHAnsi" w:cstheme="minorHAnsi"/>
          <w:szCs w:val="24"/>
          <w:lang w:eastAsia="en-GB"/>
        </w:rPr>
        <w:t>7) for DCE-CT and 0</w:t>
      </w:r>
      <w:r w:rsidR="0053128F" w:rsidRPr="007A7515">
        <w:rPr>
          <w:rFonts w:asciiTheme="minorHAnsi" w:hAnsiTheme="minorHAnsi" w:cstheme="minorHAnsi"/>
          <w:szCs w:val="24"/>
          <w:lang w:eastAsia="en-GB"/>
        </w:rPr>
        <w:t>·</w:t>
      </w:r>
      <w:r w:rsidR="00771A6A" w:rsidRPr="007A7515">
        <w:rPr>
          <w:rFonts w:asciiTheme="minorHAnsi" w:hAnsiTheme="minorHAnsi" w:cstheme="minorHAnsi"/>
          <w:szCs w:val="24"/>
          <w:lang w:eastAsia="en-GB"/>
        </w:rPr>
        <w:t>8</w:t>
      </w:r>
      <w:r w:rsidR="00D35AEF" w:rsidRPr="007A7515">
        <w:rPr>
          <w:rFonts w:asciiTheme="minorHAnsi" w:hAnsiTheme="minorHAnsi" w:cstheme="minorHAnsi"/>
          <w:szCs w:val="24"/>
          <w:lang w:eastAsia="en-GB"/>
        </w:rPr>
        <w:t>0</w:t>
      </w:r>
      <w:r w:rsidR="004D58BC" w:rsidRPr="007A7515">
        <w:rPr>
          <w:rFonts w:asciiTheme="minorHAnsi" w:hAnsiTheme="minorHAnsi" w:cstheme="minorHAnsi"/>
          <w:szCs w:val="24"/>
          <w:lang w:eastAsia="en-GB"/>
        </w:rPr>
        <w:t xml:space="preserve"> (95%CI 0</w:t>
      </w:r>
      <w:r w:rsidR="0053128F" w:rsidRPr="007A7515">
        <w:rPr>
          <w:rFonts w:asciiTheme="minorHAnsi" w:hAnsiTheme="minorHAnsi" w:cstheme="minorHAnsi"/>
          <w:szCs w:val="24"/>
          <w:lang w:eastAsia="en-GB"/>
        </w:rPr>
        <w:t>·7</w:t>
      </w:r>
      <w:r w:rsidR="00E47D68" w:rsidRPr="007A7515">
        <w:rPr>
          <w:rFonts w:asciiTheme="minorHAnsi" w:hAnsiTheme="minorHAnsi" w:cstheme="minorHAnsi"/>
          <w:szCs w:val="24"/>
          <w:lang w:eastAsia="en-GB"/>
        </w:rPr>
        <w:t>6</w:t>
      </w:r>
      <w:r w:rsidR="004D58BC" w:rsidRPr="007A7515">
        <w:rPr>
          <w:rFonts w:asciiTheme="minorHAnsi" w:hAnsiTheme="minorHAnsi" w:cstheme="minorHAnsi"/>
          <w:szCs w:val="24"/>
          <w:lang w:eastAsia="en-GB"/>
        </w:rPr>
        <w:t>;0</w:t>
      </w:r>
      <w:r w:rsidR="0053128F" w:rsidRPr="007A7515">
        <w:rPr>
          <w:rFonts w:asciiTheme="minorHAnsi" w:hAnsiTheme="minorHAnsi" w:cstheme="minorHAnsi"/>
          <w:szCs w:val="24"/>
          <w:lang w:eastAsia="en-GB"/>
        </w:rPr>
        <w:t>·8</w:t>
      </w:r>
      <w:r w:rsidR="00771A6A" w:rsidRPr="007A7515">
        <w:rPr>
          <w:rFonts w:asciiTheme="minorHAnsi" w:hAnsiTheme="minorHAnsi" w:cstheme="minorHAnsi"/>
          <w:szCs w:val="24"/>
          <w:lang w:eastAsia="en-GB"/>
        </w:rPr>
        <w:t>5</w:t>
      </w:r>
      <w:r w:rsidR="004D58BC" w:rsidRPr="007A7515">
        <w:rPr>
          <w:rFonts w:asciiTheme="minorHAnsi" w:hAnsiTheme="minorHAnsi" w:cstheme="minorHAnsi"/>
          <w:szCs w:val="24"/>
          <w:lang w:eastAsia="en-GB"/>
        </w:rPr>
        <w:t>) for</w:t>
      </w:r>
      <w:r w:rsidR="0071513F" w:rsidRPr="007A7515">
        <w:rPr>
          <w:rFonts w:asciiTheme="minorHAnsi" w:hAnsiTheme="minorHAnsi" w:cstheme="minorHAnsi"/>
          <w:szCs w:val="24"/>
          <w:lang w:eastAsia="en-GB"/>
        </w:rPr>
        <w:t xml:space="preserve"> PET/CT </w:t>
      </w:r>
      <w:r w:rsidR="004D58BC" w:rsidRPr="007A7515">
        <w:rPr>
          <w:rFonts w:asciiTheme="minorHAnsi" w:hAnsiTheme="minorHAnsi" w:cstheme="minorHAnsi"/>
          <w:szCs w:val="24"/>
          <w:lang w:eastAsia="en-GB"/>
        </w:rPr>
        <w:t>(p&lt;0.0</w:t>
      </w:r>
      <w:r w:rsidR="00A333C4" w:rsidRPr="007A7515">
        <w:rPr>
          <w:rFonts w:asciiTheme="minorHAnsi" w:hAnsiTheme="minorHAnsi" w:cstheme="minorHAnsi"/>
          <w:szCs w:val="24"/>
          <w:lang w:eastAsia="en-GB"/>
        </w:rPr>
        <w:t>0</w:t>
      </w:r>
      <w:r w:rsidR="004D58BC" w:rsidRPr="007A7515">
        <w:rPr>
          <w:rFonts w:asciiTheme="minorHAnsi" w:hAnsiTheme="minorHAnsi" w:cstheme="minorHAnsi"/>
          <w:szCs w:val="24"/>
          <w:lang w:eastAsia="en-GB"/>
        </w:rPr>
        <w:t xml:space="preserve">01 for difference). </w:t>
      </w:r>
      <w:proofErr w:type="spellStart"/>
      <w:r w:rsidR="004D58BC" w:rsidRPr="007A7515">
        <w:rPr>
          <w:rFonts w:asciiTheme="minorHAnsi" w:hAnsiTheme="minorHAnsi" w:cstheme="minorHAnsi"/>
          <w:szCs w:val="24"/>
          <w:lang w:eastAsia="en-GB"/>
        </w:rPr>
        <w:t>SUVmax</w:t>
      </w:r>
      <w:proofErr w:type="spellEnd"/>
      <w:r w:rsidR="00844924" w:rsidRPr="007A7515">
        <w:rPr>
          <w:rFonts w:asciiTheme="minorHAnsi" w:hAnsiTheme="minorHAnsi" w:cstheme="minorHAnsi"/>
          <w:szCs w:val="24"/>
          <w:lang w:eastAsia="en-GB"/>
        </w:rPr>
        <w:t xml:space="preserve"> </w:t>
      </w:r>
      <w:r w:rsidR="004D58BC" w:rsidRPr="007A7515">
        <w:rPr>
          <w:rFonts w:asciiTheme="minorHAnsi" w:hAnsiTheme="minorHAnsi" w:cstheme="minorHAnsi"/>
          <w:szCs w:val="24"/>
          <w:lang w:eastAsia="en-GB"/>
        </w:rPr>
        <w:t>≥2</w:t>
      </w:r>
      <w:r w:rsidR="0053128F" w:rsidRPr="007A7515">
        <w:rPr>
          <w:rFonts w:asciiTheme="minorHAnsi" w:hAnsiTheme="minorHAnsi" w:cstheme="minorHAnsi"/>
          <w:szCs w:val="24"/>
          <w:lang w:eastAsia="en-GB"/>
        </w:rPr>
        <w:t>·5</w:t>
      </w:r>
      <w:r w:rsidR="004D58BC" w:rsidRPr="007A7515">
        <w:rPr>
          <w:rFonts w:asciiTheme="minorHAnsi" w:hAnsiTheme="minorHAnsi" w:cstheme="minorHAnsi"/>
          <w:szCs w:val="24"/>
          <w:lang w:eastAsia="en-GB"/>
        </w:rPr>
        <w:t xml:space="preserve"> as a cut off was no more accurate than the combined</w:t>
      </w:r>
      <w:r w:rsidR="0071513F" w:rsidRPr="007A7515">
        <w:rPr>
          <w:rFonts w:asciiTheme="minorHAnsi" w:hAnsiTheme="minorHAnsi" w:cstheme="minorHAnsi"/>
          <w:szCs w:val="24"/>
          <w:lang w:eastAsia="en-GB"/>
        </w:rPr>
        <w:t xml:space="preserve"> PET/CT </w:t>
      </w:r>
      <w:r w:rsidR="004D58BC" w:rsidRPr="007A7515">
        <w:rPr>
          <w:rFonts w:asciiTheme="minorHAnsi" w:hAnsiTheme="minorHAnsi" w:cstheme="minorHAnsi"/>
          <w:szCs w:val="24"/>
          <w:lang w:eastAsia="en-GB"/>
        </w:rPr>
        <w:t>grading (AUROC 0</w:t>
      </w:r>
      <w:r w:rsidR="0053128F" w:rsidRPr="007A7515">
        <w:rPr>
          <w:rFonts w:asciiTheme="minorHAnsi" w:hAnsiTheme="minorHAnsi" w:cstheme="minorHAnsi"/>
          <w:szCs w:val="24"/>
          <w:lang w:eastAsia="en-GB"/>
        </w:rPr>
        <w:t>·7</w:t>
      </w:r>
      <w:r w:rsidR="00771A6A" w:rsidRPr="007A7515">
        <w:rPr>
          <w:rFonts w:asciiTheme="minorHAnsi" w:hAnsiTheme="minorHAnsi" w:cstheme="minorHAnsi"/>
          <w:szCs w:val="24"/>
          <w:lang w:eastAsia="en-GB"/>
        </w:rPr>
        <w:t>9</w:t>
      </w:r>
      <w:r w:rsidR="004D58BC" w:rsidRPr="007A7515">
        <w:rPr>
          <w:rFonts w:asciiTheme="minorHAnsi" w:hAnsiTheme="minorHAnsi" w:cstheme="minorHAnsi"/>
          <w:szCs w:val="24"/>
          <w:lang w:eastAsia="en-GB"/>
        </w:rPr>
        <w:t xml:space="preserve"> (95% CI 0</w:t>
      </w:r>
      <w:r w:rsidR="0053128F" w:rsidRPr="007A7515">
        <w:rPr>
          <w:rFonts w:asciiTheme="minorHAnsi" w:hAnsiTheme="minorHAnsi" w:cstheme="minorHAnsi"/>
          <w:szCs w:val="24"/>
          <w:lang w:eastAsia="en-GB"/>
        </w:rPr>
        <w:t>·7</w:t>
      </w:r>
      <w:r w:rsidR="00771A6A" w:rsidRPr="007A7515">
        <w:rPr>
          <w:rFonts w:asciiTheme="minorHAnsi" w:hAnsiTheme="minorHAnsi" w:cstheme="minorHAnsi"/>
          <w:szCs w:val="24"/>
          <w:lang w:eastAsia="en-GB"/>
        </w:rPr>
        <w:t>4</w:t>
      </w:r>
      <w:r w:rsidR="004D58BC" w:rsidRPr="007A7515">
        <w:rPr>
          <w:rFonts w:asciiTheme="minorHAnsi" w:hAnsiTheme="minorHAnsi" w:cstheme="minorHAnsi"/>
          <w:szCs w:val="24"/>
          <w:lang w:eastAsia="en-GB"/>
        </w:rPr>
        <w:t>;0</w:t>
      </w:r>
      <w:r w:rsidR="0053128F" w:rsidRPr="007A7515">
        <w:rPr>
          <w:rFonts w:asciiTheme="minorHAnsi" w:hAnsiTheme="minorHAnsi" w:cstheme="minorHAnsi"/>
          <w:szCs w:val="24"/>
          <w:lang w:eastAsia="en-GB"/>
        </w:rPr>
        <w:t>·8</w:t>
      </w:r>
      <w:r w:rsidR="00E47D68" w:rsidRPr="007A7515">
        <w:rPr>
          <w:rFonts w:asciiTheme="minorHAnsi" w:hAnsiTheme="minorHAnsi" w:cstheme="minorHAnsi"/>
          <w:szCs w:val="24"/>
          <w:lang w:eastAsia="en-GB"/>
        </w:rPr>
        <w:t>4</w:t>
      </w:r>
      <w:r w:rsidR="004D58BC" w:rsidRPr="007A7515">
        <w:rPr>
          <w:rFonts w:asciiTheme="minorHAnsi" w:hAnsiTheme="minorHAnsi" w:cstheme="minorHAnsi"/>
          <w:szCs w:val="24"/>
          <w:lang w:eastAsia="en-GB"/>
        </w:rPr>
        <w:t>), p</w:t>
      </w:r>
      <w:r w:rsidR="00D35AEF" w:rsidRPr="007A7515">
        <w:rPr>
          <w:rFonts w:asciiTheme="minorHAnsi" w:hAnsiTheme="minorHAnsi" w:cstheme="minorHAnsi"/>
          <w:szCs w:val="24"/>
          <w:lang w:eastAsia="en-GB"/>
        </w:rPr>
        <w:t>=0.</w:t>
      </w:r>
      <w:r w:rsidR="00E47D68" w:rsidRPr="007A7515">
        <w:rPr>
          <w:rFonts w:asciiTheme="minorHAnsi" w:hAnsiTheme="minorHAnsi" w:cstheme="minorHAnsi"/>
          <w:szCs w:val="24"/>
          <w:lang w:eastAsia="en-GB"/>
        </w:rPr>
        <w:t>4</w:t>
      </w:r>
      <w:r w:rsidR="00A20B01" w:rsidRPr="007A7515">
        <w:rPr>
          <w:rFonts w:asciiTheme="minorHAnsi" w:hAnsiTheme="minorHAnsi" w:cstheme="minorHAnsi"/>
          <w:szCs w:val="24"/>
          <w:lang w:eastAsia="en-GB"/>
        </w:rPr>
        <w:t>8</w:t>
      </w:r>
      <w:r w:rsidR="004D58BC" w:rsidRPr="007A7515">
        <w:rPr>
          <w:rFonts w:asciiTheme="minorHAnsi" w:hAnsiTheme="minorHAnsi" w:cstheme="minorHAnsi"/>
          <w:szCs w:val="24"/>
          <w:lang w:eastAsia="en-GB"/>
        </w:rPr>
        <w:t xml:space="preserve"> for difference).</w:t>
      </w:r>
      <w:r w:rsidR="006F49FA">
        <w:rPr>
          <w:rFonts w:asciiTheme="minorHAnsi" w:hAnsiTheme="minorHAnsi" w:cstheme="minorHAnsi"/>
          <w:szCs w:val="24"/>
        </w:rPr>
        <w:t xml:space="preserve">  </w:t>
      </w:r>
      <w:r w:rsidR="00D35AEF" w:rsidRPr="007A7515">
        <w:rPr>
          <w:rFonts w:asciiTheme="minorHAnsi" w:hAnsiTheme="minorHAnsi" w:cstheme="minorHAnsi"/>
          <w:szCs w:val="24"/>
        </w:rPr>
        <w:t>Exploratory modelling of the various parameters at different thresholds showed</w:t>
      </w:r>
      <w:r w:rsidR="0044234B" w:rsidRPr="007A7515">
        <w:rPr>
          <w:rFonts w:asciiTheme="minorHAnsi" w:hAnsiTheme="minorHAnsi" w:cstheme="minorHAnsi"/>
          <w:szCs w:val="24"/>
        </w:rPr>
        <w:t xml:space="preserve"> </w:t>
      </w:r>
      <w:proofErr w:type="spellStart"/>
      <w:r w:rsidR="0044234B" w:rsidRPr="007A7515">
        <w:rPr>
          <w:rFonts w:asciiTheme="minorHAnsi" w:hAnsiTheme="minorHAnsi" w:cstheme="minorHAnsi"/>
          <w:szCs w:val="24"/>
        </w:rPr>
        <w:t>SUVmax</w:t>
      </w:r>
      <w:proofErr w:type="spellEnd"/>
      <w:r w:rsidR="00D35AEF" w:rsidRPr="007A7515">
        <w:rPr>
          <w:rFonts w:asciiTheme="minorHAnsi" w:hAnsiTheme="minorHAnsi" w:cstheme="minorHAnsi"/>
          <w:szCs w:val="24"/>
        </w:rPr>
        <w:t xml:space="preserve"> had the best diagnostic accuracy with an AU</w:t>
      </w:r>
      <w:r w:rsidR="00784C93" w:rsidRPr="007A7515">
        <w:rPr>
          <w:rFonts w:asciiTheme="minorHAnsi" w:hAnsiTheme="minorHAnsi" w:cstheme="minorHAnsi"/>
          <w:szCs w:val="24"/>
        </w:rPr>
        <w:t>RO</w:t>
      </w:r>
      <w:r w:rsidR="00D35AEF" w:rsidRPr="007A7515">
        <w:rPr>
          <w:rFonts w:asciiTheme="minorHAnsi" w:hAnsiTheme="minorHAnsi" w:cstheme="minorHAnsi"/>
          <w:szCs w:val="24"/>
        </w:rPr>
        <w:t>C of 0·87 (95% CI 0·83;0·91)</w:t>
      </w:r>
      <w:r w:rsidR="006F49FA">
        <w:rPr>
          <w:rFonts w:asciiTheme="minorHAnsi" w:hAnsiTheme="minorHAnsi" w:cstheme="minorHAnsi"/>
          <w:szCs w:val="24"/>
        </w:rPr>
        <w:t xml:space="preserve">. Addition of CT grade to DCE-CT PE </w:t>
      </w:r>
      <w:r w:rsidR="0009190D">
        <w:rPr>
          <w:rFonts w:asciiTheme="minorHAnsi" w:hAnsiTheme="minorHAnsi" w:cstheme="minorHAnsi"/>
          <w:szCs w:val="24"/>
        </w:rPr>
        <w:t>slightly increased</w:t>
      </w:r>
      <w:r w:rsidR="006F49FA">
        <w:rPr>
          <w:rFonts w:asciiTheme="minorHAnsi" w:hAnsiTheme="minorHAnsi" w:cstheme="minorHAnsi"/>
          <w:szCs w:val="24"/>
        </w:rPr>
        <w:t xml:space="preserve"> the accuracy of DCE-CT</w:t>
      </w:r>
      <w:r w:rsidR="0009190D">
        <w:rPr>
          <w:rFonts w:asciiTheme="minorHAnsi" w:hAnsiTheme="minorHAnsi" w:cstheme="minorHAnsi"/>
          <w:szCs w:val="24"/>
        </w:rPr>
        <w:t xml:space="preserve"> from an AUROC of 0.74 (95% CI 0.68 to 0.80) for PE alone, to</w:t>
      </w:r>
      <w:r w:rsidR="006F49FA">
        <w:rPr>
          <w:rFonts w:asciiTheme="minorHAnsi" w:hAnsiTheme="minorHAnsi" w:cstheme="minorHAnsi"/>
          <w:szCs w:val="24"/>
        </w:rPr>
        <w:t xml:space="preserve"> </w:t>
      </w:r>
      <w:r w:rsidR="0009190D">
        <w:rPr>
          <w:rFonts w:asciiTheme="minorHAnsi" w:hAnsiTheme="minorHAnsi" w:cstheme="minorHAnsi"/>
          <w:szCs w:val="24"/>
        </w:rPr>
        <w:t xml:space="preserve">an </w:t>
      </w:r>
      <w:r w:rsidR="006F49FA">
        <w:rPr>
          <w:rFonts w:asciiTheme="minorHAnsi" w:hAnsiTheme="minorHAnsi" w:cstheme="minorHAnsi"/>
          <w:szCs w:val="24"/>
        </w:rPr>
        <w:t>AU</w:t>
      </w:r>
      <w:r w:rsidR="0009190D">
        <w:rPr>
          <w:rFonts w:asciiTheme="minorHAnsi" w:hAnsiTheme="minorHAnsi" w:cstheme="minorHAnsi"/>
          <w:szCs w:val="24"/>
        </w:rPr>
        <w:t>RO</w:t>
      </w:r>
      <w:r w:rsidR="006F49FA">
        <w:rPr>
          <w:rFonts w:asciiTheme="minorHAnsi" w:hAnsiTheme="minorHAnsi" w:cstheme="minorHAnsi"/>
          <w:szCs w:val="24"/>
        </w:rPr>
        <w:t xml:space="preserve">C </w:t>
      </w:r>
      <w:r w:rsidR="0009190D">
        <w:rPr>
          <w:rFonts w:asciiTheme="minorHAnsi" w:hAnsiTheme="minorHAnsi" w:cstheme="minorHAnsi"/>
          <w:szCs w:val="24"/>
        </w:rPr>
        <w:t xml:space="preserve">of </w:t>
      </w:r>
      <w:r w:rsidR="006F49FA">
        <w:rPr>
          <w:rFonts w:asciiTheme="minorHAnsi" w:hAnsiTheme="minorHAnsi" w:cstheme="minorHAnsi"/>
          <w:szCs w:val="24"/>
        </w:rPr>
        <w:t>0.77 (95% CI 0.71 to 0.83)</w:t>
      </w:r>
      <w:r w:rsidR="0009190D">
        <w:rPr>
          <w:rFonts w:asciiTheme="minorHAnsi" w:hAnsiTheme="minorHAnsi" w:cstheme="minorHAnsi"/>
          <w:szCs w:val="24"/>
        </w:rPr>
        <w:t xml:space="preserve"> for combined grade and PE</w:t>
      </w:r>
      <w:r w:rsidR="006F49FA">
        <w:rPr>
          <w:rFonts w:asciiTheme="minorHAnsi" w:hAnsiTheme="minorHAnsi" w:cstheme="minorHAnsi"/>
          <w:szCs w:val="24"/>
        </w:rPr>
        <w:t xml:space="preserve">, but this remained lower than </w:t>
      </w:r>
      <w:r w:rsidR="0009190D">
        <w:rPr>
          <w:rFonts w:asciiTheme="minorHAnsi" w:hAnsiTheme="minorHAnsi" w:cstheme="minorHAnsi"/>
          <w:szCs w:val="24"/>
        </w:rPr>
        <w:t>that of</w:t>
      </w:r>
      <w:r w:rsidR="006F49FA">
        <w:rPr>
          <w:rFonts w:asciiTheme="minorHAnsi" w:hAnsiTheme="minorHAnsi" w:cstheme="minorHAnsi"/>
          <w:szCs w:val="24"/>
        </w:rPr>
        <w:t xml:space="preserve"> PET/CT.</w:t>
      </w:r>
      <w:r w:rsidR="0009190D">
        <w:rPr>
          <w:rFonts w:asciiTheme="minorHAnsi" w:hAnsiTheme="minorHAnsi" w:cstheme="minorHAnsi"/>
          <w:szCs w:val="24"/>
        </w:rPr>
        <w:t xml:space="preserve"> Co</w:t>
      </w:r>
      <w:r w:rsidR="00D35AEF" w:rsidRPr="007A7515">
        <w:rPr>
          <w:rFonts w:asciiTheme="minorHAnsi" w:hAnsiTheme="minorHAnsi" w:cstheme="minorHAnsi"/>
          <w:szCs w:val="24"/>
        </w:rPr>
        <w:t>mbin</w:t>
      </w:r>
      <w:r w:rsidR="0009190D">
        <w:rPr>
          <w:rFonts w:asciiTheme="minorHAnsi" w:hAnsiTheme="minorHAnsi" w:cstheme="minorHAnsi"/>
          <w:szCs w:val="24"/>
        </w:rPr>
        <w:t>ing</w:t>
      </w:r>
      <w:r w:rsidR="00D35AEF" w:rsidRPr="007A7515">
        <w:rPr>
          <w:rFonts w:asciiTheme="minorHAnsi" w:hAnsiTheme="minorHAnsi" w:cstheme="minorHAnsi"/>
          <w:szCs w:val="24"/>
        </w:rPr>
        <w:t xml:space="preserve"> DCE-CT </w:t>
      </w:r>
      <w:r w:rsidR="009336C6" w:rsidRPr="007A7515">
        <w:rPr>
          <w:rFonts w:asciiTheme="minorHAnsi" w:hAnsiTheme="minorHAnsi" w:cstheme="minorHAnsi"/>
          <w:szCs w:val="24"/>
        </w:rPr>
        <w:t>PE</w:t>
      </w:r>
      <w:r w:rsidR="0009190D">
        <w:rPr>
          <w:rFonts w:asciiTheme="minorHAnsi" w:hAnsiTheme="minorHAnsi" w:cstheme="minorHAnsi"/>
          <w:szCs w:val="24"/>
        </w:rPr>
        <w:t xml:space="preserve"> with </w:t>
      </w:r>
      <w:proofErr w:type="spellStart"/>
      <w:r w:rsidR="0009190D">
        <w:rPr>
          <w:rFonts w:asciiTheme="minorHAnsi" w:hAnsiTheme="minorHAnsi" w:cstheme="minorHAnsi"/>
          <w:szCs w:val="24"/>
        </w:rPr>
        <w:t>SUVmax</w:t>
      </w:r>
      <w:proofErr w:type="spellEnd"/>
      <w:r w:rsidR="0009190D">
        <w:rPr>
          <w:rFonts w:asciiTheme="minorHAnsi" w:hAnsiTheme="minorHAnsi" w:cstheme="minorHAnsi"/>
          <w:szCs w:val="24"/>
        </w:rPr>
        <w:t xml:space="preserve"> provided the best accuracy with </w:t>
      </w:r>
      <w:r w:rsidR="00784C93" w:rsidRPr="007A7515">
        <w:rPr>
          <w:rFonts w:asciiTheme="minorHAnsi" w:hAnsiTheme="minorHAnsi" w:cstheme="minorHAnsi"/>
          <w:szCs w:val="24"/>
        </w:rPr>
        <w:t xml:space="preserve">an </w:t>
      </w:r>
      <w:r w:rsidR="00D35AEF" w:rsidRPr="007A7515">
        <w:rPr>
          <w:rFonts w:asciiTheme="minorHAnsi" w:hAnsiTheme="minorHAnsi" w:cstheme="minorHAnsi"/>
          <w:szCs w:val="24"/>
          <w:lang w:eastAsia="en-GB"/>
        </w:rPr>
        <w:t>AU</w:t>
      </w:r>
      <w:r w:rsidR="00784C93" w:rsidRPr="007A7515">
        <w:rPr>
          <w:rFonts w:asciiTheme="minorHAnsi" w:hAnsiTheme="minorHAnsi" w:cstheme="minorHAnsi"/>
          <w:szCs w:val="24"/>
          <w:lang w:eastAsia="en-GB"/>
        </w:rPr>
        <w:t>RO</w:t>
      </w:r>
      <w:r w:rsidR="00D35AEF" w:rsidRPr="007A7515">
        <w:rPr>
          <w:rFonts w:asciiTheme="minorHAnsi" w:hAnsiTheme="minorHAnsi" w:cstheme="minorHAnsi"/>
          <w:szCs w:val="24"/>
          <w:lang w:eastAsia="en-GB"/>
        </w:rPr>
        <w:t xml:space="preserve">C </w:t>
      </w:r>
      <w:r w:rsidR="00553B53" w:rsidRPr="007A7515">
        <w:rPr>
          <w:rFonts w:asciiTheme="minorHAnsi" w:hAnsiTheme="minorHAnsi" w:cstheme="minorHAnsi"/>
          <w:szCs w:val="24"/>
          <w:lang w:eastAsia="en-GB"/>
        </w:rPr>
        <w:t xml:space="preserve">of </w:t>
      </w:r>
      <w:r w:rsidR="00D35AEF" w:rsidRPr="007A7515">
        <w:rPr>
          <w:rFonts w:asciiTheme="minorHAnsi" w:hAnsiTheme="minorHAnsi" w:cstheme="minorHAnsi"/>
          <w:szCs w:val="24"/>
          <w:lang w:eastAsia="en-GB"/>
        </w:rPr>
        <w:t>0·90 (95%</w:t>
      </w:r>
      <w:r w:rsidR="006F243C">
        <w:rPr>
          <w:rFonts w:asciiTheme="minorHAnsi" w:hAnsiTheme="minorHAnsi" w:cstheme="minorHAnsi"/>
          <w:szCs w:val="24"/>
          <w:lang w:eastAsia="en-GB"/>
        </w:rPr>
        <w:t xml:space="preserve"> </w:t>
      </w:r>
      <w:r w:rsidR="00D35AEF" w:rsidRPr="007A7515">
        <w:rPr>
          <w:rFonts w:asciiTheme="minorHAnsi" w:hAnsiTheme="minorHAnsi" w:cstheme="minorHAnsi"/>
          <w:szCs w:val="24"/>
          <w:lang w:eastAsia="en-GB"/>
        </w:rPr>
        <w:t>CI 0·86;0·93, p</w:t>
      </w:r>
      <w:r w:rsidR="00E47D68" w:rsidRPr="007A7515">
        <w:rPr>
          <w:rFonts w:asciiTheme="minorHAnsi" w:hAnsiTheme="minorHAnsi" w:cstheme="minorHAnsi"/>
          <w:szCs w:val="24"/>
          <w:lang w:eastAsia="en-GB"/>
        </w:rPr>
        <w:t>=0.029</w:t>
      </w:r>
      <w:r w:rsidR="00D35AEF" w:rsidRPr="007A7515">
        <w:rPr>
          <w:rFonts w:asciiTheme="minorHAnsi" w:hAnsiTheme="minorHAnsi" w:cstheme="minorHAnsi"/>
          <w:szCs w:val="24"/>
          <w:lang w:eastAsia="en-GB"/>
        </w:rPr>
        <w:t xml:space="preserve"> </w:t>
      </w:r>
      <w:r w:rsidR="0009190D">
        <w:rPr>
          <w:rFonts w:asciiTheme="minorHAnsi" w:hAnsiTheme="minorHAnsi" w:cstheme="minorHAnsi"/>
          <w:szCs w:val="24"/>
          <w:lang w:eastAsia="en-GB"/>
        </w:rPr>
        <w:t xml:space="preserve">versus </w:t>
      </w:r>
      <w:proofErr w:type="spellStart"/>
      <w:r w:rsidR="0009190D">
        <w:rPr>
          <w:rFonts w:asciiTheme="minorHAnsi" w:hAnsiTheme="minorHAnsi" w:cstheme="minorHAnsi"/>
          <w:szCs w:val="24"/>
          <w:lang w:eastAsia="en-GB"/>
        </w:rPr>
        <w:t>SUVmax</w:t>
      </w:r>
      <w:proofErr w:type="spellEnd"/>
      <w:r w:rsidR="0009190D">
        <w:rPr>
          <w:rFonts w:asciiTheme="minorHAnsi" w:hAnsiTheme="minorHAnsi" w:cstheme="minorHAnsi"/>
          <w:szCs w:val="24"/>
          <w:lang w:eastAsia="en-GB"/>
        </w:rPr>
        <w:t xml:space="preserve"> alone</w:t>
      </w:r>
      <w:r w:rsidR="00D35AEF" w:rsidRPr="007A7515">
        <w:rPr>
          <w:rFonts w:asciiTheme="minorHAnsi" w:hAnsiTheme="minorHAnsi" w:cstheme="minorHAnsi"/>
          <w:szCs w:val="24"/>
          <w:lang w:eastAsia="en-GB"/>
        </w:rPr>
        <w:t>)</w:t>
      </w:r>
      <w:r w:rsidR="00D35AEF" w:rsidRPr="007A7515">
        <w:rPr>
          <w:rFonts w:asciiTheme="minorHAnsi" w:hAnsiTheme="minorHAnsi" w:cstheme="minorHAnsi"/>
          <w:szCs w:val="24"/>
        </w:rPr>
        <w:t xml:space="preserve">. </w:t>
      </w:r>
    </w:p>
    <w:p w14:paraId="4243427F" w14:textId="77777777" w:rsidR="004D58BC" w:rsidRPr="007A7515" w:rsidRDefault="004D58BC" w:rsidP="004D58BC">
      <w:pPr>
        <w:pStyle w:val="NoSpacing"/>
        <w:rPr>
          <w:rFonts w:asciiTheme="minorHAnsi" w:hAnsiTheme="minorHAnsi" w:cstheme="minorHAnsi"/>
          <w:szCs w:val="24"/>
        </w:rPr>
      </w:pPr>
    </w:p>
    <w:p w14:paraId="295AD682" w14:textId="7ADF60A2" w:rsidR="004D58BC" w:rsidRPr="007A7515" w:rsidRDefault="00A333C4" w:rsidP="004D58BC">
      <w:pPr>
        <w:pStyle w:val="NoSpacing"/>
        <w:rPr>
          <w:rFonts w:asciiTheme="minorHAnsi" w:hAnsiTheme="minorHAnsi" w:cstheme="minorHAnsi"/>
          <w:szCs w:val="24"/>
        </w:rPr>
      </w:pPr>
      <w:r w:rsidRPr="007A7515">
        <w:rPr>
          <w:rFonts w:asciiTheme="minorHAnsi" w:hAnsiTheme="minorHAnsi" w:cstheme="minorHAnsi"/>
          <w:szCs w:val="24"/>
        </w:rPr>
        <w:t>T</w:t>
      </w:r>
      <w:r w:rsidR="004D58BC" w:rsidRPr="007A7515">
        <w:rPr>
          <w:rFonts w:asciiTheme="minorHAnsi" w:hAnsiTheme="minorHAnsi" w:cstheme="minorHAnsi"/>
          <w:szCs w:val="24"/>
        </w:rPr>
        <w:t xml:space="preserve">he single best cut-off options for the </w:t>
      </w:r>
      <w:r w:rsidR="0017655B" w:rsidRPr="007A7515">
        <w:rPr>
          <w:rFonts w:asciiTheme="minorHAnsi" w:hAnsiTheme="minorHAnsi" w:cstheme="minorHAnsi"/>
          <w:szCs w:val="24"/>
        </w:rPr>
        <w:t xml:space="preserve">exploratory </w:t>
      </w:r>
      <w:r w:rsidR="004D58BC" w:rsidRPr="007A7515">
        <w:rPr>
          <w:rFonts w:asciiTheme="minorHAnsi" w:hAnsiTheme="minorHAnsi" w:cstheme="minorHAnsi"/>
          <w:szCs w:val="24"/>
        </w:rPr>
        <w:t>models are</w:t>
      </w:r>
      <w:r w:rsidR="004001C6" w:rsidRPr="007A7515">
        <w:rPr>
          <w:rFonts w:asciiTheme="minorHAnsi" w:hAnsiTheme="minorHAnsi" w:cstheme="minorHAnsi"/>
          <w:szCs w:val="24"/>
        </w:rPr>
        <w:t xml:space="preserve"> </w:t>
      </w:r>
      <w:r w:rsidR="004D58BC" w:rsidRPr="007A7515">
        <w:rPr>
          <w:rFonts w:asciiTheme="minorHAnsi" w:hAnsiTheme="minorHAnsi" w:cstheme="minorHAnsi"/>
          <w:szCs w:val="24"/>
        </w:rPr>
        <w:t xml:space="preserve">in </w:t>
      </w:r>
      <w:r w:rsidR="004D58BC" w:rsidRPr="007A7515">
        <w:rPr>
          <w:rFonts w:asciiTheme="minorHAnsi" w:hAnsiTheme="minorHAnsi" w:cstheme="minorHAnsi"/>
          <w:i/>
          <w:szCs w:val="24"/>
        </w:rPr>
        <w:t xml:space="preserve">Table </w:t>
      </w:r>
      <w:r w:rsidRPr="007A7515">
        <w:rPr>
          <w:rFonts w:asciiTheme="minorHAnsi" w:hAnsiTheme="minorHAnsi" w:cstheme="minorHAnsi"/>
          <w:i/>
          <w:szCs w:val="24"/>
        </w:rPr>
        <w:t>5</w:t>
      </w:r>
      <w:r w:rsidR="004D58BC" w:rsidRPr="007A7515">
        <w:rPr>
          <w:rFonts w:asciiTheme="minorHAnsi" w:hAnsiTheme="minorHAnsi" w:cstheme="minorHAnsi"/>
          <w:szCs w:val="24"/>
        </w:rPr>
        <w:t xml:space="preserve"> (including both a 90% minimum sensitivity cut point and a balanced sensitivity and specificity cut point). </w:t>
      </w:r>
      <w:r w:rsidR="001C5DC8" w:rsidRPr="007A7515">
        <w:rPr>
          <w:rFonts w:asciiTheme="minorHAnsi" w:hAnsiTheme="minorHAnsi" w:cstheme="minorHAnsi"/>
          <w:szCs w:val="24"/>
        </w:rPr>
        <w:t>U</w:t>
      </w:r>
      <w:r w:rsidR="004D58BC" w:rsidRPr="007A7515">
        <w:rPr>
          <w:rFonts w:asciiTheme="minorHAnsi" w:hAnsiTheme="minorHAnsi" w:cstheme="minorHAnsi"/>
          <w:szCs w:val="24"/>
        </w:rPr>
        <w:t>sing a</w:t>
      </w:r>
      <w:r w:rsidR="009336C6" w:rsidRPr="007A7515">
        <w:rPr>
          <w:rFonts w:asciiTheme="minorHAnsi" w:hAnsiTheme="minorHAnsi" w:cstheme="minorHAnsi"/>
          <w:szCs w:val="24"/>
        </w:rPr>
        <w:t>n SUV</w:t>
      </w:r>
      <w:r w:rsidR="004D58BC" w:rsidRPr="007A7515">
        <w:rPr>
          <w:rFonts w:asciiTheme="minorHAnsi" w:hAnsiTheme="minorHAnsi" w:cstheme="minorHAnsi"/>
          <w:szCs w:val="24"/>
        </w:rPr>
        <w:t xml:space="preserve"> threshold of ≥ </w:t>
      </w:r>
      <w:r w:rsidR="00F83DDF" w:rsidRPr="007A7515">
        <w:rPr>
          <w:rFonts w:asciiTheme="minorHAnsi" w:hAnsiTheme="minorHAnsi" w:cstheme="minorHAnsi"/>
          <w:szCs w:val="24"/>
        </w:rPr>
        <w:t>2</w:t>
      </w:r>
      <w:r w:rsidR="0053128F" w:rsidRPr="007A7515">
        <w:rPr>
          <w:rFonts w:asciiTheme="minorHAnsi" w:hAnsiTheme="minorHAnsi" w:cstheme="minorHAnsi"/>
          <w:szCs w:val="24"/>
        </w:rPr>
        <w:t>·</w:t>
      </w:r>
      <w:r w:rsidR="00F83DDF" w:rsidRPr="007A7515">
        <w:rPr>
          <w:rFonts w:asciiTheme="minorHAnsi" w:hAnsiTheme="minorHAnsi" w:cstheme="minorHAnsi"/>
          <w:szCs w:val="24"/>
        </w:rPr>
        <w:t>3</w:t>
      </w:r>
      <w:r w:rsidR="004D58BC" w:rsidRPr="007A7515">
        <w:rPr>
          <w:rFonts w:asciiTheme="minorHAnsi" w:hAnsiTheme="minorHAnsi" w:cstheme="minorHAnsi"/>
          <w:szCs w:val="24"/>
        </w:rPr>
        <w:t xml:space="preserve"> produces an increased performance of </w:t>
      </w:r>
      <w:r w:rsidR="00F83DDF" w:rsidRPr="007A7515">
        <w:rPr>
          <w:rFonts w:asciiTheme="minorHAnsi" w:hAnsiTheme="minorHAnsi" w:cstheme="minorHAnsi"/>
          <w:szCs w:val="24"/>
        </w:rPr>
        <w:t>80</w:t>
      </w:r>
      <w:r w:rsidR="004D58BC" w:rsidRPr="007A7515">
        <w:rPr>
          <w:rFonts w:asciiTheme="minorHAnsi" w:hAnsiTheme="minorHAnsi" w:cstheme="minorHAnsi"/>
          <w:szCs w:val="24"/>
        </w:rPr>
        <w:t>.</w:t>
      </w:r>
      <w:r w:rsidR="00F83DDF" w:rsidRPr="007A7515">
        <w:rPr>
          <w:rFonts w:asciiTheme="minorHAnsi" w:hAnsiTheme="minorHAnsi" w:cstheme="minorHAnsi"/>
          <w:szCs w:val="24"/>
        </w:rPr>
        <w:t>5</w:t>
      </w:r>
      <w:r w:rsidR="004D58BC" w:rsidRPr="007A7515">
        <w:rPr>
          <w:rFonts w:asciiTheme="minorHAnsi" w:hAnsiTheme="minorHAnsi" w:cstheme="minorHAnsi"/>
          <w:szCs w:val="24"/>
        </w:rPr>
        <w:t xml:space="preserve">% sensitivity, </w:t>
      </w:r>
      <w:r w:rsidR="00F83DDF" w:rsidRPr="007A7515">
        <w:rPr>
          <w:rFonts w:asciiTheme="minorHAnsi" w:hAnsiTheme="minorHAnsi" w:cstheme="minorHAnsi"/>
          <w:szCs w:val="24"/>
        </w:rPr>
        <w:t>78</w:t>
      </w:r>
      <w:r w:rsidR="004D58BC" w:rsidRPr="007A7515">
        <w:rPr>
          <w:rFonts w:asciiTheme="minorHAnsi" w:hAnsiTheme="minorHAnsi" w:cstheme="minorHAnsi"/>
          <w:szCs w:val="24"/>
        </w:rPr>
        <w:t>.</w:t>
      </w:r>
      <w:r w:rsidR="00F83DDF" w:rsidRPr="007A7515">
        <w:rPr>
          <w:rFonts w:asciiTheme="minorHAnsi" w:hAnsiTheme="minorHAnsi" w:cstheme="minorHAnsi"/>
          <w:szCs w:val="24"/>
        </w:rPr>
        <w:t>2</w:t>
      </w:r>
      <w:r w:rsidR="004D58BC" w:rsidRPr="007A7515">
        <w:rPr>
          <w:rFonts w:asciiTheme="minorHAnsi" w:hAnsiTheme="minorHAnsi" w:cstheme="minorHAnsi"/>
          <w:szCs w:val="24"/>
        </w:rPr>
        <w:t xml:space="preserve">% specificity, </w:t>
      </w:r>
      <w:r w:rsidR="00F83DDF" w:rsidRPr="007A7515">
        <w:rPr>
          <w:rFonts w:asciiTheme="minorHAnsi" w:hAnsiTheme="minorHAnsi" w:cstheme="minorHAnsi"/>
          <w:szCs w:val="24"/>
        </w:rPr>
        <w:t>7</w:t>
      </w:r>
      <w:r w:rsidR="004D58BC" w:rsidRPr="007A7515">
        <w:rPr>
          <w:rFonts w:asciiTheme="minorHAnsi" w:hAnsiTheme="minorHAnsi" w:cstheme="minorHAnsi"/>
          <w:szCs w:val="24"/>
        </w:rPr>
        <w:t>1</w:t>
      </w:r>
      <w:r w:rsidR="0053128F" w:rsidRPr="007A7515">
        <w:rPr>
          <w:rFonts w:asciiTheme="minorHAnsi" w:hAnsiTheme="minorHAnsi" w:cstheme="minorHAnsi"/>
          <w:szCs w:val="24"/>
        </w:rPr>
        <w:t>·5</w:t>
      </w:r>
      <w:r w:rsidR="004D58BC" w:rsidRPr="007A7515">
        <w:rPr>
          <w:rFonts w:asciiTheme="minorHAnsi" w:hAnsiTheme="minorHAnsi" w:cstheme="minorHAnsi"/>
          <w:szCs w:val="24"/>
        </w:rPr>
        <w:t xml:space="preserve">% NPV, </w:t>
      </w:r>
      <w:r w:rsidRPr="007A7515">
        <w:rPr>
          <w:rFonts w:asciiTheme="minorHAnsi" w:hAnsiTheme="minorHAnsi" w:cstheme="minorHAnsi"/>
          <w:szCs w:val="24"/>
        </w:rPr>
        <w:t xml:space="preserve">and </w:t>
      </w:r>
      <w:r w:rsidR="00F83DDF" w:rsidRPr="007A7515">
        <w:rPr>
          <w:rFonts w:asciiTheme="minorHAnsi" w:hAnsiTheme="minorHAnsi" w:cstheme="minorHAnsi"/>
          <w:szCs w:val="24"/>
        </w:rPr>
        <w:t>85</w:t>
      </w:r>
      <w:r w:rsidR="0053128F" w:rsidRPr="007A7515">
        <w:rPr>
          <w:rFonts w:asciiTheme="minorHAnsi" w:hAnsiTheme="minorHAnsi" w:cstheme="minorHAnsi"/>
          <w:szCs w:val="24"/>
        </w:rPr>
        <w:t>·</w:t>
      </w:r>
      <w:r w:rsidR="00F83DDF" w:rsidRPr="007A7515">
        <w:rPr>
          <w:rFonts w:asciiTheme="minorHAnsi" w:hAnsiTheme="minorHAnsi" w:cstheme="minorHAnsi"/>
          <w:szCs w:val="24"/>
        </w:rPr>
        <w:t>5</w:t>
      </w:r>
      <w:r w:rsidR="004D58BC" w:rsidRPr="007A7515">
        <w:rPr>
          <w:rFonts w:asciiTheme="minorHAnsi" w:hAnsiTheme="minorHAnsi" w:cstheme="minorHAnsi"/>
          <w:szCs w:val="24"/>
        </w:rPr>
        <w:t xml:space="preserve">% PPV. </w:t>
      </w:r>
      <w:r w:rsidR="009336C6" w:rsidRPr="007A7515">
        <w:rPr>
          <w:rFonts w:asciiTheme="minorHAnsi" w:hAnsiTheme="minorHAnsi" w:cstheme="minorHAnsi"/>
          <w:szCs w:val="24"/>
        </w:rPr>
        <w:t>U</w:t>
      </w:r>
      <w:r w:rsidR="004D58BC" w:rsidRPr="007A7515">
        <w:rPr>
          <w:rFonts w:asciiTheme="minorHAnsi" w:hAnsiTheme="minorHAnsi" w:cstheme="minorHAnsi"/>
          <w:szCs w:val="24"/>
        </w:rPr>
        <w:t>sing a threshold probability of ≥ 0</w:t>
      </w:r>
      <w:r w:rsidR="0053128F" w:rsidRPr="007A7515">
        <w:rPr>
          <w:rFonts w:asciiTheme="minorHAnsi" w:hAnsiTheme="minorHAnsi" w:cstheme="minorHAnsi"/>
          <w:szCs w:val="24"/>
        </w:rPr>
        <w:t>·</w:t>
      </w:r>
      <w:r w:rsidR="00F83DDF" w:rsidRPr="007A7515">
        <w:rPr>
          <w:rFonts w:asciiTheme="minorHAnsi" w:hAnsiTheme="minorHAnsi" w:cstheme="minorHAnsi"/>
          <w:szCs w:val="24"/>
        </w:rPr>
        <w:t>53</w:t>
      </w:r>
      <w:r w:rsidR="009336C6" w:rsidRPr="007A7515">
        <w:rPr>
          <w:rFonts w:asciiTheme="minorHAnsi" w:hAnsiTheme="minorHAnsi" w:cstheme="minorHAnsi"/>
          <w:szCs w:val="24"/>
        </w:rPr>
        <w:t xml:space="preserve"> </w:t>
      </w:r>
      <w:r w:rsidR="004D58BC" w:rsidRPr="007A7515">
        <w:rPr>
          <w:rFonts w:asciiTheme="minorHAnsi" w:hAnsiTheme="minorHAnsi" w:cstheme="minorHAnsi"/>
          <w:szCs w:val="24"/>
        </w:rPr>
        <w:lastRenderedPageBreak/>
        <w:t xml:space="preserve">produces </w:t>
      </w:r>
      <w:r w:rsidR="00F83DDF" w:rsidRPr="007A7515">
        <w:rPr>
          <w:rFonts w:asciiTheme="minorHAnsi" w:hAnsiTheme="minorHAnsi" w:cstheme="minorHAnsi"/>
          <w:szCs w:val="24"/>
        </w:rPr>
        <w:t>84</w:t>
      </w:r>
      <w:r w:rsidR="0053128F" w:rsidRPr="007A7515">
        <w:rPr>
          <w:rFonts w:asciiTheme="minorHAnsi" w:hAnsiTheme="minorHAnsi" w:cstheme="minorHAnsi"/>
          <w:szCs w:val="24"/>
        </w:rPr>
        <w:t>·</w:t>
      </w:r>
      <w:r w:rsidR="00F83DDF" w:rsidRPr="007A7515">
        <w:rPr>
          <w:rFonts w:asciiTheme="minorHAnsi" w:hAnsiTheme="minorHAnsi" w:cstheme="minorHAnsi"/>
          <w:szCs w:val="24"/>
        </w:rPr>
        <w:t>7</w:t>
      </w:r>
      <w:r w:rsidR="004D58BC" w:rsidRPr="007A7515">
        <w:rPr>
          <w:rFonts w:asciiTheme="minorHAnsi" w:hAnsiTheme="minorHAnsi" w:cstheme="minorHAnsi"/>
          <w:szCs w:val="24"/>
        </w:rPr>
        <w:t xml:space="preserve">% sensitivity, </w:t>
      </w:r>
      <w:r w:rsidR="00F83DDF" w:rsidRPr="007A7515">
        <w:rPr>
          <w:rFonts w:asciiTheme="minorHAnsi" w:hAnsiTheme="minorHAnsi" w:cstheme="minorHAnsi"/>
          <w:szCs w:val="24"/>
        </w:rPr>
        <w:t>77</w:t>
      </w:r>
      <w:r w:rsidR="0053128F" w:rsidRPr="007A7515">
        <w:rPr>
          <w:rFonts w:asciiTheme="minorHAnsi" w:hAnsiTheme="minorHAnsi" w:cstheme="minorHAnsi"/>
          <w:szCs w:val="24"/>
        </w:rPr>
        <w:t>·</w:t>
      </w:r>
      <w:r w:rsidR="00F83DDF" w:rsidRPr="007A7515">
        <w:rPr>
          <w:rFonts w:asciiTheme="minorHAnsi" w:hAnsiTheme="minorHAnsi" w:cstheme="minorHAnsi"/>
          <w:szCs w:val="24"/>
        </w:rPr>
        <w:t>3</w:t>
      </w:r>
      <w:r w:rsidR="004D58BC" w:rsidRPr="007A7515">
        <w:rPr>
          <w:rFonts w:asciiTheme="minorHAnsi" w:hAnsiTheme="minorHAnsi" w:cstheme="minorHAnsi"/>
          <w:szCs w:val="24"/>
        </w:rPr>
        <w:t xml:space="preserve">% specificity, </w:t>
      </w:r>
      <w:r w:rsidR="00F83DDF" w:rsidRPr="007A7515">
        <w:rPr>
          <w:rFonts w:asciiTheme="minorHAnsi" w:hAnsiTheme="minorHAnsi" w:cstheme="minorHAnsi"/>
          <w:szCs w:val="24"/>
        </w:rPr>
        <w:t>76</w:t>
      </w:r>
      <w:r w:rsidR="0053128F" w:rsidRPr="007A7515">
        <w:rPr>
          <w:rFonts w:asciiTheme="minorHAnsi" w:hAnsiTheme="minorHAnsi" w:cstheme="minorHAnsi"/>
          <w:szCs w:val="24"/>
        </w:rPr>
        <w:t>·</w:t>
      </w:r>
      <w:r w:rsidR="00F83DDF" w:rsidRPr="007A7515">
        <w:rPr>
          <w:rFonts w:asciiTheme="minorHAnsi" w:hAnsiTheme="minorHAnsi" w:cstheme="minorHAnsi"/>
          <w:szCs w:val="24"/>
        </w:rPr>
        <w:t>0</w:t>
      </w:r>
      <w:r w:rsidR="004D58BC" w:rsidRPr="007A7515">
        <w:rPr>
          <w:rFonts w:asciiTheme="minorHAnsi" w:hAnsiTheme="minorHAnsi" w:cstheme="minorHAnsi"/>
          <w:szCs w:val="24"/>
        </w:rPr>
        <w:t xml:space="preserve">% NPV, </w:t>
      </w:r>
      <w:r w:rsidRPr="007A7515">
        <w:rPr>
          <w:rFonts w:asciiTheme="minorHAnsi" w:hAnsiTheme="minorHAnsi" w:cstheme="minorHAnsi"/>
          <w:szCs w:val="24"/>
        </w:rPr>
        <w:t xml:space="preserve">and </w:t>
      </w:r>
      <w:r w:rsidR="004D58BC" w:rsidRPr="007A7515">
        <w:rPr>
          <w:rFonts w:asciiTheme="minorHAnsi" w:hAnsiTheme="minorHAnsi" w:cstheme="minorHAnsi"/>
          <w:szCs w:val="24"/>
        </w:rPr>
        <w:t>8</w:t>
      </w:r>
      <w:r w:rsidR="00F83DDF" w:rsidRPr="007A7515">
        <w:rPr>
          <w:rFonts w:asciiTheme="minorHAnsi" w:hAnsiTheme="minorHAnsi" w:cstheme="minorHAnsi"/>
          <w:szCs w:val="24"/>
        </w:rPr>
        <w:t>5</w:t>
      </w:r>
      <w:r w:rsidR="0053128F" w:rsidRPr="007A7515">
        <w:rPr>
          <w:rFonts w:asciiTheme="minorHAnsi" w:hAnsiTheme="minorHAnsi" w:cstheme="minorHAnsi"/>
          <w:szCs w:val="24"/>
        </w:rPr>
        <w:t>·</w:t>
      </w:r>
      <w:r w:rsidR="00F83DDF" w:rsidRPr="007A7515">
        <w:rPr>
          <w:rFonts w:asciiTheme="minorHAnsi" w:hAnsiTheme="minorHAnsi" w:cstheme="minorHAnsi"/>
          <w:szCs w:val="24"/>
        </w:rPr>
        <w:t>6</w:t>
      </w:r>
      <w:r w:rsidR="004D58BC" w:rsidRPr="007A7515">
        <w:rPr>
          <w:rFonts w:asciiTheme="minorHAnsi" w:hAnsiTheme="minorHAnsi" w:cstheme="minorHAnsi"/>
          <w:szCs w:val="24"/>
        </w:rPr>
        <w:t>% PPV</w:t>
      </w:r>
      <w:r w:rsidR="00E47D68" w:rsidRPr="007A7515">
        <w:rPr>
          <w:rFonts w:asciiTheme="minorHAnsi" w:hAnsiTheme="minorHAnsi" w:cstheme="minorHAnsi"/>
          <w:szCs w:val="24"/>
        </w:rPr>
        <w:t xml:space="preserve"> for the model combining</w:t>
      </w:r>
      <w:r w:rsidR="0044234B" w:rsidRPr="007A7515">
        <w:rPr>
          <w:rFonts w:asciiTheme="minorHAnsi" w:hAnsiTheme="minorHAnsi" w:cstheme="minorHAnsi"/>
          <w:szCs w:val="24"/>
        </w:rPr>
        <w:t xml:space="preserve"> </w:t>
      </w:r>
      <w:proofErr w:type="spellStart"/>
      <w:r w:rsidR="0044234B" w:rsidRPr="007A7515">
        <w:rPr>
          <w:rFonts w:asciiTheme="minorHAnsi" w:hAnsiTheme="minorHAnsi" w:cstheme="minorHAnsi"/>
          <w:szCs w:val="24"/>
        </w:rPr>
        <w:t>SUVmax</w:t>
      </w:r>
      <w:proofErr w:type="spellEnd"/>
      <w:r w:rsidR="00E47D68" w:rsidRPr="007A7515">
        <w:rPr>
          <w:rFonts w:asciiTheme="minorHAnsi" w:hAnsiTheme="minorHAnsi" w:cstheme="minorHAnsi"/>
          <w:szCs w:val="24"/>
        </w:rPr>
        <w:t xml:space="preserve"> and DCE-CT </w:t>
      </w:r>
      <w:r w:rsidR="0044234B" w:rsidRPr="007A7515">
        <w:rPr>
          <w:rFonts w:asciiTheme="minorHAnsi" w:hAnsiTheme="minorHAnsi" w:cstheme="minorHAnsi"/>
          <w:szCs w:val="24"/>
        </w:rPr>
        <w:t xml:space="preserve">PE </w:t>
      </w:r>
    </w:p>
    <w:p w14:paraId="60AFD414" w14:textId="5467E44C" w:rsidR="00194380" w:rsidRPr="007A7515" w:rsidRDefault="00194380" w:rsidP="004D58BC">
      <w:pPr>
        <w:pStyle w:val="NoSpacing"/>
        <w:rPr>
          <w:rFonts w:asciiTheme="minorHAnsi" w:hAnsiTheme="minorHAnsi" w:cstheme="minorHAnsi"/>
          <w:szCs w:val="24"/>
          <w:highlight w:val="yellow"/>
        </w:rPr>
      </w:pPr>
    </w:p>
    <w:p w14:paraId="1B89EA6F" w14:textId="2FFE9D65" w:rsidR="00C60C37" w:rsidRPr="007A7515" w:rsidRDefault="00C60C37" w:rsidP="00C60C37">
      <w:pPr>
        <w:pStyle w:val="NoSpacing"/>
        <w:rPr>
          <w:rFonts w:asciiTheme="minorHAnsi" w:hAnsiTheme="minorHAnsi" w:cstheme="minorHAnsi"/>
          <w:szCs w:val="24"/>
        </w:rPr>
      </w:pPr>
      <w:bookmarkStart w:id="15" w:name="_Toc26861607"/>
      <w:r w:rsidRPr="007A7515">
        <w:rPr>
          <w:rFonts w:asciiTheme="minorHAnsi" w:hAnsiTheme="minorHAnsi" w:cstheme="minorHAnsi"/>
          <w:szCs w:val="24"/>
        </w:rPr>
        <w:t>Cost-consequence analysis showed DCE-CT was on average least costly (£3,305 [95% CI £2,952</w:t>
      </w:r>
      <w:r w:rsidR="006F243C">
        <w:rPr>
          <w:rFonts w:asciiTheme="minorHAnsi" w:hAnsiTheme="minorHAnsi" w:cstheme="minorHAnsi"/>
          <w:szCs w:val="24"/>
        </w:rPr>
        <w:t>;</w:t>
      </w:r>
      <w:r w:rsidRPr="007A7515">
        <w:rPr>
          <w:rFonts w:asciiTheme="minorHAnsi" w:hAnsiTheme="minorHAnsi" w:cstheme="minorHAnsi"/>
          <w:szCs w:val="24"/>
        </w:rPr>
        <w:t>£3,746]) compared with</w:t>
      </w:r>
      <w:r w:rsidR="0071513F" w:rsidRPr="007A7515">
        <w:rPr>
          <w:rFonts w:asciiTheme="minorHAnsi" w:hAnsiTheme="minorHAnsi" w:cstheme="minorHAnsi"/>
          <w:szCs w:val="24"/>
        </w:rPr>
        <w:t xml:space="preserve"> PET/CT </w:t>
      </w:r>
      <w:r w:rsidRPr="007A7515">
        <w:rPr>
          <w:rFonts w:asciiTheme="minorHAnsi" w:hAnsiTheme="minorHAnsi" w:cstheme="minorHAnsi"/>
          <w:szCs w:val="24"/>
        </w:rPr>
        <w:t>(£4,013 [95% CI £3,673</w:t>
      </w:r>
      <w:r w:rsidR="006F243C">
        <w:rPr>
          <w:rFonts w:asciiTheme="minorHAnsi" w:hAnsiTheme="minorHAnsi" w:cstheme="minorHAnsi"/>
          <w:szCs w:val="24"/>
        </w:rPr>
        <w:t>;</w:t>
      </w:r>
      <w:r w:rsidRPr="007A7515">
        <w:rPr>
          <w:rFonts w:asciiTheme="minorHAnsi" w:hAnsiTheme="minorHAnsi" w:cstheme="minorHAnsi"/>
          <w:szCs w:val="24"/>
        </w:rPr>
        <w:t>£4,498]) or combined DCE-CT &amp;</w:t>
      </w:r>
      <w:r w:rsidR="0071513F" w:rsidRPr="007A7515">
        <w:rPr>
          <w:rFonts w:asciiTheme="minorHAnsi" w:hAnsiTheme="minorHAnsi" w:cstheme="minorHAnsi"/>
          <w:szCs w:val="24"/>
        </w:rPr>
        <w:t xml:space="preserve"> PET/CT </w:t>
      </w:r>
      <w:r w:rsidRPr="007A7515">
        <w:rPr>
          <w:rFonts w:asciiTheme="minorHAnsi" w:hAnsiTheme="minorHAnsi" w:cstheme="minorHAnsi"/>
          <w:szCs w:val="24"/>
        </w:rPr>
        <w:t>(£4,058 [95% CI £3,702</w:t>
      </w:r>
      <w:r w:rsidR="006F243C">
        <w:rPr>
          <w:rFonts w:asciiTheme="minorHAnsi" w:hAnsiTheme="minorHAnsi" w:cstheme="minorHAnsi"/>
          <w:szCs w:val="24"/>
        </w:rPr>
        <w:t>;</w:t>
      </w:r>
      <w:r w:rsidRPr="007A7515">
        <w:rPr>
          <w:rFonts w:asciiTheme="minorHAnsi" w:hAnsiTheme="minorHAnsi" w:cstheme="minorHAnsi"/>
          <w:szCs w:val="24"/>
        </w:rPr>
        <w:t xml:space="preserve">£4,547]) (see also </w:t>
      </w:r>
      <w:r w:rsidRPr="007A7515">
        <w:rPr>
          <w:rFonts w:asciiTheme="minorHAnsi" w:hAnsiTheme="minorHAnsi" w:cstheme="minorHAnsi"/>
          <w:i/>
          <w:szCs w:val="24"/>
        </w:rPr>
        <w:t>Table 6</w:t>
      </w:r>
      <w:r w:rsidRPr="007A7515">
        <w:rPr>
          <w:rFonts w:asciiTheme="minorHAnsi" w:hAnsiTheme="minorHAnsi" w:cstheme="minorHAnsi"/>
          <w:szCs w:val="24"/>
        </w:rPr>
        <w:t xml:space="preserve">). </w:t>
      </w:r>
      <w:r w:rsidR="0071513F" w:rsidRPr="007A7515">
        <w:rPr>
          <w:rFonts w:asciiTheme="minorHAnsi" w:hAnsiTheme="minorHAnsi" w:cstheme="minorHAnsi"/>
          <w:szCs w:val="24"/>
        </w:rPr>
        <w:t xml:space="preserve">PET/CT </w:t>
      </w:r>
      <w:r w:rsidRPr="007A7515">
        <w:rPr>
          <w:rFonts w:asciiTheme="minorHAnsi" w:hAnsiTheme="minorHAnsi" w:cstheme="minorHAnsi"/>
          <w:szCs w:val="24"/>
        </w:rPr>
        <w:t>resulted</w:t>
      </w:r>
      <w:r w:rsidR="00B15453" w:rsidRPr="007A7515">
        <w:rPr>
          <w:rFonts w:asciiTheme="minorHAnsi" w:hAnsiTheme="minorHAnsi" w:cstheme="minorHAnsi"/>
          <w:szCs w:val="24"/>
        </w:rPr>
        <w:t xml:space="preserve"> on average</w:t>
      </w:r>
      <w:r w:rsidRPr="007A7515">
        <w:rPr>
          <w:rFonts w:asciiTheme="minorHAnsi" w:hAnsiTheme="minorHAnsi" w:cstheme="minorHAnsi"/>
          <w:szCs w:val="24"/>
        </w:rPr>
        <w:t xml:space="preserve"> in more correctly managed malignant cases than DCE-CT (44% [95% CI 39%</w:t>
      </w:r>
      <w:r w:rsidR="006F243C">
        <w:rPr>
          <w:rFonts w:asciiTheme="minorHAnsi" w:hAnsiTheme="minorHAnsi" w:cstheme="minorHAnsi"/>
          <w:szCs w:val="24"/>
        </w:rPr>
        <w:t>;</w:t>
      </w:r>
      <w:r w:rsidRPr="007A7515">
        <w:rPr>
          <w:rFonts w:asciiTheme="minorHAnsi" w:hAnsiTheme="minorHAnsi" w:cstheme="minorHAnsi"/>
          <w:szCs w:val="24"/>
        </w:rPr>
        <w:t>49%] vs. 40% [95% CI</w:t>
      </w:r>
      <w:r w:rsidR="006F243C">
        <w:rPr>
          <w:rFonts w:asciiTheme="minorHAnsi" w:hAnsiTheme="minorHAnsi" w:cstheme="minorHAnsi"/>
          <w:szCs w:val="24"/>
        </w:rPr>
        <w:t xml:space="preserve"> </w:t>
      </w:r>
      <w:r w:rsidRPr="007A7515">
        <w:rPr>
          <w:rFonts w:asciiTheme="minorHAnsi" w:hAnsiTheme="minorHAnsi" w:cstheme="minorHAnsi"/>
          <w:szCs w:val="24"/>
        </w:rPr>
        <w:t>35%</w:t>
      </w:r>
      <w:r w:rsidR="006F243C">
        <w:rPr>
          <w:rFonts w:asciiTheme="minorHAnsi" w:hAnsiTheme="minorHAnsi" w:cstheme="minorHAnsi"/>
          <w:szCs w:val="24"/>
        </w:rPr>
        <w:t>;</w:t>
      </w:r>
      <w:r w:rsidRPr="007A7515">
        <w:rPr>
          <w:rFonts w:asciiTheme="minorHAnsi" w:hAnsiTheme="minorHAnsi" w:cstheme="minorHAnsi"/>
          <w:szCs w:val="24"/>
        </w:rPr>
        <w:t>45%]) and the combination improved this proportion (47% [95% CI 42%</w:t>
      </w:r>
      <w:r w:rsidR="006F243C">
        <w:rPr>
          <w:rFonts w:asciiTheme="minorHAnsi" w:hAnsiTheme="minorHAnsi" w:cstheme="minorHAnsi"/>
          <w:szCs w:val="24"/>
        </w:rPr>
        <w:t>;</w:t>
      </w:r>
      <w:r w:rsidRPr="007A7515">
        <w:rPr>
          <w:rFonts w:asciiTheme="minorHAnsi" w:hAnsiTheme="minorHAnsi" w:cstheme="minorHAnsi"/>
          <w:szCs w:val="24"/>
        </w:rPr>
        <w:t>51%]).</w:t>
      </w:r>
      <w:r w:rsidR="0071513F" w:rsidRPr="007A7515">
        <w:rPr>
          <w:rFonts w:asciiTheme="minorHAnsi" w:hAnsiTheme="minorHAnsi" w:cstheme="minorHAnsi"/>
          <w:szCs w:val="24"/>
        </w:rPr>
        <w:t xml:space="preserve"> PET/CT </w:t>
      </w:r>
      <w:r w:rsidRPr="007A7515">
        <w:rPr>
          <w:rFonts w:asciiTheme="minorHAnsi" w:hAnsiTheme="minorHAnsi" w:cstheme="minorHAnsi"/>
          <w:szCs w:val="24"/>
        </w:rPr>
        <w:t>resulted</w:t>
      </w:r>
      <w:r w:rsidR="00B15453" w:rsidRPr="007A7515">
        <w:rPr>
          <w:rFonts w:asciiTheme="minorHAnsi" w:hAnsiTheme="minorHAnsi" w:cstheme="minorHAnsi"/>
          <w:szCs w:val="24"/>
        </w:rPr>
        <w:t xml:space="preserve"> on average</w:t>
      </w:r>
      <w:r w:rsidRPr="007A7515">
        <w:rPr>
          <w:rFonts w:asciiTheme="minorHAnsi" w:hAnsiTheme="minorHAnsi" w:cstheme="minorHAnsi"/>
          <w:szCs w:val="24"/>
        </w:rPr>
        <w:t xml:space="preserve"> in more appropriately managed cases compared with DCE-CT for overall management (82% [95% CI 79%</w:t>
      </w:r>
      <w:r w:rsidR="006F243C">
        <w:rPr>
          <w:rFonts w:asciiTheme="minorHAnsi" w:hAnsiTheme="minorHAnsi" w:cstheme="minorHAnsi"/>
          <w:szCs w:val="24"/>
        </w:rPr>
        <w:t>;</w:t>
      </w:r>
      <w:r w:rsidRPr="007A7515">
        <w:rPr>
          <w:rFonts w:asciiTheme="minorHAnsi" w:hAnsiTheme="minorHAnsi" w:cstheme="minorHAnsi"/>
          <w:szCs w:val="24"/>
        </w:rPr>
        <w:t>85%] vs. 78% [95% CI 74%</w:t>
      </w:r>
      <w:r w:rsidR="006F243C">
        <w:rPr>
          <w:rFonts w:asciiTheme="minorHAnsi" w:hAnsiTheme="minorHAnsi" w:cstheme="minorHAnsi"/>
          <w:szCs w:val="24"/>
        </w:rPr>
        <w:t>;</w:t>
      </w:r>
      <w:r w:rsidRPr="007A7515">
        <w:rPr>
          <w:rFonts w:asciiTheme="minorHAnsi" w:hAnsiTheme="minorHAnsi" w:cstheme="minorHAnsi"/>
          <w:szCs w:val="24"/>
        </w:rPr>
        <w:t>82%]), life expectancy (10.50 years [95% CI</w:t>
      </w:r>
      <w:r w:rsidR="006F243C">
        <w:rPr>
          <w:rFonts w:asciiTheme="minorHAnsi" w:hAnsiTheme="minorHAnsi" w:cstheme="minorHAnsi"/>
          <w:szCs w:val="24"/>
        </w:rPr>
        <w:t xml:space="preserve"> </w:t>
      </w:r>
      <w:r w:rsidRPr="007A7515">
        <w:rPr>
          <w:rFonts w:asciiTheme="minorHAnsi" w:hAnsiTheme="minorHAnsi" w:cstheme="minorHAnsi"/>
          <w:szCs w:val="24"/>
        </w:rPr>
        <w:t>9.91</w:t>
      </w:r>
      <w:r w:rsidR="006F243C">
        <w:rPr>
          <w:rFonts w:asciiTheme="minorHAnsi" w:hAnsiTheme="minorHAnsi" w:cstheme="minorHAnsi"/>
          <w:szCs w:val="24"/>
        </w:rPr>
        <w:t>;</w:t>
      </w:r>
      <w:r w:rsidRPr="007A7515">
        <w:rPr>
          <w:rFonts w:asciiTheme="minorHAnsi" w:hAnsiTheme="minorHAnsi" w:cstheme="minorHAnsi"/>
          <w:szCs w:val="24"/>
        </w:rPr>
        <w:t>11.15] vs. 10.22 years [95% CI 9.60</w:t>
      </w:r>
      <w:r w:rsidR="006F243C">
        <w:rPr>
          <w:rFonts w:asciiTheme="minorHAnsi" w:hAnsiTheme="minorHAnsi" w:cstheme="minorHAnsi"/>
          <w:szCs w:val="24"/>
        </w:rPr>
        <w:t>;</w:t>
      </w:r>
      <w:r w:rsidRPr="007A7515">
        <w:rPr>
          <w:rFonts w:asciiTheme="minorHAnsi" w:hAnsiTheme="minorHAnsi" w:cstheme="minorHAnsi"/>
          <w:szCs w:val="24"/>
        </w:rPr>
        <w:t>10.91]), QALYs (7.64 [95% CI 7.19</w:t>
      </w:r>
      <w:r w:rsidR="006F243C">
        <w:rPr>
          <w:rFonts w:asciiTheme="minorHAnsi" w:hAnsiTheme="minorHAnsi" w:cstheme="minorHAnsi"/>
          <w:szCs w:val="24"/>
        </w:rPr>
        <w:t>;</w:t>
      </w:r>
      <w:r w:rsidRPr="007A7515">
        <w:rPr>
          <w:rFonts w:asciiTheme="minorHAnsi" w:hAnsiTheme="minorHAnsi" w:cstheme="minorHAnsi"/>
          <w:szCs w:val="24"/>
        </w:rPr>
        <w:t>8.15] vs. 7.43 [95% CI 6.94</w:t>
      </w:r>
      <w:r w:rsidR="006F243C">
        <w:rPr>
          <w:rFonts w:asciiTheme="minorHAnsi" w:hAnsiTheme="minorHAnsi" w:cstheme="minorHAnsi"/>
          <w:szCs w:val="24"/>
        </w:rPr>
        <w:t>;</w:t>
      </w:r>
      <w:r w:rsidRPr="007A7515">
        <w:rPr>
          <w:rFonts w:asciiTheme="minorHAnsi" w:hAnsiTheme="minorHAnsi" w:cstheme="minorHAnsi"/>
          <w:szCs w:val="24"/>
        </w:rPr>
        <w:t>7.96]), and the proportion of patients receiving delayed treatment (20% [95% CI 17%</w:t>
      </w:r>
      <w:r w:rsidR="006F243C">
        <w:rPr>
          <w:rFonts w:asciiTheme="minorHAnsi" w:hAnsiTheme="minorHAnsi" w:cstheme="minorHAnsi"/>
          <w:szCs w:val="24"/>
        </w:rPr>
        <w:t>;</w:t>
      </w:r>
      <w:r w:rsidRPr="007A7515">
        <w:rPr>
          <w:rFonts w:asciiTheme="minorHAnsi" w:hAnsiTheme="minorHAnsi" w:cstheme="minorHAnsi"/>
          <w:szCs w:val="24"/>
        </w:rPr>
        <w:t>24%] vs. 26% [95% CI 21%</w:t>
      </w:r>
      <w:r w:rsidR="006F243C">
        <w:rPr>
          <w:rFonts w:asciiTheme="minorHAnsi" w:hAnsiTheme="minorHAnsi" w:cstheme="minorHAnsi"/>
          <w:szCs w:val="24"/>
        </w:rPr>
        <w:t>;</w:t>
      </w:r>
      <w:r w:rsidRPr="007A7515">
        <w:rPr>
          <w:rFonts w:asciiTheme="minorHAnsi" w:hAnsiTheme="minorHAnsi" w:cstheme="minorHAnsi"/>
          <w:szCs w:val="24"/>
        </w:rPr>
        <w:t>30%]). The combination further improved outcomes compared to</w:t>
      </w:r>
      <w:r w:rsidR="0071513F" w:rsidRPr="007A7515">
        <w:rPr>
          <w:rFonts w:asciiTheme="minorHAnsi" w:hAnsiTheme="minorHAnsi" w:cstheme="minorHAnsi"/>
          <w:szCs w:val="24"/>
        </w:rPr>
        <w:t xml:space="preserve"> PET/CT</w:t>
      </w:r>
      <w:r w:rsidR="008F1133">
        <w:rPr>
          <w:rFonts w:asciiTheme="minorHAnsi" w:hAnsiTheme="minorHAnsi" w:cstheme="minorHAnsi"/>
          <w:szCs w:val="24"/>
        </w:rPr>
        <w:t xml:space="preserve"> </w:t>
      </w:r>
      <w:r w:rsidRPr="007A7515">
        <w:rPr>
          <w:rFonts w:asciiTheme="minorHAnsi" w:hAnsiTheme="minorHAnsi" w:cstheme="minorHAnsi"/>
          <w:szCs w:val="24"/>
        </w:rPr>
        <w:t xml:space="preserve">(Table 6). </w:t>
      </w:r>
    </w:p>
    <w:p w14:paraId="14F35EB2" w14:textId="77777777" w:rsidR="00C60C37" w:rsidRPr="00173767" w:rsidRDefault="00C60C37" w:rsidP="00C60C37">
      <w:pPr>
        <w:spacing w:line="360" w:lineRule="auto"/>
        <w:rPr>
          <w:rFonts w:asciiTheme="minorHAnsi" w:hAnsiTheme="minorHAnsi" w:cstheme="minorHAnsi"/>
          <w:sz w:val="24"/>
          <w:szCs w:val="24"/>
        </w:rPr>
      </w:pPr>
    </w:p>
    <w:p w14:paraId="5784993F" w14:textId="1E4A2C19" w:rsidR="00C60C37" w:rsidRPr="007A7515" w:rsidRDefault="00173767" w:rsidP="00C60C37">
      <w:pPr>
        <w:spacing w:line="360" w:lineRule="auto"/>
        <w:rPr>
          <w:rFonts w:asciiTheme="minorHAnsi" w:hAnsiTheme="minorHAnsi" w:cstheme="minorHAnsi"/>
          <w:sz w:val="24"/>
          <w:szCs w:val="24"/>
        </w:rPr>
      </w:pPr>
      <w:r w:rsidRPr="00173767">
        <w:rPr>
          <w:rFonts w:asciiTheme="minorHAnsi" w:hAnsiTheme="minorHAnsi" w:cstheme="minorHAnsi"/>
          <w:sz w:val="24"/>
          <w:szCs w:val="24"/>
        </w:rPr>
        <w:t>The incremental cost per malignant case treated was £11,395 for the comparison of the combined approach (</w:t>
      </w:r>
      <w:r w:rsidRPr="00E94B18">
        <w:rPr>
          <w:rFonts w:asciiTheme="minorHAnsi" w:hAnsiTheme="minorHAnsi" w:cstheme="minorHAnsi"/>
          <w:bCs/>
          <w:color w:val="000000"/>
          <w:sz w:val="24"/>
          <w:szCs w:val="24"/>
          <w:lang w:eastAsia="en-GB"/>
        </w:rPr>
        <w:t xml:space="preserve">DCE-CT / PET/CT) compared with DCE-CT.  The incremental cost per correctly managed case was </w:t>
      </w:r>
      <w:r w:rsidRPr="00173767">
        <w:rPr>
          <w:rFonts w:asciiTheme="minorHAnsi" w:hAnsiTheme="minorHAnsi" w:cstheme="minorHAnsi"/>
          <w:bCs/>
          <w:color w:val="000000"/>
          <w:sz w:val="24"/>
          <w:szCs w:val="24"/>
          <w:lang w:eastAsia="en-GB"/>
        </w:rPr>
        <w:t>similarly</w:t>
      </w:r>
      <w:r w:rsidRPr="00E94B18">
        <w:rPr>
          <w:rFonts w:asciiTheme="minorHAnsi" w:hAnsiTheme="minorHAnsi" w:cstheme="minorHAnsi"/>
          <w:bCs/>
          <w:color w:val="000000"/>
          <w:sz w:val="24"/>
          <w:szCs w:val="24"/>
          <w:lang w:eastAsia="en-GB"/>
        </w:rPr>
        <w:t xml:space="preserve"> £11,323.  </w:t>
      </w:r>
      <w:r>
        <w:rPr>
          <w:rFonts w:asciiTheme="minorHAnsi" w:hAnsiTheme="minorHAnsi" w:cstheme="minorHAnsi"/>
          <w:bCs/>
          <w:color w:val="000000"/>
          <w:sz w:val="24"/>
          <w:szCs w:val="24"/>
          <w:lang w:eastAsia="en-GB"/>
        </w:rPr>
        <w:t xml:space="preserve">These values do not reflect statistical imprecision and the </w:t>
      </w:r>
      <w:r w:rsidR="00C60C37" w:rsidRPr="007A7515">
        <w:rPr>
          <w:rFonts w:asciiTheme="minorHAnsi" w:hAnsiTheme="minorHAnsi" w:cstheme="minorHAnsi"/>
          <w:sz w:val="24"/>
          <w:szCs w:val="24"/>
        </w:rPr>
        <w:t>likelihood that DCE-CT,</w:t>
      </w:r>
      <w:r w:rsidR="0071513F" w:rsidRPr="007A7515">
        <w:rPr>
          <w:rFonts w:asciiTheme="minorHAnsi" w:hAnsiTheme="minorHAnsi" w:cstheme="minorHAnsi"/>
          <w:sz w:val="24"/>
          <w:szCs w:val="24"/>
        </w:rPr>
        <w:t xml:space="preserve"> PET/CT </w:t>
      </w:r>
      <w:r w:rsidR="00C60C37" w:rsidRPr="007A7515">
        <w:rPr>
          <w:rFonts w:asciiTheme="minorHAnsi" w:hAnsiTheme="minorHAnsi" w:cstheme="minorHAnsi"/>
          <w:sz w:val="24"/>
          <w:szCs w:val="24"/>
        </w:rPr>
        <w:t>and a combined approach might be considered cost-effective at different threshold values for society’s willingness to pay for a malignant case treated, and a correctly managed case are presented in Figure 3A and B respectively.</w:t>
      </w:r>
      <w:r w:rsidR="0071513F" w:rsidRPr="007A7515">
        <w:rPr>
          <w:rFonts w:asciiTheme="minorHAnsi" w:hAnsiTheme="minorHAnsi" w:cstheme="minorHAnsi"/>
          <w:sz w:val="24"/>
          <w:szCs w:val="24"/>
        </w:rPr>
        <w:t xml:space="preserve"> PET/CT </w:t>
      </w:r>
      <w:r w:rsidR="00C60C37" w:rsidRPr="007A7515">
        <w:rPr>
          <w:rFonts w:asciiTheme="minorHAnsi" w:hAnsiTheme="minorHAnsi" w:cstheme="minorHAnsi"/>
          <w:sz w:val="24"/>
          <w:szCs w:val="24"/>
        </w:rPr>
        <w:t xml:space="preserve">was unlikely to be considered cost-effective.  DCE-CT </w:t>
      </w:r>
      <w:r w:rsidR="0044234B" w:rsidRPr="007A7515">
        <w:rPr>
          <w:rFonts w:asciiTheme="minorHAnsi" w:hAnsiTheme="minorHAnsi" w:cstheme="minorHAnsi"/>
          <w:sz w:val="24"/>
          <w:szCs w:val="24"/>
        </w:rPr>
        <w:t xml:space="preserve">was </w:t>
      </w:r>
      <w:r w:rsidR="00C60C37" w:rsidRPr="007A7515">
        <w:rPr>
          <w:rFonts w:asciiTheme="minorHAnsi" w:hAnsiTheme="minorHAnsi" w:cstheme="minorHAnsi"/>
          <w:sz w:val="24"/>
          <w:szCs w:val="24"/>
        </w:rPr>
        <w:t xml:space="preserve">most likely cost-effective when the </w:t>
      </w:r>
      <w:r w:rsidR="009864EC">
        <w:rPr>
          <w:rFonts w:asciiTheme="minorHAnsi" w:hAnsiTheme="minorHAnsi" w:cstheme="minorHAnsi"/>
          <w:sz w:val="24"/>
          <w:szCs w:val="24"/>
        </w:rPr>
        <w:t>willingness to pay (</w:t>
      </w:r>
      <w:r w:rsidR="00C60C37" w:rsidRPr="007A7515">
        <w:rPr>
          <w:rFonts w:asciiTheme="minorHAnsi" w:hAnsiTheme="minorHAnsi" w:cstheme="minorHAnsi"/>
          <w:sz w:val="24"/>
          <w:szCs w:val="24"/>
        </w:rPr>
        <w:t>WTP</w:t>
      </w:r>
      <w:r w:rsidR="009864EC">
        <w:rPr>
          <w:rFonts w:asciiTheme="minorHAnsi" w:hAnsiTheme="minorHAnsi" w:cstheme="minorHAnsi"/>
          <w:sz w:val="24"/>
          <w:szCs w:val="24"/>
        </w:rPr>
        <w:t>)</w:t>
      </w:r>
      <w:r w:rsidR="00C60C37" w:rsidRPr="007A7515">
        <w:rPr>
          <w:rFonts w:asciiTheme="minorHAnsi" w:hAnsiTheme="minorHAnsi" w:cstheme="minorHAnsi"/>
          <w:sz w:val="24"/>
          <w:szCs w:val="24"/>
        </w:rPr>
        <w:t xml:space="preserve"> ceiling ratio per correctly managed case was below £11,395.  Above £16,000 a combined approach would be cost-effective.  When society is willing to pay no more than £9000 per correctly treated malignancy DCE-CT was preferred.  Above £15,500 the combined approach was cost-effective.   </w:t>
      </w:r>
    </w:p>
    <w:p w14:paraId="76BE329A" w14:textId="4336A38D" w:rsidR="000E2135" w:rsidRPr="007A7515" w:rsidRDefault="000E2135">
      <w:pPr>
        <w:spacing w:after="200" w:line="276" w:lineRule="auto"/>
        <w:rPr>
          <w:rFonts w:asciiTheme="minorHAnsi" w:hAnsiTheme="minorHAnsi" w:cstheme="minorHAnsi"/>
          <w:b/>
          <w:bCs/>
          <w:sz w:val="24"/>
          <w:szCs w:val="24"/>
        </w:rPr>
      </w:pPr>
      <w:r w:rsidRPr="007A7515">
        <w:rPr>
          <w:rFonts w:asciiTheme="minorHAnsi" w:hAnsiTheme="minorHAnsi" w:cstheme="minorHAnsi"/>
          <w:sz w:val="24"/>
          <w:szCs w:val="24"/>
        </w:rPr>
        <w:br w:type="page"/>
      </w:r>
    </w:p>
    <w:p w14:paraId="6A117C1E" w14:textId="717D80AC" w:rsidR="00026F87" w:rsidRPr="007A7515" w:rsidRDefault="00026F87" w:rsidP="00E50FE3">
      <w:pPr>
        <w:pStyle w:val="Heading2"/>
        <w:numPr>
          <w:ilvl w:val="0"/>
          <w:numId w:val="0"/>
        </w:numPr>
        <w:rPr>
          <w:rFonts w:asciiTheme="minorHAnsi" w:hAnsiTheme="minorHAnsi"/>
        </w:rPr>
      </w:pPr>
      <w:r w:rsidRPr="007A7515">
        <w:rPr>
          <w:rFonts w:asciiTheme="minorHAnsi" w:hAnsiTheme="minorHAnsi"/>
        </w:rPr>
        <w:lastRenderedPageBreak/>
        <w:t>Discussion</w:t>
      </w:r>
      <w:bookmarkEnd w:id="15"/>
    </w:p>
    <w:p w14:paraId="4011774B" w14:textId="09CA5813" w:rsidR="0089693A" w:rsidRPr="007A7515" w:rsidRDefault="0089693A" w:rsidP="00EB0A94">
      <w:pPr>
        <w:spacing w:line="360" w:lineRule="auto"/>
        <w:rPr>
          <w:rFonts w:asciiTheme="minorHAnsi" w:hAnsiTheme="minorHAnsi" w:cstheme="minorHAnsi"/>
          <w:sz w:val="24"/>
          <w:szCs w:val="24"/>
        </w:rPr>
      </w:pPr>
      <w:r w:rsidRPr="007A7515">
        <w:rPr>
          <w:rFonts w:asciiTheme="minorHAnsi" w:hAnsiTheme="minorHAnsi" w:cstheme="minorHAnsi"/>
          <w:sz w:val="24"/>
          <w:szCs w:val="24"/>
        </w:rPr>
        <w:t>In this</w:t>
      </w:r>
      <w:r w:rsidR="004651E0" w:rsidRPr="007A7515">
        <w:rPr>
          <w:rFonts w:asciiTheme="minorHAnsi" w:hAnsiTheme="minorHAnsi" w:cstheme="minorHAnsi"/>
          <w:sz w:val="24"/>
          <w:szCs w:val="24"/>
        </w:rPr>
        <w:t xml:space="preserve"> multicentre</w:t>
      </w:r>
      <w:r w:rsidRPr="007A7515">
        <w:rPr>
          <w:rFonts w:asciiTheme="minorHAnsi" w:hAnsiTheme="minorHAnsi" w:cstheme="minorHAnsi"/>
          <w:sz w:val="24"/>
          <w:szCs w:val="24"/>
        </w:rPr>
        <w:t xml:space="preserve"> trial we have found that</w:t>
      </w:r>
      <w:r w:rsidR="004651E0" w:rsidRPr="007A7515">
        <w:rPr>
          <w:rFonts w:asciiTheme="minorHAnsi" w:hAnsiTheme="minorHAnsi" w:cstheme="minorHAnsi"/>
          <w:sz w:val="24"/>
          <w:szCs w:val="24"/>
        </w:rPr>
        <w:t>: (1)</w:t>
      </w:r>
      <w:r w:rsidR="0071513F" w:rsidRPr="007A7515">
        <w:rPr>
          <w:rFonts w:asciiTheme="minorHAnsi" w:hAnsiTheme="minorHAnsi" w:cstheme="minorHAnsi"/>
          <w:sz w:val="24"/>
          <w:szCs w:val="24"/>
        </w:rPr>
        <w:t xml:space="preserve"> PET/CT </w:t>
      </w:r>
      <w:r w:rsidR="004651E0" w:rsidRPr="007A7515">
        <w:rPr>
          <w:rFonts w:asciiTheme="minorHAnsi" w:hAnsiTheme="minorHAnsi" w:cstheme="minorHAnsi"/>
          <w:sz w:val="24"/>
          <w:szCs w:val="24"/>
        </w:rPr>
        <w:t xml:space="preserve">is more accurate than DCE-CT for the </w:t>
      </w:r>
      <w:r w:rsidRPr="007A7515">
        <w:rPr>
          <w:rFonts w:asciiTheme="minorHAnsi" w:hAnsiTheme="minorHAnsi" w:cstheme="minorHAnsi"/>
          <w:sz w:val="24"/>
          <w:szCs w:val="24"/>
        </w:rPr>
        <w:t>diagnosis of solitary pulmonary nodules</w:t>
      </w:r>
      <w:r w:rsidR="004651E0" w:rsidRPr="007A7515">
        <w:rPr>
          <w:rFonts w:asciiTheme="minorHAnsi" w:hAnsiTheme="minorHAnsi" w:cstheme="minorHAnsi"/>
          <w:sz w:val="24"/>
          <w:szCs w:val="24"/>
        </w:rPr>
        <w:t xml:space="preserve">; (2) </w:t>
      </w:r>
      <w:r w:rsidR="006F243C">
        <w:rPr>
          <w:rFonts w:asciiTheme="minorHAnsi" w:hAnsiTheme="minorHAnsi" w:cstheme="minorHAnsi"/>
          <w:sz w:val="24"/>
          <w:szCs w:val="24"/>
        </w:rPr>
        <w:t>combining</w:t>
      </w:r>
      <w:r w:rsidR="006F243C" w:rsidRPr="007A7515">
        <w:rPr>
          <w:rFonts w:asciiTheme="minorHAnsi" w:hAnsiTheme="minorHAnsi" w:cstheme="minorHAnsi"/>
          <w:sz w:val="24"/>
          <w:szCs w:val="24"/>
        </w:rPr>
        <w:t xml:space="preserve"> perfusion data from DCE-CT and metabolic data from PET may yield a more accurate assessment of the nodule than either alone</w:t>
      </w:r>
      <w:r w:rsidR="004651E0" w:rsidRPr="007A7515">
        <w:rPr>
          <w:rFonts w:asciiTheme="minorHAnsi" w:hAnsiTheme="minorHAnsi" w:cstheme="minorHAnsi"/>
          <w:sz w:val="24"/>
          <w:szCs w:val="24"/>
        </w:rPr>
        <w:t xml:space="preserve">; (3) </w:t>
      </w:r>
      <w:r w:rsidR="006F243C">
        <w:rPr>
          <w:rFonts w:asciiTheme="minorHAnsi" w:hAnsiTheme="minorHAnsi" w:cstheme="minorHAnsi"/>
          <w:sz w:val="24"/>
          <w:szCs w:val="24"/>
        </w:rPr>
        <w:t>This combined approach is the most cost effective at higher willingness to pay thresholds</w:t>
      </w:r>
      <w:r w:rsidR="004651E0" w:rsidRPr="007A7515">
        <w:rPr>
          <w:rFonts w:asciiTheme="minorHAnsi" w:hAnsiTheme="minorHAnsi" w:cstheme="minorHAnsi"/>
          <w:sz w:val="24"/>
          <w:szCs w:val="24"/>
        </w:rPr>
        <w:t>.</w:t>
      </w:r>
    </w:p>
    <w:p w14:paraId="7022BCCE" w14:textId="0C369FF5" w:rsidR="002549E8" w:rsidRPr="007A7515" w:rsidRDefault="002549E8" w:rsidP="00EB0A94">
      <w:pPr>
        <w:spacing w:line="360" w:lineRule="auto"/>
        <w:rPr>
          <w:rFonts w:asciiTheme="minorHAnsi" w:hAnsiTheme="minorHAnsi" w:cstheme="minorHAnsi"/>
          <w:sz w:val="24"/>
          <w:szCs w:val="24"/>
        </w:rPr>
      </w:pPr>
    </w:p>
    <w:p w14:paraId="0A9ADA13" w14:textId="7934BCFB" w:rsidR="000920AB" w:rsidRPr="007A7515" w:rsidRDefault="000920AB" w:rsidP="00680BD2">
      <w:pPr>
        <w:spacing w:line="360" w:lineRule="auto"/>
        <w:rPr>
          <w:rFonts w:asciiTheme="minorHAnsi" w:hAnsiTheme="minorHAnsi" w:cstheme="minorHAnsi"/>
          <w:sz w:val="24"/>
          <w:szCs w:val="24"/>
        </w:rPr>
      </w:pPr>
      <w:r w:rsidRPr="007A7515">
        <w:rPr>
          <w:rFonts w:asciiTheme="minorHAnsi" w:hAnsiTheme="minorHAnsi" w:cstheme="minorHAnsi"/>
          <w:sz w:val="24"/>
          <w:szCs w:val="24"/>
        </w:rPr>
        <w:t>The strengths</w:t>
      </w:r>
      <w:r w:rsidR="00903058" w:rsidRPr="007A7515">
        <w:rPr>
          <w:rFonts w:asciiTheme="minorHAnsi" w:hAnsiTheme="minorHAnsi" w:cstheme="minorHAnsi"/>
          <w:sz w:val="24"/>
          <w:szCs w:val="24"/>
        </w:rPr>
        <w:t xml:space="preserve"> </w:t>
      </w:r>
      <w:r w:rsidR="00812FE8" w:rsidRPr="007A7515">
        <w:rPr>
          <w:rFonts w:asciiTheme="minorHAnsi" w:hAnsiTheme="minorHAnsi" w:cstheme="minorHAnsi"/>
          <w:sz w:val="24"/>
          <w:szCs w:val="24"/>
        </w:rPr>
        <w:t xml:space="preserve">of this study </w:t>
      </w:r>
      <w:r w:rsidR="00903058" w:rsidRPr="007A7515">
        <w:rPr>
          <w:rFonts w:asciiTheme="minorHAnsi" w:hAnsiTheme="minorHAnsi" w:cstheme="minorHAnsi"/>
          <w:sz w:val="24"/>
          <w:szCs w:val="24"/>
        </w:rPr>
        <w:t>are that</w:t>
      </w:r>
      <w:r w:rsidR="00812FE8" w:rsidRPr="007A7515">
        <w:rPr>
          <w:rFonts w:asciiTheme="minorHAnsi" w:hAnsiTheme="minorHAnsi" w:cstheme="minorHAnsi"/>
          <w:sz w:val="24"/>
          <w:szCs w:val="24"/>
        </w:rPr>
        <w:t xml:space="preserve"> it is </w:t>
      </w:r>
      <w:r w:rsidR="00903058" w:rsidRPr="007A7515">
        <w:rPr>
          <w:rFonts w:asciiTheme="minorHAnsi" w:hAnsiTheme="minorHAnsi" w:cstheme="minorHAnsi"/>
          <w:sz w:val="24"/>
          <w:szCs w:val="24"/>
        </w:rPr>
        <w:t>the largest</w:t>
      </w:r>
      <w:r w:rsidRPr="007A7515">
        <w:rPr>
          <w:rFonts w:asciiTheme="minorHAnsi" w:hAnsiTheme="minorHAnsi" w:cstheme="minorHAnsi"/>
          <w:sz w:val="24"/>
          <w:szCs w:val="24"/>
        </w:rPr>
        <w:t xml:space="preserve"> diagnostic accuracy </w:t>
      </w:r>
      <w:r w:rsidR="00903058" w:rsidRPr="007A7515">
        <w:rPr>
          <w:rFonts w:asciiTheme="minorHAnsi" w:hAnsiTheme="minorHAnsi" w:cstheme="minorHAnsi"/>
          <w:sz w:val="24"/>
          <w:szCs w:val="24"/>
        </w:rPr>
        <w:t xml:space="preserve">study </w:t>
      </w:r>
      <w:r w:rsidRPr="007A7515">
        <w:rPr>
          <w:rFonts w:asciiTheme="minorHAnsi" w:hAnsiTheme="minorHAnsi" w:cstheme="minorHAnsi"/>
          <w:sz w:val="24"/>
          <w:szCs w:val="24"/>
        </w:rPr>
        <w:t>of</w:t>
      </w:r>
      <w:r w:rsidR="0071513F" w:rsidRPr="007A7515">
        <w:rPr>
          <w:rFonts w:asciiTheme="minorHAnsi" w:hAnsiTheme="minorHAnsi" w:cstheme="minorHAnsi"/>
          <w:sz w:val="24"/>
          <w:szCs w:val="24"/>
        </w:rPr>
        <w:t xml:space="preserve"> PET/CT </w:t>
      </w:r>
      <w:r w:rsidRPr="007A7515">
        <w:rPr>
          <w:rFonts w:asciiTheme="minorHAnsi" w:hAnsiTheme="minorHAnsi" w:cstheme="minorHAnsi"/>
          <w:sz w:val="24"/>
          <w:szCs w:val="24"/>
        </w:rPr>
        <w:t xml:space="preserve">for the diagnosis of SPNs, the second largest study of the diagnostic accuracy of DCE-CT, and the only multicentre, multivendor study </w:t>
      </w:r>
      <w:r w:rsidR="00903058" w:rsidRPr="007A7515">
        <w:rPr>
          <w:rFonts w:asciiTheme="minorHAnsi" w:hAnsiTheme="minorHAnsi" w:cstheme="minorHAnsi"/>
          <w:sz w:val="24"/>
          <w:szCs w:val="24"/>
        </w:rPr>
        <w:t xml:space="preserve">directly </w:t>
      </w:r>
      <w:r w:rsidRPr="007A7515">
        <w:rPr>
          <w:rFonts w:asciiTheme="minorHAnsi" w:hAnsiTheme="minorHAnsi" w:cstheme="minorHAnsi"/>
          <w:sz w:val="24"/>
          <w:szCs w:val="24"/>
        </w:rPr>
        <w:t>comparing the two techniques</w:t>
      </w:r>
      <w:r w:rsidR="00903058" w:rsidRPr="007A7515">
        <w:rPr>
          <w:rFonts w:asciiTheme="minorHAnsi" w:hAnsiTheme="minorHAnsi" w:cstheme="minorHAnsi"/>
          <w:sz w:val="24"/>
          <w:szCs w:val="24"/>
        </w:rPr>
        <w:t xml:space="preserve"> making </w:t>
      </w:r>
      <w:r w:rsidR="00911E5A" w:rsidRPr="007A7515">
        <w:rPr>
          <w:rFonts w:asciiTheme="minorHAnsi" w:hAnsiTheme="minorHAnsi" w:cstheme="minorHAnsi"/>
          <w:sz w:val="24"/>
          <w:szCs w:val="24"/>
        </w:rPr>
        <w:t xml:space="preserve">the results more precise and generalizable than previous work. </w:t>
      </w:r>
      <w:r w:rsidR="00AD4C41" w:rsidRPr="007A7515">
        <w:rPr>
          <w:rFonts w:asciiTheme="minorHAnsi" w:hAnsiTheme="minorHAnsi" w:cstheme="minorHAnsi"/>
          <w:sz w:val="24"/>
          <w:szCs w:val="24"/>
        </w:rPr>
        <w:t xml:space="preserve">The </w:t>
      </w:r>
      <w:r w:rsidRPr="007A7515">
        <w:rPr>
          <w:rFonts w:asciiTheme="minorHAnsi" w:hAnsiTheme="minorHAnsi" w:cstheme="minorHAnsi"/>
          <w:sz w:val="24"/>
          <w:szCs w:val="24"/>
        </w:rPr>
        <w:t>sensitivity and specificity for</w:t>
      </w:r>
      <w:r w:rsidR="0071513F" w:rsidRPr="007A7515">
        <w:rPr>
          <w:rFonts w:asciiTheme="minorHAnsi" w:hAnsiTheme="minorHAnsi" w:cstheme="minorHAnsi"/>
          <w:sz w:val="24"/>
          <w:szCs w:val="24"/>
        </w:rPr>
        <w:t xml:space="preserve"> PET/CT </w:t>
      </w:r>
      <w:r w:rsidR="004E7B38" w:rsidRPr="007A7515">
        <w:rPr>
          <w:rFonts w:asciiTheme="minorHAnsi" w:hAnsiTheme="minorHAnsi" w:cstheme="minorHAnsi"/>
          <w:sz w:val="24"/>
          <w:szCs w:val="24"/>
        </w:rPr>
        <w:t xml:space="preserve">were </w:t>
      </w:r>
      <w:r w:rsidR="00B36EF1" w:rsidRPr="007A7515">
        <w:rPr>
          <w:rFonts w:asciiTheme="minorHAnsi" w:hAnsiTheme="minorHAnsi" w:cstheme="minorHAnsi"/>
          <w:sz w:val="24"/>
          <w:szCs w:val="24"/>
          <w:lang w:eastAsia="en-GB"/>
        </w:rPr>
        <w:t>79·1% (95% CI 72·7;84·2) and 81·8% (95% CI 74·0;87·7)</w:t>
      </w:r>
      <w:r w:rsidR="00636EDD" w:rsidRPr="007A7515">
        <w:rPr>
          <w:rFonts w:asciiTheme="minorHAnsi" w:hAnsiTheme="minorHAnsi" w:cstheme="minorHAnsi"/>
          <w:sz w:val="24"/>
          <w:szCs w:val="24"/>
        </w:rPr>
        <w:t xml:space="preserve"> </w:t>
      </w:r>
      <w:r w:rsidR="002654AD" w:rsidRPr="007A7515">
        <w:rPr>
          <w:rFonts w:asciiTheme="minorHAnsi" w:hAnsiTheme="minorHAnsi" w:cstheme="minorHAnsi"/>
          <w:sz w:val="24"/>
          <w:szCs w:val="24"/>
        </w:rPr>
        <w:t>similar to the</w:t>
      </w:r>
      <w:r w:rsidR="00636EDD" w:rsidRPr="007A7515">
        <w:rPr>
          <w:rFonts w:asciiTheme="minorHAnsi" w:hAnsiTheme="minorHAnsi" w:cstheme="minorHAnsi"/>
          <w:sz w:val="24"/>
          <w:szCs w:val="24"/>
        </w:rPr>
        <w:t xml:space="preserve"> meta-analysis of 21 studies with 1,557 nodules</w:t>
      </w:r>
      <w:r w:rsidRPr="007A7515">
        <w:rPr>
          <w:rFonts w:asciiTheme="minorHAnsi" w:hAnsiTheme="minorHAnsi" w:cstheme="minorHAnsi"/>
          <w:sz w:val="24"/>
          <w:szCs w:val="24"/>
        </w:rPr>
        <w:t xml:space="preserve">, </w:t>
      </w:r>
      <w:r w:rsidR="00636EDD" w:rsidRPr="007A7515">
        <w:rPr>
          <w:rFonts w:asciiTheme="minorHAnsi" w:hAnsiTheme="minorHAnsi" w:cstheme="minorHAnsi"/>
          <w:sz w:val="24"/>
          <w:szCs w:val="24"/>
        </w:rPr>
        <w:t>where the pooled sensitivity was 89</w:t>
      </w:r>
      <w:r w:rsidR="00C25136" w:rsidRPr="007A7515">
        <w:rPr>
          <w:rFonts w:asciiTheme="minorHAnsi" w:hAnsiTheme="minorHAnsi" w:cstheme="minorHAnsi"/>
          <w:sz w:val="24"/>
          <w:szCs w:val="24"/>
        </w:rPr>
        <w:t>%</w:t>
      </w:r>
      <w:r w:rsidR="00636EDD" w:rsidRPr="007A7515">
        <w:rPr>
          <w:rFonts w:asciiTheme="minorHAnsi" w:hAnsiTheme="minorHAnsi" w:cstheme="minorHAnsi"/>
          <w:sz w:val="24"/>
          <w:szCs w:val="24"/>
        </w:rPr>
        <w:t xml:space="preserve"> (95% CI 87;91) and specificity of 70</w:t>
      </w:r>
      <w:r w:rsidR="00C25136" w:rsidRPr="007A7515">
        <w:rPr>
          <w:rFonts w:asciiTheme="minorHAnsi" w:hAnsiTheme="minorHAnsi" w:cstheme="minorHAnsi"/>
          <w:sz w:val="24"/>
          <w:szCs w:val="24"/>
        </w:rPr>
        <w:t>%</w:t>
      </w:r>
      <w:r w:rsidR="00636EDD" w:rsidRPr="007A7515">
        <w:rPr>
          <w:rFonts w:asciiTheme="minorHAnsi" w:hAnsiTheme="minorHAnsi" w:cstheme="minorHAnsi"/>
          <w:sz w:val="24"/>
          <w:szCs w:val="24"/>
        </w:rPr>
        <w:t xml:space="preserve"> (95% CI, 66;73)</w:t>
      </w:r>
      <w:r w:rsidR="000711A0">
        <w:rPr>
          <w:rFonts w:asciiTheme="minorHAnsi" w:hAnsiTheme="minorHAnsi" w:cstheme="minorHAnsi"/>
          <w:sz w:val="24"/>
          <w:szCs w:val="24"/>
        </w:rPr>
        <w:t xml:space="preserve"> </w:t>
      </w:r>
      <w:r w:rsidR="000711A0">
        <w:rPr>
          <w:rFonts w:asciiTheme="minorHAnsi" w:hAnsiTheme="minorHAnsi" w:cstheme="minorHAnsi"/>
          <w:sz w:val="24"/>
          <w:szCs w:val="24"/>
        </w:rPr>
        <w:fldChar w:fldCharType="begin" w:fldLock="1"/>
      </w:r>
      <w:r w:rsidR="00437A17">
        <w:rPr>
          <w:rFonts w:asciiTheme="minorHAnsi" w:hAnsiTheme="minorHAnsi" w:cstheme="minorHAnsi"/>
          <w:sz w:val="24"/>
          <w:szCs w:val="24"/>
        </w:rPr>
        <w:instrText>ADDIN CSL_CITATION {"citationItems":[{"id":"ITEM-1","itemData":{"DOI":"10.1097/MD.0000000000010130","ISBN":"0000000000","ISSN":"0025-7974","author":[{"dropping-particle":"","family":"Li","given":"Zhen-Zhen","non-dropping-particle":"","parse-names":false,"suffix":""},{"dropping-particle":"","family":"Huang","given":"Ya-Liang","non-dropping-particle":"","parse-names":false,"suffix":""},{"dropping-particle":"","family":"Song","given":"Hong-Jun","non-dropping-particle":"","parse-names":false,"suffix":""},{"dropping-particle":"","family":"Wang","given":"You-Juan","non-dropping-particle":"","parse-names":false,"suffix":""},{"dropping-particle":"","family":"Huang","given":"Yan","non-dropping-particle":"","parse-names":false,"suffix":""}],"container-title":"Medicine","id":"ITEM-1","issue":"12","issued":{"date-parts":[["2018","3"]]},"page":"e0130","title":"The value of 18F-FDG-PET/CT in the diagnosis of solitary pulmonary nodules","type":"article-journal","volume":"97"},"uris":["http://www.mendeley.com/documents/?uuid=42bb866e-3254-4210-91f7-1c72cb054793"]}],"mendeley":{"formattedCitation":"&lt;sup&gt;16&lt;/sup&gt;","plainTextFormattedCitation":"16","previouslyFormattedCitation":"&lt;sup&gt;16&lt;/sup&gt;"},"properties":{"noteIndex":0},"schema":"https://github.com/citation-style-language/schema/raw/master/csl-citation.json"}</w:instrText>
      </w:r>
      <w:r w:rsidR="000711A0">
        <w:rPr>
          <w:rFonts w:asciiTheme="minorHAnsi" w:hAnsiTheme="minorHAnsi" w:cstheme="minorHAnsi"/>
          <w:sz w:val="24"/>
          <w:szCs w:val="24"/>
        </w:rPr>
        <w:fldChar w:fldCharType="separate"/>
      </w:r>
      <w:r w:rsidR="00437A17" w:rsidRPr="00437A17">
        <w:rPr>
          <w:rFonts w:asciiTheme="minorHAnsi" w:hAnsiTheme="minorHAnsi" w:cstheme="minorHAnsi"/>
          <w:noProof/>
          <w:sz w:val="24"/>
          <w:szCs w:val="24"/>
          <w:vertAlign w:val="superscript"/>
        </w:rPr>
        <w:t>16</w:t>
      </w:r>
      <w:r w:rsidR="000711A0">
        <w:rPr>
          <w:rFonts w:asciiTheme="minorHAnsi" w:hAnsiTheme="minorHAnsi" w:cstheme="minorHAnsi"/>
          <w:sz w:val="24"/>
          <w:szCs w:val="24"/>
        </w:rPr>
        <w:fldChar w:fldCharType="end"/>
      </w:r>
      <w:r w:rsidR="00636EDD" w:rsidRPr="007A7515">
        <w:rPr>
          <w:rFonts w:asciiTheme="minorHAnsi" w:hAnsiTheme="minorHAnsi" w:cstheme="minorHAnsi"/>
          <w:sz w:val="24"/>
          <w:szCs w:val="24"/>
        </w:rPr>
        <w:t>.</w:t>
      </w:r>
      <w:r w:rsidRPr="007A7515">
        <w:rPr>
          <w:rFonts w:asciiTheme="minorHAnsi" w:hAnsiTheme="minorHAnsi" w:cstheme="minorHAnsi"/>
          <w:sz w:val="24"/>
          <w:szCs w:val="24"/>
        </w:rPr>
        <w:t xml:space="preserve"> </w:t>
      </w:r>
      <w:r w:rsidR="00636EDD" w:rsidRPr="007A7515">
        <w:rPr>
          <w:rFonts w:asciiTheme="minorHAnsi" w:hAnsiTheme="minorHAnsi" w:cstheme="minorHAnsi"/>
          <w:sz w:val="24"/>
          <w:szCs w:val="24"/>
        </w:rPr>
        <w:t>The lower sensitivity but higher specificity</w:t>
      </w:r>
      <w:r w:rsidR="00C25136" w:rsidRPr="007A7515">
        <w:rPr>
          <w:rFonts w:asciiTheme="minorHAnsi" w:hAnsiTheme="minorHAnsi" w:cstheme="minorHAnsi"/>
          <w:sz w:val="24"/>
          <w:szCs w:val="24"/>
        </w:rPr>
        <w:t xml:space="preserve"> </w:t>
      </w:r>
      <w:r w:rsidR="00636EDD" w:rsidRPr="007A7515">
        <w:rPr>
          <w:rFonts w:asciiTheme="minorHAnsi" w:hAnsiTheme="minorHAnsi" w:cstheme="minorHAnsi"/>
          <w:sz w:val="24"/>
          <w:szCs w:val="24"/>
        </w:rPr>
        <w:t>reflects</w:t>
      </w:r>
      <w:r w:rsidR="00C25136" w:rsidRPr="007A7515">
        <w:rPr>
          <w:rFonts w:asciiTheme="minorHAnsi" w:hAnsiTheme="minorHAnsi" w:cstheme="minorHAnsi"/>
          <w:sz w:val="24"/>
          <w:szCs w:val="24"/>
        </w:rPr>
        <w:t xml:space="preserve"> the use of PET</w:t>
      </w:r>
      <w:r w:rsidR="004E7B38" w:rsidRPr="007A7515">
        <w:rPr>
          <w:rFonts w:asciiTheme="minorHAnsi" w:hAnsiTheme="minorHAnsi" w:cstheme="minorHAnsi"/>
          <w:sz w:val="24"/>
          <w:szCs w:val="24"/>
        </w:rPr>
        <w:t>/CT</w:t>
      </w:r>
      <w:r w:rsidR="00C25136" w:rsidRPr="007A7515">
        <w:rPr>
          <w:rFonts w:asciiTheme="minorHAnsi" w:hAnsiTheme="minorHAnsi" w:cstheme="minorHAnsi"/>
          <w:sz w:val="24"/>
          <w:szCs w:val="24"/>
        </w:rPr>
        <w:t xml:space="preserve"> grading rather than </w:t>
      </w:r>
      <w:proofErr w:type="spellStart"/>
      <w:r w:rsidR="00C25136" w:rsidRPr="007A7515">
        <w:rPr>
          <w:rFonts w:asciiTheme="minorHAnsi" w:hAnsiTheme="minorHAnsi" w:cstheme="minorHAnsi"/>
          <w:sz w:val="24"/>
          <w:szCs w:val="24"/>
        </w:rPr>
        <w:t>SUVmax</w:t>
      </w:r>
      <w:proofErr w:type="spellEnd"/>
      <w:r w:rsidR="00C25136" w:rsidRPr="007A7515">
        <w:rPr>
          <w:rFonts w:asciiTheme="minorHAnsi" w:hAnsiTheme="minorHAnsi" w:cstheme="minorHAnsi"/>
          <w:sz w:val="24"/>
          <w:szCs w:val="24"/>
        </w:rPr>
        <w:t xml:space="preserve"> </w:t>
      </w:r>
      <w:r w:rsidR="002654AD" w:rsidRPr="007A7515">
        <w:rPr>
          <w:rFonts w:asciiTheme="minorHAnsi" w:hAnsiTheme="minorHAnsi" w:cstheme="minorHAnsi"/>
          <w:sz w:val="24"/>
          <w:szCs w:val="24"/>
        </w:rPr>
        <w:t>in SPUTNIK</w:t>
      </w:r>
      <w:r w:rsidR="00680BD2" w:rsidRPr="007A7515">
        <w:rPr>
          <w:rFonts w:asciiTheme="minorHAnsi" w:hAnsiTheme="minorHAnsi" w:cstheme="minorHAnsi"/>
          <w:sz w:val="24"/>
          <w:szCs w:val="24"/>
        </w:rPr>
        <w:t xml:space="preserve"> with the CT grading improving the specificity</w:t>
      </w:r>
      <w:r w:rsidR="00321226" w:rsidRPr="007A7515">
        <w:rPr>
          <w:rFonts w:asciiTheme="minorHAnsi" w:hAnsiTheme="minorHAnsi" w:cstheme="minorHAnsi"/>
          <w:sz w:val="24"/>
          <w:szCs w:val="24"/>
        </w:rPr>
        <w:t xml:space="preserve"> </w:t>
      </w:r>
      <w:r w:rsidR="00321226" w:rsidRPr="007A7515">
        <w:rPr>
          <w:rFonts w:asciiTheme="minorHAnsi" w:hAnsiTheme="minorHAnsi" w:cstheme="minorHAnsi"/>
          <w:sz w:val="24"/>
          <w:szCs w:val="24"/>
        </w:rPr>
        <w:fldChar w:fldCharType="begin" w:fldLock="1"/>
      </w:r>
      <w:r w:rsidR="00437A17">
        <w:rPr>
          <w:rFonts w:asciiTheme="minorHAnsi" w:hAnsiTheme="minorHAnsi" w:cstheme="minorHAnsi"/>
          <w:sz w:val="24"/>
          <w:szCs w:val="24"/>
        </w:rPr>
        <w:instrText>ADDIN CSL_CITATION {"citationItems":[{"id":"ITEM-1","itemData":{"DOI":"10.1007/s11307-009-0241-0","ISBN":"1536-1632","ISSN":"15361632","PMID":"19543947","abstract":"OBJECTIVES: The objective of this study was to evaluate the increased diagnostic benefit of integrated positron emission tomography/computed tomography (PET/CT) interpretation in evaluating solitary pulmonary nodules for malignancy. METHODS: One hundred seventeen patients (67 men and 50 women; mean age +/- SD, 61.7 +/- 13.6 years, range, 31-86 years) with indeterminate solitary pulmonary nodules and no previous history of malignancy were analyzed. PET/CT was performed with an integrated PET/CT scanner (Siemens Biograph BGO duo) 1 h after an intravenous injection of 370 MBq (10 mCi) (18)F-fluorodeoxyglucose. Patients fasted for 6 h before imaging. PET was interpreted alone or combined with CT and was graded according to a five-point scale. A malignant diagnosis was based on histological findings or a clinical and radiological follow-up after at least 24 months. The diagnostic performances of PET alone and integrated PET/CT interpretation were evaluated using discriminant analysis. RESULTS: PET alone correctly classified 85% of nodules and integrated PET/CT interpretation increased the correct classification to 89%, with similar sensitivity and specificity of 88% and 89%, respectively. False-positive PET results mainly resulted from granulomatous disorders. Four (50%) of the eight cases deemed indeterminate on PET alone were resolved with combined PET/CT interpretation. CONCLUSIONS: Although the benefit attributable to the CT component was limited when integrated PET/CT was used, PET and CT acted synergistically to significantly increase the diagnostic veracity for PET-indeterminate nodules.","author":[{"dropping-particle":"","family":"Chang","given":"Chih Yung","non-dropping-particle":"","parse-names":false,"suffix":""},{"dropping-particle":"","family":"Tzao","given":"Ching","non-dropping-particle":"","parse-names":false,"suffix":""},{"dropping-particle":"","family":"Lee","given":"Shih Chun","non-dropping-particle":"","parse-names":false,"suffix":""},{"dropping-particle":"","family":"Cheng","given":"Cheng Yi","non-dropping-particle":"","parse-names":false,"suffix":""},{"dropping-particle":"","family":"Liu","given":"Chang Hsien","non-dropping-particle":"","parse-names":false,"suffix":""},{"dropping-particle":"","family":"Huang","given":"Wen Sheng","non-dropping-particle":"","parse-names":false,"suffix":""},{"dropping-particle":"","family":"Ku","given":"Chih Hung","non-dropping-particle":"","parse-names":false,"suffix":""},{"dropping-particle":"","family":"Lee","given":"Jong Kang","non-dropping-particle":"","parse-names":false,"suffix":""},{"dropping-particle":"","family":"Wong","given":"Ching Yee Oliver","non-dropping-particle":"","parse-names":false,"suffix":""}],"container-title":"Molecular Imaging and Biology","id":"ITEM-1","issue":"2","issued":{"date-parts":[["2010"]]},"page":"204-209","title":"Incremental value of integrated FDG-PET/CT in evaluating indeterminate solitary pulmonary nodule for malignancy","type":"article-journal","volume":"12"},"uris":["http://www.mendeley.com/documents/?uuid=d7a4678a-8ede-4f88-97f2-ebf1e7052085"]}],"mendeley":{"formattedCitation":"&lt;sup&gt;17&lt;/sup&gt;","plainTextFormattedCitation":"17","previouslyFormattedCitation":"&lt;sup&gt;17&lt;/sup&gt;"},"properties":{"noteIndex":0},"schema":"https://github.com/citation-style-language/schema/raw/master/csl-citation.json"}</w:instrText>
      </w:r>
      <w:r w:rsidR="00321226" w:rsidRPr="007A7515">
        <w:rPr>
          <w:rFonts w:asciiTheme="minorHAnsi" w:hAnsiTheme="minorHAnsi" w:cstheme="minorHAnsi"/>
          <w:sz w:val="24"/>
          <w:szCs w:val="24"/>
        </w:rPr>
        <w:fldChar w:fldCharType="separate"/>
      </w:r>
      <w:r w:rsidR="00437A17" w:rsidRPr="00437A17">
        <w:rPr>
          <w:rFonts w:asciiTheme="minorHAnsi" w:hAnsiTheme="minorHAnsi" w:cstheme="minorHAnsi"/>
          <w:noProof/>
          <w:sz w:val="24"/>
          <w:szCs w:val="24"/>
          <w:vertAlign w:val="superscript"/>
        </w:rPr>
        <w:t>17</w:t>
      </w:r>
      <w:r w:rsidR="00321226" w:rsidRPr="007A7515">
        <w:rPr>
          <w:rFonts w:asciiTheme="minorHAnsi" w:hAnsiTheme="minorHAnsi" w:cstheme="minorHAnsi"/>
          <w:sz w:val="24"/>
          <w:szCs w:val="24"/>
        </w:rPr>
        <w:fldChar w:fldCharType="end"/>
      </w:r>
      <w:r w:rsidR="00C25136" w:rsidRPr="007A7515">
        <w:rPr>
          <w:rFonts w:asciiTheme="minorHAnsi" w:hAnsiTheme="minorHAnsi" w:cstheme="minorHAnsi"/>
          <w:sz w:val="24"/>
          <w:szCs w:val="24"/>
        </w:rPr>
        <w:t xml:space="preserve">.  </w:t>
      </w:r>
      <w:r w:rsidR="002654AD" w:rsidRPr="007A7515">
        <w:rPr>
          <w:rFonts w:asciiTheme="minorHAnsi" w:hAnsiTheme="minorHAnsi" w:cstheme="minorHAnsi"/>
          <w:sz w:val="24"/>
          <w:szCs w:val="24"/>
        </w:rPr>
        <w:t>I</w:t>
      </w:r>
      <w:r w:rsidR="00C25136" w:rsidRPr="007A7515">
        <w:rPr>
          <w:rFonts w:asciiTheme="minorHAnsi" w:hAnsiTheme="minorHAnsi" w:cstheme="minorHAnsi"/>
          <w:sz w:val="24"/>
          <w:szCs w:val="24"/>
        </w:rPr>
        <w:t xml:space="preserve">n </w:t>
      </w:r>
      <w:r w:rsidR="004E7B38" w:rsidRPr="007A7515">
        <w:rPr>
          <w:rFonts w:asciiTheme="minorHAnsi" w:hAnsiTheme="minorHAnsi" w:cstheme="minorHAnsi"/>
          <w:sz w:val="24"/>
          <w:szCs w:val="24"/>
        </w:rPr>
        <w:t>th</w:t>
      </w:r>
      <w:r w:rsidR="000711A0">
        <w:rPr>
          <w:rFonts w:asciiTheme="minorHAnsi" w:hAnsiTheme="minorHAnsi" w:cstheme="minorHAnsi"/>
          <w:sz w:val="24"/>
          <w:szCs w:val="24"/>
        </w:rPr>
        <w:t>is</w:t>
      </w:r>
      <w:r w:rsidR="004E7B38" w:rsidRPr="007A7515">
        <w:rPr>
          <w:rFonts w:asciiTheme="minorHAnsi" w:hAnsiTheme="minorHAnsi" w:cstheme="minorHAnsi"/>
          <w:sz w:val="24"/>
          <w:szCs w:val="24"/>
        </w:rPr>
        <w:t xml:space="preserve"> </w:t>
      </w:r>
      <w:r w:rsidR="00C25136" w:rsidRPr="007A7515">
        <w:rPr>
          <w:rFonts w:asciiTheme="minorHAnsi" w:hAnsiTheme="minorHAnsi" w:cstheme="minorHAnsi"/>
          <w:sz w:val="24"/>
          <w:szCs w:val="24"/>
        </w:rPr>
        <w:t>meta-analysis</w:t>
      </w:r>
      <w:r w:rsidR="000711A0">
        <w:rPr>
          <w:rFonts w:asciiTheme="minorHAnsi" w:hAnsiTheme="minorHAnsi" w:cstheme="minorHAnsi"/>
          <w:sz w:val="24"/>
          <w:szCs w:val="24"/>
        </w:rPr>
        <w:t xml:space="preserve"> </w:t>
      </w:r>
      <w:r w:rsidR="000711A0">
        <w:rPr>
          <w:rFonts w:asciiTheme="minorHAnsi" w:hAnsiTheme="minorHAnsi" w:cstheme="minorHAnsi"/>
          <w:sz w:val="24"/>
          <w:szCs w:val="24"/>
        </w:rPr>
        <w:fldChar w:fldCharType="begin" w:fldLock="1"/>
      </w:r>
      <w:r w:rsidR="00437A17">
        <w:rPr>
          <w:rFonts w:asciiTheme="minorHAnsi" w:hAnsiTheme="minorHAnsi" w:cstheme="minorHAnsi"/>
          <w:sz w:val="24"/>
          <w:szCs w:val="24"/>
        </w:rPr>
        <w:instrText>ADDIN CSL_CITATION {"citationItems":[{"id":"ITEM-1","itemData":{"DOI":"10.1097/MD.0000000000010130","ISBN":"0000000000","ISSN":"0025-7974","author":[{"dropping-particle":"","family":"Li","given":"Zhen-Zhen","non-dropping-particle":"","parse-names":false,"suffix":""},{"dropping-particle":"","family":"Huang","given":"Ya-Liang","non-dropping-particle":"","parse-names":false,"suffix":""},{"dropping-particle":"","family":"Song","given":"Hong-Jun","non-dropping-particle":"","parse-names":false,"suffix":""},{"dropping-particle":"","family":"Wang","given":"You-Juan","non-dropping-particle":"","parse-names":false,"suffix":""},{"dropping-particle":"","family":"Huang","given":"Yan","non-dropping-particle":"","parse-names":false,"suffix":""}],"container-title":"Medicine","id":"ITEM-1","issue":"12","issued":{"date-parts":[["2018","3"]]},"page":"e0130","title":"The value of 18F-FDG-PET/CT in the diagnosis of solitary pulmonary nodules","type":"article-journal","volume":"97"},"uris":["http://www.mendeley.com/documents/?uuid=42bb866e-3254-4210-91f7-1c72cb054793"]}],"mendeley":{"formattedCitation":"&lt;sup&gt;16&lt;/sup&gt;","plainTextFormattedCitation":"16","previouslyFormattedCitation":"&lt;sup&gt;16&lt;/sup&gt;"},"properties":{"noteIndex":0},"schema":"https://github.com/citation-style-language/schema/raw/master/csl-citation.json"}</w:instrText>
      </w:r>
      <w:r w:rsidR="000711A0">
        <w:rPr>
          <w:rFonts w:asciiTheme="minorHAnsi" w:hAnsiTheme="minorHAnsi" w:cstheme="minorHAnsi"/>
          <w:sz w:val="24"/>
          <w:szCs w:val="24"/>
        </w:rPr>
        <w:fldChar w:fldCharType="separate"/>
      </w:r>
      <w:r w:rsidR="00437A17" w:rsidRPr="00437A17">
        <w:rPr>
          <w:rFonts w:asciiTheme="minorHAnsi" w:hAnsiTheme="minorHAnsi" w:cstheme="minorHAnsi"/>
          <w:noProof/>
          <w:sz w:val="24"/>
          <w:szCs w:val="24"/>
          <w:vertAlign w:val="superscript"/>
        </w:rPr>
        <w:t>16</w:t>
      </w:r>
      <w:r w:rsidR="000711A0">
        <w:rPr>
          <w:rFonts w:asciiTheme="minorHAnsi" w:hAnsiTheme="minorHAnsi" w:cstheme="minorHAnsi"/>
          <w:sz w:val="24"/>
          <w:szCs w:val="24"/>
        </w:rPr>
        <w:fldChar w:fldCharType="end"/>
      </w:r>
      <w:r w:rsidR="004E7B38" w:rsidRPr="007A7515">
        <w:rPr>
          <w:rFonts w:asciiTheme="minorHAnsi" w:hAnsiTheme="minorHAnsi" w:cstheme="minorHAnsi"/>
          <w:sz w:val="24"/>
          <w:szCs w:val="24"/>
        </w:rPr>
        <w:t>,</w:t>
      </w:r>
      <w:r w:rsidR="009A34E4" w:rsidRPr="007A7515">
        <w:rPr>
          <w:rFonts w:asciiTheme="minorHAnsi" w:hAnsiTheme="minorHAnsi" w:cstheme="minorHAnsi"/>
          <w:sz w:val="24"/>
          <w:szCs w:val="24"/>
        </w:rPr>
        <w:t xml:space="preserve"> </w:t>
      </w:r>
      <w:r w:rsidR="002654AD" w:rsidRPr="007A7515">
        <w:rPr>
          <w:rFonts w:asciiTheme="minorHAnsi" w:hAnsiTheme="minorHAnsi" w:cstheme="minorHAnsi"/>
          <w:sz w:val="24"/>
          <w:szCs w:val="24"/>
        </w:rPr>
        <w:t xml:space="preserve">many studies </w:t>
      </w:r>
      <w:r w:rsidR="009A34E4" w:rsidRPr="007A7515">
        <w:rPr>
          <w:rFonts w:asciiTheme="minorHAnsi" w:hAnsiTheme="minorHAnsi" w:cstheme="minorHAnsi"/>
          <w:sz w:val="24"/>
          <w:szCs w:val="24"/>
        </w:rPr>
        <w:t>were retrospective and</w:t>
      </w:r>
      <w:r w:rsidR="00C25136" w:rsidRPr="007A7515">
        <w:rPr>
          <w:rFonts w:asciiTheme="minorHAnsi" w:hAnsiTheme="minorHAnsi" w:cstheme="minorHAnsi"/>
          <w:sz w:val="24"/>
          <w:szCs w:val="24"/>
        </w:rPr>
        <w:t xml:space="preserve"> </w:t>
      </w:r>
      <w:r w:rsidR="00680BD2" w:rsidRPr="007A7515">
        <w:rPr>
          <w:rFonts w:asciiTheme="minorHAnsi" w:hAnsiTheme="minorHAnsi" w:cstheme="minorHAnsi"/>
          <w:sz w:val="24"/>
          <w:szCs w:val="24"/>
        </w:rPr>
        <w:t>used</w:t>
      </w:r>
      <w:r w:rsidR="00C25136" w:rsidRPr="007A7515">
        <w:rPr>
          <w:rFonts w:asciiTheme="minorHAnsi" w:hAnsiTheme="minorHAnsi" w:cstheme="minorHAnsi"/>
          <w:sz w:val="24"/>
          <w:szCs w:val="24"/>
        </w:rPr>
        <w:t xml:space="preserve"> a</w:t>
      </w:r>
      <w:r w:rsidR="004E7B38" w:rsidRPr="007A7515">
        <w:rPr>
          <w:rFonts w:asciiTheme="minorHAnsi" w:hAnsiTheme="minorHAnsi" w:cstheme="minorHAnsi"/>
          <w:sz w:val="24"/>
          <w:szCs w:val="24"/>
        </w:rPr>
        <w:t>n infrequently pre-defined</w:t>
      </w:r>
      <w:r w:rsidR="00C25136" w:rsidRPr="007A7515">
        <w:rPr>
          <w:rFonts w:asciiTheme="minorHAnsi" w:hAnsiTheme="minorHAnsi" w:cstheme="minorHAnsi"/>
          <w:sz w:val="24"/>
          <w:szCs w:val="24"/>
        </w:rPr>
        <w:t xml:space="preserve"> </w:t>
      </w:r>
      <w:proofErr w:type="spellStart"/>
      <w:r w:rsidR="00C25136" w:rsidRPr="007A7515">
        <w:rPr>
          <w:rFonts w:asciiTheme="minorHAnsi" w:hAnsiTheme="minorHAnsi" w:cstheme="minorHAnsi"/>
          <w:sz w:val="24"/>
          <w:szCs w:val="24"/>
        </w:rPr>
        <w:t>SUVmax</w:t>
      </w:r>
      <w:proofErr w:type="spellEnd"/>
      <w:r w:rsidR="00C25136" w:rsidRPr="007A7515">
        <w:rPr>
          <w:rFonts w:asciiTheme="minorHAnsi" w:hAnsiTheme="minorHAnsi" w:cstheme="minorHAnsi"/>
          <w:sz w:val="24"/>
          <w:szCs w:val="24"/>
        </w:rPr>
        <w:t xml:space="preserve"> cut</w:t>
      </w:r>
      <w:r w:rsidR="004E7B38" w:rsidRPr="007A7515">
        <w:rPr>
          <w:rFonts w:asciiTheme="minorHAnsi" w:hAnsiTheme="minorHAnsi" w:cstheme="minorHAnsi"/>
          <w:sz w:val="24"/>
          <w:szCs w:val="24"/>
        </w:rPr>
        <w:t>-off</w:t>
      </w:r>
      <w:r w:rsidR="00C25136" w:rsidRPr="007A7515">
        <w:rPr>
          <w:rFonts w:asciiTheme="minorHAnsi" w:hAnsiTheme="minorHAnsi" w:cstheme="minorHAnsi"/>
          <w:sz w:val="24"/>
          <w:szCs w:val="24"/>
        </w:rPr>
        <w:t xml:space="preserve"> point</w:t>
      </w:r>
      <w:r w:rsidR="00680BD2" w:rsidRPr="007A7515">
        <w:rPr>
          <w:rFonts w:asciiTheme="minorHAnsi" w:hAnsiTheme="minorHAnsi" w:cstheme="minorHAnsi"/>
          <w:sz w:val="24"/>
          <w:szCs w:val="24"/>
        </w:rPr>
        <w:t xml:space="preserve"> </w:t>
      </w:r>
      <w:r w:rsidR="002654AD" w:rsidRPr="007A7515">
        <w:rPr>
          <w:rFonts w:asciiTheme="minorHAnsi" w:hAnsiTheme="minorHAnsi" w:cstheme="minorHAnsi"/>
          <w:sz w:val="24"/>
          <w:szCs w:val="24"/>
        </w:rPr>
        <w:t xml:space="preserve">which </w:t>
      </w:r>
      <w:r w:rsidR="009A34E4" w:rsidRPr="007A7515">
        <w:rPr>
          <w:rFonts w:asciiTheme="minorHAnsi" w:hAnsiTheme="minorHAnsi" w:cstheme="minorHAnsi"/>
          <w:sz w:val="24"/>
          <w:szCs w:val="24"/>
        </w:rPr>
        <w:t xml:space="preserve">may </w:t>
      </w:r>
      <w:r w:rsidR="00911E5A" w:rsidRPr="007A7515">
        <w:rPr>
          <w:rFonts w:asciiTheme="minorHAnsi" w:hAnsiTheme="minorHAnsi" w:cstheme="minorHAnsi"/>
          <w:sz w:val="24"/>
          <w:szCs w:val="24"/>
        </w:rPr>
        <w:t>have</w:t>
      </w:r>
      <w:r w:rsidR="009A34E4" w:rsidRPr="007A7515">
        <w:rPr>
          <w:rFonts w:asciiTheme="minorHAnsi" w:hAnsiTheme="minorHAnsi" w:cstheme="minorHAnsi"/>
          <w:sz w:val="24"/>
          <w:szCs w:val="24"/>
        </w:rPr>
        <w:t xml:space="preserve"> overly </w:t>
      </w:r>
      <w:r w:rsidR="00680BD2" w:rsidRPr="007A7515">
        <w:rPr>
          <w:rFonts w:asciiTheme="minorHAnsi" w:hAnsiTheme="minorHAnsi" w:cstheme="minorHAnsi"/>
          <w:sz w:val="24"/>
          <w:szCs w:val="24"/>
        </w:rPr>
        <w:t xml:space="preserve">optimised sensitivity. </w:t>
      </w:r>
      <w:r w:rsidR="002654AD" w:rsidRPr="007A7515">
        <w:rPr>
          <w:rFonts w:asciiTheme="minorHAnsi" w:hAnsiTheme="minorHAnsi" w:cstheme="minorHAnsi"/>
          <w:sz w:val="24"/>
          <w:szCs w:val="24"/>
        </w:rPr>
        <w:t>O</w:t>
      </w:r>
      <w:r w:rsidR="00680BD2" w:rsidRPr="007A7515">
        <w:rPr>
          <w:rFonts w:asciiTheme="minorHAnsi" w:hAnsiTheme="minorHAnsi" w:cstheme="minorHAnsi"/>
          <w:sz w:val="24"/>
          <w:szCs w:val="24"/>
        </w:rPr>
        <w:t>ur exploratory analysis</w:t>
      </w:r>
      <w:r w:rsidR="002654AD" w:rsidRPr="007A7515">
        <w:rPr>
          <w:rFonts w:asciiTheme="minorHAnsi" w:hAnsiTheme="minorHAnsi" w:cstheme="minorHAnsi"/>
          <w:sz w:val="24"/>
          <w:szCs w:val="24"/>
        </w:rPr>
        <w:t xml:space="preserve"> </w:t>
      </w:r>
      <w:r w:rsidR="00621F87" w:rsidRPr="007A7515">
        <w:rPr>
          <w:rFonts w:asciiTheme="minorHAnsi" w:hAnsiTheme="minorHAnsi" w:cstheme="minorHAnsi"/>
          <w:sz w:val="24"/>
          <w:szCs w:val="24"/>
        </w:rPr>
        <w:t xml:space="preserve">reinforces that </w:t>
      </w:r>
      <w:r w:rsidR="00680BD2" w:rsidRPr="007A7515">
        <w:rPr>
          <w:rFonts w:asciiTheme="minorHAnsi" w:hAnsiTheme="minorHAnsi" w:cstheme="minorHAnsi"/>
          <w:sz w:val="24"/>
          <w:szCs w:val="24"/>
        </w:rPr>
        <w:t xml:space="preserve">if </w:t>
      </w:r>
      <w:r w:rsidR="002654AD" w:rsidRPr="007A7515">
        <w:rPr>
          <w:rFonts w:asciiTheme="minorHAnsi" w:hAnsiTheme="minorHAnsi" w:cstheme="minorHAnsi"/>
          <w:sz w:val="24"/>
          <w:szCs w:val="24"/>
        </w:rPr>
        <w:t xml:space="preserve">an optimised </w:t>
      </w:r>
      <w:proofErr w:type="spellStart"/>
      <w:r w:rsidR="00680BD2" w:rsidRPr="007A7515">
        <w:rPr>
          <w:rFonts w:asciiTheme="minorHAnsi" w:hAnsiTheme="minorHAnsi" w:cstheme="minorHAnsi"/>
          <w:sz w:val="24"/>
          <w:szCs w:val="24"/>
        </w:rPr>
        <w:t>SUVmax</w:t>
      </w:r>
      <w:proofErr w:type="spellEnd"/>
      <w:r w:rsidR="00680BD2" w:rsidRPr="007A7515">
        <w:rPr>
          <w:rFonts w:asciiTheme="minorHAnsi" w:hAnsiTheme="minorHAnsi" w:cstheme="minorHAnsi"/>
          <w:sz w:val="24"/>
          <w:szCs w:val="24"/>
        </w:rPr>
        <w:t xml:space="preserve"> </w:t>
      </w:r>
      <w:r w:rsidR="002654AD" w:rsidRPr="007A7515">
        <w:rPr>
          <w:rFonts w:asciiTheme="minorHAnsi" w:hAnsiTheme="minorHAnsi" w:cstheme="minorHAnsi"/>
          <w:sz w:val="24"/>
          <w:szCs w:val="24"/>
        </w:rPr>
        <w:t>i</w:t>
      </w:r>
      <w:r w:rsidR="00680BD2" w:rsidRPr="007A7515">
        <w:rPr>
          <w:rFonts w:asciiTheme="minorHAnsi" w:hAnsiTheme="minorHAnsi" w:cstheme="minorHAnsi"/>
          <w:sz w:val="24"/>
          <w:szCs w:val="24"/>
        </w:rPr>
        <w:t xml:space="preserve">s used rather than the PET/CT grading, the sensitivity </w:t>
      </w:r>
      <w:r w:rsidR="002654AD" w:rsidRPr="007A7515">
        <w:rPr>
          <w:rFonts w:asciiTheme="minorHAnsi" w:hAnsiTheme="minorHAnsi" w:cstheme="minorHAnsi"/>
          <w:sz w:val="24"/>
          <w:szCs w:val="24"/>
        </w:rPr>
        <w:t>i</w:t>
      </w:r>
      <w:r w:rsidR="00680BD2" w:rsidRPr="007A7515">
        <w:rPr>
          <w:rFonts w:asciiTheme="minorHAnsi" w:hAnsiTheme="minorHAnsi" w:cstheme="minorHAnsi"/>
          <w:sz w:val="24"/>
          <w:szCs w:val="24"/>
        </w:rPr>
        <w:t>s 91.0% (95% CI 86</w:t>
      </w:r>
      <w:r w:rsidR="0053128F" w:rsidRPr="007A7515">
        <w:rPr>
          <w:rFonts w:asciiTheme="minorHAnsi" w:hAnsiTheme="minorHAnsi" w:cstheme="minorHAnsi"/>
          <w:sz w:val="24"/>
          <w:szCs w:val="24"/>
        </w:rPr>
        <w:t>·1</w:t>
      </w:r>
      <w:r w:rsidR="00680BD2" w:rsidRPr="007A7515">
        <w:rPr>
          <w:rFonts w:asciiTheme="minorHAnsi" w:hAnsiTheme="minorHAnsi" w:cstheme="minorHAnsi"/>
          <w:sz w:val="24"/>
          <w:szCs w:val="24"/>
        </w:rPr>
        <w:t>;94</w:t>
      </w:r>
      <w:r w:rsidR="0053128F" w:rsidRPr="007A7515">
        <w:rPr>
          <w:rFonts w:asciiTheme="minorHAnsi" w:hAnsiTheme="minorHAnsi" w:cstheme="minorHAnsi"/>
          <w:sz w:val="24"/>
          <w:szCs w:val="24"/>
        </w:rPr>
        <w:t>·3</w:t>
      </w:r>
      <w:r w:rsidR="007B4B80" w:rsidRPr="007A7515">
        <w:rPr>
          <w:rFonts w:asciiTheme="minorHAnsi" w:hAnsiTheme="minorHAnsi" w:cstheme="minorHAnsi"/>
          <w:sz w:val="24"/>
          <w:szCs w:val="24"/>
        </w:rPr>
        <w:t xml:space="preserve">) </w:t>
      </w:r>
      <w:r w:rsidR="00680BD2" w:rsidRPr="007A7515">
        <w:rPr>
          <w:rFonts w:asciiTheme="minorHAnsi" w:hAnsiTheme="minorHAnsi" w:cstheme="minorHAnsi"/>
          <w:sz w:val="24"/>
          <w:szCs w:val="24"/>
        </w:rPr>
        <w:t>and specificity was 6</w:t>
      </w:r>
      <w:r w:rsidR="00B36EF1" w:rsidRPr="007A7515">
        <w:rPr>
          <w:rFonts w:asciiTheme="minorHAnsi" w:hAnsiTheme="minorHAnsi" w:cstheme="minorHAnsi"/>
          <w:sz w:val="24"/>
          <w:szCs w:val="24"/>
        </w:rPr>
        <w:t>3</w:t>
      </w:r>
      <w:r w:rsidR="00680BD2" w:rsidRPr="007A7515">
        <w:rPr>
          <w:rFonts w:asciiTheme="minorHAnsi" w:hAnsiTheme="minorHAnsi" w:cstheme="minorHAnsi"/>
          <w:sz w:val="24"/>
          <w:szCs w:val="24"/>
        </w:rPr>
        <w:t>.0% (5</w:t>
      </w:r>
      <w:r w:rsidR="00B36EF1" w:rsidRPr="007A7515">
        <w:rPr>
          <w:rFonts w:asciiTheme="minorHAnsi" w:hAnsiTheme="minorHAnsi" w:cstheme="minorHAnsi"/>
          <w:sz w:val="24"/>
          <w:szCs w:val="24"/>
        </w:rPr>
        <w:t>4</w:t>
      </w:r>
      <w:r w:rsidR="0053128F" w:rsidRPr="007A7515">
        <w:rPr>
          <w:rFonts w:asciiTheme="minorHAnsi" w:hAnsiTheme="minorHAnsi" w:cstheme="minorHAnsi"/>
          <w:sz w:val="24"/>
          <w:szCs w:val="24"/>
        </w:rPr>
        <w:t>·1</w:t>
      </w:r>
      <w:r w:rsidR="00680BD2" w:rsidRPr="007A7515">
        <w:rPr>
          <w:rFonts w:asciiTheme="minorHAnsi" w:hAnsiTheme="minorHAnsi" w:cstheme="minorHAnsi"/>
          <w:sz w:val="24"/>
          <w:szCs w:val="24"/>
        </w:rPr>
        <w:t>;7</w:t>
      </w:r>
      <w:r w:rsidR="00B36EF1" w:rsidRPr="007A7515">
        <w:rPr>
          <w:rFonts w:asciiTheme="minorHAnsi" w:hAnsiTheme="minorHAnsi" w:cstheme="minorHAnsi"/>
          <w:sz w:val="24"/>
          <w:szCs w:val="24"/>
        </w:rPr>
        <w:t>1</w:t>
      </w:r>
      <w:r w:rsidR="0053128F" w:rsidRPr="007A7515">
        <w:rPr>
          <w:rFonts w:asciiTheme="minorHAnsi" w:hAnsiTheme="minorHAnsi" w:cstheme="minorHAnsi"/>
          <w:sz w:val="24"/>
          <w:szCs w:val="24"/>
        </w:rPr>
        <w:t>·</w:t>
      </w:r>
      <w:r w:rsidR="00B36EF1" w:rsidRPr="007A7515">
        <w:rPr>
          <w:rFonts w:asciiTheme="minorHAnsi" w:hAnsiTheme="minorHAnsi" w:cstheme="minorHAnsi"/>
          <w:sz w:val="24"/>
          <w:szCs w:val="24"/>
        </w:rPr>
        <w:t>2</w:t>
      </w:r>
      <w:r w:rsidR="00680BD2" w:rsidRPr="007A7515">
        <w:rPr>
          <w:rFonts w:asciiTheme="minorHAnsi" w:hAnsiTheme="minorHAnsi" w:cstheme="minorHAnsi"/>
          <w:sz w:val="24"/>
          <w:szCs w:val="24"/>
        </w:rPr>
        <w:t>)</w:t>
      </w:r>
      <w:r w:rsidR="009A34E4" w:rsidRPr="007A7515">
        <w:rPr>
          <w:rFonts w:asciiTheme="minorHAnsi" w:hAnsiTheme="minorHAnsi" w:cstheme="minorHAnsi"/>
          <w:sz w:val="24"/>
          <w:szCs w:val="24"/>
        </w:rPr>
        <w:t>, closer matching the</w:t>
      </w:r>
      <w:r w:rsidR="002654AD" w:rsidRPr="007A7515">
        <w:rPr>
          <w:rFonts w:asciiTheme="minorHAnsi" w:hAnsiTheme="minorHAnsi" w:cstheme="minorHAnsi"/>
          <w:sz w:val="24"/>
          <w:szCs w:val="24"/>
        </w:rPr>
        <w:t xml:space="preserve"> meta-analysis</w:t>
      </w:r>
      <w:r w:rsidR="00C25136" w:rsidRPr="007A7515">
        <w:rPr>
          <w:rFonts w:asciiTheme="minorHAnsi" w:hAnsiTheme="minorHAnsi" w:cstheme="minorHAnsi"/>
          <w:sz w:val="24"/>
          <w:szCs w:val="24"/>
        </w:rPr>
        <w:t xml:space="preserve">. </w:t>
      </w:r>
      <w:r w:rsidR="00636EDD" w:rsidRPr="007A7515">
        <w:rPr>
          <w:rFonts w:asciiTheme="minorHAnsi" w:hAnsiTheme="minorHAnsi" w:cstheme="minorHAnsi"/>
          <w:sz w:val="24"/>
          <w:szCs w:val="24"/>
        </w:rPr>
        <w:t xml:space="preserve"> </w:t>
      </w:r>
    </w:p>
    <w:p w14:paraId="5248C855" w14:textId="77777777" w:rsidR="00B36EF1" w:rsidRPr="007A7515" w:rsidRDefault="00B36EF1" w:rsidP="00BB118D">
      <w:pPr>
        <w:pStyle w:val="NoSpacing"/>
        <w:rPr>
          <w:rFonts w:asciiTheme="minorHAnsi" w:hAnsiTheme="minorHAnsi" w:cstheme="minorHAnsi"/>
          <w:szCs w:val="24"/>
        </w:rPr>
      </w:pPr>
    </w:p>
    <w:p w14:paraId="5BE4A9BE" w14:textId="7EE6A2F6" w:rsidR="00BB118D" w:rsidRPr="007A7515" w:rsidRDefault="000C096D" w:rsidP="00CD7A91">
      <w:pPr>
        <w:pStyle w:val="NoSpacing"/>
        <w:rPr>
          <w:rFonts w:asciiTheme="minorHAnsi" w:hAnsiTheme="minorHAnsi" w:cstheme="minorHAnsi"/>
          <w:szCs w:val="24"/>
          <w:highlight w:val="yellow"/>
        </w:rPr>
      </w:pPr>
      <w:r w:rsidRPr="007A7515">
        <w:rPr>
          <w:rFonts w:asciiTheme="minorHAnsi" w:hAnsiTheme="minorHAnsi" w:cstheme="minorHAnsi"/>
          <w:szCs w:val="24"/>
        </w:rPr>
        <w:t xml:space="preserve">In </w:t>
      </w:r>
      <w:r w:rsidR="002654AD" w:rsidRPr="007A7515">
        <w:rPr>
          <w:rFonts w:asciiTheme="minorHAnsi" w:hAnsiTheme="minorHAnsi" w:cstheme="minorHAnsi"/>
          <w:szCs w:val="24"/>
        </w:rPr>
        <w:t>our</w:t>
      </w:r>
      <w:r w:rsidRPr="007A7515">
        <w:rPr>
          <w:rFonts w:asciiTheme="minorHAnsi" w:hAnsiTheme="minorHAnsi" w:cstheme="minorHAnsi"/>
          <w:szCs w:val="24"/>
        </w:rPr>
        <w:t xml:space="preserve"> study</w:t>
      </w:r>
      <w:r w:rsidR="00B15453" w:rsidRPr="007A7515">
        <w:rPr>
          <w:rFonts w:asciiTheme="minorHAnsi" w:hAnsiTheme="minorHAnsi" w:cstheme="minorHAnsi"/>
          <w:szCs w:val="24"/>
        </w:rPr>
        <w:t>,</w:t>
      </w:r>
      <w:r w:rsidRPr="007A7515">
        <w:rPr>
          <w:rFonts w:asciiTheme="minorHAnsi" w:hAnsiTheme="minorHAnsi" w:cstheme="minorHAnsi"/>
          <w:szCs w:val="24"/>
        </w:rPr>
        <w:t xml:space="preserve"> DCE-CT had the highe</w:t>
      </w:r>
      <w:r w:rsidR="002654AD" w:rsidRPr="007A7515">
        <w:rPr>
          <w:rFonts w:asciiTheme="minorHAnsi" w:hAnsiTheme="minorHAnsi" w:cstheme="minorHAnsi"/>
          <w:szCs w:val="24"/>
        </w:rPr>
        <w:t>r</w:t>
      </w:r>
      <w:r w:rsidRPr="007A7515">
        <w:rPr>
          <w:rFonts w:asciiTheme="minorHAnsi" w:hAnsiTheme="minorHAnsi" w:cstheme="minorHAnsi"/>
          <w:szCs w:val="24"/>
        </w:rPr>
        <w:t xml:space="preserve"> sensitivity of 95</w:t>
      </w:r>
      <w:r w:rsidR="0053128F" w:rsidRPr="007A7515">
        <w:rPr>
          <w:rFonts w:asciiTheme="minorHAnsi" w:hAnsiTheme="minorHAnsi" w:cstheme="minorHAnsi"/>
          <w:szCs w:val="24"/>
        </w:rPr>
        <w:t>·</w:t>
      </w:r>
      <w:r w:rsidR="00911E0B" w:rsidRPr="007A7515">
        <w:rPr>
          <w:rFonts w:asciiTheme="minorHAnsi" w:hAnsiTheme="minorHAnsi" w:cstheme="minorHAnsi"/>
          <w:szCs w:val="24"/>
        </w:rPr>
        <w:t>3</w:t>
      </w:r>
      <w:r w:rsidRPr="007A7515">
        <w:rPr>
          <w:rFonts w:asciiTheme="minorHAnsi" w:hAnsiTheme="minorHAnsi" w:cstheme="minorHAnsi"/>
          <w:szCs w:val="24"/>
        </w:rPr>
        <w:t>%</w:t>
      </w:r>
      <w:r w:rsidR="002654AD" w:rsidRPr="007A7515">
        <w:rPr>
          <w:rFonts w:asciiTheme="minorHAnsi" w:hAnsiTheme="minorHAnsi" w:cstheme="minorHAnsi"/>
          <w:szCs w:val="24"/>
        </w:rPr>
        <w:t xml:space="preserve"> with </w:t>
      </w:r>
      <w:r w:rsidRPr="007A7515">
        <w:rPr>
          <w:rFonts w:asciiTheme="minorHAnsi" w:hAnsiTheme="minorHAnsi" w:cstheme="minorHAnsi"/>
          <w:szCs w:val="24"/>
        </w:rPr>
        <w:t>the penalty of low specificity</w:t>
      </w:r>
      <w:r w:rsidR="002654AD" w:rsidRPr="007A7515">
        <w:rPr>
          <w:rFonts w:asciiTheme="minorHAnsi" w:hAnsiTheme="minorHAnsi" w:cstheme="minorHAnsi"/>
          <w:szCs w:val="24"/>
        </w:rPr>
        <w:t xml:space="preserve"> of </w:t>
      </w:r>
      <w:r w:rsidRPr="007A7515">
        <w:rPr>
          <w:rFonts w:asciiTheme="minorHAnsi" w:hAnsiTheme="minorHAnsi" w:cstheme="minorHAnsi"/>
          <w:szCs w:val="24"/>
        </w:rPr>
        <w:t>29</w:t>
      </w:r>
      <w:r w:rsidR="0053128F" w:rsidRPr="007A7515">
        <w:rPr>
          <w:rFonts w:asciiTheme="minorHAnsi" w:hAnsiTheme="minorHAnsi" w:cstheme="minorHAnsi"/>
          <w:szCs w:val="24"/>
        </w:rPr>
        <w:t>·</w:t>
      </w:r>
      <w:r w:rsidR="00911E0B" w:rsidRPr="007A7515">
        <w:rPr>
          <w:rFonts w:asciiTheme="minorHAnsi" w:hAnsiTheme="minorHAnsi" w:cstheme="minorHAnsi"/>
          <w:szCs w:val="24"/>
        </w:rPr>
        <w:t>8</w:t>
      </w:r>
      <w:r w:rsidRPr="007A7515">
        <w:rPr>
          <w:rFonts w:asciiTheme="minorHAnsi" w:hAnsiTheme="minorHAnsi" w:cstheme="minorHAnsi"/>
          <w:szCs w:val="24"/>
        </w:rPr>
        <w:t>%</w:t>
      </w:r>
      <w:r w:rsidR="002654AD" w:rsidRPr="007A7515">
        <w:rPr>
          <w:rFonts w:asciiTheme="minorHAnsi" w:hAnsiTheme="minorHAnsi" w:cstheme="minorHAnsi"/>
          <w:szCs w:val="24"/>
        </w:rPr>
        <w:t>. C</w:t>
      </w:r>
      <w:r w:rsidRPr="007A7515">
        <w:rPr>
          <w:rFonts w:asciiTheme="minorHAnsi" w:hAnsiTheme="minorHAnsi" w:cstheme="minorHAnsi"/>
          <w:szCs w:val="24"/>
        </w:rPr>
        <w:t>ompar</w:t>
      </w:r>
      <w:r w:rsidR="002654AD" w:rsidRPr="007A7515">
        <w:rPr>
          <w:rFonts w:asciiTheme="minorHAnsi" w:hAnsiTheme="minorHAnsi" w:cstheme="minorHAnsi"/>
          <w:szCs w:val="24"/>
        </w:rPr>
        <w:t>ed</w:t>
      </w:r>
      <w:r w:rsidRPr="007A7515">
        <w:rPr>
          <w:rFonts w:asciiTheme="minorHAnsi" w:hAnsiTheme="minorHAnsi" w:cstheme="minorHAnsi"/>
          <w:szCs w:val="24"/>
        </w:rPr>
        <w:t xml:space="preserve"> to a pooled sensitivity and specificity of 95% and 76% in a recent meta-analysis of DCE-CT </w:t>
      </w:r>
      <w:r w:rsidR="002654AD" w:rsidRPr="007A7515">
        <w:rPr>
          <w:rFonts w:asciiTheme="minorHAnsi" w:hAnsiTheme="minorHAnsi" w:cstheme="minorHAnsi"/>
          <w:szCs w:val="24"/>
        </w:rPr>
        <w:t>(</w:t>
      </w:r>
      <w:r w:rsidRPr="007A7515">
        <w:rPr>
          <w:rFonts w:asciiTheme="minorHAnsi" w:hAnsiTheme="minorHAnsi" w:cstheme="minorHAnsi"/>
          <w:szCs w:val="24"/>
        </w:rPr>
        <w:t>23 studies with 2397 participants</w:t>
      </w:r>
      <w:r w:rsidR="002654AD" w:rsidRPr="007A7515">
        <w:rPr>
          <w:rFonts w:asciiTheme="minorHAnsi" w:hAnsiTheme="minorHAnsi" w:cstheme="minorHAnsi"/>
          <w:szCs w:val="24"/>
        </w:rPr>
        <w:t>)</w:t>
      </w:r>
      <w:r w:rsidR="004A39FB"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{"citationItems":[{"id":"ITEM-1","itemData":{"DOI":"10.1007/s00330-020-06661-8","ISSN":"0938-7994","PMID":"32060716","abstract":"INTRODUCTION A systematic review and meta-analysis were performed to determine the diagnostic performance of dynamic contrast-enhanced computed tomography (DCE-CT) for the differentiation between malignant and benign pulmonary nodules. METHODS Ovid MEDLINE and EMBASE were searched for studies published up to October 2018 on the diagnostic accuracy of DCE-CT for the characterisation of pulmonary nodules. For the index test, studies with a minimum of a pre- and post-contrast computed tomography scan were evaluated. Studies with a reference standard of biopsy for malignancy, and biopsy or 2-year follow-up for benign disease were included. Study bias was assessed using QUADAS-2 (Quality Assessment of Diagnostic Accuracy Studies). The sensitivities, specificities, and diagnostic odds ratios were determined along with 95% confidence intervals (CIs) using a bivariate random effects model. RESULTS Twenty-three studies were included, including 2397 study participants with 2514 nodules of which 55.3% were malignant (1389/2514). The pooled accuracy results were sensitivity 94.8% (95% CI 91.5; 96.9), specificity 75.5% (69.4; 80.6), and diagnostic odds ratio 56.6 (24.2-88.9). QUADAS 2 assessment showed intermediate/high risk of bias in a large proportion of the studies (52-78% across the domains). No difference was present in sensitivity or specificity between subgroups when studies were split based on CT technique, sample size, nodule size, or publication date. CONCLUSION DCE-CT has a high diagnostic accuracy for the diagnosis of pulmonary nodules although study quality was indeterminate in a large number of cases. KEY POINTS • The pooled accuracy results were sensitivity 95.1% and specificity 73.8% although individual studies showed wide ranges of values. • This is comparable to the results of previous meta-analyses of PET/CT (positron emission tomography/computed tomography) diagnostic accuracy for the diagnosis of solitary pulmonary nodules. • Robust direct comparative accuracy and cost-effectiveness studies are warranted to determine the optimal use of DCE-CT and PET/CT in the diagnosis of SPNs.","author":[{"dropping-particle":"","family":"Weir-McCall","given":"Jonathan R","non-dropping-particle":"","parse-names":false,"suffix":""},{"dropping-particle":"","family":"Joyce","given":"Stella","non-dropping-particle":"","parse-names":false,"suffix":""},{"dropping-particle":"","family":"Clegg","given":"Andrew","non-dropping-particle":"","parse-names":false,"suffix":""},{"dropping-particle":"","family":"MacKay","given":"James W","non-dropping-particle":"","parse-names":false,"suffix":""},{"dropping-particle":"","family":"Baxter","given":"Gabrielle","non-dropping-particle":"","parse-names":false,"suffix":""},{"dropping-particle":"","family":"Dendl","given":"Lena-marie","non-dropping-particle":"","parse-names":false,"suffix":""},{"dropping-particle":"","family":"Rintoul","given":"Robert C","non-dropping-particle":"","parse-names":false,"suffix":""},{"dropping-particle":"","family":"Qureshi","given":"Nagmi R","non-dropping-particle":"","parse-names":false,"suffix":""},{"dropping-particle":"","family":"Miles","given":"Ken","non-dropping-particle":"","parse-names":false,"suffix":""},{"dropping-particle":"","family":"Gilbert","given":"Fiona J","non-dropping-particle":"","parse-names":false,"suffix":""}],"container-title":"European Radiology","id":"ITEM-1","issue":"6","issued":{"date-parts":[["2020","6","15"]]},"page":"3310-3323","title":"Dynamic contrast–enhanced computed tomography for the diagnosis of solitary pulmonary nodules: a systematic review and meta-analysis","type":"article-journal","volume":"30"},"uris":["http://www.mendeley.com/documents/?uuid=60628fd7-a2f5-460d-9c27-79c96270da08"]}],"mendeley":{"formattedCitation":"&lt;sup&gt;18&lt;/sup&gt;","plainTextFormattedCitation":"18","previouslyFormattedCitation":"&lt;sup&gt;18&lt;/sup&gt;"},"properties":{"noteIndex":0},"schema":"https://github.com/citation-style-language/schema/raw/master/csl-citation.json"}</w:instrText>
      </w:r>
      <w:r w:rsidR="004A39FB"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18</w:t>
      </w:r>
      <w:r w:rsidR="004A39FB" w:rsidRPr="007A7515">
        <w:rPr>
          <w:rFonts w:asciiTheme="minorHAnsi" w:hAnsiTheme="minorHAnsi" w:cstheme="minorHAnsi"/>
          <w:szCs w:val="24"/>
        </w:rPr>
        <w:fldChar w:fldCharType="end"/>
      </w:r>
      <w:r w:rsidR="004E7B38" w:rsidRPr="007A7515">
        <w:rPr>
          <w:rFonts w:asciiTheme="minorHAnsi" w:hAnsiTheme="minorHAnsi" w:cstheme="minorHAnsi"/>
          <w:szCs w:val="24"/>
        </w:rPr>
        <w:t>,</w:t>
      </w:r>
      <w:r w:rsidR="006F243C">
        <w:rPr>
          <w:rFonts w:asciiTheme="minorHAnsi" w:hAnsiTheme="minorHAnsi" w:cstheme="minorHAnsi"/>
          <w:szCs w:val="24"/>
        </w:rPr>
        <w:t xml:space="preserve"> </w:t>
      </w:r>
      <w:r w:rsidRPr="007A7515">
        <w:rPr>
          <w:rFonts w:asciiTheme="minorHAnsi" w:hAnsiTheme="minorHAnsi" w:cstheme="minorHAnsi"/>
          <w:szCs w:val="24"/>
        </w:rPr>
        <w:t xml:space="preserve">our cohort study </w:t>
      </w:r>
      <w:r w:rsidR="00A01A5F" w:rsidRPr="007A7515">
        <w:rPr>
          <w:rFonts w:asciiTheme="minorHAnsi" w:hAnsiTheme="minorHAnsi" w:cstheme="minorHAnsi"/>
          <w:szCs w:val="24"/>
        </w:rPr>
        <w:t xml:space="preserve">had </w:t>
      </w:r>
      <w:r w:rsidRPr="007A7515">
        <w:rPr>
          <w:rFonts w:asciiTheme="minorHAnsi" w:hAnsiTheme="minorHAnsi" w:cstheme="minorHAnsi"/>
          <w:szCs w:val="24"/>
        </w:rPr>
        <w:t xml:space="preserve">much lower </w:t>
      </w:r>
      <w:r w:rsidR="00A01A5F" w:rsidRPr="007A7515">
        <w:rPr>
          <w:rFonts w:asciiTheme="minorHAnsi" w:hAnsiTheme="minorHAnsi" w:cstheme="minorHAnsi"/>
          <w:szCs w:val="24"/>
        </w:rPr>
        <w:t>specificity and the reasons for this are</w:t>
      </w:r>
      <w:r w:rsidR="00FB0B45" w:rsidRPr="007A7515">
        <w:rPr>
          <w:rFonts w:asciiTheme="minorHAnsi" w:hAnsiTheme="minorHAnsi" w:cstheme="minorHAnsi"/>
          <w:szCs w:val="24"/>
        </w:rPr>
        <w:t xml:space="preserve"> not clear. </w:t>
      </w:r>
      <w:r w:rsidR="00881A04" w:rsidRPr="007A7515">
        <w:rPr>
          <w:rFonts w:asciiTheme="minorHAnsi" w:hAnsiTheme="minorHAnsi" w:cstheme="minorHAnsi"/>
          <w:szCs w:val="24"/>
        </w:rPr>
        <w:t xml:space="preserve">The closest </w:t>
      </w:r>
      <w:r w:rsidR="00A01A5F" w:rsidRPr="007A7515">
        <w:rPr>
          <w:rFonts w:asciiTheme="minorHAnsi" w:hAnsiTheme="minorHAnsi" w:cstheme="minorHAnsi"/>
          <w:szCs w:val="24"/>
        </w:rPr>
        <w:t>results</w:t>
      </w:r>
      <w:r w:rsidR="00881A04" w:rsidRPr="007A7515">
        <w:rPr>
          <w:rFonts w:asciiTheme="minorHAnsi" w:hAnsiTheme="minorHAnsi" w:cstheme="minorHAnsi"/>
          <w:szCs w:val="24"/>
        </w:rPr>
        <w:t xml:space="preserve"> to our own </w:t>
      </w:r>
      <w:r w:rsidR="00A01A5F" w:rsidRPr="007A7515">
        <w:rPr>
          <w:rFonts w:asciiTheme="minorHAnsi" w:hAnsiTheme="minorHAnsi" w:cstheme="minorHAnsi"/>
          <w:szCs w:val="24"/>
        </w:rPr>
        <w:t>come from</w:t>
      </w:r>
      <w:r w:rsidR="00881A04" w:rsidRPr="007A7515">
        <w:rPr>
          <w:rFonts w:asciiTheme="minorHAnsi" w:hAnsiTheme="minorHAnsi" w:cstheme="minorHAnsi"/>
          <w:szCs w:val="24"/>
        </w:rPr>
        <w:t xml:space="preserve"> Swensen et al., who examined the diagnostic accuracy of DCE-CT in 356 patients across 7 sites, finding a sensitivity of 98% and specificity of 58% using a threshold of 15HU </w:t>
      </w:r>
      <w:r w:rsidR="00881A04"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{"citationItems":[{"id":"ITEM-1","itemData":{"DOI":"10.1148/radiology.214.1.r00ja1473","ISBN":"0033-8419 (Print)\\r0033-8419 (Linking)","ISSN":"0033-8419","PMID":"10644104","abstract":"PURPOSE: To test the hypothesis that absence of statistically significant lung nodule enhancement (&lt; or =15 HU) at computed tomography (CT) is strongly predictive of benignity.\\nMATERIALS AND METHODS: Five hundred fifty lung nodules were studied. Of these, 356 met all entrance criteria and had a diagnosis. On nonenhanced, thin-section CT scans, the nodules were solid, 5-40 mm in diameter, relatively spherical, homogeneous, and without calcification or fat. All patients were examined with 3-mm-collimation CT before and after intravenous injection of contrast material. CT scans through the nodule were obtained at 1, 2, 3, and 4 minutes after the onset of injection. Peak net nodule enhancement and time-attenuation curves were analyzed. Seven centers participated.\\nRESULTS: The prevalence of malignancy was 48% (171 of 356 nodules). Malignant neoplasms enhanced (median, 38.1 HU; range, 14.0-165.3 HU) significantly more than granulomas and benign neoplasms (median, 10.0 HU; range, -20.0 to 96.0 HU; P &lt; .001). With 15 HU as the threshold, the sensitivity was 98% (167 of 171 malignant nodules), the specificity was 58% (107 of 185 benign nodules), and the accuracy was 77% (274 of 356 nodules).\\nCONCLUSION: Absence of significant lung nodule enhancement (&lt; or = 15 HU) at CT is strongly predictive of benignity.","author":[{"dropping-particle":"","family":"Swensen","given":"Stephen J.","non-dropping-particle":"","parse-names":false,"suffix":""},{"dropping-particle":"","family":"Viggiano","given":"Robert W.","non-dropping-particle":"","parse-names":false,"suffix":""},{"dropping-particle":"","family":"Midthun","given":"David E.","non-dropping-particle":"","parse-names":false,"suffix":""},{"dropping-particle":"","family":"Müller","given":"Nestor L.","non-dropping-particle":"","parse-names":false,"suffix":""},{"dropping-particle":"","family":"Sherrick","given":"Andrew","non-dropping-particle":"","parse-names":false,"suffix":""},{"dropping-particle":"","family":"Yamashita","given":"Keiji","non-dropping-particle":"","parse-names":false,"suffix":""},{"dropping-particle":"","family":"Naidich","given":"David P.","non-dropping-particle":"","parse-names":false,"suffix":""},{"dropping-particle":"","family":"Patz","given":"Edward F.","non-dropping-particle":"","parse-names":false,"suffix":""},{"dropping-particle":"","family":"Hartman","given":"Thomas E.","non-dropping-particle":"","parse-names":false,"suffix":""},{"dropping-particle":"","family":"Muhm","given":"John R.","non-dropping-particle":"","parse-names":false,"suffix":""},{"dropping-particle":"","family":"Weaver","given":"Amy L.","non-dropping-particle":"","parse-names":false,"suffix":""}],"container-title":"Radiology","id":"ITEM-1","issue":"1","issued":{"date-parts":[["2000"]]},"page":"73-80","title":"Lung Nodule Enhancement at CT: Multicenter Study","type":"article-journal","volume":"214"},"uris":["http://www.mendeley.com/documents/?uuid=1e0a50f7-b85c-417e-a6d9-25f1049e28fa"]}],"mendeley":{"formattedCitation":"&lt;sup&gt;14&lt;/sup&gt;","plainTextFormattedCitation":"14","previouslyFormattedCitation":"&lt;sup&gt;14&lt;/sup&gt;"},"properties":{"noteIndex":0},"schema":"https://github.com/citation-style-language/schema/raw/master/csl-citation.json"}</w:instrText>
      </w:r>
      <w:r w:rsidR="00881A04"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14</w:t>
      </w:r>
      <w:r w:rsidR="00881A04" w:rsidRPr="007A7515">
        <w:rPr>
          <w:rFonts w:asciiTheme="minorHAnsi" w:hAnsiTheme="minorHAnsi" w:cstheme="minorHAnsi"/>
          <w:szCs w:val="24"/>
        </w:rPr>
        <w:fldChar w:fldCharType="end"/>
      </w:r>
      <w:r w:rsidR="00A01A5F" w:rsidRPr="007A7515">
        <w:rPr>
          <w:rFonts w:asciiTheme="minorHAnsi" w:hAnsiTheme="minorHAnsi" w:cstheme="minorHAnsi"/>
          <w:szCs w:val="24"/>
        </w:rPr>
        <w:t xml:space="preserve"> and </w:t>
      </w:r>
      <w:r w:rsidR="00CD7A91" w:rsidRPr="007A7515">
        <w:rPr>
          <w:rFonts w:asciiTheme="minorHAnsi" w:hAnsiTheme="minorHAnsi" w:cstheme="minorHAnsi"/>
          <w:szCs w:val="24"/>
        </w:rPr>
        <w:t xml:space="preserve">the largest DCE-CT study </w:t>
      </w:r>
      <w:r w:rsidR="00A01A5F" w:rsidRPr="007A7515">
        <w:rPr>
          <w:rFonts w:asciiTheme="minorHAnsi" w:hAnsiTheme="minorHAnsi" w:cstheme="minorHAnsi"/>
          <w:szCs w:val="24"/>
        </w:rPr>
        <w:t>with</w:t>
      </w:r>
      <w:r w:rsidR="00CD7A91" w:rsidRPr="007A7515">
        <w:rPr>
          <w:rFonts w:asciiTheme="minorHAnsi" w:hAnsiTheme="minorHAnsi" w:cstheme="minorHAnsi"/>
          <w:szCs w:val="24"/>
        </w:rPr>
        <w:t xml:space="preserve"> 486 patients </w:t>
      </w:r>
      <w:r w:rsidR="00A01A5F" w:rsidRPr="007A7515">
        <w:rPr>
          <w:rFonts w:asciiTheme="minorHAnsi" w:hAnsiTheme="minorHAnsi" w:cstheme="minorHAnsi"/>
          <w:szCs w:val="24"/>
        </w:rPr>
        <w:t>with</w:t>
      </w:r>
      <w:r w:rsidR="00CD7A91" w:rsidRPr="007A7515">
        <w:rPr>
          <w:rFonts w:asciiTheme="minorHAnsi" w:hAnsiTheme="minorHAnsi" w:cstheme="minorHAnsi"/>
          <w:szCs w:val="24"/>
        </w:rPr>
        <w:t xml:space="preserve"> sensitivity and specificity </w:t>
      </w:r>
      <w:r w:rsidR="00A01A5F" w:rsidRPr="007A7515">
        <w:rPr>
          <w:rFonts w:asciiTheme="minorHAnsi" w:hAnsiTheme="minorHAnsi" w:cstheme="minorHAnsi"/>
          <w:szCs w:val="24"/>
        </w:rPr>
        <w:t>of</w:t>
      </w:r>
      <w:r w:rsidR="00CD7A91" w:rsidRPr="007A7515">
        <w:rPr>
          <w:rFonts w:asciiTheme="minorHAnsi" w:hAnsiTheme="minorHAnsi" w:cstheme="minorHAnsi"/>
          <w:szCs w:val="24"/>
        </w:rPr>
        <w:t xml:space="preserve"> 98% and 46%</w:t>
      </w:r>
      <w:r w:rsidR="00A01A5F" w:rsidRPr="007A7515">
        <w:rPr>
          <w:rFonts w:asciiTheme="minorHAnsi" w:hAnsiTheme="minorHAnsi" w:cstheme="minorHAnsi"/>
          <w:szCs w:val="24"/>
        </w:rPr>
        <w:t xml:space="preserve"> respectively</w:t>
      </w:r>
      <w:r w:rsidR="00844534">
        <w:rPr>
          <w:rFonts w:asciiTheme="minorHAnsi" w:hAnsiTheme="minorHAnsi" w:cstheme="minorHAnsi"/>
          <w:szCs w:val="24"/>
        </w:rPr>
        <w:t xml:space="preserve"> </w:t>
      </w:r>
      <w:r w:rsidR="00A01A5F"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{"citationItems":[{"id":"ITEM-1","itemData":{"DOI":"10.1378/chest.06-2526","ISBN":"0012-3692 (Print)\\r0012-3692","ISSN":"00123692","PMID":"17494800","abstract":"BACKGROUND: Solitary pulmonary nodule (SPN) evaluation based on analyses of combined wash-in (WI) and washout (WO) values obtained by helical dynamic CT (HDCT) scanning is useful for malignant SPN characterization, because this method has higher specificity and accuracy than that based on analyses of WI values only. However, increased specificity results in reduced sensitivity and the missing of malignant SPNs. Thus, the purpose of this study was to seek the most effective method for SPN characterization during HDCT scanning. METHODS: After obtaining unenhanced CT scans, dynamic CT scanning was performed using a helical technique (images were obtained at 30, 60, 90, and 120 s, and at 5 and 15 min after the initiation of IV contrast administration) in 486 patients with a solid or partly solid SPN. Diagnostic efficacies were compared for three approaches involving considerations of WI values (in Housfield units [HU]) only, both WI and WO HU values, and WI HU values and morphologic characteristics. RESULTS: Considering WI values only (&gt; or = 25 HU), sensitivity, specificity, and accuracy for malignancy were 98% (233 of 237 nodules), 46% (114 of 249 nodules), and 71% (347 of 486 nodules), respectively. Using both a WI value of &gt; or = 25 HU and a WO value of 5 to 36 HU, the corresponding values were 89% (212 of 237 nodules), 79% (197 of 249 nodules), and 84% (409 of 486 nodules), respectively; for a WI value of &gt; or = 25 HU and a malignant morphology, the corresponding values were 92% (219 of 237 nodules), 79% (197 of 249 nodules), and 86% (416 of 486 nodules), respectively (these values were significantly different between the WI-only group and the other two groups; p = 0.001). CONCLUSIONS: The efficacy of SPN evaluation based on analyses of WI values plus morphologic features during HDCT scanning appears to be equivalent to that based on analyses of WI plus WO values, thus obviating the need for WO scans, which saves time and reduces radiation exposure of the patient.","author":[{"dropping-particle":"","family":"Lee","given":"Kyung Soo","non-dropping-particle":"","parse-names":false,"suffix":""},{"dropping-particle":"","family":"Yi","given":"Chin A.","non-dropping-particle":"","parse-names":false,"suffix":""},{"dropping-particle":"","family":"Jeong","given":"Sun Young","non-dropping-particle":"","parse-names":false,"suffix":""},{"dropping-particle":"","family":"Jeong","given":"Yeon Joo","non-dropping-particle":"","parse-names":false,"suffix":""},{"dropping-particle":"","family":"Kim","given":"Seonwoo","non-dropping-particle":"","parse-names":false,"suffix":""},{"dropping-particle":"","family":"Chung","given":"Myung Jin","non-dropping-particle":"","parse-names":false,"suffix":""},{"dropping-particle":"","family":"Kim","given":"Ha Young","non-dropping-particle":"","parse-names":false,"suffix":""},{"dropping-particle":"","family":"Kim","given":"Yoon Kyung","non-dropping-particle":"","parse-names":false,"suffix":""},{"dropping-particle":"","family":"Lee","given":"Kwang Hwi","non-dropping-particle":"","parse-names":false,"suffix":""}],"container-title":"Chest","id":"ITEM-1","issue":"5","issued":{"date-parts":[["2007"]]},"page":"1516-1525","title":"Solid or partly solid solitary pulmonary nodules: Their characterization using contrast wash-in and morphologic features at helical CT","type":"article-journal","volume":"131"},"uris":["http://www.mendeley.com/documents/?uuid=de16f6b8-0a0a-49e8-b406-983f5f27729b"]}],"mendeley":{"formattedCitation":"&lt;sup&gt;19&lt;/sup&gt;","plainTextFormattedCitation":"19","previouslyFormattedCitation":"&lt;sup&gt;19&lt;/sup&gt;"},"properties":{"noteIndex":0},"schema":"https://github.com/citation-style-language/schema/raw/master/csl-citation.json"}</w:instrText>
      </w:r>
      <w:r w:rsidR="00A01A5F"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19</w:t>
      </w:r>
      <w:r w:rsidR="00A01A5F" w:rsidRPr="007A7515">
        <w:rPr>
          <w:rFonts w:asciiTheme="minorHAnsi" w:hAnsiTheme="minorHAnsi" w:cstheme="minorHAnsi"/>
          <w:szCs w:val="24"/>
        </w:rPr>
        <w:fldChar w:fldCharType="end"/>
      </w:r>
      <w:r w:rsidR="00A01A5F" w:rsidRPr="007A7515">
        <w:rPr>
          <w:rFonts w:asciiTheme="minorHAnsi" w:hAnsiTheme="minorHAnsi" w:cstheme="minorHAnsi"/>
          <w:szCs w:val="24"/>
        </w:rPr>
        <w:t xml:space="preserve">. </w:t>
      </w:r>
      <w:r w:rsidR="00913B67">
        <w:rPr>
          <w:rFonts w:asciiTheme="minorHAnsi" w:hAnsiTheme="minorHAnsi" w:cstheme="minorHAnsi"/>
          <w:szCs w:val="24"/>
        </w:rPr>
        <w:t xml:space="preserve">This latter study demonstrated that using both wash-in and wash-out kinetics improved the specificity of DCE-CT with minimal impact on </w:t>
      </w:r>
      <w:proofErr w:type="gramStart"/>
      <w:r w:rsidR="00913B67">
        <w:rPr>
          <w:rFonts w:asciiTheme="minorHAnsi" w:hAnsiTheme="minorHAnsi" w:cstheme="minorHAnsi"/>
          <w:szCs w:val="24"/>
        </w:rPr>
        <w:t>sensitivity, but</w:t>
      </w:r>
      <w:proofErr w:type="gramEnd"/>
      <w:r w:rsidR="00913B67">
        <w:rPr>
          <w:rFonts w:asciiTheme="minorHAnsi" w:hAnsiTheme="minorHAnsi" w:cstheme="minorHAnsi"/>
          <w:szCs w:val="24"/>
        </w:rPr>
        <w:t xml:space="preserve"> imaged out to 5 minutes providing more time for contrast to wash out</w:t>
      </w:r>
      <w:r w:rsidR="00881A04" w:rsidRPr="007A7515">
        <w:rPr>
          <w:rFonts w:asciiTheme="minorHAnsi" w:hAnsiTheme="minorHAnsi" w:cstheme="minorHAnsi"/>
          <w:szCs w:val="24"/>
        </w:rPr>
        <w:t>.</w:t>
      </w:r>
      <w:r w:rsidR="00913B67">
        <w:rPr>
          <w:rFonts w:asciiTheme="minorHAnsi" w:hAnsiTheme="minorHAnsi" w:cstheme="minorHAnsi"/>
          <w:szCs w:val="24"/>
        </w:rPr>
        <w:t xml:space="preserve">  Future studies focusing on </w:t>
      </w:r>
      <w:r w:rsidR="00913B67">
        <w:rPr>
          <w:rFonts w:asciiTheme="minorHAnsi" w:hAnsiTheme="minorHAnsi" w:cstheme="minorHAnsi"/>
          <w:szCs w:val="24"/>
        </w:rPr>
        <w:lastRenderedPageBreak/>
        <w:t>adding wash-out and the nodule characteristics to DCE-CT alongside volumetric analysis will be useful to determine if these may improve the diagnostic performance of this technique.</w:t>
      </w:r>
      <w:r w:rsidR="00881A04" w:rsidRPr="007A7515">
        <w:rPr>
          <w:rFonts w:asciiTheme="minorHAnsi" w:hAnsiTheme="minorHAnsi" w:cstheme="minorHAnsi"/>
          <w:szCs w:val="24"/>
        </w:rPr>
        <w:t xml:space="preserve"> </w:t>
      </w:r>
    </w:p>
    <w:p w14:paraId="20412EEB" w14:textId="77777777" w:rsidR="00BB118D" w:rsidRPr="007A7515" w:rsidRDefault="00BB118D" w:rsidP="00BB118D">
      <w:pPr>
        <w:pStyle w:val="NoSpacing"/>
        <w:rPr>
          <w:rFonts w:asciiTheme="minorHAnsi" w:hAnsiTheme="minorHAnsi" w:cstheme="minorHAnsi"/>
          <w:szCs w:val="24"/>
        </w:rPr>
      </w:pPr>
    </w:p>
    <w:p w14:paraId="6E2854EB" w14:textId="41CE7F5B" w:rsidR="00297912" w:rsidRPr="007A7515" w:rsidRDefault="001E57F9" w:rsidP="00AA5E7A">
      <w:pPr>
        <w:pStyle w:val="NoSpacing"/>
        <w:rPr>
          <w:rFonts w:asciiTheme="minorHAnsi" w:hAnsiTheme="minorHAnsi" w:cstheme="minorHAnsi"/>
          <w:szCs w:val="24"/>
        </w:rPr>
      </w:pPr>
      <w:r w:rsidRPr="007A7515">
        <w:rPr>
          <w:rFonts w:asciiTheme="minorHAnsi" w:hAnsiTheme="minorHAnsi" w:cstheme="minorHAnsi"/>
          <w:szCs w:val="24"/>
        </w:rPr>
        <w:t xml:space="preserve">Our </w:t>
      </w:r>
      <w:r w:rsidR="004651E0" w:rsidRPr="007A7515">
        <w:rPr>
          <w:rFonts w:asciiTheme="minorHAnsi" w:hAnsiTheme="minorHAnsi" w:cstheme="minorHAnsi"/>
          <w:szCs w:val="24"/>
        </w:rPr>
        <w:t>findings support</w:t>
      </w:r>
      <w:r w:rsidR="00297912" w:rsidRPr="007A7515">
        <w:rPr>
          <w:rFonts w:asciiTheme="minorHAnsi" w:hAnsiTheme="minorHAnsi" w:cstheme="minorHAnsi"/>
          <w:szCs w:val="24"/>
        </w:rPr>
        <w:t xml:space="preserve"> the </w:t>
      </w:r>
      <w:r w:rsidR="004651E0" w:rsidRPr="007A7515">
        <w:rPr>
          <w:rFonts w:asciiTheme="minorHAnsi" w:hAnsiTheme="minorHAnsi" w:cstheme="minorHAnsi"/>
          <w:szCs w:val="24"/>
        </w:rPr>
        <w:t xml:space="preserve">BTS and </w:t>
      </w:r>
      <w:proofErr w:type="spellStart"/>
      <w:r w:rsidR="004651E0" w:rsidRPr="007A7515">
        <w:rPr>
          <w:rFonts w:asciiTheme="minorHAnsi" w:hAnsiTheme="minorHAnsi" w:cstheme="minorHAnsi"/>
          <w:szCs w:val="24"/>
        </w:rPr>
        <w:t>Fleischner</w:t>
      </w:r>
      <w:proofErr w:type="spellEnd"/>
      <w:r w:rsidR="004651E0" w:rsidRPr="007A7515">
        <w:rPr>
          <w:rFonts w:asciiTheme="minorHAnsi" w:hAnsiTheme="minorHAnsi" w:cstheme="minorHAnsi"/>
          <w:szCs w:val="24"/>
        </w:rPr>
        <w:t xml:space="preserve"> guidelines</w:t>
      </w:r>
      <w:r w:rsidR="00297912" w:rsidRPr="007A7515">
        <w:rPr>
          <w:rFonts w:asciiTheme="minorHAnsi" w:hAnsiTheme="minorHAnsi" w:cstheme="minorHAnsi"/>
          <w:szCs w:val="24"/>
        </w:rPr>
        <w:t>, which</w:t>
      </w:r>
      <w:r w:rsidR="004651E0" w:rsidRPr="007A7515">
        <w:rPr>
          <w:rFonts w:asciiTheme="minorHAnsi" w:hAnsiTheme="minorHAnsi" w:cstheme="minorHAnsi"/>
          <w:szCs w:val="24"/>
        </w:rPr>
        <w:t xml:space="preserve"> </w:t>
      </w:r>
      <w:r w:rsidR="00297912" w:rsidRPr="007A7515">
        <w:rPr>
          <w:rFonts w:asciiTheme="minorHAnsi" w:hAnsiTheme="minorHAnsi" w:cstheme="minorHAnsi"/>
          <w:szCs w:val="24"/>
        </w:rPr>
        <w:t>recommend</w:t>
      </w:r>
      <w:r w:rsidR="004651E0" w:rsidRPr="007A7515">
        <w:rPr>
          <w:rFonts w:asciiTheme="minorHAnsi" w:hAnsiTheme="minorHAnsi" w:cstheme="minorHAnsi"/>
          <w:szCs w:val="24"/>
        </w:rPr>
        <w:t xml:space="preserve"> biopsy or</w:t>
      </w:r>
      <w:r w:rsidR="0071513F" w:rsidRPr="007A7515">
        <w:rPr>
          <w:rFonts w:asciiTheme="minorHAnsi" w:hAnsiTheme="minorHAnsi" w:cstheme="minorHAnsi"/>
          <w:szCs w:val="24"/>
        </w:rPr>
        <w:t xml:space="preserve"> PET/CT </w:t>
      </w:r>
      <w:r w:rsidR="004651E0" w:rsidRPr="007A7515">
        <w:rPr>
          <w:rFonts w:asciiTheme="minorHAnsi" w:hAnsiTheme="minorHAnsi" w:cstheme="minorHAnsi"/>
          <w:szCs w:val="24"/>
        </w:rPr>
        <w:t xml:space="preserve">for nodules 8-30mm in diameter </w:t>
      </w:r>
      <w:r w:rsidR="004651E0"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{"citationItems":[{"id":"ITEM-1","itemData":{"DOI":"10.1136/thoraxjnl-2015-207168","ISSN":"1468-3296","PMID":"26082159","author":[{"dropping-particle":"","family":"Callister","given":"M E J","non-dropping-particle":"","parse-names":false,"suffix":""},{"dropping-particle":"","family":"Baldwin","given":"David R","non-dropping-particle":"","parse-names":false,"suffix":""},{"dropping-particle":"","family":"Akram","given":"A R","non-dropping-particle":"","parse-names":false,"suffix":""},{"dropping-particle":"","family":"Barnard","given":"S","non-dropping-particle":"","parse-names":false,"suffix":""},{"dropping-particle":"","family":"Cane","given":"P","non-dropping-particle":"","parse-names":false,"suffix":""},{"dropping-particle":"","family":"Draffan","given":"J","non-dropping-particle":"","parse-names":false,"suffix":""},{"dropping-particle":"","family":"Franks","given":"K","non-dropping-particle":"","parse-names":false,"suffix":""},{"dropping-particle":"","family":"Gleeson","given":"F","non-dropping-particle":"","parse-names":false,"suffix":""},{"dropping-particle":"","family":"Graham","given":"R","non-dropping-particle":"","parse-names":false,"suffix":""},{"dropping-particle":"","family":"Malhotra","given":"P","non-dropping-particle":"","parse-names":false,"suffix":""},{"dropping-particle":"","family":"Prokop","given":"M","non-dropping-particle":"","parse-names":false,"suffix":""},{"dropping-particle":"","family":"Rodger","given":"K","non-dropping-particle":"","parse-names":false,"suffix":""},{"dropping-particle":"","family":"Subesinghe","given":"M","non-dropping-particle":"","parse-names":false,"suffix":""},{"dropping-particle":"","family":"Waller","given":"D","non-dropping-particle":"","parse-names":false,"suffix":""},{"dropping-particle":"","family":"Woolhouse","given":"I","non-dropping-particle":"","parse-names":false,"suffix":""},{"dropping-particle":"","family":"British Thoracic Society Pulmonary Nodule Guideline Development Group","given":"","non-dropping-particle":"","parse-names":false,"suffix":""},{"dropping-particle":"","family":"British Thoracic Society Standards of Care Committee","given":"","non-dropping-particle":"","parse-names":false,"suffix":""}],"container-title":"Thorax","id":"ITEM-1","issue":"8","issued":{"date-parts":[["2015","8"]]},"page":"ii1-ii54","title":"British Thoracic Society guidelines for the investigation and management of pulmonary nodules.","type":"article-journal","volume":"70 Suppl 2"},"uris":["http://www.mendeley.com/documents/?uuid=336f502f-4bcb-4af0-9fa5-d9658d01631a"]},{"id":"ITEM-2","itemData":{"DOI":"10.1148/radiol.2017161659","ISBN":"2017161659","ISSN":"1527-1315","PMID":"28240562","abstract":"The Fleischner Society Guidelines for management of solid nodules were published in 2005, and separate guidelines for subsolid nodules were issued in 2013. Since then, new information has become available; therefore, the guidelines have been revised to reflect current thinking on nodule management. The revised guidelines incorporate several substantive changes that reflect current thinking on the management of small nodules. The minimum threshold size for routine follow-up has been increased, and recommended follow-up intervals are now given as a range rather than as a precise time period to give radiologists, clinicians, and patients greater discretion to accommodate individual risk factors and preferences. The guidelines for solid and subsolid nodules have been combined in one simplified table, and specific recommendations have been included for multiple nodules. These guidelines represent the consensus of the Fleischner Society, and as such, they incorporate the opinions of a multidisciplinary international group of thoracic radiologists, pulmonologists, surgeons, pathologists, and other specialists. Changes from the previous guidelines issued by the Fleischner Society are based on new data and accumulated experience. © RSNA, 2017 Online supplemental material is available for this article. An earlier incorrect version of this article appeared online. This article was corrected on March 13, 2017.","author":[{"dropping-particle":"","family":"MacMahon","given":"Heber","non-dropping-particle":"","parse-names":false,"suffix":""},{"dropping-particle":"","family":"Naidich","given":"David P","non-dropping-particle":"","parse-names":false,"suffix":""},{"dropping-particle":"","family":"Goo","given":"Jin Mo","non-dropping-particle":"","parse-names":false,"suffix":""},{"dropping-particle":"","family":"Lee","given":"Kyung Soo","non-dropping-particle":"","parse-names":false,"suffix":""},{"dropping-particle":"","family":"Leung","given":"Ann N C","non-dropping-particle":"","parse-names":false,"suffix":""},{"dropping-particle":"","family":"Mayo","given":"John R","non-dropping-particle":"","parse-names":false,"suffix":""},{"dropping-particle":"","family":"Mehta","given":"Atul C","non-dropping-particle":"","parse-names":false,"suffix":""},{"dropping-particle":"","family":"Ohno","given":"Yoshiharu","non-dropping-particle":"","parse-names":false,"suffix":""},{"dropping-particle":"","family":"Powell","given":"Charles A","non-dropping-particle":"","parse-names":false,"suffix":""},{"dropping-particle":"","family":"Prokop","given":"Mathias","non-dropping-particle":"","parse-names":false,"suffix":""},{"dropping-particle":"","family":"Rubin","given":"Geoffrey D","non-dropping-particle":"","parse-names":false,"suffix":""},{"dropping-particle":"","family":"Schaefer-Prokop","given":"Cornelia M","non-dropping-particle":"","parse-names":false,"suffix":""},{"dropping-particle":"","family":"Travis","given":"William D","non-dropping-particle":"","parse-names":false,"suffix":""},{"dropping-particle":"","family":"Schil","given":"Paul E","non-dropping-particle":"Van","parse-names":false,"suffix":""},{"dropping-particle":"","family":"Bankier","given":"Alexander A","non-dropping-particle":"","parse-names":false,"suffix":""}],"container-title":"Radiology","id":"ITEM-2","issue":"1","issued":{"date-parts":[["2017"]]},"page":"228-243","title":"Guidelines for Management of Incidental Pulmonary Nodules Detected on CT Images: From the Fleischner Society 2017.","type":"article-journal","volume":"284"},"uris":["http://www.mendeley.com/documents/?uuid=c99c07d8-0ad2-47a4-a3bb-406c288d9afb"]}],"mendeley":{"formattedCitation":"&lt;sup&gt;4,20&lt;/sup&gt;","plainTextFormattedCitation":"4,20","previouslyFormattedCitation":"&lt;sup&gt;4,20&lt;/sup&gt;"},"properties":{"noteIndex":0},"schema":"https://github.com/citation-style-language/schema/raw/master/csl-citation.json"}</w:instrText>
      </w:r>
      <w:r w:rsidR="004651E0"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4,20</w:t>
      </w:r>
      <w:r w:rsidR="004651E0" w:rsidRPr="007A7515">
        <w:rPr>
          <w:rFonts w:asciiTheme="minorHAnsi" w:hAnsiTheme="minorHAnsi" w:cstheme="minorHAnsi"/>
          <w:szCs w:val="24"/>
        </w:rPr>
        <w:fldChar w:fldCharType="end"/>
      </w:r>
      <w:r w:rsidR="004651E0" w:rsidRPr="007A7515">
        <w:rPr>
          <w:rFonts w:asciiTheme="minorHAnsi" w:hAnsiTheme="minorHAnsi" w:cstheme="minorHAnsi"/>
          <w:szCs w:val="24"/>
        </w:rPr>
        <w:t xml:space="preserve">. </w:t>
      </w:r>
      <w:r w:rsidR="006F243C">
        <w:rPr>
          <w:rFonts w:asciiTheme="minorHAnsi" w:hAnsiTheme="minorHAnsi" w:cstheme="minorHAnsi"/>
          <w:szCs w:val="24"/>
        </w:rPr>
        <w:t>W</w:t>
      </w:r>
      <w:r w:rsidR="00297912" w:rsidRPr="007A7515">
        <w:rPr>
          <w:rFonts w:asciiTheme="minorHAnsi" w:hAnsiTheme="minorHAnsi" w:cstheme="minorHAnsi"/>
          <w:szCs w:val="24"/>
        </w:rPr>
        <w:t>hen consider</w:t>
      </w:r>
      <w:r w:rsidRPr="007A7515">
        <w:rPr>
          <w:rFonts w:asciiTheme="minorHAnsi" w:hAnsiTheme="minorHAnsi" w:cstheme="minorHAnsi"/>
          <w:szCs w:val="24"/>
        </w:rPr>
        <w:t>ing</w:t>
      </w:r>
      <w:r w:rsidR="00297912" w:rsidRPr="007A7515">
        <w:rPr>
          <w:rFonts w:asciiTheme="minorHAnsi" w:hAnsiTheme="minorHAnsi" w:cstheme="minorHAnsi"/>
          <w:szCs w:val="24"/>
        </w:rPr>
        <w:t xml:space="preserve"> access and cos</w:t>
      </w:r>
      <w:r w:rsidR="004B6B7C" w:rsidRPr="007A7515">
        <w:rPr>
          <w:rFonts w:asciiTheme="minorHAnsi" w:hAnsiTheme="minorHAnsi" w:cstheme="minorHAnsi"/>
          <w:szCs w:val="24"/>
        </w:rPr>
        <w:t>t,</w:t>
      </w:r>
      <w:r w:rsidR="00297912" w:rsidRPr="007A7515">
        <w:rPr>
          <w:rFonts w:asciiTheme="minorHAnsi" w:hAnsiTheme="minorHAnsi" w:cstheme="minorHAnsi"/>
          <w:szCs w:val="24"/>
        </w:rPr>
        <w:t xml:space="preserve"> </w:t>
      </w:r>
      <w:r w:rsidR="00BB118D" w:rsidRPr="007A7515">
        <w:rPr>
          <w:rFonts w:asciiTheme="minorHAnsi" w:hAnsiTheme="minorHAnsi" w:cstheme="minorHAnsi"/>
          <w:szCs w:val="24"/>
        </w:rPr>
        <w:t xml:space="preserve">DCE-CT is the most </w:t>
      </w:r>
      <w:r w:rsidR="00B15453" w:rsidRPr="007A7515">
        <w:rPr>
          <w:rFonts w:asciiTheme="minorHAnsi" w:hAnsiTheme="minorHAnsi" w:cstheme="minorHAnsi"/>
          <w:szCs w:val="24"/>
        </w:rPr>
        <w:t>cost-</w:t>
      </w:r>
      <w:r w:rsidR="00BB118D" w:rsidRPr="007A7515">
        <w:rPr>
          <w:rFonts w:asciiTheme="minorHAnsi" w:hAnsiTheme="minorHAnsi" w:cstheme="minorHAnsi"/>
          <w:szCs w:val="24"/>
        </w:rPr>
        <w:t>effective approach</w:t>
      </w:r>
      <w:r w:rsidRPr="007A7515">
        <w:rPr>
          <w:rFonts w:asciiTheme="minorHAnsi" w:hAnsiTheme="minorHAnsi" w:cstheme="minorHAnsi"/>
          <w:szCs w:val="24"/>
        </w:rPr>
        <w:t xml:space="preserve"> due to</w:t>
      </w:r>
      <w:r w:rsidR="006F243C">
        <w:rPr>
          <w:rFonts w:asciiTheme="minorHAnsi" w:hAnsiTheme="minorHAnsi" w:cstheme="minorHAnsi"/>
          <w:szCs w:val="24"/>
        </w:rPr>
        <w:t xml:space="preserve"> a</w:t>
      </w:r>
      <w:r w:rsidRPr="007A7515">
        <w:rPr>
          <w:rFonts w:asciiTheme="minorHAnsi" w:hAnsiTheme="minorHAnsi" w:cstheme="minorHAnsi"/>
          <w:szCs w:val="24"/>
        </w:rPr>
        <w:t xml:space="preserve"> lower unit price</w:t>
      </w:r>
      <w:r w:rsidR="00BB118D" w:rsidRPr="007A7515">
        <w:rPr>
          <w:rFonts w:asciiTheme="minorHAnsi" w:hAnsiTheme="minorHAnsi" w:cstheme="minorHAnsi"/>
          <w:szCs w:val="24"/>
        </w:rPr>
        <w:t xml:space="preserve"> similar </w:t>
      </w:r>
      <w:r w:rsidRPr="007A7515">
        <w:rPr>
          <w:rFonts w:asciiTheme="minorHAnsi" w:hAnsiTheme="minorHAnsi" w:cstheme="minorHAnsi"/>
          <w:szCs w:val="24"/>
        </w:rPr>
        <w:t xml:space="preserve">to a </w:t>
      </w:r>
      <w:r w:rsidR="00BB118D" w:rsidRPr="007A7515">
        <w:rPr>
          <w:rFonts w:asciiTheme="minorHAnsi" w:hAnsiTheme="minorHAnsi" w:cstheme="minorHAnsi"/>
          <w:szCs w:val="24"/>
        </w:rPr>
        <w:t>health economic analysis performed by Gould et al</w:t>
      </w:r>
      <w:r w:rsidR="00070032" w:rsidRPr="007A7515">
        <w:rPr>
          <w:rFonts w:asciiTheme="minorHAnsi" w:hAnsiTheme="minorHAnsi" w:cstheme="minorHAnsi"/>
          <w:szCs w:val="24"/>
        </w:rPr>
        <w:t xml:space="preserve"> </w:t>
      </w:r>
      <w:r w:rsidR="00070032"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{"citationItems":[{"id":"ITEM-1","itemData":{"ISSN":"1539-3704","PMID":"12729427","abstract":"BACKGROUND Positron emission tomography (PET) with 18-fluorodeoxyglucose (FDG) is a potentially useful but expensive test to diagnose solitary pulmonary nodules. OBJECTIVE To evaluate the cost-effectiveness of strategies for pulmonary nodule diagnosis and to specifically compare strategies that did and did not include FDG-PET. DESIGN Decision model. DATA SOURCES Accuracy and complications of diagnostic tests were estimated by using meta-analysis and literature review. Modeled survival was based on data from a large tumor registry. Cost estimates were derived from Medicare reimbursement and other sources. TARGET POPULATION All adult patients with a new, noncalcified pulmonary nodule seen on chest radiograph. TIME HORIZON Patient lifetime. PERSPECTIVE Societal. INTERVENTION 40 clinically plausible combinations of 5 diagnostic interventions, including computed tomography, FDG-PET, transthoracic needle biopsy, surgery, and watchful waiting. OUTCOME MEASURES Costs, quality-adjusted life-years (QALYs), and incremental cost-effectiveness ratios. RESULTS OF BASE-CASE ANALYSIS The cost-effectiveness of strategies depended critically on the pretest probability of malignancy. For patients with low pretest probability (26%), strategies that used FDG-PET selectively when computed tomography results were possibly malignant cost as little as 20 000 dollars per QALY gained. For patients with high pretest probability (79%), strategies that used FDG-PET selectively when computed tomography results were benign cost as little as 16 000 dollars per QALY gained. For patients with intermediate pretest probability (55%), FDG-PET strategies cost more than 220 000 dollars per QALY gained because they were more costly but only marginally more effective than computed tomography-based strategies. RESULTS OF SENSITIVITY ANALYSIS The choice of strategy also depended on the risk for surgical complications, the probability of nondiagnostic needle biopsy, the sensitivity of computed tomography, and patient preferences for time spent in watchful waiting. In probabilistic sensitivity analysis, FDG-PET strategies were cost saving or cost less than 100 000 dollars per QALY gained in 76.7%, 24.4%, and 99.9% of computer simulations for patients with low, intermediate, and high pretest probability, respectively. CONCLUSIONS FDG-PET should be used selectively when pretest probability and computed tomography findings are discordant or in patients with intermediate pretest probability who are at …","author":[{"dropping-particle":"","family":"Gould","given":"Michael K","non-dropping-particle":"","parse-names":false,"suffix":""},{"dropping-particle":"","family":"Sanders","given":"Gillian D","non-dropping-particle":"","parse-names":false,"suffix":""},{"dropping-particle":"","family":"Barnett","given":"Paul G","non-dropping-particle":"","parse-names":false,"suffix":""},{"dropping-particle":"","family":"Rydzak","given":"Chara E","non-dropping-particle":"","parse-names":false,"suffix":""},{"dropping-particle":"","family":"Maclean","given":"Courtney C","non-dropping-particle":"","parse-names":false,"suffix":""},{"dropping-particle":"","family":"McClellan","given":"Mark B","non-dropping-particle":"","parse-names":false,"suffix":""},{"dropping-particle":"","family":"Owens","given":"Douglas K","non-dropping-particle":"","parse-names":false,"suffix":""}],"container-title":"Annals of internal medicine","id":"ITEM-1","issue":"9","issued":{"date-parts":[["2003","5","6"]]},"page":"724-35","title":"Cost-effectiveness of alternative management strategies for patients with solitary pulmonary nodules.","type":"article-journal","volume":"138"},"uris":["http://www.mendeley.com/documents/?uuid=7c668f03-5d2a-4dac-8c2e-23f9eeea17df"]}],"mendeley":{"formattedCitation":"&lt;sup&gt;8&lt;/sup&gt;","plainTextFormattedCitation":"8","previouslyFormattedCitation":"&lt;sup&gt;8&lt;/sup&gt;"},"properties":{"noteIndex":0},"schema":"https://github.com/citation-style-language/schema/raw/master/csl-citation.json"}</w:instrText>
      </w:r>
      <w:r w:rsidR="00070032"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8</w:t>
      </w:r>
      <w:r w:rsidR="00070032" w:rsidRPr="007A7515">
        <w:rPr>
          <w:rFonts w:asciiTheme="minorHAnsi" w:hAnsiTheme="minorHAnsi" w:cstheme="minorHAnsi"/>
          <w:szCs w:val="24"/>
        </w:rPr>
        <w:fldChar w:fldCharType="end"/>
      </w:r>
      <w:r w:rsidR="00BB118D" w:rsidRPr="007A7515">
        <w:rPr>
          <w:rFonts w:asciiTheme="minorHAnsi" w:hAnsiTheme="minorHAnsi" w:cstheme="minorHAnsi"/>
          <w:szCs w:val="24"/>
        </w:rPr>
        <w:t xml:space="preserve">. </w:t>
      </w:r>
      <w:r w:rsidR="00AA5E7A" w:rsidRPr="007A7515">
        <w:rPr>
          <w:rFonts w:asciiTheme="minorHAnsi" w:hAnsiTheme="minorHAnsi" w:cstheme="minorHAnsi"/>
          <w:szCs w:val="24"/>
        </w:rPr>
        <w:t>H</w:t>
      </w:r>
      <w:r w:rsidR="00BB118D" w:rsidRPr="007A7515">
        <w:rPr>
          <w:rFonts w:asciiTheme="minorHAnsi" w:hAnsiTheme="minorHAnsi" w:cstheme="minorHAnsi"/>
          <w:szCs w:val="24"/>
        </w:rPr>
        <w:t>owever</w:t>
      </w:r>
      <w:r w:rsidR="00A43F89" w:rsidRPr="007A7515">
        <w:rPr>
          <w:rFonts w:asciiTheme="minorHAnsi" w:hAnsiTheme="minorHAnsi" w:cstheme="minorHAnsi"/>
          <w:szCs w:val="24"/>
        </w:rPr>
        <w:t>,</w:t>
      </w:r>
      <w:r w:rsidR="00BB118D" w:rsidRPr="007A7515">
        <w:rPr>
          <w:rFonts w:asciiTheme="minorHAnsi" w:hAnsiTheme="minorHAnsi" w:cstheme="minorHAnsi"/>
          <w:szCs w:val="24"/>
        </w:rPr>
        <w:t xml:space="preserve"> </w:t>
      </w:r>
      <w:r w:rsidR="00AA5E7A" w:rsidRPr="007A7515">
        <w:rPr>
          <w:rFonts w:asciiTheme="minorHAnsi" w:hAnsiTheme="minorHAnsi" w:cstheme="minorHAnsi"/>
          <w:szCs w:val="24"/>
        </w:rPr>
        <w:t>this strategy results</w:t>
      </w:r>
      <w:r w:rsidR="00BB118D" w:rsidRPr="007A7515">
        <w:rPr>
          <w:rFonts w:asciiTheme="minorHAnsi" w:hAnsiTheme="minorHAnsi" w:cstheme="minorHAnsi"/>
          <w:szCs w:val="24"/>
        </w:rPr>
        <w:t xml:space="preserve"> </w:t>
      </w:r>
      <w:r w:rsidR="00AA5E7A" w:rsidRPr="007A7515">
        <w:rPr>
          <w:rFonts w:asciiTheme="minorHAnsi" w:hAnsiTheme="minorHAnsi" w:cstheme="minorHAnsi"/>
          <w:szCs w:val="24"/>
        </w:rPr>
        <w:t xml:space="preserve">in </w:t>
      </w:r>
      <w:r w:rsidR="00BB118D" w:rsidRPr="007A7515">
        <w:rPr>
          <w:rFonts w:asciiTheme="minorHAnsi" w:hAnsiTheme="minorHAnsi" w:cstheme="minorHAnsi"/>
          <w:szCs w:val="24"/>
        </w:rPr>
        <w:t xml:space="preserve">a lower number of correctly </w:t>
      </w:r>
      <w:r w:rsidR="008A2D31" w:rsidRPr="007A7515">
        <w:rPr>
          <w:rFonts w:asciiTheme="minorHAnsi" w:hAnsiTheme="minorHAnsi" w:cstheme="minorHAnsi"/>
          <w:szCs w:val="24"/>
        </w:rPr>
        <w:t>treated cases</w:t>
      </w:r>
      <w:r w:rsidR="00BB118D" w:rsidRPr="007A7515">
        <w:rPr>
          <w:rFonts w:asciiTheme="minorHAnsi" w:hAnsiTheme="minorHAnsi" w:cstheme="minorHAnsi"/>
          <w:szCs w:val="24"/>
        </w:rPr>
        <w:t xml:space="preserve">. </w:t>
      </w:r>
      <w:r w:rsidR="00C60C37" w:rsidRPr="007A7515">
        <w:rPr>
          <w:rFonts w:asciiTheme="minorHAnsi" w:hAnsiTheme="minorHAnsi" w:cstheme="minorHAnsi"/>
          <w:szCs w:val="24"/>
        </w:rPr>
        <w:t>At</w:t>
      </w:r>
      <w:r w:rsidR="00BB118D" w:rsidRPr="007A7515">
        <w:rPr>
          <w:rFonts w:asciiTheme="minorHAnsi" w:hAnsiTheme="minorHAnsi" w:cstheme="minorHAnsi"/>
          <w:szCs w:val="24"/>
        </w:rPr>
        <w:t xml:space="preserve"> higher willingness to pay thresholds, DCE-CT followed by</w:t>
      </w:r>
      <w:r w:rsidR="0071513F" w:rsidRPr="007A7515">
        <w:rPr>
          <w:rFonts w:asciiTheme="minorHAnsi" w:hAnsiTheme="minorHAnsi" w:cstheme="minorHAnsi"/>
          <w:szCs w:val="24"/>
        </w:rPr>
        <w:t xml:space="preserve"> PET/CT </w:t>
      </w:r>
      <w:r w:rsidR="00BB118D" w:rsidRPr="007A7515">
        <w:rPr>
          <w:rFonts w:asciiTheme="minorHAnsi" w:hAnsiTheme="minorHAnsi" w:cstheme="minorHAnsi"/>
          <w:szCs w:val="24"/>
        </w:rPr>
        <w:t>if positiv</w:t>
      </w:r>
      <w:r w:rsidR="004B6B7C" w:rsidRPr="007A7515">
        <w:rPr>
          <w:rFonts w:asciiTheme="minorHAnsi" w:hAnsiTheme="minorHAnsi" w:cstheme="minorHAnsi"/>
          <w:szCs w:val="24"/>
        </w:rPr>
        <w:t>e,</w:t>
      </w:r>
      <w:r w:rsidR="00BB118D" w:rsidRPr="007A7515">
        <w:rPr>
          <w:rFonts w:asciiTheme="minorHAnsi" w:hAnsiTheme="minorHAnsi" w:cstheme="minorHAnsi"/>
          <w:szCs w:val="24"/>
        </w:rPr>
        <w:t xml:space="preserve"> becomes the most cost</w:t>
      </w:r>
      <w:r w:rsidR="004A39FB" w:rsidRPr="007A7515">
        <w:rPr>
          <w:rFonts w:asciiTheme="minorHAnsi" w:hAnsiTheme="minorHAnsi" w:cstheme="minorHAnsi"/>
          <w:szCs w:val="24"/>
        </w:rPr>
        <w:t>-</w:t>
      </w:r>
      <w:r w:rsidR="00BB118D" w:rsidRPr="007A7515">
        <w:rPr>
          <w:rFonts w:asciiTheme="minorHAnsi" w:hAnsiTheme="minorHAnsi" w:cstheme="minorHAnsi"/>
          <w:szCs w:val="24"/>
        </w:rPr>
        <w:t xml:space="preserve">effective strategy. </w:t>
      </w:r>
      <w:r w:rsidR="00DA64B5" w:rsidRPr="007A7515">
        <w:rPr>
          <w:rFonts w:asciiTheme="minorHAnsi" w:hAnsiTheme="minorHAnsi" w:cstheme="minorHAnsi"/>
          <w:szCs w:val="24"/>
        </w:rPr>
        <w:t xml:space="preserve">DCE-CT </w:t>
      </w:r>
      <w:r w:rsidR="00AA5E7A" w:rsidRPr="007A7515">
        <w:rPr>
          <w:rFonts w:asciiTheme="minorHAnsi" w:hAnsiTheme="minorHAnsi" w:cstheme="minorHAnsi"/>
          <w:szCs w:val="24"/>
        </w:rPr>
        <w:t>can</w:t>
      </w:r>
      <w:r w:rsidR="00DA64B5" w:rsidRPr="007A7515">
        <w:rPr>
          <w:rFonts w:asciiTheme="minorHAnsi" w:hAnsiTheme="minorHAnsi" w:cstheme="minorHAnsi"/>
          <w:szCs w:val="24"/>
        </w:rPr>
        <w:t xml:space="preserve"> be performed </w:t>
      </w:r>
      <w:r w:rsidR="00661D4A" w:rsidRPr="007A7515">
        <w:rPr>
          <w:rFonts w:asciiTheme="minorHAnsi" w:hAnsiTheme="minorHAnsi" w:cstheme="minorHAnsi"/>
          <w:szCs w:val="24"/>
        </w:rPr>
        <w:t>during</w:t>
      </w:r>
      <w:r w:rsidR="00DA64B5" w:rsidRPr="007A7515">
        <w:rPr>
          <w:rFonts w:asciiTheme="minorHAnsi" w:hAnsiTheme="minorHAnsi" w:cstheme="minorHAnsi"/>
          <w:szCs w:val="24"/>
        </w:rPr>
        <w:t xml:space="preserve"> the initial CT </w:t>
      </w:r>
      <w:r w:rsidR="00AA5E7A" w:rsidRPr="007A7515">
        <w:rPr>
          <w:rFonts w:asciiTheme="minorHAnsi" w:hAnsiTheme="minorHAnsi" w:cstheme="minorHAnsi"/>
          <w:szCs w:val="24"/>
        </w:rPr>
        <w:t>if a</w:t>
      </w:r>
      <w:r w:rsidR="00DA64B5" w:rsidRPr="007A7515">
        <w:rPr>
          <w:rFonts w:asciiTheme="minorHAnsi" w:hAnsiTheme="minorHAnsi" w:cstheme="minorHAnsi"/>
          <w:szCs w:val="24"/>
        </w:rPr>
        <w:t xml:space="preserve"> nodule is </w:t>
      </w:r>
      <w:r w:rsidR="00661D4A" w:rsidRPr="007A7515">
        <w:rPr>
          <w:rFonts w:asciiTheme="minorHAnsi" w:hAnsiTheme="minorHAnsi" w:cstheme="minorHAnsi"/>
          <w:szCs w:val="24"/>
        </w:rPr>
        <w:t>found</w:t>
      </w:r>
      <w:r w:rsidR="00AA5E7A" w:rsidRPr="007A7515">
        <w:rPr>
          <w:rFonts w:asciiTheme="minorHAnsi" w:hAnsiTheme="minorHAnsi" w:cstheme="minorHAnsi"/>
          <w:szCs w:val="24"/>
        </w:rPr>
        <w:t xml:space="preserve"> and indeed m</w:t>
      </w:r>
      <w:r w:rsidR="00DA64B5" w:rsidRPr="007A7515">
        <w:rPr>
          <w:rFonts w:asciiTheme="minorHAnsi" w:hAnsiTheme="minorHAnsi" w:cstheme="minorHAnsi"/>
          <w:szCs w:val="24"/>
        </w:rPr>
        <w:t>any institutes conduct a</w:t>
      </w:r>
      <w:r w:rsidR="00AA5E7A" w:rsidRPr="007A7515">
        <w:rPr>
          <w:rFonts w:asciiTheme="minorHAnsi" w:hAnsiTheme="minorHAnsi" w:cstheme="minorHAnsi"/>
          <w:szCs w:val="24"/>
        </w:rPr>
        <w:t>n adaptive imaging strategy during CT examinations.</w:t>
      </w:r>
      <w:r w:rsidR="00DA64B5" w:rsidRPr="007A7515">
        <w:rPr>
          <w:rFonts w:asciiTheme="minorHAnsi" w:hAnsiTheme="minorHAnsi" w:cstheme="minorHAnsi"/>
          <w:szCs w:val="24"/>
        </w:rPr>
        <w:t xml:space="preserve"> Such a practice </w:t>
      </w:r>
      <w:r w:rsidR="00661D4A" w:rsidRPr="007A7515">
        <w:rPr>
          <w:rFonts w:asciiTheme="minorHAnsi" w:hAnsiTheme="minorHAnsi" w:cstheme="minorHAnsi"/>
          <w:szCs w:val="24"/>
        </w:rPr>
        <w:t>would</w:t>
      </w:r>
      <w:r w:rsidR="00DA64B5" w:rsidRPr="007A7515">
        <w:rPr>
          <w:rFonts w:asciiTheme="minorHAnsi" w:hAnsiTheme="minorHAnsi" w:cstheme="minorHAnsi"/>
          <w:szCs w:val="24"/>
        </w:rPr>
        <w:t xml:space="preserve"> ha</w:t>
      </w:r>
      <w:r w:rsidR="00661D4A" w:rsidRPr="007A7515">
        <w:rPr>
          <w:rFonts w:asciiTheme="minorHAnsi" w:hAnsiTheme="minorHAnsi" w:cstheme="minorHAnsi"/>
          <w:szCs w:val="24"/>
        </w:rPr>
        <w:t>ve</w:t>
      </w:r>
      <w:r w:rsidR="00DA64B5" w:rsidRPr="007A7515">
        <w:rPr>
          <w:rFonts w:asciiTheme="minorHAnsi" w:hAnsiTheme="minorHAnsi" w:cstheme="minorHAnsi"/>
          <w:szCs w:val="24"/>
        </w:rPr>
        <w:t xml:space="preserve"> substantial benefits for the patient, minimising </w:t>
      </w:r>
      <w:r w:rsidR="00AA5E7A" w:rsidRPr="007A7515">
        <w:rPr>
          <w:rFonts w:asciiTheme="minorHAnsi" w:hAnsiTheme="minorHAnsi" w:cstheme="minorHAnsi"/>
          <w:szCs w:val="24"/>
        </w:rPr>
        <w:t>additional</w:t>
      </w:r>
      <w:r w:rsidR="00DA64B5" w:rsidRPr="007A7515">
        <w:rPr>
          <w:rFonts w:asciiTheme="minorHAnsi" w:hAnsiTheme="minorHAnsi" w:cstheme="minorHAnsi"/>
          <w:szCs w:val="24"/>
        </w:rPr>
        <w:t xml:space="preserve"> hospital visits </w:t>
      </w:r>
      <w:r w:rsidR="00AA5E7A" w:rsidRPr="007A7515">
        <w:rPr>
          <w:rFonts w:asciiTheme="minorHAnsi" w:hAnsiTheme="minorHAnsi" w:cstheme="minorHAnsi"/>
          <w:szCs w:val="24"/>
        </w:rPr>
        <w:t xml:space="preserve">and making the </w:t>
      </w:r>
      <w:r w:rsidR="00661D4A" w:rsidRPr="007A7515">
        <w:rPr>
          <w:rFonts w:asciiTheme="minorHAnsi" w:hAnsiTheme="minorHAnsi" w:cstheme="minorHAnsi"/>
          <w:szCs w:val="24"/>
        </w:rPr>
        <w:t xml:space="preserve">initial </w:t>
      </w:r>
      <w:r w:rsidR="00AA5E7A" w:rsidRPr="007A7515">
        <w:rPr>
          <w:rFonts w:asciiTheme="minorHAnsi" w:hAnsiTheme="minorHAnsi" w:cstheme="minorHAnsi"/>
          <w:szCs w:val="24"/>
        </w:rPr>
        <w:t>CT more accurate</w:t>
      </w:r>
      <w:r w:rsidR="00661D4A" w:rsidRPr="007A7515">
        <w:rPr>
          <w:rFonts w:asciiTheme="minorHAnsi" w:hAnsiTheme="minorHAnsi" w:cstheme="minorHAnsi"/>
          <w:szCs w:val="24"/>
        </w:rPr>
        <w:t>.</w:t>
      </w:r>
      <w:r w:rsidR="00590348" w:rsidRPr="007A7515">
        <w:rPr>
          <w:rFonts w:asciiTheme="minorHAnsi" w:hAnsiTheme="minorHAnsi" w:cstheme="minorHAnsi"/>
          <w:szCs w:val="24"/>
        </w:rPr>
        <w:t xml:space="preserve">  </w:t>
      </w:r>
      <w:proofErr w:type="spellStart"/>
      <w:r w:rsidR="00765010" w:rsidRPr="007A7515">
        <w:rPr>
          <w:rFonts w:asciiTheme="minorHAnsi" w:hAnsiTheme="minorHAnsi" w:cstheme="minorHAnsi"/>
          <w:szCs w:val="24"/>
        </w:rPr>
        <w:t>Orlacchio</w:t>
      </w:r>
      <w:proofErr w:type="spellEnd"/>
      <w:r w:rsidR="00765010" w:rsidRPr="007A7515">
        <w:rPr>
          <w:rFonts w:asciiTheme="minorHAnsi" w:hAnsiTheme="minorHAnsi" w:cstheme="minorHAnsi"/>
          <w:szCs w:val="24"/>
        </w:rPr>
        <w:t xml:space="preserve"> et al. have previously demonstrated the feasibility of incorporating DCE-CT at the end of the PET image acquisition reducing the need for multiple visits and appointments </w:t>
      </w:r>
      <w:r w:rsidR="00765010" w:rsidRPr="007A7515">
        <w:rPr>
          <w:rFonts w:asciiTheme="minorHAnsi" w:hAnsiTheme="minorHAnsi" w:cstheme="minorHAnsi"/>
          <w:szCs w:val="24"/>
        </w:rPr>
        <w:fldChar w:fldCharType="begin" w:fldLock="1"/>
      </w:r>
      <w:r w:rsidR="00437A17">
        <w:rPr>
          <w:rFonts w:asciiTheme="minorHAnsi" w:hAnsiTheme="minorHAnsi" w:cstheme="minorHAnsi"/>
          <w:szCs w:val="24"/>
        </w:rPr>
        <w:instrText>ADDIN CSL_CITATION {"citationItems":[{"id":"ITEM-1","itemData":{"DOI":"10.1007/s11547-007-0132-x","ISBN":"3906209024","ISSN":"00338362","author":[{"dropping-particle":"","family":"Orlacchio","given":"A.","non-dropping-particle":"","parse-names":false,"suffix":""},{"dropping-particle":"","family":"Schillaci","given":"O.","non-dropping-particle":"","parse-names":false,"suffix":""},{"dropping-particle":"","family":"Antonelli","given":"L.","non-dropping-particle":"","parse-names":false,"suffix":""},{"dropping-particle":"","family":"D'Urso","given":"S.","non-dropping-particle":"","parse-names":false,"suffix":""},{"dropping-particle":"","family":"Sergiacomi","given":"G.","non-dropping-particle":"","parse-names":false,"suffix":""},{"dropping-particle":"","family":"Nicolì","given":"P.","non-dropping-particle":"","parse-names":false,"suffix":""},{"dropping-particle":"","family":"Simonetti","given":"G.","non-dropping-particle":"","parse-names":false,"suffix":""}],"container-title":"Radiologia Medica","id":"ITEM-1","issue":"2","issued":{"date-parts":[["2007"]]},"page":"157-173","title":"Nodulo polmonare solitario: Caratterizzazione morfologico-metabolica mediante imaging integrato TCms/FDG-PET","type":"article-journal","volume":"112"},"uris":["http://www.mendeley.com/documents/?uuid=f76ff17f-00e3-4c45-8ee4-8d7352711ff7"]}],"mendeley":{"formattedCitation":"&lt;sup&gt;21&lt;/sup&gt;","plainTextFormattedCitation":"21","previouslyFormattedCitation":"&lt;sup&gt;21&lt;/sup&gt;"},"properties":{"noteIndex":0},"schema":"https://github.com/citation-style-language/schema/raw/master/csl-citation.json"}</w:instrText>
      </w:r>
      <w:r w:rsidR="00765010" w:rsidRPr="007A7515">
        <w:rPr>
          <w:rFonts w:asciiTheme="minorHAnsi" w:hAnsiTheme="minorHAnsi" w:cstheme="minorHAnsi"/>
          <w:szCs w:val="24"/>
        </w:rPr>
        <w:fldChar w:fldCharType="separate"/>
      </w:r>
      <w:r w:rsidR="00437A17" w:rsidRPr="00437A17">
        <w:rPr>
          <w:rFonts w:asciiTheme="minorHAnsi" w:hAnsiTheme="minorHAnsi" w:cstheme="minorHAnsi"/>
          <w:noProof/>
          <w:szCs w:val="24"/>
          <w:vertAlign w:val="superscript"/>
        </w:rPr>
        <w:t>21</w:t>
      </w:r>
      <w:r w:rsidR="00765010" w:rsidRPr="007A7515">
        <w:rPr>
          <w:rFonts w:asciiTheme="minorHAnsi" w:hAnsiTheme="minorHAnsi" w:cstheme="minorHAnsi"/>
          <w:szCs w:val="24"/>
        </w:rPr>
        <w:fldChar w:fldCharType="end"/>
      </w:r>
      <w:r w:rsidR="00765010" w:rsidRPr="007A7515">
        <w:rPr>
          <w:rFonts w:asciiTheme="minorHAnsi" w:hAnsiTheme="minorHAnsi" w:cstheme="minorHAnsi"/>
          <w:szCs w:val="24"/>
        </w:rPr>
        <w:t xml:space="preserve">. </w:t>
      </w:r>
    </w:p>
    <w:p w14:paraId="3AAD186F" w14:textId="1D8F3F8E" w:rsidR="00903058" w:rsidRPr="007A7515" w:rsidRDefault="00903058" w:rsidP="000920AB">
      <w:pPr>
        <w:spacing w:line="360" w:lineRule="auto"/>
        <w:rPr>
          <w:rFonts w:asciiTheme="minorHAnsi" w:hAnsiTheme="minorHAnsi" w:cstheme="minorHAnsi"/>
          <w:sz w:val="24"/>
          <w:szCs w:val="24"/>
        </w:rPr>
      </w:pPr>
    </w:p>
    <w:p w14:paraId="1B85ED46" w14:textId="6EDD8E58" w:rsidR="00903058" w:rsidRPr="007A7515" w:rsidRDefault="00AA5E7A" w:rsidP="000920AB">
      <w:pPr>
        <w:spacing w:line="360" w:lineRule="auto"/>
        <w:rPr>
          <w:rFonts w:asciiTheme="minorHAnsi" w:hAnsiTheme="minorHAnsi" w:cstheme="minorHAnsi"/>
          <w:sz w:val="24"/>
          <w:szCs w:val="24"/>
        </w:rPr>
      </w:pPr>
      <w:r w:rsidRPr="007A7515">
        <w:rPr>
          <w:rFonts w:asciiTheme="minorHAnsi" w:hAnsiTheme="minorHAnsi" w:cstheme="minorHAnsi"/>
          <w:sz w:val="24"/>
          <w:szCs w:val="24"/>
        </w:rPr>
        <w:t>However</w:t>
      </w:r>
      <w:r w:rsidR="00A43F89" w:rsidRPr="007A7515">
        <w:rPr>
          <w:rFonts w:asciiTheme="minorHAnsi" w:hAnsiTheme="minorHAnsi" w:cstheme="minorHAnsi"/>
          <w:sz w:val="24"/>
          <w:szCs w:val="24"/>
        </w:rPr>
        <w:t>,</w:t>
      </w:r>
      <w:r w:rsidRPr="007A7515">
        <w:rPr>
          <w:rFonts w:asciiTheme="minorHAnsi" w:hAnsiTheme="minorHAnsi" w:cstheme="minorHAnsi"/>
          <w:sz w:val="24"/>
          <w:szCs w:val="24"/>
        </w:rPr>
        <w:t xml:space="preserve"> </w:t>
      </w:r>
      <w:r w:rsidR="00661D4A" w:rsidRPr="007A7515">
        <w:rPr>
          <w:rFonts w:asciiTheme="minorHAnsi" w:hAnsiTheme="minorHAnsi" w:cstheme="minorHAnsi"/>
          <w:sz w:val="24"/>
          <w:szCs w:val="24"/>
        </w:rPr>
        <w:t xml:space="preserve">it is important to be cautious as </w:t>
      </w:r>
      <w:r w:rsidRPr="007A7515">
        <w:rPr>
          <w:rFonts w:asciiTheme="minorHAnsi" w:hAnsiTheme="minorHAnsi" w:cstheme="minorHAnsi"/>
          <w:sz w:val="24"/>
          <w:szCs w:val="24"/>
        </w:rPr>
        <w:t>the</w:t>
      </w:r>
      <w:r w:rsidR="00903058" w:rsidRPr="007A7515">
        <w:rPr>
          <w:rFonts w:asciiTheme="minorHAnsi" w:hAnsiTheme="minorHAnsi" w:cstheme="minorHAnsi"/>
          <w:sz w:val="24"/>
          <w:szCs w:val="24"/>
        </w:rPr>
        <w:t xml:space="preserve"> difference in costs between</w:t>
      </w:r>
      <w:r w:rsidR="0071513F" w:rsidRPr="007A7515">
        <w:rPr>
          <w:rFonts w:asciiTheme="minorHAnsi" w:hAnsiTheme="minorHAnsi" w:cstheme="minorHAnsi"/>
          <w:sz w:val="24"/>
          <w:szCs w:val="24"/>
        </w:rPr>
        <w:t xml:space="preserve"> PET/CT </w:t>
      </w:r>
      <w:r w:rsidR="00903058" w:rsidRPr="007A7515">
        <w:rPr>
          <w:rFonts w:asciiTheme="minorHAnsi" w:hAnsiTheme="minorHAnsi" w:cstheme="minorHAnsi"/>
          <w:sz w:val="24"/>
          <w:szCs w:val="24"/>
        </w:rPr>
        <w:t>alone and a combination of DCE-CT and</w:t>
      </w:r>
      <w:r w:rsidR="0071513F" w:rsidRPr="007A7515">
        <w:rPr>
          <w:rFonts w:asciiTheme="minorHAnsi" w:hAnsiTheme="minorHAnsi" w:cstheme="minorHAnsi"/>
          <w:sz w:val="24"/>
          <w:szCs w:val="24"/>
        </w:rPr>
        <w:t xml:space="preserve"> PET/CT </w:t>
      </w:r>
      <w:r w:rsidR="00903058" w:rsidRPr="007A7515">
        <w:rPr>
          <w:rFonts w:asciiTheme="minorHAnsi" w:hAnsiTheme="minorHAnsi" w:cstheme="minorHAnsi"/>
          <w:sz w:val="24"/>
          <w:szCs w:val="24"/>
        </w:rPr>
        <w:t xml:space="preserve">was small on average and may lack economic significance. </w:t>
      </w:r>
      <w:r w:rsidR="00661D4A" w:rsidRPr="007A7515">
        <w:rPr>
          <w:rFonts w:asciiTheme="minorHAnsi" w:hAnsiTheme="minorHAnsi" w:cstheme="minorHAnsi"/>
          <w:sz w:val="24"/>
          <w:szCs w:val="24"/>
        </w:rPr>
        <w:t>The</w:t>
      </w:r>
      <w:r w:rsidR="00903058" w:rsidRPr="007A7515">
        <w:rPr>
          <w:rFonts w:asciiTheme="minorHAnsi" w:hAnsiTheme="minorHAnsi" w:cstheme="minorHAnsi"/>
          <w:sz w:val="24"/>
          <w:szCs w:val="24"/>
        </w:rPr>
        <w:t xml:space="preserve"> combination of DCE-CT and</w:t>
      </w:r>
      <w:r w:rsidR="0071513F" w:rsidRPr="007A7515">
        <w:rPr>
          <w:rFonts w:asciiTheme="minorHAnsi" w:hAnsiTheme="minorHAnsi" w:cstheme="minorHAnsi"/>
          <w:sz w:val="24"/>
          <w:szCs w:val="24"/>
        </w:rPr>
        <w:t xml:space="preserve"> PET/CT </w:t>
      </w:r>
      <w:r w:rsidR="00903058" w:rsidRPr="007A7515">
        <w:rPr>
          <w:rFonts w:asciiTheme="minorHAnsi" w:hAnsiTheme="minorHAnsi" w:cstheme="minorHAnsi"/>
          <w:sz w:val="24"/>
          <w:szCs w:val="24"/>
        </w:rPr>
        <w:t>was the best alternative strategy when comparing patient outcomes</w:t>
      </w:r>
      <w:r w:rsidR="0031664B" w:rsidRPr="007A7515">
        <w:rPr>
          <w:rFonts w:asciiTheme="minorHAnsi" w:hAnsiTheme="minorHAnsi" w:cstheme="minorHAnsi"/>
          <w:sz w:val="24"/>
          <w:szCs w:val="24"/>
        </w:rPr>
        <w:t>,</w:t>
      </w:r>
      <w:r w:rsidR="00903058" w:rsidRPr="007A7515">
        <w:rPr>
          <w:rFonts w:asciiTheme="minorHAnsi" w:hAnsiTheme="minorHAnsi" w:cstheme="minorHAnsi"/>
          <w:sz w:val="24"/>
          <w:szCs w:val="24"/>
        </w:rPr>
        <w:t xml:space="preserve"> correctly identif</w:t>
      </w:r>
      <w:r w:rsidR="00661D4A" w:rsidRPr="007A7515">
        <w:rPr>
          <w:rFonts w:asciiTheme="minorHAnsi" w:hAnsiTheme="minorHAnsi" w:cstheme="minorHAnsi"/>
          <w:sz w:val="24"/>
          <w:szCs w:val="24"/>
        </w:rPr>
        <w:t>ying</w:t>
      </w:r>
      <w:r w:rsidR="00903058" w:rsidRPr="007A7515">
        <w:rPr>
          <w:rFonts w:asciiTheme="minorHAnsi" w:hAnsiTheme="minorHAnsi" w:cstheme="minorHAnsi"/>
          <w:sz w:val="24"/>
          <w:szCs w:val="24"/>
        </w:rPr>
        <w:t xml:space="preserve"> the highest proportion of patients with malignant disease (46</w:t>
      </w:r>
      <w:r w:rsidR="00C60C37" w:rsidRPr="007A7515">
        <w:rPr>
          <w:rFonts w:asciiTheme="minorHAnsi" w:hAnsiTheme="minorHAnsi" w:cstheme="minorHAnsi"/>
          <w:sz w:val="24"/>
          <w:szCs w:val="24"/>
          <w:lang w:val="en-US"/>
        </w:rPr>
        <w:t>·</w:t>
      </w:r>
      <w:r w:rsidR="00903058" w:rsidRPr="007A7515">
        <w:rPr>
          <w:rFonts w:asciiTheme="minorHAnsi" w:hAnsiTheme="minorHAnsi" w:cstheme="minorHAnsi"/>
          <w:sz w:val="24"/>
          <w:szCs w:val="24"/>
        </w:rPr>
        <w:t>7%), the lowest proportion of malignant cases left without treatment (13</w:t>
      </w:r>
      <w:r w:rsidR="00C60C37" w:rsidRPr="007A7515">
        <w:rPr>
          <w:rFonts w:asciiTheme="minorHAnsi" w:hAnsiTheme="minorHAnsi" w:cstheme="minorHAnsi"/>
          <w:sz w:val="24"/>
          <w:szCs w:val="24"/>
          <w:lang w:val="en-US"/>
        </w:rPr>
        <w:t>·</w:t>
      </w:r>
      <w:r w:rsidR="00903058" w:rsidRPr="007A7515">
        <w:rPr>
          <w:rFonts w:asciiTheme="minorHAnsi" w:hAnsiTheme="minorHAnsi" w:cstheme="minorHAnsi"/>
          <w:sz w:val="24"/>
          <w:szCs w:val="24"/>
        </w:rPr>
        <w:t>7%), and achieved the lowest proportion of inappropriate treatment in patients with a benign nodule (9</w:t>
      </w:r>
      <w:r w:rsidR="00C60C37" w:rsidRPr="007A7515">
        <w:rPr>
          <w:rFonts w:asciiTheme="minorHAnsi" w:hAnsiTheme="minorHAnsi" w:cstheme="minorHAnsi"/>
          <w:sz w:val="24"/>
          <w:szCs w:val="24"/>
          <w:lang w:val="en-US"/>
        </w:rPr>
        <w:t>·</w:t>
      </w:r>
      <w:r w:rsidR="00903058" w:rsidRPr="007A7515">
        <w:rPr>
          <w:rFonts w:asciiTheme="minorHAnsi" w:hAnsiTheme="minorHAnsi" w:cstheme="minorHAnsi"/>
          <w:sz w:val="24"/>
          <w:szCs w:val="24"/>
        </w:rPr>
        <w:t>0%). These results led to the appropriate management of 84</w:t>
      </w:r>
      <w:r w:rsidR="00C60C37" w:rsidRPr="007A7515">
        <w:rPr>
          <w:rFonts w:asciiTheme="minorHAnsi" w:hAnsiTheme="minorHAnsi" w:cstheme="minorHAnsi"/>
          <w:sz w:val="24"/>
          <w:szCs w:val="24"/>
          <w:lang w:val="en-US"/>
        </w:rPr>
        <w:t>·</w:t>
      </w:r>
      <w:r w:rsidR="00903058" w:rsidRPr="007A7515">
        <w:rPr>
          <w:rFonts w:asciiTheme="minorHAnsi" w:hAnsiTheme="minorHAnsi" w:cstheme="minorHAnsi"/>
          <w:sz w:val="24"/>
          <w:szCs w:val="24"/>
        </w:rPr>
        <w:t xml:space="preserve">4% </w:t>
      </w:r>
      <w:r w:rsidR="00A43F89" w:rsidRPr="007A7515">
        <w:rPr>
          <w:rFonts w:asciiTheme="minorHAnsi" w:hAnsiTheme="minorHAnsi" w:cstheme="minorHAnsi"/>
          <w:sz w:val="24"/>
          <w:szCs w:val="24"/>
        </w:rPr>
        <w:t xml:space="preserve">of </w:t>
      </w:r>
      <w:r w:rsidR="00903058" w:rsidRPr="007A7515">
        <w:rPr>
          <w:rFonts w:asciiTheme="minorHAnsi" w:hAnsiTheme="minorHAnsi" w:cstheme="minorHAnsi"/>
          <w:sz w:val="24"/>
          <w:szCs w:val="24"/>
        </w:rPr>
        <w:t xml:space="preserve">patients. </w:t>
      </w:r>
    </w:p>
    <w:p w14:paraId="6764F106" w14:textId="791E5C29" w:rsidR="0089693A" w:rsidRPr="007A7515" w:rsidRDefault="0089693A" w:rsidP="0089693A">
      <w:pPr>
        <w:spacing w:line="360" w:lineRule="auto"/>
        <w:rPr>
          <w:rFonts w:asciiTheme="minorHAnsi" w:hAnsiTheme="minorHAnsi" w:cstheme="minorHAnsi"/>
          <w:sz w:val="24"/>
          <w:szCs w:val="24"/>
          <w:lang w:val="en-US"/>
        </w:rPr>
      </w:pPr>
    </w:p>
    <w:p w14:paraId="1CC27EDB" w14:textId="28229F50" w:rsidR="00590348" w:rsidRPr="007A7515" w:rsidRDefault="00282131" w:rsidP="0089693A">
      <w:pPr>
        <w:spacing w:line="360" w:lineRule="auto"/>
        <w:rPr>
          <w:rFonts w:asciiTheme="minorHAnsi" w:hAnsiTheme="minorHAnsi" w:cstheme="minorHAnsi"/>
          <w:sz w:val="24"/>
          <w:szCs w:val="24"/>
          <w:lang w:val="en-US"/>
        </w:rPr>
      </w:pPr>
      <w:r w:rsidRPr="007A7515">
        <w:rPr>
          <w:rFonts w:asciiTheme="minorHAnsi" w:hAnsiTheme="minorHAnsi" w:cstheme="minorHAnsi"/>
          <w:sz w:val="24"/>
          <w:szCs w:val="24"/>
          <w:lang w:val="en-US"/>
        </w:rPr>
        <w:t>A limitation of th</w:t>
      </w:r>
      <w:r w:rsidR="00661D4A" w:rsidRPr="007A7515">
        <w:rPr>
          <w:rFonts w:asciiTheme="minorHAnsi" w:hAnsiTheme="minorHAnsi" w:cstheme="minorHAnsi"/>
          <w:sz w:val="24"/>
          <w:szCs w:val="24"/>
          <w:lang w:val="en-US"/>
        </w:rPr>
        <w:t>is</w:t>
      </w:r>
      <w:r w:rsidRPr="007A7515">
        <w:rPr>
          <w:rFonts w:asciiTheme="minorHAnsi" w:hAnsiTheme="minorHAnsi" w:cstheme="minorHAnsi"/>
          <w:sz w:val="24"/>
          <w:szCs w:val="24"/>
          <w:lang w:val="en-US"/>
        </w:rPr>
        <w:t xml:space="preserve"> study is </w:t>
      </w:r>
      <w:r w:rsidR="00661D4A" w:rsidRPr="007A7515">
        <w:rPr>
          <w:rFonts w:asciiTheme="minorHAnsi" w:hAnsiTheme="minorHAnsi" w:cstheme="minorHAnsi"/>
          <w:sz w:val="24"/>
          <w:szCs w:val="24"/>
          <w:lang w:val="en-US"/>
        </w:rPr>
        <w:t xml:space="preserve">the applicability of </w:t>
      </w:r>
      <w:r w:rsidR="0031664B" w:rsidRPr="007A7515">
        <w:rPr>
          <w:rFonts w:asciiTheme="minorHAnsi" w:hAnsiTheme="minorHAnsi" w:cstheme="minorHAnsi"/>
          <w:sz w:val="24"/>
          <w:szCs w:val="24"/>
          <w:lang w:val="en-US"/>
        </w:rPr>
        <w:t>our</w:t>
      </w:r>
      <w:r w:rsidR="00661D4A" w:rsidRPr="007A7515">
        <w:rPr>
          <w:rFonts w:asciiTheme="minorHAnsi" w:hAnsiTheme="minorHAnsi" w:cstheme="minorHAnsi"/>
          <w:sz w:val="24"/>
          <w:szCs w:val="24"/>
          <w:lang w:val="en-US"/>
        </w:rPr>
        <w:t xml:space="preserve"> results to SPNs found at lung screening</w:t>
      </w:r>
      <w:r w:rsidR="0031664B" w:rsidRPr="007A7515">
        <w:rPr>
          <w:rFonts w:asciiTheme="minorHAnsi" w:hAnsiTheme="minorHAnsi" w:cstheme="minorHAnsi"/>
          <w:sz w:val="24"/>
          <w:szCs w:val="24"/>
          <w:lang w:val="en-US"/>
        </w:rPr>
        <w:t xml:space="preserve">, a setting </w:t>
      </w:r>
      <w:r w:rsidR="00661D4A" w:rsidRPr="007A7515">
        <w:rPr>
          <w:rFonts w:asciiTheme="minorHAnsi" w:hAnsiTheme="minorHAnsi" w:cstheme="minorHAnsi"/>
          <w:sz w:val="24"/>
          <w:szCs w:val="24"/>
          <w:lang w:val="en-US"/>
        </w:rPr>
        <w:t xml:space="preserve"> where </w:t>
      </w:r>
      <w:r w:rsidR="0031664B" w:rsidRPr="007A7515">
        <w:rPr>
          <w:rFonts w:asciiTheme="minorHAnsi" w:hAnsiTheme="minorHAnsi" w:cstheme="minorHAnsi"/>
          <w:sz w:val="24"/>
          <w:szCs w:val="24"/>
          <w:lang w:val="en-US"/>
        </w:rPr>
        <w:t xml:space="preserve">the prevalence of malignancy appears to be lower </w:t>
      </w:r>
      <w:r w:rsidR="00661D4A" w:rsidRPr="007A7515">
        <w:rPr>
          <w:rFonts w:asciiTheme="minorHAnsi" w:hAnsiTheme="minorHAnsi" w:cstheme="minorHAnsi"/>
          <w:sz w:val="24"/>
          <w:szCs w:val="24"/>
          <w:lang w:val="en-US"/>
        </w:rPr>
        <w:t>(National Lung Screening Trial 15</w:t>
      </w:r>
      <w:r w:rsidR="00C60C37" w:rsidRPr="007A7515">
        <w:rPr>
          <w:rFonts w:asciiTheme="minorHAnsi" w:hAnsiTheme="minorHAnsi" w:cstheme="minorHAnsi"/>
          <w:sz w:val="24"/>
          <w:szCs w:val="24"/>
          <w:lang w:val="en-US"/>
        </w:rPr>
        <w:t>·</w:t>
      </w:r>
      <w:r w:rsidR="00661D4A" w:rsidRPr="007A7515">
        <w:rPr>
          <w:rFonts w:asciiTheme="minorHAnsi" w:hAnsiTheme="minorHAnsi" w:cstheme="minorHAnsi"/>
          <w:sz w:val="24"/>
          <w:szCs w:val="24"/>
          <w:lang w:val="en-US"/>
        </w:rPr>
        <w:t xml:space="preserve">0% malignancy in 10-30mm nodules and NELSON trial 15·2% malignancy in nodules &gt;10mm) </w:t>
      </w:r>
      <w:r w:rsidR="00661D4A" w:rsidRPr="007A7515">
        <w:rPr>
          <w:rFonts w:asciiTheme="minorHAnsi" w:hAnsiTheme="minorHAnsi" w:cstheme="minorHAnsi"/>
          <w:noProof/>
          <w:sz w:val="24"/>
          <w:szCs w:val="24"/>
          <w:lang w:val="en-US"/>
        </w:rPr>
        <w:fldChar w:fldCharType="begin" w:fldLock="1"/>
      </w:r>
      <w:r w:rsidR="00437A17">
        <w:rPr>
          <w:rFonts w:asciiTheme="minorHAnsi" w:hAnsiTheme="minorHAnsi" w:cstheme="minorHAnsi"/>
          <w:noProof/>
          <w:sz w:val="24"/>
          <w:szCs w:val="24"/>
          <w:lang w:val="en-US"/>
        </w:rPr>
        <w:instrText>ADDIN CSL_CITATION {"citationItems":[{"id":"ITEM-1","itemData":{"DOI":"10.1056/NEJMoa1102873","ISSN":"1533-4406","PMID":"21714641","abstract":"BACKGROUND The aggressive and heterogeneous nature of lung cancer has thwarted efforts to reduce mortality from this cancer through the use of screening. The advent of low-dose helical computed tomography (CT) altered the landscape of lung-cancer screening, with studies indicating that low-dose CT detects many tumors at early stages. The National Lung Screening Trial (NLST) was conducted to determine whether screening with low-dose CT could reduce mortality from lung cancer. METHODS From August 2002 through April 2004, we enrolled 53,454 persons at high risk for lung cancer at 33 U.S. medical centers. Participants were randomly assigned to undergo three annual screenings with either low-dose CT (26,722 participants) or single-view posteroanterior chest radiography (26,732). Data were collected on cases of lung cancer and deaths from lung cancer that occurred through December 31, 2009. RESULTS The rate of adherence to screening was more than 90%. The rate of positive screening tests was 24.2% with low-dose CT and 6.9% with radiography over all three rounds. A total of 96.4% of the positive screening results in the low-dose CT group and 94.5% in the radiography group were false positive results. The incidence of lung cancer was 645 cases per 100,000 person-years (1060 cancers) in the low-dose CT group, as compared with 572 cases per 100,000 person-years (941 cancers) in the radiography group (rate ratio, 1.13; 95% confidence interval [CI], 1.03 to 1.23). There were 247 deaths from lung cancer per 100,000 person-years in the low-dose CT group and 309 deaths per 100,000 person-years in the radiography group, representing a relative reduction in mortality from lung cancer with low-dose CT screening of 20.0% (95% CI, 6.8 to 26.7; P=0.004). The rate of death from any cause was reduced in the low-dose CT group, as compared with the radiography group, by 6.7% (95% CI, 1.2 to 13.6; P=0.02). CONCLUSIONS Screening with the use of low-dose CT reduces mortality from lung cancer. (Funded by the National Cancer Institute; National Lung Screening Trial ClinicalTrials.gov number, NCT00047385.).","author":[{"dropping-particle":"","family":"National Lung Screening Trial Research Team","given":"","non-dropping-particle":"","parse-names":false,"suffix":""},{"dropping-particle":"","family":"Aberle","given":"Denise R","non-dropping-particle":"","parse-names":false,"suffix":""},{"dropping-particle":"","family":"Adams","given":"Amanda M","non-dropping-particle":"","parse-names":false,"suffix":""},{"dropping-particle":"","family":"Berg","given":"Christine D","non-dropping-particle":"","parse-names":false,"suffix":""},{"dropping-particle":"","family":"Black","given":"William C","non-dropping-particle":"","parse-names":false,"suffix":""},{"dropping-particle":"","family":"Clapp","given":"Jonathan D","non-dropping-particle":"","parse-names":false,"suffix":""},{"dropping-particle":"","family":"Fagerstrom","given":"Richard M","non-dropping-particle":"","parse-names":false,"suffix":""},{"dropping-particle":"","family":"Gareen","given":"Ilana F","non-dropping-particle":"","parse-names":false,"suffix":""},{"dropping-particle":"","family":"Gatsonis","given":"Constantine","non-dropping-particle":"","parse-names":false,"suffix":""},{"dropping-particle":"","family":"Marcus","given":"Pamela M","non-dropping-particle":"","parse-names":false,"suffix":""},{"dropping-particle":"","family":"Sicks","given":"JoRean D","non-dropping-particle":"","parse-names":false,"suffix":""}],"container-title":"The New England journal of medicine","id":"ITEM-1","issue":"5","issued":{"date-parts":[["2011","8","4"]]},"page":"395-409","title":"Reduced lung-cancer mortality with low-dose computed tomographic screening.","type":"article-journal","volume":"365"},"uris":["http://www.mendeley.com/documents/?uuid=0f7d15af-0085-4b3c-8b68-a155ad09bf89"]},{"id":"ITEM-2","itemData":{"DOI":"10.1016/S1470-2045(14)70389-4","ISSN":"14745488","abstract":"Background: The main challenge in CT screening for lung cancer is the high prevalence of pulmonary nodules and the relatively low incidence of lung cancer. Management protocols use thresholds for nodule size and growth rate to determine which nodules require additional diagnostic procedures, but these should be based on individuals' probabilities of developing lung cancer. In this prespecified analysis, using data from the NELSON CT screening trial, we aimed to quantify how nodule diameter, volume, and volume doubling time affect the probability of developing lung cancer within 2 years of a CT scan, and to propose and evaluate thresholds for management protocols. Methods: Eligible participants in the NELSON trial were those aged 50-75 years, who have smoked 15 cigarettes or more per day for more than 25 years, or ten cigarettes or more for more than 30 years and were still smoking, or had stopped smoking less than 10 years ago. Participants were randomly assigned to low-dose CT screening at increasing intervals, or no screening. We included all participants assigned to the screening group who had attended at least one round of screening, and whose results were available from the national cancer registry database. We calculated lung cancer probabilities, stratified by nodule diameter, volume, and volume doubling time and did logistic regression analysis using diameter, volume, volume doubling time, and multinodularity as potential predictor variables. We assessed management strategies based on nodule threshold characteristics for specificity and sensitivity, and compared them to the American College of Chest Physicians (ACCP) guidelines. The NELSON trial is registered at www.trialregister.nl, number ISRCTN63545820. Findings: Volume, volume doubling time, and volumetry-based diameter of 9681 non-calcified nodules detected by CT screening in 7155 participants in the screening group of NELSON were used to quantify lung cancer probability. Lung cancer probability was low in participants with a nodule volume of 100 mm3 or smaller (0.6% [95% CI 0.4-0.8]) or maximum transverse diameter smaller than 5 mm (0.4% [0.2-0.7]), and not significantly different from participants without nodules (0.4% [0.3-0.6], p=0.17 and p=1.00, respectively). Lung cancer probability was intermediate (requiring follow-up CT) if nodules had a volume of 100-300 mm3 (2.4% [95% CI 1.7-3.5]) or a diameter 5-10 mm (1.3% [1.0-1.8]). Volume doubling time further stratified the probabilities: 0…","author":[{"dropping-particle":"","family":"Horeweg","given":"Nanda","non-dropping-particle":"","parse-names":false,"suffix":""},{"dropping-particle":"","family":"Rosmalen","given":"Joost","non-dropping-particle":"van","parse-names":false,"suffix":""},{"dropping-particle":"","family":"Heuvelmans","given":"Marjolein A.","non-dropping-particle":"","parse-names":false,"suffix":""},{"dropping-particle":"","family":"Aalst","given":"Carlijn M.","non-dropping-particle":"van der","parse-names":false,"suffix":""},{"dropping-particle":"","family":"Vliegenthart","given":"Rozemarijn","non-dropping-particle":"","parse-names":false,"suffix":""},{"dropping-particle":"","family":"Scholten","given":"Ernst Th","non-dropping-particle":"","parse-names":false,"suffix":""},{"dropping-particle":"","family":"Haaf","given":"Kevin","non-dropping-particle":"ten","parse-names":false,"suffix":""},{"dropping-particle":"","family":"Nackaerts","given":"Kristiaan","non-dropping-particle":"","parse-names":false,"suffix":""},{"dropping-particle":"","family":"Lammers","given":"Jan Willem J.","non-dropping-particle":"","parse-names":false,"suffix":""},{"dropping-particle":"","family":"Weenink","given":"Carla","non-dropping-particle":"","parse-names":false,"suffix":""},{"dropping-particle":"","family":"Groen","given":"Harry J.","non-dropping-particle":"","parse-names":false,"suffix":""},{"dropping-particle":"","family":"Ooijen","given":"Peter","non-dropping-particle":"van","parse-names":false,"suffix":""},{"dropping-particle":"","family":"Jong","given":"Pim A.","non-dropping-particle":"de","parse-names":false,"suffix":""},{"dropping-particle":"","family":"Bock","given":"Geertruida H.","non-dropping-particle":"de","parse-names":false,"suffix":""},{"dropping-particle":"","family":"Mali","given":"Willem","non-dropping-particle":"","parse-names":false,"suffix":""},{"dropping-particle":"","family":"Koning","given":"Harry J.","non-dropping-particle":"de","parse-names":false,"suffix":""},{"dropping-particle":"","family":"Oudkerk","given":"Matthijs","non-dropping-particle":"","parse-names":false,"suffix":""}],"container-title":"The Lancet Oncology","id":"ITEM-2","issue":"12","issued":{"date-parts":[["2014"]]},"page":"1332-1341","publisher":"Elsevier Ltd","title":"Lung cancer probability in patients with CT-detected pulmonary nodules: A prespecified analysis of data from the NELSON trial of low-dose CT screening","type":"article-journal","volume":"15"},"uris":["http://www.mendeley.com/documents/?uuid=54cb4aad-029b-4a44-b289-709edc539e6f"]}],"mendeley":{"formattedCitation":"&lt;sup&gt;22,23&lt;/sup&gt;","plainTextFormattedCitation":"22,23","previouslyFormattedCitation":"&lt;sup&gt;22,23&lt;/sup&gt;"},"properties":{"noteIndex":0},"schema":"https://github.com/citation-style-language/schema/raw/master/csl-citation.json"}</w:instrText>
      </w:r>
      <w:r w:rsidR="00661D4A" w:rsidRPr="007A7515">
        <w:rPr>
          <w:rFonts w:asciiTheme="minorHAnsi" w:hAnsiTheme="minorHAnsi" w:cstheme="minorHAnsi"/>
          <w:noProof/>
          <w:sz w:val="24"/>
          <w:szCs w:val="24"/>
          <w:lang w:val="en-US"/>
        </w:rPr>
        <w:fldChar w:fldCharType="separate"/>
      </w:r>
      <w:r w:rsidR="00437A17" w:rsidRPr="00437A17">
        <w:rPr>
          <w:rFonts w:asciiTheme="minorHAnsi" w:hAnsiTheme="minorHAnsi" w:cstheme="minorHAnsi"/>
          <w:noProof/>
          <w:sz w:val="24"/>
          <w:szCs w:val="24"/>
          <w:vertAlign w:val="superscript"/>
          <w:lang w:val="en-US"/>
        </w:rPr>
        <w:t>22,23</w:t>
      </w:r>
      <w:r w:rsidR="00661D4A" w:rsidRPr="007A7515">
        <w:rPr>
          <w:rFonts w:asciiTheme="minorHAnsi" w:hAnsiTheme="minorHAnsi" w:cstheme="minorHAnsi"/>
          <w:noProof/>
          <w:sz w:val="24"/>
          <w:szCs w:val="24"/>
          <w:lang w:val="en-US"/>
        </w:rPr>
        <w:fldChar w:fldCharType="end"/>
      </w:r>
      <w:r w:rsidR="005211E9">
        <w:rPr>
          <w:rFonts w:asciiTheme="minorHAnsi" w:hAnsiTheme="minorHAnsi" w:cstheme="minorHAnsi"/>
          <w:sz w:val="24"/>
          <w:szCs w:val="24"/>
          <w:lang w:val="en-US"/>
        </w:rPr>
        <w:t>.</w:t>
      </w:r>
      <w:r w:rsidR="00661D4A" w:rsidRPr="007A7515">
        <w:rPr>
          <w:rFonts w:asciiTheme="minorHAnsi" w:hAnsiTheme="minorHAnsi" w:cstheme="minorHAnsi"/>
          <w:sz w:val="24"/>
          <w:szCs w:val="24"/>
          <w:lang w:val="en-US"/>
        </w:rPr>
        <w:t xml:space="preserve"> </w:t>
      </w:r>
      <w:r w:rsidR="005211E9">
        <w:rPr>
          <w:rFonts w:asciiTheme="minorHAnsi" w:hAnsiTheme="minorHAnsi" w:cstheme="minorHAnsi"/>
          <w:sz w:val="24"/>
          <w:szCs w:val="24"/>
          <w:lang w:val="en-US"/>
        </w:rPr>
        <w:t xml:space="preserve"> </w:t>
      </w:r>
      <w:r w:rsidR="00661D4A" w:rsidRPr="007A7515">
        <w:rPr>
          <w:rFonts w:asciiTheme="minorHAnsi" w:hAnsiTheme="minorHAnsi" w:cstheme="minorHAnsi"/>
          <w:sz w:val="24"/>
          <w:szCs w:val="24"/>
          <w:lang w:val="en-US"/>
        </w:rPr>
        <w:t xml:space="preserve">The </w:t>
      </w:r>
      <w:r w:rsidR="00590348" w:rsidRPr="007A7515">
        <w:rPr>
          <w:rFonts w:asciiTheme="minorHAnsi" w:hAnsiTheme="minorHAnsi" w:cstheme="minorHAnsi"/>
          <w:sz w:val="24"/>
          <w:szCs w:val="24"/>
          <w:lang w:val="en-US"/>
        </w:rPr>
        <w:t>61% malignancy rate of nodules in th</w:t>
      </w:r>
      <w:r w:rsidR="00661D4A" w:rsidRPr="007A7515">
        <w:rPr>
          <w:rFonts w:asciiTheme="minorHAnsi" w:hAnsiTheme="minorHAnsi" w:cstheme="minorHAnsi"/>
          <w:sz w:val="24"/>
          <w:szCs w:val="24"/>
          <w:lang w:val="en-US"/>
        </w:rPr>
        <w:t>is</w:t>
      </w:r>
      <w:r w:rsidR="00590348" w:rsidRPr="007A7515">
        <w:rPr>
          <w:rFonts w:asciiTheme="minorHAnsi" w:hAnsiTheme="minorHAnsi" w:cstheme="minorHAnsi"/>
          <w:sz w:val="24"/>
          <w:szCs w:val="24"/>
          <w:lang w:val="en-US"/>
        </w:rPr>
        <w:t xml:space="preserve"> study represent</w:t>
      </w:r>
      <w:r w:rsidR="00661D4A" w:rsidRPr="007A7515">
        <w:rPr>
          <w:rFonts w:asciiTheme="minorHAnsi" w:hAnsiTheme="minorHAnsi" w:cstheme="minorHAnsi"/>
          <w:sz w:val="24"/>
          <w:szCs w:val="24"/>
          <w:lang w:val="en-US"/>
        </w:rPr>
        <w:t>s</w:t>
      </w:r>
      <w:r w:rsidR="00590348" w:rsidRPr="007A7515">
        <w:rPr>
          <w:rFonts w:asciiTheme="minorHAnsi" w:hAnsiTheme="minorHAnsi" w:cstheme="minorHAnsi"/>
          <w:sz w:val="24"/>
          <w:szCs w:val="24"/>
          <w:lang w:val="en-US"/>
        </w:rPr>
        <w:t xml:space="preserve"> </w:t>
      </w:r>
      <w:r w:rsidR="00661D4A" w:rsidRPr="007A7515">
        <w:rPr>
          <w:rFonts w:asciiTheme="minorHAnsi" w:hAnsiTheme="minorHAnsi" w:cstheme="minorHAnsi"/>
          <w:sz w:val="24"/>
          <w:szCs w:val="24"/>
          <w:lang w:val="en-US"/>
        </w:rPr>
        <w:t>indeterminate SPN</w:t>
      </w:r>
      <w:r w:rsidR="00590348" w:rsidRPr="007A7515">
        <w:rPr>
          <w:rFonts w:asciiTheme="minorHAnsi" w:hAnsiTheme="minorHAnsi" w:cstheme="minorHAnsi"/>
          <w:sz w:val="24"/>
          <w:szCs w:val="24"/>
          <w:lang w:val="en-US"/>
        </w:rPr>
        <w:t xml:space="preserve">s </w:t>
      </w:r>
      <w:r w:rsidR="00661D4A" w:rsidRPr="007A7515">
        <w:rPr>
          <w:rFonts w:asciiTheme="minorHAnsi" w:hAnsiTheme="minorHAnsi" w:cstheme="minorHAnsi"/>
          <w:sz w:val="24"/>
          <w:szCs w:val="24"/>
          <w:lang w:val="en-US"/>
        </w:rPr>
        <w:t>found</w:t>
      </w:r>
      <w:r w:rsidR="00590348" w:rsidRPr="007A7515">
        <w:rPr>
          <w:rFonts w:asciiTheme="minorHAnsi" w:hAnsiTheme="minorHAnsi" w:cstheme="minorHAnsi"/>
          <w:sz w:val="24"/>
          <w:szCs w:val="24"/>
          <w:lang w:val="en-US"/>
        </w:rPr>
        <w:t xml:space="preserve"> in </w:t>
      </w:r>
      <w:r w:rsidR="0031664B" w:rsidRPr="007A7515">
        <w:rPr>
          <w:rFonts w:asciiTheme="minorHAnsi" w:hAnsiTheme="minorHAnsi" w:cstheme="minorHAnsi"/>
          <w:sz w:val="24"/>
          <w:szCs w:val="24"/>
          <w:lang w:val="en-US"/>
        </w:rPr>
        <w:t xml:space="preserve">normal </w:t>
      </w:r>
      <w:r w:rsidR="00590348" w:rsidRPr="007A7515">
        <w:rPr>
          <w:rFonts w:asciiTheme="minorHAnsi" w:hAnsiTheme="minorHAnsi" w:cstheme="minorHAnsi"/>
          <w:sz w:val="24"/>
          <w:szCs w:val="24"/>
          <w:lang w:val="en-US"/>
        </w:rPr>
        <w:t>clinical practice and is in keeping with previous meta-analys</w:t>
      </w:r>
      <w:r w:rsidR="0031664B" w:rsidRPr="007A7515">
        <w:rPr>
          <w:rFonts w:asciiTheme="minorHAnsi" w:hAnsiTheme="minorHAnsi" w:cstheme="minorHAnsi"/>
          <w:sz w:val="24"/>
          <w:szCs w:val="24"/>
          <w:lang w:val="en-US"/>
        </w:rPr>
        <w:t>e</w:t>
      </w:r>
      <w:r w:rsidR="00590348" w:rsidRPr="007A7515">
        <w:rPr>
          <w:rFonts w:asciiTheme="minorHAnsi" w:hAnsiTheme="minorHAnsi" w:cstheme="minorHAnsi"/>
          <w:sz w:val="24"/>
          <w:szCs w:val="24"/>
          <w:lang w:val="en-US"/>
        </w:rPr>
        <w:t xml:space="preserve">s of MRI and PET in SPNs </w:t>
      </w:r>
      <w:r w:rsidR="00765010" w:rsidRPr="007A7515">
        <w:rPr>
          <w:rFonts w:asciiTheme="minorHAnsi" w:hAnsiTheme="minorHAnsi" w:cstheme="minorHAnsi"/>
          <w:sz w:val="24"/>
          <w:szCs w:val="24"/>
          <w:lang w:val="en-US"/>
        </w:rPr>
        <w:fldChar w:fldCharType="begin" w:fldLock="1"/>
      </w:r>
      <w:r w:rsidR="00437A17">
        <w:rPr>
          <w:rFonts w:asciiTheme="minorHAnsi" w:hAnsiTheme="minorHAnsi" w:cstheme="minorHAnsi"/>
          <w:sz w:val="24"/>
          <w:szCs w:val="24"/>
          <w:lang w:val="en-US"/>
        </w:rPr>
        <w:instrText>ADDIN CSL_CITATION {"citationItems":[{"id":"ITEM-1","itemData":{"DOI":"10.1097/MD.0000000000010130","ISBN":"0000000000","ISSN":"0025-7974","author":[{"dropping-particle":"","family":"Li","given":"Zhen-Zhen","non-dropping-particle":"","parse-names":false,"suffix":""},{"dropping-particle":"","family":"Huang","given":"Ya-Liang","non-dropping-particle":"","parse-names":false,"suffix":""},{"dropping-particle":"","family":"Song","given":"Hong-Jun","non-dropping-particle":"","parse-names":false,"suffix":""},{"dropping-particle":"","family":"Wang","given":"You-Juan","non-dropping-particle":"","parse-names":false,"suffix":""},{"dropping-particle":"","family":"Huang","given":"Yan","non-dropping-particle":"","parse-names":false,"suffix":""}],"container-title":"Medicine","id":"ITEM-1","issue":"12","issued":{"date-parts":[["2018","3"]]},"page":"e0130","title":"The value of 18F-FDG-PET/CT in the diagnosis of solitary pulmonary nodules","type":"article-journal","volume":"97"},"uris":["http://www.mendeley.com/documents/?uuid=42bb866e-3254-4210-91f7-1c72cb054793"]},{"id":"ITEM-2","itemData":{"DOI":"10.1148/radiol.2018181159","ISSN":"1527-1315","PMID":"30480492","abstract":"Purpose To perform a meta-analysis of the literature to compare the diagnostic performance of fluorine 18 fluorodeoxyglucose PET/CT and diffusion-weighted (DW) MRI in the differentiation of malignant and benign pulmonary nodules and masses. Materials and Methods Published English-language studies on the diagnostic accuracy of PET/CT and/or DW MRI in the characterization of pulmonary lesions were searched in relevant databases through December 2017. The primary focus was on studies in which joint DW MRI and PET/CT were performed in the entire study population, to reduce interstudy heterogeneity. For DW MRI, lesion-to-spinal cord signal intensity ratio and apparent diffusion coefficient were evaluated; for PET/CT, maximum standard uptake value was evaluated. The pooled sensitivities, specificities, diagnostic odds ratios, and areas under the receiver operating characteristic curve (AUCs) for PET/CT and DW MRI were determined along with 95% confidence intervals (CIs). Results Thirty-seven studies met the inclusion criteria, with a total of 4224 participants and 4463 lesions (3090 malignant lesions [69.2%]). In the primary analysis of joint DW MRI and PET/CT studies (n = 6), DW MRI had a pooled sensitivity and specificity of 83% (95% CI: 75%, 89%) and 91% (95% CI: 80%, 96%), respectively, compared with 78% (95% CI: 70%, 84%) (P = .01 vs DW MRI) and 81% (95% CI: 72%, 88%) (P = .056 vs DW MRI) for PET/CT. DW MRI yielded an AUC of 0.93 (95% CI: 0.90, 0.95), versus 0.86 (95% CI: 0.83, 0.89) for PET/CT (P = .001). The diagnostic odds ratio of DW MRI (50 [95% CI: 19, 132]) was superior to that of PET/CT (15 [95% CI: 7, 32]) (P = .006). Conclusion The diagnostic performance of diffusion-weighted MRI is comparable or superior to that of fluorine 18 fluorodeoxyglucose PET/CT in the differentiation of malignant and benign pulmonary lesions. © RSNA, 2018 Online supplemental material is available for this article. See also the editorial by Schiebler in this issue.","author":[{"dropping-particle":"","family":"Basso Dias","given":"Adriano","non-dropping-particle":"","parse-names":false,"suffix":""},{"dropping-particle":"","family":"Zanon","given":"Matheus","non-dropping-particle":"","parse-names":false,"suffix":""},{"dropping-particle":"","family":"Altmayer","given":"Stephan","non-dropping-particle":"","parse-names":false,"suffix":""},{"dropping-particle":"","family":"Sartori Pacini","given":"Gabriel","non-dropping-particle":"","parse-names":false,"suffix":""},{"dropping-particle":"","family":"Henz Concatto","given":"Natália","non-dropping-particle":"","parse-names":false,"suffix":""},{"dropping-particle":"","family":"Watte","given":"Guilherme","non-dropping-particle":"","parse-names":false,"suffix":""},{"dropping-particle":"","family":"Garcez","given":"Anderson","non-dropping-particle":"","parse-names":false,"suffix":""},{"dropping-particle":"","family":"Mohammed","given":"Tan-Lucien","non-dropping-particle":"","parse-names":false,"suffix":""},{"dropping-particle":"","family":"Verma","given":"Nupur","non-dropping-particle":"","parse-names":false,"suffix":""},{"dropping-particle":"","family":"Medeiros","given":"Tássia","non-dropping-particle":"","parse-names":false,"suffix":""},{"dropping-particle":"","family":"Marchiori","given":"Edson","non-dropping-particle":"","parse-names":false,"suffix":""},{"dropping-particle":"","family":"Irion","given":"Klaus","non-dropping-particle":"","parse-names":false,"suffix":""},{"dropping-particle":"","family":"Hochhegger","given":"Bruno","non-dropping-particle":"","parse-names":false,"suffix":""}],"container-title":"Radiology","id":"ITEM-2","issue":"2","issued":{"date-parts":[["2019","2","27"]]},"page":"525-534","title":"Fluorine 18-FDG PET/CT and Diffusion-weighted MRI for Malignant versus Benign Pulmonary Lesions: A Meta-Analysis.","type":"article-journal","volume":"290"},"uris":["http://www.mendeley.com/documents/?uuid=09a4cbd2-d1ba-4393-bd7b-31e8ce0a2a81"]}],"mendeley":{"formattedCitation":"&lt;sup&gt;16,24&lt;/sup&gt;","plainTextFormattedCitation":"16,24","previouslyFormattedCitation":"&lt;sup&gt;16,24&lt;/sup&gt;"},"properties":{"noteIndex":0},"schema":"https://github.com/citation-style-language/schema/raw/master/csl-citation.json"}</w:instrText>
      </w:r>
      <w:r w:rsidR="00765010" w:rsidRPr="007A7515">
        <w:rPr>
          <w:rFonts w:asciiTheme="minorHAnsi" w:hAnsiTheme="minorHAnsi" w:cstheme="minorHAnsi"/>
          <w:sz w:val="24"/>
          <w:szCs w:val="24"/>
          <w:lang w:val="en-US"/>
        </w:rPr>
        <w:fldChar w:fldCharType="separate"/>
      </w:r>
      <w:r w:rsidR="00437A17" w:rsidRPr="00437A17">
        <w:rPr>
          <w:rFonts w:asciiTheme="minorHAnsi" w:hAnsiTheme="minorHAnsi" w:cstheme="minorHAnsi"/>
          <w:noProof/>
          <w:sz w:val="24"/>
          <w:szCs w:val="24"/>
          <w:vertAlign w:val="superscript"/>
          <w:lang w:val="en-US"/>
        </w:rPr>
        <w:t>16,24</w:t>
      </w:r>
      <w:r w:rsidR="00765010" w:rsidRPr="007A7515">
        <w:rPr>
          <w:rFonts w:asciiTheme="minorHAnsi" w:hAnsiTheme="minorHAnsi" w:cstheme="minorHAnsi"/>
          <w:sz w:val="24"/>
          <w:szCs w:val="24"/>
          <w:lang w:val="en-US"/>
        </w:rPr>
        <w:fldChar w:fldCharType="end"/>
      </w:r>
      <w:r w:rsidR="00590348" w:rsidRPr="007A7515">
        <w:rPr>
          <w:rFonts w:asciiTheme="minorHAnsi" w:hAnsiTheme="minorHAnsi" w:cstheme="minorHAnsi"/>
          <w:sz w:val="24"/>
          <w:szCs w:val="24"/>
          <w:lang w:val="en-US"/>
        </w:rPr>
        <w:t xml:space="preserve">. Previous work has shown the sensitivity of a technique to be relatively robust to disease prevalence and for the specificity to increase with falling prevalence </w:t>
      </w:r>
      <w:r w:rsidR="00765010" w:rsidRPr="007A7515">
        <w:rPr>
          <w:rFonts w:asciiTheme="minorHAnsi" w:hAnsiTheme="minorHAnsi" w:cstheme="minorHAnsi"/>
          <w:sz w:val="24"/>
          <w:szCs w:val="24"/>
          <w:lang w:val="en-US"/>
        </w:rPr>
        <w:fldChar w:fldCharType="begin" w:fldLock="1"/>
      </w:r>
      <w:r w:rsidR="00437A17">
        <w:rPr>
          <w:rFonts w:asciiTheme="minorHAnsi" w:hAnsiTheme="minorHAnsi" w:cstheme="minorHAnsi"/>
          <w:sz w:val="24"/>
          <w:szCs w:val="24"/>
          <w:lang w:val="en-US"/>
        </w:rPr>
        <w:instrText>ADDIN CSL_CITATION {"citationItems":[{"id":"ITEM-1","itemData":{"DOI":"10.1503/cmaj.121286","ISSN":"14882329","abstract":"Background: Anecdotal evidence suggests that the sensitivity and specificity of a diagnostic test may vary with disease prevalence. Our objective was to investigate the associations between disease prevalence and test sensitivity and specificity using studies of diagnostic accuracy. Methods: We used data from 23 meta-analyses, each of which included 10-39 studies (416 total). The median prevalence per review ranged from 1% to 77%. We evaluated the effects of prevalence on sensitivity and specificity using a bivariate random-effects model for each metaanalysis, with prevalence as a covariate. We estimated the overall effect of prevalence by pooling the effects using the inverse variance method. Results: Within a given review, a change in prevalence from the lowest to highest value resulted in a corresponding change in sensitivity or specificity from 0 to 40 percentage points. This effect was statistically significant (p &lt; 0.05) for either sensitivity or specificity in 8 metaanalyses (35%). Overall, specificity tended to be lower with higher disease prevalence; there was no such systematic effect for sensitivity. Interpretation: The sensitivity and specificity of a test often vary with disease prevalence; this effect is likely to be the result of mechanisms, such as patient spectrum, that affect prevalence, sensitivity and specificity. Because it may be difficult to identify such mechanisms, clinicians should use prevalence as a guide when selecting studies that most closely match their situation. © 2013 Canadian Medical Association or its licensors.","author":[{"dropping-particle":"","family":"Leeflang","given":"Mariska M.G.","non-dropping-particle":"","parse-names":false,"suffix":""},{"dropping-particle":"","family":"Rutjes","given":"Anne W.S.","non-dropping-particle":"","parse-names":false,"suffix":""},{"dropping-particle":"","family":"Reitsma","given":"Johannes B.","non-dropping-particle":"","parse-names":false,"suffix":""},{"dropping-particle":"","family":"Hooft","given":"Lotty","non-dropping-particle":"","parse-names":false,"suffix":""},{"dropping-particle":"","family":"Bossuyt","given":"Patrick M.M.","non-dropping-particle":"","parse-names":false,"suffix":""}],"container-title":"Cmaj","id":"ITEM-1","issue":"11","issued":{"date-parts":[["2013"]]},"page":"537-544","title":"Variation of a test's sensitivity and specificity with disease prevalence","type":"article-journal","volume":"185"},"uris":["http://www.mendeley.com/documents/?uuid=b2b38455-a78e-4b44-9911-20911e603694"]}],"mendeley":{"formattedCitation":"&lt;sup&gt;25&lt;/sup&gt;","plainTextFormattedCitation":"25","previouslyFormattedCitation":"&lt;sup&gt;25&lt;/sup&gt;"},"properties":{"noteIndex":0},"schema":"https://github.com/citation-style-language/schema/raw/master/csl-citation.json"}</w:instrText>
      </w:r>
      <w:r w:rsidR="00765010" w:rsidRPr="007A7515">
        <w:rPr>
          <w:rFonts w:asciiTheme="minorHAnsi" w:hAnsiTheme="minorHAnsi" w:cstheme="minorHAnsi"/>
          <w:sz w:val="24"/>
          <w:szCs w:val="24"/>
          <w:lang w:val="en-US"/>
        </w:rPr>
        <w:fldChar w:fldCharType="separate"/>
      </w:r>
      <w:r w:rsidR="00437A17" w:rsidRPr="00437A17">
        <w:rPr>
          <w:rFonts w:asciiTheme="minorHAnsi" w:hAnsiTheme="minorHAnsi" w:cstheme="minorHAnsi"/>
          <w:noProof/>
          <w:sz w:val="24"/>
          <w:szCs w:val="24"/>
          <w:vertAlign w:val="superscript"/>
          <w:lang w:val="en-US"/>
        </w:rPr>
        <w:t>25</w:t>
      </w:r>
      <w:r w:rsidR="00765010" w:rsidRPr="007A7515">
        <w:rPr>
          <w:rFonts w:asciiTheme="minorHAnsi" w:hAnsiTheme="minorHAnsi" w:cstheme="minorHAnsi"/>
          <w:sz w:val="24"/>
          <w:szCs w:val="24"/>
          <w:lang w:val="en-US"/>
        </w:rPr>
        <w:fldChar w:fldCharType="end"/>
      </w:r>
      <w:r w:rsidR="00590348" w:rsidRPr="007A7515">
        <w:rPr>
          <w:rFonts w:asciiTheme="minorHAnsi" w:hAnsiTheme="minorHAnsi" w:cstheme="minorHAnsi"/>
          <w:sz w:val="24"/>
          <w:szCs w:val="24"/>
          <w:lang w:val="en-US"/>
        </w:rPr>
        <w:t xml:space="preserve">. </w:t>
      </w:r>
      <w:r w:rsidR="0031664B" w:rsidRPr="007A7515">
        <w:rPr>
          <w:rFonts w:asciiTheme="minorHAnsi" w:hAnsiTheme="minorHAnsi" w:cstheme="minorHAnsi"/>
          <w:sz w:val="24"/>
          <w:szCs w:val="24"/>
          <w:lang w:val="en-US"/>
        </w:rPr>
        <w:t>Therefore, i</w:t>
      </w:r>
      <w:r w:rsidR="00590348" w:rsidRPr="007A7515">
        <w:rPr>
          <w:rFonts w:asciiTheme="minorHAnsi" w:hAnsiTheme="minorHAnsi" w:cstheme="minorHAnsi"/>
          <w:sz w:val="24"/>
          <w:szCs w:val="24"/>
          <w:lang w:val="en-US"/>
        </w:rPr>
        <w:t xml:space="preserve">t can be postulated that the diagnostic accuracy </w:t>
      </w:r>
      <w:r w:rsidRPr="007A7515">
        <w:rPr>
          <w:rFonts w:asciiTheme="minorHAnsi" w:hAnsiTheme="minorHAnsi" w:cstheme="minorHAnsi"/>
          <w:sz w:val="24"/>
          <w:szCs w:val="24"/>
          <w:lang w:val="en-US"/>
        </w:rPr>
        <w:t>of the techniques</w:t>
      </w:r>
      <w:r w:rsidR="00590348" w:rsidRPr="007A7515">
        <w:rPr>
          <w:rFonts w:asciiTheme="minorHAnsi" w:hAnsiTheme="minorHAnsi" w:cstheme="minorHAnsi"/>
          <w:sz w:val="24"/>
          <w:szCs w:val="24"/>
          <w:lang w:val="en-US"/>
        </w:rPr>
        <w:t xml:space="preserve"> would be </w:t>
      </w:r>
      <w:r w:rsidR="00590348" w:rsidRPr="007A7515">
        <w:rPr>
          <w:rFonts w:asciiTheme="minorHAnsi" w:hAnsiTheme="minorHAnsi" w:cstheme="minorHAnsi"/>
          <w:sz w:val="24"/>
          <w:szCs w:val="24"/>
          <w:lang w:val="en-US"/>
        </w:rPr>
        <w:lastRenderedPageBreak/>
        <w:t xml:space="preserve">similar, or even improved, in a screening population. However, this requires further </w:t>
      </w:r>
      <w:r w:rsidR="0031664B" w:rsidRPr="007A7515">
        <w:rPr>
          <w:rFonts w:asciiTheme="minorHAnsi" w:hAnsiTheme="minorHAnsi" w:cstheme="minorHAnsi"/>
          <w:sz w:val="24"/>
          <w:szCs w:val="24"/>
          <w:lang w:val="en-US"/>
        </w:rPr>
        <w:t xml:space="preserve">prospective </w:t>
      </w:r>
      <w:r w:rsidR="00590348" w:rsidRPr="007A7515">
        <w:rPr>
          <w:rFonts w:asciiTheme="minorHAnsi" w:hAnsiTheme="minorHAnsi" w:cstheme="minorHAnsi"/>
          <w:sz w:val="24"/>
          <w:szCs w:val="24"/>
          <w:lang w:val="en-US"/>
        </w:rPr>
        <w:t>evaluation</w:t>
      </w:r>
      <w:r w:rsidRPr="007A7515">
        <w:rPr>
          <w:rFonts w:asciiTheme="minorHAnsi" w:hAnsiTheme="minorHAnsi" w:cstheme="minorHAnsi"/>
          <w:sz w:val="24"/>
          <w:szCs w:val="24"/>
          <w:lang w:val="en-US"/>
        </w:rPr>
        <w:t xml:space="preserve"> in a screening detected cohort</w:t>
      </w:r>
      <w:r w:rsidR="00590348" w:rsidRPr="007A7515">
        <w:rPr>
          <w:rFonts w:asciiTheme="minorHAnsi" w:hAnsiTheme="minorHAnsi" w:cstheme="minorHAnsi"/>
          <w:sz w:val="24"/>
          <w:szCs w:val="24"/>
          <w:lang w:val="en-US"/>
        </w:rPr>
        <w:t>.</w:t>
      </w:r>
      <w:r w:rsidR="005D645E">
        <w:rPr>
          <w:rFonts w:asciiTheme="minorHAnsi" w:hAnsiTheme="minorHAnsi" w:cstheme="minorHAnsi"/>
          <w:sz w:val="24"/>
          <w:szCs w:val="24"/>
          <w:lang w:val="en-US"/>
        </w:rPr>
        <w:t xml:space="preserve"> </w:t>
      </w:r>
      <w:r w:rsidR="00204179">
        <w:rPr>
          <w:rFonts w:asciiTheme="minorHAnsi" w:hAnsiTheme="minorHAnsi" w:cstheme="minorHAnsi"/>
          <w:sz w:val="24"/>
          <w:szCs w:val="24"/>
          <w:lang w:val="en-US"/>
        </w:rPr>
        <w:t>The</w:t>
      </w:r>
      <w:r w:rsidR="005D645E" w:rsidRPr="005D645E">
        <w:rPr>
          <w:rFonts w:asciiTheme="minorHAnsi" w:hAnsiTheme="minorHAnsi" w:cstheme="minorHAnsi"/>
          <w:sz w:val="24"/>
          <w:szCs w:val="24"/>
          <w:lang w:val="en-US"/>
        </w:rPr>
        <w:t xml:space="preserve"> current study had a low rate of diagnosis of infectious diseases as the underlying </w:t>
      </w:r>
      <w:proofErr w:type="spellStart"/>
      <w:r w:rsidR="005D645E" w:rsidRPr="005D645E">
        <w:rPr>
          <w:rFonts w:asciiTheme="minorHAnsi" w:hAnsiTheme="minorHAnsi" w:cstheme="minorHAnsi"/>
          <w:sz w:val="24"/>
          <w:szCs w:val="24"/>
          <w:lang w:val="en-US"/>
        </w:rPr>
        <w:t>aetiology</w:t>
      </w:r>
      <w:proofErr w:type="spellEnd"/>
      <w:r w:rsidR="005D645E" w:rsidRPr="005D645E">
        <w:rPr>
          <w:rFonts w:asciiTheme="minorHAnsi" w:hAnsiTheme="minorHAnsi" w:cstheme="minorHAnsi"/>
          <w:sz w:val="24"/>
          <w:szCs w:val="24"/>
          <w:lang w:val="en-US"/>
        </w:rPr>
        <w:t xml:space="preserve"> of the nodules, thus the accuracy and thresholds may not be translatable to environments where such conditions are more endemic. </w:t>
      </w:r>
      <w:r w:rsidR="005F2E00" w:rsidRPr="007A7515">
        <w:rPr>
          <w:rFonts w:asciiTheme="minorHAnsi" w:hAnsiTheme="minorHAnsi" w:cstheme="minorHAnsi"/>
          <w:sz w:val="24"/>
          <w:szCs w:val="24"/>
          <w:lang w:val="en-US"/>
        </w:rPr>
        <w:t xml:space="preserve"> </w:t>
      </w:r>
      <w:r w:rsidR="00BB513C">
        <w:rPr>
          <w:rFonts w:asciiTheme="minorHAnsi" w:hAnsiTheme="minorHAnsi" w:cstheme="minorHAnsi"/>
          <w:sz w:val="24"/>
          <w:szCs w:val="24"/>
          <w:lang w:val="en-US"/>
        </w:rPr>
        <w:t xml:space="preserve">Finally, only solid or part solid nodules were included in the current study where the solid component was sufficient to allow for PET and DCECT quantification. As a </w:t>
      </w:r>
      <w:proofErr w:type="gramStart"/>
      <w:r w:rsidR="00BB513C">
        <w:rPr>
          <w:rFonts w:asciiTheme="minorHAnsi" w:hAnsiTheme="minorHAnsi" w:cstheme="minorHAnsi"/>
          <w:sz w:val="24"/>
          <w:szCs w:val="24"/>
          <w:lang w:val="en-US"/>
        </w:rPr>
        <w:t>result</w:t>
      </w:r>
      <w:proofErr w:type="gramEnd"/>
      <w:r w:rsidR="00BB513C">
        <w:rPr>
          <w:rFonts w:asciiTheme="minorHAnsi" w:hAnsiTheme="minorHAnsi" w:cstheme="minorHAnsi"/>
          <w:sz w:val="24"/>
          <w:szCs w:val="24"/>
          <w:lang w:val="en-US"/>
        </w:rPr>
        <w:t xml:space="preserve"> the findings cannot be extrapolated to ground glass nodules nor part-solid nodules with minimal solid component. </w:t>
      </w:r>
    </w:p>
    <w:p w14:paraId="1EAD4AE1" w14:textId="77777777" w:rsidR="00590348" w:rsidRPr="007A7515" w:rsidRDefault="00590348" w:rsidP="0089693A">
      <w:pPr>
        <w:spacing w:line="360" w:lineRule="auto"/>
        <w:rPr>
          <w:rFonts w:asciiTheme="minorHAnsi" w:hAnsiTheme="minorHAnsi" w:cstheme="minorHAnsi"/>
          <w:sz w:val="24"/>
          <w:szCs w:val="24"/>
        </w:rPr>
      </w:pPr>
    </w:p>
    <w:p w14:paraId="39927CC4" w14:textId="5D32E697" w:rsidR="000011C1" w:rsidRPr="007A7515" w:rsidRDefault="0053128F" w:rsidP="005F2E00">
      <w:pPr>
        <w:spacing w:line="360" w:lineRule="auto"/>
        <w:rPr>
          <w:rFonts w:asciiTheme="minorHAnsi" w:hAnsiTheme="minorHAnsi" w:cstheme="minorHAnsi"/>
          <w:sz w:val="24"/>
          <w:szCs w:val="24"/>
          <w:lang w:val="en-US"/>
        </w:rPr>
      </w:pPr>
      <w:r w:rsidRPr="007A7515">
        <w:rPr>
          <w:rFonts w:asciiTheme="minorHAnsi" w:hAnsiTheme="minorHAnsi" w:cstheme="minorHAnsi"/>
          <w:sz w:val="24"/>
          <w:szCs w:val="24"/>
        </w:rPr>
        <w:t>In conclusion, w</w:t>
      </w:r>
      <w:r w:rsidR="005F2E00" w:rsidRPr="007A7515">
        <w:rPr>
          <w:rFonts w:asciiTheme="minorHAnsi" w:hAnsiTheme="minorHAnsi" w:cstheme="minorHAnsi"/>
          <w:sz w:val="24"/>
          <w:szCs w:val="24"/>
        </w:rPr>
        <w:t>hile DCE-CT is more sensitive,</w:t>
      </w:r>
      <w:r w:rsidR="0071513F" w:rsidRPr="007A7515">
        <w:rPr>
          <w:rFonts w:asciiTheme="minorHAnsi" w:hAnsiTheme="minorHAnsi" w:cstheme="minorHAnsi"/>
          <w:sz w:val="24"/>
          <w:szCs w:val="24"/>
        </w:rPr>
        <w:t xml:space="preserve"> PET/CT </w:t>
      </w:r>
      <w:r w:rsidR="005F2E00" w:rsidRPr="007A7515">
        <w:rPr>
          <w:rFonts w:asciiTheme="minorHAnsi" w:hAnsiTheme="minorHAnsi" w:cstheme="minorHAnsi"/>
          <w:sz w:val="24"/>
          <w:szCs w:val="24"/>
        </w:rPr>
        <w:t xml:space="preserve">has significantly higher overall accuracy for the characterisation of solitary pulmonary nodules. Combining the metabolic and perfusion data from the two techniques may be more accurate </w:t>
      </w:r>
      <w:r w:rsidR="00973656" w:rsidRPr="007A7515">
        <w:rPr>
          <w:rFonts w:asciiTheme="minorHAnsi" w:hAnsiTheme="minorHAnsi" w:cstheme="minorHAnsi"/>
          <w:sz w:val="24"/>
          <w:szCs w:val="24"/>
        </w:rPr>
        <w:t>still</w:t>
      </w:r>
      <w:r w:rsidR="00973656">
        <w:rPr>
          <w:rFonts w:asciiTheme="minorHAnsi" w:hAnsiTheme="minorHAnsi" w:cstheme="minorHAnsi"/>
          <w:sz w:val="24"/>
          <w:szCs w:val="24"/>
        </w:rPr>
        <w:t xml:space="preserve"> and</w:t>
      </w:r>
      <w:r w:rsidR="00D12FD2" w:rsidRPr="007A7515">
        <w:rPr>
          <w:rFonts w:asciiTheme="minorHAnsi" w:hAnsiTheme="minorHAnsi" w:cstheme="minorHAnsi"/>
          <w:sz w:val="24"/>
          <w:szCs w:val="24"/>
        </w:rPr>
        <w:t xml:space="preserve"> could be cost-effective</w:t>
      </w:r>
      <w:r w:rsidR="005F2E00" w:rsidRPr="007A7515">
        <w:rPr>
          <w:rFonts w:asciiTheme="minorHAnsi" w:hAnsiTheme="minorHAnsi" w:cstheme="minorHAnsi"/>
          <w:sz w:val="24"/>
          <w:szCs w:val="24"/>
        </w:rPr>
        <w:t xml:space="preserve">. </w:t>
      </w:r>
      <w:bookmarkStart w:id="16" w:name="_Toc403122012"/>
      <w:bookmarkEnd w:id="11"/>
    </w:p>
    <w:p w14:paraId="75ED8B55" w14:textId="77777777" w:rsidR="004853F3" w:rsidRPr="007A7515" w:rsidRDefault="004853F3" w:rsidP="004853F3">
      <w:pPr>
        <w:rPr>
          <w:rFonts w:asciiTheme="minorHAnsi" w:hAnsiTheme="minorHAnsi" w:cstheme="minorHAnsi"/>
          <w:sz w:val="24"/>
          <w:szCs w:val="24"/>
          <w:lang w:eastAsia="en-GB"/>
        </w:rPr>
      </w:pPr>
    </w:p>
    <w:p w14:paraId="4935718D" w14:textId="0B1CC79B" w:rsidR="007A1480" w:rsidRPr="007A7515" w:rsidRDefault="007A1480" w:rsidP="007A1480">
      <w:pPr>
        <w:pStyle w:val="Heading1"/>
        <w:numPr>
          <w:ilvl w:val="0"/>
          <w:numId w:val="0"/>
        </w:numPr>
        <w:rPr>
          <w:rFonts w:asciiTheme="minorHAnsi" w:hAnsiTheme="minorHAnsi" w:cstheme="minorHAnsi"/>
          <w:sz w:val="24"/>
          <w:szCs w:val="24"/>
        </w:rPr>
      </w:pPr>
      <w:r w:rsidRPr="007A7515">
        <w:rPr>
          <w:rFonts w:asciiTheme="minorHAnsi" w:hAnsiTheme="minorHAnsi" w:cstheme="minorHAnsi"/>
          <w:sz w:val="24"/>
          <w:szCs w:val="24"/>
        </w:rPr>
        <w:br w:type="page"/>
      </w:r>
    </w:p>
    <w:p w14:paraId="4B423AAD" w14:textId="19B7B231" w:rsidR="002402B4" w:rsidRPr="007A7515" w:rsidRDefault="002402B4" w:rsidP="00902207">
      <w:pPr>
        <w:pStyle w:val="Heading1"/>
        <w:numPr>
          <w:ilvl w:val="0"/>
          <w:numId w:val="0"/>
        </w:numPr>
        <w:ind w:left="432" w:hanging="432"/>
        <w:rPr>
          <w:rFonts w:asciiTheme="minorHAnsi" w:hAnsiTheme="minorHAnsi" w:cstheme="minorHAnsi"/>
          <w:sz w:val="24"/>
          <w:szCs w:val="24"/>
          <w:lang w:eastAsia="en-GB"/>
        </w:rPr>
      </w:pPr>
      <w:bookmarkStart w:id="17" w:name="_Toc26861721"/>
      <w:bookmarkEnd w:id="16"/>
      <w:r w:rsidRPr="007A7515">
        <w:rPr>
          <w:rFonts w:asciiTheme="minorHAnsi" w:hAnsiTheme="minorHAnsi" w:cstheme="minorHAnsi"/>
          <w:sz w:val="24"/>
          <w:szCs w:val="24"/>
          <w:lang w:eastAsia="en-GB"/>
        </w:rPr>
        <w:lastRenderedPageBreak/>
        <w:t>Acknowledgements</w:t>
      </w:r>
      <w:bookmarkEnd w:id="17"/>
    </w:p>
    <w:p w14:paraId="01727FBF" w14:textId="77777777" w:rsidR="00EF057B" w:rsidRPr="007A7515" w:rsidRDefault="00EF057B" w:rsidP="00EF057B">
      <w:pPr>
        <w:pStyle w:val="NoSpacing"/>
        <w:rPr>
          <w:rFonts w:asciiTheme="minorHAnsi" w:hAnsiTheme="minorHAnsi" w:cstheme="minorHAnsi"/>
          <w:szCs w:val="24"/>
        </w:rPr>
      </w:pPr>
      <w:r w:rsidRPr="007A7515">
        <w:rPr>
          <w:rFonts w:asciiTheme="minorHAnsi" w:hAnsiTheme="minorHAnsi" w:cstheme="minorHAnsi"/>
          <w:szCs w:val="24"/>
        </w:rPr>
        <w:t xml:space="preserve">The trial is funded by the NIHR HTA Programme (grant no: 09/22/117) and is being run </w:t>
      </w:r>
    </w:p>
    <w:p w14:paraId="08ABBE06" w14:textId="3D104083" w:rsidR="00132B1A" w:rsidRPr="007A7515" w:rsidRDefault="00EF057B" w:rsidP="00132B1A">
      <w:pPr>
        <w:pStyle w:val="NoSpacing"/>
        <w:rPr>
          <w:rFonts w:asciiTheme="minorHAnsi" w:hAnsiTheme="minorHAnsi" w:cstheme="minorHAnsi"/>
          <w:szCs w:val="24"/>
        </w:rPr>
      </w:pPr>
      <w:r w:rsidRPr="007A7515">
        <w:rPr>
          <w:rFonts w:asciiTheme="minorHAnsi" w:hAnsiTheme="minorHAnsi" w:cstheme="minorHAnsi"/>
          <w:szCs w:val="24"/>
        </w:rPr>
        <w:t xml:space="preserve">by Southampton Clinical Trials Unit </w:t>
      </w:r>
      <w:r w:rsidR="00976B5A">
        <w:rPr>
          <w:rFonts w:asciiTheme="minorHAnsi" w:hAnsiTheme="minorHAnsi" w:cstheme="minorHAnsi"/>
          <w:szCs w:val="24"/>
        </w:rPr>
        <w:t>who are</w:t>
      </w:r>
      <w:r w:rsidRPr="007A7515">
        <w:rPr>
          <w:rFonts w:asciiTheme="minorHAnsi" w:hAnsiTheme="minorHAnsi" w:cstheme="minorHAnsi"/>
          <w:szCs w:val="24"/>
        </w:rPr>
        <w:t xml:space="preserve"> part funded by CRUK.  </w:t>
      </w:r>
      <w:r w:rsidR="00132B1A" w:rsidRPr="007A7515">
        <w:rPr>
          <w:rFonts w:asciiTheme="minorHAnsi" w:hAnsiTheme="minorHAnsi" w:cstheme="minorHAnsi"/>
          <w:szCs w:val="24"/>
          <w:lang w:eastAsia="en-GB"/>
        </w:rPr>
        <w:t xml:space="preserve">AJC, VB and JEH are part-funded by the National Institute for Health Research Applied Research Collaboration North West Coast (NIHR ARC NWC). FJG is an NIHR Senior Investigator. </w:t>
      </w:r>
      <w:r w:rsidR="00132B1A" w:rsidRPr="007A7515">
        <w:rPr>
          <w:rFonts w:asciiTheme="minorHAnsi" w:hAnsiTheme="minorHAnsi" w:cstheme="minorHAnsi"/>
          <w:szCs w:val="24"/>
        </w:rPr>
        <w:t>RCR is part funded by the Cambridge Biomedical Research Centre, Cancer Research UK Cambridge Centre and the Cancer Research Network: Eastern.  NRQ is part funded by the Cambridge Biomedical Research Centre</w:t>
      </w:r>
      <w:r w:rsidR="00427C66" w:rsidRPr="007A7515">
        <w:rPr>
          <w:rFonts w:asciiTheme="minorHAnsi" w:hAnsiTheme="minorHAnsi" w:cstheme="minorHAnsi"/>
          <w:szCs w:val="24"/>
        </w:rPr>
        <w:t xml:space="preserve">. </w:t>
      </w:r>
      <w:r w:rsidR="00132B1A" w:rsidRPr="007A7515">
        <w:rPr>
          <w:rFonts w:asciiTheme="minorHAnsi" w:hAnsiTheme="minorHAnsi" w:cstheme="minorHAnsi"/>
          <w:szCs w:val="24"/>
        </w:rPr>
        <w:t xml:space="preserve"> </w:t>
      </w:r>
      <w:r w:rsidR="00976B5A">
        <w:rPr>
          <w:rFonts w:asciiTheme="minorHAnsi" w:hAnsiTheme="minorHAnsi" w:cstheme="minorHAnsi"/>
          <w:szCs w:val="24"/>
        </w:rPr>
        <w:t>P</w:t>
      </w:r>
      <w:r w:rsidR="00976B5A" w:rsidRPr="002B7EB2">
        <w:rPr>
          <w:rFonts w:asciiTheme="minorHAnsi" w:hAnsiTheme="minorHAnsi" w:cstheme="minorHAnsi"/>
          <w:szCs w:val="24"/>
        </w:rPr>
        <w:t xml:space="preserve">art of the current works was performed at </w:t>
      </w:r>
      <w:r w:rsidR="00976B5A">
        <w:rPr>
          <w:rFonts w:asciiTheme="minorHAnsi" w:hAnsiTheme="minorHAnsi" w:cstheme="minorHAnsi"/>
          <w:szCs w:val="24"/>
        </w:rPr>
        <w:t>Cambridge</w:t>
      </w:r>
      <w:r w:rsidR="00976B5A" w:rsidRPr="002B7EB2">
        <w:rPr>
          <w:rFonts w:asciiTheme="minorHAnsi" w:hAnsiTheme="minorHAnsi" w:cstheme="minorHAnsi"/>
          <w:szCs w:val="24"/>
        </w:rPr>
        <w:t xml:space="preserve"> which receives a portion of its funding form the UK's NIHR Biomedical Centre funding scheme</w:t>
      </w:r>
      <w:r w:rsidR="00976B5A">
        <w:rPr>
          <w:rFonts w:asciiTheme="minorHAnsi" w:hAnsiTheme="minorHAnsi" w:cstheme="minorHAnsi"/>
          <w:szCs w:val="24"/>
        </w:rPr>
        <w:t>.</w:t>
      </w:r>
      <w:r w:rsidR="00976B5A" w:rsidRPr="002B7EB2">
        <w:rPr>
          <w:rFonts w:asciiTheme="minorHAnsi" w:hAnsiTheme="minorHAnsi" w:cstheme="minorHAnsi"/>
          <w:szCs w:val="24"/>
        </w:rPr>
        <w:t xml:space="preserve"> </w:t>
      </w:r>
      <w:r w:rsidR="002B7EB2">
        <w:rPr>
          <w:rFonts w:asciiTheme="minorHAnsi" w:hAnsiTheme="minorHAnsi" w:cstheme="minorHAnsi"/>
          <w:szCs w:val="24"/>
        </w:rPr>
        <w:t>P</w:t>
      </w:r>
      <w:r w:rsidR="002B7EB2" w:rsidRPr="002B7EB2">
        <w:rPr>
          <w:rFonts w:asciiTheme="minorHAnsi" w:hAnsiTheme="minorHAnsi" w:cstheme="minorHAnsi"/>
          <w:szCs w:val="24"/>
        </w:rPr>
        <w:t>art of the current works was performed at UCL/H which receives a portion of its funding form the UK's NIHR Biomedical Centre funding scheme</w:t>
      </w:r>
      <w:r w:rsidR="002B7EB2">
        <w:rPr>
          <w:rFonts w:asciiTheme="minorHAnsi" w:hAnsiTheme="minorHAnsi" w:cstheme="minorHAnsi"/>
          <w:szCs w:val="24"/>
        </w:rPr>
        <w:t>.</w:t>
      </w:r>
      <w:r w:rsidR="002B7EB2" w:rsidRPr="002B7EB2">
        <w:rPr>
          <w:rFonts w:asciiTheme="minorHAnsi" w:hAnsiTheme="minorHAnsi" w:cstheme="minorHAnsi"/>
          <w:szCs w:val="24"/>
        </w:rPr>
        <w:t xml:space="preserve"> </w:t>
      </w:r>
      <w:r w:rsidR="00132B1A" w:rsidRPr="007A7515">
        <w:rPr>
          <w:rFonts w:asciiTheme="minorHAnsi" w:hAnsiTheme="minorHAnsi" w:cstheme="minorHAnsi"/>
          <w:szCs w:val="24"/>
          <w:lang w:eastAsia="en-GB"/>
        </w:rPr>
        <w:t>The views expressed are those of the author(s) and not necessarily those of the NIHR or the Department of Health and Social Care</w:t>
      </w:r>
      <w:r w:rsidR="00976B5A">
        <w:rPr>
          <w:rFonts w:asciiTheme="minorHAnsi" w:hAnsiTheme="minorHAnsi" w:cstheme="minorHAnsi"/>
          <w:szCs w:val="24"/>
          <w:lang w:eastAsia="en-GB"/>
        </w:rPr>
        <w:t>.</w:t>
      </w:r>
    </w:p>
    <w:p w14:paraId="1623054A" w14:textId="77777777" w:rsidR="00132B1A" w:rsidRPr="007A7515" w:rsidRDefault="00132B1A" w:rsidP="00EF057B">
      <w:pPr>
        <w:pStyle w:val="NoSpacing"/>
        <w:rPr>
          <w:rFonts w:asciiTheme="minorHAnsi" w:hAnsiTheme="minorHAnsi" w:cstheme="minorHAnsi"/>
          <w:szCs w:val="24"/>
        </w:rPr>
      </w:pPr>
    </w:p>
    <w:p w14:paraId="7E211327" w14:textId="2287BAFD" w:rsidR="00C8382E" w:rsidRPr="00F1527D" w:rsidRDefault="00F1527D" w:rsidP="00EF057B">
      <w:pPr>
        <w:pStyle w:val="NoSpacing"/>
        <w:rPr>
          <w:rFonts w:asciiTheme="minorHAnsi" w:hAnsiTheme="minorHAnsi" w:cstheme="minorHAnsi"/>
          <w:b/>
          <w:bCs/>
          <w:szCs w:val="24"/>
        </w:rPr>
      </w:pPr>
      <w:r w:rsidRPr="00F1527D">
        <w:rPr>
          <w:rFonts w:asciiTheme="minorHAnsi" w:hAnsiTheme="minorHAnsi" w:cstheme="minorHAnsi"/>
          <w:b/>
          <w:bCs/>
          <w:szCs w:val="24"/>
        </w:rPr>
        <w:t>SPUTNIK INVESTIGATORS</w:t>
      </w:r>
    </w:p>
    <w:p w14:paraId="4B06182B" w14:textId="4D08A4B9" w:rsidR="00712CE4" w:rsidRPr="007A7515" w:rsidRDefault="00712CE4" w:rsidP="00EF057B">
      <w:pPr>
        <w:pStyle w:val="NoSpacing"/>
        <w:rPr>
          <w:rFonts w:asciiTheme="minorHAnsi" w:hAnsiTheme="minorHAnsi" w:cstheme="minorHAnsi"/>
          <w:b/>
          <w:szCs w:val="24"/>
        </w:rPr>
      </w:pPr>
      <w:r w:rsidRPr="007A7515">
        <w:rPr>
          <w:rFonts w:asciiTheme="minorHAnsi" w:hAnsiTheme="minorHAnsi" w:cstheme="minorHAnsi"/>
          <w:b/>
          <w:szCs w:val="24"/>
        </w:rPr>
        <w:t>Trial Steering Committee members</w:t>
      </w:r>
    </w:p>
    <w:p w14:paraId="5FA41EA7" w14:textId="0621C1C6" w:rsidR="00712CE4" w:rsidRPr="007A7515" w:rsidRDefault="00712CE4" w:rsidP="00EF057B">
      <w:pPr>
        <w:pStyle w:val="NoSpacing"/>
        <w:rPr>
          <w:rFonts w:asciiTheme="minorHAnsi" w:hAnsiTheme="minorHAnsi" w:cstheme="minorHAnsi"/>
          <w:szCs w:val="24"/>
        </w:rPr>
      </w:pPr>
      <w:r w:rsidRPr="007A7515">
        <w:rPr>
          <w:rFonts w:asciiTheme="minorHAnsi" w:hAnsiTheme="minorHAnsi" w:cstheme="minorHAnsi"/>
          <w:szCs w:val="24"/>
        </w:rPr>
        <w:t>Dr Toby Maher (</w:t>
      </w:r>
      <w:sdt>
        <w:sdtPr>
          <w:rPr>
            <w:rFonts w:asciiTheme="minorHAnsi" w:hAnsiTheme="minorHAnsi" w:cstheme="minorHAnsi"/>
            <w:noProof/>
            <w:szCs w:val="24"/>
            <w:lang w:val="en-US"/>
          </w:rPr>
          <w:id w:val="-73356819"/>
        </w:sdtPr>
        <w:sdtEndPr/>
        <w:sdtContent>
          <w:r w:rsidR="00130351" w:rsidRPr="007A7515">
            <w:rPr>
              <w:rFonts w:asciiTheme="minorHAnsi" w:hAnsiTheme="minorHAnsi" w:cstheme="minorHAnsi"/>
              <w:noProof/>
              <w:szCs w:val="24"/>
              <w:lang w:val="en-US"/>
            </w:rPr>
            <w:t>Consultant Respiratory Physician</w:t>
          </w:r>
        </w:sdtContent>
      </w:sdt>
      <w:r w:rsidR="00130351" w:rsidRPr="007A7515">
        <w:rPr>
          <w:rFonts w:asciiTheme="minorHAnsi" w:hAnsiTheme="minorHAnsi" w:cstheme="minorHAnsi"/>
          <w:szCs w:val="24"/>
        </w:rPr>
        <w:t>, C</w:t>
      </w:r>
      <w:r w:rsidRPr="007A7515">
        <w:rPr>
          <w:rFonts w:asciiTheme="minorHAnsi" w:hAnsiTheme="minorHAnsi" w:cstheme="minorHAnsi"/>
          <w:szCs w:val="24"/>
        </w:rPr>
        <w:t>hair)</w:t>
      </w:r>
    </w:p>
    <w:p w14:paraId="104F7B6D" w14:textId="78FB1B3C" w:rsidR="00712CE4" w:rsidRPr="007A7515" w:rsidRDefault="00712CE4" w:rsidP="00EF057B">
      <w:pPr>
        <w:pStyle w:val="NoSpacing"/>
        <w:rPr>
          <w:rFonts w:asciiTheme="minorHAnsi" w:hAnsiTheme="minorHAnsi" w:cstheme="minorHAnsi"/>
          <w:noProof/>
          <w:szCs w:val="24"/>
          <w:lang w:val="en-US"/>
        </w:rPr>
      </w:pPr>
      <w:r w:rsidRPr="007A7515">
        <w:rPr>
          <w:rFonts w:asciiTheme="minorHAnsi" w:hAnsiTheme="minorHAnsi" w:cstheme="minorHAnsi"/>
          <w:szCs w:val="24"/>
        </w:rPr>
        <w:t>Dr Simon Padley (</w:t>
      </w:r>
      <w:sdt>
        <w:sdtPr>
          <w:rPr>
            <w:rFonts w:asciiTheme="minorHAnsi" w:hAnsiTheme="minorHAnsi" w:cstheme="minorHAnsi"/>
            <w:noProof/>
            <w:szCs w:val="24"/>
            <w:lang w:val="en-US"/>
          </w:rPr>
          <w:id w:val="-833220276"/>
        </w:sdtPr>
        <w:sdtEndPr/>
        <w:sdtContent>
          <w:r w:rsidR="00130351" w:rsidRPr="007A7515">
            <w:rPr>
              <w:rFonts w:asciiTheme="minorHAnsi" w:hAnsiTheme="minorHAnsi" w:cstheme="minorHAnsi"/>
              <w:noProof/>
              <w:szCs w:val="24"/>
              <w:lang w:val="en-US"/>
            </w:rPr>
            <w:t>Consultant Radiologist</w:t>
          </w:r>
        </w:sdtContent>
      </w:sdt>
      <w:r w:rsidR="00130351" w:rsidRPr="007A7515">
        <w:rPr>
          <w:rFonts w:asciiTheme="minorHAnsi" w:hAnsiTheme="minorHAnsi" w:cstheme="minorHAnsi"/>
          <w:noProof/>
          <w:szCs w:val="24"/>
          <w:lang w:val="en-US"/>
        </w:rPr>
        <w:t>)</w:t>
      </w:r>
    </w:p>
    <w:p w14:paraId="5450C97A" w14:textId="1738C3FB" w:rsidR="00130351" w:rsidRPr="007A7515" w:rsidRDefault="00130351" w:rsidP="00EF057B">
      <w:pPr>
        <w:pStyle w:val="NoSpacing"/>
        <w:rPr>
          <w:rFonts w:asciiTheme="minorHAnsi" w:hAnsiTheme="minorHAnsi" w:cstheme="minorHAnsi"/>
          <w:noProof/>
          <w:szCs w:val="24"/>
          <w:lang w:val="en-US"/>
        </w:rPr>
      </w:pPr>
      <w:r w:rsidRPr="007A7515">
        <w:rPr>
          <w:rFonts w:asciiTheme="minorHAnsi" w:hAnsiTheme="minorHAnsi" w:cstheme="minorHAnsi"/>
          <w:noProof/>
          <w:szCs w:val="24"/>
          <w:lang w:val="en-US"/>
        </w:rPr>
        <w:t xml:space="preserve">Professor Jannet Dunn (Statistician) </w:t>
      </w:r>
    </w:p>
    <w:p w14:paraId="77C34268" w14:textId="684E0CC1" w:rsidR="00130351" w:rsidRPr="007A7515" w:rsidRDefault="00130351" w:rsidP="00EF057B">
      <w:pPr>
        <w:pStyle w:val="NoSpacing"/>
        <w:rPr>
          <w:rFonts w:asciiTheme="minorHAnsi" w:hAnsiTheme="minorHAnsi" w:cstheme="minorHAnsi"/>
          <w:noProof/>
          <w:szCs w:val="24"/>
          <w:lang w:val="en-US"/>
        </w:rPr>
      </w:pPr>
      <w:r w:rsidRPr="007A7515">
        <w:rPr>
          <w:rFonts w:asciiTheme="minorHAnsi" w:hAnsiTheme="minorHAnsi" w:cstheme="minorHAnsi"/>
          <w:noProof/>
          <w:szCs w:val="24"/>
          <w:lang w:val="en-US"/>
        </w:rPr>
        <w:t>Lisa Lamond (PPI member)</w:t>
      </w:r>
    </w:p>
    <w:p w14:paraId="6E37B03C" w14:textId="6F4FA8EB" w:rsidR="00130351" w:rsidRDefault="00130351" w:rsidP="00EF057B">
      <w:pPr>
        <w:pStyle w:val="NoSpacing"/>
        <w:rPr>
          <w:rFonts w:asciiTheme="minorHAnsi" w:hAnsiTheme="minorHAnsi" w:cstheme="minorHAnsi"/>
          <w:szCs w:val="24"/>
        </w:rPr>
      </w:pPr>
      <w:r w:rsidRPr="007A7515">
        <w:rPr>
          <w:rFonts w:asciiTheme="minorHAnsi" w:hAnsiTheme="minorHAnsi" w:cstheme="minorHAnsi"/>
          <w:szCs w:val="24"/>
        </w:rPr>
        <w:t xml:space="preserve">Professor Stephen Duffy (Statistician) </w:t>
      </w:r>
    </w:p>
    <w:p w14:paraId="5E103A41" w14:textId="5F10D43B" w:rsidR="00A50846" w:rsidRDefault="00A50846" w:rsidP="00EF057B">
      <w:pPr>
        <w:pStyle w:val="NoSpacing"/>
        <w:rPr>
          <w:rFonts w:asciiTheme="minorHAnsi" w:hAnsiTheme="minorHAnsi" w:cstheme="minorHAnsi"/>
          <w:szCs w:val="24"/>
        </w:rPr>
      </w:pPr>
    </w:p>
    <w:p w14:paraId="23AAC4EF" w14:textId="12B9C26E" w:rsidR="00A50846" w:rsidRDefault="00A50846" w:rsidP="00EF057B">
      <w:pPr>
        <w:pStyle w:val="NoSpacing"/>
        <w:rPr>
          <w:rFonts w:asciiTheme="minorHAnsi" w:hAnsiTheme="minorHAnsi" w:cstheme="minorHAnsi"/>
          <w:szCs w:val="24"/>
        </w:rPr>
      </w:pPr>
      <w:r>
        <w:rPr>
          <w:rFonts w:asciiTheme="minorHAnsi" w:hAnsiTheme="minorHAnsi" w:cstheme="minorHAnsi"/>
          <w:szCs w:val="24"/>
        </w:rPr>
        <w:t>Data Monitoring and Ethics Committee</w:t>
      </w:r>
    </w:p>
    <w:p w14:paraId="7B64B6EC" w14:textId="46C8DA6F" w:rsidR="00A50846" w:rsidRDefault="00A50846" w:rsidP="00EF057B">
      <w:pPr>
        <w:pStyle w:val="NoSpacing"/>
        <w:rPr>
          <w:rFonts w:asciiTheme="minorHAnsi" w:hAnsiTheme="minorHAnsi" w:cstheme="minorHAnsi"/>
          <w:szCs w:val="24"/>
        </w:rPr>
      </w:pPr>
      <w:r>
        <w:rPr>
          <w:rFonts w:asciiTheme="minorHAnsi" w:hAnsiTheme="minorHAnsi" w:cstheme="minorHAnsi"/>
          <w:szCs w:val="24"/>
        </w:rPr>
        <w:t xml:space="preserve">Mr Seth </w:t>
      </w:r>
      <w:proofErr w:type="spellStart"/>
      <w:r>
        <w:rPr>
          <w:rFonts w:asciiTheme="minorHAnsi" w:hAnsiTheme="minorHAnsi" w:cstheme="minorHAnsi"/>
          <w:szCs w:val="24"/>
        </w:rPr>
        <w:t>Seegobin</w:t>
      </w:r>
      <w:proofErr w:type="spellEnd"/>
      <w:r>
        <w:rPr>
          <w:rFonts w:asciiTheme="minorHAnsi" w:hAnsiTheme="minorHAnsi" w:cstheme="minorHAnsi"/>
          <w:szCs w:val="24"/>
        </w:rPr>
        <w:t xml:space="preserve"> </w:t>
      </w:r>
      <w:r w:rsidRPr="007A7515">
        <w:rPr>
          <w:rFonts w:asciiTheme="minorHAnsi" w:hAnsiTheme="minorHAnsi" w:cstheme="minorHAnsi"/>
          <w:noProof/>
          <w:szCs w:val="24"/>
          <w:lang w:val="en-US"/>
        </w:rPr>
        <w:t>(Statistician)</w:t>
      </w:r>
    </w:p>
    <w:p w14:paraId="32EF8628" w14:textId="2C4CDAB5" w:rsidR="00A50846" w:rsidRDefault="00A50846" w:rsidP="00EF057B">
      <w:pPr>
        <w:pStyle w:val="NoSpacing"/>
        <w:rPr>
          <w:rFonts w:asciiTheme="minorHAnsi" w:hAnsiTheme="minorHAnsi" w:cstheme="minorHAnsi"/>
          <w:szCs w:val="24"/>
        </w:rPr>
      </w:pPr>
      <w:r w:rsidRPr="007A7515">
        <w:rPr>
          <w:rFonts w:asciiTheme="minorHAnsi" w:hAnsiTheme="minorHAnsi" w:cstheme="minorHAnsi"/>
          <w:noProof/>
          <w:szCs w:val="24"/>
          <w:lang w:val="en-US"/>
        </w:rPr>
        <w:t xml:space="preserve">Professor </w:t>
      </w:r>
      <w:r>
        <w:rPr>
          <w:rFonts w:asciiTheme="minorHAnsi" w:hAnsiTheme="minorHAnsi" w:cstheme="minorHAnsi"/>
          <w:szCs w:val="24"/>
        </w:rPr>
        <w:t>Willie Hamilton (</w:t>
      </w:r>
      <w:r w:rsidRPr="00A50846">
        <w:rPr>
          <w:rFonts w:asciiTheme="minorHAnsi" w:hAnsiTheme="minorHAnsi" w:cstheme="minorHAnsi"/>
          <w:szCs w:val="24"/>
        </w:rPr>
        <w:t>Profes</w:t>
      </w:r>
      <w:r>
        <w:rPr>
          <w:rFonts w:asciiTheme="minorHAnsi" w:hAnsiTheme="minorHAnsi" w:cstheme="minorHAnsi"/>
          <w:szCs w:val="24"/>
        </w:rPr>
        <w:t>sor of Primary Care Diagnostics)</w:t>
      </w:r>
    </w:p>
    <w:p w14:paraId="00F133AC" w14:textId="33725D4A" w:rsidR="00A50846" w:rsidRPr="007A7515" w:rsidRDefault="00A50846" w:rsidP="00EF057B">
      <w:pPr>
        <w:pStyle w:val="NoSpacing"/>
        <w:rPr>
          <w:rFonts w:asciiTheme="minorHAnsi" w:hAnsiTheme="minorHAnsi" w:cstheme="minorHAnsi"/>
          <w:szCs w:val="24"/>
        </w:rPr>
      </w:pPr>
      <w:r w:rsidRPr="007A7515">
        <w:rPr>
          <w:rFonts w:asciiTheme="minorHAnsi" w:hAnsiTheme="minorHAnsi" w:cstheme="minorHAnsi"/>
          <w:noProof/>
          <w:szCs w:val="24"/>
          <w:lang w:val="en-US"/>
        </w:rPr>
        <w:t xml:space="preserve">Professor </w:t>
      </w:r>
      <w:r>
        <w:rPr>
          <w:rFonts w:asciiTheme="minorHAnsi" w:hAnsiTheme="minorHAnsi" w:cstheme="minorHAnsi"/>
          <w:szCs w:val="24"/>
        </w:rPr>
        <w:t xml:space="preserve">Vicky Goh </w:t>
      </w:r>
      <w:r w:rsidRPr="007A7515">
        <w:rPr>
          <w:rFonts w:asciiTheme="minorHAnsi" w:hAnsiTheme="minorHAnsi" w:cstheme="minorHAnsi"/>
          <w:szCs w:val="24"/>
        </w:rPr>
        <w:t>(</w:t>
      </w:r>
      <w:sdt>
        <w:sdtPr>
          <w:rPr>
            <w:rFonts w:asciiTheme="minorHAnsi" w:hAnsiTheme="minorHAnsi" w:cstheme="minorHAnsi"/>
            <w:noProof/>
            <w:szCs w:val="24"/>
            <w:lang w:val="en-US"/>
          </w:rPr>
          <w:id w:val="-1366749182"/>
        </w:sdtPr>
        <w:sdtEndPr/>
        <w:sdtContent>
          <w:r w:rsidRPr="007A7515">
            <w:rPr>
              <w:rFonts w:asciiTheme="minorHAnsi" w:hAnsiTheme="minorHAnsi" w:cstheme="minorHAnsi"/>
              <w:noProof/>
              <w:szCs w:val="24"/>
              <w:lang w:val="en-US"/>
            </w:rPr>
            <w:t>Consultant Radiologist</w:t>
          </w:r>
        </w:sdtContent>
      </w:sdt>
      <w:r w:rsidRPr="007A7515">
        <w:rPr>
          <w:rFonts w:asciiTheme="minorHAnsi" w:hAnsiTheme="minorHAnsi" w:cstheme="minorHAnsi"/>
          <w:noProof/>
          <w:szCs w:val="24"/>
          <w:lang w:val="en-US"/>
        </w:rPr>
        <w:t>)</w:t>
      </w:r>
    </w:p>
    <w:p w14:paraId="6DE53381" w14:textId="77777777" w:rsidR="00712CE4" w:rsidRPr="007A7515" w:rsidRDefault="00712CE4" w:rsidP="00EF057B">
      <w:pPr>
        <w:pStyle w:val="NoSpacing"/>
        <w:rPr>
          <w:rFonts w:asciiTheme="minorHAnsi" w:hAnsiTheme="minorHAnsi" w:cstheme="minorHAnsi"/>
          <w:szCs w:val="24"/>
        </w:rPr>
      </w:pPr>
    </w:p>
    <w:p w14:paraId="344CD8E7" w14:textId="5164CEE1" w:rsidR="007E25F8" w:rsidRPr="007A7515" w:rsidRDefault="00EF057B" w:rsidP="007E25F8">
      <w:pPr>
        <w:pStyle w:val="NoSpacing"/>
        <w:rPr>
          <w:rFonts w:asciiTheme="minorHAnsi" w:hAnsiTheme="minorHAnsi" w:cstheme="minorHAnsi"/>
          <w:b/>
          <w:szCs w:val="24"/>
        </w:rPr>
      </w:pPr>
      <w:r w:rsidRPr="007A7515">
        <w:rPr>
          <w:rFonts w:asciiTheme="minorHAnsi" w:hAnsiTheme="minorHAnsi" w:cstheme="minorHAnsi"/>
          <w:b/>
          <w:szCs w:val="24"/>
        </w:rPr>
        <w:t xml:space="preserve">Collaborators: </w:t>
      </w:r>
    </w:p>
    <w:p w14:paraId="7768A381" w14:textId="77777777" w:rsidR="007E25F8" w:rsidRPr="007A7515" w:rsidRDefault="007E25F8" w:rsidP="007E25F8">
      <w:pPr>
        <w:pStyle w:val="NoSpacing"/>
        <w:rPr>
          <w:rFonts w:asciiTheme="minorHAnsi" w:hAnsiTheme="minorHAnsi" w:cstheme="minorHAnsi"/>
          <w:b/>
          <w:szCs w:val="24"/>
          <w:lang w:eastAsia="en-GB"/>
        </w:rPr>
      </w:pPr>
      <w:r w:rsidRPr="007A7515">
        <w:rPr>
          <w:rFonts w:asciiTheme="minorHAnsi" w:hAnsiTheme="minorHAnsi" w:cstheme="minorHAnsi"/>
          <w:b/>
          <w:szCs w:val="24"/>
          <w:lang w:eastAsia="en-GB"/>
        </w:rPr>
        <w:t xml:space="preserve">SPUTNIK investigators: </w:t>
      </w:r>
    </w:p>
    <w:p w14:paraId="61F3AE06" w14:textId="184A7E94" w:rsidR="007E25F8" w:rsidRPr="007A7515" w:rsidRDefault="00266293" w:rsidP="007E25F8">
      <w:pPr>
        <w:pStyle w:val="NoSpacing"/>
        <w:rPr>
          <w:rFonts w:asciiTheme="minorHAnsi" w:hAnsiTheme="minorHAnsi" w:cstheme="minorHAnsi"/>
          <w:b/>
          <w:szCs w:val="24"/>
          <w:lang w:eastAsia="en-GB"/>
        </w:rPr>
      </w:pPr>
      <w:r w:rsidRPr="007A7515">
        <w:rPr>
          <w:rFonts w:asciiTheme="minorHAnsi" w:hAnsiTheme="minorHAnsi" w:cstheme="minorHAnsi"/>
          <w:szCs w:val="24"/>
        </w:rPr>
        <w:t xml:space="preserve">Lesley </w:t>
      </w:r>
      <w:proofErr w:type="spellStart"/>
      <w:r w:rsidRPr="007A7515">
        <w:rPr>
          <w:rFonts w:asciiTheme="minorHAnsi" w:hAnsiTheme="minorHAnsi" w:cstheme="minorHAnsi"/>
          <w:szCs w:val="24"/>
        </w:rPr>
        <w:t>Gomersall</w:t>
      </w:r>
      <w:proofErr w:type="spellEnd"/>
      <w:r w:rsidRPr="007A7515">
        <w:rPr>
          <w:rFonts w:asciiTheme="minorHAnsi" w:hAnsiTheme="minorHAnsi" w:cstheme="minorHAnsi"/>
          <w:szCs w:val="24"/>
        </w:rPr>
        <w:t xml:space="preserve">, Jonathan Bennett, David Baldwin, Kristopher </w:t>
      </w:r>
      <w:proofErr w:type="spellStart"/>
      <w:r w:rsidRPr="007A7515">
        <w:rPr>
          <w:rFonts w:asciiTheme="minorHAnsi" w:hAnsiTheme="minorHAnsi" w:cstheme="minorHAnsi"/>
          <w:szCs w:val="24"/>
        </w:rPr>
        <w:t>Skwarski</w:t>
      </w:r>
      <w:proofErr w:type="spellEnd"/>
      <w:r w:rsidRPr="007A7515">
        <w:rPr>
          <w:rFonts w:asciiTheme="minorHAnsi" w:hAnsiTheme="minorHAnsi" w:cstheme="minorHAnsi"/>
          <w:szCs w:val="24"/>
        </w:rPr>
        <w:t xml:space="preserve">, John O’Brien, Steve </w:t>
      </w:r>
      <w:proofErr w:type="spellStart"/>
      <w:r w:rsidRPr="007A7515">
        <w:rPr>
          <w:rFonts w:asciiTheme="minorHAnsi" w:hAnsiTheme="minorHAnsi" w:cstheme="minorHAnsi"/>
          <w:szCs w:val="24"/>
        </w:rPr>
        <w:t>O’Hickey</w:t>
      </w:r>
      <w:proofErr w:type="spellEnd"/>
      <w:r w:rsidRPr="007A7515">
        <w:rPr>
          <w:rFonts w:asciiTheme="minorHAnsi" w:hAnsiTheme="minorHAnsi" w:cstheme="minorHAnsi"/>
          <w:szCs w:val="24"/>
        </w:rPr>
        <w:t>, Nick Adams</w:t>
      </w:r>
    </w:p>
    <w:p w14:paraId="466CEA5E" w14:textId="77777777" w:rsidR="00CB3997" w:rsidRPr="007A7515" w:rsidRDefault="00CB3997" w:rsidP="007E25F8">
      <w:pPr>
        <w:pStyle w:val="NoSpacing"/>
        <w:rPr>
          <w:rFonts w:asciiTheme="minorHAnsi" w:hAnsiTheme="minorHAnsi" w:cstheme="minorHAnsi"/>
          <w:b/>
          <w:szCs w:val="24"/>
          <w:lang w:eastAsia="en-GB"/>
        </w:rPr>
      </w:pPr>
    </w:p>
    <w:p w14:paraId="5C680108" w14:textId="0F79959A" w:rsidR="007E25F8" w:rsidRPr="007A7515" w:rsidRDefault="007E25F8" w:rsidP="007E25F8">
      <w:pPr>
        <w:pStyle w:val="NoSpacing"/>
        <w:rPr>
          <w:rFonts w:asciiTheme="minorHAnsi" w:hAnsiTheme="minorHAnsi" w:cstheme="minorHAnsi"/>
          <w:b/>
          <w:szCs w:val="24"/>
          <w:lang w:eastAsia="en-GB"/>
        </w:rPr>
      </w:pPr>
      <w:r w:rsidRPr="007A7515">
        <w:rPr>
          <w:rFonts w:asciiTheme="minorHAnsi" w:hAnsiTheme="minorHAnsi" w:cstheme="minorHAnsi"/>
          <w:b/>
          <w:szCs w:val="24"/>
          <w:lang w:eastAsia="en-GB"/>
        </w:rPr>
        <w:t>Sputnik Research Nurses</w:t>
      </w:r>
    </w:p>
    <w:p w14:paraId="69C99C57" w14:textId="096C5927" w:rsidR="007E25F8" w:rsidRPr="007A7515" w:rsidRDefault="00A67813" w:rsidP="007E25F8">
      <w:pPr>
        <w:pStyle w:val="NoSpacing"/>
        <w:rPr>
          <w:rFonts w:asciiTheme="minorHAnsi" w:hAnsiTheme="minorHAnsi" w:cstheme="minorHAnsi"/>
          <w:szCs w:val="24"/>
          <w:lang w:eastAsia="en-GB"/>
        </w:rPr>
      </w:pPr>
      <w:r w:rsidRPr="007A7515">
        <w:rPr>
          <w:rFonts w:asciiTheme="minorHAnsi" w:hAnsiTheme="minorHAnsi" w:cstheme="minorHAnsi"/>
          <w:szCs w:val="24"/>
          <w:lang w:eastAsia="en-GB"/>
        </w:rPr>
        <w:lastRenderedPageBreak/>
        <w:t>Theresa Green, Amanda Stone</w:t>
      </w:r>
      <w:r w:rsidR="00CB3997" w:rsidRPr="007A7515">
        <w:rPr>
          <w:rFonts w:asciiTheme="minorHAnsi" w:hAnsiTheme="minorHAnsi" w:cstheme="minorHAnsi"/>
          <w:szCs w:val="24"/>
          <w:lang w:eastAsia="en-GB"/>
        </w:rPr>
        <w:t xml:space="preserve">, </w:t>
      </w:r>
      <w:r w:rsidR="00CB3997" w:rsidRPr="007A7515">
        <w:rPr>
          <w:rFonts w:asciiTheme="minorHAnsi" w:hAnsiTheme="minorHAnsi" w:cstheme="minorHAnsi"/>
          <w:szCs w:val="24"/>
        </w:rPr>
        <w:t xml:space="preserve">Kathleen Collie, William Hickes, Sarah Goodwin, Patricia Clark, Louise Nelson, Kathryn Moore, Amy Gladwell, </w:t>
      </w:r>
      <w:proofErr w:type="spellStart"/>
      <w:r w:rsidR="00CB3997" w:rsidRPr="007A7515">
        <w:rPr>
          <w:rFonts w:asciiTheme="minorHAnsi" w:hAnsiTheme="minorHAnsi" w:cstheme="minorHAnsi"/>
          <w:szCs w:val="24"/>
        </w:rPr>
        <w:t>Beena</w:t>
      </w:r>
      <w:proofErr w:type="spellEnd"/>
      <w:r w:rsidR="00CB3997" w:rsidRPr="007A7515">
        <w:rPr>
          <w:rFonts w:asciiTheme="minorHAnsi" w:hAnsiTheme="minorHAnsi" w:cstheme="minorHAnsi"/>
          <w:szCs w:val="24"/>
        </w:rPr>
        <w:t xml:space="preserve"> </w:t>
      </w:r>
      <w:proofErr w:type="spellStart"/>
      <w:r w:rsidR="00CB3997" w:rsidRPr="007A7515">
        <w:rPr>
          <w:rFonts w:asciiTheme="minorHAnsi" w:hAnsiTheme="minorHAnsi" w:cstheme="minorHAnsi"/>
          <w:szCs w:val="24"/>
        </w:rPr>
        <w:t>Poulose</w:t>
      </w:r>
      <w:proofErr w:type="spellEnd"/>
      <w:r w:rsidR="00CB3997" w:rsidRPr="007A7515">
        <w:rPr>
          <w:rFonts w:asciiTheme="minorHAnsi" w:hAnsiTheme="minorHAnsi" w:cstheme="minorHAnsi"/>
          <w:szCs w:val="24"/>
        </w:rPr>
        <w:t xml:space="preserve">, Alison </w:t>
      </w:r>
      <w:proofErr w:type="spellStart"/>
      <w:r w:rsidR="00CB3997" w:rsidRPr="007A7515">
        <w:rPr>
          <w:rFonts w:asciiTheme="minorHAnsi" w:hAnsiTheme="minorHAnsi" w:cstheme="minorHAnsi"/>
          <w:szCs w:val="24"/>
        </w:rPr>
        <w:t>Porges</w:t>
      </w:r>
      <w:proofErr w:type="spellEnd"/>
      <w:r w:rsidR="00CB3997" w:rsidRPr="007A7515">
        <w:rPr>
          <w:rFonts w:asciiTheme="minorHAnsi" w:hAnsiTheme="minorHAnsi" w:cstheme="minorHAnsi"/>
          <w:szCs w:val="24"/>
        </w:rPr>
        <w:t xml:space="preserve">, Robert Anderson, Victoria Ashford-Turner, Maria Machado, Dawn Thornton, Harvey </w:t>
      </w:r>
      <w:proofErr w:type="spellStart"/>
      <w:r w:rsidR="00CB3997" w:rsidRPr="007A7515">
        <w:rPr>
          <w:rFonts w:asciiTheme="minorHAnsi" w:hAnsiTheme="minorHAnsi" w:cstheme="minorHAnsi"/>
          <w:szCs w:val="24"/>
        </w:rPr>
        <w:t>Dymond</w:t>
      </w:r>
      <w:proofErr w:type="spellEnd"/>
      <w:r w:rsidR="00CB3997" w:rsidRPr="007A7515">
        <w:rPr>
          <w:rFonts w:asciiTheme="minorHAnsi" w:hAnsiTheme="minorHAnsi" w:cstheme="minorHAnsi"/>
          <w:szCs w:val="24"/>
        </w:rPr>
        <w:t>, Jayne Tyler, Raquel Gomez</w:t>
      </w:r>
      <w:r w:rsidR="008833FE" w:rsidRPr="007A7515">
        <w:rPr>
          <w:rFonts w:asciiTheme="minorHAnsi" w:hAnsiTheme="minorHAnsi" w:cstheme="minorHAnsi"/>
          <w:szCs w:val="24"/>
        </w:rPr>
        <w:t>,</w:t>
      </w:r>
      <w:r w:rsidR="00867572" w:rsidRPr="007A7515">
        <w:rPr>
          <w:rFonts w:asciiTheme="minorHAnsi" w:hAnsiTheme="minorHAnsi" w:cstheme="minorHAnsi"/>
          <w:szCs w:val="24"/>
          <w:lang w:eastAsia="en-GB"/>
        </w:rPr>
        <w:t xml:space="preserve"> Susan </w:t>
      </w:r>
      <w:proofErr w:type="spellStart"/>
      <w:r w:rsidR="00867572" w:rsidRPr="007A7515">
        <w:rPr>
          <w:rFonts w:asciiTheme="minorHAnsi" w:hAnsiTheme="minorHAnsi" w:cstheme="minorHAnsi"/>
          <w:szCs w:val="24"/>
          <w:lang w:eastAsia="en-GB"/>
        </w:rPr>
        <w:t>Mbale</w:t>
      </w:r>
      <w:proofErr w:type="spellEnd"/>
      <w:r w:rsidR="00867572" w:rsidRPr="007A7515">
        <w:rPr>
          <w:rFonts w:asciiTheme="minorHAnsi" w:hAnsiTheme="minorHAnsi" w:cstheme="minorHAnsi"/>
          <w:szCs w:val="24"/>
          <w:lang w:eastAsia="en-GB"/>
        </w:rPr>
        <w:t xml:space="preserve">, Gail Pottinger Andrea Lodge, Robert </w:t>
      </w:r>
      <w:proofErr w:type="spellStart"/>
      <w:r w:rsidR="00867572" w:rsidRPr="007A7515">
        <w:rPr>
          <w:rFonts w:asciiTheme="minorHAnsi" w:hAnsiTheme="minorHAnsi" w:cstheme="minorHAnsi"/>
          <w:szCs w:val="24"/>
          <w:lang w:eastAsia="en-GB"/>
        </w:rPr>
        <w:t>Shortman</w:t>
      </w:r>
      <w:proofErr w:type="spellEnd"/>
      <w:r w:rsidR="00867572" w:rsidRPr="007A7515">
        <w:rPr>
          <w:rFonts w:asciiTheme="minorHAnsi" w:hAnsiTheme="minorHAnsi" w:cstheme="minorHAnsi"/>
          <w:szCs w:val="24"/>
          <w:lang w:eastAsia="en-GB"/>
        </w:rPr>
        <w:t xml:space="preserve"> Sue King</w:t>
      </w:r>
      <w:r w:rsidR="008833FE" w:rsidRPr="007A7515">
        <w:rPr>
          <w:rFonts w:asciiTheme="minorHAnsi" w:hAnsiTheme="minorHAnsi" w:cstheme="minorHAnsi"/>
          <w:szCs w:val="24"/>
          <w:lang w:eastAsia="en-GB"/>
        </w:rPr>
        <w:t>,</w:t>
      </w:r>
      <w:r w:rsidR="00867572" w:rsidRPr="007A7515">
        <w:rPr>
          <w:rFonts w:asciiTheme="minorHAnsi" w:hAnsiTheme="minorHAnsi" w:cstheme="minorHAnsi"/>
          <w:szCs w:val="24"/>
          <w:lang w:eastAsia="en-GB"/>
        </w:rPr>
        <w:t xml:space="preserve"> Elaine Smith</w:t>
      </w:r>
      <w:r w:rsidR="008833FE" w:rsidRPr="007A7515">
        <w:rPr>
          <w:rFonts w:asciiTheme="minorHAnsi" w:hAnsiTheme="minorHAnsi" w:cstheme="minorHAnsi"/>
          <w:szCs w:val="24"/>
          <w:lang w:eastAsia="en-GB"/>
        </w:rPr>
        <w:t>,</w:t>
      </w:r>
      <w:r w:rsidR="00867572" w:rsidRPr="007A7515">
        <w:rPr>
          <w:rFonts w:asciiTheme="minorHAnsi" w:hAnsiTheme="minorHAnsi" w:cstheme="minorHAnsi"/>
          <w:szCs w:val="24"/>
          <w:lang w:eastAsia="en-GB"/>
        </w:rPr>
        <w:t xml:space="preserve"> Sandra Beech</w:t>
      </w:r>
      <w:r w:rsidR="008833FE" w:rsidRPr="007A7515">
        <w:rPr>
          <w:rFonts w:asciiTheme="minorHAnsi" w:hAnsiTheme="minorHAnsi" w:cstheme="minorHAnsi"/>
          <w:szCs w:val="24"/>
          <w:lang w:eastAsia="en-GB"/>
        </w:rPr>
        <w:t>,</w:t>
      </w:r>
      <w:r w:rsidR="00867572" w:rsidRPr="007A7515">
        <w:rPr>
          <w:rFonts w:asciiTheme="minorHAnsi" w:hAnsiTheme="minorHAnsi" w:cstheme="minorHAnsi"/>
          <w:szCs w:val="24"/>
          <w:lang w:eastAsia="en-GB"/>
        </w:rPr>
        <w:t xml:space="preserve"> Barbara McLaren, Jane </w:t>
      </w:r>
      <w:proofErr w:type="spellStart"/>
      <w:r w:rsidR="00867572" w:rsidRPr="007A7515">
        <w:rPr>
          <w:rFonts w:asciiTheme="minorHAnsi" w:hAnsiTheme="minorHAnsi" w:cstheme="minorHAnsi"/>
          <w:szCs w:val="24"/>
          <w:lang w:eastAsia="en-GB"/>
        </w:rPr>
        <w:t>Lyttle</w:t>
      </w:r>
      <w:proofErr w:type="spellEnd"/>
      <w:r w:rsidR="008833FE" w:rsidRPr="007A7515">
        <w:rPr>
          <w:rFonts w:asciiTheme="minorHAnsi" w:hAnsiTheme="minorHAnsi" w:cstheme="minorHAnsi"/>
          <w:szCs w:val="24"/>
          <w:lang w:eastAsia="en-GB"/>
        </w:rPr>
        <w:t>,</w:t>
      </w:r>
      <w:r w:rsidR="00867572" w:rsidRPr="007A7515">
        <w:rPr>
          <w:rFonts w:asciiTheme="minorHAnsi" w:hAnsiTheme="minorHAnsi" w:cstheme="minorHAnsi"/>
          <w:szCs w:val="24"/>
          <w:lang w:eastAsia="en-GB"/>
        </w:rPr>
        <w:t xml:space="preserve"> Hugh Lloyd-Jones,</w:t>
      </w:r>
      <w:r w:rsidR="00C540EB" w:rsidRPr="007A7515">
        <w:rPr>
          <w:rFonts w:asciiTheme="minorHAnsi" w:hAnsiTheme="minorHAnsi" w:cstheme="minorHAnsi"/>
          <w:szCs w:val="24"/>
          <w:lang w:eastAsia="en-GB"/>
        </w:rPr>
        <w:t xml:space="preserve"> Anne Joy, Theresa Green, Tania Pettit</w:t>
      </w:r>
    </w:p>
    <w:p w14:paraId="313C435E" w14:textId="77777777" w:rsidR="00350D52" w:rsidRPr="007A7515" w:rsidRDefault="00350D52" w:rsidP="007E25F8">
      <w:pPr>
        <w:pStyle w:val="NoSpacing"/>
        <w:rPr>
          <w:rFonts w:asciiTheme="minorHAnsi" w:hAnsiTheme="minorHAnsi" w:cstheme="minorHAnsi"/>
          <w:szCs w:val="24"/>
          <w:lang w:eastAsia="en-GB"/>
        </w:rPr>
      </w:pPr>
    </w:p>
    <w:p w14:paraId="14B1674E" w14:textId="2FB6DAB6" w:rsidR="007E25F8" w:rsidRPr="007A7515" w:rsidRDefault="007E25F8" w:rsidP="007E25F8">
      <w:pPr>
        <w:pStyle w:val="NoSpacing"/>
        <w:rPr>
          <w:rFonts w:asciiTheme="minorHAnsi" w:hAnsiTheme="minorHAnsi" w:cstheme="minorHAnsi"/>
          <w:b/>
          <w:szCs w:val="24"/>
          <w:lang w:eastAsia="en-GB"/>
        </w:rPr>
      </w:pPr>
      <w:r w:rsidRPr="007A7515">
        <w:rPr>
          <w:rFonts w:asciiTheme="minorHAnsi" w:hAnsiTheme="minorHAnsi" w:cstheme="minorHAnsi"/>
          <w:b/>
          <w:szCs w:val="24"/>
          <w:lang w:eastAsia="en-GB"/>
        </w:rPr>
        <w:t>Sputnik Radiographers</w:t>
      </w:r>
      <w:r w:rsidR="00427C66" w:rsidRPr="007A7515">
        <w:rPr>
          <w:rFonts w:asciiTheme="minorHAnsi" w:hAnsiTheme="minorHAnsi" w:cstheme="minorHAnsi"/>
          <w:b/>
          <w:szCs w:val="24"/>
          <w:lang w:eastAsia="en-GB"/>
        </w:rPr>
        <w:t xml:space="preserve"> and Physicists</w:t>
      </w:r>
    </w:p>
    <w:p w14:paraId="4D6C28CE" w14:textId="1CA4E12C" w:rsidR="007E25F8" w:rsidRPr="007A7515" w:rsidRDefault="007E25F8" w:rsidP="007E25F8">
      <w:pPr>
        <w:pStyle w:val="NoSpacing"/>
        <w:rPr>
          <w:rFonts w:asciiTheme="minorHAnsi" w:hAnsiTheme="minorHAnsi" w:cstheme="minorHAnsi"/>
          <w:szCs w:val="24"/>
          <w:lang w:eastAsia="en-GB"/>
        </w:rPr>
      </w:pPr>
      <w:r w:rsidRPr="007A7515">
        <w:rPr>
          <w:rFonts w:asciiTheme="minorHAnsi" w:hAnsiTheme="minorHAnsi" w:cstheme="minorHAnsi"/>
          <w:szCs w:val="24"/>
        </w:rPr>
        <w:t>Elizabeth Robertson, Claire Napier,</w:t>
      </w:r>
      <w:r w:rsidR="008833FE" w:rsidRPr="007A7515">
        <w:rPr>
          <w:rFonts w:asciiTheme="minorHAnsi" w:hAnsiTheme="minorHAnsi" w:cstheme="minorHAnsi"/>
          <w:szCs w:val="24"/>
        </w:rPr>
        <w:t xml:space="preserve"> </w:t>
      </w:r>
      <w:r w:rsidRPr="007A7515">
        <w:rPr>
          <w:rFonts w:asciiTheme="minorHAnsi" w:hAnsiTheme="minorHAnsi" w:cstheme="minorHAnsi"/>
          <w:szCs w:val="24"/>
        </w:rPr>
        <w:t xml:space="preserve">Diane Lowe, </w:t>
      </w:r>
      <w:r w:rsidRPr="007A7515">
        <w:rPr>
          <w:rFonts w:asciiTheme="minorHAnsi" w:hAnsiTheme="minorHAnsi" w:cstheme="minorHAnsi"/>
          <w:szCs w:val="24"/>
          <w:lang w:eastAsia="en-GB"/>
        </w:rPr>
        <w:t xml:space="preserve">Jan Bush, Georgina </w:t>
      </w:r>
      <w:proofErr w:type="gramStart"/>
      <w:r w:rsidRPr="007A7515">
        <w:rPr>
          <w:rFonts w:asciiTheme="minorHAnsi" w:hAnsiTheme="minorHAnsi" w:cstheme="minorHAnsi"/>
          <w:szCs w:val="24"/>
          <w:lang w:eastAsia="en-GB"/>
        </w:rPr>
        <w:t>Haywood,  James</w:t>
      </w:r>
      <w:proofErr w:type="gramEnd"/>
      <w:r w:rsidRPr="007A7515">
        <w:rPr>
          <w:rFonts w:asciiTheme="minorHAnsi" w:hAnsiTheme="minorHAnsi" w:cstheme="minorHAnsi"/>
          <w:szCs w:val="24"/>
          <w:lang w:eastAsia="en-GB"/>
        </w:rPr>
        <w:t xml:space="preserve"> Hunter, Alison Fletcher, Nick Weir, </w:t>
      </w:r>
      <w:r w:rsidRPr="007A7515">
        <w:rPr>
          <w:rFonts w:asciiTheme="minorHAnsi" w:hAnsiTheme="minorHAnsi" w:cstheme="minorHAnsi"/>
          <w:szCs w:val="24"/>
        </w:rPr>
        <w:t>Clare McKeown, Mary Dempsey,</w:t>
      </w:r>
      <w:r w:rsidRPr="007A7515">
        <w:rPr>
          <w:rFonts w:asciiTheme="minorHAnsi" w:hAnsiTheme="minorHAnsi" w:cstheme="minorHAnsi"/>
          <w:szCs w:val="24"/>
          <w:lang w:eastAsia="en-GB"/>
        </w:rPr>
        <w:t xml:space="preserve"> Joanne </w:t>
      </w:r>
      <w:proofErr w:type="spellStart"/>
      <w:r w:rsidRPr="007A7515">
        <w:rPr>
          <w:rFonts w:asciiTheme="minorHAnsi" w:hAnsiTheme="minorHAnsi" w:cstheme="minorHAnsi"/>
          <w:szCs w:val="24"/>
          <w:lang w:eastAsia="en-GB"/>
        </w:rPr>
        <w:t>Wormleighton</w:t>
      </w:r>
      <w:proofErr w:type="spellEnd"/>
      <w:r w:rsidRPr="007A7515">
        <w:rPr>
          <w:rFonts w:asciiTheme="minorHAnsi" w:hAnsiTheme="minorHAnsi" w:cstheme="minorHAnsi"/>
          <w:szCs w:val="24"/>
          <w:lang w:eastAsia="en-GB"/>
        </w:rPr>
        <w:t>, Garry McDermott,</w:t>
      </w:r>
      <w:r w:rsidR="00543AC9" w:rsidRPr="007A7515">
        <w:rPr>
          <w:rFonts w:asciiTheme="minorHAnsi" w:hAnsiTheme="minorHAnsi" w:cstheme="minorHAnsi"/>
          <w:szCs w:val="24"/>
          <w:lang w:eastAsia="en-GB"/>
        </w:rPr>
        <w:t xml:space="preserve"> </w:t>
      </w:r>
      <w:r w:rsidRPr="007A7515">
        <w:rPr>
          <w:rFonts w:asciiTheme="minorHAnsi" w:hAnsiTheme="minorHAnsi" w:cstheme="minorHAnsi"/>
          <w:szCs w:val="24"/>
          <w:lang w:eastAsia="en-GB"/>
        </w:rPr>
        <w:t xml:space="preserve">Elizabeth Crawford, Julie </w:t>
      </w:r>
      <w:proofErr w:type="spellStart"/>
      <w:r w:rsidRPr="007A7515">
        <w:rPr>
          <w:rFonts w:asciiTheme="minorHAnsi" w:hAnsiTheme="minorHAnsi" w:cstheme="minorHAnsi"/>
          <w:szCs w:val="24"/>
          <w:lang w:eastAsia="en-GB"/>
        </w:rPr>
        <w:t>Turkas</w:t>
      </w:r>
      <w:proofErr w:type="spellEnd"/>
      <w:r w:rsidRPr="007A7515">
        <w:rPr>
          <w:rFonts w:asciiTheme="minorHAnsi" w:hAnsiTheme="minorHAnsi" w:cstheme="minorHAnsi"/>
          <w:szCs w:val="24"/>
          <w:lang w:eastAsia="en-GB"/>
        </w:rPr>
        <w:t xml:space="preserve">, Kerry Edwards, Paul Holland, Gabrielle Azzopardi, Paul Murphy, Richard Smith, Leigh Clements, Julie Butler, Rebecca Dillon, Elizabeth Llewellyn, </w:t>
      </w:r>
      <w:proofErr w:type="spellStart"/>
      <w:r w:rsidRPr="007A7515">
        <w:rPr>
          <w:rFonts w:asciiTheme="minorHAnsi" w:hAnsiTheme="minorHAnsi" w:cstheme="minorHAnsi"/>
          <w:szCs w:val="24"/>
          <w:lang w:eastAsia="en-GB"/>
        </w:rPr>
        <w:t>Juttalie</w:t>
      </w:r>
      <w:proofErr w:type="spellEnd"/>
      <w:r w:rsidRPr="007A7515">
        <w:rPr>
          <w:rFonts w:asciiTheme="minorHAnsi" w:hAnsiTheme="minorHAnsi" w:cstheme="minorHAnsi"/>
          <w:szCs w:val="24"/>
          <w:lang w:eastAsia="en-GB"/>
        </w:rPr>
        <w:t xml:space="preserve"> Cole</w:t>
      </w:r>
    </w:p>
    <w:p w14:paraId="477921CB" w14:textId="0D123733" w:rsidR="007E25F8" w:rsidRPr="007A7515" w:rsidRDefault="007E25F8" w:rsidP="007E25F8">
      <w:pPr>
        <w:rPr>
          <w:rFonts w:asciiTheme="minorHAnsi" w:hAnsiTheme="minorHAnsi" w:cstheme="minorHAnsi"/>
          <w:sz w:val="24"/>
          <w:szCs w:val="24"/>
        </w:rPr>
      </w:pPr>
    </w:p>
    <w:p w14:paraId="0EDC59D3" w14:textId="77777777" w:rsidR="007E25F8" w:rsidRPr="007A7515" w:rsidRDefault="007E25F8" w:rsidP="007E25F8">
      <w:pPr>
        <w:rPr>
          <w:rFonts w:asciiTheme="minorHAnsi" w:hAnsiTheme="minorHAnsi" w:cstheme="minorHAnsi"/>
          <w:sz w:val="24"/>
          <w:szCs w:val="24"/>
          <w:lang w:eastAsia="en-GB"/>
        </w:rPr>
      </w:pPr>
    </w:p>
    <w:p w14:paraId="1CA8F74E" w14:textId="77777777" w:rsidR="002E354F" w:rsidRPr="007A7515" w:rsidRDefault="003E0CF7" w:rsidP="00712CE4">
      <w:pPr>
        <w:pStyle w:val="NoSpacing"/>
        <w:rPr>
          <w:rFonts w:asciiTheme="minorHAnsi" w:hAnsiTheme="minorHAnsi" w:cstheme="minorHAnsi"/>
          <w:b/>
          <w:szCs w:val="24"/>
        </w:rPr>
      </w:pPr>
      <w:r w:rsidRPr="007A7515">
        <w:rPr>
          <w:rFonts w:asciiTheme="minorHAnsi" w:hAnsiTheme="minorHAnsi" w:cstheme="minorHAnsi"/>
          <w:b/>
          <w:szCs w:val="24"/>
        </w:rPr>
        <w:t xml:space="preserve">Data sharing: </w:t>
      </w:r>
    </w:p>
    <w:p w14:paraId="4180CB65" w14:textId="281B9CD8" w:rsidR="003E0CF7" w:rsidRPr="007A7515" w:rsidRDefault="002E354F" w:rsidP="002E354F">
      <w:pPr>
        <w:pStyle w:val="NoSpacing"/>
        <w:rPr>
          <w:rFonts w:asciiTheme="minorHAnsi" w:hAnsiTheme="minorHAnsi" w:cstheme="minorHAnsi"/>
          <w:szCs w:val="24"/>
        </w:rPr>
      </w:pPr>
      <w:r w:rsidRPr="007A7515">
        <w:rPr>
          <w:rFonts w:asciiTheme="minorHAnsi" w:hAnsiTheme="minorHAnsi" w:cstheme="minorHAnsi"/>
          <w:szCs w:val="24"/>
        </w:rPr>
        <w:t>Individual participant data will be made available, including data dictionaries, for approved data sharing requests. Individual participant data will be shared that underlie the results reported in this article, after de-identification and normalisation of information (text, tables, figures, and appendices). The study protocol and statistical analysis plan will also be available. Anonymous data will be available for request from three months after publication of the article, to researchers who provide a completed Data Sharing request form that describes a methodologically sound proposal, for the purpose of the approved proposal and if appropriate, signed a Data Sharing Agreement. Data will be shared once all parties have signed relevant data sharing documentation, covering SCTU conditions for sharing and if</w:t>
      </w:r>
      <w:r w:rsidR="00C60C37" w:rsidRPr="007A7515">
        <w:rPr>
          <w:rFonts w:asciiTheme="minorHAnsi" w:hAnsiTheme="minorHAnsi" w:cstheme="minorHAnsi"/>
          <w:szCs w:val="24"/>
        </w:rPr>
        <w:t xml:space="preserve"> </w:t>
      </w:r>
      <w:r w:rsidRPr="007A7515">
        <w:rPr>
          <w:rFonts w:asciiTheme="minorHAnsi" w:hAnsiTheme="minorHAnsi" w:cstheme="minorHAnsi"/>
          <w:szCs w:val="24"/>
        </w:rPr>
        <w:t xml:space="preserve">required, an additional Data Sharing Agreement from Sponsor. </w:t>
      </w:r>
      <w:r w:rsidR="00C60C37" w:rsidRPr="007A7515">
        <w:rPr>
          <w:rFonts w:asciiTheme="minorHAnsi" w:hAnsiTheme="minorHAnsi" w:cstheme="minorHAnsi"/>
          <w:szCs w:val="24"/>
        </w:rPr>
        <w:t>P</w:t>
      </w:r>
      <w:r w:rsidRPr="007A7515">
        <w:rPr>
          <w:rFonts w:asciiTheme="minorHAnsi" w:hAnsiTheme="minorHAnsi" w:cstheme="minorHAnsi"/>
          <w:szCs w:val="24"/>
        </w:rPr>
        <w:t>roposals should be</w:t>
      </w:r>
      <w:r w:rsidR="00C60C37" w:rsidRPr="007A7515">
        <w:rPr>
          <w:rFonts w:asciiTheme="minorHAnsi" w:hAnsiTheme="minorHAnsi" w:cstheme="minorHAnsi"/>
          <w:szCs w:val="24"/>
        </w:rPr>
        <w:t xml:space="preserve"> directed to ctu@soton.ac.uk. </w:t>
      </w:r>
    </w:p>
    <w:p w14:paraId="0507ABF3" w14:textId="77777777" w:rsidR="003E0CF7" w:rsidRPr="007A7515" w:rsidRDefault="003E0CF7" w:rsidP="00654A94">
      <w:pPr>
        <w:pStyle w:val="NoSpacing"/>
        <w:rPr>
          <w:rFonts w:asciiTheme="minorHAnsi" w:hAnsiTheme="minorHAnsi" w:cstheme="minorHAnsi"/>
          <w:szCs w:val="24"/>
          <w:lang w:eastAsia="en-GB"/>
        </w:rPr>
      </w:pPr>
    </w:p>
    <w:p w14:paraId="13241C31" w14:textId="50BF7D96" w:rsidR="00EC2FF9" w:rsidRPr="007A7515" w:rsidRDefault="00544DA0" w:rsidP="00654A94">
      <w:pPr>
        <w:pStyle w:val="NoSpacing"/>
        <w:rPr>
          <w:rFonts w:asciiTheme="minorHAnsi" w:hAnsiTheme="minorHAnsi" w:cstheme="minorHAnsi"/>
          <w:b/>
          <w:bCs/>
          <w:szCs w:val="24"/>
          <w:lang w:eastAsia="en-GB"/>
        </w:rPr>
      </w:pPr>
      <w:r w:rsidRPr="007A7515">
        <w:rPr>
          <w:rFonts w:asciiTheme="minorHAnsi" w:hAnsiTheme="minorHAnsi" w:cstheme="minorHAnsi"/>
          <w:b/>
          <w:bCs/>
          <w:szCs w:val="24"/>
          <w:lang w:eastAsia="en-GB"/>
        </w:rPr>
        <w:t>Contribution of authors</w:t>
      </w:r>
    </w:p>
    <w:p w14:paraId="65837BC5" w14:textId="5E8EB421" w:rsidR="00D14608" w:rsidRPr="007A7515" w:rsidRDefault="00D14608" w:rsidP="008A0EF2">
      <w:pPr>
        <w:pStyle w:val="NoSpacing"/>
        <w:rPr>
          <w:rFonts w:asciiTheme="minorHAnsi" w:hAnsiTheme="minorHAnsi" w:cstheme="minorHAnsi"/>
          <w:szCs w:val="24"/>
        </w:rPr>
      </w:pPr>
    </w:p>
    <w:p w14:paraId="605D8A81" w14:textId="5CD2DAA4" w:rsidR="0065207A" w:rsidRPr="007A7515" w:rsidRDefault="003946BA" w:rsidP="00B4625D">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lastRenderedPageBreak/>
        <w:t>Fiona Gilbert (</w:t>
      </w:r>
      <w:r w:rsidR="008833FE" w:rsidRPr="007A7515">
        <w:rPr>
          <w:rFonts w:asciiTheme="minorHAnsi" w:hAnsiTheme="minorHAnsi" w:cstheme="minorHAnsi"/>
          <w:szCs w:val="24"/>
        </w:rPr>
        <w:t xml:space="preserve">Professor, Honorary </w:t>
      </w:r>
      <w:r w:rsidR="0065207A" w:rsidRPr="007A7515">
        <w:rPr>
          <w:rFonts w:asciiTheme="minorHAnsi" w:hAnsiTheme="minorHAnsi" w:cstheme="minorHAnsi"/>
          <w:szCs w:val="24"/>
        </w:rPr>
        <w:t>C</w:t>
      </w:r>
      <w:r w:rsidR="0065207A" w:rsidRPr="007A7515">
        <w:rPr>
          <w:rFonts w:asciiTheme="minorHAnsi" w:eastAsiaTheme="minorEastAsia" w:hAnsiTheme="minorHAnsi" w:cstheme="minorHAnsi"/>
          <w:szCs w:val="24"/>
          <w:lang w:eastAsia="zh-CN"/>
        </w:rPr>
        <w:t>onsultant Radiologist and Co-Chief Investigator)</w:t>
      </w:r>
      <w:r w:rsidR="00E83CF7" w:rsidRPr="007A7515">
        <w:rPr>
          <w:rFonts w:asciiTheme="minorHAnsi" w:eastAsiaTheme="minorEastAsia" w:hAnsiTheme="minorHAnsi" w:cstheme="minorHAnsi"/>
          <w:szCs w:val="24"/>
          <w:lang w:eastAsia="zh-CN"/>
        </w:rPr>
        <w:t xml:space="preserve"> was involved in the design of the study, delivery of the study</w:t>
      </w:r>
      <w:r w:rsidR="008833FE" w:rsidRPr="007A7515">
        <w:rPr>
          <w:rFonts w:asciiTheme="minorHAnsi" w:eastAsiaTheme="minorEastAsia" w:hAnsiTheme="minorHAnsi" w:cstheme="minorHAnsi"/>
          <w:szCs w:val="24"/>
          <w:lang w:eastAsia="zh-CN"/>
        </w:rPr>
        <w:t>,</w:t>
      </w:r>
      <w:r w:rsidR="00E83CF7" w:rsidRPr="007A7515">
        <w:rPr>
          <w:rFonts w:asciiTheme="minorHAnsi" w:eastAsiaTheme="minorEastAsia" w:hAnsiTheme="minorHAnsi" w:cstheme="minorHAnsi"/>
          <w:szCs w:val="24"/>
          <w:lang w:eastAsia="zh-CN"/>
        </w:rPr>
        <w:t xml:space="preserve"> interpretation of the results</w:t>
      </w:r>
      <w:r w:rsidR="008833FE" w:rsidRPr="007A7515">
        <w:rPr>
          <w:rFonts w:asciiTheme="minorHAnsi" w:eastAsiaTheme="minorEastAsia" w:hAnsiTheme="minorHAnsi" w:cstheme="minorHAnsi"/>
          <w:szCs w:val="24"/>
          <w:lang w:eastAsia="zh-CN"/>
        </w:rPr>
        <w:t xml:space="preserve"> and writing of the report</w:t>
      </w:r>
      <w:r w:rsidR="00E83CF7" w:rsidRPr="007A7515">
        <w:rPr>
          <w:rFonts w:asciiTheme="minorHAnsi" w:eastAsiaTheme="minorEastAsia" w:hAnsiTheme="minorHAnsi" w:cstheme="minorHAnsi"/>
          <w:szCs w:val="24"/>
          <w:lang w:eastAsia="zh-CN"/>
        </w:rPr>
        <w:t xml:space="preserve">. </w:t>
      </w:r>
    </w:p>
    <w:p w14:paraId="3BA4650E" w14:textId="0578207E"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t>Scott Harris (</w:t>
      </w:r>
      <w:r w:rsidRPr="007A7515">
        <w:rPr>
          <w:rFonts w:asciiTheme="minorHAnsi" w:hAnsiTheme="minorHAnsi" w:cstheme="minorHAnsi"/>
          <w:szCs w:val="24"/>
          <w:lang w:eastAsia="en-GB"/>
        </w:rPr>
        <w:t>Associate Professor of Medical Statistics)</w:t>
      </w:r>
      <w:r w:rsidR="00E83CF7" w:rsidRPr="007A7515">
        <w:rPr>
          <w:rFonts w:asciiTheme="minorHAnsi" w:eastAsiaTheme="minorEastAsia" w:hAnsiTheme="minorHAnsi" w:cstheme="minorHAnsi"/>
          <w:szCs w:val="24"/>
          <w:lang w:eastAsia="zh-CN"/>
        </w:rPr>
        <w:t xml:space="preserve"> was involved in the design of the study, delivery of the study, statistical analysis</w:t>
      </w:r>
      <w:r w:rsidR="008833FE" w:rsidRPr="007A7515">
        <w:rPr>
          <w:rFonts w:asciiTheme="minorHAnsi" w:eastAsiaTheme="minorEastAsia" w:hAnsiTheme="minorHAnsi" w:cstheme="minorHAnsi"/>
          <w:szCs w:val="24"/>
          <w:lang w:eastAsia="zh-CN"/>
        </w:rPr>
        <w:t>,</w:t>
      </w:r>
      <w:r w:rsidR="00E83CF7" w:rsidRPr="007A7515">
        <w:rPr>
          <w:rFonts w:asciiTheme="minorHAnsi" w:eastAsiaTheme="minorEastAsia" w:hAnsiTheme="minorHAnsi" w:cstheme="minorHAnsi"/>
          <w:szCs w:val="24"/>
          <w:lang w:eastAsia="zh-CN"/>
        </w:rPr>
        <w:t xml:space="preserve"> interpretation of the results</w:t>
      </w:r>
      <w:r w:rsidR="008833FE" w:rsidRPr="007A7515">
        <w:rPr>
          <w:rFonts w:asciiTheme="minorHAnsi" w:eastAsiaTheme="minorEastAsia" w:hAnsiTheme="minorHAnsi" w:cstheme="minorHAnsi"/>
          <w:szCs w:val="24"/>
          <w:lang w:eastAsia="zh-CN"/>
        </w:rPr>
        <w:t xml:space="preserve"> and writing of the report</w:t>
      </w:r>
      <w:r w:rsidR="00E83CF7" w:rsidRPr="007A7515">
        <w:rPr>
          <w:rFonts w:asciiTheme="minorHAnsi" w:eastAsiaTheme="minorEastAsia" w:hAnsiTheme="minorHAnsi" w:cstheme="minorHAnsi"/>
          <w:szCs w:val="24"/>
          <w:lang w:eastAsia="zh-CN"/>
        </w:rPr>
        <w:t xml:space="preserve">. </w:t>
      </w:r>
    </w:p>
    <w:p w14:paraId="4DDB0BB8" w14:textId="77777777"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t>Ken Miles (</w:t>
      </w:r>
      <w:r w:rsidRPr="007A7515">
        <w:rPr>
          <w:rFonts w:asciiTheme="minorHAnsi" w:hAnsiTheme="minorHAnsi" w:cstheme="minorHAnsi"/>
          <w:szCs w:val="24"/>
          <w:lang w:val="en"/>
        </w:rPr>
        <w:t xml:space="preserve">Honorary </w:t>
      </w:r>
      <w:r w:rsidRPr="007A7515">
        <w:rPr>
          <w:rFonts w:asciiTheme="minorHAnsi" w:hAnsiTheme="minorHAnsi" w:cstheme="minorHAnsi"/>
          <w:szCs w:val="24"/>
        </w:rPr>
        <w:t>Professor</w:t>
      </w:r>
      <w:r w:rsidR="009C0E62" w:rsidRPr="007A7515">
        <w:rPr>
          <w:rFonts w:asciiTheme="minorHAnsi" w:hAnsiTheme="minorHAnsi" w:cstheme="minorHAnsi"/>
          <w:szCs w:val="24"/>
        </w:rPr>
        <w:t>, Radiology and Nuclear Medicine</w:t>
      </w:r>
      <w:r w:rsidRPr="007A7515">
        <w:rPr>
          <w:rFonts w:asciiTheme="minorHAnsi" w:hAnsiTheme="minorHAnsi" w:cstheme="minorHAnsi"/>
          <w:szCs w:val="24"/>
        </w:rPr>
        <w:t>)</w:t>
      </w:r>
      <w:r w:rsidRPr="007A7515">
        <w:rPr>
          <w:rFonts w:asciiTheme="minorHAnsi" w:hAnsiTheme="minorHAnsi" w:cstheme="minorHAnsi"/>
          <w:szCs w:val="24"/>
          <w:lang w:val="en"/>
        </w:rPr>
        <w:t xml:space="preserve"> </w:t>
      </w:r>
      <w:r w:rsidR="00E83CF7" w:rsidRPr="007A7515">
        <w:rPr>
          <w:rFonts w:asciiTheme="minorHAnsi" w:eastAsiaTheme="minorEastAsia" w:hAnsiTheme="minorHAnsi" w:cstheme="minorHAnsi"/>
          <w:szCs w:val="24"/>
          <w:lang w:eastAsia="zh-CN"/>
        </w:rPr>
        <w:t xml:space="preserve">was involved in the design of the study, delivery of the study and interpretation of the results. </w:t>
      </w:r>
    </w:p>
    <w:p w14:paraId="0574B033" w14:textId="6042E8FC"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t>Jonathon Weir-McCall (University Lecturer</w:t>
      </w:r>
      <w:r w:rsidR="009C0E62" w:rsidRPr="007A7515">
        <w:rPr>
          <w:rFonts w:asciiTheme="minorHAnsi" w:hAnsiTheme="minorHAnsi" w:cstheme="minorHAnsi"/>
          <w:szCs w:val="24"/>
        </w:rPr>
        <w:t>, Radiology</w:t>
      </w:r>
      <w:r w:rsidRPr="007A7515">
        <w:rPr>
          <w:rFonts w:asciiTheme="minorHAnsi" w:hAnsiTheme="minorHAnsi" w:cstheme="minorHAnsi"/>
          <w:szCs w:val="24"/>
        </w:rPr>
        <w:t>)</w:t>
      </w:r>
      <w:r w:rsidR="00E83CF7" w:rsidRPr="007A7515">
        <w:rPr>
          <w:rFonts w:asciiTheme="minorHAnsi" w:hAnsiTheme="minorHAnsi" w:cstheme="minorHAnsi"/>
          <w:szCs w:val="24"/>
        </w:rPr>
        <w:t xml:space="preserve"> </w:t>
      </w:r>
      <w:r w:rsidR="00E83CF7" w:rsidRPr="007A7515">
        <w:rPr>
          <w:rFonts w:asciiTheme="minorHAnsi" w:eastAsiaTheme="minorEastAsia" w:hAnsiTheme="minorHAnsi" w:cstheme="minorHAnsi"/>
          <w:szCs w:val="24"/>
          <w:lang w:eastAsia="zh-CN"/>
        </w:rPr>
        <w:t>was involved in the delivery of the study and interpretation of the results</w:t>
      </w:r>
      <w:r w:rsidR="008833FE" w:rsidRPr="007A7515">
        <w:rPr>
          <w:rFonts w:asciiTheme="minorHAnsi" w:eastAsiaTheme="minorEastAsia" w:hAnsiTheme="minorHAnsi" w:cstheme="minorHAnsi"/>
          <w:szCs w:val="24"/>
          <w:lang w:eastAsia="zh-CN"/>
        </w:rPr>
        <w:t xml:space="preserve"> and writing of the report</w:t>
      </w:r>
      <w:r w:rsidR="00E83CF7" w:rsidRPr="007A7515">
        <w:rPr>
          <w:rFonts w:asciiTheme="minorHAnsi" w:eastAsiaTheme="minorEastAsia" w:hAnsiTheme="minorHAnsi" w:cstheme="minorHAnsi"/>
          <w:szCs w:val="24"/>
          <w:lang w:eastAsia="zh-CN"/>
        </w:rPr>
        <w:t>.</w:t>
      </w:r>
      <w:r w:rsidR="00B4625D" w:rsidRPr="007A7515">
        <w:rPr>
          <w:rFonts w:asciiTheme="minorHAnsi" w:hAnsiTheme="minorHAnsi" w:cstheme="minorHAnsi"/>
          <w:szCs w:val="24"/>
        </w:rPr>
        <w:br/>
      </w:r>
      <w:proofErr w:type="spellStart"/>
      <w:r w:rsidRPr="007A7515">
        <w:rPr>
          <w:rFonts w:asciiTheme="minorHAnsi" w:eastAsiaTheme="minorEastAsia" w:hAnsiTheme="minorHAnsi" w:cstheme="minorHAnsi"/>
          <w:szCs w:val="24"/>
          <w:lang w:eastAsia="zh-CN"/>
        </w:rPr>
        <w:t>Nagmi</w:t>
      </w:r>
      <w:proofErr w:type="spellEnd"/>
      <w:r w:rsidRPr="007A7515">
        <w:rPr>
          <w:rFonts w:asciiTheme="minorHAnsi" w:eastAsiaTheme="minorEastAsia" w:hAnsiTheme="minorHAnsi" w:cstheme="minorHAnsi"/>
          <w:szCs w:val="24"/>
          <w:lang w:eastAsia="zh-CN"/>
        </w:rPr>
        <w:t xml:space="preserve"> Qureshi (</w:t>
      </w:r>
      <w:r w:rsidR="00D35F43" w:rsidRPr="007A7515">
        <w:rPr>
          <w:rFonts w:asciiTheme="minorHAnsi" w:hAnsiTheme="minorHAnsi" w:cstheme="minorHAnsi"/>
          <w:szCs w:val="24"/>
        </w:rPr>
        <w:t>Consultant Cardiothoracic Radiologist</w:t>
      </w:r>
      <w:r w:rsidRPr="007A7515">
        <w:rPr>
          <w:rFonts w:asciiTheme="minorHAnsi" w:eastAsiaTheme="minorEastAsia" w:hAnsiTheme="minorHAnsi" w:cstheme="minorHAnsi"/>
          <w:szCs w:val="24"/>
          <w:lang w:eastAsia="zh-CN"/>
        </w:rPr>
        <w:t>)</w:t>
      </w:r>
      <w:r w:rsidR="00E83CF7" w:rsidRPr="007A7515">
        <w:rPr>
          <w:rFonts w:asciiTheme="minorHAnsi" w:eastAsiaTheme="minorEastAsia" w:hAnsiTheme="minorHAnsi" w:cstheme="minorHAnsi"/>
          <w:szCs w:val="24"/>
          <w:lang w:eastAsia="zh-CN"/>
        </w:rPr>
        <w:t xml:space="preserve"> was involved in the design of the study, delivery of the study and interpretation of the results. </w:t>
      </w:r>
    </w:p>
    <w:p w14:paraId="34A7A4B1" w14:textId="77777777"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Robert </w:t>
      </w:r>
      <w:proofErr w:type="spellStart"/>
      <w:r w:rsidRPr="007A7515">
        <w:rPr>
          <w:rFonts w:asciiTheme="minorHAnsi" w:eastAsiaTheme="minorEastAsia" w:hAnsiTheme="minorHAnsi" w:cstheme="minorHAnsi"/>
          <w:szCs w:val="24"/>
          <w:lang w:eastAsia="zh-CN"/>
        </w:rPr>
        <w:t>Rintoul</w:t>
      </w:r>
      <w:proofErr w:type="spellEnd"/>
      <w:r w:rsidRPr="007A7515">
        <w:rPr>
          <w:rFonts w:asciiTheme="minorHAnsi" w:eastAsiaTheme="minorEastAsia" w:hAnsiTheme="minorHAnsi" w:cstheme="minorHAnsi"/>
          <w:szCs w:val="24"/>
          <w:lang w:eastAsia="zh-CN"/>
        </w:rPr>
        <w:t xml:space="preserve"> </w:t>
      </w:r>
      <w:r w:rsidR="00D35F43" w:rsidRPr="007A7515">
        <w:rPr>
          <w:rFonts w:asciiTheme="minorHAnsi" w:eastAsiaTheme="minorEastAsia" w:hAnsiTheme="minorHAnsi" w:cstheme="minorHAnsi"/>
          <w:szCs w:val="24"/>
          <w:lang w:eastAsia="zh-CN"/>
        </w:rPr>
        <w:t>(</w:t>
      </w:r>
      <w:r w:rsidR="00D35F43" w:rsidRPr="007A7515">
        <w:rPr>
          <w:rFonts w:asciiTheme="minorHAnsi" w:hAnsiTheme="minorHAnsi" w:cstheme="minorHAnsi"/>
          <w:szCs w:val="24"/>
        </w:rPr>
        <w:t>Reader in Thoracic Oncology</w:t>
      </w:r>
      <w:r w:rsidRPr="007A7515">
        <w:rPr>
          <w:rFonts w:asciiTheme="minorHAnsi" w:eastAsiaTheme="minorEastAsia" w:hAnsiTheme="minorHAnsi" w:cstheme="minorHAnsi"/>
          <w:szCs w:val="24"/>
          <w:lang w:eastAsia="zh-CN"/>
        </w:rPr>
        <w:t xml:space="preserve">) </w:t>
      </w:r>
      <w:r w:rsidR="00E83CF7" w:rsidRPr="007A7515">
        <w:rPr>
          <w:rFonts w:asciiTheme="minorHAnsi" w:eastAsiaTheme="minorEastAsia" w:hAnsiTheme="minorHAnsi" w:cstheme="minorHAnsi"/>
          <w:szCs w:val="24"/>
          <w:lang w:eastAsia="zh-CN"/>
        </w:rPr>
        <w:t xml:space="preserve">was involved in the design of the study, delivery of the study and interpretation of the results. </w:t>
      </w:r>
    </w:p>
    <w:p w14:paraId="1E65EE99" w14:textId="477F2452"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Sabina </w:t>
      </w:r>
      <w:proofErr w:type="spellStart"/>
      <w:r w:rsidRPr="007A7515">
        <w:rPr>
          <w:rFonts w:asciiTheme="minorHAnsi" w:eastAsiaTheme="minorEastAsia" w:hAnsiTheme="minorHAnsi" w:cstheme="minorHAnsi"/>
          <w:szCs w:val="24"/>
          <w:lang w:eastAsia="zh-CN"/>
        </w:rPr>
        <w:t>Dizdarevic</w:t>
      </w:r>
      <w:proofErr w:type="spellEnd"/>
      <w:r w:rsidRPr="007A7515">
        <w:rPr>
          <w:rFonts w:asciiTheme="minorHAnsi" w:eastAsiaTheme="minorEastAsia" w:hAnsiTheme="minorHAnsi" w:cstheme="minorHAnsi"/>
          <w:szCs w:val="24"/>
          <w:lang w:eastAsia="zh-CN"/>
        </w:rPr>
        <w:t xml:space="preserve"> (</w:t>
      </w:r>
      <w:r w:rsidR="00D35F43" w:rsidRPr="007A7515">
        <w:rPr>
          <w:rFonts w:asciiTheme="minorHAnsi" w:hAnsiTheme="minorHAnsi" w:cstheme="minorHAnsi"/>
          <w:szCs w:val="24"/>
        </w:rPr>
        <w:t>Principal Lead Consultant in Imaging and Nuclear Medicine</w:t>
      </w:r>
      <w:r w:rsidRPr="007A7515">
        <w:rPr>
          <w:rFonts w:asciiTheme="minorHAnsi" w:eastAsiaTheme="minorEastAsia" w:hAnsiTheme="minorHAnsi" w:cstheme="minorHAnsi"/>
          <w:szCs w:val="24"/>
          <w:lang w:eastAsia="zh-CN"/>
        </w:rPr>
        <w:t>)</w:t>
      </w:r>
      <w:r w:rsidR="00E83CF7" w:rsidRPr="007A7515">
        <w:rPr>
          <w:rFonts w:asciiTheme="minorHAnsi" w:eastAsiaTheme="minorEastAsia" w:hAnsiTheme="minorHAnsi" w:cstheme="minorHAnsi"/>
          <w:szCs w:val="24"/>
          <w:lang w:eastAsia="zh-CN"/>
        </w:rPr>
        <w:t xml:space="preserve"> was involved in the design of the study, delivery of the study and interpretation of the results. </w:t>
      </w:r>
    </w:p>
    <w:p w14:paraId="0A83F14D" w14:textId="7D361A2C"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Lucy Pike</w:t>
      </w:r>
      <w:r w:rsidR="00D35F43" w:rsidRPr="007A7515">
        <w:rPr>
          <w:rFonts w:asciiTheme="minorHAnsi" w:eastAsiaTheme="minorEastAsia" w:hAnsiTheme="minorHAnsi" w:cstheme="minorHAnsi"/>
          <w:szCs w:val="24"/>
          <w:lang w:eastAsia="zh-CN"/>
        </w:rPr>
        <w:t xml:space="preserve"> (</w:t>
      </w:r>
      <w:r w:rsidR="00D35F43" w:rsidRPr="007A7515">
        <w:rPr>
          <w:rFonts w:asciiTheme="minorHAnsi" w:hAnsiTheme="minorHAnsi" w:cstheme="minorHAnsi"/>
          <w:szCs w:val="24"/>
          <w:lang w:val="en"/>
        </w:rPr>
        <w:t>Clinical Scientist)</w:t>
      </w:r>
      <w:r w:rsidR="00E83CF7" w:rsidRPr="007A7515">
        <w:rPr>
          <w:rFonts w:asciiTheme="minorHAnsi" w:hAnsiTheme="minorHAnsi" w:cstheme="minorHAnsi"/>
          <w:szCs w:val="24"/>
          <w:lang w:val="en"/>
        </w:rPr>
        <w:t xml:space="preserve"> </w:t>
      </w:r>
      <w:r w:rsidR="00E83CF7" w:rsidRPr="007A7515">
        <w:rPr>
          <w:rFonts w:asciiTheme="minorHAnsi" w:eastAsiaTheme="minorEastAsia" w:hAnsiTheme="minorHAnsi" w:cstheme="minorHAnsi"/>
          <w:szCs w:val="24"/>
          <w:lang w:eastAsia="zh-CN"/>
        </w:rPr>
        <w:t>was involved in the design of the study and took responsibility for the PET accreditation and quality Assurance</w:t>
      </w:r>
      <w:r w:rsidR="008833FE" w:rsidRPr="007A7515">
        <w:rPr>
          <w:rFonts w:asciiTheme="minorHAnsi" w:eastAsiaTheme="minorEastAsia" w:hAnsiTheme="minorHAnsi" w:cstheme="minorHAnsi"/>
          <w:szCs w:val="24"/>
          <w:lang w:eastAsia="zh-CN"/>
        </w:rPr>
        <w:t xml:space="preserve"> and chapter writing</w:t>
      </w:r>
      <w:r w:rsidR="00E83CF7" w:rsidRPr="007A7515">
        <w:rPr>
          <w:rFonts w:asciiTheme="minorHAnsi" w:eastAsiaTheme="minorEastAsia" w:hAnsiTheme="minorHAnsi" w:cstheme="minorHAnsi"/>
          <w:szCs w:val="24"/>
          <w:lang w:eastAsia="zh-CN"/>
        </w:rPr>
        <w:t xml:space="preserve">. </w:t>
      </w:r>
    </w:p>
    <w:p w14:paraId="5879DFE9" w14:textId="682D3B7F"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Donald Sinclair</w:t>
      </w:r>
      <w:r w:rsidR="00D35F43" w:rsidRPr="007A7515">
        <w:rPr>
          <w:rFonts w:asciiTheme="minorHAnsi" w:eastAsiaTheme="minorEastAsia" w:hAnsiTheme="minorHAnsi" w:cstheme="minorHAnsi"/>
          <w:szCs w:val="24"/>
          <w:lang w:eastAsia="zh-CN"/>
        </w:rPr>
        <w:t xml:space="preserve"> (Medical Physicist) </w:t>
      </w:r>
      <w:r w:rsidR="00E83CF7" w:rsidRPr="007A7515">
        <w:rPr>
          <w:rFonts w:asciiTheme="minorHAnsi" w:eastAsiaTheme="minorEastAsia" w:hAnsiTheme="minorHAnsi" w:cstheme="minorHAnsi"/>
          <w:szCs w:val="24"/>
          <w:lang w:eastAsia="zh-CN"/>
        </w:rPr>
        <w:t xml:space="preserve">was involved in PET accreditation and quality Assurance aspects of </w:t>
      </w:r>
      <w:proofErr w:type="spellStart"/>
      <w:r w:rsidR="00E83CF7" w:rsidRPr="007A7515">
        <w:rPr>
          <w:rFonts w:asciiTheme="minorHAnsi" w:eastAsiaTheme="minorEastAsia" w:hAnsiTheme="minorHAnsi" w:cstheme="minorHAnsi"/>
          <w:szCs w:val="24"/>
          <w:lang w:eastAsia="zh-CN"/>
        </w:rPr>
        <w:t>SPUtN</w:t>
      </w:r>
      <w:r w:rsidR="008833FE" w:rsidRPr="007A7515">
        <w:rPr>
          <w:rFonts w:asciiTheme="minorHAnsi" w:eastAsiaTheme="minorEastAsia" w:hAnsiTheme="minorHAnsi" w:cstheme="minorHAnsi"/>
          <w:szCs w:val="24"/>
          <w:lang w:eastAsia="zh-CN"/>
        </w:rPr>
        <w:t>Ik</w:t>
      </w:r>
      <w:proofErr w:type="spellEnd"/>
      <w:r w:rsidR="008833FE" w:rsidRPr="007A7515">
        <w:rPr>
          <w:rFonts w:asciiTheme="minorHAnsi" w:eastAsiaTheme="minorEastAsia" w:hAnsiTheme="minorHAnsi" w:cstheme="minorHAnsi"/>
          <w:szCs w:val="24"/>
          <w:lang w:eastAsia="zh-CN"/>
        </w:rPr>
        <w:t xml:space="preserve"> and chapter writing</w:t>
      </w:r>
      <w:r w:rsidR="00E83CF7" w:rsidRPr="007A7515">
        <w:rPr>
          <w:rFonts w:asciiTheme="minorHAnsi" w:eastAsiaTheme="minorEastAsia" w:hAnsiTheme="minorHAnsi" w:cstheme="minorHAnsi"/>
          <w:szCs w:val="24"/>
          <w:lang w:eastAsia="zh-CN"/>
        </w:rPr>
        <w:t>.</w:t>
      </w:r>
    </w:p>
    <w:p w14:paraId="29F793DB" w14:textId="2280BC7E"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Andrew Shah</w:t>
      </w:r>
      <w:r w:rsidR="00D35F43" w:rsidRPr="007A7515">
        <w:rPr>
          <w:rFonts w:asciiTheme="minorHAnsi" w:eastAsiaTheme="minorEastAsia" w:hAnsiTheme="minorHAnsi" w:cstheme="minorHAnsi"/>
          <w:szCs w:val="24"/>
          <w:lang w:eastAsia="zh-CN"/>
        </w:rPr>
        <w:t xml:space="preserve"> (</w:t>
      </w:r>
      <w:r w:rsidR="00D35F43" w:rsidRPr="007A7515">
        <w:rPr>
          <w:rFonts w:asciiTheme="minorHAnsi" w:hAnsiTheme="minorHAnsi" w:cstheme="minorHAnsi"/>
          <w:szCs w:val="24"/>
          <w:lang w:val="en"/>
        </w:rPr>
        <w:t>Head of Radiation Protection)</w:t>
      </w:r>
      <w:r w:rsidR="00E83CF7" w:rsidRPr="007A7515">
        <w:rPr>
          <w:rFonts w:asciiTheme="minorHAnsi" w:hAnsiTheme="minorHAnsi" w:cstheme="minorHAnsi"/>
          <w:szCs w:val="24"/>
          <w:lang w:val="en"/>
        </w:rPr>
        <w:t xml:space="preserve"> </w:t>
      </w:r>
      <w:r w:rsidR="00E83CF7" w:rsidRPr="007A7515">
        <w:rPr>
          <w:rFonts w:asciiTheme="minorHAnsi" w:eastAsiaTheme="minorEastAsia" w:hAnsiTheme="minorHAnsi" w:cstheme="minorHAnsi"/>
          <w:szCs w:val="24"/>
          <w:lang w:eastAsia="zh-CN"/>
        </w:rPr>
        <w:t xml:space="preserve">was involved in the design of the study and took responsibility for the DCE-CT accreditation and </w:t>
      </w:r>
      <w:r w:rsidR="008833FE" w:rsidRPr="007A7515">
        <w:rPr>
          <w:rFonts w:asciiTheme="minorHAnsi" w:eastAsiaTheme="minorEastAsia" w:hAnsiTheme="minorHAnsi" w:cstheme="minorHAnsi"/>
          <w:szCs w:val="24"/>
          <w:lang w:eastAsia="zh-CN"/>
        </w:rPr>
        <w:t>Q</w:t>
      </w:r>
      <w:r w:rsidR="00E83CF7" w:rsidRPr="007A7515">
        <w:rPr>
          <w:rFonts w:asciiTheme="minorHAnsi" w:eastAsiaTheme="minorEastAsia" w:hAnsiTheme="minorHAnsi" w:cstheme="minorHAnsi"/>
          <w:szCs w:val="24"/>
          <w:lang w:eastAsia="zh-CN"/>
        </w:rPr>
        <w:t>uality Assurance</w:t>
      </w:r>
      <w:r w:rsidR="008833FE" w:rsidRPr="007A7515">
        <w:rPr>
          <w:rFonts w:asciiTheme="minorHAnsi" w:eastAsiaTheme="minorEastAsia" w:hAnsiTheme="minorHAnsi" w:cstheme="minorHAnsi"/>
          <w:szCs w:val="24"/>
          <w:lang w:eastAsia="zh-CN"/>
        </w:rPr>
        <w:t xml:space="preserve"> and chapter writing</w:t>
      </w:r>
      <w:r w:rsidR="00E83CF7" w:rsidRPr="007A7515">
        <w:rPr>
          <w:rFonts w:asciiTheme="minorHAnsi" w:eastAsiaTheme="minorEastAsia" w:hAnsiTheme="minorHAnsi" w:cstheme="minorHAnsi"/>
          <w:szCs w:val="24"/>
          <w:lang w:eastAsia="zh-CN"/>
        </w:rPr>
        <w:t>.</w:t>
      </w:r>
    </w:p>
    <w:p w14:paraId="69B2687B" w14:textId="7FCCA866"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Rosemary Eaton</w:t>
      </w:r>
      <w:r w:rsidR="00D35F43" w:rsidRPr="007A7515">
        <w:rPr>
          <w:rFonts w:asciiTheme="minorHAnsi" w:eastAsiaTheme="minorEastAsia" w:hAnsiTheme="minorHAnsi" w:cstheme="minorHAnsi"/>
          <w:szCs w:val="24"/>
          <w:lang w:eastAsia="zh-CN"/>
        </w:rPr>
        <w:t xml:space="preserve"> </w:t>
      </w:r>
      <w:r w:rsidR="00B4625D" w:rsidRPr="007A7515">
        <w:rPr>
          <w:rFonts w:asciiTheme="minorHAnsi" w:eastAsiaTheme="minorEastAsia" w:hAnsiTheme="minorHAnsi" w:cstheme="minorHAnsi"/>
          <w:szCs w:val="24"/>
          <w:lang w:eastAsia="zh-CN"/>
        </w:rPr>
        <w:t>(</w:t>
      </w:r>
      <w:r w:rsidR="00B4625D" w:rsidRPr="007A7515">
        <w:rPr>
          <w:rFonts w:asciiTheme="minorHAnsi" w:hAnsiTheme="minorHAnsi" w:cstheme="minorHAnsi"/>
          <w:szCs w:val="24"/>
        </w:rPr>
        <w:t>Clinical Scientist)</w:t>
      </w:r>
      <w:r w:rsidR="00E83CF7" w:rsidRPr="007A7515">
        <w:rPr>
          <w:rFonts w:asciiTheme="minorHAnsi" w:hAnsiTheme="minorHAnsi" w:cstheme="minorHAnsi"/>
          <w:szCs w:val="24"/>
        </w:rPr>
        <w:t xml:space="preserve"> </w:t>
      </w:r>
      <w:r w:rsidR="00E83CF7" w:rsidRPr="007A7515">
        <w:rPr>
          <w:rFonts w:asciiTheme="minorHAnsi" w:eastAsiaTheme="minorEastAsia" w:hAnsiTheme="minorHAnsi" w:cstheme="minorHAnsi"/>
          <w:szCs w:val="24"/>
          <w:lang w:eastAsia="zh-CN"/>
        </w:rPr>
        <w:t xml:space="preserve">was involved in the design of the study and took responsibility for the DCE-CT accreditation and </w:t>
      </w:r>
      <w:r w:rsidR="008833FE" w:rsidRPr="007A7515">
        <w:rPr>
          <w:rFonts w:asciiTheme="minorHAnsi" w:eastAsiaTheme="minorEastAsia" w:hAnsiTheme="minorHAnsi" w:cstheme="minorHAnsi"/>
          <w:szCs w:val="24"/>
          <w:lang w:eastAsia="zh-CN"/>
        </w:rPr>
        <w:t>Q</w:t>
      </w:r>
      <w:r w:rsidR="00E83CF7" w:rsidRPr="007A7515">
        <w:rPr>
          <w:rFonts w:asciiTheme="minorHAnsi" w:eastAsiaTheme="minorEastAsia" w:hAnsiTheme="minorHAnsi" w:cstheme="minorHAnsi"/>
          <w:szCs w:val="24"/>
          <w:lang w:eastAsia="zh-CN"/>
        </w:rPr>
        <w:t>uality Assurance</w:t>
      </w:r>
      <w:r w:rsidR="008833FE" w:rsidRPr="007A7515">
        <w:rPr>
          <w:rFonts w:asciiTheme="minorHAnsi" w:eastAsiaTheme="minorEastAsia" w:hAnsiTheme="minorHAnsi" w:cstheme="minorHAnsi"/>
          <w:szCs w:val="24"/>
          <w:lang w:eastAsia="zh-CN"/>
        </w:rPr>
        <w:t xml:space="preserve"> and chapter writing</w:t>
      </w:r>
      <w:r w:rsidR="00E83CF7" w:rsidRPr="007A7515">
        <w:rPr>
          <w:rFonts w:asciiTheme="minorHAnsi" w:eastAsiaTheme="minorEastAsia" w:hAnsiTheme="minorHAnsi" w:cstheme="minorHAnsi"/>
          <w:szCs w:val="24"/>
          <w:lang w:eastAsia="zh-CN"/>
        </w:rPr>
        <w:t>.</w:t>
      </w:r>
    </w:p>
    <w:p w14:paraId="6CD3DAC1" w14:textId="206C18D1" w:rsidR="00E83CF7"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Jeremy Jones</w:t>
      </w:r>
      <w:r w:rsidR="0025329E" w:rsidRPr="007A7515">
        <w:rPr>
          <w:rFonts w:asciiTheme="minorHAnsi" w:eastAsiaTheme="minorEastAsia" w:hAnsiTheme="minorHAnsi" w:cstheme="minorHAnsi"/>
          <w:szCs w:val="24"/>
          <w:lang w:eastAsia="zh-CN"/>
        </w:rPr>
        <w:t xml:space="preserve"> (Health Economist)</w:t>
      </w:r>
      <w:r w:rsidR="00E83CF7" w:rsidRPr="007A7515">
        <w:rPr>
          <w:rFonts w:asciiTheme="minorHAnsi" w:eastAsiaTheme="minorEastAsia" w:hAnsiTheme="minorHAnsi" w:cstheme="minorHAnsi"/>
          <w:szCs w:val="24"/>
          <w:lang w:eastAsia="zh-CN"/>
        </w:rPr>
        <w:t xml:space="preserve"> was involved in the design of the study and took responsibility for the Health Economics model development</w:t>
      </w:r>
      <w:r w:rsidR="008833FE" w:rsidRPr="007A7515">
        <w:rPr>
          <w:rFonts w:asciiTheme="minorHAnsi" w:eastAsiaTheme="minorEastAsia" w:hAnsiTheme="minorHAnsi" w:cstheme="minorHAnsi"/>
          <w:szCs w:val="24"/>
          <w:lang w:eastAsia="zh-CN"/>
        </w:rPr>
        <w:t xml:space="preserve"> and chapter writing</w:t>
      </w:r>
      <w:r w:rsidR="00E83CF7" w:rsidRPr="007A7515">
        <w:rPr>
          <w:rFonts w:asciiTheme="minorHAnsi" w:eastAsiaTheme="minorEastAsia" w:hAnsiTheme="minorHAnsi" w:cstheme="minorHAnsi"/>
          <w:szCs w:val="24"/>
          <w:lang w:eastAsia="zh-CN"/>
        </w:rPr>
        <w:t>.</w:t>
      </w:r>
    </w:p>
    <w:p w14:paraId="51DB6A9E" w14:textId="77777777" w:rsidR="002A1B1B" w:rsidRPr="007A7515" w:rsidRDefault="002A1B1B" w:rsidP="002A1B1B">
      <w:pPr>
        <w:pStyle w:val="NoSpacing"/>
        <w:rPr>
          <w:rFonts w:asciiTheme="minorHAnsi" w:hAnsiTheme="minorHAnsi" w:cstheme="minorHAnsi"/>
          <w:szCs w:val="24"/>
          <w:lang w:eastAsia="en-GB"/>
        </w:rPr>
      </w:pPr>
      <w:r w:rsidRPr="007A7515">
        <w:rPr>
          <w:rFonts w:asciiTheme="minorHAnsi" w:eastAsiaTheme="minorEastAsia" w:hAnsiTheme="minorHAnsi" w:cstheme="minorHAnsi"/>
          <w:szCs w:val="24"/>
          <w:lang w:eastAsia="zh-CN"/>
        </w:rPr>
        <w:t>Andrew Clegg (</w:t>
      </w:r>
      <w:r w:rsidRPr="007A7515">
        <w:rPr>
          <w:rFonts w:asciiTheme="minorHAnsi" w:hAnsiTheme="minorHAnsi" w:cstheme="minorHAnsi"/>
          <w:szCs w:val="24"/>
          <w:lang w:eastAsia="en-GB"/>
        </w:rPr>
        <w:t xml:space="preserve">Professor of Health Services Research) was involved in the design of the study, systematic review of cost effectiveness, health economics model development, delivery and chapter writing. </w:t>
      </w:r>
    </w:p>
    <w:p w14:paraId="69962196" w14:textId="77777777" w:rsidR="002A1B1B" w:rsidRPr="007A7515" w:rsidRDefault="002A1B1B" w:rsidP="002A1B1B">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Valerio Benedetto (Research Associate, Health Economics) </w:t>
      </w:r>
      <w:r w:rsidRPr="007A7515">
        <w:rPr>
          <w:rFonts w:asciiTheme="minorHAnsi" w:hAnsiTheme="minorHAnsi" w:cstheme="minorHAnsi"/>
          <w:szCs w:val="24"/>
          <w:lang w:eastAsia="en-GB"/>
        </w:rPr>
        <w:t>was involved in the systematic review of cost effectiveness, health economics model development and analysis of the model results, delivery and chapter writing.</w:t>
      </w:r>
    </w:p>
    <w:p w14:paraId="3F9370CD" w14:textId="77777777" w:rsidR="002A1B1B" w:rsidRPr="007A7515" w:rsidRDefault="002A1B1B" w:rsidP="002A1B1B">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lastRenderedPageBreak/>
        <w:t xml:space="preserve">James Hill (Senior Lecturer, Evidence Synthesis) </w:t>
      </w:r>
      <w:r w:rsidRPr="007A7515">
        <w:rPr>
          <w:rFonts w:asciiTheme="minorHAnsi" w:hAnsiTheme="minorHAnsi" w:cstheme="minorHAnsi"/>
          <w:szCs w:val="24"/>
          <w:lang w:eastAsia="en-GB"/>
        </w:rPr>
        <w:t>was involved in the Systematic review of cost effectiveness, delivery and chapter writing.</w:t>
      </w:r>
    </w:p>
    <w:p w14:paraId="1D1A59D3" w14:textId="41BB55D6" w:rsidR="00B4625D"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Andrew </w:t>
      </w:r>
      <w:r w:rsidR="008833FE" w:rsidRPr="007A7515">
        <w:rPr>
          <w:rFonts w:asciiTheme="minorHAnsi" w:eastAsiaTheme="minorEastAsia" w:hAnsiTheme="minorHAnsi" w:cstheme="minorHAnsi"/>
          <w:szCs w:val="24"/>
          <w:lang w:eastAsia="zh-CN"/>
        </w:rPr>
        <w:t>C</w:t>
      </w:r>
      <w:r w:rsidRPr="007A7515">
        <w:rPr>
          <w:rFonts w:asciiTheme="minorHAnsi" w:eastAsiaTheme="minorEastAsia" w:hAnsiTheme="minorHAnsi" w:cstheme="minorHAnsi"/>
          <w:szCs w:val="24"/>
          <w:lang w:eastAsia="zh-CN"/>
        </w:rPr>
        <w:t>ook</w:t>
      </w:r>
      <w:r w:rsidR="00B4625D" w:rsidRPr="007A7515">
        <w:rPr>
          <w:rFonts w:asciiTheme="minorHAnsi" w:eastAsiaTheme="minorEastAsia" w:hAnsiTheme="minorHAnsi" w:cstheme="minorHAnsi"/>
          <w:szCs w:val="24"/>
          <w:lang w:eastAsia="zh-CN"/>
        </w:rPr>
        <w:t xml:space="preserve"> (</w:t>
      </w:r>
      <w:r w:rsidR="00B4625D" w:rsidRPr="007A7515">
        <w:rPr>
          <w:rFonts w:asciiTheme="minorHAnsi" w:hAnsiTheme="minorHAnsi" w:cstheme="minorHAnsi"/>
          <w:szCs w:val="24"/>
        </w:rPr>
        <w:t>Associate Director, Southampton Clinical Trials Unit)</w:t>
      </w:r>
      <w:r w:rsidR="00CF498D" w:rsidRPr="007A7515">
        <w:rPr>
          <w:rFonts w:asciiTheme="minorHAnsi" w:hAnsiTheme="minorHAnsi" w:cstheme="minorHAnsi"/>
          <w:szCs w:val="24"/>
        </w:rPr>
        <w:t xml:space="preserve"> oversaw the study management and was involved in the </w:t>
      </w:r>
      <w:r w:rsidR="00CF498D" w:rsidRPr="007A7515">
        <w:rPr>
          <w:rFonts w:asciiTheme="minorHAnsi" w:eastAsiaTheme="minorEastAsia" w:hAnsiTheme="minorHAnsi" w:cstheme="minorHAnsi"/>
          <w:szCs w:val="24"/>
          <w:lang w:eastAsia="zh-CN"/>
        </w:rPr>
        <w:t>interpretation of the results.</w:t>
      </w:r>
    </w:p>
    <w:p w14:paraId="48BC418A" w14:textId="3CA1C97C" w:rsidR="0065207A" w:rsidRPr="007A7515" w:rsidRDefault="0065207A" w:rsidP="00B4625D">
      <w:pPr>
        <w:pStyle w:val="NoSpacing"/>
        <w:rPr>
          <w:rFonts w:asciiTheme="minorHAnsi" w:eastAsiaTheme="minorHAnsi" w:hAnsiTheme="minorHAnsi" w:cstheme="minorHAnsi"/>
          <w:szCs w:val="24"/>
        </w:rPr>
      </w:pPr>
      <w:proofErr w:type="spellStart"/>
      <w:r w:rsidRPr="007A7515">
        <w:rPr>
          <w:rFonts w:asciiTheme="minorHAnsi" w:eastAsiaTheme="minorEastAsia" w:hAnsiTheme="minorHAnsi" w:cstheme="minorHAnsi"/>
          <w:szCs w:val="24"/>
          <w:lang w:eastAsia="zh-CN"/>
        </w:rPr>
        <w:t>Dimirtios</w:t>
      </w:r>
      <w:proofErr w:type="spellEnd"/>
      <w:r w:rsidRPr="007A7515">
        <w:rPr>
          <w:rFonts w:asciiTheme="minorHAnsi" w:eastAsiaTheme="minorEastAsia" w:hAnsiTheme="minorHAnsi" w:cstheme="minorHAnsi"/>
          <w:szCs w:val="24"/>
          <w:lang w:eastAsia="zh-CN"/>
        </w:rPr>
        <w:t xml:space="preserve"> </w:t>
      </w:r>
      <w:proofErr w:type="spellStart"/>
      <w:r w:rsidRPr="007A7515">
        <w:rPr>
          <w:rFonts w:asciiTheme="minorHAnsi" w:eastAsiaTheme="minorEastAsia" w:hAnsiTheme="minorHAnsi" w:cstheme="minorHAnsi"/>
          <w:szCs w:val="24"/>
          <w:lang w:eastAsia="zh-CN"/>
        </w:rPr>
        <w:t>Tzeli</w:t>
      </w:r>
      <w:proofErr w:type="spellEnd"/>
      <w:r w:rsidR="00B4625D" w:rsidRPr="007A7515">
        <w:rPr>
          <w:rFonts w:asciiTheme="minorHAnsi" w:eastAsiaTheme="minorEastAsia" w:hAnsiTheme="minorHAnsi" w:cstheme="minorHAnsi"/>
          <w:szCs w:val="24"/>
          <w:lang w:eastAsia="zh-CN"/>
        </w:rPr>
        <w:t xml:space="preserve"> (</w:t>
      </w:r>
      <w:r w:rsidR="00B4625D" w:rsidRPr="007A7515">
        <w:rPr>
          <w:rFonts w:asciiTheme="minorHAnsi" w:hAnsiTheme="minorHAnsi" w:cstheme="minorHAnsi"/>
          <w:szCs w:val="24"/>
        </w:rPr>
        <w:t>Health Economist</w:t>
      </w:r>
      <w:r w:rsidR="00B4625D" w:rsidRPr="007A7515">
        <w:rPr>
          <w:rFonts w:asciiTheme="minorHAnsi" w:eastAsiaTheme="minorEastAsia" w:hAnsiTheme="minorHAnsi" w:cstheme="minorHAnsi"/>
          <w:szCs w:val="24"/>
          <w:lang w:eastAsia="zh-CN"/>
        </w:rPr>
        <w:t>)</w:t>
      </w:r>
      <w:r w:rsidR="00CF498D" w:rsidRPr="007A7515">
        <w:rPr>
          <w:rFonts w:asciiTheme="minorHAnsi" w:eastAsiaTheme="minorEastAsia" w:hAnsiTheme="minorHAnsi" w:cstheme="minorHAnsi"/>
          <w:szCs w:val="24"/>
          <w:lang w:eastAsia="zh-CN"/>
        </w:rPr>
        <w:t xml:space="preserve"> was involved in the Health Economics model development and analysis of model results, interpretation and chapter writing </w:t>
      </w:r>
    </w:p>
    <w:p w14:paraId="5EB987D3" w14:textId="3F7290CA"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Luke Vale</w:t>
      </w:r>
      <w:r w:rsidR="00B4625D" w:rsidRPr="007A7515">
        <w:rPr>
          <w:rFonts w:asciiTheme="minorHAnsi" w:eastAsiaTheme="minorEastAsia" w:hAnsiTheme="minorHAnsi" w:cstheme="minorHAnsi"/>
          <w:szCs w:val="24"/>
          <w:lang w:eastAsia="zh-CN"/>
        </w:rPr>
        <w:t xml:space="preserve"> (</w:t>
      </w:r>
      <w:r w:rsidR="00B4625D" w:rsidRPr="007A7515">
        <w:rPr>
          <w:rFonts w:asciiTheme="minorHAnsi" w:hAnsiTheme="minorHAnsi" w:cstheme="minorHAnsi"/>
          <w:szCs w:val="24"/>
        </w:rPr>
        <w:t>Professor of Health Economics)</w:t>
      </w:r>
      <w:r w:rsidR="00CF498D" w:rsidRPr="007A7515">
        <w:rPr>
          <w:rFonts w:asciiTheme="minorHAnsi" w:eastAsiaTheme="minorEastAsia" w:hAnsiTheme="minorHAnsi" w:cstheme="minorHAnsi"/>
          <w:szCs w:val="24"/>
          <w:lang w:eastAsia="zh-CN"/>
        </w:rPr>
        <w:t xml:space="preserve"> was involved in the Health Economics model development and analysis of model results, interpretation and chapter writing.</w:t>
      </w:r>
    </w:p>
    <w:p w14:paraId="45838620" w14:textId="2E26E1D0"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Lucy Brindle</w:t>
      </w:r>
      <w:r w:rsidR="00B4625D" w:rsidRPr="007A7515">
        <w:rPr>
          <w:rFonts w:asciiTheme="minorHAnsi" w:eastAsiaTheme="minorEastAsia" w:hAnsiTheme="minorHAnsi" w:cstheme="minorHAnsi"/>
          <w:szCs w:val="24"/>
          <w:lang w:eastAsia="zh-CN"/>
        </w:rPr>
        <w:t xml:space="preserve"> (</w:t>
      </w:r>
      <w:r w:rsidR="00B4625D" w:rsidRPr="007A7515">
        <w:rPr>
          <w:rFonts w:asciiTheme="minorHAnsi" w:hAnsiTheme="minorHAnsi" w:cstheme="minorHAnsi"/>
          <w:szCs w:val="24"/>
          <w:lang w:val="en"/>
        </w:rPr>
        <w:t>Associate Professor in Early Diagnosis Research)</w:t>
      </w:r>
      <w:r w:rsidR="00E83CF7" w:rsidRPr="007A7515">
        <w:rPr>
          <w:rFonts w:asciiTheme="minorHAnsi" w:hAnsiTheme="minorHAnsi" w:cstheme="minorHAnsi"/>
          <w:szCs w:val="24"/>
          <w:lang w:val="en"/>
        </w:rPr>
        <w:t xml:space="preserve"> developed and conducted the analysis for the IPCARD sub study</w:t>
      </w:r>
      <w:r w:rsidR="008833FE" w:rsidRPr="007A7515">
        <w:rPr>
          <w:rFonts w:asciiTheme="minorHAnsi" w:hAnsiTheme="minorHAnsi" w:cstheme="minorHAnsi"/>
          <w:szCs w:val="24"/>
          <w:lang w:val="en"/>
        </w:rPr>
        <w:t xml:space="preserve"> </w:t>
      </w:r>
      <w:r w:rsidR="008833FE" w:rsidRPr="007A7515">
        <w:rPr>
          <w:rFonts w:asciiTheme="minorHAnsi" w:eastAsiaTheme="minorEastAsia" w:hAnsiTheme="minorHAnsi" w:cstheme="minorHAnsi"/>
          <w:szCs w:val="24"/>
          <w:lang w:eastAsia="zh-CN"/>
        </w:rPr>
        <w:t xml:space="preserve">and chapter writing. </w:t>
      </w:r>
      <w:r w:rsidR="00E83CF7" w:rsidRPr="007A7515">
        <w:rPr>
          <w:rFonts w:asciiTheme="minorHAnsi" w:hAnsiTheme="minorHAnsi" w:cstheme="minorHAnsi"/>
          <w:szCs w:val="24"/>
          <w:lang w:val="en"/>
        </w:rPr>
        <w:t xml:space="preserve"> </w:t>
      </w:r>
    </w:p>
    <w:p w14:paraId="6A281067" w14:textId="08F84A2F" w:rsidR="0065207A"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Jackie Madden</w:t>
      </w:r>
      <w:r w:rsidR="00D35F43" w:rsidRPr="007A7515">
        <w:rPr>
          <w:rFonts w:asciiTheme="minorHAnsi" w:hAnsiTheme="minorHAnsi" w:cstheme="minorHAnsi"/>
          <w:bCs/>
          <w:szCs w:val="24"/>
          <w:lang w:eastAsia="en-GB"/>
        </w:rPr>
        <w:t xml:space="preserve"> (Trials Manager)</w:t>
      </w:r>
      <w:r w:rsidR="00E83CF7" w:rsidRPr="007A7515">
        <w:rPr>
          <w:rFonts w:asciiTheme="minorHAnsi" w:hAnsiTheme="minorHAnsi" w:cstheme="minorHAnsi"/>
          <w:bCs/>
          <w:szCs w:val="24"/>
          <w:lang w:eastAsia="en-GB"/>
        </w:rPr>
        <w:t xml:space="preserve"> </w:t>
      </w:r>
      <w:r w:rsidR="00E83CF7" w:rsidRPr="007A7515">
        <w:rPr>
          <w:rFonts w:asciiTheme="minorHAnsi" w:eastAsiaTheme="minorEastAsia" w:hAnsiTheme="minorHAnsi" w:cstheme="minorHAnsi"/>
          <w:szCs w:val="24"/>
          <w:lang w:eastAsia="zh-CN"/>
        </w:rPr>
        <w:t>were responsible for study management.</w:t>
      </w:r>
    </w:p>
    <w:p w14:paraId="068B9CE8" w14:textId="63A7EFAE"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Kelly </w:t>
      </w:r>
      <w:r w:rsidR="008833FE" w:rsidRPr="007A7515">
        <w:rPr>
          <w:rFonts w:asciiTheme="minorHAnsi" w:eastAsiaTheme="minorEastAsia" w:hAnsiTheme="minorHAnsi" w:cstheme="minorHAnsi"/>
          <w:szCs w:val="24"/>
          <w:lang w:eastAsia="zh-CN"/>
        </w:rPr>
        <w:t>C</w:t>
      </w:r>
      <w:r w:rsidRPr="007A7515">
        <w:rPr>
          <w:rFonts w:asciiTheme="minorHAnsi" w:eastAsiaTheme="minorEastAsia" w:hAnsiTheme="minorHAnsi" w:cstheme="minorHAnsi"/>
          <w:szCs w:val="24"/>
          <w:lang w:eastAsia="zh-CN"/>
        </w:rPr>
        <w:t>ozens</w:t>
      </w:r>
      <w:r w:rsidR="00D35F43" w:rsidRPr="007A7515">
        <w:rPr>
          <w:rFonts w:asciiTheme="minorHAnsi" w:eastAsiaTheme="minorEastAsia" w:hAnsiTheme="minorHAnsi" w:cstheme="minorHAnsi"/>
          <w:szCs w:val="24"/>
          <w:lang w:eastAsia="zh-CN"/>
        </w:rPr>
        <w:t xml:space="preserve"> (</w:t>
      </w:r>
      <w:r w:rsidR="00D35F43" w:rsidRPr="007A7515">
        <w:rPr>
          <w:rFonts w:asciiTheme="minorHAnsi" w:hAnsiTheme="minorHAnsi" w:cstheme="minorHAnsi"/>
          <w:bCs/>
          <w:szCs w:val="24"/>
          <w:lang w:eastAsia="en-GB"/>
        </w:rPr>
        <w:t>Senior Trials Manager)</w:t>
      </w:r>
      <w:r w:rsidR="00E83CF7" w:rsidRPr="007A7515">
        <w:rPr>
          <w:rFonts w:asciiTheme="minorHAnsi" w:eastAsiaTheme="minorEastAsia" w:hAnsiTheme="minorHAnsi" w:cstheme="minorHAnsi"/>
          <w:szCs w:val="24"/>
          <w:lang w:eastAsia="zh-CN"/>
        </w:rPr>
        <w:t xml:space="preserve"> was responsible for study management.</w:t>
      </w:r>
    </w:p>
    <w:p w14:paraId="69211BD8" w14:textId="157B06F2"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Louisa Little</w:t>
      </w:r>
      <w:r w:rsidR="00D35F43" w:rsidRPr="007A7515">
        <w:rPr>
          <w:rFonts w:asciiTheme="minorHAnsi" w:eastAsiaTheme="minorEastAsia" w:hAnsiTheme="minorHAnsi" w:cstheme="minorHAnsi"/>
          <w:szCs w:val="24"/>
          <w:lang w:eastAsia="zh-CN"/>
        </w:rPr>
        <w:t xml:space="preserve"> (</w:t>
      </w:r>
      <w:r w:rsidR="00D35F43" w:rsidRPr="007A7515">
        <w:rPr>
          <w:rFonts w:asciiTheme="minorHAnsi" w:hAnsiTheme="minorHAnsi" w:cstheme="minorHAnsi"/>
          <w:bCs/>
          <w:szCs w:val="24"/>
          <w:lang w:eastAsia="en-GB"/>
        </w:rPr>
        <w:t>Senior Trials Manager)</w:t>
      </w:r>
      <w:r w:rsidR="00E83CF7" w:rsidRPr="007A7515">
        <w:rPr>
          <w:rFonts w:asciiTheme="minorHAnsi" w:eastAsiaTheme="minorEastAsia" w:hAnsiTheme="minorHAnsi" w:cstheme="minorHAnsi"/>
          <w:szCs w:val="24"/>
          <w:lang w:eastAsia="zh-CN"/>
        </w:rPr>
        <w:t xml:space="preserve"> </w:t>
      </w:r>
      <w:r w:rsidR="00182BEC" w:rsidRPr="007A7515">
        <w:rPr>
          <w:rFonts w:asciiTheme="minorHAnsi" w:hAnsiTheme="minorHAnsi" w:cstheme="minorHAnsi"/>
          <w:szCs w:val="24"/>
        </w:rPr>
        <w:t xml:space="preserve">oversaw the study management and was involved in the </w:t>
      </w:r>
      <w:r w:rsidR="00182BEC" w:rsidRPr="007A7515">
        <w:rPr>
          <w:rFonts w:asciiTheme="minorHAnsi" w:eastAsiaTheme="minorEastAsia" w:hAnsiTheme="minorHAnsi" w:cstheme="minorHAnsi"/>
          <w:szCs w:val="24"/>
          <w:lang w:eastAsia="zh-CN"/>
        </w:rPr>
        <w:t>interpretation of the results.</w:t>
      </w:r>
    </w:p>
    <w:p w14:paraId="00780D78" w14:textId="6915B348"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Kathrin </w:t>
      </w:r>
      <w:proofErr w:type="spellStart"/>
      <w:r w:rsidRPr="007A7515">
        <w:rPr>
          <w:rFonts w:asciiTheme="minorHAnsi" w:eastAsiaTheme="minorEastAsia" w:hAnsiTheme="minorHAnsi" w:cstheme="minorHAnsi"/>
          <w:szCs w:val="24"/>
          <w:lang w:eastAsia="zh-CN"/>
        </w:rPr>
        <w:t>Eichhorst</w:t>
      </w:r>
      <w:proofErr w:type="spellEnd"/>
      <w:r w:rsidR="00D35F43" w:rsidRPr="007A7515">
        <w:rPr>
          <w:rFonts w:asciiTheme="minorHAnsi" w:eastAsiaTheme="minorEastAsia" w:hAnsiTheme="minorHAnsi" w:cstheme="minorHAnsi"/>
          <w:szCs w:val="24"/>
          <w:lang w:eastAsia="zh-CN"/>
        </w:rPr>
        <w:t xml:space="preserve"> (Data Coordinator) </w:t>
      </w:r>
      <w:r w:rsidR="00E83CF7" w:rsidRPr="007A7515">
        <w:rPr>
          <w:rFonts w:asciiTheme="minorHAnsi" w:eastAsiaTheme="minorEastAsia" w:hAnsiTheme="minorHAnsi" w:cstheme="minorHAnsi"/>
          <w:szCs w:val="24"/>
          <w:lang w:eastAsia="zh-CN"/>
        </w:rPr>
        <w:t>was responsible for data management.</w:t>
      </w:r>
    </w:p>
    <w:p w14:paraId="38432B05" w14:textId="76A0BF8E" w:rsidR="0065207A" w:rsidRPr="007A7515" w:rsidRDefault="0065207A" w:rsidP="00B4625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 xml:space="preserve">Patricia </w:t>
      </w:r>
      <w:proofErr w:type="spellStart"/>
      <w:r w:rsidRPr="007A7515">
        <w:rPr>
          <w:rFonts w:asciiTheme="minorHAnsi" w:eastAsiaTheme="minorEastAsia" w:hAnsiTheme="minorHAnsi" w:cstheme="minorHAnsi"/>
          <w:szCs w:val="24"/>
          <w:lang w:eastAsia="zh-CN"/>
        </w:rPr>
        <w:t>Moate</w:t>
      </w:r>
      <w:proofErr w:type="spellEnd"/>
      <w:r w:rsidRPr="007A7515">
        <w:rPr>
          <w:rFonts w:asciiTheme="minorHAnsi" w:eastAsiaTheme="minorEastAsia" w:hAnsiTheme="minorHAnsi" w:cstheme="minorHAnsi"/>
          <w:szCs w:val="24"/>
          <w:lang w:eastAsia="zh-CN"/>
        </w:rPr>
        <w:t xml:space="preserve"> (Patient Representative)</w:t>
      </w:r>
      <w:r w:rsidR="00CF498D" w:rsidRPr="007A7515">
        <w:rPr>
          <w:rFonts w:asciiTheme="minorHAnsi" w:eastAsiaTheme="minorEastAsia" w:hAnsiTheme="minorHAnsi" w:cstheme="minorHAnsi"/>
          <w:szCs w:val="24"/>
          <w:lang w:eastAsia="zh-CN"/>
        </w:rPr>
        <w:t xml:space="preserve"> was the patient representative on the Trial Management Group.</w:t>
      </w:r>
    </w:p>
    <w:p w14:paraId="76340900" w14:textId="762D3291" w:rsidR="00CF498D" w:rsidRPr="007A7515" w:rsidRDefault="0065207A" w:rsidP="00CF498D">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lang w:eastAsia="zh-CN"/>
        </w:rPr>
        <w:t>C</w:t>
      </w:r>
      <w:r w:rsidR="00AC3A24" w:rsidRPr="007A7515">
        <w:rPr>
          <w:rFonts w:asciiTheme="minorHAnsi" w:eastAsiaTheme="minorEastAsia" w:hAnsiTheme="minorHAnsi" w:cstheme="minorHAnsi"/>
          <w:szCs w:val="24"/>
          <w:lang w:eastAsia="zh-CN"/>
        </w:rPr>
        <w:t>hris</w:t>
      </w:r>
      <w:r w:rsidRPr="007A7515">
        <w:rPr>
          <w:rFonts w:asciiTheme="minorHAnsi" w:eastAsiaTheme="minorEastAsia" w:hAnsiTheme="minorHAnsi" w:cstheme="minorHAnsi"/>
          <w:szCs w:val="24"/>
          <w:lang w:eastAsia="zh-CN"/>
        </w:rPr>
        <w:t xml:space="preserve"> McClement (Patient Representative)</w:t>
      </w:r>
      <w:r w:rsidR="00CF498D" w:rsidRPr="007A7515">
        <w:rPr>
          <w:rFonts w:asciiTheme="minorHAnsi" w:eastAsiaTheme="minorEastAsia" w:hAnsiTheme="minorHAnsi" w:cstheme="minorHAnsi"/>
          <w:szCs w:val="24"/>
          <w:lang w:eastAsia="zh-CN"/>
        </w:rPr>
        <w:t xml:space="preserve"> was the patient representative on the Trial Management Group.</w:t>
      </w:r>
    </w:p>
    <w:p w14:paraId="0D9ECB69" w14:textId="06193017" w:rsidR="00E83CF7" w:rsidRPr="007A7515" w:rsidRDefault="0065207A" w:rsidP="00E83CF7">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rPr>
        <w:t>C</w:t>
      </w:r>
      <w:r w:rsidR="00B4625D" w:rsidRPr="007A7515">
        <w:rPr>
          <w:rFonts w:asciiTheme="minorHAnsi" w:eastAsiaTheme="minorEastAsia" w:hAnsiTheme="minorHAnsi" w:cstheme="minorHAnsi"/>
          <w:szCs w:val="24"/>
        </w:rPr>
        <w:t>harles</w:t>
      </w:r>
      <w:r w:rsidRPr="007A7515">
        <w:rPr>
          <w:rFonts w:asciiTheme="minorHAnsi" w:eastAsiaTheme="minorEastAsia" w:hAnsiTheme="minorHAnsi" w:cstheme="minorHAnsi"/>
          <w:szCs w:val="24"/>
        </w:rPr>
        <w:t xml:space="preserve"> Peebles</w:t>
      </w:r>
      <w:r w:rsidR="00B4625D" w:rsidRPr="007A7515">
        <w:rPr>
          <w:rFonts w:asciiTheme="minorHAnsi" w:eastAsiaTheme="minorEastAsia" w:hAnsiTheme="minorHAnsi" w:cstheme="minorHAnsi"/>
          <w:szCs w:val="24"/>
        </w:rPr>
        <w:t xml:space="preserve"> (</w:t>
      </w:r>
      <w:r w:rsidR="00B4625D" w:rsidRPr="007A7515">
        <w:rPr>
          <w:rFonts w:asciiTheme="minorHAnsi" w:hAnsiTheme="minorHAnsi" w:cstheme="minorHAnsi"/>
          <w:szCs w:val="24"/>
        </w:rPr>
        <w:t>Consultant Radiologist</w:t>
      </w:r>
      <w:r w:rsidR="00B4625D" w:rsidRPr="007A7515">
        <w:rPr>
          <w:rFonts w:asciiTheme="minorHAnsi" w:eastAsiaTheme="minorEastAsia" w:hAnsiTheme="minorHAnsi" w:cstheme="minorHAnsi"/>
          <w:szCs w:val="24"/>
        </w:rPr>
        <w:t>)</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t>
      </w:r>
      <w:r w:rsidR="00E83CF7" w:rsidRPr="007A7515">
        <w:rPr>
          <w:rFonts w:asciiTheme="minorHAnsi" w:eastAsiaTheme="minorEastAsia" w:hAnsiTheme="minorHAnsi" w:cstheme="minorHAnsi"/>
          <w:szCs w:val="24"/>
        </w:rPr>
        <w:t xml:space="preserve">was </w:t>
      </w:r>
      <w:r w:rsidR="00E83CF7" w:rsidRPr="007A7515">
        <w:rPr>
          <w:rFonts w:asciiTheme="minorHAnsi" w:eastAsiaTheme="minorEastAsia" w:hAnsiTheme="minorHAnsi" w:cstheme="minorHAnsi"/>
          <w:szCs w:val="24"/>
          <w:lang w:eastAsia="zh-CN"/>
        </w:rPr>
        <w:t>responsible for recruiting participants.</w:t>
      </w:r>
    </w:p>
    <w:p w14:paraId="48E8F881" w14:textId="7859C5D8" w:rsidR="00623E03" w:rsidRPr="007A7515" w:rsidRDefault="009C0E62" w:rsidP="00623E03">
      <w:pPr>
        <w:pStyle w:val="NoSpacing"/>
        <w:rPr>
          <w:rFonts w:asciiTheme="minorHAnsi" w:eastAsiaTheme="minorEastAsia" w:hAnsiTheme="minorHAnsi" w:cstheme="minorHAnsi"/>
          <w:szCs w:val="24"/>
          <w:lang w:eastAsia="zh-CN"/>
        </w:rPr>
      </w:pPr>
      <w:proofErr w:type="spellStart"/>
      <w:r w:rsidRPr="007A7515">
        <w:rPr>
          <w:rFonts w:asciiTheme="minorHAnsi" w:hAnsiTheme="minorHAnsi" w:cstheme="minorHAnsi"/>
          <w:szCs w:val="24"/>
        </w:rPr>
        <w:t>Anindo</w:t>
      </w:r>
      <w:proofErr w:type="spellEnd"/>
      <w:r w:rsidRPr="007A7515">
        <w:rPr>
          <w:rFonts w:asciiTheme="minorHAnsi" w:hAnsiTheme="minorHAnsi" w:cstheme="minorHAnsi"/>
          <w:szCs w:val="24"/>
        </w:rPr>
        <w:t xml:space="preserve"> Banerjee</w:t>
      </w:r>
      <w:r w:rsidRPr="007A7515">
        <w:rPr>
          <w:rFonts w:asciiTheme="minorHAnsi" w:eastAsiaTheme="minorEastAsia" w:hAnsiTheme="minorHAnsi" w:cstheme="minorHAnsi"/>
          <w:szCs w:val="24"/>
        </w:rPr>
        <w:t xml:space="preserve"> (</w:t>
      </w:r>
      <w:r w:rsidR="008833FE" w:rsidRPr="007A7515">
        <w:rPr>
          <w:rFonts w:asciiTheme="minorHAnsi" w:eastAsiaTheme="minorEastAsia" w:hAnsiTheme="minorHAnsi" w:cstheme="minorHAnsi"/>
          <w:szCs w:val="24"/>
        </w:rPr>
        <w:t>Consultant</w:t>
      </w:r>
      <w:r w:rsidRPr="007A7515">
        <w:rPr>
          <w:rFonts w:asciiTheme="minorHAnsi" w:eastAsiaTheme="minorEastAsia" w:hAnsiTheme="minorHAnsi" w:cstheme="minorHAnsi"/>
          <w:szCs w:val="24"/>
        </w:rPr>
        <w:t xml:space="preserve"> </w:t>
      </w:r>
      <w:r w:rsidRPr="007A7515">
        <w:rPr>
          <w:rFonts w:asciiTheme="minorHAnsi" w:hAnsiTheme="minorHAnsi" w:cstheme="minorHAnsi"/>
          <w:szCs w:val="24"/>
        </w:rPr>
        <w:t>Thoracic oncology and tuberculosis)</w:t>
      </w:r>
      <w:r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009E50DD" w14:textId="13EB2C27" w:rsidR="00623E03" w:rsidRPr="007A7515" w:rsidRDefault="009C0E62" w:rsidP="00623E03">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t>Sai Han</w:t>
      </w:r>
      <w:r w:rsidRPr="007A7515">
        <w:rPr>
          <w:rFonts w:asciiTheme="minorHAnsi" w:eastAsiaTheme="minorEastAsia" w:hAnsiTheme="minorHAnsi" w:cstheme="minorHAnsi"/>
          <w:szCs w:val="24"/>
        </w:rPr>
        <w:t xml:space="preserve"> (</w:t>
      </w:r>
      <w:r w:rsidRPr="007A7515">
        <w:rPr>
          <w:rFonts w:asciiTheme="minorHAnsi" w:hAnsiTheme="minorHAnsi" w:cstheme="minorHAnsi"/>
          <w:szCs w:val="24"/>
        </w:rPr>
        <w:t>Consultant in Nuclear Medicine)</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53C797CF" w14:textId="77777777" w:rsidR="00623E03" w:rsidRPr="007A7515" w:rsidRDefault="009C0E62" w:rsidP="00623E03">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t>Fat-</w:t>
      </w:r>
      <w:proofErr w:type="spellStart"/>
      <w:r w:rsidRPr="007A7515">
        <w:rPr>
          <w:rFonts w:asciiTheme="minorHAnsi" w:hAnsiTheme="minorHAnsi" w:cstheme="minorHAnsi"/>
          <w:szCs w:val="24"/>
        </w:rPr>
        <w:t>Wui</w:t>
      </w:r>
      <w:proofErr w:type="spellEnd"/>
      <w:r w:rsidRPr="007A7515">
        <w:rPr>
          <w:rFonts w:asciiTheme="minorHAnsi" w:hAnsiTheme="minorHAnsi" w:cstheme="minorHAnsi"/>
          <w:szCs w:val="24"/>
        </w:rPr>
        <w:t xml:space="preserve"> Poon </w:t>
      </w:r>
      <w:r w:rsidR="0065207A" w:rsidRPr="007A7515">
        <w:rPr>
          <w:rFonts w:asciiTheme="minorHAnsi" w:hAnsiTheme="minorHAnsi" w:cstheme="minorHAnsi"/>
          <w:szCs w:val="24"/>
        </w:rPr>
        <w:t xml:space="preserve">(Consultant Radiologist)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47434F13" w14:textId="4801BDFC" w:rsidR="00623E03" w:rsidRPr="007A7515" w:rsidRDefault="009C0E62" w:rsidP="00623E03">
      <w:pPr>
        <w:pStyle w:val="NoSpacing"/>
        <w:rPr>
          <w:rFonts w:asciiTheme="minorHAnsi" w:eastAsiaTheme="minorEastAsia" w:hAnsiTheme="minorHAnsi" w:cstheme="minorHAnsi"/>
          <w:szCs w:val="24"/>
          <w:lang w:eastAsia="zh-CN"/>
        </w:rPr>
      </w:pPr>
      <w:r w:rsidRPr="007A7515">
        <w:rPr>
          <w:rFonts w:asciiTheme="minorHAnsi" w:hAnsiTheme="minorHAnsi" w:cstheme="minorHAnsi"/>
          <w:szCs w:val="24"/>
        </w:rPr>
        <w:t xml:space="preserve">Ashley Groves </w:t>
      </w:r>
      <w:r w:rsidR="008833FE" w:rsidRPr="007A7515">
        <w:rPr>
          <w:rFonts w:asciiTheme="minorHAnsi" w:hAnsiTheme="minorHAnsi" w:cstheme="minorHAnsi"/>
          <w:szCs w:val="24"/>
        </w:rPr>
        <w:t>(</w:t>
      </w:r>
      <w:r w:rsidR="00D35F43" w:rsidRPr="007A7515">
        <w:rPr>
          <w:rFonts w:asciiTheme="minorHAnsi" w:hAnsiTheme="minorHAnsi" w:cstheme="minorHAnsi"/>
          <w:szCs w:val="24"/>
        </w:rPr>
        <w:t>Director, Institute of Nuclear Medicine</w:t>
      </w:r>
      <w:r w:rsidR="008833FE" w:rsidRPr="007A7515">
        <w:rPr>
          <w:rFonts w:asciiTheme="minorHAnsi" w:hAnsiTheme="minorHAnsi" w:cstheme="minorHAnsi"/>
          <w:szCs w:val="24"/>
        </w:rPr>
        <w:t>)</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59192B58" w14:textId="5556EE44" w:rsidR="00623E03" w:rsidRPr="007A7515" w:rsidRDefault="0065207A" w:rsidP="00623E03">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rPr>
        <w:t>L</w:t>
      </w:r>
      <w:r w:rsidR="0099778D" w:rsidRPr="007A7515">
        <w:rPr>
          <w:rFonts w:asciiTheme="minorHAnsi" w:eastAsiaTheme="minorEastAsia" w:hAnsiTheme="minorHAnsi" w:cstheme="minorHAnsi"/>
          <w:szCs w:val="24"/>
        </w:rPr>
        <w:t>utfi</w:t>
      </w:r>
      <w:r w:rsidRPr="007A7515">
        <w:rPr>
          <w:rFonts w:asciiTheme="minorHAnsi" w:eastAsiaTheme="minorEastAsia" w:hAnsiTheme="minorHAnsi" w:cstheme="minorHAnsi"/>
          <w:szCs w:val="24"/>
        </w:rPr>
        <w:t xml:space="preserve"> </w:t>
      </w:r>
      <w:proofErr w:type="spellStart"/>
      <w:r w:rsidRPr="007A7515">
        <w:rPr>
          <w:rFonts w:asciiTheme="minorHAnsi" w:eastAsiaTheme="minorEastAsia" w:hAnsiTheme="minorHAnsi" w:cstheme="minorHAnsi"/>
          <w:szCs w:val="24"/>
        </w:rPr>
        <w:t>Kurban</w:t>
      </w:r>
      <w:proofErr w:type="spellEnd"/>
      <w:r w:rsidR="0099778D" w:rsidRPr="007A7515">
        <w:rPr>
          <w:rFonts w:asciiTheme="minorHAnsi" w:eastAsiaTheme="minorEastAsia" w:hAnsiTheme="minorHAnsi" w:cstheme="minorHAnsi"/>
          <w:szCs w:val="24"/>
        </w:rPr>
        <w:t xml:space="preserve"> (</w:t>
      </w:r>
      <w:r w:rsidR="008833FE" w:rsidRPr="007A7515">
        <w:rPr>
          <w:rStyle w:val="st1"/>
          <w:rFonts w:asciiTheme="minorHAnsi" w:hAnsiTheme="minorHAnsi" w:cstheme="minorHAnsi"/>
          <w:szCs w:val="24"/>
        </w:rPr>
        <w:t>C</w:t>
      </w:r>
      <w:r w:rsidR="0099778D" w:rsidRPr="007A7515">
        <w:rPr>
          <w:rStyle w:val="st1"/>
          <w:rFonts w:asciiTheme="minorHAnsi" w:hAnsiTheme="minorHAnsi" w:cstheme="minorHAnsi"/>
          <w:szCs w:val="24"/>
        </w:rPr>
        <w:t>onsultant Radiologist)</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6F679FA5" w14:textId="1E2CCF18" w:rsidR="00623E03" w:rsidRPr="007A7515" w:rsidRDefault="0099778D" w:rsidP="00623E03">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rPr>
        <w:lastRenderedPageBreak/>
        <w:t>Anthony</w:t>
      </w:r>
      <w:r w:rsidR="0065207A" w:rsidRPr="007A7515">
        <w:rPr>
          <w:rFonts w:asciiTheme="minorHAnsi" w:eastAsiaTheme="minorEastAsia" w:hAnsiTheme="minorHAnsi" w:cstheme="minorHAnsi"/>
          <w:szCs w:val="24"/>
        </w:rPr>
        <w:t xml:space="preserve"> Frew</w:t>
      </w:r>
      <w:r w:rsidRPr="007A7515">
        <w:rPr>
          <w:rFonts w:asciiTheme="minorHAnsi" w:eastAsiaTheme="minorEastAsia" w:hAnsiTheme="minorHAnsi" w:cstheme="minorHAnsi"/>
          <w:szCs w:val="24"/>
        </w:rPr>
        <w:t xml:space="preserve"> (</w:t>
      </w:r>
      <w:r w:rsidR="008833FE" w:rsidRPr="007A7515">
        <w:rPr>
          <w:rStyle w:val="st1"/>
          <w:rFonts w:asciiTheme="minorHAnsi" w:hAnsiTheme="minorHAnsi" w:cstheme="minorHAnsi"/>
          <w:szCs w:val="24"/>
        </w:rPr>
        <w:t>C</w:t>
      </w:r>
      <w:r w:rsidRPr="007A7515">
        <w:rPr>
          <w:rStyle w:val="st1"/>
          <w:rFonts w:asciiTheme="minorHAnsi" w:hAnsiTheme="minorHAnsi" w:cstheme="minorHAnsi"/>
          <w:szCs w:val="24"/>
        </w:rPr>
        <w:t>onsultant Radiologist)</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2A45016C" w14:textId="77777777" w:rsidR="00623E03" w:rsidRPr="007A7515" w:rsidRDefault="0065207A" w:rsidP="00623E03">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rPr>
        <w:t>M</w:t>
      </w:r>
      <w:r w:rsidR="009C0E62" w:rsidRPr="007A7515">
        <w:rPr>
          <w:rFonts w:asciiTheme="minorHAnsi" w:eastAsiaTheme="minorEastAsia" w:hAnsiTheme="minorHAnsi" w:cstheme="minorHAnsi"/>
          <w:szCs w:val="24"/>
        </w:rPr>
        <w:t>atthew</w:t>
      </w:r>
      <w:r w:rsidRPr="007A7515">
        <w:rPr>
          <w:rFonts w:asciiTheme="minorHAnsi" w:eastAsiaTheme="minorEastAsia" w:hAnsiTheme="minorHAnsi" w:cstheme="minorHAnsi"/>
          <w:szCs w:val="24"/>
        </w:rPr>
        <w:t xml:space="preserve"> Callister</w:t>
      </w:r>
      <w:r w:rsidR="0099778D" w:rsidRPr="007A7515">
        <w:rPr>
          <w:rFonts w:asciiTheme="minorHAnsi" w:eastAsiaTheme="minorEastAsia" w:hAnsiTheme="minorHAnsi" w:cstheme="minorHAnsi"/>
          <w:szCs w:val="24"/>
        </w:rPr>
        <w:t xml:space="preserve"> (</w:t>
      </w:r>
      <w:r w:rsidR="0099778D" w:rsidRPr="007A7515">
        <w:rPr>
          <w:rFonts w:asciiTheme="minorHAnsi" w:hAnsiTheme="minorHAnsi" w:cstheme="minorHAnsi"/>
          <w:szCs w:val="24"/>
        </w:rPr>
        <w:t>Consultant in Respiratory Medicine)</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2144E1F6" w14:textId="77777777" w:rsidR="00623E03" w:rsidRPr="007A7515" w:rsidRDefault="0065207A" w:rsidP="00623E03">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rPr>
        <w:t>P</w:t>
      </w:r>
      <w:r w:rsidR="00D35F43" w:rsidRPr="007A7515">
        <w:rPr>
          <w:rFonts w:asciiTheme="minorHAnsi" w:eastAsiaTheme="minorEastAsia" w:hAnsiTheme="minorHAnsi" w:cstheme="minorHAnsi"/>
          <w:szCs w:val="24"/>
        </w:rPr>
        <w:t>hilip</w:t>
      </w:r>
      <w:r w:rsidRPr="007A7515">
        <w:rPr>
          <w:rFonts w:asciiTheme="minorHAnsi" w:eastAsiaTheme="minorEastAsia" w:hAnsiTheme="minorHAnsi" w:cstheme="minorHAnsi"/>
          <w:szCs w:val="24"/>
        </w:rPr>
        <w:t xml:space="preserve"> Crosbie</w:t>
      </w:r>
      <w:r w:rsidR="00D35F43" w:rsidRPr="007A7515">
        <w:rPr>
          <w:rFonts w:asciiTheme="minorHAnsi" w:eastAsiaTheme="minorEastAsia" w:hAnsiTheme="minorHAnsi" w:cstheme="minorHAnsi"/>
          <w:szCs w:val="24"/>
        </w:rPr>
        <w:t xml:space="preserve"> (</w:t>
      </w:r>
      <w:r w:rsidR="00D35F43" w:rsidRPr="007A7515">
        <w:rPr>
          <w:rFonts w:asciiTheme="minorHAnsi" w:hAnsiTheme="minorHAnsi" w:cstheme="minorHAnsi"/>
          <w:szCs w:val="24"/>
        </w:rPr>
        <w:t xml:space="preserve">Clinical Senior Lecturer &amp; Honorary Consultant in Respiratory Medicine)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31D6D116" w14:textId="0007B1B4" w:rsidR="00623E03" w:rsidRPr="007A7515" w:rsidRDefault="0065207A" w:rsidP="00623E03">
      <w:pPr>
        <w:pStyle w:val="NoSpacing"/>
        <w:rPr>
          <w:rFonts w:asciiTheme="minorHAnsi" w:eastAsiaTheme="minorEastAsia" w:hAnsiTheme="minorHAnsi" w:cstheme="minorHAnsi"/>
          <w:szCs w:val="24"/>
          <w:lang w:eastAsia="zh-CN"/>
        </w:rPr>
      </w:pPr>
      <w:r w:rsidRPr="007A7515">
        <w:rPr>
          <w:rFonts w:asciiTheme="minorHAnsi" w:eastAsiaTheme="minorEastAsia" w:hAnsiTheme="minorHAnsi" w:cstheme="minorHAnsi"/>
          <w:szCs w:val="24"/>
        </w:rPr>
        <w:t>F</w:t>
      </w:r>
      <w:r w:rsidR="008833FE" w:rsidRPr="007A7515">
        <w:rPr>
          <w:rFonts w:asciiTheme="minorHAnsi" w:eastAsiaTheme="minorEastAsia" w:hAnsiTheme="minorHAnsi" w:cstheme="minorHAnsi"/>
          <w:szCs w:val="24"/>
        </w:rPr>
        <w:t>e</w:t>
      </w:r>
      <w:r w:rsidRPr="007A7515">
        <w:rPr>
          <w:rFonts w:asciiTheme="minorHAnsi" w:eastAsiaTheme="minorEastAsia" w:hAnsiTheme="minorHAnsi" w:cstheme="minorHAnsi"/>
          <w:szCs w:val="24"/>
        </w:rPr>
        <w:t>rgus Gleeson</w:t>
      </w:r>
      <w:r w:rsidR="0099778D" w:rsidRPr="007A7515">
        <w:rPr>
          <w:rFonts w:asciiTheme="minorHAnsi" w:eastAsiaTheme="minorEastAsia" w:hAnsiTheme="minorHAnsi" w:cstheme="minorHAnsi"/>
          <w:szCs w:val="24"/>
        </w:rPr>
        <w:t xml:space="preserve"> (</w:t>
      </w:r>
      <w:r w:rsidR="008833FE" w:rsidRPr="007A7515">
        <w:rPr>
          <w:rFonts w:asciiTheme="minorHAnsi" w:eastAsiaTheme="minorEastAsia" w:hAnsiTheme="minorHAnsi" w:cstheme="minorHAnsi"/>
          <w:szCs w:val="24"/>
        </w:rPr>
        <w:t>P</w:t>
      </w:r>
      <w:r w:rsidR="0099778D" w:rsidRPr="007A7515">
        <w:rPr>
          <w:rFonts w:asciiTheme="minorHAnsi" w:eastAsiaTheme="minorEastAsia" w:hAnsiTheme="minorHAnsi" w:cstheme="minorHAnsi"/>
          <w:szCs w:val="24"/>
        </w:rPr>
        <w:t>rofessor of Radiology)</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7E8AC688" w14:textId="77777777" w:rsidR="00623E03" w:rsidRPr="007A7515" w:rsidRDefault="0099778D" w:rsidP="00623E03">
      <w:pPr>
        <w:pStyle w:val="NoSpacing"/>
        <w:rPr>
          <w:rFonts w:asciiTheme="minorHAnsi" w:eastAsiaTheme="minorEastAsia" w:hAnsiTheme="minorHAnsi" w:cstheme="minorHAnsi"/>
          <w:szCs w:val="24"/>
          <w:lang w:eastAsia="zh-CN"/>
        </w:rPr>
      </w:pPr>
      <w:proofErr w:type="spellStart"/>
      <w:r w:rsidRPr="007A7515">
        <w:rPr>
          <w:rFonts w:asciiTheme="minorHAnsi" w:hAnsiTheme="minorHAnsi" w:cstheme="minorHAnsi"/>
          <w:szCs w:val="24"/>
        </w:rPr>
        <w:t>Kavitasagary</w:t>
      </w:r>
      <w:proofErr w:type="spellEnd"/>
      <w:r w:rsidRPr="007A7515">
        <w:rPr>
          <w:rFonts w:asciiTheme="minorHAnsi" w:eastAsiaTheme="minorEastAsia" w:hAnsiTheme="minorHAnsi" w:cstheme="minorHAnsi"/>
          <w:szCs w:val="24"/>
        </w:rPr>
        <w:t xml:space="preserve"> </w:t>
      </w:r>
      <w:proofErr w:type="spellStart"/>
      <w:r w:rsidR="0065207A" w:rsidRPr="007A7515">
        <w:rPr>
          <w:rFonts w:asciiTheme="minorHAnsi" w:eastAsiaTheme="minorEastAsia" w:hAnsiTheme="minorHAnsi" w:cstheme="minorHAnsi"/>
          <w:szCs w:val="24"/>
        </w:rPr>
        <w:t>Karunasaagarar</w:t>
      </w:r>
      <w:proofErr w:type="spellEnd"/>
      <w:r w:rsidRPr="007A7515">
        <w:rPr>
          <w:rFonts w:asciiTheme="minorHAnsi" w:eastAsiaTheme="minorEastAsia" w:hAnsiTheme="minorHAnsi" w:cstheme="minorHAnsi"/>
          <w:szCs w:val="24"/>
        </w:rPr>
        <w:t xml:space="preserve"> (Radiology Consultant)</w:t>
      </w:r>
      <w:r w:rsidR="00E83CF7" w:rsidRPr="007A7515">
        <w:rPr>
          <w:rFonts w:asciiTheme="minorHAnsi" w:eastAsiaTheme="minorEastAsia" w:hAnsiTheme="minorHAnsi" w:cstheme="minorHAnsi"/>
          <w:szCs w:val="24"/>
        </w:rPr>
        <w:t xml:space="preserve"> </w:t>
      </w:r>
      <w:r w:rsidR="00623E03" w:rsidRPr="007A7515">
        <w:rPr>
          <w:rFonts w:asciiTheme="minorHAnsi" w:eastAsiaTheme="minorEastAsia" w:hAnsiTheme="minorHAnsi" w:cstheme="minorHAnsi"/>
          <w:szCs w:val="24"/>
          <w:lang w:eastAsia="zh-CN"/>
        </w:rPr>
        <w:t>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2CEF3EAD" w14:textId="714442A5" w:rsidR="00623E03" w:rsidRPr="007A7515" w:rsidRDefault="009C0E62" w:rsidP="00623E03">
      <w:pPr>
        <w:pStyle w:val="NoSpacing"/>
        <w:rPr>
          <w:rFonts w:asciiTheme="minorHAnsi" w:eastAsiaTheme="minorEastAsia" w:hAnsiTheme="minorHAnsi" w:cstheme="minorHAnsi"/>
          <w:szCs w:val="24"/>
          <w:lang w:eastAsia="zh-CN"/>
        </w:rPr>
      </w:pPr>
      <w:proofErr w:type="spellStart"/>
      <w:r w:rsidRPr="007A7515">
        <w:rPr>
          <w:rFonts w:asciiTheme="minorHAnsi" w:hAnsiTheme="minorHAnsi" w:cstheme="minorHAnsi"/>
          <w:szCs w:val="24"/>
        </w:rPr>
        <w:t>Osie</w:t>
      </w:r>
      <w:proofErr w:type="spellEnd"/>
      <w:r w:rsidR="0065207A" w:rsidRPr="007A7515">
        <w:rPr>
          <w:rFonts w:asciiTheme="minorHAnsi" w:eastAsiaTheme="minorEastAsia" w:hAnsiTheme="minorHAnsi" w:cstheme="minorHAnsi"/>
          <w:szCs w:val="24"/>
        </w:rPr>
        <w:t xml:space="preserve"> </w:t>
      </w:r>
      <w:proofErr w:type="spellStart"/>
      <w:r w:rsidR="0065207A" w:rsidRPr="007A7515">
        <w:rPr>
          <w:rFonts w:asciiTheme="minorHAnsi" w:eastAsiaTheme="minorEastAsia" w:hAnsiTheme="minorHAnsi" w:cstheme="minorHAnsi"/>
          <w:szCs w:val="24"/>
        </w:rPr>
        <w:t>Kankam</w:t>
      </w:r>
      <w:proofErr w:type="spellEnd"/>
      <w:r w:rsidR="00D35F43" w:rsidRPr="007A7515">
        <w:rPr>
          <w:rFonts w:asciiTheme="minorHAnsi" w:eastAsiaTheme="minorEastAsia" w:hAnsiTheme="minorHAnsi" w:cstheme="minorHAnsi"/>
          <w:szCs w:val="24"/>
        </w:rPr>
        <w:t xml:space="preserve"> (</w:t>
      </w:r>
      <w:r w:rsidR="00D35F43" w:rsidRPr="007A7515">
        <w:rPr>
          <w:rFonts w:asciiTheme="minorHAnsi" w:hAnsiTheme="minorHAnsi" w:cstheme="minorHAnsi"/>
          <w:szCs w:val="24"/>
        </w:rPr>
        <w:t>Consultant Respiratory Physician)</w:t>
      </w:r>
      <w:r w:rsidR="00623E03" w:rsidRPr="007A7515">
        <w:rPr>
          <w:rFonts w:asciiTheme="minorHAnsi" w:eastAsiaTheme="minorEastAsia" w:hAnsiTheme="minorHAnsi" w:cstheme="minorHAnsi"/>
          <w:szCs w:val="24"/>
          <w:lang w:eastAsia="zh-CN"/>
        </w:rPr>
        <w:t xml:space="preserve"> was involved in the design of the study</w:t>
      </w:r>
      <w:r w:rsidR="00623E03" w:rsidRPr="007A7515">
        <w:rPr>
          <w:rFonts w:asciiTheme="minorHAnsi" w:eastAsiaTheme="minorEastAsia" w:hAnsiTheme="minorHAnsi" w:cstheme="minorHAnsi"/>
          <w:szCs w:val="24"/>
        </w:rPr>
        <w:t xml:space="preserve"> and was </w:t>
      </w:r>
      <w:r w:rsidR="00623E03" w:rsidRPr="007A7515">
        <w:rPr>
          <w:rFonts w:asciiTheme="minorHAnsi" w:eastAsiaTheme="minorEastAsia" w:hAnsiTheme="minorHAnsi" w:cstheme="minorHAnsi"/>
          <w:szCs w:val="24"/>
          <w:lang w:eastAsia="zh-CN"/>
        </w:rPr>
        <w:t>responsible for recruiting participants.</w:t>
      </w:r>
    </w:p>
    <w:p w14:paraId="388CA1E1" w14:textId="1F8745B7" w:rsidR="0065207A" w:rsidRPr="007A7515" w:rsidRDefault="0065207A" w:rsidP="0099778D">
      <w:pPr>
        <w:pStyle w:val="NoSpacing"/>
        <w:rPr>
          <w:rFonts w:asciiTheme="minorHAnsi" w:hAnsiTheme="minorHAnsi" w:cstheme="minorHAnsi"/>
          <w:szCs w:val="24"/>
        </w:rPr>
      </w:pPr>
      <w:r w:rsidRPr="007A7515">
        <w:rPr>
          <w:rFonts w:asciiTheme="minorHAnsi" w:hAnsiTheme="minorHAnsi" w:cstheme="minorHAnsi"/>
          <w:szCs w:val="24"/>
        </w:rPr>
        <w:t xml:space="preserve">Steve George (Consultant Clinical Epidemiologist and Co- Chief Investigator) </w:t>
      </w:r>
      <w:r w:rsidR="00623E03" w:rsidRPr="007A7515">
        <w:rPr>
          <w:rFonts w:asciiTheme="minorHAnsi" w:eastAsiaTheme="minorEastAsia" w:hAnsiTheme="minorHAnsi" w:cstheme="minorHAnsi"/>
          <w:szCs w:val="24"/>
          <w:lang w:eastAsia="zh-CN"/>
        </w:rPr>
        <w:t>was involved in the design of the study, delivery of the study and interpretation of the results.</w:t>
      </w:r>
    </w:p>
    <w:p w14:paraId="28C6CE32" w14:textId="6DE10B75" w:rsidR="0065207A" w:rsidRPr="007A7515" w:rsidRDefault="0065207A" w:rsidP="0065207A">
      <w:pPr>
        <w:autoSpaceDE w:val="0"/>
        <w:autoSpaceDN w:val="0"/>
        <w:adjustRightInd w:val="0"/>
        <w:rPr>
          <w:rFonts w:asciiTheme="minorHAnsi" w:eastAsiaTheme="minorEastAsia" w:hAnsiTheme="minorHAnsi" w:cstheme="minorHAnsi"/>
          <w:color w:val="000000"/>
          <w:sz w:val="24"/>
          <w:szCs w:val="24"/>
          <w:lang w:eastAsia="zh-CN"/>
        </w:rPr>
      </w:pPr>
    </w:p>
    <w:p w14:paraId="539E8427" w14:textId="6460F0BC" w:rsidR="003946BA" w:rsidRPr="007A7515" w:rsidRDefault="00623E03" w:rsidP="008A0EF2">
      <w:pPr>
        <w:pStyle w:val="NoSpacing"/>
        <w:rPr>
          <w:rFonts w:asciiTheme="minorHAnsi" w:hAnsiTheme="minorHAnsi" w:cstheme="minorHAnsi"/>
          <w:szCs w:val="24"/>
        </w:rPr>
      </w:pPr>
      <w:r w:rsidRPr="007A7515">
        <w:rPr>
          <w:rFonts w:asciiTheme="minorHAnsi" w:eastAsiaTheme="minorEastAsia" w:hAnsiTheme="minorHAnsi" w:cstheme="minorHAnsi"/>
          <w:szCs w:val="24"/>
          <w:lang w:eastAsia="zh-CN"/>
        </w:rPr>
        <w:t>All authors reviewed the final report.</w:t>
      </w:r>
    </w:p>
    <w:p w14:paraId="62BA460F" w14:textId="1F1EA317" w:rsidR="003946BA" w:rsidRPr="007A7515" w:rsidRDefault="003946BA" w:rsidP="008A0EF2">
      <w:pPr>
        <w:pStyle w:val="NoSpacing"/>
        <w:rPr>
          <w:rFonts w:asciiTheme="minorHAnsi" w:hAnsiTheme="minorHAnsi" w:cstheme="minorHAnsi"/>
          <w:szCs w:val="24"/>
        </w:rPr>
      </w:pPr>
    </w:p>
    <w:p w14:paraId="75637A93" w14:textId="046255B6" w:rsidR="003946BA" w:rsidRPr="007A7515" w:rsidRDefault="003946BA" w:rsidP="008A0EF2">
      <w:pPr>
        <w:pStyle w:val="NoSpacing"/>
        <w:rPr>
          <w:rFonts w:asciiTheme="minorHAnsi" w:hAnsiTheme="minorHAnsi" w:cstheme="minorHAnsi"/>
          <w:szCs w:val="24"/>
        </w:rPr>
      </w:pPr>
    </w:p>
    <w:p w14:paraId="051E3389" w14:textId="4C012E7B" w:rsidR="00201A89" w:rsidRPr="007A7515" w:rsidRDefault="00201A89" w:rsidP="00E83CF7">
      <w:pPr>
        <w:spacing w:after="200" w:line="276" w:lineRule="auto"/>
        <w:rPr>
          <w:rFonts w:asciiTheme="minorHAnsi" w:eastAsiaTheme="majorEastAsia" w:hAnsiTheme="minorHAnsi" w:cstheme="minorHAnsi"/>
          <w:b/>
          <w:bCs/>
          <w:sz w:val="24"/>
          <w:szCs w:val="24"/>
          <w:lang w:eastAsia="en-GB"/>
        </w:rPr>
      </w:pPr>
      <w:r w:rsidRPr="007A7515">
        <w:rPr>
          <w:rFonts w:asciiTheme="minorHAnsi" w:hAnsiTheme="minorHAnsi" w:cstheme="minorHAnsi"/>
          <w:sz w:val="24"/>
          <w:szCs w:val="24"/>
          <w:lang w:eastAsia="en-GB"/>
        </w:rPr>
        <w:br w:type="page"/>
      </w:r>
    </w:p>
    <w:p w14:paraId="3FDE0B0C" w14:textId="16619EF8" w:rsidR="00201A89" w:rsidRPr="007A7515" w:rsidRDefault="009D3CA2" w:rsidP="00434EF8">
      <w:pPr>
        <w:pStyle w:val="Heading1"/>
        <w:numPr>
          <w:ilvl w:val="0"/>
          <w:numId w:val="0"/>
        </w:numPr>
        <w:ind w:left="432" w:hanging="432"/>
        <w:rPr>
          <w:rFonts w:asciiTheme="minorHAnsi" w:hAnsiTheme="minorHAnsi" w:cstheme="minorHAnsi"/>
          <w:b w:val="0"/>
          <w:sz w:val="24"/>
          <w:szCs w:val="24"/>
        </w:rPr>
      </w:pPr>
      <w:bookmarkStart w:id="18" w:name="_Toc26861722"/>
      <w:r w:rsidRPr="007A7515">
        <w:rPr>
          <w:rFonts w:asciiTheme="minorHAnsi" w:hAnsiTheme="minorHAnsi" w:cstheme="minorHAnsi"/>
          <w:sz w:val="24"/>
          <w:szCs w:val="24"/>
          <w:lang w:eastAsia="en-GB"/>
        </w:rPr>
        <w:lastRenderedPageBreak/>
        <w:t>References</w:t>
      </w:r>
      <w:bookmarkEnd w:id="18"/>
    </w:p>
    <w:p w14:paraId="648A75E5" w14:textId="62880FC4" w:rsidR="00437A17" w:rsidRPr="00437A17" w:rsidRDefault="005F2E00" w:rsidP="00437A17">
      <w:pPr>
        <w:widowControl w:val="0"/>
        <w:autoSpaceDE w:val="0"/>
        <w:autoSpaceDN w:val="0"/>
        <w:adjustRightInd w:val="0"/>
        <w:spacing w:after="200"/>
        <w:ind w:left="640" w:hanging="640"/>
        <w:rPr>
          <w:rFonts w:cs="Calibri"/>
          <w:noProof/>
          <w:sz w:val="24"/>
        </w:rPr>
      </w:pPr>
      <w:r w:rsidRPr="007A7515">
        <w:rPr>
          <w:rFonts w:asciiTheme="minorHAnsi" w:eastAsiaTheme="minorHAnsi" w:hAnsiTheme="minorHAnsi" w:cstheme="minorHAnsi"/>
          <w:b/>
          <w:sz w:val="24"/>
          <w:szCs w:val="24"/>
        </w:rPr>
        <w:fldChar w:fldCharType="begin" w:fldLock="1"/>
      </w:r>
      <w:r w:rsidRPr="007A7515">
        <w:rPr>
          <w:rFonts w:asciiTheme="minorHAnsi" w:eastAsiaTheme="minorHAnsi" w:hAnsiTheme="minorHAnsi" w:cstheme="minorHAnsi"/>
          <w:b/>
          <w:sz w:val="24"/>
          <w:szCs w:val="24"/>
        </w:rPr>
        <w:instrText xml:space="preserve">ADDIN Mendeley Bibliography CSL_BIBLIOGRAPHY </w:instrText>
      </w:r>
      <w:r w:rsidRPr="007A7515">
        <w:rPr>
          <w:rFonts w:asciiTheme="minorHAnsi" w:eastAsiaTheme="minorHAnsi" w:hAnsiTheme="minorHAnsi" w:cstheme="minorHAnsi"/>
          <w:b/>
          <w:sz w:val="24"/>
          <w:szCs w:val="24"/>
        </w:rPr>
        <w:fldChar w:fldCharType="separate"/>
      </w:r>
      <w:r w:rsidR="00437A17" w:rsidRPr="00437A17">
        <w:rPr>
          <w:rFonts w:cs="Calibri"/>
          <w:noProof/>
          <w:sz w:val="24"/>
        </w:rPr>
        <w:t>1</w:t>
      </w:r>
      <w:r w:rsidR="00437A17" w:rsidRPr="00437A17">
        <w:rPr>
          <w:rFonts w:cs="Calibri"/>
          <w:noProof/>
          <w:sz w:val="24"/>
        </w:rPr>
        <w:tab/>
        <w:t>Cancer Research UK. Lung cancer incidence statistics. 2018. https://www.cancerresearchuk.org/health-professional/cancer-statistics/statistics-by-cancer-type/lung-cancer/incidence#heading-Zero (accessed Dec 27, 2019).</w:t>
      </w:r>
    </w:p>
    <w:p w14:paraId="2ED9BD44"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w:t>
      </w:r>
      <w:r w:rsidRPr="00437A17">
        <w:rPr>
          <w:rFonts w:cs="Calibri"/>
          <w:noProof/>
          <w:sz w:val="24"/>
        </w:rPr>
        <w:tab/>
        <w:t xml:space="preserve">Tanner NT, Dai L, Bade BC, Gebregziabher M, Silvestri GA. Assessing the generalizability of the national lung screening trial: Comparison of patients with stage 1 disease. </w:t>
      </w:r>
      <w:r w:rsidRPr="00437A17">
        <w:rPr>
          <w:rFonts w:cs="Calibri"/>
          <w:i/>
          <w:iCs/>
          <w:noProof/>
          <w:sz w:val="24"/>
        </w:rPr>
        <w:t>Am J Respir Crit Care Med</w:t>
      </w:r>
      <w:r w:rsidRPr="00437A17">
        <w:rPr>
          <w:rFonts w:cs="Calibri"/>
          <w:noProof/>
          <w:sz w:val="24"/>
        </w:rPr>
        <w:t xml:space="preserve"> 2017; </w:t>
      </w:r>
      <w:r w:rsidRPr="00437A17">
        <w:rPr>
          <w:rFonts w:cs="Calibri"/>
          <w:b/>
          <w:bCs/>
          <w:noProof/>
          <w:sz w:val="24"/>
        </w:rPr>
        <w:t>196</w:t>
      </w:r>
      <w:r w:rsidRPr="00437A17">
        <w:rPr>
          <w:rFonts w:cs="Calibri"/>
          <w:noProof/>
          <w:sz w:val="24"/>
        </w:rPr>
        <w:t>: 602–8.</w:t>
      </w:r>
    </w:p>
    <w:p w14:paraId="723EA2D5"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3</w:t>
      </w:r>
      <w:r w:rsidRPr="00437A17">
        <w:rPr>
          <w:rFonts w:cs="Calibri"/>
          <w:noProof/>
          <w:sz w:val="24"/>
        </w:rPr>
        <w:tab/>
        <w:t xml:space="preserve">Field JK, Duffy SW, Baldwin DR, </w:t>
      </w:r>
      <w:r w:rsidRPr="00437A17">
        <w:rPr>
          <w:rFonts w:cs="Calibri"/>
          <w:i/>
          <w:iCs/>
          <w:noProof/>
          <w:sz w:val="24"/>
        </w:rPr>
        <w:t>et al.</w:t>
      </w:r>
      <w:r w:rsidRPr="00437A17">
        <w:rPr>
          <w:rFonts w:cs="Calibri"/>
          <w:noProof/>
          <w:sz w:val="24"/>
        </w:rPr>
        <w:t xml:space="preserve"> UK Lung Cancer RCT Pilot Screening Trial: Baseline findings from the screening arm provide evidence for the potential implementation of lung cancer screening. </w:t>
      </w:r>
      <w:r w:rsidRPr="00437A17">
        <w:rPr>
          <w:rFonts w:cs="Calibri"/>
          <w:i/>
          <w:iCs/>
          <w:noProof/>
          <w:sz w:val="24"/>
        </w:rPr>
        <w:t>Thorax</w:t>
      </w:r>
      <w:r w:rsidRPr="00437A17">
        <w:rPr>
          <w:rFonts w:cs="Calibri"/>
          <w:noProof/>
          <w:sz w:val="24"/>
        </w:rPr>
        <w:t xml:space="preserve"> 2016; </w:t>
      </w:r>
      <w:r w:rsidRPr="00437A17">
        <w:rPr>
          <w:rFonts w:cs="Calibri"/>
          <w:b/>
          <w:bCs/>
          <w:noProof/>
          <w:sz w:val="24"/>
        </w:rPr>
        <w:t>71</w:t>
      </w:r>
      <w:r w:rsidRPr="00437A17">
        <w:rPr>
          <w:rFonts w:cs="Calibri"/>
          <w:noProof/>
          <w:sz w:val="24"/>
        </w:rPr>
        <w:t>: 161–70.</w:t>
      </w:r>
    </w:p>
    <w:p w14:paraId="67F9AA01"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4</w:t>
      </w:r>
      <w:r w:rsidRPr="00437A17">
        <w:rPr>
          <w:rFonts w:cs="Calibri"/>
          <w:noProof/>
          <w:sz w:val="24"/>
        </w:rPr>
        <w:tab/>
        <w:t xml:space="preserve">Callister MEJ, Baldwin DR, Akram AR, </w:t>
      </w:r>
      <w:r w:rsidRPr="00437A17">
        <w:rPr>
          <w:rFonts w:cs="Calibri"/>
          <w:i/>
          <w:iCs/>
          <w:noProof/>
          <w:sz w:val="24"/>
        </w:rPr>
        <w:t>et al.</w:t>
      </w:r>
      <w:r w:rsidRPr="00437A17">
        <w:rPr>
          <w:rFonts w:cs="Calibri"/>
          <w:noProof/>
          <w:sz w:val="24"/>
        </w:rPr>
        <w:t xml:space="preserve"> British Thoracic Society guidelines for the investigation and management of pulmonary nodules. </w:t>
      </w:r>
      <w:r w:rsidRPr="00437A17">
        <w:rPr>
          <w:rFonts w:cs="Calibri"/>
          <w:i/>
          <w:iCs/>
          <w:noProof/>
          <w:sz w:val="24"/>
        </w:rPr>
        <w:t>Thorax</w:t>
      </w:r>
      <w:r w:rsidRPr="00437A17">
        <w:rPr>
          <w:rFonts w:cs="Calibri"/>
          <w:noProof/>
          <w:sz w:val="24"/>
        </w:rPr>
        <w:t xml:space="preserve"> 2015; </w:t>
      </w:r>
      <w:r w:rsidRPr="00437A17">
        <w:rPr>
          <w:rFonts w:cs="Calibri"/>
          <w:b/>
          <w:bCs/>
          <w:noProof/>
          <w:sz w:val="24"/>
        </w:rPr>
        <w:t>70 Suppl 2</w:t>
      </w:r>
      <w:r w:rsidRPr="00437A17">
        <w:rPr>
          <w:rFonts w:cs="Calibri"/>
          <w:noProof/>
          <w:sz w:val="24"/>
        </w:rPr>
        <w:t>: ii1–54.</w:t>
      </w:r>
    </w:p>
    <w:p w14:paraId="6FFBE677"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5</w:t>
      </w:r>
      <w:r w:rsidRPr="00437A17">
        <w:rPr>
          <w:rFonts w:cs="Calibri"/>
          <w:noProof/>
          <w:sz w:val="24"/>
        </w:rPr>
        <w:tab/>
        <w:t xml:space="preserve">Cronin P, Dwamena BA, Kelly AM, Carlos RC. Solitary Pulmonary Nodules: Meta-analytic Comparison of Cross-sectional Imaging Modalities for Diagnosis of Malignancy. </w:t>
      </w:r>
      <w:r w:rsidRPr="00437A17">
        <w:rPr>
          <w:rFonts w:cs="Calibri"/>
          <w:i/>
          <w:iCs/>
          <w:noProof/>
          <w:sz w:val="24"/>
        </w:rPr>
        <w:t>Radiology</w:t>
      </w:r>
      <w:r w:rsidRPr="00437A17">
        <w:rPr>
          <w:rFonts w:cs="Calibri"/>
          <w:noProof/>
          <w:sz w:val="24"/>
        </w:rPr>
        <w:t xml:space="preserve"> 2008; </w:t>
      </w:r>
      <w:r w:rsidRPr="00437A17">
        <w:rPr>
          <w:rFonts w:cs="Calibri"/>
          <w:b/>
          <w:bCs/>
          <w:noProof/>
          <w:sz w:val="24"/>
        </w:rPr>
        <w:t>246</w:t>
      </w:r>
      <w:r w:rsidRPr="00437A17">
        <w:rPr>
          <w:rFonts w:cs="Calibri"/>
          <w:noProof/>
          <w:sz w:val="24"/>
        </w:rPr>
        <w:t>: 772–82.</w:t>
      </w:r>
    </w:p>
    <w:p w14:paraId="2DC557F8"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6</w:t>
      </w:r>
      <w:r w:rsidRPr="00437A17">
        <w:rPr>
          <w:rFonts w:cs="Calibri"/>
          <w:noProof/>
          <w:sz w:val="24"/>
        </w:rPr>
        <w:tab/>
        <w:t xml:space="preserve">Yi CA, Lee KS, Kim EA, </w:t>
      </w:r>
      <w:r w:rsidRPr="00437A17">
        <w:rPr>
          <w:rFonts w:cs="Calibri"/>
          <w:i/>
          <w:iCs/>
          <w:noProof/>
          <w:sz w:val="24"/>
        </w:rPr>
        <w:t>et al.</w:t>
      </w:r>
      <w:r w:rsidRPr="00437A17">
        <w:rPr>
          <w:rFonts w:cs="Calibri"/>
          <w:noProof/>
          <w:sz w:val="24"/>
        </w:rPr>
        <w:t xml:space="preserve"> Solitary Pulmonary Nodules: Dynamic Enhanced Multi–Detector Row CT Study and Comparison with Vascular Endothelial Growth Factor and Microvessel Density. </w:t>
      </w:r>
      <w:r w:rsidRPr="00437A17">
        <w:rPr>
          <w:rFonts w:cs="Calibri"/>
          <w:i/>
          <w:iCs/>
          <w:noProof/>
          <w:sz w:val="24"/>
        </w:rPr>
        <w:t>Radiology</w:t>
      </w:r>
      <w:r w:rsidRPr="00437A17">
        <w:rPr>
          <w:rFonts w:cs="Calibri"/>
          <w:noProof/>
          <w:sz w:val="24"/>
        </w:rPr>
        <w:t xml:space="preserve"> 2004; </w:t>
      </w:r>
      <w:r w:rsidRPr="00437A17">
        <w:rPr>
          <w:rFonts w:cs="Calibri"/>
          <w:b/>
          <w:bCs/>
          <w:noProof/>
          <w:sz w:val="24"/>
        </w:rPr>
        <w:t>233</w:t>
      </w:r>
      <w:r w:rsidRPr="00437A17">
        <w:rPr>
          <w:rFonts w:cs="Calibri"/>
          <w:noProof/>
          <w:sz w:val="24"/>
        </w:rPr>
        <w:t>: 191–9.</w:t>
      </w:r>
    </w:p>
    <w:p w14:paraId="06CC9EF0"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7</w:t>
      </w:r>
      <w:r w:rsidRPr="00437A17">
        <w:rPr>
          <w:rFonts w:cs="Calibri"/>
          <w:noProof/>
          <w:sz w:val="24"/>
        </w:rPr>
        <w:tab/>
        <w:t xml:space="preserve">Comber LA, Keith CJ, Griffiths M, Miles KA. Solitary pulmonary nodules: impact of quantitative contrast-enhanced CT on the cost-effectiveness of FDG-PET. </w:t>
      </w:r>
      <w:r w:rsidRPr="00437A17">
        <w:rPr>
          <w:rFonts w:cs="Calibri"/>
          <w:i/>
          <w:iCs/>
          <w:noProof/>
          <w:sz w:val="24"/>
        </w:rPr>
        <w:t>Clin Radiol</w:t>
      </w:r>
      <w:r w:rsidRPr="00437A17">
        <w:rPr>
          <w:rFonts w:cs="Calibri"/>
          <w:noProof/>
          <w:sz w:val="24"/>
        </w:rPr>
        <w:t xml:space="preserve"> 2003; </w:t>
      </w:r>
      <w:r w:rsidRPr="00437A17">
        <w:rPr>
          <w:rFonts w:cs="Calibri"/>
          <w:b/>
          <w:bCs/>
          <w:noProof/>
          <w:sz w:val="24"/>
        </w:rPr>
        <w:t>58</w:t>
      </w:r>
      <w:r w:rsidRPr="00437A17">
        <w:rPr>
          <w:rFonts w:cs="Calibri"/>
          <w:noProof/>
          <w:sz w:val="24"/>
        </w:rPr>
        <w:t>: 706–11.</w:t>
      </w:r>
    </w:p>
    <w:p w14:paraId="72FA087E"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8</w:t>
      </w:r>
      <w:r w:rsidRPr="00437A17">
        <w:rPr>
          <w:rFonts w:cs="Calibri"/>
          <w:noProof/>
          <w:sz w:val="24"/>
        </w:rPr>
        <w:tab/>
        <w:t xml:space="preserve">Gould MK, Sanders GD, Barnett PG, </w:t>
      </w:r>
      <w:r w:rsidRPr="00437A17">
        <w:rPr>
          <w:rFonts w:cs="Calibri"/>
          <w:i/>
          <w:iCs/>
          <w:noProof/>
          <w:sz w:val="24"/>
        </w:rPr>
        <w:t>et al.</w:t>
      </w:r>
      <w:r w:rsidRPr="00437A17">
        <w:rPr>
          <w:rFonts w:cs="Calibri"/>
          <w:noProof/>
          <w:sz w:val="24"/>
        </w:rPr>
        <w:t xml:space="preserve"> Cost-effectiveness of alternative management strategies for patients with solitary pulmonary nodules. </w:t>
      </w:r>
      <w:r w:rsidRPr="00437A17">
        <w:rPr>
          <w:rFonts w:cs="Calibri"/>
          <w:i/>
          <w:iCs/>
          <w:noProof/>
          <w:sz w:val="24"/>
        </w:rPr>
        <w:t>Ann Intern Med</w:t>
      </w:r>
      <w:r w:rsidRPr="00437A17">
        <w:rPr>
          <w:rFonts w:cs="Calibri"/>
          <w:noProof/>
          <w:sz w:val="24"/>
        </w:rPr>
        <w:t xml:space="preserve"> 2003; </w:t>
      </w:r>
      <w:r w:rsidRPr="00437A17">
        <w:rPr>
          <w:rFonts w:cs="Calibri"/>
          <w:b/>
          <w:bCs/>
          <w:noProof/>
          <w:sz w:val="24"/>
        </w:rPr>
        <w:t>138</w:t>
      </w:r>
      <w:r w:rsidRPr="00437A17">
        <w:rPr>
          <w:rFonts w:cs="Calibri"/>
          <w:noProof/>
          <w:sz w:val="24"/>
        </w:rPr>
        <w:t>: 724–35.</w:t>
      </w:r>
    </w:p>
    <w:p w14:paraId="7D24C986"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9</w:t>
      </w:r>
      <w:r w:rsidRPr="00437A17">
        <w:rPr>
          <w:rFonts w:cs="Calibri"/>
          <w:noProof/>
          <w:sz w:val="24"/>
        </w:rPr>
        <w:tab/>
        <w:t xml:space="preserve">National Institute for Health and Clinical Excellence. Guide to the methods of technology appraisal. </w:t>
      </w:r>
      <w:r w:rsidRPr="00437A17">
        <w:rPr>
          <w:rFonts w:cs="Calibri"/>
          <w:i/>
          <w:iCs/>
          <w:noProof/>
          <w:sz w:val="24"/>
        </w:rPr>
        <w:t>Nice</w:t>
      </w:r>
      <w:r w:rsidRPr="00437A17">
        <w:rPr>
          <w:rFonts w:cs="Calibri"/>
          <w:noProof/>
          <w:sz w:val="24"/>
        </w:rPr>
        <w:t xml:space="preserve"> 2013; : 104.</w:t>
      </w:r>
    </w:p>
    <w:p w14:paraId="07540E59"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10</w:t>
      </w:r>
      <w:r w:rsidRPr="00437A17">
        <w:rPr>
          <w:rFonts w:cs="Calibri"/>
          <w:noProof/>
          <w:sz w:val="24"/>
        </w:rPr>
        <w:tab/>
        <w:t xml:space="preserve">Qureshi NR, Rintoul RC, Miles KA, </w:t>
      </w:r>
      <w:r w:rsidRPr="00437A17">
        <w:rPr>
          <w:rFonts w:cs="Calibri"/>
          <w:i/>
          <w:iCs/>
          <w:noProof/>
          <w:sz w:val="24"/>
        </w:rPr>
        <w:t>et al.</w:t>
      </w:r>
      <w:r w:rsidRPr="00437A17">
        <w:rPr>
          <w:rFonts w:cs="Calibri"/>
          <w:noProof/>
          <w:sz w:val="24"/>
        </w:rPr>
        <w:t xml:space="preserve"> Accuracy and cost-effectiveness of dynamic contrast-enhanced CT in the characterisation of solitary pulmonary nodules — The SPUtNIk study. </w:t>
      </w:r>
      <w:r w:rsidRPr="00437A17">
        <w:rPr>
          <w:rFonts w:cs="Calibri"/>
          <w:i/>
          <w:iCs/>
          <w:noProof/>
          <w:sz w:val="24"/>
        </w:rPr>
        <w:t>BMJ Open Respir Res</w:t>
      </w:r>
      <w:r w:rsidRPr="00437A17">
        <w:rPr>
          <w:rFonts w:cs="Calibri"/>
          <w:noProof/>
          <w:sz w:val="24"/>
        </w:rPr>
        <w:t xml:space="preserve"> 2016; </w:t>
      </w:r>
      <w:r w:rsidRPr="00437A17">
        <w:rPr>
          <w:rFonts w:cs="Calibri"/>
          <w:b/>
          <w:bCs/>
          <w:noProof/>
          <w:sz w:val="24"/>
        </w:rPr>
        <w:t>3</w:t>
      </w:r>
      <w:r w:rsidRPr="00437A17">
        <w:rPr>
          <w:rFonts w:cs="Calibri"/>
          <w:noProof/>
          <w:sz w:val="24"/>
        </w:rPr>
        <w:t>: 1–4.</w:t>
      </w:r>
    </w:p>
    <w:p w14:paraId="3EB718C4"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11</w:t>
      </w:r>
      <w:r w:rsidRPr="00437A17">
        <w:rPr>
          <w:rFonts w:cs="Calibri"/>
          <w:noProof/>
          <w:sz w:val="24"/>
        </w:rPr>
        <w:tab/>
        <w:t xml:space="preserve">Barrington SF, MacKewn JE, Schleyer P, </w:t>
      </w:r>
      <w:r w:rsidRPr="00437A17">
        <w:rPr>
          <w:rFonts w:cs="Calibri"/>
          <w:i/>
          <w:iCs/>
          <w:noProof/>
          <w:sz w:val="24"/>
        </w:rPr>
        <w:t>et al.</w:t>
      </w:r>
      <w:r w:rsidRPr="00437A17">
        <w:rPr>
          <w:rFonts w:cs="Calibri"/>
          <w:noProof/>
          <w:sz w:val="24"/>
        </w:rPr>
        <w:t xml:space="preserve"> Establishment of a UK-wide network to facilitate the acquisition of quality assured FDG-PET data for clinical trials in lymphoma. </w:t>
      </w:r>
      <w:r w:rsidRPr="00437A17">
        <w:rPr>
          <w:rFonts w:cs="Calibri"/>
          <w:i/>
          <w:iCs/>
          <w:noProof/>
          <w:sz w:val="24"/>
        </w:rPr>
        <w:t>Ann Oncol</w:t>
      </w:r>
      <w:r w:rsidRPr="00437A17">
        <w:rPr>
          <w:rFonts w:cs="Calibri"/>
          <w:noProof/>
          <w:sz w:val="24"/>
        </w:rPr>
        <w:t xml:space="preserve"> 2011; </w:t>
      </w:r>
      <w:r w:rsidRPr="00437A17">
        <w:rPr>
          <w:rFonts w:cs="Calibri"/>
          <w:b/>
          <w:bCs/>
          <w:noProof/>
          <w:sz w:val="24"/>
        </w:rPr>
        <w:t>22</w:t>
      </w:r>
      <w:r w:rsidRPr="00437A17">
        <w:rPr>
          <w:rFonts w:cs="Calibri"/>
          <w:noProof/>
          <w:sz w:val="24"/>
        </w:rPr>
        <w:t>: 739–45.</w:t>
      </w:r>
    </w:p>
    <w:p w14:paraId="113DE608"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12</w:t>
      </w:r>
      <w:r w:rsidRPr="00437A17">
        <w:rPr>
          <w:rFonts w:cs="Calibri"/>
          <w:noProof/>
          <w:sz w:val="24"/>
        </w:rPr>
        <w:tab/>
        <w:t xml:space="preserve">Qureshi NR, Shah A, Eaton RJ, Miles K, Gilbert FJ. Dynamic contrast enhanced CT in nodule characterization: How we review and report. </w:t>
      </w:r>
      <w:r w:rsidRPr="00437A17">
        <w:rPr>
          <w:rFonts w:cs="Calibri"/>
          <w:i/>
          <w:iCs/>
          <w:noProof/>
          <w:sz w:val="24"/>
        </w:rPr>
        <w:t>Cancer Imaging</w:t>
      </w:r>
      <w:r w:rsidRPr="00437A17">
        <w:rPr>
          <w:rFonts w:cs="Calibri"/>
          <w:noProof/>
          <w:sz w:val="24"/>
        </w:rPr>
        <w:t xml:space="preserve"> 2016; </w:t>
      </w:r>
      <w:r w:rsidRPr="00437A17">
        <w:rPr>
          <w:rFonts w:cs="Calibri"/>
          <w:b/>
          <w:bCs/>
          <w:noProof/>
          <w:sz w:val="24"/>
        </w:rPr>
        <w:t>16</w:t>
      </w:r>
      <w:r w:rsidRPr="00437A17">
        <w:rPr>
          <w:rFonts w:cs="Calibri"/>
          <w:noProof/>
          <w:sz w:val="24"/>
        </w:rPr>
        <w:t>: 1–5.</w:t>
      </w:r>
    </w:p>
    <w:p w14:paraId="0EAE77AF"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13</w:t>
      </w:r>
      <w:r w:rsidRPr="00437A17">
        <w:rPr>
          <w:rFonts w:cs="Calibri"/>
          <w:noProof/>
          <w:sz w:val="24"/>
        </w:rPr>
        <w:tab/>
        <w:t xml:space="preserve">Christensen JA, Nathan MA, Mullan BP, Hartman TE, Swensen SJ, Lowe VJ. Characterization of the solitary pulmonary nodule: 18F-FDG PET versus nodule-enhancement CT. </w:t>
      </w:r>
      <w:r w:rsidRPr="00437A17">
        <w:rPr>
          <w:rFonts w:cs="Calibri"/>
          <w:i/>
          <w:iCs/>
          <w:noProof/>
          <w:sz w:val="24"/>
        </w:rPr>
        <w:t>Am J Roentgenol</w:t>
      </w:r>
      <w:r w:rsidRPr="00437A17">
        <w:rPr>
          <w:rFonts w:cs="Calibri"/>
          <w:noProof/>
          <w:sz w:val="24"/>
        </w:rPr>
        <w:t xml:space="preserve"> 2006; </w:t>
      </w:r>
      <w:r w:rsidRPr="00437A17">
        <w:rPr>
          <w:rFonts w:cs="Calibri"/>
          <w:b/>
          <w:bCs/>
          <w:noProof/>
          <w:sz w:val="24"/>
        </w:rPr>
        <w:t>187</w:t>
      </w:r>
      <w:r w:rsidRPr="00437A17">
        <w:rPr>
          <w:rFonts w:cs="Calibri"/>
          <w:noProof/>
          <w:sz w:val="24"/>
        </w:rPr>
        <w:t>: 1361–7.</w:t>
      </w:r>
    </w:p>
    <w:p w14:paraId="56321F95"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lastRenderedPageBreak/>
        <w:t>14</w:t>
      </w:r>
      <w:r w:rsidRPr="00437A17">
        <w:rPr>
          <w:rFonts w:cs="Calibri"/>
          <w:noProof/>
          <w:sz w:val="24"/>
        </w:rPr>
        <w:tab/>
        <w:t xml:space="preserve">Swensen SJ, Viggiano RW, Midthun DE, </w:t>
      </w:r>
      <w:r w:rsidRPr="00437A17">
        <w:rPr>
          <w:rFonts w:cs="Calibri"/>
          <w:i/>
          <w:iCs/>
          <w:noProof/>
          <w:sz w:val="24"/>
        </w:rPr>
        <w:t>et al.</w:t>
      </w:r>
      <w:r w:rsidRPr="00437A17">
        <w:rPr>
          <w:rFonts w:cs="Calibri"/>
          <w:noProof/>
          <w:sz w:val="24"/>
        </w:rPr>
        <w:t xml:space="preserve"> Lung Nodule Enhancement at CT: Multicenter Study. </w:t>
      </w:r>
      <w:r w:rsidRPr="00437A17">
        <w:rPr>
          <w:rFonts w:cs="Calibri"/>
          <w:i/>
          <w:iCs/>
          <w:noProof/>
          <w:sz w:val="24"/>
        </w:rPr>
        <w:t>Radiology</w:t>
      </w:r>
      <w:r w:rsidRPr="00437A17">
        <w:rPr>
          <w:rFonts w:cs="Calibri"/>
          <w:noProof/>
          <w:sz w:val="24"/>
        </w:rPr>
        <w:t xml:space="preserve"> 2000; </w:t>
      </w:r>
      <w:r w:rsidRPr="00437A17">
        <w:rPr>
          <w:rFonts w:cs="Calibri"/>
          <w:b/>
          <w:bCs/>
          <w:noProof/>
          <w:sz w:val="24"/>
        </w:rPr>
        <w:t>214</w:t>
      </w:r>
      <w:r w:rsidRPr="00437A17">
        <w:rPr>
          <w:rFonts w:cs="Calibri"/>
          <w:noProof/>
          <w:sz w:val="24"/>
        </w:rPr>
        <w:t>: 73–80.</w:t>
      </w:r>
    </w:p>
    <w:p w14:paraId="5BF27B02"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15</w:t>
      </w:r>
      <w:r w:rsidRPr="00437A17">
        <w:rPr>
          <w:rFonts w:cs="Calibri"/>
          <w:noProof/>
          <w:sz w:val="24"/>
        </w:rPr>
        <w:tab/>
        <w:t xml:space="preserve">Alonzo TA, Pepe MS, Moskowitz CS. Sample size calculations for comparative studies of medical tests for detecting presence of disease. </w:t>
      </w:r>
      <w:r w:rsidRPr="00437A17">
        <w:rPr>
          <w:rFonts w:cs="Calibri"/>
          <w:i/>
          <w:iCs/>
          <w:noProof/>
          <w:sz w:val="24"/>
        </w:rPr>
        <w:t>Stat Med</w:t>
      </w:r>
      <w:r w:rsidRPr="00437A17">
        <w:rPr>
          <w:rFonts w:cs="Calibri"/>
          <w:noProof/>
          <w:sz w:val="24"/>
        </w:rPr>
        <w:t xml:space="preserve"> 2002. DOI:10.1002/sim.1058.</w:t>
      </w:r>
    </w:p>
    <w:p w14:paraId="0065DA71"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16</w:t>
      </w:r>
      <w:r w:rsidRPr="00437A17">
        <w:rPr>
          <w:rFonts w:cs="Calibri"/>
          <w:noProof/>
          <w:sz w:val="24"/>
        </w:rPr>
        <w:tab/>
        <w:t xml:space="preserve">Li Z-Z, Huang Y-L, Song H-J, Wang Y-J, Huang Y. The value of 18F-FDG-PET/CT in the diagnosis of solitary pulmonary nodules. </w:t>
      </w:r>
      <w:r w:rsidRPr="00437A17">
        <w:rPr>
          <w:rFonts w:cs="Calibri"/>
          <w:i/>
          <w:iCs/>
          <w:noProof/>
          <w:sz w:val="24"/>
        </w:rPr>
        <w:t>Medicine (Baltimore)</w:t>
      </w:r>
      <w:r w:rsidRPr="00437A17">
        <w:rPr>
          <w:rFonts w:cs="Calibri"/>
          <w:noProof/>
          <w:sz w:val="24"/>
        </w:rPr>
        <w:t xml:space="preserve"> 2018; </w:t>
      </w:r>
      <w:r w:rsidRPr="00437A17">
        <w:rPr>
          <w:rFonts w:cs="Calibri"/>
          <w:b/>
          <w:bCs/>
          <w:noProof/>
          <w:sz w:val="24"/>
        </w:rPr>
        <w:t>97</w:t>
      </w:r>
      <w:r w:rsidRPr="00437A17">
        <w:rPr>
          <w:rFonts w:cs="Calibri"/>
          <w:noProof/>
          <w:sz w:val="24"/>
        </w:rPr>
        <w:t>: e0130.</w:t>
      </w:r>
    </w:p>
    <w:p w14:paraId="5E79C4F1"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17</w:t>
      </w:r>
      <w:r w:rsidRPr="00437A17">
        <w:rPr>
          <w:rFonts w:cs="Calibri"/>
          <w:noProof/>
          <w:sz w:val="24"/>
        </w:rPr>
        <w:tab/>
        <w:t xml:space="preserve">Chang CY, Tzao C, Lee SC, </w:t>
      </w:r>
      <w:r w:rsidRPr="00437A17">
        <w:rPr>
          <w:rFonts w:cs="Calibri"/>
          <w:i/>
          <w:iCs/>
          <w:noProof/>
          <w:sz w:val="24"/>
        </w:rPr>
        <w:t>et al.</w:t>
      </w:r>
      <w:r w:rsidRPr="00437A17">
        <w:rPr>
          <w:rFonts w:cs="Calibri"/>
          <w:noProof/>
          <w:sz w:val="24"/>
        </w:rPr>
        <w:t xml:space="preserve"> Incremental value of integrated FDG-PET/CT in evaluating indeterminate solitary pulmonary nodule for malignancy. </w:t>
      </w:r>
      <w:r w:rsidRPr="00437A17">
        <w:rPr>
          <w:rFonts w:cs="Calibri"/>
          <w:i/>
          <w:iCs/>
          <w:noProof/>
          <w:sz w:val="24"/>
        </w:rPr>
        <w:t>Mol Imaging Biol</w:t>
      </w:r>
      <w:r w:rsidRPr="00437A17">
        <w:rPr>
          <w:rFonts w:cs="Calibri"/>
          <w:noProof/>
          <w:sz w:val="24"/>
        </w:rPr>
        <w:t xml:space="preserve"> 2010; </w:t>
      </w:r>
      <w:r w:rsidRPr="00437A17">
        <w:rPr>
          <w:rFonts w:cs="Calibri"/>
          <w:b/>
          <w:bCs/>
          <w:noProof/>
          <w:sz w:val="24"/>
        </w:rPr>
        <w:t>12</w:t>
      </w:r>
      <w:r w:rsidRPr="00437A17">
        <w:rPr>
          <w:rFonts w:cs="Calibri"/>
          <w:noProof/>
          <w:sz w:val="24"/>
        </w:rPr>
        <w:t>: 204–9.</w:t>
      </w:r>
    </w:p>
    <w:p w14:paraId="00852B9F"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18</w:t>
      </w:r>
      <w:r w:rsidRPr="00437A17">
        <w:rPr>
          <w:rFonts w:cs="Calibri"/>
          <w:noProof/>
          <w:sz w:val="24"/>
        </w:rPr>
        <w:tab/>
        <w:t xml:space="preserve">Weir-McCall JR, Joyce S, Clegg A, </w:t>
      </w:r>
      <w:r w:rsidRPr="00437A17">
        <w:rPr>
          <w:rFonts w:cs="Calibri"/>
          <w:i/>
          <w:iCs/>
          <w:noProof/>
          <w:sz w:val="24"/>
        </w:rPr>
        <w:t>et al.</w:t>
      </w:r>
      <w:r w:rsidRPr="00437A17">
        <w:rPr>
          <w:rFonts w:cs="Calibri"/>
          <w:noProof/>
          <w:sz w:val="24"/>
        </w:rPr>
        <w:t xml:space="preserve"> Dynamic contrast–enhanced computed tomography for the diagnosis of solitary pulmonary nodules: a systematic review and meta-analysis. </w:t>
      </w:r>
      <w:r w:rsidRPr="00437A17">
        <w:rPr>
          <w:rFonts w:cs="Calibri"/>
          <w:i/>
          <w:iCs/>
          <w:noProof/>
          <w:sz w:val="24"/>
        </w:rPr>
        <w:t>Eur Radiol</w:t>
      </w:r>
      <w:r w:rsidRPr="00437A17">
        <w:rPr>
          <w:rFonts w:cs="Calibri"/>
          <w:noProof/>
          <w:sz w:val="24"/>
        </w:rPr>
        <w:t xml:space="preserve"> 2020; </w:t>
      </w:r>
      <w:r w:rsidRPr="00437A17">
        <w:rPr>
          <w:rFonts w:cs="Calibri"/>
          <w:b/>
          <w:bCs/>
          <w:noProof/>
          <w:sz w:val="24"/>
        </w:rPr>
        <w:t>30</w:t>
      </w:r>
      <w:r w:rsidRPr="00437A17">
        <w:rPr>
          <w:rFonts w:cs="Calibri"/>
          <w:noProof/>
          <w:sz w:val="24"/>
        </w:rPr>
        <w:t>: 3310–23.</w:t>
      </w:r>
    </w:p>
    <w:p w14:paraId="0FE71B00"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19</w:t>
      </w:r>
      <w:r w:rsidRPr="00437A17">
        <w:rPr>
          <w:rFonts w:cs="Calibri"/>
          <w:noProof/>
          <w:sz w:val="24"/>
        </w:rPr>
        <w:tab/>
        <w:t xml:space="preserve">Lee KS, Yi CA, Jeong SY, </w:t>
      </w:r>
      <w:r w:rsidRPr="00437A17">
        <w:rPr>
          <w:rFonts w:cs="Calibri"/>
          <w:i/>
          <w:iCs/>
          <w:noProof/>
          <w:sz w:val="24"/>
        </w:rPr>
        <w:t>et al.</w:t>
      </w:r>
      <w:r w:rsidRPr="00437A17">
        <w:rPr>
          <w:rFonts w:cs="Calibri"/>
          <w:noProof/>
          <w:sz w:val="24"/>
        </w:rPr>
        <w:t xml:space="preserve"> Solid or partly solid solitary pulmonary nodules: Their characterization using contrast wash-in and morphologic features at helical CT. </w:t>
      </w:r>
      <w:r w:rsidRPr="00437A17">
        <w:rPr>
          <w:rFonts w:cs="Calibri"/>
          <w:i/>
          <w:iCs/>
          <w:noProof/>
          <w:sz w:val="24"/>
        </w:rPr>
        <w:t>Chest</w:t>
      </w:r>
      <w:r w:rsidRPr="00437A17">
        <w:rPr>
          <w:rFonts w:cs="Calibri"/>
          <w:noProof/>
          <w:sz w:val="24"/>
        </w:rPr>
        <w:t xml:space="preserve"> 2007; </w:t>
      </w:r>
      <w:r w:rsidRPr="00437A17">
        <w:rPr>
          <w:rFonts w:cs="Calibri"/>
          <w:b/>
          <w:bCs/>
          <w:noProof/>
          <w:sz w:val="24"/>
        </w:rPr>
        <w:t>131</w:t>
      </w:r>
      <w:r w:rsidRPr="00437A17">
        <w:rPr>
          <w:rFonts w:cs="Calibri"/>
          <w:noProof/>
          <w:sz w:val="24"/>
        </w:rPr>
        <w:t>: 1516–25.</w:t>
      </w:r>
    </w:p>
    <w:p w14:paraId="3003973C"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20</w:t>
      </w:r>
      <w:r w:rsidRPr="00437A17">
        <w:rPr>
          <w:rFonts w:cs="Calibri"/>
          <w:noProof/>
          <w:sz w:val="24"/>
        </w:rPr>
        <w:tab/>
        <w:t xml:space="preserve">MacMahon H, Naidich DP, Goo JM, </w:t>
      </w:r>
      <w:r w:rsidRPr="00437A17">
        <w:rPr>
          <w:rFonts w:cs="Calibri"/>
          <w:i/>
          <w:iCs/>
          <w:noProof/>
          <w:sz w:val="24"/>
        </w:rPr>
        <w:t>et al.</w:t>
      </w:r>
      <w:r w:rsidRPr="00437A17">
        <w:rPr>
          <w:rFonts w:cs="Calibri"/>
          <w:noProof/>
          <w:sz w:val="24"/>
        </w:rPr>
        <w:t xml:space="preserve"> Guidelines for Management of Incidental Pulmonary Nodules Detected on CT Images: From the Fleischner Society 2017. </w:t>
      </w:r>
      <w:r w:rsidRPr="00437A17">
        <w:rPr>
          <w:rFonts w:cs="Calibri"/>
          <w:i/>
          <w:iCs/>
          <w:noProof/>
          <w:sz w:val="24"/>
        </w:rPr>
        <w:t>Radiology</w:t>
      </w:r>
      <w:r w:rsidRPr="00437A17">
        <w:rPr>
          <w:rFonts w:cs="Calibri"/>
          <w:noProof/>
          <w:sz w:val="24"/>
        </w:rPr>
        <w:t xml:space="preserve"> 2017; </w:t>
      </w:r>
      <w:r w:rsidRPr="00437A17">
        <w:rPr>
          <w:rFonts w:cs="Calibri"/>
          <w:b/>
          <w:bCs/>
          <w:noProof/>
          <w:sz w:val="24"/>
        </w:rPr>
        <w:t>284</w:t>
      </w:r>
      <w:r w:rsidRPr="00437A17">
        <w:rPr>
          <w:rFonts w:cs="Calibri"/>
          <w:noProof/>
          <w:sz w:val="24"/>
        </w:rPr>
        <w:t>: 228–43.</w:t>
      </w:r>
    </w:p>
    <w:p w14:paraId="14CD9BAC"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21</w:t>
      </w:r>
      <w:r w:rsidRPr="00437A17">
        <w:rPr>
          <w:rFonts w:cs="Calibri"/>
          <w:noProof/>
          <w:sz w:val="24"/>
        </w:rPr>
        <w:tab/>
        <w:t xml:space="preserve">Orlacchio A, Schillaci O, Antonelli L, </w:t>
      </w:r>
      <w:r w:rsidRPr="00437A17">
        <w:rPr>
          <w:rFonts w:cs="Calibri"/>
          <w:i/>
          <w:iCs/>
          <w:noProof/>
          <w:sz w:val="24"/>
        </w:rPr>
        <w:t>et al.</w:t>
      </w:r>
      <w:r w:rsidRPr="00437A17">
        <w:rPr>
          <w:rFonts w:cs="Calibri"/>
          <w:noProof/>
          <w:sz w:val="24"/>
        </w:rPr>
        <w:t xml:space="preserve"> Nodulo polmonare solitario: Caratterizzazione morfologico-metabolica mediante imaging integrato TCms/FDG-PET. </w:t>
      </w:r>
      <w:r w:rsidRPr="00437A17">
        <w:rPr>
          <w:rFonts w:cs="Calibri"/>
          <w:i/>
          <w:iCs/>
          <w:noProof/>
          <w:sz w:val="24"/>
        </w:rPr>
        <w:t>Radiol Medica</w:t>
      </w:r>
      <w:r w:rsidRPr="00437A17">
        <w:rPr>
          <w:rFonts w:cs="Calibri"/>
          <w:noProof/>
          <w:sz w:val="24"/>
        </w:rPr>
        <w:t xml:space="preserve"> 2007; </w:t>
      </w:r>
      <w:r w:rsidRPr="00437A17">
        <w:rPr>
          <w:rFonts w:cs="Calibri"/>
          <w:b/>
          <w:bCs/>
          <w:noProof/>
          <w:sz w:val="24"/>
        </w:rPr>
        <w:t>112</w:t>
      </w:r>
      <w:r w:rsidRPr="00437A17">
        <w:rPr>
          <w:rFonts w:cs="Calibri"/>
          <w:noProof/>
          <w:sz w:val="24"/>
        </w:rPr>
        <w:t>: 157–73.</w:t>
      </w:r>
    </w:p>
    <w:p w14:paraId="2ED9E087"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22</w:t>
      </w:r>
      <w:r w:rsidRPr="00437A17">
        <w:rPr>
          <w:rFonts w:cs="Calibri"/>
          <w:noProof/>
          <w:sz w:val="24"/>
        </w:rPr>
        <w:tab/>
        <w:t xml:space="preserve">National Lung Screening Trial Research Team, Aberle DR, Adams AM, </w:t>
      </w:r>
      <w:r w:rsidRPr="00437A17">
        <w:rPr>
          <w:rFonts w:cs="Calibri"/>
          <w:i/>
          <w:iCs/>
          <w:noProof/>
          <w:sz w:val="24"/>
        </w:rPr>
        <w:t>et al.</w:t>
      </w:r>
      <w:r w:rsidRPr="00437A17">
        <w:rPr>
          <w:rFonts w:cs="Calibri"/>
          <w:noProof/>
          <w:sz w:val="24"/>
        </w:rPr>
        <w:t xml:space="preserve"> Reduced lung-cancer mortality with low-dose computed tomographic screening. </w:t>
      </w:r>
      <w:r w:rsidRPr="00437A17">
        <w:rPr>
          <w:rFonts w:cs="Calibri"/>
          <w:i/>
          <w:iCs/>
          <w:noProof/>
          <w:sz w:val="24"/>
        </w:rPr>
        <w:t>N Engl J Med</w:t>
      </w:r>
      <w:r w:rsidRPr="00437A17">
        <w:rPr>
          <w:rFonts w:cs="Calibri"/>
          <w:noProof/>
          <w:sz w:val="24"/>
        </w:rPr>
        <w:t xml:space="preserve"> 2011; </w:t>
      </w:r>
      <w:r w:rsidRPr="00437A17">
        <w:rPr>
          <w:rFonts w:cs="Calibri"/>
          <w:b/>
          <w:bCs/>
          <w:noProof/>
          <w:sz w:val="24"/>
        </w:rPr>
        <w:t>365</w:t>
      </w:r>
      <w:r w:rsidRPr="00437A17">
        <w:rPr>
          <w:rFonts w:cs="Calibri"/>
          <w:noProof/>
          <w:sz w:val="24"/>
        </w:rPr>
        <w:t>: 395–409.</w:t>
      </w:r>
    </w:p>
    <w:p w14:paraId="77875E5D"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23</w:t>
      </w:r>
      <w:r w:rsidRPr="00437A17">
        <w:rPr>
          <w:rFonts w:cs="Calibri"/>
          <w:noProof/>
          <w:sz w:val="24"/>
        </w:rPr>
        <w:tab/>
        <w:t xml:space="preserve">Horeweg N, van Rosmalen J, Heuvelmans MA, </w:t>
      </w:r>
      <w:r w:rsidRPr="00437A17">
        <w:rPr>
          <w:rFonts w:cs="Calibri"/>
          <w:i/>
          <w:iCs/>
          <w:noProof/>
          <w:sz w:val="24"/>
        </w:rPr>
        <w:t>et al.</w:t>
      </w:r>
      <w:r w:rsidRPr="00437A17">
        <w:rPr>
          <w:rFonts w:cs="Calibri"/>
          <w:noProof/>
          <w:sz w:val="24"/>
        </w:rPr>
        <w:t xml:space="preserve"> Lung cancer probability in patients with CT-detected pulmonary nodules: A prespecified analysis of data from the NELSON trial of low-dose CT screening. </w:t>
      </w:r>
      <w:r w:rsidRPr="00437A17">
        <w:rPr>
          <w:rFonts w:cs="Calibri"/>
          <w:i/>
          <w:iCs/>
          <w:noProof/>
          <w:sz w:val="24"/>
        </w:rPr>
        <w:t>Lancet Oncol</w:t>
      </w:r>
      <w:r w:rsidRPr="00437A17">
        <w:rPr>
          <w:rFonts w:cs="Calibri"/>
          <w:noProof/>
          <w:sz w:val="24"/>
        </w:rPr>
        <w:t xml:space="preserve"> 2014; </w:t>
      </w:r>
      <w:r w:rsidRPr="00437A17">
        <w:rPr>
          <w:rFonts w:cs="Calibri"/>
          <w:b/>
          <w:bCs/>
          <w:noProof/>
          <w:sz w:val="24"/>
        </w:rPr>
        <w:t>15</w:t>
      </w:r>
      <w:r w:rsidRPr="00437A17">
        <w:rPr>
          <w:rFonts w:cs="Calibri"/>
          <w:noProof/>
          <w:sz w:val="24"/>
        </w:rPr>
        <w:t>: 1332–41.</w:t>
      </w:r>
    </w:p>
    <w:p w14:paraId="1F3C0AA3"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24</w:t>
      </w:r>
      <w:r w:rsidRPr="00437A17">
        <w:rPr>
          <w:rFonts w:cs="Calibri"/>
          <w:noProof/>
          <w:sz w:val="24"/>
        </w:rPr>
        <w:tab/>
        <w:t xml:space="preserve">Basso Dias A, Zanon M, Altmayer S, </w:t>
      </w:r>
      <w:r w:rsidRPr="00437A17">
        <w:rPr>
          <w:rFonts w:cs="Calibri"/>
          <w:i/>
          <w:iCs/>
          <w:noProof/>
          <w:sz w:val="24"/>
        </w:rPr>
        <w:t>et al.</w:t>
      </w:r>
      <w:r w:rsidRPr="00437A17">
        <w:rPr>
          <w:rFonts w:cs="Calibri"/>
          <w:noProof/>
          <w:sz w:val="24"/>
        </w:rPr>
        <w:t xml:space="preserve"> Fluorine 18-FDG PET/CT and Diffusion-weighted MRI for Malignant versus Benign Pulmonary Lesions: A Meta-Analysis. </w:t>
      </w:r>
      <w:r w:rsidRPr="00437A17">
        <w:rPr>
          <w:rFonts w:cs="Calibri"/>
          <w:i/>
          <w:iCs/>
          <w:noProof/>
          <w:sz w:val="24"/>
        </w:rPr>
        <w:t>Radiology</w:t>
      </w:r>
      <w:r w:rsidRPr="00437A17">
        <w:rPr>
          <w:rFonts w:cs="Calibri"/>
          <w:noProof/>
          <w:sz w:val="24"/>
        </w:rPr>
        <w:t xml:space="preserve"> 2019; </w:t>
      </w:r>
      <w:r w:rsidRPr="00437A17">
        <w:rPr>
          <w:rFonts w:cs="Calibri"/>
          <w:b/>
          <w:bCs/>
          <w:noProof/>
          <w:sz w:val="24"/>
        </w:rPr>
        <w:t>290</w:t>
      </w:r>
      <w:r w:rsidRPr="00437A17">
        <w:rPr>
          <w:rFonts w:cs="Calibri"/>
          <w:noProof/>
          <w:sz w:val="24"/>
        </w:rPr>
        <w:t>: 525–34.</w:t>
      </w:r>
    </w:p>
    <w:p w14:paraId="5D70E036"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25</w:t>
      </w:r>
      <w:r w:rsidRPr="00437A17">
        <w:rPr>
          <w:rFonts w:cs="Calibri"/>
          <w:noProof/>
          <w:sz w:val="24"/>
        </w:rPr>
        <w:tab/>
        <w:t xml:space="preserve">Leeflang MMG, Rutjes AWS, Reitsma JB, Hooft L, Bossuyt PMM. Variation of a test’s sensitivity and specificity with disease prevalence. </w:t>
      </w:r>
      <w:r w:rsidRPr="00437A17">
        <w:rPr>
          <w:rFonts w:cs="Calibri"/>
          <w:i/>
          <w:iCs/>
          <w:noProof/>
          <w:sz w:val="24"/>
        </w:rPr>
        <w:t>Cmaj</w:t>
      </w:r>
      <w:r w:rsidRPr="00437A17">
        <w:rPr>
          <w:rFonts w:cs="Calibri"/>
          <w:noProof/>
          <w:sz w:val="24"/>
        </w:rPr>
        <w:t xml:space="preserve"> 2013; </w:t>
      </w:r>
      <w:r w:rsidRPr="00437A17">
        <w:rPr>
          <w:rFonts w:cs="Calibri"/>
          <w:b/>
          <w:bCs/>
          <w:noProof/>
          <w:sz w:val="24"/>
        </w:rPr>
        <w:t>185</w:t>
      </w:r>
      <w:r w:rsidRPr="00437A17">
        <w:rPr>
          <w:rFonts w:cs="Calibri"/>
          <w:noProof/>
          <w:sz w:val="24"/>
        </w:rPr>
        <w:t>: 537–44.</w:t>
      </w:r>
    </w:p>
    <w:p w14:paraId="4E565F05" w14:textId="77777777" w:rsidR="00437A17" w:rsidRPr="00437A17" w:rsidRDefault="00437A17" w:rsidP="00437A17">
      <w:pPr>
        <w:widowControl w:val="0"/>
        <w:autoSpaceDE w:val="0"/>
        <w:autoSpaceDN w:val="0"/>
        <w:adjustRightInd w:val="0"/>
        <w:spacing w:after="200"/>
        <w:ind w:left="640" w:hanging="640"/>
        <w:rPr>
          <w:rFonts w:cs="Calibri"/>
          <w:noProof/>
          <w:sz w:val="24"/>
        </w:rPr>
      </w:pPr>
      <w:r w:rsidRPr="00437A17">
        <w:rPr>
          <w:rFonts w:cs="Calibri"/>
          <w:noProof/>
          <w:sz w:val="24"/>
        </w:rPr>
        <w:t>26</w:t>
      </w:r>
      <w:r w:rsidRPr="00437A17">
        <w:rPr>
          <w:rFonts w:cs="Calibri"/>
          <w:noProof/>
          <w:sz w:val="24"/>
        </w:rPr>
        <w:tab/>
        <w:t xml:space="preserve">Oken MM, Creech RH, Tormey DC, </w:t>
      </w:r>
      <w:r w:rsidRPr="00437A17">
        <w:rPr>
          <w:rFonts w:cs="Calibri"/>
          <w:i/>
          <w:iCs/>
          <w:noProof/>
          <w:sz w:val="24"/>
        </w:rPr>
        <w:t>et al.</w:t>
      </w:r>
      <w:r w:rsidRPr="00437A17">
        <w:rPr>
          <w:rFonts w:cs="Calibri"/>
          <w:noProof/>
          <w:sz w:val="24"/>
        </w:rPr>
        <w:t xml:space="preserve"> Toxicity and response criteria of the Eastern Cooperative Oncology Group. </w:t>
      </w:r>
      <w:r w:rsidRPr="00437A17">
        <w:rPr>
          <w:rFonts w:cs="Calibri"/>
          <w:i/>
          <w:iCs/>
          <w:noProof/>
          <w:sz w:val="24"/>
        </w:rPr>
        <w:t>Am J Clin Oncol</w:t>
      </w:r>
      <w:r w:rsidRPr="00437A17">
        <w:rPr>
          <w:rFonts w:cs="Calibri"/>
          <w:noProof/>
          <w:sz w:val="24"/>
        </w:rPr>
        <w:t xml:space="preserve"> 1982; </w:t>
      </w:r>
      <w:r w:rsidRPr="00437A17">
        <w:rPr>
          <w:rFonts w:cs="Calibri"/>
          <w:b/>
          <w:bCs/>
          <w:noProof/>
          <w:sz w:val="24"/>
        </w:rPr>
        <w:t>5</w:t>
      </w:r>
      <w:r w:rsidRPr="00437A17">
        <w:rPr>
          <w:rFonts w:cs="Calibri"/>
          <w:noProof/>
          <w:sz w:val="24"/>
        </w:rPr>
        <w:t>: 649–55.</w:t>
      </w:r>
    </w:p>
    <w:p w14:paraId="5F0A976B" w14:textId="0BE567F5" w:rsidR="00201A89" w:rsidRPr="007A7515" w:rsidRDefault="005F2E00" w:rsidP="00437A17">
      <w:pPr>
        <w:widowControl w:val="0"/>
        <w:autoSpaceDE w:val="0"/>
        <w:autoSpaceDN w:val="0"/>
        <w:adjustRightInd w:val="0"/>
        <w:spacing w:after="200"/>
        <w:ind w:left="640" w:hanging="640"/>
        <w:rPr>
          <w:rFonts w:asciiTheme="minorHAnsi" w:eastAsiaTheme="minorHAnsi" w:hAnsiTheme="minorHAnsi" w:cstheme="minorHAnsi"/>
          <w:b/>
          <w:sz w:val="24"/>
          <w:szCs w:val="24"/>
        </w:rPr>
      </w:pPr>
      <w:r w:rsidRPr="007A7515">
        <w:rPr>
          <w:rFonts w:asciiTheme="minorHAnsi" w:eastAsiaTheme="minorHAnsi" w:hAnsiTheme="minorHAnsi" w:cstheme="minorHAnsi"/>
          <w:b/>
          <w:sz w:val="24"/>
          <w:szCs w:val="24"/>
        </w:rPr>
        <w:fldChar w:fldCharType="end"/>
      </w:r>
    </w:p>
    <w:p w14:paraId="5D9F8B27" w14:textId="02837D3E" w:rsidR="00282131" w:rsidRPr="007A7515" w:rsidRDefault="00282131">
      <w:pPr>
        <w:spacing w:after="200" w:line="276" w:lineRule="auto"/>
        <w:rPr>
          <w:rFonts w:asciiTheme="minorHAnsi" w:eastAsiaTheme="minorHAnsi" w:hAnsiTheme="minorHAnsi" w:cstheme="minorHAnsi"/>
          <w:b/>
          <w:sz w:val="24"/>
          <w:szCs w:val="24"/>
        </w:rPr>
      </w:pPr>
      <w:r w:rsidRPr="007A7515">
        <w:rPr>
          <w:rFonts w:asciiTheme="minorHAnsi" w:eastAsiaTheme="minorHAnsi" w:hAnsiTheme="minorHAnsi" w:cstheme="minorHAnsi"/>
          <w:b/>
          <w:sz w:val="24"/>
          <w:szCs w:val="24"/>
        </w:rPr>
        <w:br w:type="page"/>
      </w:r>
    </w:p>
    <w:p w14:paraId="2EA47718" w14:textId="77777777" w:rsidR="008C6AE1" w:rsidRPr="007A7515" w:rsidRDefault="008C6AE1" w:rsidP="008C6AE1">
      <w:pPr>
        <w:rPr>
          <w:rFonts w:asciiTheme="minorHAnsi" w:hAnsiTheme="minorHAnsi" w:cstheme="minorHAnsi"/>
          <w:sz w:val="24"/>
          <w:szCs w:val="24"/>
        </w:rPr>
      </w:pPr>
    </w:p>
    <w:p w14:paraId="23312EB1" w14:textId="1B82AA50" w:rsidR="008C6AE1" w:rsidRPr="007A7515" w:rsidRDefault="008C6AE1" w:rsidP="008C6AE1">
      <w:pPr>
        <w:spacing w:line="312" w:lineRule="auto"/>
        <w:jc w:val="both"/>
        <w:rPr>
          <w:rFonts w:asciiTheme="minorHAnsi" w:hAnsiTheme="minorHAnsi" w:cstheme="minorHAnsi"/>
          <w:b/>
          <w:sz w:val="24"/>
          <w:szCs w:val="24"/>
        </w:rPr>
      </w:pPr>
      <w:r w:rsidRPr="007A7515">
        <w:rPr>
          <w:rFonts w:asciiTheme="minorHAnsi" w:hAnsiTheme="minorHAnsi" w:cstheme="minorHAnsi"/>
          <w:b/>
          <w:sz w:val="24"/>
          <w:szCs w:val="24"/>
        </w:rPr>
        <w:t>TABLES</w:t>
      </w:r>
    </w:p>
    <w:p w14:paraId="59CA3B6C" w14:textId="5F0AB151" w:rsidR="008C6AE1" w:rsidRPr="007A7515" w:rsidRDefault="008C6AE1" w:rsidP="008C6AE1">
      <w:pPr>
        <w:spacing w:line="312" w:lineRule="auto"/>
        <w:jc w:val="both"/>
        <w:rPr>
          <w:rFonts w:asciiTheme="minorHAnsi" w:hAnsiTheme="minorHAnsi" w:cstheme="minorHAnsi"/>
          <w:b/>
          <w:sz w:val="24"/>
          <w:szCs w:val="24"/>
        </w:rPr>
      </w:pPr>
      <w:r w:rsidRPr="007A7515">
        <w:rPr>
          <w:rFonts w:asciiTheme="minorHAnsi" w:hAnsiTheme="minorHAnsi" w:cstheme="minorHAnsi"/>
          <w:b/>
          <w:sz w:val="24"/>
          <w:szCs w:val="24"/>
        </w:rPr>
        <w:t xml:space="preserve">Table 1: </w:t>
      </w:r>
      <w:r w:rsidRPr="007A7515">
        <w:rPr>
          <w:rFonts w:asciiTheme="minorHAnsi" w:hAnsiTheme="minorHAnsi" w:cstheme="minorHAnsi"/>
          <w:sz w:val="24"/>
          <w:szCs w:val="24"/>
        </w:rPr>
        <w:t>Baseline characteristics and Medical History of the study participants</w:t>
      </w:r>
      <w:r w:rsidR="002A4241" w:rsidRPr="007A7515">
        <w:rPr>
          <w:rFonts w:asciiTheme="minorHAnsi" w:hAnsiTheme="minorHAnsi" w:cstheme="minorHAnsi"/>
          <w:sz w:val="24"/>
          <w:szCs w:val="24"/>
        </w:rPr>
        <w:t xml:space="preserve"> (n=312)</w:t>
      </w:r>
    </w:p>
    <w:p w14:paraId="3E568BC8" w14:textId="77777777" w:rsidR="008C6AE1" w:rsidRPr="007A7515" w:rsidRDefault="008C6AE1" w:rsidP="008C6AE1">
      <w:pPr>
        <w:pStyle w:val="NoSpacing"/>
        <w:rPr>
          <w:rFonts w:asciiTheme="minorHAnsi" w:hAnsiTheme="minorHAnsi" w:cstheme="minorHAnsi"/>
          <w:b/>
          <w:szCs w:val="24"/>
          <w:lang w:eastAsia="en-GB"/>
        </w:rPr>
      </w:pPr>
    </w:p>
    <w:tbl>
      <w:tblPr>
        <w:tblW w:w="8661" w:type="dxa"/>
        <w:tblInd w:w="2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32"/>
        <w:gridCol w:w="2977"/>
        <w:gridCol w:w="2552"/>
      </w:tblGrid>
      <w:tr w:rsidR="008C6AE1" w:rsidRPr="007A7515" w14:paraId="72593D41" w14:textId="77777777" w:rsidTr="00377067">
        <w:trPr>
          <w:trHeight w:val="547"/>
          <w:tblHeader/>
        </w:trPr>
        <w:tc>
          <w:tcPr>
            <w:tcW w:w="3132" w:type="dxa"/>
            <w:tcBorders>
              <w:top w:val="single" w:sz="18" w:space="0" w:color="auto"/>
              <w:left w:val="single" w:sz="8" w:space="0" w:color="auto"/>
              <w:bottom w:val="single" w:sz="18" w:space="0" w:color="auto"/>
              <w:right w:val="nil"/>
            </w:tcBorders>
            <w:shd w:val="clear" w:color="auto" w:fill="D9D9D9" w:themeFill="background1" w:themeFillShade="D9"/>
            <w:vAlign w:val="center"/>
          </w:tcPr>
          <w:p w14:paraId="193D4090" w14:textId="436A3512" w:rsidR="008C6AE1" w:rsidRPr="007A7515" w:rsidRDefault="008C6AE1" w:rsidP="00B75E75">
            <w:pPr>
              <w:jc w:val="both"/>
              <w:rPr>
                <w:rFonts w:asciiTheme="minorHAnsi" w:hAnsiTheme="minorHAnsi" w:cstheme="minorHAnsi"/>
                <w:b/>
                <w:sz w:val="24"/>
                <w:szCs w:val="24"/>
              </w:rPr>
            </w:pPr>
            <w:r w:rsidRPr="007A7515">
              <w:rPr>
                <w:rFonts w:asciiTheme="minorHAnsi" w:hAnsiTheme="minorHAnsi" w:cstheme="minorHAnsi"/>
                <w:b/>
                <w:sz w:val="24"/>
                <w:szCs w:val="24"/>
              </w:rPr>
              <w:t>Variable (unit)</w:t>
            </w:r>
            <w:r w:rsidR="004A39FB" w:rsidRPr="007A7515">
              <w:rPr>
                <w:rFonts w:asciiTheme="minorHAnsi" w:hAnsiTheme="minorHAnsi" w:cstheme="minorHAnsi"/>
                <w:b/>
                <w:sz w:val="24"/>
                <w:szCs w:val="24"/>
              </w:rPr>
              <w:t>*</w:t>
            </w:r>
          </w:p>
        </w:tc>
        <w:tc>
          <w:tcPr>
            <w:tcW w:w="2977" w:type="dxa"/>
            <w:tcBorders>
              <w:top w:val="single" w:sz="18" w:space="0" w:color="auto"/>
              <w:left w:val="nil"/>
              <w:bottom w:val="single" w:sz="18" w:space="0" w:color="auto"/>
            </w:tcBorders>
            <w:shd w:val="clear" w:color="auto" w:fill="D9D9D9" w:themeFill="background1" w:themeFillShade="D9"/>
            <w:vAlign w:val="center"/>
          </w:tcPr>
          <w:p w14:paraId="5DE2A409" w14:textId="77777777" w:rsidR="008C6AE1" w:rsidRPr="007A7515" w:rsidRDefault="008C6AE1" w:rsidP="00B75E75">
            <w:pPr>
              <w:jc w:val="both"/>
              <w:rPr>
                <w:rFonts w:asciiTheme="minorHAnsi" w:hAnsiTheme="minorHAnsi" w:cstheme="minorHAnsi"/>
                <w:b/>
                <w:sz w:val="24"/>
                <w:szCs w:val="24"/>
              </w:rPr>
            </w:pPr>
          </w:p>
        </w:tc>
        <w:tc>
          <w:tcPr>
            <w:tcW w:w="2552" w:type="dxa"/>
            <w:tcBorders>
              <w:top w:val="single" w:sz="18" w:space="0" w:color="auto"/>
              <w:bottom w:val="single" w:sz="18" w:space="0" w:color="auto"/>
            </w:tcBorders>
            <w:shd w:val="clear" w:color="auto" w:fill="D9D9D9" w:themeFill="background1" w:themeFillShade="D9"/>
            <w:vAlign w:val="center"/>
          </w:tcPr>
          <w:p w14:paraId="5ABBD14C" w14:textId="51734706" w:rsidR="008C6AE1" w:rsidRPr="007A7515" w:rsidRDefault="00A43F89" w:rsidP="00B75E75">
            <w:pPr>
              <w:jc w:val="right"/>
              <w:rPr>
                <w:rFonts w:asciiTheme="minorHAnsi" w:hAnsiTheme="minorHAnsi" w:cstheme="minorHAnsi"/>
                <w:b/>
                <w:sz w:val="24"/>
                <w:szCs w:val="24"/>
              </w:rPr>
            </w:pPr>
            <w:r w:rsidRPr="007A7515">
              <w:rPr>
                <w:rFonts w:asciiTheme="minorHAnsi" w:hAnsiTheme="minorHAnsi" w:cstheme="minorHAnsi"/>
                <w:b/>
                <w:sz w:val="24"/>
                <w:szCs w:val="24"/>
              </w:rPr>
              <w:t>Number (percentage)</w:t>
            </w:r>
          </w:p>
        </w:tc>
      </w:tr>
      <w:tr w:rsidR="008C6AE1" w:rsidRPr="007A7515" w14:paraId="2EBDDB9D" w14:textId="77777777" w:rsidTr="00377067">
        <w:trPr>
          <w:trHeight w:val="432"/>
        </w:trPr>
        <w:tc>
          <w:tcPr>
            <w:tcW w:w="3132" w:type="dxa"/>
            <w:tcBorders>
              <w:top w:val="single" w:sz="18" w:space="0" w:color="auto"/>
              <w:left w:val="single" w:sz="4" w:space="0" w:color="auto"/>
              <w:bottom w:val="single" w:sz="4" w:space="0" w:color="auto"/>
              <w:right w:val="nil"/>
            </w:tcBorders>
            <w:vAlign w:val="center"/>
          </w:tcPr>
          <w:p w14:paraId="648FCEFD"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 xml:space="preserve">Gender </w:t>
            </w:r>
          </w:p>
        </w:tc>
        <w:tc>
          <w:tcPr>
            <w:tcW w:w="2977" w:type="dxa"/>
            <w:tcBorders>
              <w:top w:val="single" w:sz="18" w:space="0" w:color="auto"/>
              <w:left w:val="nil"/>
              <w:bottom w:val="single" w:sz="4" w:space="0" w:color="auto"/>
              <w:right w:val="single" w:sz="4" w:space="0" w:color="auto"/>
            </w:tcBorders>
            <w:vAlign w:val="center"/>
          </w:tcPr>
          <w:p w14:paraId="7C049AC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Male</w:t>
            </w:r>
          </w:p>
          <w:p w14:paraId="57B36A9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Female</w:t>
            </w:r>
          </w:p>
        </w:tc>
        <w:tc>
          <w:tcPr>
            <w:tcW w:w="2552" w:type="dxa"/>
            <w:tcBorders>
              <w:top w:val="single" w:sz="18" w:space="0" w:color="auto"/>
              <w:left w:val="single" w:sz="4" w:space="0" w:color="auto"/>
              <w:bottom w:val="single" w:sz="4" w:space="0" w:color="auto"/>
              <w:right w:val="single" w:sz="4" w:space="0" w:color="auto"/>
            </w:tcBorders>
            <w:vAlign w:val="center"/>
          </w:tcPr>
          <w:p w14:paraId="190DCF19"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165 (53%)</w:t>
            </w:r>
          </w:p>
          <w:p w14:paraId="41CE9F3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147 (47%)</w:t>
            </w:r>
          </w:p>
        </w:tc>
      </w:tr>
      <w:tr w:rsidR="008C6AE1" w:rsidRPr="007A7515" w14:paraId="577E0758" w14:textId="77777777" w:rsidTr="006D278A">
        <w:trPr>
          <w:trHeight w:val="432"/>
        </w:trPr>
        <w:tc>
          <w:tcPr>
            <w:tcW w:w="3132" w:type="dxa"/>
            <w:tcBorders>
              <w:top w:val="single" w:sz="4" w:space="0" w:color="auto"/>
              <w:left w:val="single" w:sz="4" w:space="0" w:color="auto"/>
              <w:bottom w:val="single" w:sz="4" w:space="0" w:color="auto"/>
              <w:right w:val="nil"/>
            </w:tcBorders>
            <w:vAlign w:val="center"/>
          </w:tcPr>
          <w:p w14:paraId="449EF472"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Age (years)</w:t>
            </w:r>
          </w:p>
        </w:tc>
        <w:tc>
          <w:tcPr>
            <w:tcW w:w="2977" w:type="dxa"/>
            <w:tcBorders>
              <w:top w:val="single" w:sz="4" w:space="0" w:color="auto"/>
              <w:left w:val="nil"/>
              <w:bottom w:val="single" w:sz="4" w:space="0" w:color="auto"/>
              <w:right w:val="single" w:sz="4" w:space="0" w:color="auto"/>
            </w:tcBorders>
            <w:vAlign w:val="center"/>
          </w:tcPr>
          <w:p w14:paraId="21148E29" w14:textId="15F5A0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Mean</w:t>
            </w:r>
            <w:r w:rsidR="00A43F89" w:rsidRPr="007A7515">
              <w:rPr>
                <w:rFonts w:asciiTheme="minorHAnsi" w:hAnsiTheme="minorHAnsi" w:cstheme="minorHAnsi"/>
                <w:sz w:val="24"/>
                <w:szCs w:val="24"/>
              </w:rPr>
              <w:t xml:space="preserve">± </w:t>
            </w:r>
            <w:r w:rsidRPr="007A7515">
              <w:rPr>
                <w:rFonts w:asciiTheme="minorHAnsi" w:hAnsiTheme="minorHAnsi" w:cstheme="minorHAnsi"/>
                <w:sz w:val="24"/>
                <w:szCs w:val="24"/>
              </w:rPr>
              <w:t>SD</w:t>
            </w:r>
          </w:p>
        </w:tc>
        <w:tc>
          <w:tcPr>
            <w:tcW w:w="2552" w:type="dxa"/>
            <w:tcBorders>
              <w:top w:val="single" w:sz="4" w:space="0" w:color="auto"/>
              <w:left w:val="single" w:sz="4" w:space="0" w:color="auto"/>
              <w:bottom w:val="single" w:sz="4" w:space="0" w:color="auto"/>
              <w:right w:val="single" w:sz="4" w:space="0" w:color="auto"/>
            </w:tcBorders>
            <w:vAlign w:val="center"/>
          </w:tcPr>
          <w:p w14:paraId="2C9E7F15" w14:textId="7CC79BE5"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68</w:t>
            </w:r>
            <w:r w:rsidR="0053128F" w:rsidRPr="007A7515">
              <w:rPr>
                <w:rFonts w:asciiTheme="minorHAnsi" w:hAnsiTheme="minorHAnsi" w:cstheme="minorHAnsi"/>
                <w:sz w:val="24"/>
                <w:szCs w:val="24"/>
              </w:rPr>
              <w:t>·1</w:t>
            </w:r>
            <w:r w:rsidRPr="007A7515">
              <w:rPr>
                <w:rFonts w:asciiTheme="minorHAnsi" w:hAnsiTheme="minorHAnsi" w:cstheme="minorHAnsi"/>
                <w:sz w:val="24"/>
                <w:szCs w:val="24"/>
              </w:rPr>
              <w:t xml:space="preserve"> </w:t>
            </w:r>
            <w:r w:rsidR="00A43F89" w:rsidRPr="007A7515">
              <w:rPr>
                <w:rFonts w:asciiTheme="minorHAnsi" w:hAnsiTheme="minorHAnsi" w:cstheme="minorHAnsi"/>
                <w:sz w:val="24"/>
                <w:szCs w:val="24"/>
              </w:rPr>
              <w:t xml:space="preserve">± </w:t>
            </w:r>
            <w:r w:rsidRPr="007A7515">
              <w:rPr>
                <w:rFonts w:asciiTheme="minorHAnsi" w:hAnsiTheme="minorHAnsi" w:cstheme="minorHAnsi"/>
                <w:sz w:val="24"/>
                <w:szCs w:val="24"/>
              </w:rPr>
              <w:t>8</w:t>
            </w:r>
            <w:r w:rsidR="0053128F" w:rsidRPr="007A7515">
              <w:rPr>
                <w:rFonts w:asciiTheme="minorHAnsi" w:hAnsiTheme="minorHAnsi" w:cstheme="minorHAnsi"/>
                <w:sz w:val="24"/>
                <w:szCs w:val="24"/>
              </w:rPr>
              <w:t>·9</w:t>
            </w:r>
            <w:r w:rsidRPr="007A7515">
              <w:rPr>
                <w:rFonts w:asciiTheme="minorHAnsi" w:hAnsiTheme="minorHAnsi" w:cstheme="minorHAnsi"/>
                <w:sz w:val="24"/>
                <w:szCs w:val="24"/>
              </w:rPr>
              <w:t>5</w:t>
            </w:r>
          </w:p>
        </w:tc>
      </w:tr>
      <w:tr w:rsidR="008C6AE1" w:rsidRPr="007A7515" w14:paraId="1321BCD1" w14:textId="77777777" w:rsidTr="006D278A">
        <w:trPr>
          <w:trHeight w:val="432"/>
        </w:trPr>
        <w:tc>
          <w:tcPr>
            <w:tcW w:w="3132" w:type="dxa"/>
            <w:tcBorders>
              <w:top w:val="single" w:sz="4" w:space="0" w:color="auto"/>
              <w:left w:val="single" w:sz="4" w:space="0" w:color="auto"/>
              <w:bottom w:val="single" w:sz="4" w:space="0" w:color="auto"/>
              <w:right w:val="nil"/>
            </w:tcBorders>
            <w:vAlign w:val="center"/>
          </w:tcPr>
          <w:p w14:paraId="18EC9616"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Smoking status</w:t>
            </w:r>
          </w:p>
        </w:tc>
        <w:tc>
          <w:tcPr>
            <w:tcW w:w="2977" w:type="dxa"/>
            <w:tcBorders>
              <w:top w:val="single" w:sz="4" w:space="0" w:color="auto"/>
              <w:left w:val="nil"/>
              <w:bottom w:val="single" w:sz="4" w:space="0" w:color="auto"/>
              <w:right w:val="single" w:sz="4" w:space="0" w:color="auto"/>
            </w:tcBorders>
            <w:vAlign w:val="center"/>
          </w:tcPr>
          <w:p w14:paraId="474678A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Never-smoker</w:t>
            </w:r>
          </w:p>
          <w:p w14:paraId="75903E8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Ex-smoker</w:t>
            </w:r>
          </w:p>
          <w:p w14:paraId="39BC2F1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Current smoker</w:t>
            </w:r>
          </w:p>
          <w:p w14:paraId="0367620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2552" w:type="dxa"/>
            <w:tcBorders>
              <w:top w:val="single" w:sz="4" w:space="0" w:color="auto"/>
              <w:left w:val="single" w:sz="4" w:space="0" w:color="auto"/>
              <w:bottom w:val="single" w:sz="4" w:space="0" w:color="auto"/>
              <w:right w:val="single" w:sz="4" w:space="0" w:color="auto"/>
            </w:tcBorders>
            <w:vAlign w:val="center"/>
          </w:tcPr>
          <w:p w14:paraId="30290DE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57 (19%)</w:t>
            </w:r>
          </w:p>
          <w:p w14:paraId="3207ECF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170 (56%)</w:t>
            </w:r>
          </w:p>
          <w:p w14:paraId="751B0F4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77 (25%)</w:t>
            </w:r>
          </w:p>
          <w:p w14:paraId="2A261C8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8</w:t>
            </w:r>
          </w:p>
        </w:tc>
      </w:tr>
      <w:tr w:rsidR="008C6AE1" w:rsidRPr="007A7515" w14:paraId="1A6997D9" w14:textId="77777777" w:rsidTr="006D278A">
        <w:trPr>
          <w:trHeight w:val="432"/>
        </w:trPr>
        <w:tc>
          <w:tcPr>
            <w:tcW w:w="3132" w:type="dxa"/>
            <w:tcBorders>
              <w:top w:val="single" w:sz="4" w:space="0" w:color="auto"/>
              <w:left w:val="single" w:sz="4" w:space="0" w:color="auto"/>
              <w:bottom w:val="single" w:sz="4" w:space="0" w:color="auto"/>
              <w:right w:val="nil"/>
            </w:tcBorders>
            <w:vAlign w:val="center"/>
          </w:tcPr>
          <w:p w14:paraId="105559DF"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Location of SPN</w:t>
            </w:r>
          </w:p>
        </w:tc>
        <w:tc>
          <w:tcPr>
            <w:tcW w:w="2977" w:type="dxa"/>
            <w:tcBorders>
              <w:top w:val="single" w:sz="4" w:space="0" w:color="auto"/>
              <w:left w:val="nil"/>
              <w:bottom w:val="single" w:sz="4" w:space="0" w:color="auto"/>
              <w:right w:val="single" w:sz="4" w:space="0" w:color="auto"/>
            </w:tcBorders>
            <w:vAlign w:val="center"/>
          </w:tcPr>
          <w:p w14:paraId="35657F7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Left Lower Lobe</w:t>
            </w:r>
          </w:p>
          <w:p w14:paraId="11D83F6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Left Upper Lobe</w:t>
            </w:r>
          </w:p>
          <w:p w14:paraId="3004B18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Right Lower Lobe</w:t>
            </w:r>
          </w:p>
          <w:p w14:paraId="3F1B457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Right Middle Lobe</w:t>
            </w:r>
          </w:p>
          <w:p w14:paraId="14457DC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Right Upper Lobe</w:t>
            </w:r>
          </w:p>
          <w:p w14:paraId="48F77CC2" w14:textId="0EAAB68D" w:rsidR="008C6AE1" w:rsidRPr="007A7515" w:rsidRDefault="008C6AE1" w:rsidP="00B75E75">
            <w:pPr>
              <w:jc w:val="right"/>
              <w:rPr>
                <w:rFonts w:asciiTheme="minorHAnsi" w:hAnsiTheme="minorHAnsi" w:cstheme="minorHAnsi"/>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979F82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51 (16%)</w:t>
            </w:r>
          </w:p>
          <w:p w14:paraId="37324D5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78 (25%)</w:t>
            </w:r>
          </w:p>
          <w:p w14:paraId="1FCE7DB1"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73 (23%)</w:t>
            </w:r>
          </w:p>
          <w:p w14:paraId="4FB8BCC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21 (7%)</w:t>
            </w:r>
          </w:p>
          <w:p w14:paraId="7D2EF11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89 (29%)</w:t>
            </w:r>
          </w:p>
          <w:p w14:paraId="0CE3CE2F" w14:textId="283B86AF" w:rsidR="008C6AE1" w:rsidRPr="007A7515" w:rsidRDefault="008C6AE1" w:rsidP="00B75E75">
            <w:pPr>
              <w:jc w:val="right"/>
              <w:rPr>
                <w:rFonts w:asciiTheme="minorHAnsi" w:hAnsiTheme="minorHAnsi" w:cstheme="minorHAnsi"/>
                <w:sz w:val="24"/>
                <w:szCs w:val="24"/>
              </w:rPr>
            </w:pPr>
          </w:p>
        </w:tc>
      </w:tr>
      <w:tr w:rsidR="008C6AE1" w:rsidRPr="007A7515" w14:paraId="2629B55C" w14:textId="77777777" w:rsidTr="006D278A">
        <w:trPr>
          <w:cantSplit/>
          <w:trHeight w:val="432"/>
        </w:trPr>
        <w:tc>
          <w:tcPr>
            <w:tcW w:w="3132" w:type="dxa"/>
            <w:tcBorders>
              <w:top w:val="single" w:sz="4" w:space="0" w:color="auto"/>
              <w:left w:val="single" w:sz="4" w:space="0" w:color="auto"/>
              <w:bottom w:val="single" w:sz="4" w:space="0" w:color="auto"/>
              <w:right w:val="nil"/>
            </w:tcBorders>
            <w:vAlign w:val="center"/>
          </w:tcPr>
          <w:p w14:paraId="5FF33134" w14:textId="2522B0F0"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WHO Performance status grade</w:t>
            </w:r>
            <w:r w:rsidR="00844534">
              <w:rPr>
                <w:rFonts w:asciiTheme="minorHAnsi" w:hAnsiTheme="minorHAnsi" w:cstheme="minorHAnsi"/>
                <w:sz w:val="24"/>
                <w:szCs w:val="24"/>
              </w:rPr>
              <w:fldChar w:fldCharType="begin" w:fldLock="1"/>
            </w:r>
            <w:r w:rsidR="00437A17">
              <w:rPr>
                <w:rFonts w:asciiTheme="minorHAnsi" w:hAnsiTheme="minorHAnsi" w:cstheme="minorHAnsi"/>
                <w:sz w:val="24"/>
                <w:szCs w:val="24"/>
              </w:rPr>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 M.","non-dropping-particle":"","parse-names":false,"suffix":""},{"dropping-particle":"","family":"Creech","given":"R. H.","non-dropping-particle":"","parse-names":false,"suffix":""},{"dropping-particle":"","family":"Tormey","given":"D C","non-dropping-particle":"","parse-names":false,"suffix":""},{"dropping-particle":"","family":"Horton","given":"J","non-dropping-particle":"","parse-names":false,"suffix":""},{"dropping-particle":"","family":"Davis","given":"T. E.","non-dropping-particle":"","parse-names":false,"suffix":""},{"dropping-particle":"","family":"McFadden","given":"E T","non-dropping-particle":"","parse-names":false,"suffix":""},{"dropping-particle":"","family":"Carbone","given":"P P","non-dropping-particle":"","parse-names":false,"suffix":""}],"container-title":"American journal of clinical oncology","id":"ITEM-1","issue":"6","issued":{"date-parts":[["1982","12"]]},"page":"649-55","title":"Toxicity and response criteria of the Eastern Cooperative Oncology Group.","type":"article-journal","volume":"5"},"uris":["http://www.mendeley.com/documents/?uuid=12a8ffa5-2e19-4973-84ca-d205ce8b9d4b"]}],"mendeley":{"formattedCitation":"&lt;sup&gt;26&lt;/sup&gt;","plainTextFormattedCitation":"26","previouslyFormattedCitation":"&lt;sup&gt;26&lt;/sup&gt;"},"properties":{"noteIndex":0},"schema":"https://github.com/citation-style-language/schema/raw/master/csl-citation.json"}</w:instrText>
            </w:r>
            <w:r w:rsidR="00844534">
              <w:rPr>
                <w:rFonts w:asciiTheme="minorHAnsi" w:hAnsiTheme="minorHAnsi" w:cstheme="minorHAnsi"/>
                <w:sz w:val="24"/>
                <w:szCs w:val="24"/>
              </w:rPr>
              <w:fldChar w:fldCharType="separate"/>
            </w:r>
            <w:r w:rsidR="00437A17" w:rsidRPr="00437A17">
              <w:rPr>
                <w:rFonts w:asciiTheme="minorHAnsi" w:hAnsiTheme="minorHAnsi" w:cstheme="minorHAnsi"/>
                <w:noProof/>
                <w:sz w:val="24"/>
                <w:szCs w:val="24"/>
                <w:vertAlign w:val="superscript"/>
              </w:rPr>
              <w:t>26</w:t>
            </w:r>
            <w:r w:rsidR="00844534">
              <w:rPr>
                <w:rFonts w:asciiTheme="minorHAnsi" w:hAnsiTheme="minorHAnsi" w:cstheme="minorHAnsi"/>
                <w:sz w:val="24"/>
                <w:szCs w:val="24"/>
              </w:rPr>
              <w:fldChar w:fldCharType="end"/>
            </w:r>
          </w:p>
        </w:tc>
        <w:tc>
          <w:tcPr>
            <w:tcW w:w="2977" w:type="dxa"/>
            <w:tcBorders>
              <w:top w:val="single" w:sz="4" w:space="0" w:color="auto"/>
              <w:left w:val="nil"/>
              <w:bottom w:val="single" w:sz="4" w:space="0" w:color="auto"/>
              <w:right w:val="single" w:sz="4" w:space="0" w:color="auto"/>
            </w:tcBorders>
            <w:vAlign w:val="center"/>
          </w:tcPr>
          <w:p w14:paraId="0FB37BC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p w14:paraId="73A0134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1: </w:t>
            </w:r>
          </w:p>
          <w:p w14:paraId="5F10550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2: </w:t>
            </w:r>
          </w:p>
          <w:p w14:paraId="109B878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3: </w:t>
            </w:r>
          </w:p>
          <w:p w14:paraId="39AA00AF"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2552" w:type="dxa"/>
            <w:tcBorders>
              <w:top w:val="single" w:sz="4" w:space="0" w:color="auto"/>
              <w:left w:val="single" w:sz="4" w:space="0" w:color="auto"/>
              <w:bottom w:val="single" w:sz="4" w:space="0" w:color="auto"/>
              <w:right w:val="single" w:sz="4" w:space="0" w:color="auto"/>
            </w:tcBorders>
            <w:vAlign w:val="center"/>
          </w:tcPr>
          <w:p w14:paraId="49E9027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151 (49%)</w:t>
            </w:r>
          </w:p>
          <w:p w14:paraId="0B10F869"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133 (43%)</w:t>
            </w:r>
          </w:p>
          <w:p w14:paraId="251691D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22 (7%)</w:t>
            </w:r>
          </w:p>
          <w:p w14:paraId="6DE49ED8"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 (2%)</w:t>
            </w:r>
          </w:p>
          <w:p w14:paraId="76AEACD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w:t>
            </w:r>
          </w:p>
        </w:tc>
      </w:tr>
      <w:tr w:rsidR="008C6AE1" w:rsidRPr="007A7515" w14:paraId="0AF4A2AF" w14:textId="77777777" w:rsidTr="006D278A">
        <w:trPr>
          <w:cantSplit/>
          <w:trHeight w:val="432"/>
        </w:trPr>
        <w:tc>
          <w:tcPr>
            <w:tcW w:w="3132" w:type="dxa"/>
            <w:tcBorders>
              <w:top w:val="single" w:sz="4" w:space="0" w:color="auto"/>
              <w:left w:val="single" w:sz="4" w:space="0" w:color="auto"/>
              <w:bottom w:val="single" w:sz="4" w:space="0" w:color="auto"/>
              <w:right w:val="nil"/>
            </w:tcBorders>
            <w:vAlign w:val="center"/>
          </w:tcPr>
          <w:p w14:paraId="291F4AA3"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Medical History of Cardiovascular Disease</w:t>
            </w:r>
          </w:p>
        </w:tc>
        <w:tc>
          <w:tcPr>
            <w:tcW w:w="2977" w:type="dxa"/>
            <w:tcBorders>
              <w:top w:val="single" w:sz="4" w:space="0" w:color="auto"/>
              <w:left w:val="nil"/>
              <w:bottom w:val="single" w:sz="4" w:space="0" w:color="auto"/>
              <w:right w:val="single" w:sz="4" w:space="0" w:color="auto"/>
            </w:tcBorders>
            <w:vAlign w:val="center"/>
          </w:tcPr>
          <w:p w14:paraId="307F1C3E"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Any Cardiovascular Disease</w:t>
            </w:r>
          </w:p>
          <w:p w14:paraId="176B45E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p w14:paraId="09646391"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Ischaemic Heart Disease</w:t>
            </w:r>
          </w:p>
          <w:p w14:paraId="6B4C663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Valve Disease</w:t>
            </w:r>
          </w:p>
          <w:p w14:paraId="6CF9990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Cardiomyopathy</w:t>
            </w:r>
          </w:p>
        </w:tc>
        <w:tc>
          <w:tcPr>
            <w:tcW w:w="2552" w:type="dxa"/>
            <w:tcBorders>
              <w:top w:val="single" w:sz="4" w:space="0" w:color="auto"/>
              <w:left w:val="single" w:sz="4" w:space="0" w:color="auto"/>
              <w:bottom w:val="single" w:sz="4" w:space="0" w:color="auto"/>
              <w:right w:val="single" w:sz="4" w:space="0" w:color="auto"/>
            </w:tcBorders>
            <w:vAlign w:val="center"/>
          </w:tcPr>
          <w:p w14:paraId="3E708DF7" w14:textId="5C607AD4"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70 (2</w:t>
            </w:r>
            <w:r w:rsidR="006D278A" w:rsidRPr="007A7515">
              <w:rPr>
                <w:rFonts w:asciiTheme="minorHAnsi" w:hAnsiTheme="minorHAnsi" w:cstheme="minorHAnsi"/>
                <w:b/>
                <w:sz w:val="24"/>
                <w:szCs w:val="24"/>
              </w:rPr>
              <w:t>3</w:t>
            </w:r>
            <w:r w:rsidRPr="007A7515">
              <w:rPr>
                <w:rFonts w:asciiTheme="minorHAnsi" w:hAnsiTheme="minorHAnsi" w:cstheme="minorHAnsi"/>
                <w:b/>
                <w:sz w:val="24"/>
                <w:szCs w:val="24"/>
              </w:rPr>
              <w:t>%)</w:t>
            </w:r>
          </w:p>
          <w:p w14:paraId="7F03104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11</w:t>
            </w:r>
          </w:p>
          <w:p w14:paraId="33943B9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51 (17%)</w:t>
            </w:r>
          </w:p>
          <w:p w14:paraId="58BE50D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11 (4%)</w:t>
            </w:r>
          </w:p>
          <w:p w14:paraId="18302B2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 (1%)</w:t>
            </w:r>
          </w:p>
        </w:tc>
      </w:tr>
      <w:tr w:rsidR="008C6AE1" w:rsidRPr="007A7515" w14:paraId="6F856FEA" w14:textId="77777777" w:rsidTr="006D278A">
        <w:trPr>
          <w:cantSplit/>
          <w:trHeight w:val="432"/>
        </w:trPr>
        <w:tc>
          <w:tcPr>
            <w:tcW w:w="3132" w:type="dxa"/>
            <w:tcBorders>
              <w:top w:val="single" w:sz="4" w:space="0" w:color="auto"/>
              <w:left w:val="single" w:sz="4" w:space="0" w:color="auto"/>
              <w:bottom w:val="single" w:sz="4" w:space="0" w:color="auto"/>
              <w:right w:val="nil"/>
            </w:tcBorders>
            <w:vAlign w:val="center"/>
          </w:tcPr>
          <w:p w14:paraId="6611BE6E"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Medical History of Respiratory Disease</w:t>
            </w:r>
          </w:p>
        </w:tc>
        <w:tc>
          <w:tcPr>
            <w:tcW w:w="2977" w:type="dxa"/>
            <w:tcBorders>
              <w:top w:val="single" w:sz="4" w:space="0" w:color="auto"/>
              <w:left w:val="nil"/>
              <w:bottom w:val="single" w:sz="4" w:space="0" w:color="auto"/>
              <w:right w:val="single" w:sz="4" w:space="0" w:color="auto"/>
            </w:tcBorders>
            <w:vAlign w:val="center"/>
          </w:tcPr>
          <w:p w14:paraId="51C37E44"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Any Respiratory Disease</w:t>
            </w:r>
          </w:p>
          <w:p w14:paraId="53CFDDA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p w14:paraId="68773F89"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COPD</w:t>
            </w:r>
          </w:p>
          <w:p w14:paraId="41CD4BE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Asthma</w:t>
            </w:r>
          </w:p>
          <w:p w14:paraId="7BE4B9C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Pulmonary Fibrosis</w:t>
            </w:r>
          </w:p>
          <w:p w14:paraId="10B8B6C1"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Other ILD</w:t>
            </w:r>
          </w:p>
          <w:p w14:paraId="1947D678"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Other</w:t>
            </w:r>
          </w:p>
        </w:tc>
        <w:tc>
          <w:tcPr>
            <w:tcW w:w="2552" w:type="dxa"/>
            <w:tcBorders>
              <w:top w:val="single" w:sz="4" w:space="0" w:color="auto"/>
              <w:left w:val="single" w:sz="4" w:space="0" w:color="auto"/>
              <w:bottom w:val="single" w:sz="4" w:space="0" w:color="auto"/>
              <w:right w:val="single" w:sz="4" w:space="0" w:color="auto"/>
            </w:tcBorders>
            <w:vAlign w:val="center"/>
          </w:tcPr>
          <w:p w14:paraId="73FB7097" w14:textId="7C54FC8A"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126 (4</w:t>
            </w:r>
            <w:r w:rsidR="006D278A" w:rsidRPr="007A7515">
              <w:rPr>
                <w:rFonts w:asciiTheme="minorHAnsi" w:hAnsiTheme="minorHAnsi" w:cstheme="minorHAnsi"/>
                <w:b/>
                <w:sz w:val="24"/>
                <w:szCs w:val="24"/>
              </w:rPr>
              <w:t>1</w:t>
            </w:r>
            <w:r w:rsidRPr="007A7515">
              <w:rPr>
                <w:rFonts w:asciiTheme="minorHAnsi" w:hAnsiTheme="minorHAnsi" w:cstheme="minorHAnsi"/>
                <w:b/>
                <w:sz w:val="24"/>
                <w:szCs w:val="24"/>
              </w:rPr>
              <w:t>%)</w:t>
            </w:r>
          </w:p>
          <w:p w14:paraId="101B372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w:t>
            </w:r>
          </w:p>
          <w:p w14:paraId="7F1EEAF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90 (29%)</w:t>
            </w:r>
          </w:p>
          <w:p w14:paraId="6028065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29 (9%)</w:t>
            </w:r>
          </w:p>
          <w:p w14:paraId="7A888CA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6 (3%)</w:t>
            </w:r>
          </w:p>
          <w:p w14:paraId="6387BF79"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0 (0%)</w:t>
            </w:r>
          </w:p>
          <w:p w14:paraId="69C96DC8"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17 (6%)</w:t>
            </w:r>
          </w:p>
        </w:tc>
      </w:tr>
      <w:tr w:rsidR="008C6AE1" w:rsidRPr="007A7515" w14:paraId="4324C52A" w14:textId="77777777" w:rsidTr="006D278A">
        <w:trPr>
          <w:cantSplit/>
          <w:trHeight w:val="432"/>
        </w:trPr>
        <w:tc>
          <w:tcPr>
            <w:tcW w:w="3132" w:type="dxa"/>
            <w:tcBorders>
              <w:top w:val="single" w:sz="4" w:space="0" w:color="auto"/>
              <w:left w:val="single" w:sz="4" w:space="0" w:color="auto"/>
              <w:bottom w:val="single" w:sz="4" w:space="0" w:color="auto"/>
              <w:right w:val="nil"/>
            </w:tcBorders>
            <w:vAlign w:val="center"/>
          </w:tcPr>
          <w:p w14:paraId="6D23512D"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Medical History of Inflammatory Disease</w:t>
            </w:r>
          </w:p>
        </w:tc>
        <w:tc>
          <w:tcPr>
            <w:tcW w:w="2977" w:type="dxa"/>
            <w:tcBorders>
              <w:top w:val="single" w:sz="4" w:space="0" w:color="auto"/>
              <w:left w:val="nil"/>
              <w:bottom w:val="single" w:sz="4" w:space="0" w:color="auto"/>
              <w:right w:val="single" w:sz="4" w:space="0" w:color="auto"/>
            </w:tcBorders>
            <w:vAlign w:val="center"/>
          </w:tcPr>
          <w:p w14:paraId="7EEE1E36"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Any Inflammatory Disease</w:t>
            </w:r>
          </w:p>
          <w:p w14:paraId="1009E8FE"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p w14:paraId="673C16F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Rheumatoid</w:t>
            </w:r>
          </w:p>
          <w:p w14:paraId="074AC307"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Wegener’s</w:t>
            </w:r>
          </w:p>
        </w:tc>
        <w:tc>
          <w:tcPr>
            <w:tcW w:w="2552" w:type="dxa"/>
            <w:tcBorders>
              <w:top w:val="single" w:sz="4" w:space="0" w:color="auto"/>
              <w:left w:val="single" w:sz="4" w:space="0" w:color="auto"/>
              <w:bottom w:val="single" w:sz="4" w:space="0" w:color="auto"/>
              <w:right w:val="single" w:sz="4" w:space="0" w:color="auto"/>
            </w:tcBorders>
            <w:vAlign w:val="center"/>
          </w:tcPr>
          <w:p w14:paraId="5A289239"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65 (21%)</w:t>
            </w:r>
          </w:p>
          <w:p w14:paraId="617E74C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4</w:t>
            </w:r>
          </w:p>
          <w:p w14:paraId="4B5257C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20 (6%)</w:t>
            </w:r>
          </w:p>
          <w:p w14:paraId="30FF09B9"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1 (0%)</w:t>
            </w:r>
          </w:p>
        </w:tc>
      </w:tr>
      <w:tr w:rsidR="008C6AE1" w:rsidRPr="007A7515" w14:paraId="23E035BD" w14:textId="77777777" w:rsidTr="006D278A">
        <w:trPr>
          <w:cantSplit/>
          <w:trHeight w:val="432"/>
        </w:trPr>
        <w:tc>
          <w:tcPr>
            <w:tcW w:w="3132" w:type="dxa"/>
            <w:tcBorders>
              <w:top w:val="single" w:sz="4" w:space="0" w:color="auto"/>
              <w:left w:val="single" w:sz="4" w:space="0" w:color="auto"/>
              <w:bottom w:val="single" w:sz="4" w:space="0" w:color="auto"/>
              <w:right w:val="nil"/>
            </w:tcBorders>
            <w:vAlign w:val="center"/>
          </w:tcPr>
          <w:p w14:paraId="74ACB69E"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Medical History of Infectious Disease</w:t>
            </w:r>
          </w:p>
        </w:tc>
        <w:tc>
          <w:tcPr>
            <w:tcW w:w="2977" w:type="dxa"/>
            <w:tcBorders>
              <w:top w:val="single" w:sz="4" w:space="0" w:color="auto"/>
              <w:left w:val="nil"/>
              <w:bottom w:val="single" w:sz="4" w:space="0" w:color="auto"/>
              <w:right w:val="single" w:sz="4" w:space="0" w:color="auto"/>
            </w:tcBorders>
            <w:vAlign w:val="center"/>
          </w:tcPr>
          <w:p w14:paraId="20E6CDDA"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Any Infectious Disease</w:t>
            </w:r>
          </w:p>
          <w:p w14:paraId="5173E0D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p w14:paraId="6584636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Histoplasmosis</w:t>
            </w:r>
          </w:p>
          <w:p w14:paraId="22E5559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Chicken Pox</w:t>
            </w:r>
          </w:p>
          <w:p w14:paraId="53110AB2"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Tuberculosis</w:t>
            </w:r>
          </w:p>
        </w:tc>
        <w:tc>
          <w:tcPr>
            <w:tcW w:w="2552" w:type="dxa"/>
            <w:tcBorders>
              <w:top w:val="single" w:sz="4" w:space="0" w:color="auto"/>
              <w:left w:val="single" w:sz="4" w:space="0" w:color="auto"/>
              <w:bottom w:val="single" w:sz="4" w:space="0" w:color="auto"/>
              <w:right w:val="single" w:sz="4" w:space="0" w:color="auto"/>
            </w:tcBorders>
            <w:vAlign w:val="center"/>
          </w:tcPr>
          <w:p w14:paraId="4FD43923" w14:textId="63693F0E"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112 (3</w:t>
            </w:r>
            <w:r w:rsidR="006D278A" w:rsidRPr="007A7515">
              <w:rPr>
                <w:rFonts w:asciiTheme="minorHAnsi" w:hAnsiTheme="minorHAnsi" w:cstheme="minorHAnsi"/>
                <w:b/>
                <w:sz w:val="24"/>
                <w:szCs w:val="24"/>
              </w:rPr>
              <w:t>7</w:t>
            </w:r>
            <w:r w:rsidRPr="007A7515">
              <w:rPr>
                <w:rFonts w:asciiTheme="minorHAnsi" w:hAnsiTheme="minorHAnsi" w:cstheme="minorHAnsi"/>
                <w:b/>
                <w:sz w:val="24"/>
                <w:szCs w:val="24"/>
              </w:rPr>
              <w:t>%)</w:t>
            </w:r>
          </w:p>
          <w:p w14:paraId="1BA0D1D4"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6</w:t>
            </w:r>
          </w:p>
          <w:p w14:paraId="039E6AE4"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 (0%)</w:t>
            </w:r>
          </w:p>
          <w:p w14:paraId="6F775B22"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108 (35%)</w:t>
            </w:r>
          </w:p>
          <w:p w14:paraId="50F00AEE"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9 (3%)</w:t>
            </w:r>
          </w:p>
        </w:tc>
      </w:tr>
      <w:tr w:rsidR="008C6AE1" w:rsidRPr="007A7515" w14:paraId="40FACADB" w14:textId="77777777" w:rsidTr="006D278A">
        <w:trPr>
          <w:cantSplit/>
          <w:trHeight w:val="432"/>
        </w:trPr>
        <w:tc>
          <w:tcPr>
            <w:tcW w:w="3132" w:type="dxa"/>
            <w:tcBorders>
              <w:top w:val="single" w:sz="4" w:space="0" w:color="auto"/>
              <w:left w:val="single" w:sz="4" w:space="0" w:color="auto"/>
              <w:bottom w:val="single" w:sz="4" w:space="0" w:color="auto"/>
              <w:right w:val="nil"/>
            </w:tcBorders>
            <w:vAlign w:val="center"/>
          </w:tcPr>
          <w:p w14:paraId="6B7A4F00"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lastRenderedPageBreak/>
              <w:t>Previous Inhalational Exposures</w:t>
            </w:r>
          </w:p>
        </w:tc>
        <w:tc>
          <w:tcPr>
            <w:tcW w:w="2977" w:type="dxa"/>
            <w:tcBorders>
              <w:top w:val="single" w:sz="4" w:space="0" w:color="auto"/>
              <w:left w:val="nil"/>
              <w:bottom w:val="single" w:sz="4" w:space="0" w:color="auto"/>
              <w:right w:val="single" w:sz="4" w:space="0" w:color="auto"/>
            </w:tcBorders>
            <w:vAlign w:val="center"/>
          </w:tcPr>
          <w:p w14:paraId="4E35ADCF"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Any Previous Exposure</w:t>
            </w:r>
          </w:p>
          <w:p w14:paraId="7C59ACF2"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p w14:paraId="174CBC7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Asbestos</w:t>
            </w:r>
          </w:p>
          <w:p w14:paraId="75E6370E"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Coal</w:t>
            </w:r>
          </w:p>
          <w:p w14:paraId="1BDB0588"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Silica</w:t>
            </w:r>
          </w:p>
        </w:tc>
        <w:tc>
          <w:tcPr>
            <w:tcW w:w="2552" w:type="dxa"/>
            <w:tcBorders>
              <w:top w:val="single" w:sz="4" w:space="0" w:color="auto"/>
              <w:left w:val="single" w:sz="4" w:space="0" w:color="auto"/>
              <w:bottom w:val="single" w:sz="4" w:space="0" w:color="auto"/>
              <w:right w:val="single" w:sz="4" w:space="0" w:color="auto"/>
            </w:tcBorders>
            <w:vAlign w:val="center"/>
          </w:tcPr>
          <w:p w14:paraId="3C6FE62F" w14:textId="57A4DEEA"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63 (2</w:t>
            </w:r>
            <w:r w:rsidR="006D278A" w:rsidRPr="007A7515">
              <w:rPr>
                <w:rFonts w:asciiTheme="minorHAnsi" w:hAnsiTheme="minorHAnsi" w:cstheme="minorHAnsi"/>
                <w:b/>
                <w:sz w:val="24"/>
                <w:szCs w:val="24"/>
              </w:rPr>
              <w:t>1</w:t>
            </w:r>
            <w:r w:rsidRPr="007A7515">
              <w:rPr>
                <w:rFonts w:asciiTheme="minorHAnsi" w:hAnsiTheme="minorHAnsi" w:cstheme="minorHAnsi"/>
                <w:b/>
                <w:sz w:val="24"/>
                <w:szCs w:val="24"/>
              </w:rPr>
              <w:t>%)</w:t>
            </w:r>
          </w:p>
          <w:p w14:paraId="2BDE6042"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14</w:t>
            </w:r>
          </w:p>
          <w:p w14:paraId="0D1F8CE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55 (18%)</w:t>
            </w:r>
          </w:p>
          <w:p w14:paraId="0E6C89D4"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14 (5%)</w:t>
            </w:r>
          </w:p>
          <w:p w14:paraId="74F047AE"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sz w:val="24"/>
                <w:szCs w:val="24"/>
              </w:rPr>
              <w:t>4 (1%)</w:t>
            </w:r>
          </w:p>
        </w:tc>
      </w:tr>
      <w:tr w:rsidR="008C6AE1" w:rsidRPr="007A7515" w14:paraId="79581E80" w14:textId="77777777" w:rsidTr="006D278A">
        <w:trPr>
          <w:cantSplit/>
          <w:trHeight w:val="432"/>
        </w:trPr>
        <w:tc>
          <w:tcPr>
            <w:tcW w:w="3132" w:type="dxa"/>
            <w:tcBorders>
              <w:top w:val="single" w:sz="4" w:space="0" w:color="auto"/>
              <w:left w:val="single" w:sz="4" w:space="0" w:color="auto"/>
              <w:bottom w:val="single" w:sz="18" w:space="0" w:color="auto"/>
              <w:right w:val="nil"/>
            </w:tcBorders>
            <w:vAlign w:val="center"/>
          </w:tcPr>
          <w:p w14:paraId="70451C15"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Prior Malignancy</w:t>
            </w:r>
          </w:p>
        </w:tc>
        <w:tc>
          <w:tcPr>
            <w:tcW w:w="2977" w:type="dxa"/>
            <w:tcBorders>
              <w:top w:val="single" w:sz="4" w:space="0" w:color="auto"/>
              <w:left w:val="nil"/>
              <w:bottom w:val="single" w:sz="18" w:space="0" w:color="auto"/>
              <w:right w:val="single" w:sz="4" w:space="0" w:color="auto"/>
            </w:tcBorders>
            <w:vAlign w:val="center"/>
          </w:tcPr>
          <w:p w14:paraId="26533A61"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Any Prior Malignancy</w:t>
            </w:r>
          </w:p>
          <w:p w14:paraId="61F372AE"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2552" w:type="dxa"/>
            <w:tcBorders>
              <w:top w:val="single" w:sz="4" w:space="0" w:color="auto"/>
              <w:left w:val="single" w:sz="4" w:space="0" w:color="auto"/>
              <w:bottom w:val="single" w:sz="18" w:space="0" w:color="auto"/>
              <w:right w:val="single" w:sz="4" w:space="0" w:color="auto"/>
            </w:tcBorders>
            <w:vAlign w:val="center"/>
          </w:tcPr>
          <w:p w14:paraId="53835613" w14:textId="77777777" w:rsidR="008C6AE1" w:rsidRPr="007A7515" w:rsidRDefault="008C6AE1" w:rsidP="00B75E75">
            <w:pPr>
              <w:jc w:val="right"/>
              <w:rPr>
                <w:rFonts w:asciiTheme="minorHAnsi" w:hAnsiTheme="minorHAnsi" w:cstheme="minorHAnsi"/>
                <w:b/>
                <w:sz w:val="24"/>
                <w:szCs w:val="24"/>
              </w:rPr>
            </w:pPr>
            <w:r w:rsidRPr="007A7515">
              <w:rPr>
                <w:rFonts w:asciiTheme="minorHAnsi" w:hAnsiTheme="minorHAnsi" w:cstheme="minorHAnsi"/>
                <w:b/>
                <w:sz w:val="24"/>
                <w:szCs w:val="24"/>
              </w:rPr>
              <w:t>38 (12%)</w:t>
            </w:r>
          </w:p>
          <w:p w14:paraId="708A011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6</w:t>
            </w:r>
          </w:p>
        </w:tc>
      </w:tr>
    </w:tbl>
    <w:p w14:paraId="7991E605" w14:textId="67206A6B" w:rsidR="00A43F89" w:rsidRPr="007A7515" w:rsidRDefault="00A43F89" w:rsidP="00A43F89">
      <w:pPr>
        <w:spacing w:after="200" w:line="276" w:lineRule="auto"/>
        <w:rPr>
          <w:rFonts w:asciiTheme="minorHAnsi" w:hAnsiTheme="minorHAnsi" w:cstheme="minorHAnsi"/>
          <w:bCs/>
          <w:sz w:val="24"/>
          <w:szCs w:val="24"/>
        </w:rPr>
      </w:pPr>
      <w:r w:rsidRPr="007A7515">
        <w:rPr>
          <w:rFonts w:asciiTheme="minorHAnsi" w:hAnsiTheme="minorHAnsi" w:cstheme="minorHAnsi"/>
          <w:bCs/>
          <w:sz w:val="24"/>
          <w:szCs w:val="24"/>
        </w:rPr>
        <w:t>Abbreviations: SD= standard deviation, SPN=solitary pulmonary nodule.</w:t>
      </w:r>
    </w:p>
    <w:p w14:paraId="44970438" w14:textId="0BB465DB" w:rsidR="008C6AE1" w:rsidRPr="007A7515" w:rsidRDefault="004A39FB" w:rsidP="008C6AE1">
      <w:pPr>
        <w:spacing w:after="200" w:line="276" w:lineRule="auto"/>
        <w:rPr>
          <w:rFonts w:asciiTheme="minorHAnsi" w:hAnsiTheme="minorHAnsi" w:cstheme="minorHAnsi"/>
          <w:bCs/>
          <w:sz w:val="24"/>
          <w:szCs w:val="24"/>
        </w:rPr>
      </w:pPr>
      <w:r w:rsidRPr="007A7515">
        <w:rPr>
          <w:rFonts w:asciiTheme="minorHAnsi" w:hAnsiTheme="minorHAnsi" w:cstheme="minorHAnsi"/>
          <w:bCs/>
          <w:sz w:val="24"/>
          <w:szCs w:val="24"/>
        </w:rPr>
        <w:t>*Subgroups may add to more than the Group totals as patients may have more than one condition within any disease grouping</w:t>
      </w:r>
    </w:p>
    <w:p w14:paraId="7089AB96" w14:textId="77777777" w:rsidR="008C6AE1" w:rsidRPr="007A7515" w:rsidRDefault="008C6AE1" w:rsidP="008C6AE1">
      <w:pPr>
        <w:rPr>
          <w:rFonts w:asciiTheme="minorHAnsi" w:hAnsiTheme="minorHAnsi" w:cstheme="minorHAnsi"/>
          <w:sz w:val="24"/>
          <w:szCs w:val="24"/>
        </w:rPr>
      </w:pPr>
      <w:r w:rsidRPr="007A7515">
        <w:rPr>
          <w:rFonts w:asciiTheme="minorHAnsi" w:hAnsiTheme="minorHAnsi" w:cstheme="minorHAnsi"/>
          <w:sz w:val="24"/>
          <w:szCs w:val="24"/>
        </w:rPr>
        <w:br w:type="page"/>
      </w:r>
    </w:p>
    <w:p w14:paraId="5BBE1466" w14:textId="57AB23DE" w:rsidR="00891FE0" w:rsidRPr="007A7515" w:rsidRDefault="00891FE0" w:rsidP="00891FE0">
      <w:pPr>
        <w:rPr>
          <w:rFonts w:asciiTheme="minorHAnsi" w:hAnsiTheme="minorHAnsi" w:cstheme="minorHAnsi"/>
          <w:sz w:val="24"/>
          <w:szCs w:val="24"/>
        </w:rPr>
      </w:pPr>
      <w:r w:rsidRPr="007A7515">
        <w:rPr>
          <w:rFonts w:asciiTheme="minorHAnsi" w:hAnsiTheme="minorHAnsi" w:cstheme="minorHAnsi"/>
          <w:b/>
          <w:sz w:val="24"/>
          <w:szCs w:val="24"/>
        </w:rPr>
        <w:lastRenderedPageBreak/>
        <w:t xml:space="preserve">Table 2: </w:t>
      </w:r>
      <w:r w:rsidRPr="007A7515">
        <w:rPr>
          <w:rFonts w:asciiTheme="minorHAnsi" w:hAnsiTheme="minorHAnsi" w:cstheme="minorHAnsi"/>
          <w:sz w:val="24"/>
          <w:szCs w:val="24"/>
        </w:rPr>
        <w:t>Final Nodule Diagnosis in the study cohort, further divided by smoking status (n=312)</w:t>
      </w:r>
    </w:p>
    <w:p w14:paraId="5B8BE645" w14:textId="77777777" w:rsidR="006D278A" w:rsidRPr="007A7515" w:rsidRDefault="006D278A" w:rsidP="00891FE0">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352"/>
        <w:gridCol w:w="3039"/>
        <w:gridCol w:w="1115"/>
        <w:gridCol w:w="1238"/>
        <w:gridCol w:w="1118"/>
        <w:gridCol w:w="1154"/>
      </w:tblGrid>
      <w:tr w:rsidR="00891FE0" w:rsidRPr="007A7515" w14:paraId="4E4DCA2B" w14:textId="77777777" w:rsidTr="00377067">
        <w:tc>
          <w:tcPr>
            <w:tcW w:w="1258" w:type="dxa"/>
            <w:tcBorders>
              <w:top w:val="single" w:sz="18" w:space="0" w:color="auto"/>
              <w:bottom w:val="single" w:sz="18" w:space="0" w:color="auto"/>
            </w:tcBorders>
            <w:shd w:val="clear" w:color="auto" w:fill="D9D9D9" w:themeFill="background1" w:themeFillShade="D9"/>
            <w:vAlign w:val="center"/>
          </w:tcPr>
          <w:p w14:paraId="16B994FE" w14:textId="43EAA7E0" w:rsidR="00891FE0" w:rsidRPr="007A7515" w:rsidRDefault="00891FE0" w:rsidP="00891FE0">
            <w:pPr>
              <w:rPr>
                <w:rFonts w:asciiTheme="minorHAnsi" w:hAnsiTheme="minorHAnsi" w:cstheme="minorHAnsi"/>
                <w:sz w:val="24"/>
                <w:szCs w:val="24"/>
              </w:rPr>
            </w:pPr>
            <w:r w:rsidRPr="007A7515">
              <w:rPr>
                <w:rFonts w:asciiTheme="minorHAnsi" w:hAnsiTheme="minorHAnsi" w:cstheme="minorHAnsi"/>
                <w:b/>
                <w:sz w:val="24"/>
                <w:szCs w:val="24"/>
              </w:rPr>
              <w:t>Two-year malignancy status</w:t>
            </w:r>
          </w:p>
        </w:tc>
        <w:tc>
          <w:tcPr>
            <w:tcW w:w="3100" w:type="dxa"/>
            <w:tcBorders>
              <w:top w:val="single" w:sz="18" w:space="0" w:color="auto"/>
              <w:bottom w:val="single" w:sz="18" w:space="0" w:color="auto"/>
            </w:tcBorders>
            <w:shd w:val="clear" w:color="auto" w:fill="D9D9D9" w:themeFill="background1" w:themeFillShade="D9"/>
            <w:vAlign w:val="center"/>
          </w:tcPr>
          <w:p w14:paraId="689592B0" w14:textId="1C37159E" w:rsidR="00891FE0" w:rsidRPr="007A7515" w:rsidRDefault="00891FE0" w:rsidP="00891FE0">
            <w:pPr>
              <w:rPr>
                <w:rFonts w:asciiTheme="minorHAnsi" w:hAnsiTheme="minorHAnsi" w:cstheme="minorHAnsi"/>
                <w:sz w:val="24"/>
                <w:szCs w:val="24"/>
              </w:rPr>
            </w:pPr>
            <w:r w:rsidRPr="007A7515">
              <w:rPr>
                <w:rFonts w:asciiTheme="minorHAnsi" w:hAnsiTheme="minorHAnsi" w:cstheme="minorHAnsi"/>
                <w:b/>
                <w:sz w:val="24"/>
                <w:szCs w:val="24"/>
              </w:rPr>
              <w:t>Classification of nodule</w:t>
            </w:r>
          </w:p>
        </w:tc>
        <w:tc>
          <w:tcPr>
            <w:tcW w:w="1118" w:type="dxa"/>
            <w:tcBorders>
              <w:top w:val="single" w:sz="18" w:space="0" w:color="auto"/>
              <w:bottom w:val="single" w:sz="18" w:space="0" w:color="auto"/>
            </w:tcBorders>
            <w:shd w:val="clear" w:color="auto" w:fill="D9D9D9" w:themeFill="background1" w:themeFillShade="D9"/>
            <w:vAlign w:val="center"/>
          </w:tcPr>
          <w:p w14:paraId="4D294F8A" w14:textId="08450EB1" w:rsidR="00891FE0" w:rsidRPr="007A7515" w:rsidRDefault="00891FE0" w:rsidP="00891FE0">
            <w:pPr>
              <w:jc w:val="center"/>
              <w:rPr>
                <w:rFonts w:asciiTheme="minorHAnsi" w:hAnsiTheme="minorHAnsi" w:cstheme="minorHAnsi"/>
                <w:sz w:val="24"/>
                <w:szCs w:val="24"/>
              </w:rPr>
            </w:pPr>
            <w:r w:rsidRPr="007A7515">
              <w:rPr>
                <w:rFonts w:asciiTheme="minorHAnsi" w:hAnsiTheme="minorHAnsi" w:cstheme="minorHAnsi"/>
                <w:b/>
                <w:sz w:val="24"/>
                <w:szCs w:val="24"/>
              </w:rPr>
              <w:t>Never smokers</w:t>
            </w:r>
          </w:p>
        </w:tc>
        <w:tc>
          <w:tcPr>
            <w:tcW w:w="1247" w:type="dxa"/>
            <w:tcBorders>
              <w:top w:val="single" w:sz="18" w:space="0" w:color="auto"/>
              <w:bottom w:val="single" w:sz="18" w:space="0" w:color="auto"/>
            </w:tcBorders>
            <w:shd w:val="clear" w:color="auto" w:fill="D9D9D9" w:themeFill="background1" w:themeFillShade="D9"/>
            <w:vAlign w:val="center"/>
          </w:tcPr>
          <w:p w14:paraId="44DD46A9" w14:textId="5C5149EE" w:rsidR="00891FE0" w:rsidRPr="007A7515" w:rsidRDefault="00891FE0" w:rsidP="00891FE0">
            <w:pPr>
              <w:jc w:val="center"/>
              <w:rPr>
                <w:rFonts w:asciiTheme="minorHAnsi" w:hAnsiTheme="minorHAnsi" w:cstheme="minorHAnsi"/>
                <w:sz w:val="24"/>
                <w:szCs w:val="24"/>
              </w:rPr>
            </w:pPr>
            <w:r w:rsidRPr="007A7515">
              <w:rPr>
                <w:rFonts w:asciiTheme="minorHAnsi" w:hAnsiTheme="minorHAnsi" w:cstheme="minorHAnsi"/>
                <w:b/>
                <w:sz w:val="24"/>
                <w:szCs w:val="24"/>
              </w:rPr>
              <w:t>Ex-Smokers</w:t>
            </w:r>
          </w:p>
        </w:tc>
        <w:tc>
          <w:tcPr>
            <w:tcW w:w="1120" w:type="dxa"/>
            <w:tcBorders>
              <w:top w:val="single" w:sz="18" w:space="0" w:color="auto"/>
              <w:bottom w:val="single" w:sz="18" w:space="0" w:color="auto"/>
            </w:tcBorders>
            <w:shd w:val="clear" w:color="auto" w:fill="D9D9D9" w:themeFill="background1" w:themeFillShade="D9"/>
            <w:vAlign w:val="center"/>
          </w:tcPr>
          <w:p w14:paraId="77EC9FF3" w14:textId="358E210E" w:rsidR="00891FE0" w:rsidRPr="007A7515" w:rsidRDefault="00891FE0" w:rsidP="00891FE0">
            <w:pPr>
              <w:jc w:val="center"/>
              <w:rPr>
                <w:rFonts w:asciiTheme="minorHAnsi" w:hAnsiTheme="minorHAnsi" w:cstheme="minorHAnsi"/>
                <w:sz w:val="24"/>
                <w:szCs w:val="24"/>
              </w:rPr>
            </w:pPr>
            <w:r w:rsidRPr="007A7515">
              <w:rPr>
                <w:rFonts w:asciiTheme="minorHAnsi" w:hAnsiTheme="minorHAnsi" w:cstheme="minorHAnsi"/>
                <w:b/>
                <w:sz w:val="24"/>
                <w:szCs w:val="24"/>
              </w:rPr>
              <w:t>Current Smokers</w:t>
            </w:r>
          </w:p>
        </w:tc>
        <w:tc>
          <w:tcPr>
            <w:tcW w:w="1173" w:type="dxa"/>
            <w:tcBorders>
              <w:top w:val="single" w:sz="18" w:space="0" w:color="auto"/>
              <w:bottom w:val="single" w:sz="18" w:space="0" w:color="auto"/>
            </w:tcBorders>
            <w:shd w:val="clear" w:color="auto" w:fill="D9D9D9" w:themeFill="background1" w:themeFillShade="D9"/>
            <w:vAlign w:val="center"/>
          </w:tcPr>
          <w:p w14:paraId="4BC13652" w14:textId="2896D7A6" w:rsidR="00891FE0" w:rsidRPr="007A7515" w:rsidRDefault="00891FE0" w:rsidP="00891FE0">
            <w:pPr>
              <w:jc w:val="center"/>
              <w:rPr>
                <w:rFonts w:asciiTheme="minorHAnsi" w:hAnsiTheme="minorHAnsi" w:cstheme="minorHAnsi"/>
                <w:sz w:val="24"/>
                <w:szCs w:val="24"/>
              </w:rPr>
            </w:pPr>
            <w:r w:rsidRPr="007A7515">
              <w:rPr>
                <w:rFonts w:asciiTheme="minorHAnsi" w:hAnsiTheme="minorHAnsi" w:cstheme="minorHAnsi"/>
                <w:b/>
                <w:sz w:val="24"/>
                <w:szCs w:val="24"/>
              </w:rPr>
              <w:t>Total (%)</w:t>
            </w:r>
          </w:p>
        </w:tc>
      </w:tr>
      <w:tr w:rsidR="00891FE0" w:rsidRPr="007A7515" w14:paraId="52256040" w14:textId="77777777" w:rsidTr="006D278A">
        <w:trPr>
          <w:trHeight w:val="1384"/>
        </w:trPr>
        <w:tc>
          <w:tcPr>
            <w:tcW w:w="1258" w:type="dxa"/>
            <w:vMerge w:val="restart"/>
            <w:tcBorders>
              <w:top w:val="single" w:sz="18" w:space="0" w:color="auto"/>
            </w:tcBorders>
            <w:vAlign w:val="center"/>
          </w:tcPr>
          <w:p w14:paraId="1951C06B" w14:textId="3DA40AC6" w:rsidR="00891FE0" w:rsidRPr="007A7515" w:rsidRDefault="00891FE0" w:rsidP="00891FE0">
            <w:pPr>
              <w:jc w:val="center"/>
              <w:rPr>
                <w:rFonts w:asciiTheme="minorHAnsi" w:hAnsiTheme="minorHAnsi" w:cstheme="minorHAnsi"/>
                <w:sz w:val="24"/>
                <w:szCs w:val="24"/>
              </w:rPr>
            </w:pPr>
            <w:r w:rsidRPr="007A7515">
              <w:rPr>
                <w:rFonts w:asciiTheme="minorHAnsi" w:hAnsiTheme="minorHAnsi" w:cstheme="minorHAnsi"/>
                <w:b/>
                <w:sz w:val="24"/>
                <w:szCs w:val="24"/>
              </w:rPr>
              <w:t>Malignant (N=191)</w:t>
            </w:r>
          </w:p>
        </w:tc>
        <w:tc>
          <w:tcPr>
            <w:tcW w:w="3100" w:type="dxa"/>
            <w:tcBorders>
              <w:top w:val="single" w:sz="18" w:space="0" w:color="auto"/>
            </w:tcBorders>
            <w:vAlign w:val="center"/>
          </w:tcPr>
          <w:p w14:paraId="2E686000" w14:textId="0F2C08C4" w:rsidR="00891FE0" w:rsidRPr="007A7515" w:rsidRDefault="00891FE0" w:rsidP="00891FE0">
            <w:pPr>
              <w:rPr>
                <w:rFonts w:asciiTheme="minorHAnsi" w:hAnsiTheme="minorHAnsi" w:cstheme="minorHAnsi"/>
                <w:sz w:val="24"/>
                <w:szCs w:val="24"/>
              </w:rPr>
            </w:pPr>
            <w:r w:rsidRPr="007A7515">
              <w:rPr>
                <w:rFonts w:asciiTheme="minorHAnsi" w:hAnsiTheme="minorHAnsi" w:cstheme="minorHAnsi"/>
                <w:b/>
                <w:bCs/>
                <w:sz w:val="24"/>
                <w:szCs w:val="24"/>
              </w:rPr>
              <w:t>Non</w:t>
            </w:r>
            <w:r w:rsidR="00F4186E" w:rsidRPr="007A7515">
              <w:rPr>
                <w:rFonts w:asciiTheme="minorHAnsi" w:hAnsiTheme="minorHAnsi" w:cstheme="minorHAnsi"/>
                <w:b/>
                <w:bCs/>
                <w:sz w:val="24"/>
                <w:szCs w:val="24"/>
              </w:rPr>
              <w:t>-</w:t>
            </w:r>
            <w:r w:rsidRPr="007A7515">
              <w:rPr>
                <w:rFonts w:asciiTheme="minorHAnsi" w:hAnsiTheme="minorHAnsi" w:cstheme="minorHAnsi"/>
                <w:b/>
                <w:bCs/>
                <w:sz w:val="24"/>
                <w:szCs w:val="24"/>
              </w:rPr>
              <w:t>Small cell lung cancer</w:t>
            </w:r>
          </w:p>
          <w:p w14:paraId="5E138971" w14:textId="77777777" w:rsidR="00891FE0" w:rsidRPr="007A7515" w:rsidRDefault="00891FE0" w:rsidP="00891FE0">
            <w:pPr>
              <w:jc w:val="right"/>
              <w:rPr>
                <w:rFonts w:asciiTheme="minorHAnsi" w:hAnsiTheme="minorHAnsi" w:cstheme="minorHAnsi"/>
                <w:sz w:val="24"/>
                <w:szCs w:val="24"/>
              </w:rPr>
            </w:pPr>
            <w:r w:rsidRPr="007A7515">
              <w:rPr>
                <w:rFonts w:asciiTheme="minorHAnsi" w:hAnsiTheme="minorHAnsi" w:cstheme="minorHAnsi"/>
                <w:sz w:val="24"/>
                <w:szCs w:val="24"/>
              </w:rPr>
              <w:t>Adenocarcinoma</w:t>
            </w:r>
          </w:p>
          <w:p w14:paraId="78B01A60" w14:textId="77777777" w:rsidR="00891FE0" w:rsidRPr="007A7515" w:rsidRDefault="00891FE0" w:rsidP="00891FE0">
            <w:pPr>
              <w:jc w:val="right"/>
              <w:rPr>
                <w:rFonts w:asciiTheme="minorHAnsi" w:hAnsiTheme="minorHAnsi" w:cstheme="minorHAnsi"/>
                <w:sz w:val="24"/>
                <w:szCs w:val="24"/>
              </w:rPr>
            </w:pPr>
            <w:r w:rsidRPr="007A7515">
              <w:rPr>
                <w:rFonts w:asciiTheme="minorHAnsi" w:hAnsiTheme="minorHAnsi" w:cstheme="minorHAnsi"/>
                <w:sz w:val="24"/>
                <w:szCs w:val="24"/>
              </w:rPr>
              <w:t>Squamous cell carcinoma</w:t>
            </w:r>
          </w:p>
          <w:p w14:paraId="02CFE782" w14:textId="77777777" w:rsidR="00891FE0" w:rsidRPr="007A7515" w:rsidRDefault="00891FE0" w:rsidP="00891FE0">
            <w:pPr>
              <w:jc w:val="right"/>
              <w:rPr>
                <w:rFonts w:asciiTheme="minorHAnsi" w:hAnsiTheme="minorHAnsi" w:cstheme="minorHAnsi"/>
                <w:sz w:val="24"/>
                <w:szCs w:val="24"/>
              </w:rPr>
            </w:pPr>
            <w:r w:rsidRPr="007A7515">
              <w:rPr>
                <w:rFonts w:asciiTheme="minorHAnsi" w:hAnsiTheme="minorHAnsi" w:cstheme="minorHAnsi"/>
                <w:sz w:val="24"/>
                <w:szCs w:val="24"/>
              </w:rPr>
              <w:t>Large cell undifferentiated</w:t>
            </w:r>
          </w:p>
          <w:p w14:paraId="704F98D1" w14:textId="7CF108C4" w:rsidR="00891FE0" w:rsidRPr="007A7515" w:rsidRDefault="00891FE0" w:rsidP="00891FE0">
            <w:pPr>
              <w:jc w:val="right"/>
              <w:rPr>
                <w:rFonts w:asciiTheme="minorHAnsi" w:hAnsiTheme="minorHAnsi" w:cstheme="minorHAnsi"/>
                <w:sz w:val="24"/>
                <w:szCs w:val="24"/>
              </w:rPr>
            </w:pPr>
            <w:r w:rsidRPr="007A7515">
              <w:rPr>
                <w:rFonts w:asciiTheme="minorHAnsi" w:hAnsiTheme="minorHAnsi" w:cstheme="minorHAnsi"/>
                <w:sz w:val="24"/>
                <w:szCs w:val="24"/>
              </w:rPr>
              <w:t>Not otherwise specified</w:t>
            </w:r>
          </w:p>
        </w:tc>
        <w:tc>
          <w:tcPr>
            <w:tcW w:w="1118" w:type="dxa"/>
            <w:tcBorders>
              <w:top w:val="single" w:sz="18" w:space="0" w:color="auto"/>
            </w:tcBorders>
            <w:vAlign w:val="center"/>
          </w:tcPr>
          <w:p w14:paraId="02AF7156" w14:textId="77777777" w:rsidR="00891FE0" w:rsidRPr="007A7515" w:rsidRDefault="00891FE0" w:rsidP="00891FE0">
            <w:pPr>
              <w:jc w:val="center"/>
              <w:rPr>
                <w:rFonts w:asciiTheme="minorHAnsi" w:hAnsiTheme="minorHAnsi" w:cstheme="minorHAnsi"/>
                <w:sz w:val="24"/>
                <w:szCs w:val="24"/>
              </w:rPr>
            </w:pPr>
            <w:r w:rsidRPr="007A7515">
              <w:rPr>
                <w:b/>
                <w:sz w:val="24"/>
                <w:szCs w:val="24"/>
              </w:rPr>
              <w:t>15 (56%)</w:t>
            </w:r>
          </w:p>
          <w:p w14:paraId="1F9BA345" w14:textId="77777777" w:rsidR="00891FE0" w:rsidRPr="007A7515" w:rsidRDefault="00891FE0" w:rsidP="00891FE0">
            <w:pPr>
              <w:jc w:val="center"/>
              <w:rPr>
                <w:rFonts w:asciiTheme="minorHAnsi" w:hAnsiTheme="minorHAnsi" w:cstheme="minorHAnsi"/>
                <w:sz w:val="24"/>
                <w:szCs w:val="24"/>
              </w:rPr>
            </w:pPr>
            <w:r w:rsidRPr="007A7515">
              <w:rPr>
                <w:sz w:val="24"/>
                <w:szCs w:val="24"/>
              </w:rPr>
              <w:t>14 (93%)</w:t>
            </w:r>
          </w:p>
          <w:p w14:paraId="30D35C4C" w14:textId="77777777" w:rsidR="00891FE0" w:rsidRPr="007A7515" w:rsidRDefault="00891FE0" w:rsidP="00891FE0">
            <w:pPr>
              <w:jc w:val="center"/>
              <w:rPr>
                <w:rFonts w:asciiTheme="minorHAnsi" w:hAnsiTheme="minorHAnsi" w:cstheme="minorHAnsi"/>
                <w:sz w:val="24"/>
                <w:szCs w:val="24"/>
              </w:rPr>
            </w:pPr>
            <w:r w:rsidRPr="007A7515">
              <w:rPr>
                <w:sz w:val="24"/>
                <w:szCs w:val="24"/>
              </w:rPr>
              <w:t>0 (0%)</w:t>
            </w:r>
          </w:p>
          <w:p w14:paraId="2F1BE872" w14:textId="77777777" w:rsidR="00891FE0" w:rsidRPr="007A7515" w:rsidRDefault="00891FE0" w:rsidP="00891FE0">
            <w:pPr>
              <w:jc w:val="center"/>
              <w:rPr>
                <w:rFonts w:asciiTheme="minorHAnsi" w:hAnsiTheme="minorHAnsi" w:cstheme="minorHAnsi"/>
                <w:sz w:val="24"/>
                <w:szCs w:val="24"/>
              </w:rPr>
            </w:pPr>
            <w:r w:rsidRPr="007A7515">
              <w:rPr>
                <w:sz w:val="24"/>
                <w:szCs w:val="24"/>
              </w:rPr>
              <w:t>1 (7%)</w:t>
            </w:r>
          </w:p>
          <w:p w14:paraId="38A682DC" w14:textId="5CB13993" w:rsidR="00891FE0" w:rsidRPr="007A7515" w:rsidRDefault="00891FE0" w:rsidP="00891FE0">
            <w:pPr>
              <w:jc w:val="center"/>
              <w:rPr>
                <w:rFonts w:asciiTheme="minorHAnsi" w:hAnsiTheme="minorHAnsi" w:cstheme="minorHAnsi"/>
                <w:sz w:val="24"/>
                <w:szCs w:val="24"/>
              </w:rPr>
            </w:pPr>
            <w:r w:rsidRPr="007A7515">
              <w:rPr>
                <w:sz w:val="24"/>
                <w:szCs w:val="24"/>
              </w:rPr>
              <w:t>0 (0%)</w:t>
            </w:r>
          </w:p>
        </w:tc>
        <w:tc>
          <w:tcPr>
            <w:tcW w:w="1247" w:type="dxa"/>
            <w:tcBorders>
              <w:top w:val="single" w:sz="18" w:space="0" w:color="auto"/>
            </w:tcBorders>
            <w:vAlign w:val="center"/>
          </w:tcPr>
          <w:p w14:paraId="60DE13E0" w14:textId="77777777" w:rsidR="00891FE0" w:rsidRPr="007A7515" w:rsidRDefault="00891FE0" w:rsidP="00891FE0">
            <w:pPr>
              <w:jc w:val="center"/>
              <w:rPr>
                <w:rFonts w:asciiTheme="minorHAnsi" w:hAnsiTheme="minorHAnsi" w:cstheme="minorHAnsi"/>
                <w:sz w:val="24"/>
                <w:szCs w:val="24"/>
              </w:rPr>
            </w:pPr>
            <w:r w:rsidRPr="007A7515">
              <w:rPr>
                <w:b/>
                <w:sz w:val="24"/>
                <w:szCs w:val="24"/>
              </w:rPr>
              <w:t>78 (76%)</w:t>
            </w:r>
          </w:p>
          <w:p w14:paraId="6B06B157" w14:textId="77777777" w:rsidR="00891FE0" w:rsidRPr="007A7515" w:rsidRDefault="00891FE0" w:rsidP="00891FE0">
            <w:pPr>
              <w:jc w:val="center"/>
              <w:rPr>
                <w:rFonts w:asciiTheme="minorHAnsi" w:hAnsiTheme="minorHAnsi" w:cstheme="minorHAnsi"/>
                <w:sz w:val="24"/>
                <w:szCs w:val="24"/>
              </w:rPr>
            </w:pPr>
            <w:r w:rsidRPr="007A7515">
              <w:rPr>
                <w:sz w:val="24"/>
                <w:szCs w:val="24"/>
              </w:rPr>
              <w:t>55 (71%)</w:t>
            </w:r>
          </w:p>
          <w:p w14:paraId="5E5D0165" w14:textId="77777777" w:rsidR="00891FE0" w:rsidRPr="007A7515" w:rsidRDefault="00891FE0" w:rsidP="00891FE0">
            <w:pPr>
              <w:jc w:val="center"/>
              <w:rPr>
                <w:rFonts w:asciiTheme="minorHAnsi" w:hAnsiTheme="minorHAnsi" w:cstheme="minorHAnsi"/>
                <w:sz w:val="24"/>
                <w:szCs w:val="24"/>
              </w:rPr>
            </w:pPr>
            <w:r w:rsidRPr="007A7515">
              <w:rPr>
                <w:sz w:val="24"/>
                <w:szCs w:val="24"/>
              </w:rPr>
              <w:t>20 (26%)</w:t>
            </w:r>
          </w:p>
          <w:p w14:paraId="6A5CE900" w14:textId="77777777" w:rsidR="00891FE0" w:rsidRPr="007A7515" w:rsidRDefault="00891FE0" w:rsidP="00891FE0">
            <w:pPr>
              <w:jc w:val="center"/>
              <w:rPr>
                <w:rFonts w:asciiTheme="minorHAnsi" w:hAnsiTheme="minorHAnsi" w:cstheme="minorHAnsi"/>
                <w:sz w:val="24"/>
                <w:szCs w:val="24"/>
              </w:rPr>
            </w:pPr>
            <w:r w:rsidRPr="007A7515">
              <w:rPr>
                <w:sz w:val="24"/>
                <w:szCs w:val="24"/>
              </w:rPr>
              <w:t>0 (0%)</w:t>
            </w:r>
          </w:p>
          <w:p w14:paraId="66F7125A" w14:textId="096389C8" w:rsidR="00891FE0" w:rsidRPr="007A7515" w:rsidRDefault="00891FE0" w:rsidP="00891FE0">
            <w:pPr>
              <w:jc w:val="center"/>
              <w:rPr>
                <w:rFonts w:asciiTheme="minorHAnsi" w:hAnsiTheme="minorHAnsi" w:cstheme="minorHAnsi"/>
                <w:sz w:val="24"/>
                <w:szCs w:val="24"/>
              </w:rPr>
            </w:pPr>
            <w:r w:rsidRPr="007A7515">
              <w:rPr>
                <w:sz w:val="24"/>
                <w:szCs w:val="24"/>
              </w:rPr>
              <w:t>3 (4%)</w:t>
            </w:r>
          </w:p>
        </w:tc>
        <w:tc>
          <w:tcPr>
            <w:tcW w:w="1120" w:type="dxa"/>
            <w:tcBorders>
              <w:top w:val="single" w:sz="18" w:space="0" w:color="auto"/>
            </w:tcBorders>
            <w:vAlign w:val="center"/>
          </w:tcPr>
          <w:p w14:paraId="214B06D6" w14:textId="77777777" w:rsidR="00891FE0" w:rsidRPr="007A7515" w:rsidRDefault="00891FE0" w:rsidP="00891FE0">
            <w:pPr>
              <w:jc w:val="center"/>
              <w:rPr>
                <w:rFonts w:asciiTheme="minorHAnsi" w:hAnsiTheme="minorHAnsi" w:cstheme="minorHAnsi"/>
                <w:sz w:val="24"/>
                <w:szCs w:val="24"/>
              </w:rPr>
            </w:pPr>
            <w:r w:rsidRPr="007A7515">
              <w:rPr>
                <w:b/>
                <w:sz w:val="24"/>
                <w:szCs w:val="24"/>
              </w:rPr>
              <w:t>47 (82%)</w:t>
            </w:r>
          </w:p>
          <w:p w14:paraId="56520A72" w14:textId="77777777" w:rsidR="00891FE0" w:rsidRPr="007A7515" w:rsidRDefault="00891FE0" w:rsidP="00891FE0">
            <w:pPr>
              <w:jc w:val="center"/>
              <w:rPr>
                <w:rFonts w:asciiTheme="minorHAnsi" w:hAnsiTheme="minorHAnsi" w:cstheme="minorHAnsi"/>
                <w:sz w:val="24"/>
                <w:szCs w:val="24"/>
              </w:rPr>
            </w:pPr>
            <w:r w:rsidRPr="007A7515">
              <w:rPr>
                <w:sz w:val="24"/>
                <w:szCs w:val="24"/>
              </w:rPr>
              <w:t>34 (72%)</w:t>
            </w:r>
          </w:p>
          <w:p w14:paraId="246794ED" w14:textId="77777777" w:rsidR="00891FE0" w:rsidRPr="007A7515" w:rsidRDefault="00891FE0" w:rsidP="00891FE0">
            <w:pPr>
              <w:jc w:val="center"/>
              <w:rPr>
                <w:rFonts w:asciiTheme="minorHAnsi" w:hAnsiTheme="minorHAnsi" w:cstheme="minorHAnsi"/>
                <w:sz w:val="24"/>
                <w:szCs w:val="24"/>
              </w:rPr>
            </w:pPr>
            <w:r w:rsidRPr="007A7515">
              <w:rPr>
                <w:sz w:val="24"/>
                <w:szCs w:val="24"/>
              </w:rPr>
              <w:t>10 (21%)</w:t>
            </w:r>
          </w:p>
          <w:p w14:paraId="50080825" w14:textId="77777777" w:rsidR="00891FE0" w:rsidRPr="007A7515" w:rsidRDefault="00891FE0" w:rsidP="00891FE0">
            <w:pPr>
              <w:jc w:val="center"/>
              <w:rPr>
                <w:rFonts w:asciiTheme="minorHAnsi" w:hAnsiTheme="minorHAnsi" w:cstheme="minorHAnsi"/>
                <w:sz w:val="24"/>
                <w:szCs w:val="24"/>
              </w:rPr>
            </w:pPr>
            <w:r w:rsidRPr="007A7515">
              <w:rPr>
                <w:sz w:val="24"/>
                <w:szCs w:val="24"/>
              </w:rPr>
              <w:t>1 (2%)</w:t>
            </w:r>
          </w:p>
          <w:p w14:paraId="2F87FE22" w14:textId="5F2D44F6" w:rsidR="00891FE0" w:rsidRPr="007A7515" w:rsidRDefault="00891FE0" w:rsidP="00891FE0">
            <w:pPr>
              <w:jc w:val="center"/>
              <w:rPr>
                <w:rFonts w:asciiTheme="minorHAnsi" w:hAnsiTheme="minorHAnsi" w:cstheme="minorHAnsi"/>
                <w:sz w:val="24"/>
                <w:szCs w:val="24"/>
              </w:rPr>
            </w:pPr>
            <w:r w:rsidRPr="007A7515">
              <w:rPr>
                <w:sz w:val="24"/>
                <w:szCs w:val="24"/>
              </w:rPr>
              <w:t>2 (4%)</w:t>
            </w:r>
          </w:p>
        </w:tc>
        <w:tc>
          <w:tcPr>
            <w:tcW w:w="1173" w:type="dxa"/>
            <w:tcBorders>
              <w:top w:val="single" w:sz="18" w:space="0" w:color="auto"/>
            </w:tcBorders>
            <w:vAlign w:val="center"/>
          </w:tcPr>
          <w:p w14:paraId="1F5ADBB1" w14:textId="77777777" w:rsidR="00891FE0" w:rsidRPr="007A7515" w:rsidRDefault="00891FE0" w:rsidP="00891FE0">
            <w:pPr>
              <w:jc w:val="center"/>
              <w:rPr>
                <w:rFonts w:asciiTheme="minorHAnsi" w:hAnsiTheme="minorHAnsi" w:cstheme="minorHAnsi"/>
                <w:sz w:val="24"/>
                <w:szCs w:val="24"/>
              </w:rPr>
            </w:pPr>
            <w:r w:rsidRPr="007A7515">
              <w:rPr>
                <w:b/>
                <w:sz w:val="24"/>
                <w:szCs w:val="24"/>
              </w:rPr>
              <w:t>145 (76%)</w:t>
            </w:r>
          </w:p>
          <w:p w14:paraId="2267BA15" w14:textId="77777777" w:rsidR="00891FE0" w:rsidRPr="007A7515" w:rsidRDefault="00891FE0" w:rsidP="00891FE0">
            <w:pPr>
              <w:jc w:val="center"/>
              <w:rPr>
                <w:rFonts w:asciiTheme="minorHAnsi" w:hAnsiTheme="minorHAnsi" w:cstheme="minorHAnsi"/>
                <w:sz w:val="24"/>
                <w:szCs w:val="24"/>
              </w:rPr>
            </w:pPr>
            <w:r w:rsidRPr="007A7515">
              <w:rPr>
                <w:sz w:val="24"/>
                <w:szCs w:val="24"/>
              </w:rPr>
              <w:t>107 (74%)</w:t>
            </w:r>
          </w:p>
          <w:p w14:paraId="0EA6D841" w14:textId="77777777" w:rsidR="00891FE0" w:rsidRPr="007A7515" w:rsidRDefault="00891FE0" w:rsidP="00891FE0">
            <w:pPr>
              <w:jc w:val="center"/>
              <w:rPr>
                <w:rFonts w:asciiTheme="minorHAnsi" w:hAnsiTheme="minorHAnsi" w:cstheme="minorHAnsi"/>
                <w:sz w:val="24"/>
                <w:szCs w:val="24"/>
              </w:rPr>
            </w:pPr>
            <w:r w:rsidRPr="007A7515">
              <w:rPr>
                <w:sz w:val="24"/>
                <w:szCs w:val="24"/>
              </w:rPr>
              <w:t>30 (21%)</w:t>
            </w:r>
          </w:p>
          <w:p w14:paraId="7EDA1373" w14:textId="77777777" w:rsidR="00891FE0" w:rsidRPr="007A7515" w:rsidRDefault="00891FE0" w:rsidP="00891FE0">
            <w:pPr>
              <w:jc w:val="center"/>
              <w:rPr>
                <w:rFonts w:asciiTheme="minorHAnsi" w:hAnsiTheme="minorHAnsi" w:cstheme="minorHAnsi"/>
                <w:sz w:val="24"/>
                <w:szCs w:val="24"/>
              </w:rPr>
            </w:pPr>
            <w:r w:rsidRPr="007A7515">
              <w:rPr>
                <w:sz w:val="24"/>
                <w:szCs w:val="24"/>
              </w:rPr>
              <w:t>2 (1%)</w:t>
            </w:r>
          </w:p>
          <w:p w14:paraId="0F2D265C" w14:textId="0F2911D3" w:rsidR="00891FE0" w:rsidRPr="007A7515" w:rsidRDefault="00891FE0" w:rsidP="00891FE0">
            <w:pPr>
              <w:jc w:val="center"/>
              <w:rPr>
                <w:rFonts w:asciiTheme="minorHAnsi" w:hAnsiTheme="minorHAnsi" w:cstheme="minorHAnsi"/>
                <w:sz w:val="24"/>
                <w:szCs w:val="24"/>
              </w:rPr>
            </w:pPr>
            <w:r w:rsidRPr="007A7515">
              <w:rPr>
                <w:sz w:val="24"/>
                <w:szCs w:val="24"/>
              </w:rPr>
              <w:t>6 (4%)</w:t>
            </w:r>
          </w:p>
        </w:tc>
      </w:tr>
      <w:tr w:rsidR="00891FE0" w:rsidRPr="007A7515" w14:paraId="6624F41E" w14:textId="77777777" w:rsidTr="00891FE0">
        <w:tc>
          <w:tcPr>
            <w:tcW w:w="1258" w:type="dxa"/>
            <w:vMerge/>
            <w:vAlign w:val="center"/>
          </w:tcPr>
          <w:p w14:paraId="686DC395"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55F50D5C" w14:textId="3C4E716A" w:rsidR="00891FE0" w:rsidRPr="007A7515" w:rsidRDefault="00891FE0" w:rsidP="00891FE0">
            <w:pPr>
              <w:rPr>
                <w:rFonts w:asciiTheme="minorHAnsi" w:hAnsiTheme="minorHAnsi" w:cstheme="minorHAnsi"/>
                <w:sz w:val="24"/>
                <w:szCs w:val="24"/>
              </w:rPr>
            </w:pPr>
            <w:r w:rsidRPr="007A7515">
              <w:rPr>
                <w:rFonts w:asciiTheme="minorHAnsi" w:hAnsiTheme="minorHAnsi" w:cstheme="minorHAnsi"/>
                <w:b/>
                <w:bCs/>
                <w:sz w:val="24"/>
                <w:szCs w:val="24"/>
              </w:rPr>
              <w:t>Carcinoid tumour</w:t>
            </w:r>
          </w:p>
        </w:tc>
        <w:tc>
          <w:tcPr>
            <w:tcW w:w="1118" w:type="dxa"/>
            <w:vAlign w:val="center"/>
          </w:tcPr>
          <w:p w14:paraId="350E6148" w14:textId="2861B319" w:rsidR="00891FE0" w:rsidRPr="007A7515" w:rsidRDefault="00891FE0" w:rsidP="00891FE0">
            <w:pPr>
              <w:jc w:val="center"/>
              <w:rPr>
                <w:rFonts w:asciiTheme="minorHAnsi" w:hAnsiTheme="minorHAnsi" w:cstheme="minorHAnsi"/>
                <w:sz w:val="24"/>
                <w:szCs w:val="24"/>
              </w:rPr>
            </w:pPr>
            <w:r w:rsidRPr="007A7515">
              <w:rPr>
                <w:b/>
                <w:sz w:val="24"/>
                <w:szCs w:val="24"/>
              </w:rPr>
              <w:t>8 (30%)</w:t>
            </w:r>
          </w:p>
        </w:tc>
        <w:tc>
          <w:tcPr>
            <w:tcW w:w="1247" w:type="dxa"/>
            <w:vAlign w:val="center"/>
          </w:tcPr>
          <w:p w14:paraId="03B6DF5A" w14:textId="47208A6B" w:rsidR="00891FE0" w:rsidRPr="007A7515" w:rsidRDefault="00891FE0" w:rsidP="00891FE0">
            <w:pPr>
              <w:jc w:val="center"/>
              <w:rPr>
                <w:rFonts w:asciiTheme="minorHAnsi" w:hAnsiTheme="minorHAnsi" w:cstheme="minorHAnsi"/>
                <w:sz w:val="24"/>
                <w:szCs w:val="24"/>
              </w:rPr>
            </w:pPr>
            <w:r w:rsidRPr="007A7515">
              <w:rPr>
                <w:b/>
                <w:sz w:val="24"/>
                <w:szCs w:val="24"/>
              </w:rPr>
              <w:t>4 (4%)</w:t>
            </w:r>
          </w:p>
        </w:tc>
        <w:tc>
          <w:tcPr>
            <w:tcW w:w="1120" w:type="dxa"/>
            <w:vAlign w:val="center"/>
          </w:tcPr>
          <w:p w14:paraId="19A32B28" w14:textId="466AF786" w:rsidR="00891FE0" w:rsidRPr="007A7515" w:rsidRDefault="00891FE0" w:rsidP="00891FE0">
            <w:pPr>
              <w:jc w:val="center"/>
              <w:rPr>
                <w:rFonts w:asciiTheme="minorHAnsi" w:hAnsiTheme="minorHAnsi" w:cstheme="minorHAnsi"/>
                <w:sz w:val="24"/>
                <w:szCs w:val="24"/>
              </w:rPr>
            </w:pPr>
            <w:r w:rsidRPr="007A7515">
              <w:rPr>
                <w:b/>
                <w:sz w:val="24"/>
                <w:szCs w:val="24"/>
              </w:rPr>
              <w:t>0 (0%)</w:t>
            </w:r>
          </w:p>
        </w:tc>
        <w:tc>
          <w:tcPr>
            <w:tcW w:w="1173" w:type="dxa"/>
            <w:vAlign w:val="center"/>
          </w:tcPr>
          <w:p w14:paraId="23BB5E7F" w14:textId="10A6A28E" w:rsidR="00891FE0" w:rsidRPr="007A7515" w:rsidRDefault="00891FE0" w:rsidP="00891FE0">
            <w:pPr>
              <w:jc w:val="center"/>
              <w:rPr>
                <w:rFonts w:asciiTheme="minorHAnsi" w:hAnsiTheme="minorHAnsi" w:cstheme="minorHAnsi"/>
                <w:sz w:val="24"/>
                <w:szCs w:val="24"/>
              </w:rPr>
            </w:pPr>
            <w:r w:rsidRPr="007A7515">
              <w:rPr>
                <w:b/>
                <w:sz w:val="24"/>
                <w:szCs w:val="24"/>
              </w:rPr>
              <w:t>12 (6%)</w:t>
            </w:r>
          </w:p>
        </w:tc>
      </w:tr>
      <w:tr w:rsidR="00891FE0" w:rsidRPr="007A7515" w14:paraId="7C38DA29" w14:textId="77777777" w:rsidTr="00891FE0">
        <w:tc>
          <w:tcPr>
            <w:tcW w:w="1258" w:type="dxa"/>
            <w:vMerge/>
            <w:vAlign w:val="center"/>
          </w:tcPr>
          <w:p w14:paraId="32B615C4"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0E6DC524" w14:textId="63B6D104" w:rsidR="00891FE0" w:rsidRPr="007A7515" w:rsidRDefault="00891FE0" w:rsidP="00891FE0">
            <w:pPr>
              <w:rPr>
                <w:rFonts w:asciiTheme="minorHAnsi" w:hAnsiTheme="minorHAnsi" w:cstheme="minorHAnsi"/>
                <w:sz w:val="24"/>
                <w:szCs w:val="24"/>
              </w:rPr>
            </w:pPr>
            <w:r w:rsidRPr="007A7515">
              <w:rPr>
                <w:rFonts w:asciiTheme="minorHAnsi" w:hAnsiTheme="minorHAnsi" w:cstheme="minorHAnsi"/>
                <w:b/>
                <w:bCs/>
                <w:sz w:val="24"/>
                <w:szCs w:val="24"/>
              </w:rPr>
              <w:t>Small cell lung cancer</w:t>
            </w:r>
          </w:p>
        </w:tc>
        <w:tc>
          <w:tcPr>
            <w:tcW w:w="1118" w:type="dxa"/>
            <w:vAlign w:val="center"/>
          </w:tcPr>
          <w:p w14:paraId="2430ADC0" w14:textId="777D5F77" w:rsidR="00891FE0" w:rsidRPr="007A7515" w:rsidRDefault="00891FE0" w:rsidP="00891FE0">
            <w:pPr>
              <w:jc w:val="center"/>
              <w:rPr>
                <w:rFonts w:asciiTheme="minorHAnsi" w:hAnsiTheme="minorHAnsi" w:cstheme="minorHAnsi"/>
                <w:sz w:val="24"/>
                <w:szCs w:val="24"/>
              </w:rPr>
            </w:pPr>
            <w:r w:rsidRPr="007A7515">
              <w:rPr>
                <w:b/>
                <w:sz w:val="24"/>
                <w:szCs w:val="24"/>
              </w:rPr>
              <w:t>0 (0%)</w:t>
            </w:r>
          </w:p>
        </w:tc>
        <w:tc>
          <w:tcPr>
            <w:tcW w:w="1247" w:type="dxa"/>
            <w:vAlign w:val="center"/>
          </w:tcPr>
          <w:p w14:paraId="7A867703" w14:textId="1FC45058" w:rsidR="00891FE0" w:rsidRPr="007A7515" w:rsidRDefault="00891FE0" w:rsidP="00891FE0">
            <w:pPr>
              <w:jc w:val="center"/>
              <w:rPr>
                <w:rFonts w:asciiTheme="minorHAnsi" w:hAnsiTheme="minorHAnsi" w:cstheme="minorHAnsi"/>
                <w:sz w:val="24"/>
                <w:szCs w:val="24"/>
              </w:rPr>
            </w:pPr>
            <w:r w:rsidRPr="007A7515">
              <w:rPr>
                <w:b/>
                <w:sz w:val="24"/>
                <w:szCs w:val="24"/>
              </w:rPr>
              <w:t>6 (6%)</w:t>
            </w:r>
          </w:p>
        </w:tc>
        <w:tc>
          <w:tcPr>
            <w:tcW w:w="1120" w:type="dxa"/>
            <w:vAlign w:val="center"/>
          </w:tcPr>
          <w:p w14:paraId="1390AD3F" w14:textId="494AFA0A" w:rsidR="00891FE0" w:rsidRPr="007A7515" w:rsidRDefault="00891FE0" w:rsidP="00891FE0">
            <w:pPr>
              <w:jc w:val="center"/>
              <w:rPr>
                <w:rFonts w:asciiTheme="minorHAnsi" w:hAnsiTheme="minorHAnsi" w:cstheme="minorHAnsi"/>
                <w:sz w:val="24"/>
                <w:szCs w:val="24"/>
              </w:rPr>
            </w:pPr>
            <w:r w:rsidRPr="007A7515">
              <w:rPr>
                <w:b/>
                <w:sz w:val="24"/>
                <w:szCs w:val="24"/>
              </w:rPr>
              <w:t>1 (2%)</w:t>
            </w:r>
          </w:p>
        </w:tc>
        <w:tc>
          <w:tcPr>
            <w:tcW w:w="1173" w:type="dxa"/>
            <w:vAlign w:val="center"/>
          </w:tcPr>
          <w:p w14:paraId="305306CE" w14:textId="5C6722B4" w:rsidR="00891FE0" w:rsidRPr="007A7515" w:rsidRDefault="00891FE0" w:rsidP="00891FE0">
            <w:pPr>
              <w:jc w:val="center"/>
              <w:rPr>
                <w:rFonts w:asciiTheme="minorHAnsi" w:hAnsiTheme="minorHAnsi" w:cstheme="minorHAnsi"/>
                <w:sz w:val="24"/>
                <w:szCs w:val="24"/>
              </w:rPr>
            </w:pPr>
            <w:r w:rsidRPr="007A7515">
              <w:rPr>
                <w:b/>
                <w:sz w:val="24"/>
                <w:szCs w:val="24"/>
              </w:rPr>
              <w:t>7 (4%)</w:t>
            </w:r>
          </w:p>
        </w:tc>
      </w:tr>
      <w:tr w:rsidR="00891FE0" w:rsidRPr="007A7515" w14:paraId="1EE132F5" w14:textId="77777777" w:rsidTr="00891FE0">
        <w:tc>
          <w:tcPr>
            <w:tcW w:w="1258" w:type="dxa"/>
            <w:vMerge/>
            <w:vAlign w:val="center"/>
          </w:tcPr>
          <w:p w14:paraId="17735D89"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3FD8048C" w14:textId="406CA304"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Radiological diagnosis only*</w:t>
            </w:r>
          </w:p>
        </w:tc>
        <w:tc>
          <w:tcPr>
            <w:tcW w:w="1118" w:type="dxa"/>
            <w:vAlign w:val="center"/>
          </w:tcPr>
          <w:p w14:paraId="5D33360A" w14:textId="22B6AB45" w:rsidR="00891FE0" w:rsidRPr="007A7515" w:rsidRDefault="00891FE0" w:rsidP="00891FE0">
            <w:pPr>
              <w:jc w:val="center"/>
              <w:rPr>
                <w:b/>
                <w:sz w:val="24"/>
                <w:szCs w:val="24"/>
              </w:rPr>
            </w:pPr>
            <w:r w:rsidRPr="007A7515">
              <w:rPr>
                <w:b/>
                <w:sz w:val="24"/>
                <w:szCs w:val="24"/>
              </w:rPr>
              <w:t>0 (0%)</w:t>
            </w:r>
          </w:p>
        </w:tc>
        <w:tc>
          <w:tcPr>
            <w:tcW w:w="1247" w:type="dxa"/>
            <w:vAlign w:val="center"/>
          </w:tcPr>
          <w:p w14:paraId="10AD0CE8" w14:textId="54D52F3C" w:rsidR="00891FE0" w:rsidRPr="007A7515" w:rsidRDefault="00891FE0" w:rsidP="00891FE0">
            <w:pPr>
              <w:jc w:val="center"/>
              <w:rPr>
                <w:b/>
                <w:sz w:val="24"/>
                <w:szCs w:val="24"/>
              </w:rPr>
            </w:pPr>
            <w:r w:rsidRPr="007A7515">
              <w:rPr>
                <w:b/>
                <w:sz w:val="24"/>
                <w:szCs w:val="24"/>
              </w:rPr>
              <w:t>13(7%)</w:t>
            </w:r>
          </w:p>
        </w:tc>
        <w:tc>
          <w:tcPr>
            <w:tcW w:w="1120" w:type="dxa"/>
            <w:vAlign w:val="center"/>
          </w:tcPr>
          <w:p w14:paraId="59D4C9A4" w14:textId="11820158" w:rsidR="00891FE0" w:rsidRPr="007A7515" w:rsidRDefault="00891FE0" w:rsidP="00891FE0">
            <w:pPr>
              <w:jc w:val="center"/>
              <w:rPr>
                <w:b/>
                <w:sz w:val="24"/>
                <w:szCs w:val="24"/>
              </w:rPr>
            </w:pPr>
            <w:r w:rsidRPr="007A7515">
              <w:rPr>
                <w:b/>
                <w:sz w:val="24"/>
                <w:szCs w:val="24"/>
              </w:rPr>
              <w:t>7 (4%)</w:t>
            </w:r>
          </w:p>
        </w:tc>
        <w:tc>
          <w:tcPr>
            <w:tcW w:w="1173" w:type="dxa"/>
            <w:vAlign w:val="center"/>
          </w:tcPr>
          <w:p w14:paraId="53487C9B" w14:textId="437A39B3" w:rsidR="00891FE0" w:rsidRPr="007A7515" w:rsidRDefault="00891FE0" w:rsidP="00891FE0">
            <w:pPr>
              <w:jc w:val="center"/>
              <w:rPr>
                <w:b/>
                <w:sz w:val="24"/>
                <w:szCs w:val="24"/>
              </w:rPr>
            </w:pPr>
            <w:r w:rsidRPr="007A7515">
              <w:rPr>
                <w:b/>
                <w:sz w:val="24"/>
                <w:szCs w:val="24"/>
              </w:rPr>
              <w:t>20 (5%)</w:t>
            </w:r>
          </w:p>
        </w:tc>
      </w:tr>
      <w:tr w:rsidR="00891FE0" w:rsidRPr="007A7515" w14:paraId="70AF2A7B" w14:textId="77777777" w:rsidTr="00891FE0">
        <w:tc>
          <w:tcPr>
            <w:tcW w:w="1258" w:type="dxa"/>
            <w:vMerge/>
            <w:vAlign w:val="center"/>
          </w:tcPr>
          <w:p w14:paraId="229E4392"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2C930285" w14:textId="0AFDB78F"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Other</w:t>
            </w:r>
          </w:p>
        </w:tc>
        <w:tc>
          <w:tcPr>
            <w:tcW w:w="1118" w:type="dxa"/>
            <w:vAlign w:val="center"/>
          </w:tcPr>
          <w:p w14:paraId="1ED470ED" w14:textId="42779AA0" w:rsidR="00891FE0" w:rsidRPr="007A7515" w:rsidRDefault="00891FE0" w:rsidP="00891FE0">
            <w:pPr>
              <w:jc w:val="center"/>
              <w:rPr>
                <w:b/>
                <w:sz w:val="24"/>
                <w:szCs w:val="24"/>
              </w:rPr>
            </w:pPr>
            <w:r w:rsidRPr="007A7515">
              <w:rPr>
                <w:b/>
                <w:sz w:val="24"/>
                <w:szCs w:val="24"/>
              </w:rPr>
              <w:t>4 (15%)</w:t>
            </w:r>
          </w:p>
        </w:tc>
        <w:tc>
          <w:tcPr>
            <w:tcW w:w="1247" w:type="dxa"/>
            <w:vAlign w:val="center"/>
          </w:tcPr>
          <w:p w14:paraId="56FCE7F2" w14:textId="0173D661" w:rsidR="00891FE0" w:rsidRPr="007A7515" w:rsidRDefault="00891FE0" w:rsidP="00891FE0">
            <w:pPr>
              <w:jc w:val="center"/>
              <w:rPr>
                <w:b/>
                <w:sz w:val="24"/>
                <w:szCs w:val="24"/>
              </w:rPr>
            </w:pPr>
            <w:r w:rsidRPr="007A7515">
              <w:rPr>
                <w:b/>
                <w:sz w:val="24"/>
                <w:szCs w:val="24"/>
              </w:rPr>
              <w:t>1 (1%)</w:t>
            </w:r>
          </w:p>
        </w:tc>
        <w:tc>
          <w:tcPr>
            <w:tcW w:w="1120" w:type="dxa"/>
            <w:vAlign w:val="center"/>
          </w:tcPr>
          <w:p w14:paraId="3F5B236E" w14:textId="53F3EA14" w:rsidR="00891FE0" w:rsidRPr="007A7515" w:rsidRDefault="00891FE0" w:rsidP="00891FE0">
            <w:pPr>
              <w:jc w:val="center"/>
              <w:rPr>
                <w:b/>
                <w:sz w:val="24"/>
                <w:szCs w:val="24"/>
              </w:rPr>
            </w:pPr>
            <w:r w:rsidRPr="007A7515">
              <w:rPr>
                <w:b/>
                <w:sz w:val="24"/>
                <w:szCs w:val="24"/>
              </w:rPr>
              <w:t>1 (2%)</w:t>
            </w:r>
          </w:p>
        </w:tc>
        <w:tc>
          <w:tcPr>
            <w:tcW w:w="1173" w:type="dxa"/>
            <w:vAlign w:val="center"/>
          </w:tcPr>
          <w:p w14:paraId="266AF7BF" w14:textId="4F67ECDD" w:rsidR="00891FE0" w:rsidRPr="007A7515" w:rsidRDefault="00891FE0" w:rsidP="00891FE0">
            <w:pPr>
              <w:jc w:val="center"/>
              <w:rPr>
                <w:b/>
                <w:sz w:val="24"/>
                <w:szCs w:val="24"/>
              </w:rPr>
            </w:pPr>
            <w:r w:rsidRPr="007A7515">
              <w:rPr>
                <w:b/>
                <w:sz w:val="24"/>
                <w:szCs w:val="24"/>
              </w:rPr>
              <w:t>6 (3%)</w:t>
            </w:r>
          </w:p>
        </w:tc>
      </w:tr>
      <w:tr w:rsidR="00891FE0" w:rsidRPr="007A7515" w14:paraId="4929C583" w14:textId="77777777" w:rsidTr="0049434F">
        <w:tc>
          <w:tcPr>
            <w:tcW w:w="1258" w:type="dxa"/>
            <w:vMerge/>
            <w:tcBorders>
              <w:bottom w:val="single" w:sz="18" w:space="0" w:color="auto"/>
            </w:tcBorders>
            <w:vAlign w:val="center"/>
          </w:tcPr>
          <w:p w14:paraId="5E150A6F" w14:textId="77777777" w:rsidR="00891FE0" w:rsidRPr="007A7515" w:rsidRDefault="00891FE0" w:rsidP="00891FE0">
            <w:pPr>
              <w:jc w:val="center"/>
              <w:rPr>
                <w:rFonts w:asciiTheme="minorHAnsi" w:hAnsiTheme="minorHAnsi" w:cstheme="minorHAnsi"/>
                <w:sz w:val="24"/>
                <w:szCs w:val="24"/>
              </w:rPr>
            </w:pPr>
          </w:p>
        </w:tc>
        <w:tc>
          <w:tcPr>
            <w:tcW w:w="3100" w:type="dxa"/>
            <w:tcBorders>
              <w:bottom w:val="single" w:sz="18" w:space="0" w:color="auto"/>
            </w:tcBorders>
            <w:vAlign w:val="center"/>
          </w:tcPr>
          <w:p w14:paraId="683E1E76" w14:textId="628B1AF7"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No further information provided</w:t>
            </w:r>
          </w:p>
        </w:tc>
        <w:tc>
          <w:tcPr>
            <w:tcW w:w="1118" w:type="dxa"/>
            <w:tcBorders>
              <w:bottom w:val="single" w:sz="18" w:space="0" w:color="auto"/>
            </w:tcBorders>
            <w:vAlign w:val="center"/>
          </w:tcPr>
          <w:p w14:paraId="3223826A" w14:textId="0D96508C" w:rsidR="00891FE0" w:rsidRPr="007A7515" w:rsidRDefault="00891FE0" w:rsidP="00891FE0">
            <w:pPr>
              <w:jc w:val="center"/>
              <w:rPr>
                <w:b/>
                <w:sz w:val="24"/>
                <w:szCs w:val="24"/>
              </w:rPr>
            </w:pPr>
            <w:r w:rsidRPr="007A7515">
              <w:rPr>
                <w:b/>
                <w:sz w:val="24"/>
                <w:szCs w:val="24"/>
              </w:rPr>
              <w:t>0 (0%)</w:t>
            </w:r>
          </w:p>
        </w:tc>
        <w:tc>
          <w:tcPr>
            <w:tcW w:w="1247" w:type="dxa"/>
            <w:tcBorders>
              <w:bottom w:val="single" w:sz="18" w:space="0" w:color="auto"/>
            </w:tcBorders>
            <w:vAlign w:val="center"/>
          </w:tcPr>
          <w:p w14:paraId="174EE56A" w14:textId="5A9CC407" w:rsidR="00891FE0" w:rsidRPr="007A7515" w:rsidRDefault="00891FE0" w:rsidP="00891FE0">
            <w:pPr>
              <w:jc w:val="center"/>
              <w:rPr>
                <w:b/>
                <w:sz w:val="24"/>
                <w:szCs w:val="24"/>
              </w:rPr>
            </w:pPr>
            <w:r w:rsidRPr="007A7515">
              <w:rPr>
                <w:b/>
                <w:sz w:val="24"/>
                <w:szCs w:val="24"/>
              </w:rPr>
              <w:t>0 (0%)</w:t>
            </w:r>
          </w:p>
        </w:tc>
        <w:tc>
          <w:tcPr>
            <w:tcW w:w="1120" w:type="dxa"/>
            <w:tcBorders>
              <w:bottom w:val="single" w:sz="18" w:space="0" w:color="auto"/>
            </w:tcBorders>
            <w:vAlign w:val="center"/>
          </w:tcPr>
          <w:p w14:paraId="48C3E33B" w14:textId="4B193116" w:rsidR="00891FE0" w:rsidRPr="007A7515" w:rsidRDefault="00891FE0" w:rsidP="00891FE0">
            <w:pPr>
              <w:jc w:val="center"/>
              <w:rPr>
                <w:b/>
                <w:sz w:val="24"/>
                <w:szCs w:val="24"/>
              </w:rPr>
            </w:pPr>
            <w:r w:rsidRPr="007A7515">
              <w:rPr>
                <w:b/>
                <w:sz w:val="24"/>
                <w:szCs w:val="24"/>
              </w:rPr>
              <w:t>1 (2%)</w:t>
            </w:r>
          </w:p>
        </w:tc>
        <w:tc>
          <w:tcPr>
            <w:tcW w:w="1173" w:type="dxa"/>
            <w:tcBorders>
              <w:bottom w:val="single" w:sz="18" w:space="0" w:color="auto"/>
            </w:tcBorders>
            <w:vAlign w:val="center"/>
          </w:tcPr>
          <w:p w14:paraId="1DF13277" w14:textId="207CEC17" w:rsidR="00891FE0" w:rsidRPr="007A7515" w:rsidRDefault="00891FE0" w:rsidP="00891FE0">
            <w:pPr>
              <w:jc w:val="center"/>
              <w:rPr>
                <w:b/>
                <w:sz w:val="24"/>
                <w:szCs w:val="24"/>
              </w:rPr>
            </w:pPr>
            <w:r w:rsidRPr="007A7515">
              <w:rPr>
                <w:b/>
                <w:sz w:val="24"/>
                <w:szCs w:val="24"/>
              </w:rPr>
              <w:t>1 (1%)</w:t>
            </w:r>
          </w:p>
        </w:tc>
      </w:tr>
      <w:tr w:rsidR="00891FE0" w:rsidRPr="007A7515" w14:paraId="4F991FAB" w14:textId="77777777" w:rsidTr="0049434F">
        <w:tc>
          <w:tcPr>
            <w:tcW w:w="1258" w:type="dxa"/>
            <w:vMerge w:val="restart"/>
            <w:tcBorders>
              <w:top w:val="single" w:sz="18" w:space="0" w:color="auto"/>
            </w:tcBorders>
            <w:vAlign w:val="center"/>
          </w:tcPr>
          <w:p w14:paraId="29ED2F36" w14:textId="4F90C8A0" w:rsidR="00891FE0" w:rsidRPr="007A7515" w:rsidRDefault="00891FE0" w:rsidP="00891FE0">
            <w:pPr>
              <w:jc w:val="center"/>
              <w:rPr>
                <w:rFonts w:asciiTheme="minorHAnsi" w:hAnsiTheme="minorHAnsi" w:cstheme="minorHAnsi"/>
                <w:sz w:val="24"/>
                <w:szCs w:val="24"/>
              </w:rPr>
            </w:pPr>
            <w:r w:rsidRPr="007A7515">
              <w:rPr>
                <w:rFonts w:asciiTheme="minorHAnsi" w:hAnsiTheme="minorHAnsi" w:cstheme="minorHAnsi"/>
                <w:b/>
                <w:sz w:val="24"/>
                <w:szCs w:val="24"/>
              </w:rPr>
              <w:t>Benign (N=121)</w:t>
            </w:r>
          </w:p>
        </w:tc>
        <w:tc>
          <w:tcPr>
            <w:tcW w:w="3100" w:type="dxa"/>
            <w:tcBorders>
              <w:top w:val="single" w:sz="18" w:space="0" w:color="auto"/>
            </w:tcBorders>
            <w:vAlign w:val="center"/>
          </w:tcPr>
          <w:p w14:paraId="0B38E0F2" w14:textId="4A2DFE4C"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Benign nodule not otherwise specified</w:t>
            </w:r>
          </w:p>
        </w:tc>
        <w:tc>
          <w:tcPr>
            <w:tcW w:w="1118" w:type="dxa"/>
            <w:tcBorders>
              <w:top w:val="single" w:sz="18" w:space="0" w:color="auto"/>
            </w:tcBorders>
            <w:vAlign w:val="center"/>
          </w:tcPr>
          <w:p w14:paraId="201A4B7A" w14:textId="61817C41" w:rsidR="00891FE0" w:rsidRPr="007A7515" w:rsidRDefault="00891FE0" w:rsidP="00891FE0">
            <w:pPr>
              <w:jc w:val="center"/>
              <w:rPr>
                <w:b/>
                <w:sz w:val="24"/>
                <w:szCs w:val="24"/>
              </w:rPr>
            </w:pPr>
            <w:r w:rsidRPr="007A7515">
              <w:rPr>
                <w:b/>
                <w:sz w:val="24"/>
                <w:szCs w:val="24"/>
              </w:rPr>
              <w:t>17 (57%)</w:t>
            </w:r>
          </w:p>
        </w:tc>
        <w:tc>
          <w:tcPr>
            <w:tcW w:w="1247" w:type="dxa"/>
            <w:tcBorders>
              <w:top w:val="single" w:sz="18" w:space="0" w:color="auto"/>
            </w:tcBorders>
            <w:vAlign w:val="center"/>
          </w:tcPr>
          <w:p w14:paraId="2BCE5D90" w14:textId="3F88B0DD" w:rsidR="00891FE0" w:rsidRPr="007A7515" w:rsidRDefault="00891FE0" w:rsidP="00891FE0">
            <w:pPr>
              <w:jc w:val="center"/>
              <w:rPr>
                <w:b/>
                <w:sz w:val="24"/>
                <w:szCs w:val="24"/>
              </w:rPr>
            </w:pPr>
            <w:r w:rsidRPr="007A7515">
              <w:rPr>
                <w:b/>
                <w:sz w:val="24"/>
                <w:szCs w:val="24"/>
              </w:rPr>
              <w:t>36 (53%)</w:t>
            </w:r>
          </w:p>
        </w:tc>
        <w:tc>
          <w:tcPr>
            <w:tcW w:w="1120" w:type="dxa"/>
            <w:tcBorders>
              <w:top w:val="single" w:sz="18" w:space="0" w:color="auto"/>
            </w:tcBorders>
            <w:vAlign w:val="center"/>
          </w:tcPr>
          <w:p w14:paraId="26E839C7" w14:textId="79F5F3A9" w:rsidR="00891FE0" w:rsidRPr="007A7515" w:rsidRDefault="00891FE0" w:rsidP="00891FE0">
            <w:pPr>
              <w:jc w:val="center"/>
              <w:rPr>
                <w:b/>
                <w:sz w:val="24"/>
                <w:szCs w:val="24"/>
              </w:rPr>
            </w:pPr>
            <w:r w:rsidRPr="007A7515">
              <w:rPr>
                <w:b/>
                <w:sz w:val="24"/>
                <w:szCs w:val="24"/>
              </w:rPr>
              <w:t>7 (35%)</w:t>
            </w:r>
          </w:p>
        </w:tc>
        <w:tc>
          <w:tcPr>
            <w:tcW w:w="1173" w:type="dxa"/>
            <w:tcBorders>
              <w:top w:val="single" w:sz="18" w:space="0" w:color="auto"/>
            </w:tcBorders>
            <w:vAlign w:val="center"/>
          </w:tcPr>
          <w:p w14:paraId="35FD4050" w14:textId="6B919161" w:rsidR="00891FE0" w:rsidRPr="007A7515" w:rsidRDefault="00891FE0" w:rsidP="00891FE0">
            <w:pPr>
              <w:jc w:val="center"/>
              <w:rPr>
                <w:b/>
                <w:sz w:val="24"/>
                <w:szCs w:val="24"/>
              </w:rPr>
            </w:pPr>
            <w:r w:rsidRPr="007A7515">
              <w:rPr>
                <w:b/>
                <w:sz w:val="24"/>
                <w:szCs w:val="24"/>
              </w:rPr>
              <w:t>61 (50%)</w:t>
            </w:r>
          </w:p>
        </w:tc>
      </w:tr>
      <w:tr w:rsidR="00891FE0" w:rsidRPr="007A7515" w14:paraId="23B47285" w14:textId="77777777" w:rsidTr="00891FE0">
        <w:tc>
          <w:tcPr>
            <w:tcW w:w="1258" w:type="dxa"/>
            <w:vMerge/>
            <w:vAlign w:val="center"/>
          </w:tcPr>
          <w:p w14:paraId="20F54053"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7BB16DAA" w14:textId="5C9A27AA"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Hamartoma</w:t>
            </w:r>
          </w:p>
        </w:tc>
        <w:tc>
          <w:tcPr>
            <w:tcW w:w="1118" w:type="dxa"/>
            <w:vAlign w:val="center"/>
          </w:tcPr>
          <w:p w14:paraId="60C917D4" w14:textId="20F08C50" w:rsidR="00891FE0" w:rsidRPr="007A7515" w:rsidRDefault="00891FE0" w:rsidP="00891FE0">
            <w:pPr>
              <w:jc w:val="center"/>
              <w:rPr>
                <w:b/>
                <w:sz w:val="24"/>
                <w:szCs w:val="24"/>
              </w:rPr>
            </w:pPr>
            <w:r w:rsidRPr="007A7515">
              <w:rPr>
                <w:b/>
                <w:sz w:val="24"/>
                <w:szCs w:val="24"/>
              </w:rPr>
              <w:t>7 (23%)</w:t>
            </w:r>
          </w:p>
        </w:tc>
        <w:tc>
          <w:tcPr>
            <w:tcW w:w="1247" w:type="dxa"/>
            <w:vAlign w:val="center"/>
          </w:tcPr>
          <w:p w14:paraId="1DA410A3" w14:textId="47438D96" w:rsidR="00891FE0" w:rsidRPr="007A7515" w:rsidRDefault="00891FE0" w:rsidP="00891FE0">
            <w:pPr>
              <w:jc w:val="center"/>
              <w:rPr>
                <w:b/>
                <w:sz w:val="24"/>
                <w:szCs w:val="24"/>
              </w:rPr>
            </w:pPr>
            <w:r w:rsidRPr="007A7515">
              <w:rPr>
                <w:b/>
                <w:sz w:val="24"/>
                <w:szCs w:val="24"/>
              </w:rPr>
              <w:t>13 (19%)</w:t>
            </w:r>
          </w:p>
        </w:tc>
        <w:tc>
          <w:tcPr>
            <w:tcW w:w="1120" w:type="dxa"/>
            <w:vAlign w:val="center"/>
          </w:tcPr>
          <w:p w14:paraId="3A1EF0EB" w14:textId="059B99FF" w:rsidR="00891FE0" w:rsidRPr="007A7515" w:rsidRDefault="00891FE0" w:rsidP="00891FE0">
            <w:pPr>
              <w:jc w:val="center"/>
              <w:rPr>
                <w:b/>
                <w:sz w:val="24"/>
                <w:szCs w:val="24"/>
              </w:rPr>
            </w:pPr>
            <w:r w:rsidRPr="007A7515">
              <w:rPr>
                <w:b/>
                <w:sz w:val="24"/>
                <w:szCs w:val="24"/>
              </w:rPr>
              <w:t>5 (25%)</w:t>
            </w:r>
          </w:p>
        </w:tc>
        <w:tc>
          <w:tcPr>
            <w:tcW w:w="1173" w:type="dxa"/>
            <w:vAlign w:val="center"/>
          </w:tcPr>
          <w:p w14:paraId="500D2796" w14:textId="3D6F91B2" w:rsidR="00891FE0" w:rsidRPr="007A7515" w:rsidRDefault="00891FE0" w:rsidP="00891FE0">
            <w:pPr>
              <w:jc w:val="center"/>
              <w:rPr>
                <w:b/>
                <w:sz w:val="24"/>
                <w:szCs w:val="24"/>
              </w:rPr>
            </w:pPr>
            <w:r w:rsidRPr="007A7515">
              <w:rPr>
                <w:b/>
                <w:sz w:val="24"/>
                <w:szCs w:val="24"/>
              </w:rPr>
              <w:t>26 (21%)</w:t>
            </w:r>
          </w:p>
        </w:tc>
      </w:tr>
      <w:tr w:rsidR="00891FE0" w:rsidRPr="007A7515" w14:paraId="2E5A2839" w14:textId="77777777" w:rsidTr="00891FE0">
        <w:tc>
          <w:tcPr>
            <w:tcW w:w="1258" w:type="dxa"/>
            <w:vMerge/>
            <w:vAlign w:val="center"/>
          </w:tcPr>
          <w:p w14:paraId="3D9FEA3C"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3AE9CE2C" w14:textId="53C5E188"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Infection / Inflammation</w:t>
            </w:r>
          </w:p>
        </w:tc>
        <w:tc>
          <w:tcPr>
            <w:tcW w:w="1118" w:type="dxa"/>
            <w:vAlign w:val="center"/>
          </w:tcPr>
          <w:p w14:paraId="369747AD" w14:textId="6969FB8A" w:rsidR="00891FE0" w:rsidRPr="007A7515" w:rsidRDefault="00891FE0" w:rsidP="00891FE0">
            <w:pPr>
              <w:jc w:val="center"/>
              <w:rPr>
                <w:b/>
                <w:sz w:val="24"/>
                <w:szCs w:val="24"/>
              </w:rPr>
            </w:pPr>
            <w:r w:rsidRPr="007A7515">
              <w:rPr>
                <w:b/>
                <w:sz w:val="24"/>
                <w:szCs w:val="24"/>
              </w:rPr>
              <w:t>3 (10%)</w:t>
            </w:r>
          </w:p>
        </w:tc>
        <w:tc>
          <w:tcPr>
            <w:tcW w:w="1247" w:type="dxa"/>
            <w:vAlign w:val="center"/>
          </w:tcPr>
          <w:p w14:paraId="64A57B95" w14:textId="21E3D4DF" w:rsidR="00891FE0" w:rsidRPr="007A7515" w:rsidRDefault="00891FE0" w:rsidP="00891FE0">
            <w:pPr>
              <w:jc w:val="center"/>
              <w:rPr>
                <w:b/>
                <w:sz w:val="24"/>
                <w:szCs w:val="24"/>
              </w:rPr>
            </w:pPr>
            <w:r w:rsidRPr="007A7515">
              <w:rPr>
                <w:b/>
                <w:sz w:val="24"/>
                <w:szCs w:val="24"/>
              </w:rPr>
              <w:t>15 (22%)</w:t>
            </w:r>
          </w:p>
        </w:tc>
        <w:tc>
          <w:tcPr>
            <w:tcW w:w="1120" w:type="dxa"/>
            <w:vAlign w:val="center"/>
          </w:tcPr>
          <w:p w14:paraId="3B82E4C3" w14:textId="3C6A2C87" w:rsidR="00891FE0" w:rsidRPr="007A7515" w:rsidRDefault="00891FE0" w:rsidP="00891FE0">
            <w:pPr>
              <w:jc w:val="center"/>
              <w:rPr>
                <w:b/>
                <w:sz w:val="24"/>
                <w:szCs w:val="24"/>
              </w:rPr>
            </w:pPr>
            <w:r w:rsidRPr="007A7515">
              <w:rPr>
                <w:b/>
                <w:sz w:val="24"/>
                <w:szCs w:val="24"/>
              </w:rPr>
              <w:t>5 (25%)</w:t>
            </w:r>
          </w:p>
        </w:tc>
        <w:tc>
          <w:tcPr>
            <w:tcW w:w="1173" w:type="dxa"/>
            <w:vAlign w:val="center"/>
          </w:tcPr>
          <w:p w14:paraId="278EDA51" w14:textId="503B15C0" w:rsidR="00891FE0" w:rsidRPr="007A7515" w:rsidRDefault="00891FE0" w:rsidP="00891FE0">
            <w:pPr>
              <w:jc w:val="center"/>
              <w:rPr>
                <w:b/>
                <w:sz w:val="24"/>
                <w:szCs w:val="24"/>
              </w:rPr>
            </w:pPr>
            <w:r w:rsidRPr="007A7515">
              <w:rPr>
                <w:b/>
                <w:sz w:val="24"/>
                <w:szCs w:val="24"/>
              </w:rPr>
              <w:t>24 (20%)</w:t>
            </w:r>
          </w:p>
        </w:tc>
      </w:tr>
      <w:tr w:rsidR="00891FE0" w:rsidRPr="007A7515" w14:paraId="2BA0616C" w14:textId="77777777" w:rsidTr="00891FE0">
        <w:tc>
          <w:tcPr>
            <w:tcW w:w="1258" w:type="dxa"/>
            <w:vMerge/>
            <w:vAlign w:val="center"/>
          </w:tcPr>
          <w:p w14:paraId="5E458626" w14:textId="77777777" w:rsidR="00891FE0" w:rsidRPr="007A7515" w:rsidRDefault="00891FE0" w:rsidP="00891FE0">
            <w:pPr>
              <w:jc w:val="center"/>
              <w:rPr>
                <w:rFonts w:asciiTheme="minorHAnsi" w:hAnsiTheme="minorHAnsi" w:cstheme="minorHAnsi"/>
                <w:sz w:val="24"/>
                <w:szCs w:val="24"/>
              </w:rPr>
            </w:pPr>
          </w:p>
        </w:tc>
        <w:tc>
          <w:tcPr>
            <w:tcW w:w="3100" w:type="dxa"/>
            <w:vAlign w:val="center"/>
          </w:tcPr>
          <w:p w14:paraId="2C3842C9" w14:textId="42C62C13"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Other</w:t>
            </w:r>
          </w:p>
        </w:tc>
        <w:tc>
          <w:tcPr>
            <w:tcW w:w="1118" w:type="dxa"/>
            <w:vAlign w:val="center"/>
          </w:tcPr>
          <w:p w14:paraId="0566F0D7" w14:textId="4795B0F4" w:rsidR="00891FE0" w:rsidRPr="007A7515" w:rsidRDefault="00891FE0" w:rsidP="00891FE0">
            <w:pPr>
              <w:jc w:val="center"/>
              <w:rPr>
                <w:b/>
                <w:sz w:val="24"/>
                <w:szCs w:val="24"/>
              </w:rPr>
            </w:pPr>
            <w:r w:rsidRPr="007A7515">
              <w:rPr>
                <w:b/>
                <w:sz w:val="24"/>
                <w:szCs w:val="24"/>
              </w:rPr>
              <w:t>1 (3%)</w:t>
            </w:r>
          </w:p>
        </w:tc>
        <w:tc>
          <w:tcPr>
            <w:tcW w:w="1247" w:type="dxa"/>
            <w:vAlign w:val="center"/>
          </w:tcPr>
          <w:p w14:paraId="59321716" w14:textId="54B24CEB" w:rsidR="00891FE0" w:rsidRPr="007A7515" w:rsidRDefault="00891FE0" w:rsidP="00891FE0">
            <w:pPr>
              <w:jc w:val="center"/>
              <w:rPr>
                <w:b/>
                <w:sz w:val="24"/>
                <w:szCs w:val="24"/>
              </w:rPr>
            </w:pPr>
            <w:r w:rsidRPr="007A7515">
              <w:rPr>
                <w:b/>
                <w:sz w:val="24"/>
                <w:szCs w:val="24"/>
              </w:rPr>
              <w:t>0 (0%)</w:t>
            </w:r>
          </w:p>
        </w:tc>
        <w:tc>
          <w:tcPr>
            <w:tcW w:w="1120" w:type="dxa"/>
            <w:vAlign w:val="center"/>
          </w:tcPr>
          <w:p w14:paraId="71AC7C8F" w14:textId="573DA9C3" w:rsidR="00891FE0" w:rsidRPr="007A7515" w:rsidRDefault="00891FE0" w:rsidP="00891FE0">
            <w:pPr>
              <w:jc w:val="center"/>
              <w:rPr>
                <w:b/>
                <w:sz w:val="24"/>
                <w:szCs w:val="24"/>
              </w:rPr>
            </w:pPr>
            <w:r w:rsidRPr="007A7515">
              <w:rPr>
                <w:b/>
                <w:sz w:val="24"/>
                <w:szCs w:val="24"/>
              </w:rPr>
              <w:t>0 (0%)</w:t>
            </w:r>
          </w:p>
        </w:tc>
        <w:tc>
          <w:tcPr>
            <w:tcW w:w="1173" w:type="dxa"/>
            <w:vAlign w:val="center"/>
          </w:tcPr>
          <w:p w14:paraId="0133646D" w14:textId="73A6883C" w:rsidR="00891FE0" w:rsidRPr="007A7515" w:rsidRDefault="00891FE0" w:rsidP="00891FE0">
            <w:pPr>
              <w:jc w:val="center"/>
              <w:rPr>
                <w:b/>
                <w:sz w:val="24"/>
                <w:szCs w:val="24"/>
              </w:rPr>
            </w:pPr>
            <w:r w:rsidRPr="007A7515">
              <w:rPr>
                <w:b/>
                <w:sz w:val="24"/>
                <w:szCs w:val="24"/>
              </w:rPr>
              <w:t>1 (1%)</w:t>
            </w:r>
          </w:p>
        </w:tc>
      </w:tr>
      <w:tr w:rsidR="00891FE0" w:rsidRPr="007A7515" w14:paraId="7A5A0EDD" w14:textId="77777777" w:rsidTr="006D278A">
        <w:tc>
          <w:tcPr>
            <w:tcW w:w="1258" w:type="dxa"/>
            <w:vMerge/>
            <w:tcBorders>
              <w:bottom w:val="single" w:sz="18" w:space="0" w:color="auto"/>
            </w:tcBorders>
            <w:vAlign w:val="center"/>
          </w:tcPr>
          <w:p w14:paraId="060DDC00" w14:textId="77777777" w:rsidR="00891FE0" w:rsidRPr="007A7515" w:rsidRDefault="00891FE0" w:rsidP="00891FE0">
            <w:pPr>
              <w:jc w:val="center"/>
              <w:rPr>
                <w:rFonts w:asciiTheme="minorHAnsi" w:hAnsiTheme="minorHAnsi" w:cstheme="minorHAnsi"/>
                <w:sz w:val="24"/>
                <w:szCs w:val="24"/>
              </w:rPr>
            </w:pPr>
          </w:p>
        </w:tc>
        <w:tc>
          <w:tcPr>
            <w:tcW w:w="3100" w:type="dxa"/>
            <w:tcBorders>
              <w:bottom w:val="single" w:sz="18" w:space="0" w:color="auto"/>
            </w:tcBorders>
            <w:vAlign w:val="center"/>
          </w:tcPr>
          <w:p w14:paraId="5CBDA911" w14:textId="6BF91F21" w:rsidR="00891FE0" w:rsidRPr="007A7515" w:rsidRDefault="00891FE0" w:rsidP="00891FE0">
            <w:pPr>
              <w:rPr>
                <w:rFonts w:asciiTheme="minorHAnsi" w:hAnsiTheme="minorHAnsi" w:cstheme="minorHAnsi"/>
                <w:b/>
                <w:bCs/>
                <w:sz w:val="24"/>
                <w:szCs w:val="24"/>
              </w:rPr>
            </w:pPr>
            <w:r w:rsidRPr="007A7515">
              <w:rPr>
                <w:rFonts w:asciiTheme="minorHAnsi" w:hAnsiTheme="minorHAnsi" w:cstheme="minorHAnsi"/>
                <w:b/>
                <w:bCs/>
                <w:sz w:val="24"/>
                <w:szCs w:val="24"/>
              </w:rPr>
              <w:t>No further information provided</w:t>
            </w:r>
          </w:p>
        </w:tc>
        <w:tc>
          <w:tcPr>
            <w:tcW w:w="1118" w:type="dxa"/>
            <w:tcBorders>
              <w:bottom w:val="single" w:sz="18" w:space="0" w:color="auto"/>
            </w:tcBorders>
            <w:vAlign w:val="center"/>
          </w:tcPr>
          <w:p w14:paraId="730BCC70" w14:textId="4F2C3617" w:rsidR="00891FE0" w:rsidRPr="007A7515" w:rsidRDefault="00891FE0" w:rsidP="00891FE0">
            <w:pPr>
              <w:jc w:val="center"/>
              <w:rPr>
                <w:b/>
                <w:sz w:val="24"/>
                <w:szCs w:val="24"/>
              </w:rPr>
            </w:pPr>
            <w:r w:rsidRPr="007A7515">
              <w:rPr>
                <w:b/>
                <w:sz w:val="24"/>
                <w:szCs w:val="24"/>
              </w:rPr>
              <w:t>2 (7%)</w:t>
            </w:r>
          </w:p>
        </w:tc>
        <w:tc>
          <w:tcPr>
            <w:tcW w:w="1247" w:type="dxa"/>
            <w:tcBorders>
              <w:bottom w:val="single" w:sz="18" w:space="0" w:color="auto"/>
            </w:tcBorders>
            <w:vAlign w:val="center"/>
          </w:tcPr>
          <w:p w14:paraId="26AEC7AB" w14:textId="6E23E8FE" w:rsidR="00891FE0" w:rsidRPr="007A7515" w:rsidRDefault="00891FE0" w:rsidP="00891FE0">
            <w:pPr>
              <w:jc w:val="center"/>
              <w:rPr>
                <w:b/>
                <w:sz w:val="24"/>
                <w:szCs w:val="24"/>
              </w:rPr>
            </w:pPr>
            <w:r w:rsidRPr="007A7515">
              <w:rPr>
                <w:b/>
                <w:sz w:val="24"/>
                <w:szCs w:val="24"/>
              </w:rPr>
              <w:t>4 (6%)</w:t>
            </w:r>
          </w:p>
        </w:tc>
        <w:tc>
          <w:tcPr>
            <w:tcW w:w="1120" w:type="dxa"/>
            <w:tcBorders>
              <w:bottom w:val="single" w:sz="18" w:space="0" w:color="auto"/>
            </w:tcBorders>
            <w:vAlign w:val="center"/>
          </w:tcPr>
          <w:p w14:paraId="1A2EC304" w14:textId="72AE53E7" w:rsidR="00891FE0" w:rsidRPr="007A7515" w:rsidRDefault="00891FE0" w:rsidP="00891FE0">
            <w:pPr>
              <w:jc w:val="center"/>
              <w:rPr>
                <w:b/>
                <w:sz w:val="24"/>
                <w:szCs w:val="24"/>
              </w:rPr>
            </w:pPr>
            <w:r w:rsidRPr="007A7515">
              <w:rPr>
                <w:b/>
                <w:sz w:val="24"/>
                <w:szCs w:val="24"/>
              </w:rPr>
              <w:t>3 (15%)</w:t>
            </w:r>
          </w:p>
        </w:tc>
        <w:tc>
          <w:tcPr>
            <w:tcW w:w="1173" w:type="dxa"/>
            <w:tcBorders>
              <w:bottom w:val="single" w:sz="18" w:space="0" w:color="auto"/>
            </w:tcBorders>
            <w:vAlign w:val="center"/>
          </w:tcPr>
          <w:p w14:paraId="0EFC2668" w14:textId="3456396B" w:rsidR="00891FE0" w:rsidRPr="007A7515" w:rsidRDefault="0049434F" w:rsidP="00891FE0">
            <w:pPr>
              <w:jc w:val="center"/>
              <w:rPr>
                <w:b/>
                <w:sz w:val="24"/>
                <w:szCs w:val="24"/>
              </w:rPr>
            </w:pPr>
            <w:r w:rsidRPr="007A7515">
              <w:rPr>
                <w:b/>
                <w:sz w:val="24"/>
                <w:szCs w:val="24"/>
              </w:rPr>
              <w:t xml:space="preserve">9 </w:t>
            </w:r>
            <w:r w:rsidR="00891FE0" w:rsidRPr="007A7515">
              <w:rPr>
                <w:b/>
                <w:sz w:val="24"/>
                <w:szCs w:val="24"/>
              </w:rPr>
              <w:t>(7%)</w:t>
            </w:r>
          </w:p>
        </w:tc>
      </w:tr>
    </w:tbl>
    <w:p w14:paraId="4BFA9209" w14:textId="77777777" w:rsidR="000F199C" w:rsidRPr="007A7515" w:rsidRDefault="00891FE0" w:rsidP="008C6AE1">
      <w:pPr>
        <w:rPr>
          <w:rFonts w:asciiTheme="minorHAnsi" w:hAnsiTheme="minorHAnsi" w:cstheme="minorHAnsi"/>
          <w:sz w:val="24"/>
          <w:szCs w:val="24"/>
        </w:rPr>
      </w:pPr>
      <w:r w:rsidRPr="007A7515">
        <w:rPr>
          <w:rFonts w:asciiTheme="minorHAnsi" w:hAnsiTheme="minorHAnsi" w:cstheme="minorHAnsi"/>
          <w:sz w:val="24"/>
          <w:szCs w:val="24"/>
        </w:rPr>
        <w:t xml:space="preserve">* Includes those undergoing Stereotactic ablative radiotherapy based on radiology alone </w:t>
      </w:r>
    </w:p>
    <w:p w14:paraId="38B450ED" w14:textId="49C451E8" w:rsidR="008C6AE1" w:rsidRPr="007A7515" w:rsidRDefault="008C6AE1" w:rsidP="008C6AE1">
      <w:pPr>
        <w:rPr>
          <w:rFonts w:asciiTheme="minorHAnsi" w:hAnsiTheme="minorHAnsi" w:cstheme="minorHAnsi"/>
          <w:sz w:val="24"/>
          <w:szCs w:val="24"/>
        </w:rPr>
      </w:pPr>
      <w:r w:rsidRPr="007A7515">
        <w:rPr>
          <w:rFonts w:asciiTheme="minorHAnsi" w:hAnsiTheme="minorHAnsi" w:cstheme="minorHAnsi"/>
          <w:sz w:val="24"/>
          <w:szCs w:val="24"/>
        </w:rPr>
        <w:br w:type="page"/>
      </w:r>
    </w:p>
    <w:tbl>
      <w:tblPr>
        <w:tblW w:w="88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1"/>
        <w:gridCol w:w="3809"/>
        <w:gridCol w:w="2437"/>
        <w:gridCol w:w="1609"/>
      </w:tblGrid>
      <w:tr w:rsidR="008C6AE1" w:rsidRPr="007A7515" w14:paraId="7BB25EB2" w14:textId="77777777" w:rsidTr="00A86897">
        <w:trPr>
          <w:trHeight w:val="547"/>
          <w:tblHeader/>
          <w:jc w:val="center"/>
        </w:trPr>
        <w:tc>
          <w:tcPr>
            <w:tcW w:w="8886" w:type="dxa"/>
            <w:gridSpan w:val="4"/>
            <w:tcBorders>
              <w:top w:val="nil"/>
              <w:left w:val="nil"/>
              <w:right w:val="nil"/>
            </w:tcBorders>
            <w:vAlign w:val="center"/>
          </w:tcPr>
          <w:p w14:paraId="78915D39" w14:textId="68B5B710" w:rsidR="008C6AE1" w:rsidRPr="007A7515" w:rsidRDefault="008C6AE1" w:rsidP="00B75E75">
            <w:pPr>
              <w:rPr>
                <w:rFonts w:asciiTheme="minorHAnsi" w:hAnsiTheme="minorHAnsi" w:cstheme="minorHAnsi"/>
                <w:b/>
                <w:sz w:val="24"/>
                <w:szCs w:val="24"/>
              </w:rPr>
            </w:pPr>
            <w:r w:rsidRPr="007A7515">
              <w:rPr>
                <w:rFonts w:asciiTheme="minorHAnsi" w:hAnsiTheme="minorHAnsi" w:cstheme="minorHAnsi"/>
                <w:b/>
                <w:sz w:val="24"/>
                <w:szCs w:val="24"/>
              </w:rPr>
              <w:lastRenderedPageBreak/>
              <w:t xml:space="preserve">Table 3: </w:t>
            </w:r>
            <w:r w:rsidRPr="007A7515">
              <w:rPr>
                <w:rFonts w:asciiTheme="minorHAnsi" w:hAnsiTheme="minorHAnsi" w:cstheme="minorHAnsi"/>
                <w:sz w:val="24"/>
                <w:szCs w:val="24"/>
              </w:rPr>
              <w:t>Initial CT, DCE-CT and PET/CT scan information</w:t>
            </w:r>
            <w:r w:rsidR="00F4186E" w:rsidRPr="007A7515">
              <w:rPr>
                <w:rFonts w:asciiTheme="minorHAnsi" w:hAnsiTheme="minorHAnsi" w:cstheme="minorHAnsi"/>
                <w:sz w:val="24"/>
                <w:szCs w:val="24"/>
              </w:rPr>
              <w:t xml:space="preserve"> (n=312)</w:t>
            </w:r>
          </w:p>
        </w:tc>
      </w:tr>
      <w:tr w:rsidR="008C6AE1" w:rsidRPr="007A7515" w14:paraId="732D9A62" w14:textId="77777777" w:rsidTr="006D278A">
        <w:trPr>
          <w:trHeight w:val="547"/>
          <w:tblHeader/>
          <w:jc w:val="center"/>
        </w:trPr>
        <w:tc>
          <w:tcPr>
            <w:tcW w:w="963" w:type="dxa"/>
            <w:tcBorders>
              <w:top w:val="single" w:sz="18" w:space="0" w:color="auto"/>
              <w:left w:val="single" w:sz="8" w:space="0" w:color="auto"/>
              <w:bottom w:val="single" w:sz="18" w:space="0" w:color="auto"/>
              <w:right w:val="single" w:sz="8" w:space="0" w:color="auto"/>
            </w:tcBorders>
            <w:shd w:val="clear" w:color="auto" w:fill="D9D9D9" w:themeFill="background1" w:themeFillShade="D9"/>
            <w:vAlign w:val="center"/>
          </w:tcPr>
          <w:p w14:paraId="04E7D0C6" w14:textId="77777777" w:rsidR="008C6AE1" w:rsidRPr="007A7515" w:rsidRDefault="008C6AE1" w:rsidP="00B75E75">
            <w:pPr>
              <w:rPr>
                <w:rFonts w:asciiTheme="minorHAnsi" w:hAnsiTheme="minorHAnsi" w:cstheme="minorHAnsi"/>
                <w:b/>
                <w:sz w:val="24"/>
                <w:szCs w:val="24"/>
              </w:rPr>
            </w:pPr>
            <w:r w:rsidRPr="007A7515">
              <w:rPr>
                <w:rFonts w:asciiTheme="minorHAnsi" w:hAnsiTheme="minorHAnsi" w:cstheme="minorHAnsi"/>
                <w:b/>
                <w:sz w:val="24"/>
                <w:szCs w:val="24"/>
              </w:rPr>
              <w:t>Scan</w:t>
            </w:r>
          </w:p>
        </w:tc>
        <w:tc>
          <w:tcPr>
            <w:tcW w:w="3857" w:type="dxa"/>
            <w:tcBorders>
              <w:top w:val="single" w:sz="18" w:space="0" w:color="auto"/>
              <w:left w:val="single" w:sz="8" w:space="0" w:color="auto"/>
              <w:bottom w:val="single" w:sz="18" w:space="0" w:color="auto"/>
              <w:right w:val="nil"/>
            </w:tcBorders>
            <w:shd w:val="clear" w:color="auto" w:fill="D9D9D9" w:themeFill="background1" w:themeFillShade="D9"/>
            <w:vAlign w:val="center"/>
          </w:tcPr>
          <w:p w14:paraId="4C40E404" w14:textId="77777777" w:rsidR="008C6AE1" w:rsidRPr="007A7515" w:rsidRDefault="008C6AE1" w:rsidP="00B75E75">
            <w:pPr>
              <w:rPr>
                <w:rFonts w:asciiTheme="minorHAnsi" w:hAnsiTheme="minorHAnsi" w:cstheme="minorHAnsi"/>
                <w:b/>
                <w:sz w:val="24"/>
                <w:szCs w:val="24"/>
              </w:rPr>
            </w:pPr>
            <w:r w:rsidRPr="007A7515">
              <w:rPr>
                <w:rFonts w:asciiTheme="minorHAnsi" w:hAnsiTheme="minorHAnsi" w:cstheme="minorHAnsi"/>
                <w:b/>
                <w:sz w:val="24"/>
                <w:szCs w:val="24"/>
              </w:rPr>
              <w:t>Variable (units)</w:t>
            </w:r>
          </w:p>
        </w:tc>
        <w:tc>
          <w:tcPr>
            <w:tcW w:w="2454" w:type="dxa"/>
            <w:tcBorders>
              <w:top w:val="single" w:sz="18" w:space="0" w:color="auto"/>
              <w:left w:val="nil"/>
              <w:bottom w:val="single" w:sz="18" w:space="0" w:color="auto"/>
              <w:right w:val="single" w:sz="8" w:space="0" w:color="auto"/>
            </w:tcBorders>
            <w:shd w:val="clear" w:color="auto" w:fill="D9D9D9" w:themeFill="background1" w:themeFillShade="D9"/>
            <w:vAlign w:val="center"/>
          </w:tcPr>
          <w:p w14:paraId="70784E1C" w14:textId="77777777" w:rsidR="008C6AE1" w:rsidRPr="007A7515" w:rsidRDefault="008C6AE1" w:rsidP="00B75E75">
            <w:pPr>
              <w:jc w:val="both"/>
              <w:rPr>
                <w:rFonts w:asciiTheme="minorHAnsi" w:hAnsiTheme="minorHAnsi" w:cstheme="minorHAnsi"/>
                <w:b/>
                <w:sz w:val="24"/>
                <w:szCs w:val="24"/>
              </w:rPr>
            </w:pPr>
          </w:p>
        </w:tc>
        <w:tc>
          <w:tcPr>
            <w:tcW w:w="1612" w:type="dxa"/>
            <w:tcBorders>
              <w:top w:val="single" w:sz="18" w:space="0" w:color="auto"/>
              <w:left w:val="single" w:sz="8" w:space="0" w:color="auto"/>
              <w:bottom w:val="single" w:sz="18" w:space="0" w:color="auto"/>
              <w:right w:val="single" w:sz="8" w:space="0" w:color="auto"/>
            </w:tcBorders>
            <w:shd w:val="clear" w:color="auto" w:fill="D9D9D9" w:themeFill="background1" w:themeFillShade="D9"/>
            <w:vAlign w:val="center"/>
          </w:tcPr>
          <w:p w14:paraId="2E882D32" w14:textId="627CB551" w:rsidR="008C6AE1" w:rsidRPr="007A7515" w:rsidRDefault="008C6AE1" w:rsidP="00B75E75">
            <w:pPr>
              <w:jc w:val="right"/>
              <w:rPr>
                <w:rFonts w:asciiTheme="minorHAnsi" w:hAnsiTheme="minorHAnsi" w:cstheme="minorHAnsi"/>
                <w:b/>
                <w:sz w:val="24"/>
                <w:szCs w:val="24"/>
              </w:rPr>
            </w:pPr>
          </w:p>
          <w:p w14:paraId="4BE389E3" w14:textId="4CFD38BF" w:rsidR="00F4186E" w:rsidRPr="007A7515" w:rsidRDefault="00F4186E" w:rsidP="00B75E75">
            <w:pPr>
              <w:jc w:val="right"/>
              <w:rPr>
                <w:rFonts w:asciiTheme="minorHAnsi" w:hAnsiTheme="minorHAnsi" w:cstheme="minorHAnsi"/>
                <w:b/>
                <w:sz w:val="24"/>
                <w:szCs w:val="24"/>
              </w:rPr>
            </w:pPr>
            <w:r w:rsidRPr="007A7515">
              <w:rPr>
                <w:rFonts w:asciiTheme="minorHAnsi" w:hAnsiTheme="minorHAnsi" w:cstheme="minorHAnsi"/>
                <w:b/>
                <w:sz w:val="24"/>
                <w:szCs w:val="24"/>
              </w:rPr>
              <w:t>Number (percentage)</w:t>
            </w:r>
          </w:p>
        </w:tc>
      </w:tr>
      <w:tr w:rsidR="008C6AE1" w:rsidRPr="007A7515" w14:paraId="11263AF5" w14:textId="77777777" w:rsidTr="006D278A">
        <w:trPr>
          <w:cantSplit/>
          <w:trHeight w:val="432"/>
          <w:jc w:val="center"/>
        </w:trPr>
        <w:tc>
          <w:tcPr>
            <w:tcW w:w="963" w:type="dxa"/>
            <w:vMerge w:val="restart"/>
            <w:tcBorders>
              <w:left w:val="single" w:sz="8" w:space="0" w:color="auto"/>
              <w:right w:val="single" w:sz="8" w:space="0" w:color="auto"/>
            </w:tcBorders>
            <w:vAlign w:val="center"/>
          </w:tcPr>
          <w:p w14:paraId="3788A866"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Baseline CT</w:t>
            </w:r>
          </w:p>
        </w:tc>
        <w:tc>
          <w:tcPr>
            <w:tcW w:w="3857" w:type="dxa"/>
            <w:tcBorders>
              <w:left w:val="single" w:sz="8" w:space="0" w:color="auto"/>
              <w:right w:val="nil"/>
            </w:tcBorders>
            <w:vAlign w:val="center"/>
          </w:tcPr>
          <w:p w14:paraId="10B12235"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Grade of SPN</w:t>
            </w:r>
          </w:p>
        </w:tc>
        <w:tc>
          <w:tcPr>
            <w:tcW w:w="2454" w:type="dxa"/>
            <w:tcBorders>
              <w:left w:val="nil"/>
            </w:tcBorders>
            <w:vAlign w:val="center"/>
          </w:tcPr>
          <w:p w14:paraId="7679F3D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p w14:paraId="3F8D505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1: </w:t>
            </w:r>
          </w:p>
          <w:p w14:paraId="2B50A2A1"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2: </w:t>
            </w:r>
          </w:p>
          <w:p w14:paraId="4F7BBFB9"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3: </w:t>
            </w:r>
          </w:p>
          <w:p w14:paraId="5976EFC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4: </w:t>
            </w:r>
          </w:p>
          <w:p w14:paraId="42D886E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07BBD97C"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 (2%)</w:t>
            </w:r>
          </w:p>
          <w:p w14:paraId="4C9318C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10 (3%)</w:t>
            </w:r>
          </w:p>
          <w:p w14:paraId="422B578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59 (20%)</w:t>
            </w:r>
          </w:p>
          <w:p w14:paraId="13C899F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212 (74%)</w:t>
            </w:r>
          </w:p>
          <w:p w14:paraId="11C7C272"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 (1%)</w:t>
            </w:r>
          </w:p>
          <w:p w14:paraId="377B52D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24</w:t>
            </w:r>
          </w:p>
        </w:tc>
      </w:tr>
      <w:tr w:rsidR="008C6AE1" w:rsidRPr="007A7515" w14:paraId="426B70F0" w14:textId="77777777" w:rsidTr="006D278A">
        <w:trPr>
          <w:cantSplit/>
          <w:trHeight w:val="432"/>
          <w:jc w:val="center"/>
        </w:trPr>
        <w:tc>
          <w:tcPr>
            <w:tcW w:w="963" w:type="dxa"/>
            <w:vMerge/>
            <w:tcBorders>
              <w:left w:val="single" w:sz="8" w:space="0" w:color="auto"/>
              <w:right w:val="single" w:sz="8" w:space="0" w:color="auto"/>
            </w:tcBorders>
          </w:tcPr>
          <w:p w14:paraId="02B0809B" w14:textId="77777777" w:rsidR="008C6AE1" w:rsidRPr="007A7515" w:rsidRDefault="008C6AE1" w:rsidP="00B75E75">
            <w:pPr>
              <w:rPr>
                <w:rFonts w:asciiTheme="minorHAnsi" w:hAnsiTheme="minorHAnsi" w:cstheme="minorHAnsi"/>
                <w:sz w:val="24"/>
                <w:szCs w:val="24"/>
              </w:rPr>
            </w:pPr>
          </w:p>
        </w:tc>
        <w:tc>
          <w:tcPr>
            <w:tcW w:w="3857" w:type="dxa"/>
            <w:tcBorders>
              <w:left w:val="single" w:sz="8" w:space="0" w:color="auto"/>
              <w:right w:val="nil"/>
            </w:tcBorders>
            <w:vAlign w:val="center"/>
          </w:tcPr>
          <w:p w14:paraId="4842653E" w14:textId="3ED2C0F5"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 xml:space="preserve">Lymph Nodes </w:t>
            </w:r>
            <w:r w:rsidR="00F24EB0" w:rsidRPr="007A7515">
              <w:rPr>
                <w:rFonts w:asciiTheme="minorHAnsi" w:hAnsiTheme="minorHAnsi" w:cstheme="minorHAnsi"/>
                <w:sz w:val="24"/>
                <w:szCs w:val="24"/>
              </w:rPr>
              <w:t>enlarged</w:t>
            </w:r>
          </w:p>
        </w:tc>
        <w:tc>
          <w:tcPr>
            <w:tcW w:w="2454" w:type="dxa"/>
            <w:tcBorders>
              <w:left w:val="nil"/>
            </w:tcBorders>
            <w:vAlign w:val="center"/>
          </w:tcPr>
          <w:p w14:paraId="3632D87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No</w:t>
            </w:r>
          </w:p>
          <w:p w14:paraId="57A61428"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Yes</w:t>
            </w:r>
          </w:p>
          <w:p w14:paraId="196029B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192CE32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288 (92%)</w:t>
            </w:r>
          </w:p>
          <w:p w14:paraId="6A13970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24 (8%)</w:t>
            </w:r>
          </w:p>
          <w:p w14:paraId="0C94C58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tc>
      </w:tr>
      <w:tr w:rsidR="008C6AE1" w:rsidRPr="007A7515" w14:paraId="63AC2B64" w14:textId="77777777" w:rsidTr="0049434F">
        <w:trPr>
          <w:cantSplit/>
          <w:trHeight w:val="432"/>
          <w:jc w:val="center"/>
        </w:trPr>
        <w:tc>
          <w:tcPr>
            <w:tcW w:w="963" w:type="dxa"/>
            <w:vMerge/>
            <w:tcBorders>
              <w:left w:val="single" w:sz="8" w:space="0" w:color="auto"/>
              <w:bottom w:val="single" w:sz="8" w:space="0" w:color="auto"/>
              <w:right w:val="single" w:sz="8" w:space="0" w:color="auto"/>
            </w:tcBorders>
          </w:tcPr>
          <w:p w14:paraId="2ED8824D" w14:textId="77777777" w:rsidR="008C6AE1" w:rsidRPr="007A7515" w:rsidRDefault="008C6AE1" w:rsidP="00B75E75">
            <w:pPr>
              <w:rPr>
                <w:rFonts w:asciiTheme="minorHAnsi" w:hAnsiTheme="minorHAnsi" w:cstheme="minorHAnsi"/>
                <w:sz w:val="24"/>
                <w:szCs w:val="24"/>
              </w:rPr>
            </w:pPr>
          </w:p>
        </w:tc>
        <w:tc>
          <w:tcPr>
            <w:tcW w:w="3857" w:type="dxa"/>
            <w:tcBorders>
              <w:left w:val="single" w:sz="8" w:space="0" w:color="auto"/>
              <w:bottom w:val="single" w:sz="8" w:space="0" w:color="auto"/>
              <w:right w:val="nil"/>
            </w:tcBorders>
            <w:vAlign w:val="center"/>
          </w:tcPr>
          <w:p w14:paraId="430B9904" w14:textId="36415D6F"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Evidence of Metasta</w:t>
            </w:r>
            <w:r w:rsidR="00F24EB0" w:rsidRPr="007A7515">
              <w:rPr>
                <w:rFonts w:asciiTheme="minorHAnsi" w:hAnsiTheme="minorHAnsi" w:cstheme="minorHAnsi"/>
                <w:sz w:val="24"/>
                <w:szCs w:val="24"/>
              </w:rPr>
              <w:t>tic disease</w:t>
            </w:r>
          </w:p>
        </w:tc>
        <w:tc>
          <w:tcPr>
            <w:tcW w:w="2454" w:type="dxa"/>
            <w:tcBorders>
              <w:left w:val="nil"/>
              <w:bottom w:val="single" w:sz="8" w:space="0" w:color="auto"/>
            </w:tcBorders>
            <w:vAlign w:val="center"/>
          </w:tcPr>
          <w:p w14:paraId="2EFA0E8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No</w:t>
            </w:r>
          </w:p>
          <w:p w14:paraId="4A0B8C2F"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Yes</w:t>
            </w:r>
          </w:p>
          <w:p w14:paraId="380DC3B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0318FDE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309 (100%)</w:t>
            </w:r>
          </w:p>
          <w:p w14:paraId="70D1148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0 (0%)</w:t>
            </w:r>
          </w:p>
          <w:p w14:paraId="200E67A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3</w:t>
            </w:r>
          </w:p>
        </w:tc>
      </w:tr>
      <w:tr w:rsidR="008C6AE1" w:rsidRPr="007A7515" w14:paraId="7F873D31" w14:textId="77777777" w:rsidTr="0049434F">
        <w:trPr>
          <w:cantSplit/>
          <w:trHeight w:val="432"/>
          <w:jc w:val="center"/>
        </w:trPr>
        <w:tc>
          <w:tcPr>
            <w:tcW w:w="963" w:type="dxa"/>
            <w:vMerge w:val="restart"/>
            <w:tcBorders>
              <w:top w:val="single" w:sz="8" w:space="0" w:color="auto"/>
              <w:left w:val="single" w:sz="8" w:space="0" w:color="auto"/>
              <w:right w:val="single" w:sz="8" w:space="0" w:color="auto"/>
            </w:tcBorders>
            <w:vAlign w:val="center"/>
          </w:tcPr>
          <w:p w14:paraId="5F098979" w14:textId="77777777" w:rsidR="008C6AE1" w:rsidRPr="007A7515" w:rsidRDefault="008C6AE1" w:rsidP="00B75E75">
            <w:pPr>
              <w:keepNext/>
              <w:keepLines/>
              <w:rPr>
                <w:rFonts w:asciiTheme="minorHAnsi" w:hAnsiTheme="minorHAnsi" w:cstheme="minorHAnsi"/>
                <w:sz w:val="24"/>
                <w:szCs w:val="24"/>
              </w:rPr>
            </w:pPr>
            <w:r w:rsidRPr="007A7515">
              <w:rPr>
                <w:rFonts w:asciiTheme="minorHAnsi" w:hAnsiTheme="minorHAnsi" w:cstheme="minorHAnsi"/>
                <w:sz w:val="24"/>
                <w:szCs w:val="24"/>
              </w:rPr>
              <w:t>PET/CT</w:t>
            </w:r>
          </w:p>
        </w:tc>
        <w:tc>
          <w:tcPr>
            <w:tcW w:w="3857" w:type="dxa"/>
            <w:tcBorders>
              <w:top w:val="single" w:sz="8" w:space="0" w:color="auto"/>
              <w:left w:val="single" w:sz="8" w:space="0" w:color="auto"/>
              <w:right w:val="nil"/>
            </w:tcBorders>
            <w:vAlign w:val="center"/>
          </w:tcPr>
          <w:p w14:paraId="0BEBC140" w14:textId="35468AE9" w:rsidR="008C6AE1" w:rsidRPr="007A7515" w:rsidRDefault="00F4186E" w:rsidP="00B75E75">
            <w:pPr>
              <w:keepNext/>
              <w:keepLines/>
              <w:rPr>
                <w:rFonts w:asciiTheme="minorHAnsi" w:hAnsiTheme="minorHAnsi" w:cstheme="minorHAnsi"/>
                <w:sz w:val="24"/>
                <w:szCs w:val="24"/>
              </w:rPr>
            </w:pPr>
            <w:r w:rsidRPr="007A7515">
              <w:rPr>
                <w:rFonts w:asciiTheme="minorHAnsi" w:hAnsiTheme="minorHAnsi" w:cstheme="minorHAnsi"/>
                <w:sz w:val="24"/>
                <w:szCs w:val="24"/>
              </w:rPr>
              <w:t xml:space="preserve"> </w:t>
            </w:r>
            <w:proofErr w:type="spellStart"/>
            <w:r w:rsidRPr="007A7515">
              <w:rPr>
                <w:rFonts w:asciiTheme="minorHAnsi" w:hAnsiTheme="minorHAnsi" w:cstheme="minorHAnsi"/>
                <w:sz w:val="24"/>
                <w:szCs w:val="24"/>
              </w:rPr>
              <w:t>SUVmax</w:t>
            </w:r>
            <w:proofErr w:type="spellEnd"/>
          </w:p>
        </w:tc>
        <w:tc>
          <w:tcPr>
            <w:tcW w:w="2454" w:type="dxa"/>
            <w:tcBorders>
              <w:top w:val="single" w:sz="8" w:space="0" w:color="auto"/>
              <w:left w:val="nil"/>
            </w:tcBorders>
            <w:shd w:val="clear" w:color="auto" w:fill="auto"/>
            <w:vAlign w:val="center"/>
          </w:tcPr>
          <w:p w14:paraId="6E61630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Mean (SD)</w:t>
            </w:r>
          </w:p>
          <w:p w14:paraId="29200464"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4C5540E0" w14:textId="545DB669"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4</w:t>
            </w:r>
            <w:r w:rsidR="0053128F" w:rsidRPr="007A7515">
              <w:rPr>
                <w:rFonts w:asciiTheme="minorHAnsi" w:hAnsiTheme="minorHAnsi" w:cstheme="minorHAnsi"/>
                <w:sz w:val="24"/>
                <w:szCs w:val="24"/>
              </w:rPr>
              <w:t>·9</w:t>
            </w:r>
            <w:r w:rsidRPr="007A7515">
              <w:rPr>
                <w:rFonts w:asciiTheme="minorHAnsi" w:hAnsiTheme="minorHAnsi" w:cstheme="minorHAnsi"/>
                <w:sz w:val="24"/>
                <w:szCs w:val="24"/>
              </w:rPr>
              <w:t>1 (5</w:t>
            </w:r>
            <w:r w:rsidR="0053128F" w:rsidRPr="007A7515">
              <w:rPr>
                <w:rFonts w:asciiTheme="minorHAnsi" w:hAnsiTheme="minorHAnsi" w:cstheme="minorHAnsi"/>
                <w:sz w:val="24"/>
                <w:szCs w:val="24"/>
              </w:rPr>
              <w:t>·6</w:t>
            </w:r>
            <w:r w:rsidRPr="007A7515">
              <w:rPr>
                <w:rFonts w:asciiTheme="minorHAnsi" w:hAnsiTheme="minorHAnsi" w:cstheme="minorHAnsi"/>
                <w:sz w:val="24"/>
                <w:szCs w:val="24"/>
              </w:rPr>
              <w:t>5)</w:t>
            </w:r>
          </w:p>
          <w:p w14:paraId="7DA6B553"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2</w:t>
            </w:r>
          </w:p>
        </w:tc>
      </w:tr>
      <w:tr w:rsidR="008C6AE1" w:rsidRPr="007A7515" w14:paraId="5DD25D58" w14:textId="77777777" w:rsidTr="006D278A">
        <w:trPr>
          <w:cantSplit/>
          <w:trHeight w:val="432"/>
          <w:jc w:val="center"/>
        </w:trPr>
        <w:tc>
          <w:tcPr>
            <w:tcW w:w="963" w:type="dxa"/>
            <w:vMerge/>
            <w:tcBorders>
              <w:left w:val="single" w:sz="8" w:space="0" w:color="auto"/>
              <w:right w:val="single" w:sz="8" w:space="0" w:color="auto"/>
            </w:tcBorders>
          </w:tcPr>
          <w:p w14:paraId="02436D60" w14:textId="77777777" w:rsidR="008C6AE1" w:rsidRPr="007A7515" w:rsidRDefault="008C6AE1" w:rsidP="00B75E75">
            <w:pPr>
              <w:keepNext/>
              <w:keepLines/>
              <w:rPr>
                <w:rFonts w:asciiTheme="minorHAnsi" w:hAnsiTheme="minorHAnsi" w:cstheme="minorHAnsi"/>
                <w:sz w:val="24"/>
                <w:szCs w:val="24"/>
              </w:rPr>
            </w:pPr>
          </w:p>
        </w:tc>
        <w:tc>
          <w:tcPr>
            <w:tcW w:w="3857" w:type="dxa"/>
            <w:tcBorders>
              <w:left w:val="single" w:sz="8" w:space="0" w:color="auto"/>
              <w:right w:val="nil"/>
            </w:tcBorders>
            <w:vAlign w:val="center"/>
          </w:tcPr>
          <w:p w14:paraId="6FC7B6FE" w14:textId="77777777" w:rsidR="008C6AE1" w:rsidRPr="007A7515" w:rsidRDefault="008C6AE1" w:rsidP="00B75E75">
            <w:pPr>
              <w:keepNext/>
              <w:keepLines/>
              <w:rPr>
                <w:rFonts w:asciiTheme="minorHAnsi" w:hAnsiTheme="minorHAnsi" w:cstheme="minorHAnsi"/>
                <w:sz w:val="24"/>
                <w:szCs w:val="24"/>
              </w:rPr>
            </w:pPr>
            <w:r w:rsidRPr="007A7515">
              <w:rPr>
                <w:rFonts w:asciiTheme="minorHAnsi" w:hAnsiTheme="minorHAnsi" w:cstheme="minorHAnsi"/>
                <w:sz w:val="24"/>
                <w:szCs w:val="24"/>
              </w:rPr>
              <w:t>Grade of SPN on CT</w:t>
            </w:r>
          </w:p>
        </w:tc>
        <w:tc>
          <w:tcPr>
            <w:tcW w:w="2454" w:type="dxa"/>
            <w:tcBorders>
              <w:left w:val="nil"/>
            </w:tcBorders>
            <w:vAlign w:val="center"/>
          </w:tcPr>
          <w:p w14:paraId="5BC4142D"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p w14:paraId="0C46F478"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1: </w:t>
            </w:r>
          </w:p>
          <w:p w14:paraId="191D4536"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2: </w:t>
            </w:r>
          </w:p>
          <w:p w14:paraId="12F4E324"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3: </w:t>
            </w:r>
          </w:p>
          <w:p w14:paraId="57BA8A3C"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4: </w:t>
            </w:r>
          </w:p>
          <w:p w14:paraId="2A55F57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3EB5BB2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6 (2%)</w:t>
            </w:r>
          </w:p>
          <w:p w14:paraId="5CD8BAFA"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13 (4%)</w:t>
            </w:r>
          </w:p>
          <w:p w14:paraId="0189E86F"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66 (22%)</w:t>
            </w:r>
          </w:p>
          <w:p w14:paraId="22A6951C"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208 (71%)</w:t>
            </w:r>
          </w:p>
          <w:p w14:paraId="6BB32225"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2 (1%)</w:t>
            </w:r>
          </w:p>
          <w:p w14:paraId="5231DC04"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17 </w:t>
            </w:r>
          </w:p>
        </w:tc>
      </w:tr>
      <w:tr w:rsidR="008C6AE1" w:rsidRPr="007A7515" w14:paraId="58CB111C" w14:textId="77777777" w:rsidTr="006D278A">
        <w:trPr>
          <w:cantSplit/>
          <w:trHeight w:val="432"/>
          <w:jc w:val="center"/>
        </w:trPr>
        <w:tc>
          <w:tcPr>
            <w:tcW w:w="963" w:type="dxa"/>
            <w:vMerge/>
            <w:tcBorders>
              <w:left w:val="single" w:sz="8" w:space="0" w:color="auto"/>
              <w:right w:val="single" w:sz="8" w:space="0" w:color="auto"/>
            </w:tcBorders>
          </w:tcPr>
          <w:p w14:paraId="6A53D547" w14:textId="77777777" w:rsidR="008C6AE1" w:rsidRPr="007A7515" w:rsidRDefault="008C6AE1" w:rsidP="00B75E75">
            <w:pPr>
              <w:keepNext/>
              <w:keepLines/>
              <w:rPr>
                <w:rFonts w:asciiTheme="minorHAnsi" w:hAnsiTheme="minorHAnsi" w:cstheme="minorHAnsi"/>
                <w:sz w:val="24"/>
                <w:szCs w:val="24"/>
              </w:rPr>
            </w:pPr>
          </w:p>
        </w:tc>
        <w:tc>
          <w:tcPr>
            <w:tcW w:w="3857" w:type="dxa"/>
            <w:tcBorders>
              <w:left w:val="single" w:sz="8" w:space="0" w:color="auto"/>
              <w:right w:val="nil"/>
            </w:tcBorders>
            <w:vAlign w:val="center"/>
          </w:tcPr>
          <w:p w14:paraId="2D29FC9B" w14:textId="5684A32F" w:rsidR="008C6AE1" w:rsidRPr="007A7515" w:rsidRDefault="008C6AE1" w:rsidP="00B75E75">
            <w:pPr>
              <w:keepNext/>
              <w:keepLines/>
              <w:rPr>
                <w:rFonts w:asciiTheme="minorHAnsi" w:hAnsiTheme="minorHAnsi" w:cstheme="minorHAnsi"/>
                <w:sz w:val="24"/>
                <w:szCs w:val="24"/>
              </w:rPr>
            </w:pPr>
            <w:r w:rsidRPr="007A7515">
              <w:rPr>
                <w:rFonts w:asciiTheme="minorHAnsi" w:hAnsiTheme="minorHAnsi" w:cstheme="minorHAnsi"/>
                <w:sz w:val="24"/>
                <w:szCs w:val="24"/>
              </w:rPr>
              <w:t>Grade of SPN on PET</w:t>
            </w:r>
          </w:p>
        </w:tc>
        <w:tc>
          <w:tcPr>
            <w:tcW w:w="2454" w:type="dxa"/>
            <w:tcBorders>
              <w:left w:val="nil"/>
            </w:tcBorders>
            <w:vAlign w:val="center"/>
          </w:tcPr>
          <w:p w14:paraId="3ECC8ACB"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p w14:paraId="47F56856"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1: </w:t>
            </w:r>
          </w:p>
          <w:p w14:paraId="2CB075DF"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2: </w:t>
            </w:r>
          </w:p>
          <w:p w14:paraId="08A6C28F"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3: </w:t>
            </w:r>
          </w:p>
          <w:p w14:paraId="00829390"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4: </w:t>
            </w:r>
          </w:p>
          <w:p w14:paraId="2C63A3DA"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05919FF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52 (17%)</w:t>
            </w:r>
          </w:p>
          <w:p w14:paraId="3EB192F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67 (21%)</w:t>
            </w:r>
          </w:p>
          <w:p w14:paraId="3D5EF417"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30 (10%)</w:t>
            </w:r>
          </w:p>
          <w:p w14:paraId="7EC6F1EA"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161 (52%)</w:t>
            </w:r>
          </w:p>
          <w:p w14:paraId="313B9CDD"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2 (1%)</w:t>
            </w:r>
          </w:p>
          <w:p w14:paraId="56FD91B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tc>
      </w:tr>
      <w:tr w:rsidR="008C6AE1" w:rsidRPr="007A7515" w14:paraId="3A3C7123" w14:textId="77777777" w:rsidTr="006D278A">
        <w:trPr>
          <w:cantSplit/>
          <w:trHeight w:val="432"/>
          <w:jc w:val="center"/>
        </w:trPr>
        <w:tc>
          <w:tcPr>
            <w:tcW w:w="963" w:type="dxa"/>
            <w:vMerge/>
            <w:tcBorders>
              <w:left w:val="single" w:sz="8" w:space="0" w:color="auto"/>
              <w:right w:val="single" w:sz="8" w:space="0" w:color="auto"/>
            </w:tcBorders>
          </w:tcPr>
          <w:p w14:paraId="015C48E6" w14:textId="77777777" w:rsidR="008C6AE1" w:rsidRPr="007A7515" w:rsidRDefault="008C6AE1" w:rsidP="00B75E75">
            <w:pPr>
              <w:keepNext/>
              <w:keepLines/>
              <w:rPr>
                <w:rFonts w:asciiTheme="minorHAnsi" w:hAnsiTheme="minorHAnsi" w:cstheme="minorHAnsi"/>
                <w:sz w:val="24"/>
                <w:szCs w:val="24"/>
              </w:rPr>
            </w:pPr>
          </w:p>
        </w:tc>
        <w:tc>
          <w:tcPr>
            <w:tcW w:w="3857" w:type="dxa"/>
            <w:tcBorders>
              <w:left w:val="single" w:sz="8" w:space="0" w:color="auto"/>
              <w:right w:val="nil"/>
            </w:tcBorders>
            <w:vAlign w:val="center"/>
          </w:tcPr>
          <w:p w14:paraId="4C655E58" w14:textId="04AA2A6B" w:rsidR="008C6AE1" w:rsidRPr="007A7515" w:rsidRDefault="00F24EB0" w:rsidP="00B75E75">
            <w:pPr>
              <w:keepNext/>
              <w:keepLines/>
              <w:rPr>
                <w:rFonts w:asciiTheme="minorHAnsi" w:hAnsiTheme="minorHAnsi" w:cstheme="minorHAnsi"/>
                <w:sz w:val="24"/>
                <w:szCs w:val="24"/>
              </w:rPr>
            </w:pPr>
            <w:r w:rsidRPr="007A7515">
              <w:rPr>
                <w:rFonts w:asciiTheme="minorHAnsi" w:hAnsiTheme="minorHAnsi" w:cstheme="minorHAnsi"/>
                <w:sz w:val="24"/>
                <w:szCs w:val="24"/>
              </w:rPr>
              <w:t>Reporter</w:t>
            </w:r>
            <w:r w:rsidR="008C6AE1" w:rsidRPr="007A7515">
              <w:rPr>
                <w:rFonts w:asciiTheme="minorHAnsi" w:hAnsiTheme="minorHAnsi" w:cstheme="minorHAnsi"/>
                <w:sz w:val="24"/>
                <w:szCs w:val="24"/>
              </w:rPr>
              <w:t xml:space="preserve"> Diagnosis of SPN</w:t>
            </w:r>
          </w:p>
        </w:tc>
        <w:tc>
          <w:tcPr>
            <w:tcW w:w="2454" w:type="dxa"/>
            <w:tcBorders>
              <w:left w:val="nil"/>
            </w:tcBorders>
            <w:vAlign w:val="center"/>
          </w:tcPr>
          <w:p w14:paraId="67E1380D"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Cancer</w:t>
            </w:r>
          </w:p>
          <w:p w14:paraId="4630271C"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Indeterminate</w:t>
            </w:r>
          </w:p>
          <w:p w14:paraId="40593596"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Non-cancer</w:t>
            </w:r>
          </w:p>
        </w:tc>
        <w:tc>
          <w:tcPr>
            <w:tcW w:w="1612" w:type="dxa"/>
            <w:tcBorders>
              <w:right w:val="single" w:sz="8" w:space="0" w:color="auto"/>
            </w:tcBorders>
            <w:vAlign w:val="center"/>
          </w:tcPr>
          <w:p w14:paraId="3969A238"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90 (29%)</w:t>
            </w:r>
          </w:p>
          <w:p w14:paraId="2481194F"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191 (61%)</w:t>
            </w:r>
          </w:p>
          <w:p w14:paraId="07B4B2CF"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31 (10%)</w:t>
            </w:r>
          </w:p>
        </w:tc>
      </w:tr>
      <w:tr w:rsidR="008C6AE1" w:rsidRPr="007A7515" w14:paraId="65A906C1" w14:textId="77777777" w:rsidTr="006D278A">
        <w:trPr>
          <w:cantSplit/>
          <w:trHeight w:val="432"/>
          <w:jc w:val="center"/>
        </w:trPr>
        <w:tc>
          <w:tcPr>
            <w:tcW w:w="963" w:type="dxa"/>
            <w:vMerge/>
            <w:tcBorders>
              <w:left w:val="single" w:sz="8" w:space="0" w:color="auto"/>
              <w:right w:val="single" w:sz="8" w:space="0" w:color="auto"/>
            </w:tcBorders>
          </w:tcPr>
          <w:p w14:paraId="3BCD1F8F" w14:textId="77777777" w:rsidR="008C6AE1" w:rsidRPr="007A7515" w:rsidRDefault="008C6AE1" w:rsidP="00B75E75">
            <w:pPr>
              <w:keepNext/>
              <w:keepLines/>
              <w:rPr>
                <w:rFonts w:asciiTheme="minorHAnsi" w:hAnsiTheme="minorHAnsi" w:cstheme="minorHAnsi"/>
                <w:sz w:val="24"/>
                <w:szCs w:val="24"/>
              </w:rPr>
            </w:pPr>
          </w:p>
        </w:tc>
        <w:tc>
          <w:tcPr>
            <w:tcW w:w="3857" w:type="dxa"/>
            <w:tcBorders>
              <w:left w:val="single" w:sz="8" w:space="0" w:color="auto"/>
              <w:right w:val="nil"/>
            </w:tcBorders>
            <w:vAlign w:val="center"/>
          </w:tcPr>
          <w:p w14:paraId="4740949B" w14:textId="77777777" w:rsidR="008C6AE1" w:rsidRPr="007A7515" w:rsidRDefault="008C6AE1" w:rsidP="00B75E75">
            <w:pPr>
              <w:keepNext/>
              <w:keepLines/>
              <w:rPr>
                <w:rFonts w:asciiTheme="minorHAnsi" w:hAnsiTheme="minorHAnsi" w:cstheme="minorHAnsi"/>
                <w:sz w:val="24"/>
                <w:szCs w:val="24"/>
              </w:rPr>
            </w:pPr>
            <w:r w:rsidRPr="007A7515">
              <w:rPr>
                <w:rFonts w:asciiTheme="minorHAnsi" w:hAnsiTheme="minorHAnsi" w:cstheme="minorHAnsi"/>
                <w:sz w:val="24"/>
                <w:szCs w:val="24"/>
              </w:rPr>
              <w:t>Diagnosis of SPN according to Protocol</w:t>
            </w:r>
          </w:p>
        </w:tc>
        <w:tc>
          <w:tcPr>
            <w:tcW w:w="2454" w:type="dxa"/>
            <w:tcBorders>
              <w:left w:val="nil"/>
            </w:tcBorders>
            <w:vAlign w:val="center"/>
          </w:tcPr>
          <w:p w14:paraId="1391C81E"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Cancer</w:t>
            </w:r>
          </w:p>
          <w:p w14:paraId="5AB6D727"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Non-cancer</w:t>
            </w:r>
          </w:p>
        </w:tc>
        <w:tc>
          <w:tcPr>
            <w:tcW w:w="1612" w:type="dxa"/>
            <w:tcBorders>
              <w:right w:val="single" w:sz="8" w:space="0" w:color="auto"/>
            </w:tcBorders>
            <w:vAlign w:val="center"/>
          </w:tcPr>
          <w:p w14:paraId="3368CC1C"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161 (52%)</w:t>
            </w:r>
          </w:p>
          <w:p w14:paraId="566B18F3"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151 (48%)</w:t>
            </w:r>
          </w:p>
        </w:tc>
      </w:tr>
      <w:tr w:rsidR="008C6AE1" w:rsidRPr="007A7515" w14:paraId="2508AAD6" w14:textId="77777777" w:rsidTr="006D278A">
        <w:trPr>
          <w:cantSplit/>
          <w:trHeight w:val="432"/>
          <w:jc w:val="center"/>
        </w:trPr>
        <w:tc>
          <w:tcPr>
            <w:tcW w:w="963" w:type="dxa"/>
            <w:vMerge/>
            <w:tcBorders>
              <w:left w:val="single" w:sz="8" w:space="0" w:color="auto"/>
              <w:right w:val="single" w:sz="8" w:space="0" w:color="auto"/>
            </w:tcBorders>
          </w:tcPr>
          <w:p w14:paraId="20750A35" w14:textId="77777777" w:rsidR="008C6AE1" w:rsidRPr="007A7515" w:rsidRDefault="008C6AE1" w:rsidP="00B75E75">
            <w:pPr>
              <w:keepNext/>
              <w:keepLines/>
              <w:rPr>
                <w:rFonts w:asciiTheme="minorHAnsi" w:hAnsiTheme="minorHAnsi" w:cstheme="minorHAnsi"/>
                <w:sz w:val="24"/>
                <w:szCs w:val="24"/>
              </w:rPr>
            </w:pPr>
          </w:p>
        </w:tc>
        <w:tc>
          <w:tcPr>
            <w:tcW w:w="3857" w:type="dxa"/>
            <w:tcBorders>
              <w:top w:val="single" w:sz="8" w:space="0" w:color="auto"/>
              <w:left w:val="single" w:sz="8" w:space="0" w:color="auto"/>
              <w:right w:val="nil"/>
            </w:tcBorders>
            <w:shd w:val="clear" w:color="auto" w:fill="auto"/>
            <w:vAlign w:val="center"/>
          </w:tcPr>
          <w:p w14:paraId="451562E7" w14:textId="77777777" w:rsidR="008C6AE1" w:rsidRPr="007A7515" w:rsidRDefault="008C6AE1" w:rsidP="00B75E75">
            <w:pPr>
              <w:keepNext/>
              <w:keepLines/>
              <w:rPr>
                <w:rFonts w:asciiTheme="minorHAnsi" w:hAnsiTheme="minorHAnsi" w:cstheme="minorHAnsi"/>
                <w:sz w:val="24"/>
                <w:szCs w:val="24"/>
              </w:rPr>
            </w:pPr>
            <w:r w:rsidRPr="007A7515">
              <w:rPr>
                <w:rFonts w:asciiTheme="minorHAnsi" w:hAnsiTheme="minorHAnsi" w:cstheme="minorHAnsi"/>
                <w:sz w:val="24"/>
                <w:szCs w:val="24"/>
              </w:rPr>
              <w:t>Lymph Nodes affected</w:t>
            </w:r>
          </w:p>
        </w:tc>
        <w:tc>
          <w:tcPr>
            <w:tcW w:w="2454" w:type="dxa"/>
            <w:tcBorders>
              <w:top w:val="single" w:sz="8" w:space="0" w:color="auto"/>
              <w:left w:val="nil"/>
            </w:tcBorders>
            <w:shd w:val="clear" w:color="auto" w:fill="auto"/>
            <w:vAlign w:val="center"/>
          </w:tcPr>
          <w:p w14:paraId="608014FA"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No</w:t>
            </w:r>
          </w:p>
          <w:p w14:paraId="2CB1AB97"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Yes</w:t>
            </w:r>
          </w:p>
          <w:p w14:paraId="3710817E"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top w:val="single" w:sz="8" w:space="0" w:color="auto"/>
              <w:right w:val="single" w:sz="8" w:space="0" w:color="auto"/>
            </w:tcBorders>
            <w:shd w:val="clear" w:color="auto" w:fill="auto"/>
            <w:vAlign w:val="center"/>
          </w:tcPr>
          <w:p w14:paraId="0F449D1D"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269 (87%)</w:t>
            </w:r>
          </w:p>
          <w:p w14:paraId="564C08F2"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40 (13%)</w:t>
            </w:r>
          </w:p>
          <w:p w14:paraId="3E001A95"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3</w:t>
            </w:r>
          </w:p>
        </w:tc>
      </w:tr>
      <w:tr w:rsidR="008C6AE1" w:rsidRPr="007A7515" w14:paraId="0BDCC49D" w14:textId="77777777" w:rsidTr="006D278A">
        <w:trPr>
          <w:cantSplit/>
          <w:trHeight w:val="432"/>
          <w:jc w:val="center"/>
        </w:trPr>
        <w:tc>
          <w:tcPr>
            <w:tcW w:w="963" w:type="dxa"/>
            <w:vMerge/>
            <w:tcBorders>
              <w:left w:val="single" w:sz="8" w:space="0" w:color="auto"/>
              <w:right w:val="single" w:sz="8" w:space="0" w:color="auto"/>
            </w:tcBorders>
          </w:tcPr>
          <w:p w14:paraId="588E8C03" w14:textId="77777777" w:rsidR="008C6AE1" w:rsidRPr="007A7515" w:rsidRDefault="008C6AE1" w:rsidP="00B75E75">
            <w:pPr>
              <w:keepNext/>
              <w:keepLines/>
              <w:rPr>
                <w:rFonts w:asciiTheme="minorHAnsi" w:hAnsiTheme="minorHAnsi" w:cstheme="minorHAnsi"/>
                <w:sz w:val="24"/>
                <w:szCs w:val="24"/>
              </w:rPr>
            </w:pPr>
          </w:p>
        </w:tc>
        <w:tc>
          <w:tcPr>
            <w:tcW w:w="3857" w:type="dxa"/>
            <w:tcBorders>
              <w:left w:val="single" w:sz="8" w:space="0" w:color="auto"/>
              <w:right w:val="nil"/>
            </w:tcBorders>
            <w:shd w:val="clear" w:color="auto" w:fill="auto"/>
            <w:vAlign w:val="center"/>
          </w:tcPr>
          <w:p w14:paraId="6F9E38BC" w14:textId="77777777" w:rsidR="008C6AE1" w:rsidRPr="007A7515" w:rsidRDefault="008C6AE1" w:rsidP="00B75E75">
            <w:pPr>
              <w:keepNext/>
              <w:keepLines/>
              <w:rPr>
                <w:rFonts w:asciiTheme="minorHAnsi" w:hAnsiTheme="minorHAnsi" w:cstheme="minorHAnsi"/>
                <w:sz w:val="24"/>
                <w:szCs w:val="24"/>
              </w:rPr>
            </w:pPr>
            <w:r w:rsidRPr="007A7515">
              <w:rPr>
                <w:rFonts w:asciiTheme="minorHAnsi" w:hAnsiTheme="minorHAnsi" w:cstheme="minorHAnsi"/>
                <w:sz w:val="24"/>
                <w:szCs w:val="24"/>
              </w:rPr>
              <w:t>Evidence of Metastases</w:t>
            </w:r>
          </w:p>
        </w:tc>
        <w:tc>
          <w:tcPr>
            <w:tcW w:w="2454" w:type="dxa"/>
            <w:tcBorders>
              <w:left w:val="nil"/>
            </w:tcBorders>
            <w:shd w:val="clear" w:color="auto" w:fill="auto"/>
            <w:vAlign w:val="center"/>
          </w:tcPr>
          <w:p w14:paraId="23F388D9"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No</w:t>
            </w:r>
          </w:p>
          <w:p w14:paraId="50D5ACBF"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Yes</w:t>
            </w:r>
          </w:p>
          <w:p w14:paraId="3050F2E7"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shd w:val="clear" w:color="auto" w:fill="auto"/>
            <w:vAlign w:val="center"/>
          </w:tcPr>
          <w:p w14:paraId="2C8367C1"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306 (99%)</w:t>
            </w:r>
          </w:p>
          <w:p w14:paraId="483016CD"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4 (1%)</w:t>
            </w:r>
          </w:p>
          <w:p w14:paraId="77E79F72" w14:textId="77777777" w:rsidR="008C6AE1" w:rsidRPr="007A7515" w:rsidRDefault="008C6AE1" w:rsidP="00B75E75">
            <w:pPr>
              <w:keepNext/>
              <w:keepLines/>
              <w:jc w:val="right"/>
              <w:rPr>
                <w:rFonts w:asciiTheme="minorHAnsi" w:hAnsiTheme="minorHAnsi" w:cstheme="minorHAnsi"/>
                <w:sz w:val="24"/>
                <w:szCs w:val="24"/>
              </w:rPr>
            </w:pPr>
            <w:r w:rsidRPr="007A7515">
              <w:rPr>
                <w:rFonts w:asciiTheme="minorHAnsi" w:hAnsiTheme="minorHAnsi" w:cstheme="minorHAnsi"/>
                <w:sz w:val="24"/>
                <w:szCs w:val="24"/>
              </w:rPr>
              <w:t>2</w:t>
            </w:r>
          </w:p>
        </w:tc>
      </w:tr>
      <w:tr w:rsidR="008C6AE1" w:rsidRPr="007A7515" w14:paraId="5EA0BF42" w14:textId="77777777" w:rsidTr="006D278A">
        <w:trPr>
          <w:cantSplit/>
          <w:trHeight w:val="432"/>
          <w:jc w:val="center"/>
        </w:trPr>
        <w:tc>
          <w:tcPr>
            <w:tcW w:w="963" w:type="dxa"/>
            <w:vMerge w:val="restart"/>
            <w:tcBorders>
              <w:left w:val="single" w:sz="8" w:space="0" w:color="auto"/>
              <w:right w:val="single" w:sz="8" w:space="0" w:color="auto"/>
            </w:tcBorders>
            <w:vAlign w:val="center"/>
          </w:tcPr>
          <w:p w14:paraId="2F6F799A"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DCE-CT</w:t>
            </w:r>
          </w:p>
        </w:tc>
        <w:tc>
          <w:tcPr>
            <w:tcW w:w="3857" w:type="dxa"/>
            <w:tcBorders>
              <w:left w:val="single" w:sz="8" w:space="0" w:color="auto"/>
              <w:right w:val="nil"/>
            </w:tcBorders>
            <w:vAlign w:val="center"/>
          </w:tcPr>
          <w:p w14:paraId="6298D61F"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Peak Enhancement</w:t>
            </w:r>
          </w:p>
        </w:tc>
        <w:tc>
          <w:tcPr>
            <w:tcW w:w="2454" w:type="dxa"/>
            <w:tcBorders>
              <w:left w:val="nil"/>
            </w:tcBorders>
            <w:vAlign w:val="center"/>
          </w:tcPr>
          <w:p w14:paraId="1C5B408D" w14:textId="6CD7BDAD"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Mean </w:t>
            </w:r>
            <w:r w:rsidR="00F4186E" w:rsidRPr="007A7515">
              <w:rPr>
                <w:rFonts w:asciiTheme="minorHAnsi" w:hAnsiTheme="minorHAnsi" w:cstheme="minorHAnsi"/>
                <w:sz w:val="24"/>
                <w:szCs w:val="24"/>
              </w:rPr>
              <w:t>±</w:t>
            </w:r>
            <w:r w:rsidR="00A016DA">
              <w:rPr>
                <w:rFonts w:asciiTheme="minorHAnsi" w:hAnsiTheme="minorHAnsi" w:cstheme="minorHAnsi"/>
                <w:sz w:val="24"/>
                <w:szCs w:val="24"/>
              </w:rPr>
              <w:t xml:space="preserve"> </w:t>
            </w:r>
            <w:r w:rsidRPr="007A7515">
              <w:rPr>
                <w:rFonts w:asciiTheme="minorHAnsi" w:hAnsiTheme="minorHAnsi" w:cstheme="minorHAnsi"/>
                <w:sz w:val="24"/>
                <w:szCs w:val="24"/>
              </w:rPr>
              <w:t>SD</w:t>
            </w:r>
          </w:p>
        </w:tc>
        <w:tc>
          <w:tcPr>
            <w:tcW w:w="1612" w:type="dxa"/>
            <w:tcBorders>
              <w:right w:val="single" w:sz="8" w:space="0" w:color="auto"/>
            </w:tcBorders>
            <w:vAlign w:val="center"/>
          </w:tcPr>
          <w:p w14:paraId="73C81A2A" w14:textId="03016CA8"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48</w:t>
            </w:r>
            <w:r w:rsidR="0053128F" w:rsidRPr="007A7515">
              <w:rPr>
                <w:rFonts w:asciiTheme="minorHAnsi" w:hAnsiTheme="minorHAnsi" w:cstheme="minorHAnsi"/>
                <w:sz w:val="24"/>
                <w:szCs w:val="24"/>
              </w:rPr>
              <w:t>·6</w:t>
            </w:r>
            <w:r w:rsidRPr="007A7515">
              <w:rPr>
                <w:rFonts w:asciiTheme="minorHAnsi" w:hAnsiTheme="minorHAnsi" w:cstheme="minorHAnsi"/>
                <w:sz w:val="24"/>
                <w:szCs w:val="24"/>
              </w:rPr>
              <w:t xml:space="preserve"> </w:t>
            </w:r>
            <w:r w:rsidR="00F4186E" w:rsidRPr="007A7515">
              <w:rPr>
                <w:rFonts w:asciiTheme="minorHAnsi" w:hAnsiTheme="minorHAnsi" w:cstheme="minorHAnsi"/>
                <w:sz w:val="24"/>
                <w:szCs w:val="24"/>
              </w:rPr>
              <w:t>±</w:t>
            </w:r>
            <w:r w:rsidR="00F4186E" w:rsidRPr="007A7515" w:rsidDel="00F4186E">
              <w:rPr>
                <w:rFonts w:asciiTheme="minorHAnsi" w:hAnsiTheme="minorHAnsi" w:cstheme="minorHAnsi"/>
                <w:sz w:val="24"/>
                <w:szCs w:val="24"/>
              </w:rPr>
              <w:t xml:space="preserve"> </w:t>
            </w:r>
            <w:r w:rsidRPr="007A7515">
              <w:rPr>
                <w:rFonts w:asciiTheme="minorHAnsi" w:hAnsiTheme="minorHAnsi" w:cstheme="minorHAnsi"/>
                <w:sz w:val="24"/>
                <w:szCs w:val="24"/>
              </w:rPr>
              <w:t>28</w:t>
            </w:r>
            <w:r w:rsidR="0053128F" w:rsidRPr="007A7515">
              <w:rPr>
                <w:rFonts w:asciiTheme="minorHAnsi" w:hAnsiTheme="minorHAnsi" w:cstheme="minorHAnsi"/>
                <w:sz w:val="24"/>
                <w:szCs w:val="24"/>
              </w:rPr>
              <w:t>·3</w:t>
            </w:r>
          </w:p>
        </w:tc>
      </w:tr>
      <w:tr w:rsidR="008C6AE1" w:rsidRPr="007A7515" w14:paraId="6870868E" w14:textId="77777777" w:rsidTr="006D278A">
        <w:trPr>
          <w:cantSplit/>
          <w:trHeight w:val="432"/>
          <w:jc w:val="center"/>
        </w:trPr>
        <w:tc>
          <w:tcPr>
            <w:tcW w:w="963" w:type="dxa"/>
            <w:vMerge/>
            <w:tcBorders>
              <w:left w:val="single" w:sz="8" w:space="0" w:color="auto"/>
              <w:right w:val="single" w:sz="8" w:space="0" w:color="auto"/>
            </w:tcBorders>
            <w:vAlign w:val="center"/>
          </w:tcPr>
          <w:p w14:paraId="57D62682" w14:textId="77777777" w:rsidR="008C6AE1" w:rsidRPr="007A7515" w:rsidRDefault="008C6AE1" w:rsidP="00B75E75">
            <w:pPr>
              <w:rPr>
                <w:rFonts w:asciiTheme="minorHAnsi" w:hAnsiTheme="minorHAnsi" w:cstheme="minorHAnsi"/>
                <w:sz w:val="24"/>
                <w:szCs w:val="24"/>
              </w:rPr>
            </w:pPr>
          </w:p>
        </w:tc>
        <w:tc>
          <w:tcPr>
            <w:tcW w:w="3857" w:type="dxa"/>
            <w:tcBorders>
              <w:left w:val="single" w:sz="8" w:space="0" w:color="auto"/>
              <w:right w:val="nil"/>
            </w:tcBorders>
            <w:vAlign w:val="center"/>
          </w:tcPr>
          <w:p w14:paraId="4D9039C5"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Grade of SPN</w:t>
            </w:r>
          </w:p>
        </w:tc>
        <w:tc>
          <w:tcPr>
            <w:tcW w:w="2454" w:type="dxa"/>
            <w:tcBorders>
              <w:left w:val="nil"/>
            </w:tcBorders>
            <w:vAlign w:val="center"/>
          </w:tcPr>
          <w:p w14:paraId="31050DAA"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0: </w:t>
            </w:r>
          </w:p>
          <w:p w14:paraId="29E9F718"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1: </w:t>
            </w:r>
          </w:p>
          <w:p w14:paraId="0FB9206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2: </w:t>
            </w:r>
          </w:p>
          <w:p w14:paraId="4C1BAF62"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3: </w:t>
            </w:r>
          </w:p>
          <w:p w14:paraId="5D24186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 xml:space="preserve">4: </w:t>
            </w:r>
          </w:p>
          <w:p w14:paraId="4CC8B3B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4AA2F88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3 (1%)</w:t>
            </w:r>
          </w:p>
          <w:p w14:paraId="692426D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12 (4%)</w:t>
            </w:r>
          </w:p>
          <w:p w14:paraId="2AF3900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63 (21%)</w:t>
            </w:r>
          </w:p>
          <w:p w14:paraId="5CE928A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223 (74%)</w:t>
            </w:r>
          </w:p>
          <w:p w14:paraId="77CA16F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0 (0%)</w:t>
            </w:r>
          </w:p>
          <w:p w14:paraId="1EDEE7D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10</w:t>
            </w:r>
          </w:p>
        </w:tc>
      </w:tr>
      <w:tr w:rsidR="008C6AE1" w:rsidRPr="007A7515" w14:paraId="0F8D570C" w14:textId="77777777" w:rsidTr="00377067">
        <w:trPr>
          <w:cantSplit/>
          <w:trHeight w:val="432"/>
          <w:jc w:val="center"/>
        </w:trPr>
        <w:tc>
          <w:tcPr>
            <w:tcW w:w="963" w:type="dxa"/>
            <w:vMerge/>
            <w:tcBorders>
              <w:left w:val="single" w:sz="8" w:space="0" w:color="auto"/>
              <w:right w:val="single" w:sz="8" w:space="0" w:color="auto"/>
            </w:tcBorders>
            <w:vAlign w:val="center"/>
          </w:tcPr>
          <w:p w14:paraId="3FE6EDEC" w14:textId="77777777" w:rsidR="008C6AE1" w:rsidRPr="007A7515" w:rsidRDefault="008C6AE1" w:rsidP="00B75E75">
            <w:pPr>
              <w:rPr>
                <w:rFonts w:asciiTheme="minorHAnsi" w:hAnsiTheme="minorHAnsi" w:cstheme="minorHAnsi"/>
                <w:sz w:val="24"/>
                <w:szCs w:val="24"/>
              </w:rPr>
            </w:pPr>
          </w:p>
        </w:tc>
        <w:tc>
          <w:tcPr>
            <w:tcW w:w="3857" w:type="dxa"/>
            <w:tcBorders>
              <w:left w:val="single" w:sz="8" w:space="0" w:color="auto"/>
              <w:right w:val="nil"/>
            </w:tcBorders>
            <w:vAlign w:val="center"/>
          </w:tcPr>
          <w:p w14:paraId="194245A3"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Radiologists Diagnosis of SPN</w:t>
            </w:r>
          </w:p>
        </w:tc>
        <w:tc>
          <w:tcPr>
            <w:tcW w:w="2454" w:type="dxa"/>
            <w:tcBorders>
              <w:left w:val="nil"/>
            </w:tcBorders>
            <w:vAlign w:val="center"/>
          </w:tcPr>
          <w:p w14:paraId="1E763BF5"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Cancer</w:t>
            </w:r>
          </w:p>
          <w:p w14:paraId="38E6F341"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Indeterminate</w:t>
            </w:r>
          </w:p>
          <w:p w14:paraId="0F0EE8DF"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Non-cancer</w:t>
            </w:r>
          </w:p>
          <w:p w14:paraId="4A0867D6"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Missing</w:t>
            </w:r>
          </w:p>
        </w:tc>
        <w:tc>
          <w:tcPr>
            <w:tcW w:w="1612" w:type="dxa"/>
            <w:tcBorders>
              <w:right w:val="single" w:sz="8" w:space="0" w:color="auto"/>
            </w:tcBorders>
            <w:vAlign w:val="center"/>
          </w:tcPr>
          <w:p w14:paraId="3F8458C1"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51 (17%)</w:t>
            </w:r>
          </w:p>
          <w:p w14:paraId="534DC00D"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227 (73%)</w:t>
            </w:r>
          </w:p>
          <w:p w14:paraId="68CD87B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31 (10%)</w:t>
            </w:r>
          </w:p>
          <w:p w14:paraId="2FDB6A64"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3</w:t>
            </w:r>
          </w:p>
        </w:tc>
      </w:tr>
      <w:tr w:rsidR="008C6AE1" w:rsidRPr="007A7515" w14:paraId="51556BF5" w14:textId="77777777" w:rsidTr="00377067">
        <w:trPr>
          <w:cantSplit/>
          <w:trHeight w:val="432"/>
          <w:jc w:val="center"/>
        </w:trPr>
        <w:tc>
          <w:tcPr>
            <w:tcW w:w="963" w:type="dxa"/>
            <w:vMerge/>
            <w:tcBorders>
              <w:left w:val="single" w:sz="8" w:space="0" w:color="auto"/>
              <w:right w:val="single" w:sz="8" w:space="0" w:color="auto"/>
            </w:tcBorders>
          </w:tcPr>
          <w:p w14:paraId="3C511D3C" w14:textId="77777777" w:rsidR="008C6AE1" w:rsidRPr="007A7515" w:rsidRDefault="008C6AE1" w:rsidP="00B75E75">
            <w:pPr>
              <w:rPr>
                <w:rFonts w:asciiTheme="minorHAnsi" w:hAnsiTheme="minorHAnsi" w:cstheme="minorHAnsi"/>
                <w:sz w:val="24"/>
                <w:szCs w:val="24"/>
              </w:rPr>
            </w:pPr>
          </w:p>
        </w:tc>
        <w:tc>
          <w:tcPr>
            <w:tcW w:w="3857" w:type="dxa"/>
            <w:tcBorders>
              <w:left w:val="single" w:sz="8" w:space="0" w:color="auto"/>
              <w:bottom w:val="single" w:sz="8" w:space="0" w:color="auto"/>
              <w:right w:val="nil"/>
            </w:tcBorders>
            <w:vAlign w:val="center"/>
          </w:tcPr>
          <w:p w14:paraId="0EDB5147" w14:textId="1B7B5305" w:rsidR="008C6AE1" w:rsidRPr="007A7515" w:rsidRDefault="008C6AE1" w:rsidP="002C35D2">
            <w:pPr>
              <w:rPr>
                <w:rFonts w:asciiTheme="minorHAnsi" w:hAnsiTheme="minorHAnsi" w:cstheme="minorHAnsi"/>
                <w:sz w:val="24"/>
                <w:szCs w:val="24"/>
              </w:rPr>
            </w:pPr>
            <w:r w:rsidRPr="007A7515">
              <w:rPr>
                <w:rFonts w:asciiTheme="minorHAnsi" w:hAnsiTheme="minorHAnsi" w:cstheme="minorHAnsi"/>
                <w:sz w:val="24"/>
                <w:szCs w:val="24"/>
              </w:rPr>
              <w:t>Diagnosis according to peak en</w:t>
            </w:r>
            <w:r w:rsidR="002C35D2" w:rsidRPr="007A7515">
              <w:rPr>
                <w:rFonts w:asciiTheme="minorHAnsi" w:hAnsiTheme="minorHAnsi" w:cstheme="minorHAnsi"/>
                <w:sz w:val="24"/>
                <w:szCs w:val="24"/>
              </w:rPr>
              <w:t>hancement ≥</w:t>
            </w:r>
            <w:r w:rsidRPr="007A7515">
              <w:rPr>
                <w:rFonts w:asciiTheme="minorHAnsi" w:hAnsiTheme="minorHAnsi" w:cstheme="minorHAnsi"/>
                <w:sz w:val="24"/>
                <w:szCs w:val="24"/>
              </w:rPr>
              <w:t>15</w:t>
            </w:r>
            <w:r w:rsidR="002C35D2" w:rsidRPr="007A7515">
              <w:rPr>
                <w:rFonts w:asciiTheme="minorHAnsi" w:hAnsiTheme="minorHAnsi" w:cstheme="minorHAnsi"/>
                <w:sz w:val="24"/>
                <w:szCs w:val="24"/>
              </w:rPr>
              <w:t>H</w:t>
            </w:r>
            <w:r w:rsidRPr="007A7515">
              <w:rPr>
                <w:rFonts w:asciiTheme="minorHAnsi" w:hAnsiTheme="minorHAnsi" w:cstheme="minorHAnsi"/>
                <w:sz w:val="24"/>
                <w:szCs w:val="24"/>
              </w:rPr>
              <w:t>U</w:t>
            </w:r>
          </w:p>
        </w:tc>
        <w:tc>
          <w:tcPr>
            <w:tcW w:w="2454" w:type="dxa"/>
            <w:tcBorders>
              <w:left w:val="nil"/>
              <w:bottom w:val="single" w:sz="8" w:space="0" w:color="auto"/>
            </w:tcBorders>
            <w:vAlign w:val="center"/>
          </w:tcPr>
          <w:p w14:paraId="0EC9D96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Cancer</w:t>
            </w:r>
          </w:p>
          <w:p w14:paraId="70A5F844"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Non-cancer</w:t>
            </w:r>
          </w:p>
        </w:tc>
        <w:tc>
          <w:tcPr>
            <w:tcW w:w="1612" w:type="dxa"/>
            <w:tcBorders>
              <w:bottom w:val="single" w:sz="8" w:space="0" w:color="auto"/>
              <w:right w:val="single" w:sz="8" w:space="0" w:color="auto"/>
            </w:tcBorders>
            <w:vAlign w:val="center"/>
          </w:tcPr>
          <w:p w14:paraId="2A323D38"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281 (90%)</w:t>
            </w:r>
          </w:p>
          <w:p w14:paraId="64635233"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31 (10%)</w:t>
            </w:r>
          </w:p>
        </w:tc>
      </w:tr>
      <w:tr w:rsidR="008C6AE1" w:rsidRPr="007A7515" w14:paraId="5A59F997" w14:textId="77777777" w:rsidTr="006D278A">
        <w:trPr>
          <w:cantSplit/>
          <w:trHeight w:val="432"/>
          <w:jc w:val="center"/>
        </w:trPr>
        <w:tc>
          <w:tcPr>
            <w:tcW w:w="963" w:type="dxa"/>
            <w:vMerge/>
            <w:tcBorders>
              <w:left w:val="single" w:sz="8" w:space="0" w:color="auto"/>
              <w:bottom w:val="single" w:sz="18" w:space="0" w:color="auto"/>
              <w:right w:val="single" w:sz="8" w:space="0" w:color="auto"/>
            </w:tcBorders>
          </w:tcPr>
          <w:p w14:paraId="551B7264" w14:textId="77777777" w:rsidR="008C6AE1" w:rsidRPr="007A7515" w:rsidRDefault="008C6AE1" w:rsidP="00B75E75">
            <w:pPr>
              <w:rPr>
                <w:rFonts w:asciiTheme="minorHAnsi" w:hAnsiTheme="minorHAnsi" w:cstheme="minorHAnsi"/>
                <w:sz w:val="24"/>
                <w:szCs w:val="24"/>
              </w:rPr>
            </w:pPr>
          </w:p>
        </w:tc>
        <w:tc>
          <w:tcPr>
            <w:tcW w:w="3857" w:type="dxa"/>
            <w:tcBorders>
              <w:top w:val="single" w:sz="8" w:space="0" w:color="auto"/>
              <w:left w:val="single" w:sz="8" w:space="0" w:color="auto"/>
              <w:bottom w:val="single" w:sz="18" w:space="0" w:color="auto"/>
              <w:right w:val="nil"/>
            </w:tcBorders>
            <w:vAlign w:val="center"/>
          </w:tcPr>
          <w:p w14:paraId="19003EBF" w14:textId="77777777" w:rsidR="008C6AE1" w:rsidRPr="007A7515" w:rsidRDefault="008C6AE1" w:rsidP="00B75E75">
            <w:pPr>
              <w:rPr>
                <w:rFonts w:asciiTheme="minorHAnsi" w:hAnsiTheme="minorHAnsi" w:cstheme="minorHAnsi"/>
                <w:sz w:val="24"/>
                <w:szCs w:val="24"/>
              </w:rPr>
            </w:pPr>
            <w:r w:rsidRPr="007A7515">
              <w:rPr>
                <w:rFonts w:asciiTheme="minorHAnsi" w:hAnsiTheme="minorHAnsi" w:cstheme="minorHAnsi"/>
                <w:sz w:val="24"/>
                <w:szCs w:val="24"/>
              </w:rPr>
              <w:t>Diagnosis according to peak enhancement ≥ 20 HU</w:t>
            </w:r>
          </w:p>
        </w:tc>
        <w:tc>
          <w:tcPr>
            <w:tcW w:w="2454" w:type="dxa"/>
            <w:tcBorders>
              <w:top w:val="single" w:sz="8" w:space="0" w:color="auto"/>
              <w:left w:val="nil"/>
              <w:bottom w:val="single" w:sz="18" w:space="0" w:color="auto"/>
            </w:tcBorders>
            <w:vAlign w:val="center"/>
          </w:tcPr>
          <w:p w14:paraId="3973E5C0"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Cancer</w:t>
            </w:r>
          </w:p>
          <w:p w14:paraId="2E41D1B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Non-cancer</w:t>
            </w:r>
          </w:p>
        </w:tc>
        <w:tc>
          <w:tcPr>
            <w:tcW w:w="1612" w:type="dxa"/>
            <w:tcBorders>
              <w:top w:val="single" w:sz="8" w:space="0" w:color="auto"/>
              <w:bottom w:val="single" w:sz="18" w:space="0" w:color="auto"/>
              <w:right w:val="single" w:sz="8" w:space="0" w:color="auto"/>
            </w:tcBorders>
            <w:vAlign w:val="center"/>
          </w:tcPr>
          <w:p w14:paraId="2E172097"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267 (86%)</w:t>
            </w:r>
          </w:p>
          <w:p w14:paraId="484A02CB" w14:textId="77777777" w:rsidR="008C6AE1" w:rsidRPr="007A7515" w:rsidRDefault="008C6AE1" w:rsidP="00B75E75">
            <w:pPr>
              <w:jc w:val="right"/>
              <w:rPr>
                <w:rFonts w:asciiTheme="minorHAnsi" w:hAnsiTheme="minorHAnsi" w:cstheme="minorHAnsi"/>
                <w:sz w:val="24"/>
                <w:szCs w:val="24"/>
              </w:rPr>
            </w:pPr>
            <w:r w:rsidRPr="007A7515">
              <w:rPr>
                <w:rFonts w:asciiTheme="minorHAnsi" w:hAnsiTheme="minorHAnsi" w:cstheme="minorHAnsi"/>
                <w:sz w:val="24"/>
                <w:szCs w:val="24"/>
              </w:rPr>
              <w:t>45 (14%)</w:t>
            </w:r>
          </w:p>
        </w:tc>
      </w:tr>
    </w:tbl>
    <w:p w14:paraId="4A43E789" w14:textId="77777777" w:rsidR="008C6AE1" w:rsidRPr="007A7515" w:rsidRDefault="008C6AE1" w:rsidP="008C6AE1">
      <w:pPr>
        <w:keepNext/>
        <w:keepLines/>
        <w:spacing w:line="312" w:lineRule="auto"/>
        <w:rPr>
          <w:rFonts w:asciiTheme="minorHAnsi" w:hAnsiTheme="minorHAnsi" w:cstheme="minorHAnsi"/>
          <w:b/>
          <w:sz w:val="24"/>
          <w:szCs w:val="24"/>
        </w:rPr>
      </w:pPr>
    </w:p>
    <w:p w14:paraId="370111C3" w14:textId="690DEE1E" w:rsidR="00F4186E" w:rsidRPr="00A016DA" w:rsidRDefault="00F4186E" w:rsidP="00F4186E">
      <w:pPr>
        <w:rPr>
          <w:rFonts w:asciiTheme="minorHAnsi" w:hAnsiTheme="minorHAnsi" w:cstheme="minorHAnsi"/>
          <w:bCs/>
          <w:sz w:val="24"/>
          <w:szCs w:val="24"/>
        </w:rPr>
      </w:pPr>
      <w:r w:rsidRPr="00A016DA">
        <w:rPr>
          <w:rFonts w:asciiTheme="minorHAnsi" w:hAnsiTheme="minorHAnsi" w:cstheme="minorHAnsi"/>
          <w:bCs/>
          <w:sz w:val="24"/>
          <w:szCs w:val="24"/>
        </w:rPr>
        <w:t xml:space="preserve">Abbreviations: SPN= solitary pulmonary nodule, CT= Computed tomography, </w:t>
      </w:r>
      <w:r w:rsidR="005E4C87" w:rsidRPr="00A016DA">
        <w:rPr>
          <w:rFonts w:asciiTheme="minorHAnsi" w:hAnsiTheme="minorHAnsi" w:cstheme="minorHAnsi"/>
          <w:bCs/>
          <w:sz w:val="24"/>
          <w:szCs w:val="24"/>
        </w:rPr>
        <w:t xml:space="preserve">DCE-CT= dynamic contrast-enhanced computed </w:t>
      </w:r>
      <w:proofErr w:type="gramStart"/>
      <w:r w:rsidR="005E4C87" w:rsidRPr="00A016DA">
        <w:rPr>
          <w:rFonts w:asciiTheme="minorHAnsi" w:hAnsiTheme="minorHAnsi" w:cstheme="minorHAnsi"/>
          <w:bCs/>
          <w:sz w:val="24"/>
          <w:szCs w:val="24"/>
        </w:rPr>
        <w:t>tomography ,</w:t>
      </w:r>
      <w:proofErr w:type="gramEnd"/>
      <w:r w:rsidR="005E4C87" w:rsidRPr="00A016DA">
        <w:rPr>
          <w:rFonts w:asciiTheme="minorHAnsi" w:hAnsiTheme="minorHAnsi" w:cstheme="minorHAnsi"/>
          <w:bCs/>
          <w:sz w:val="24"/>
          <w:szCs w:val="24"/>
        </w:rPr>
        <w:t xml:space="preserve"> PET/CT=18Fluorine Fluorodeoxyglucose Positron Emission Tomography/Computed Tomography, </w:t>
      </w:r>
      <w:proofErr w:type="spellStart"/>
      <w:r w:rsidRPr="00A016DA">
        <w:rPr>
          <w:rFonts w:asciiTheme="minorHAnsi" w:hAnsiTheme="minorHAnsi" w:cstheme="minorHAnsi"/>
          <w:bCs/>
          <w:sz w:val="24"/>
          <w:szCs w:val="24"/>
        </w:rPr>
        <w:t>SUVmax</w:t>
      </w:r>
      <w:proofErr w:type="spellEnd"/>
      <w:r w:rsidRPr="00A016DA">
        <w:rPr>
          <w:rFonts w:asciiTheme="minorHAnsi" w:hAnsiTheme="minorHAnsi" w:cstheme="minorHAnsi"/>
          <w:bCs/>
          <w:sz w:val="24"/>
          <w:szCs w:val="24"/>
        </w:rPr>
        <w:t xml:space="preserve">= maximum standardised uptake value, HU= Hounsfield unit. </w:t>
      </w:r>
    </w:p>
    <w:p w14:paraId="61EBD775" w14:textId="77777777" w:rsidR="00F4186E" w:rsidRPr="007A7515" w:rsidRDefault="00F4186E" w:rsidP="00F4186E">
      <w:pPr>
        <w:rPr>
          <w:rFonts w:asciiTheme="minorHAnsi" w:hAnsiTheme="minorHAnsi" w:cstheme="minorHAnsi"/>
          <w:b/>
          <w:sz w:val="24"/>
          <w:szCs w:val="24"/>
        </w:rPr>
      </w:pPr>
    </w:p>
    <w:p w14:paraId="552004A3" w14:textId="3F134932" w:rsidR="00427C66" w:rsidRPr="00A016DA" w:rsidRDefault="00427C66" w:rsidP="00E94B18">
      <w:pPr>
        <w:rPr>
          <w:rFonts w:asciiTheme="minorHAnsi" w:hAnsiTheme="minorHAnsi" w:cstheme="minorHAnsi"/>
          <w:sz w:val="24"/>
          <w:szCs w:val="24"/>
        </w:rPr>
        <w:sectPr w:rsidR="00427C66" w:rsidRPr="00A016DA" w:rsidSect="00317E34">
          <w:footerReference w:type="even" r:id="rId8"/>
          <w:footerReference w:type="default" r:id="rId9"/>
          <w:pgSz w:w="11906" w:h="16838"/>
          <w:pgMar w:top="1440" w:right="1440" w:bottom="1440" w:left="1440" w:header="709" w:footer="709" w:gutter="0"/>
          <w:cols w:space="708"/>
          <w:titlePg/>
          <w:docGrid w:linePitch="360"/>
        </w:sectPr>
      </w:pPr>
    </w:p>
    <w:tbl>
      <w:tblPr>
        <w:tblW w:w="151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60"/>
        <w:gridCol w:w="3827"/>
        <w:gridCol w:w="1935"/>
        <w:gridCol w:w="1936"/>
        <w:gridCol w:w="1936"/>
        <w:gridCol w:w="1936"/>
        <w:gridCol w:w="1936"/>
        <w:gridCol w:w="36"/>
      </w:tblGrid>
      <w:tr w:rsidR="00DA71DD" w:rsidRPr="007A7515" w14:paraId="7C5B7021" w14:textId="77777777" w:rsidTr="00610ABB">
        <w:trPr>
          <w:trHeight w:val="576"/>
          <w:jc w:val="center"/>
        </w:trPr>
        <w:tc>
          <w:tcPr>
            <w:tcW w:w="15102" w:type="dxa"/>
            <w:gridSpan w:val="8"/>
            <w:tcBorders>
              <w:top w:val="nil"/>
              <w:left w:val="nil"/>
              <w:right w:val="nil"/>
            </w:tcBorders>
            <w:vAlign w:val="center"/>
          </w:tcPr>
          <w:p w14:paraId="774A66EC" w14:textId="77777777" w:rsidR="00DA71DD" w:rsidRPr="007A7515" w:rsidRDefault="00DA71DD" w:rsidP="00610ABB">
            <w:pPr>
              <w:keepNext/>
              <w:keepLines/>
              <w:spacing w:line="312" w:lineRule="auto"/>
              <w:rPr>
                <w:rFonts w:asciiTheme="minorHAnsi" w:hAnsiTheme="minorHAnsi" w:cstheme="minorHAnsi"/>
                <w:b/>
                <w:sz w:val="24"/>
                <w:szCs w:val="24"/>
              </w:rPr>
            </w:pPr>
            <w:r w:rsidRPr="007A7515">
              <w:rPr>
                <w:rFonts w:asciiTheme="minorHAnsi" w:hAnsiTheme="minorHAnsi" w:cstheme="minorHAnsi"/>
                <w:b/>
                <w:sz w:val="24"/>
                <w:szCs w:val="24"/>
              </w:rPr>
              <w:lastRenderedPageBreak/>
              <w:t xml:space="preserve">Table 4: </w:t>
            </w:r>
            <w:r w:rsidRPr="007A7515">
              <w:rPr>
                <w:rFonts w:asciiTheme="minorHAnsi" w:hAnsiTheme="minorHAnsi" w:cstheme="minorHAnsi"/>
                <w:sz w:val="24"/>
                <w:szCs w:val="24"/>
              </w:rPr>
              <w:t>Diagnostic performance of each Imaging technique using the predefined thresholds (N=312)</w:t>
            </w:r>
          </w:p>
        </w:tc>
      </w:tr>
      <w:tr w:rsidR="00DA71DD" w:rsidRPr="007A7515" w14:paraId="121EB5F8" w14:textId="77777777" w:rsidTr="00A953C0">
        <w:trPr>
          <w:gridAfter w:val="1"/>
          <w:wAfter w:w="36" w:type="dxa"/>
          <w:trHeight w:val="547"/>
          <w:jc w:val="center"/>
        </w:trPr>
        <w:tc>
          <w:tcPr>
            <w:tcW w:w="1560" w:type="dxa"/>
            <w:tcBorders>
              <w:top w:val="single" w:sz="18" w:space="0" w:color="auto"/>
              <w:left w:val="single" w:sz="18" w:space="0" w:color="auto"/>
              <w:bottom w:val="single" w:sz="18" w:space="0" w:color="auto"/>
            </w:tcBorders>
            <w:shd w:val="clear" w:color="auto" w:fill="D9D9D9" w:themeFill="background1" w:themeFillShade="D9"/>
          </w:tcPr>
          <w:p w14:paraId="5AE9A0B1" w14:textId="77777777" w:rsidR="00DA71DD" w:rsidRPr="007A7515" w:rsidRDefault="00DA71DD" w:rsidP="00610ABB">
            <w:pPr>
              <w:keepNext/>
              <w:keepLines/>
              <w:spacing w:line="312" w:lineRule="auto"/>
              <w:jc w:val="both"/>
              <w:rPr>
                <w:rFonts w:asciiTheme="minorHAnsi" w:hAnsiTheme="minorHAnsi" w:cstheme="minorHAnsi"/>
                <w:b/>
                <w:sz w:val="24"/>
                <w:szCs w:val="24"/>
              </w:rPr>
            </w:pPr>
          </w:p>
        </w:tc>
        <w:tc>
          <w:tcPr>
            <w:tcW w:w="3827" w:type="dxa"/>
            <w:tcBorders>
              <w:top w:val="single" w:sz="18" w:space="0" w:color="auto"/>
              <w:left w:val="single" w:sz="18" w:space="0" w:color="auto"/>
              <w:bottom w:val="single" w:sz="18" w:space="0" w:color="auto"/>
            </w:tcBorders>
            <w:shd w:val="clear" w:color="auto" w:fill="D9D9D9" w:themeFill="background1" w:themeFillShade="D9"/>
            <w:vAlign w:val="center"/>
          </w:tcPr>
          <w:p w14:paraId="4FC68622" w14:textId="77777777" w:rsidR="00DA71DD" w:rsidRPr="007A7515" w:rsidRDefault="00DA71DD" w:rsidP="00610ABB">
            <w:pPr>
              <w:keepNext/>
              <w:keepLines/>
              <w:spacing w:line="312" w:lineRule="auto"/>
              <w:jc w:val="both"/>
              <w:rPr>
                <w:rFonts w:asciiTheme="minorHAnsi" w:hAnsiTheme="minorHAnsi" w:cstheme="minorHAnsi"/>
                <w:b/>
                <w:sz w:val="24"/>
                <w:szCs w:val="24"/>
              </w:rPr>
            </w:pPr>
            <w:r w:rsidRPr="007A7515">
              <w:rPr>
                <w:rFonts w:asciiTheme="minorHAnsi" w:hAnsiTheme="minorHAnsi" w:cstheme="minorHAnsi"/>
                <w:b/>
                <w:sz w:val="24"/>
                <w:szCs w:val="24"/>
              </w:rPr>
              <w:t>Imaging Technique</w:t>
            </w:r>
          </w:p>
        </w:tc>
        <w:tc>
          <w:tcPr>
            <w:tcW w:w="1935" w:type="dxa"/>
            <w:tcBorders>
              <w:top w:val="single" w:sz="18" w:space="0" w:color="auto"/>
              <w:bottom w:val="single" w:sz="18" w:space="0" w:color="auto"/>
            </w:tcBorders>
            <w:shd w:val="clear" w:color="auto" w:fill="D9D9D9" w:themeFill="background1" w:themeFillShade="D9"/>
            <w:vAlign w:val="center"/>
          </w:tcPr>
          <w:p w14:paraId="0E14AC68"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 xml:space="preserve">Sensitivity </w:t>
            </w:r>
          </w:p>
          <w:p w14:paraId="4A26D464"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936" w:type="dxa"/>
            <w:tcBorders>
              <w:top w:val="single" w:sz="18" w:space="0" w:color="auto"/>
              <w:bottom w:val="single" w:sz="18" w:space="0" w:color="auto"/>
            </w:tcBorders>
            <w:shd w:val="clear" w:color="auto" w:fill="D9D9D9" w:themeFill="background1" w:themeFillShade="D9"/>
            <w:vAlign w:val="center"/>
          </w:tcPr>
          <w:p w14:paraId="4EAEEC86"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Specificity</w:t>
            </w:r>
          </w:p>
          <w:p w14:paraId="27B4B59C"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936" w:type="dxa"/>
            <w:tcBorders>
              <w:top w:val="single" w:sz="18" w:space="0" w:color="auto"/>
              <w:bottom w:val="single" w:sz="18" w:space="0" w:color="auto"/>
            </w:tcBorders>
            <w:shd w:val="clear" w:color="auto" w:fill="D9D9D9" w:themeFill="background1" w:themeFillShade="D9"/>
          </w:tcPr>
          <w:p w14:paraId="5AA7EED9"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Negative Predictive value (95% CI)</w:t>
            </w:r>
          </w:p>
        </w:tc>
        <w:tc>
          <w:tcPr>
            <w:tcW w:w="1936" w:type="dxa"/>
            <w:tcBorders>
              <w:top w:val="single" w:sz="18" w:space="0" w:color="auto"/>
              <w:bottom w:val="single" w:sz="18" w:space="0" w:color="auto"/>
            </w:tcBorders>
            <w:shd w:val="clear" w:color="auto" w:fill="D9D9D9" w:themeFill="background1" w:themeFillShade="D9"/>
          </w:tcPr>
          <w:p w14:paraId="7782D81D"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Positive Predictive value</w:t>
            </w:r>
          </w:p>
          <w:p w14:paraId="71A9D634"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936" w:type="dxa"/>
            <w:tcBorders>
              <w:top w:val="single" w:sz="18" w:space="0" w:color="auto"/>
              <w:bottom w:val="single" w:sz="18" w:space="0" w:color="auto"/>
              <w:right w:val="single" w:sz="18" w:space="0" w:color="auto"/>
            </w:tcBorders>
            <w:shd w:val="clear" w:color="auto" w:fill="D9D9D9" w:themeFill="background1" w:themeFillShade="D9"/>
          </w:tcPr>
          <w:p w14:paraId="1B8B8AE5"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 xml:space="preserve">Overall Diagnostic Accuracy </w:t>
            </w:r>
          </w:p>
          <w:p w14:paraId="535C2C5C" w14:textId="77777777" w:rsidR="00DA71DD" w:rsidRPr="007A7515" w:rsidRDefault="00DA71DD" w:rsidP="00A953C0">
            <w:pPr>
              <w:keepNext/>
              <w:keepLines/>
              <w:spacing w:line="312" w:lineRule="auto"/>
              <w:jc w:val="right"/>
              <w:rPr>
                <w:rFonts w:asciiTheme="minorHAnsi" w:hAnsiTheme="minorHAnsi" w:cstheme="minorHAnsi"/>
                <w:b/>
                <w:sz w:val="24"/>
                <w:szCs w:val="24"/>
              </w:rPr>
            </w:pPr>
            <w:r w:rsidRPr="007A7515">
              <w:rPr>
                <w:rFonts w:asciiTheme="minorHAnsi" w:hAnsiTheme="minorHAnsi" w:cstheme="minorHAnsi"/>
                <w:b/>
                <w:sz w:val="24"/>
                <w:szCs w:val="24"/>
              </w:rPr>
              <w:t>(95% CI)</w:t>
            </w:r>
          </w:p>
        </w:tc>
      </w:tr>
      <w:tr w:rsidR="00DA71DD" w:rsidRPr="007A7515" w14:paraId="044AB44A" w14:textId="77777777" w:rsidTr="00AE42AC">
        <w:trPr>
          <w:gridAfter w:val="1"/>
          <w:wAfter w:w="36" w:type="dxa"/>
          <w:jc w:val="center"/>
        </w:trPr>
        <w:tc>
          <w:tcPr>
            <w:tcW w:w="1560" w:type="dxa"/>
            <w:vMerge w:val="restart"/>
            <w:tcBorders>
              <w:left w:val="single" w:sz="18" w:space="0" w:color="auto"/>
            </w:tcBorders>
            <w:vAlign w:val="center"/>
          </w:tcPr>
          <w:p w14:paraId="3F3797D4" w14:textId="77777777" w:rsidR="00DA71DD" w:rsidRPr="007A7515" w:rsidRDefault="00DA71DD" w:rsidP="00610ABB">
            <w:pPr>
              <w:keepNext/>
              <w:keepLines/>
              <w:spacing w:line="312" w:lineRule="auto"/>
              <w:rPr>
                <w:rFonts w:asciiTheme="minorHAnsi" w:hAnsiTheme="minorHAnsi" w:cstheme="minorHAnsi"/>
                <w:b/>
                <w:sz w:val="24"/>
                <w:szCs w:val="24"/>
              </w:rPr>
            </w:pPr>
            <w:r w:rsidRPr="007A7515">
              <w:rPr>
                <w:rFonts w:asciiTheme="minorHAnsi" w:hAnsiTheme="minorHAnsi" w:cstheme="minorHAnsi"/>
                <w:b/>
                <w:sz w:val="24"/>
                <w:szCs w:val="24"/>
              </w:rPr>
              <w:t>Primary Outcomes</w:t>
            </w:r>
          </w:p>
        </w:tc>
        <w:tc>
          <w:tcPr>
            <w:tcW w:w="3827" w:type="dxa"/>
            <w:tcBorders>
              <w:left w:val="single" w:sz="18" w:space="0" w:color="auto"/>
            </w:tcBorders>
            <w:vAlign w:val="center"/>
          </w:tcPr>
          <w:p w14:paraId="52C86459" w14:textId="77777777"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 xml:space="preserve">DCE-CT </w:t>
            </w:r>
          </w:p>
          <w:p w14:paraId="6CBE9D58" w14:textId="1655956D"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w:t>
            </w:r>
            <w:r w:rsidR="005E4C87" w:rsidRPr="007A7515">
              <w:rPr>
                <w:rFonts w:asciiTheme="minorHAnsi" w:hAnsiTheme="minorHAnsi" w:cstheme="minorHAnsi"/>
                <w:sz w:val="24"/>
                <w:szCs w:val="24"/>
              </w:rPr>
              <w:t xml:space="preserve">Peak </w:t>
            </w:r>
            <w:r w:rsidRPr="007A7515">
              <w:rPr>
                <w:rFonts w:asciiTheme="minorHAnsi" w:hAnsiTheme="minorHAnsi" w:cstheme="minorHAnsi"/>
                <w:sz w:val="24"/>
                <w:szCs w:val="24"/>
              </w:rPr>
              <w:t>enhancement ≥ 20)</w:t>
            </w:r>
          </w:p>
        </w:tc>
        <w:tc>
          <w:tcPr>
            <w:tcW w:w="1935" w:type="dxa"/>
            <w:vAlign w:val="center"/>
          </w:tcPr>
          <w:p w14:paraId="67A73233"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 xml:space="preserve">182/191 - 95·3% </w:t>
            </w:r>
          </w:p>
          <w:p w14:paraId="143DCAD6"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(91·3% to 97·5%)</w:t>
            </w:r>
          </w:p>
        </w:tc>
        <w:tc>
          <w:tcPr>
            <w:tcW w:w="1936" w:type="dxa"/>
          </w:tcPr>
          <w:p w14:paraId="219B3455"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36/121 - 29·8%</w:t>
            </w:r>
          </w:p>
          <w:p w14:paraId="5A336A62"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(22·3% to 38·4%)</w:t>
            </w:r>
          </w:p>
        </w:tc>
        <w:tc>
          <w:tcPr>
            <w:tcW w:w="1936" w:type="dxa"/>
          </w:tcPr>
          <w:p w14:paraId="018512B6"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36/45 - 80·0%</w:t>
            </w:r>
          </w:p>
          <w:p w14:paraId="692B932D"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(66·2% to 89·1%)</w:t>
            </w:r>
          </w:p>
        </w:tc>
        <w:tc>
          <w:tcPr>
            <w:tcW w:w="1936" w:type="dxa"/>
          </w:tcPr>
          <w:p w14:paraId="47BA14FE"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182/267 - 68·2%</w:t>
            </w:r>
          </w:p>
          <w:p w14:paraId="48C42BF0"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(62·4% to 73·5%)</w:t>
            </w:r>
          </w:p>
        </w:tc>
        <w:tc>
          <w:tcPr>
            <w:tcW w:w="1936" w:type="dxa"/>
            <w:tcBorders>
              <w:right w:val="single" w:sz="18" w:space="0" w:color="auto"/>
            </w:tcBorders>
          </w:tcPr>
          <w:p w14:paraId="28D683F6"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218/312 – 69·9%</w:t>
            </w:r>
          </w:p>
          <w:p w14:paraId="48912BD0"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(64·6% to 74·7%)</w:t>
            </w:r>
          </w:p>
        </w:tc>
      </w:tr>
      <w:tr w:rsidR="00DA71DD" w:rsidRPr="007A7515" w14:paraId="3D1D22B3" w14:textId="77777777" w:rsidTr="00AE42AC">
        <w:trPr>
          <w:gridAfter w:val="1"/>
          <w:wAfter w:w="36" w:type="dxa"/>
          <w:jc w:val="center"/>
        </w:trPr>
        <w:tc>
          <w:tcPr>
            <w:tcW w:w="1560" w:type="dxa"/>
            <w:vMerge/>
            <w:tcBorders>
              <w:left w:val="single" w:sz="18" w:space="0" w:color="auto"/>
              <w:bottom w:val="single" w:sz="18" w:space="0" w:color="auto"/>
            </w:tcBorders>
            <w:vAlign w:val="center"/>
          </w:tcPr>
          <w:p w14:paraId="40F339AC" w14:textId="77777777" w:rsidR="00DA71DD" w:rsidRPr="007A7515" w:rsidRDefault="00DA71DD" w:rsidP="00610ABB">
            <w:pPr>
              <w:keepNext/>
              <w:keepLines/>
              <w:spacing w:line="312" w:lineRule="auto"/>
              <w:rPr>
                <w:rFonts w:asciiTheme="minorHAnsi" w:hAnsiTheme="minorHAnsi" w:cstheme="minorHAnsi"/>
                <w:b/>
                <w:sz w:val="24"/>
                <w:szCs w:val="24"/>
              </w:rPr>
            </w:pPr>
          </w:p>
        </w:tc>
        <w:tc>
          <w:tcPr>
            <w:tcW w:w="3827" w:type="dxa"/>
            <w:tcBorders>
              <w:left w:val="single" w:sz="18" w:space="0" w:color="auto"/>
              <w:bottom w:val="single" w:sz="18" w:space="0" w:color="auto"/>
            </w:tcBorders>
            <w:vAlign w:val="center"/>
          </w:tcPr>
          <w:p w14:paraId="4DF85D91" w14:textId="77777777"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PET/CT</w:t>
            </w:r>
          </w:p>
          <w:p w14:paraId="4C2A5499" w14:textId="77777777"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(Based on PET and CT grading)</w:t>
            </w:r>
          </w:p>
        </w:tc>
        <w:tc>
          <w:tcPr>
            <w:tcW w:w="1935" w:type="dxa"/>
            <w:tcBorders>
              <w:bottom w:val="single" w:sz="18" w:space="0" w:color="auto"/>
            </w:tcBorders>
            <w:vAlign w:val="center"/>
          </w:tcPr>
          <w:p w14:paraId="0EFC5205" w14:textId="77777777" w:rsidR="00DA71DD" w:rsidRPr="007A7515" w:rsidRDefault="00DA71DD" w:rsidP="00A953C0">
            <w:pPr>
              <w:keepNext/>
              <w:keepLines/>
              <w:spacing w:line="340" w:lineRule="exact"/>
              <w:jc w:val="right"/>
              <w:rPr>
                <w:rFonts w:asciiTheme="minorHAnsi" w:hAnsiTheme="minorHAnsi" w:cs="Arial"/>
                <w:sz w:val="24"/>
                <w:szCs w:val="24"/>
              </w:rPr>
            </w:pPr>
            <w:r w:rsidRPr="007A7515">
              <w:rPr>
                <w:rFonts w:asciiTheme="minorHAnsi" w:hAnsiTheme="minorHAnsi" w:cs="Arial"/>
                <w:sz w:val="24"/>
                <w:szCs w:val="24"/>
              </w:rPr>
              <w:t>151/191 – 79·1%</w:t>
            </w:r>
          </w:p>
          <w:p w14:paraId="00E33488"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(72·7% to 84·2%)</w:t>
            </w:r>
            <w:r w:rsidRPr="007A7515">
              <w:rPr>
                <w:rFonts w:asciiTheme="minorHAnsi" w:hAnsiTheme="minorHAnsi"/>
                <w:sz w:val="24"/>
                <w:szCs w:val="24"/>
              </w:rPr>
              <w:t xml:space="preserve"> </w:t>
            </w:r>
          </w:p>
        </w:tc>
        <w:tc>
          <w:tcPr>
            <w:tcW w:w="1936" w:type="dxa"/>
            <w:tcBorders>
              <w:bottom w:val="single" w:sz="18" w:space="0" w:color="auto"/>
            </w:tcBorders>
            <w:vAlign w:val="center"/>
          </w:tcPr>
          <w:p w14:paraId="2762E70D" w14:textId="77777777" w:rsidR="00DA71DD" w:rsidRPr="007A7515" w:rsidRDefault="00DA71DD" w:rsidP="00A953C0">
            <w:pPr>
              <w:keepNext/>
              <w:keepLines/>
              <w:spacing w:line="340" w:lineRule="exact"/>
              <w:jc w:val="right"/>
              <w:rPr>
                <w:rFonts w:asciiTheme="minorHAnsi" w:hAnsiTheme="minorHAnsi" w:cs="Arial"/>
                <w:sz w:val="24"/>
                <w:szCs w:val="24"/>
              </w:rPr>
            </w:pPr>
            <w:r w:rsidRPr="007A7515">
              <w:rPr>
                <w:rFonts w:asciiTheme="minorHAnsi" w:hAnsiTheme="minorHAnsi" w:cs="Arial"/>
                <w:sz w:val="24"/>
                <w:szCs w:val="24"/>
              </w:rPr>
              <w:t>99/121 – 81·8%</w:t>
            </w:r>
          </w:p>
          <w:p w14:paraId="1846A68F"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(74·0% to 87·7%)</w:t>
            </w:r>
          </w:p>
        </w:tc>
        <w:tc>
          <w:tcPr>
            <w:tcW w:w="1936" w:type="dxa"/>
            <w:tcBorders>
              <w:bottom w:val="single" w:sz="18" w:space="0" w:color="auto"/>
            </w:tcBorders>
            <w:vAlign w:val="center"/>
          </w:tcPr>
          <w:p w14:paraId="697069D7" w14:textId="77777777" w:rsidR="00DA71DD" w:rsidRPr="007A7515" w:rsidRDefault="00DA71DD" w:rsidP="00A953C0">
            <w:pPr>
              <w:keepNext/>
              <w:keepLines/>
              <w:spacing w:line="340" w:lineRule="exact"/>
              <w:jc w:val="right"/>
              <w:rPr>
                <w:rFonts w:asciiTheme="minorHAnsi" w:hAnsiTheme="minorHAnsi" w:cs="Arial"/>
                <w:sz w:val="24"/>
                <w:szCs w:val="24"/>
              </w:rPr>
            </w:pPr>
            <w:r w:rsidRPr="007A7515">
              <w:rPr>
                <w:rFonts w:asciiTheme="minorHAnsi" w:hAnsiTheme="minorHAnsi" w:cs="Arial"/>
                <w:sz w:val="24"/>
                <w:szCs w:val="24"/>
              </w:rPr>
              <w:t>99/139 – 71·2%</w:t>
            </w:r>
          </w:p>
          <w:p w14:paraId="189953E8"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(63·2% to 78·1%)</w:t>
            </w:r>
          </w:p>
        </w:tc>
        <w:tc>
          <w:tcPr>
            <w:tcW w:w="1936" w:type="dxa"/>
            <w:tcBorders>
              <w:bottom w:val="single" w:sz="18" w:space="0" w:color="auto"/>
            </w:tcBorders>
            <w:vAlign w:val="center"/>
          </w:tcPr>
          <w:p w14:paraId="4D34B190" w14:textId="77777777" w:rsidR="00DA71DD" w:rsidRPr="007A7515" w:rsidRDefault="00DA71DD" w:rsidP="00A953C0">
            <w:pPr>
              <w:keepNext/>
              <w:keepLines/>
              <w:spacing w:line="340" w:lineRule="exact"/>
              <w:jc w:val="right"/>
              <w:rPr>
                <w:rFonts w:asciiTheme="minorHAnsi" w:hAnsiTheme="minorHAnsi" w:cs="Arial"/>
                <w:sz w:val="24"/>
                <w:szCs w:val="24"/>
              </w:rPr>
            </w:pPr>
            <w:r w:rsidRPr="007A7515">
              <w:rPr>
                <w:rFonts w:asciiTheme="minorHAnsi" w:hAnsiTheme="minorHAnsi" w:cs="Arial"/>
                <w:sz w:val="24"/>
                <w:szCs w:val="24"/>
              </w:rPr>
              <w:t>151/173 – 87·3%</w:t>
            </w:r>
          </w:p>
          <w:p w14:paraId="798CC9AF"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(81·5% to 91·5%)</w:t>
            </w:r>
          </w:p>
        </w:tc>
        <w:tc>
          <w:tcPr>
            <w:tcW w:w="1936" w:type="dxa"/>
            <w:tcBorders>
              <w:bottom w:val="single" w:sz="18" w:space="0" w:color="auto"/>
              <w:right w:val="single" w:sz="18" w:space="0" w:color="auto"/>
            </w:tcBorders>
            <w:vAlign w:val="center"/>
          </w:tcPr>
          <w:p w14:paraId="29223FC1" w14:textId="77777777" w:rsidR="00DA71DD" w:rsidRPr="007A7515" w:rsidRDefault="00DA71DD" w:rsidP="00A953C0">
            <w:pPr>
              <w:keepNext/>
              <w:keepLines/>
              <w:spacing w:line="340" w:lineRule="exact"/>
              <w:jc w:val="right"/>
              <w:rPr>
                <w:rFonts w:asciiTheme="minorHAnsi" w:hAnsiTheme="minorHAnsi" w:cs="Arial"/>
                <w:sz w:val="24"/>
                <w:szCs w:val="24"/>
              </w:rPr>
            </w:pPr>
            <w:r w:rsidRPr="007A7515">
              <w:rPr>
                <w:rFonts w:asciiTheme="minorHAnsi" w:hAnsiTheme="minorHAnsi" w:cs="Arial"/>
                <w:sz w:val="24"/>
                <w:szCs w:val="24"/>
              </w:rPr>
              <w:t>250/312 – 80·1%</w:t>
            </w:r>
          </w:p>
          <w:p w14:paraId="21F48849"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(75·4% to 84·2%)</w:t>
            </w:r>
          </w:p>
        </w:tc>
      </w:tr>
      <w:tr w:rsidR="00DA71DD" w:rsidRPr="007A7515" w14:paraId="20DDA2EC" w14:textId="77777777" w:rsidTr="00AE42AC">
        <w:trPr>
          <w:gridAfter w:val="1"/>
          <w:wAfter w:w="36" w:type="dxa"/>
          <w:jc w:val="center"/>
        </w:trPr>
        <w:tc>
          <w:tcPr>
            <w:tcW w:w="1560" w:type="dxa"/>
            <w:vMerge w:val="restart"/>
            <w:tcBorders>
              <w:top w:val="single" w:sz="18" w:space="0" w:color="auto"/>
              <w:left w:val="single" w:sz="18" w:space="0" w:color="auto"/>
            </w:tcBorders>
            <w:vAlign w:val="center"/>
          </w:tcPr>
          <w:p w14:paraId="21C90020" w14:textId="77777777" w:rsidR="00DA71DD" w:rsidRPr="007A7515" w:rsidRDefault="00DA71DD" w:rsidP="00610ABB">
            <w:pPr>
              <w:keepNext/>
              <w:keepLines/>
              <w:spacing w:line="312" w:lineRule="auto"/>
              <w:rPr>
                <w:rFonts w:asciiTheme="minorHAnsi" w:hAnsiTheme="minorHAnsi" w:cstheme="minorHAnsi"/>
                <w:b/>
                <w:sz w:val="24"/>
                <w:szCs w:val="24"/>
              </w:rPr>
            </w:pPr>
            <w:r w:rsidRPr="007A7515">
              <w:rPr>
                <w:rFonts w:asciiTheme="minorHAnsi" w:hAnsiTheme="minorHAnsi" w:cstheme="minorHAnsi"/>
                <w:b/>
                <w:sz w:val="24"/>
                <w:szCs w:val="24"/>
              </w:rPr>
              <w:t>Secondary Outcomes</w:t>
            </w:r>
          </w:p>
        </w:tc>
        <w:tc>
          <w:tcPr>
            <w:tcW w:w="3827" w:type="dxa"/>
            <w:tcBorders>
              <w:left w:val="single" w:sz="18" w:space="0" w:color="auto"/>
              <w:bottom w:val="single" w:sz="18" w:space="0" w:color="auto"/>
            </w:tcBorders>
            <w:vAlign w:val="center"/>
          </w:tcPr>
          <w:p w14:paraId="37168FF6" w14:textId="77777777"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PET/CT (N=310)</w:t>
            </w:r>
          </w:p>
          <w:p w14:paraId="779D9D04" w14:textId="77777777"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(Based on an SUV maximum ≥ 2·5)</w:t>
            </w:r>
          </w:p>
        </w:tc>
        <w:tc>
          <w:tcPr>
            <w:tcW w:w="1935" w:type="dxa"/>
            <w:tcBorders>
              <w:bottom w:val="single" w:sz="18" w:space="0" w:color="auto"/>
            </w:tcBorders>
            <w:vAlign w:val="center"/>
          </w:tcPr>
          <w:p w14:paraId="749D9BAF"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146/191 – 76·4%</w:t>
            </w:r>
          </w:p>
          <w:p w14:paraId="5D6A84E1"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(69·9% to 81·9%)</w:t>
            </w:r>
          </w:p>
        </w:tc>
        <w:tc>
          <w:tcPr>
            <w:tcW w:w="1936" w:type="dxa"/>
            <w:tcBorders>
              <w:bottom w:val="single" w:sz="18" w:space="0" w:color="auto"/>
            </w:tcBorders>
            <w:vAlign w:val="center"/>
          </w:tcPr>
          <w:p w14:paraId="5A7892C3"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97/119 – 81·5%</w:t>
            </w:r>
          </w:p>
          <w:p w14:paraId="5EA339AD"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(73·6% to 87·5%)</w:t>
            </w:r>
          </w:p>
        </w:tc>
        <w:tc>
          <w:tcPr>
            <w:tcW w:w="1936" w:type="dxa"/>
            <w:tcBorders>
              <w:bottom w:val="single" w:sz="18" w:space="0" w:color="auto"/>
            </w:tcBorders>
            <w:vAlign w:val="center"/>
          </w:tcPr>
          <w:p w14:paraId="36E87ED6"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97/142 – 68·3%</w:t>
            </w:r>
          </w:p>
          <w:p w14:paraId="10569B2E"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(60·3% to 75·4%)</w:t>
            </w:r>
          </w:p>
        </w:tc>
        <w:tc>
          <w:tcPr>
            <w:tcW w:w="1936" w:type="dxa"/>
            <w:tcBorders>
              <w:bottom w:val="single" w:sz="18" w:space="0" w:color="auto"/>
            </w:tcBorders>
            <w:vAlign w:val="center"/>
          </w:tcPr>
          <w:p w14:paraId="658BF978"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146/168 – 86·9%</w:t>
            </w:r>
          </w:p>
          <w:p w14:paraId="45EE4E8E"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(81·0% to 91·2%)</w:t>
            </w:r>
          </w:p>
        </w:tc>
        <w:tc>
          <w:tcPr>
            <w:tcW w:w="1936" w:type="dxa"/>
            <w:tcBorders>
              <w:bottom w:val="single" w:sz="18" w:space="0" w:color="auto"/>
              <w:right w:val="single" w:sz="18" w:space="0" w:color="auto"/>
            </w:tcBorders>
            <w:vAlign w:val="center"/>
          </w:tcPr>
          <w:p w14:paraId="62486EE2"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243/310 – 78·4%</w:t>
            </w:r>
          </w:p>
          <w:p w14:paraId="0FD2B104"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(73·5% to 82·6%)</w:t>
            </w:r>
          </w:p>
        </w:tc>
      </w:tr>
      <w:tr w:rsidR="00DA71DD" w:rsidRPr="007A7515" w14:paraId="366C2C3A" w14:textId="77777777" w:rsidTr="00AE42AC">
        <w:trPr>
          <w:gridAfter w:val="1"/>
          <w:wAfter w:w="36" w:type="dxa"/>
          <w:jc w:val="center"/>
        </w:trPr>
        <w:tc>
          <w:tcPr>
            <w:tcW w:w="1560" w:type="dxa"/>
            <w:vMerge/>
            <w:tcBorders>
              <w:left w:val="single" w:sz="18" w:space="0" w:color="auto"/>
              <w:bottom w:val="single" w:sz="18" w:space="0" w:color="auto"/>
            </w:tcBorders>
            <w:vAlign w:val="center"/>
          </w:tcPr>
          <w:p w14:paraId="71C0019C" w14:textId="77777777" w:rsidR="00DA71DD" w:rsidRPr="007A7515" w:rsidRDefault="00DA71DD" w:rsidP="00610ABB">
            <w:pPr>
              <w:keepNext/>
              <w:keepLines/>
              <w:spacing w:line="312" w:lineRule="auto"/>
              <w:rPr>
                <w:rFonts w:asciiTheme="minorHAnsi" w:hAnsiTheme="minorHAnsi" w:cstheme="minorHAnsi"/>
                <w:b/>
                <w:sz w:val="24"/>
                <w:szCs w:val="24"/>
              </w:rPr>
            </w:pPr>
          </w:p>
        </w:tc>
        <w:tc>
          <w:tcPr>
            <w:tcW w:w="3827" w:type="dxa"/>
            <w:tcBorders>
              <w:top w:val="single" w:sz="18" w:space="0" w:color="auto"/>
              <w:left w:val="single" w:sz="18" w:space="0" w:color="auto"/>
              <w:bottom w:val="single" w:sz="18" w:space="0" w:color="auto"/>
            </w:tcBorders>
            <w:vAlign w:val="center"/>
          </w:tcPr>
          <w:p w14:paraId="6E0AC19E" w14:textId="77777777" w:rsidR="00DA71DD" w:rsidRPr="007A7515" w:rsidRDefault="00DA71DD" w:rsidP="00AE42AC">
            <w:pPr>
              <w:keepNext/>
              <w:keepLines/>
              <w:spacing w:line="312" w:lineRule="auto"/>
              <w:rPr>
                <w:rFonts w:asciiTheme="minorHAnsi" w:hAnsiTheme="minorHAnsi" w:cstheme="minorHAnsi"/>
                <w:sz w:val="24"/>
                <w:szCs w:val="24"/>
              </w:rPr>
            </w:pPr>
            <w:r w:rsidRPr="007A7515">
              <w:rPr>
                <w:rFonts w:asciiTheme="minorHAnsi" w:hAnsiTheme="minorHAnsi" w:cstheme="minorHAnsi"/>
                <w:sz w:val="24"/>
                <w:szCs w:val="24"/>
              </w:rPr>
              <w:t>Combination of DCE-CT and PET/CT*</w:t>
            </w:r>
          </w:p>
        </w:tc>
        <w:tc>
          <w:tcPr>
            <w:tcW w:w="1935" w:type="dxa"/>
            <w:tcBorders>
              <w:top w:val="single" w:sz="18" w:space="0" w:color="auto"/>
              <w:bottom w:val="single" w:sz="18" w:space="0" w:color="auto"/>
            </w:tcBorders>
            <w:vAlign w:val="center"/>
          </w:tcPr>
          <w:p w14:paraId="2DB2C5A8"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144/191 - 75·4%</w:t>
            </w:r>
          </w:p>
          <w:p w14:paraId="3E55903A"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(68·8% to 81·0%)</w:t>
            </w:r>
          </w:p>
        </w:tc>
        <w:tc>
          <w:tcPr>
            <w:tcW w:w="1936" w:type="dxa"/>
            <w:tcBorders>
              <w:top w:val="single" w:sz="18" w:space="0" w:color="auto"/>
              <w:bottom w:val="single" w:sz="18" w:space="0" w:color="auto"/>
            </w:tcBorders>
          </w:tcPr>
          <w:p w14:paraId="738AE4DF"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101/121 - 83·5%</w:t>
            </w:r>
          </w:p>
          <w:p w14:paraId="327B3D1E"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(75·8% to 89·0%)</w:t>
            </w:r>
          </w:p>
        </w:tc>
        <w:tc>
          <w:tcPr>
            <w:tcW w:w="1936" w:type="dxa"/>
            <w:tcBorders>
              <w:top w:val="single" w:sz="18" w:space="0" w:color="auto"/>
              <w:bottom w:val="single" w:sz="18" w:space="0" w:color="auto"/>
            </w:tcBorders>
          </w:tcPr>
          <w:p w14:paraId="3CE47659"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101/148 - 68·2%</w:t>
            </w:r>
          </w:p>
          <w:p w14:paraId="239D14FE"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(60·4% to 75·2%)</w:t>
            </w:r>
          </w:p>
        </w:tc>
        <w:tc>
          <w:tcPr>
            <w:tcW w:w="1936" w:type="dxa"/>
            <w:tcBorders>
              <w:top w:val="single" w:sz="18" w:space="0" w:color="auto"/>
              <w:bottom w:val="single" w:sz="18" w:space="0" w:color="auto"/>
            </w:tcBorders>
          </w:tcPr>
          <w:p w14:paraId="5C3B13E3"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144/164 - 87·8%</w:t>
            </w:r>
          </w:p>
          <w:p w14:paraId="6176CD78"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(81·9% to 92·0%)</w:t>
            </w:r>
          </w:p>
        </w:tc>
        <w:tc>
          <w:tcPr>
            <w:tcW w:w="1936" w:type="dxa"/>
            <w:tcBorders>
              <w:top w:val="single" w:sz="18" w:space="0" w:color="auto"/>
              <w:bottom w:val="single" w:sz="18" w:space="0" w:color="auto"/>
              <w:right w:val="single" w:sz="18" w:space="0" w:color="auto"/>
            </w:tcBorders>
          </w:tcPr>
          <w:p w14:paraId="25B564EA" w14:textId="77777777" w:rsidR="00DA71DD" w:rsidRPr="007A7515" w:rsidRDefault="00DA71DD" w:rsidP="00A953C0">
            <w:pPr>
              <w:keepNext/>
              <w:keepLines/>
              <w:spacing w:line="312" w:lineRule="auto"/>
              <w:jc w:val="right"/>
              <w:rPr>
                <w:rFonts w:asciiTheme="minorHAnsi" w:hAnsiTheme="minorHAnsi" w:cs="Arial"/>
                <w:sz w:val="24"/>
                <w:szCs w:val="24"/>
              </w:rPr>
            </w:pPr>
            <w:r w:rsidRPr="007A7515">
              <w:rPr>
                <w:rFonts w:asciiTheme="minorHAnsi" w:hAnsiTheme="minorHAnsi" w:cs="Arial"/>
                <w:sz w:val="24"/>
                <w:szCs w:val="24"/>
              </w:rPr>
              <w:t>245/312 – 78·5%</w:t>
            </w:r>
          </w:p>
          <w:p w14:paraId="3AED2333" w14:textId="77777777" w:rsidR="00DA71DD" w:rsidRPr="007A7515" w:rsidRDefault="00DA71DD" w:rsidP="00A953C0">
            <w:pPr>
              <w:keepNext/>
              <w:keepLines/>
              <w:spacing w:line="312" w:lineRule="auto"/>
              <w:jc w:val="right"/>
              <w:rPr>
                <w:rFonts w:asciiTheme="minorHAnsi" w:hAnsiTheme="minorHAnsi" w:cstheme="minorHAnsi"/>
                <w:sz w:val="24"/>
                <w:szCs w:val="24"/>
              </w:rPr>
            </w:pPr>
            <w:r w:rsidRPr="007A7515">
              <w:rPr>
                <w:rFonts w:asciiTheme="minorHAnsi" w:hAnsiTheme="minorHAnsi" w:cs="Arial"/>
                <w:sz w:val="24"/>
                <w:szCs w:val="24"/>
              </w:rPr>
              <w:t>(73·6% to 82·7%)</w:t>
            </w:r>
          </w:p>
        </w:tc>
      </w:tr>
    </w:tbl>
    <w:p w14:paraId="51AE9EEC" w14:textId="7C9C0E36" w:rsidR="005E4C87" w:rsidRPr="007A7515" w:rsidRDefault="005E4C87" w:rsidP="005E4C87">
      <w:pPr>
        <w:spacing w:after="200" w:line="276" w:lineRule="auto"/>
        <w:rPr>
          <w:rFonts w:asciiTheme="minorHAnsi" w:hAnsiTheme="minorHAnsi" w:cstheme="minorHAnsi"/>
          <w:bCs/>
          <w:sz w:val="24"/>
          <w:szCs w:val="24"/>
        </w:rPr>
      </w:pPr>
      <w:r w:rsidRPr="007A7515">
        <w:rPr>
          <w:rFonts w:asciiTheme="minorHAnsi" w:hAnsiTheme="minorHAnsi" w:cstheme="minorHAnsi"/>
          <w:bCs/>
          <w:sz w:val="24"/>
          <w:szCs w:val="24"/>
        </w:rPr>
        <w:t xml:space="preserve">Abbreviations: DCE-CT= dynamic contrast-enhanced computed </w:t>
      </w:r>
      <w:proofErr w:type="gramStart"/>
      <w:r w:rsidRPr="007A7515">
        <w:rPr>
          <w:rFonts w:asciiTheme="minorHAnsi" w:hAnsiTheme="minorHAnsi" w:cstheme="minorHAnsi"/>
          <w:bCs/>
          <w:sz w:val="24"/>
          <w:szCs w:val="24"/>
        </w:rPr>
        <w:t>tomography ,</w:t>
      </w:r>
      <w:proofErr w:type="gramEnd"/>
      <w:r w:rsidRPr="007A7515">
        <w:rPr>
          <w:rFonts w:asciiTheme="minorHAnsi" w:hAnsiTheme="minorHAnsi" w:cstheme="minorHAnsi"/>
          <w:bCs/>
          <w:sz w:val="24"/>
          <w:szCs w:val="24"/>
        </w:rPr>
        <w:t xml:space="preserve"> PET/CT=18Fluorine Fluorodeoxyglucose Positron Emission Tomography/Computed Tomography, CI= Confidence interval.</w:t>
      </w:r>
    </w:p>
    <w:p w14:paraId="6EE97898" w14:textId="7A6361DF" w:rsidR="00DA71DD" w:rsidRPr="007A7515" w:rsidRDefault="00DA71DD" w:rsidP="005E4C87">
      <w:pPr>
        <w:spacing w:after="200" w:line="276" w:lineRule="auto"/>
        <w:rPr>
          <w:rFonts w:asciiTheme="minorHAnsi" w:hAnsiTheme="minorHAnsi" w:cstheme="minorHAnsi"/>
          <w:bCs/>
          <w:sz w:val="24"/>
          <w:szCs w:val="24"/>
        </w:rPr>
      </w:pPr>
      <w:r w:rsidRPr="007A7515">
        <w:rPr>
          <w:rFonts w:asciiTheme="minorHAnsi" w:hAnsiTheme="minorHAnsi" w:cstheme="minorHAnsi"/>
          <w:bCs/>
          <w:sz w:val="24"/>
          <w:szCs w:val="24"/>
        </w:rPr>
        <w:t>*Where if DCE-CT is negative the nodule is considered benign, while if it is positive it progresses to PET/CT with adjudication then based upon the PET/CT grading</w:t>
      </w:r>
    </w:p>
    <w:p w14:paraId="0DC46305" w14:textId="77777777" w:rsidR="00DA71DD" w:rsidRPr="007A7515" w:rsidRDefault="00DA71DD" w:rsidP="00DA71DD">
      <w:pPr>
        <w:spacing w:after="200" w:line="276" w:lineRule="auto"/>
        <w:rPr>
          <w:rFonts w:asciiTheme="minorHAnsi" w:hAnsiTheme="minorHAnsi" w:cstheme="minorHAnsi"/>
          <w:bCs/>
          <w:sz w:val="24"/>
          <w:szCs w:val="24"/>
        </w:rPr>
      </w:pPr>
    </w:p>
    <w:p w14:paraId="42177DC6" w14:textId="77777777" w:rsidR="00DA71DD" w:rsidRPr="007A7515" w:rsidRDefault="00DA71DD" w:rsidP="00DA71DD">
      <w:pPr>
        <w:spacing w:after="200" w:line="276" w:lineRule="auto"/>
        <w:rPr>
          <w:rFonts w:asciiTheme="minorHAnsi" w:hAnsiTheme="minorHAnsi" w:cstheme="minorHAnsi"/>
          <w:bCs/>
          <w:sz w:val="24"/>
          <w:szCs w:val="24"/>
        </w:rPr>
      </w:pPr>
    </w:p>
    <w:p w14:paraId="1A40EF4C" w14:textId="77777777" w:rsidR="00DA71DD" w:rsidRPr="007A7515" w:rsidRDefault="00DA71DD" w:rsidP="00DA71DD">
      <w:pPr>
        <w:spacing w:after="200" w:line="276" w:lineRule="auto"/>
        <w:rPr>
          <w:rFonts w:asciiTheme="minorHAnsi" w:hAnsiTheme="minorHAnsi" w:cstheme="minorHAnsi"/>
          <w:bCs/>
          <w:sz w:val="24"/>
          <w:szCs w:val="24"/>
        </w:rPr>
      </w:pPr>
      <w:r w:rsidRPr="007A7515">
        <w:rPr>
          <w:rFonts w:asciiTheme="minorHAnsi" w:hAnsiTheme="minorHAnsi" w:cstheme="minorHAnsi"/>
          <w:bCs/>
          <w:sz w:val="24"/>
          <w:szCs w:val="24"/>
        </w:rPr>
        <w:br w:type="page"/>
      </w:r>
    </w:p>
    <w:tbl>
      <w:tblPr>
        <w:tblW w:w="15511" w:type="dxa"/>
        <w:tblInd w:w="-9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90"/>
        <w:gridCol w:w="4203"/>
        <w:gridCol w:w="1883"/>
        <w:gridCol w:w="1884"/>
        <w:gridCol w:w="1883"/>
        <w:gridCol w:w="1884"/>
        <w:gridCol w:w="1884"/>
      </w:tblGrid>
      <w:tr w:rsidR="00DA71DD" w:rsidRPr="007A7515" w14:paraId="3370FEDE" w14:textId="77777777" w:rsidTr="00610ABB">
        <w:trPr>
          <w:trHeight w:val="576"/>
          <w:tblHeader/>
        </w:trPr>
        <w:tc>
          <w:tcPr>
            <w:tcW w:w="15511" w:type="dxa"/>
            <w:gridSpan w:val="7"/>
            <w:tcBorders>
              <w:top w:val="nil"/>
              <w:left w:val="nil"/>
              <w:bottom w:val="single" w:sz="18" w:space="0" w:color="auto"/>
              <w:right w:val="nil"/>
            </w:tcBorders>
          </w:tcPr>
          <w:p w14:paraId="4828EC55" w14:textId="77777777" w:rsidR="00DA71DD" w:rsidRPr="007A7515" w:rsidRDefault="00DA71DD" w:rsidP="00610ABB">
            <w:pPr>
              <w:jc w:val="both"/>
              <w:rPr>
                <w:rFonts w:asciiTheme="minorHAnsi" w:hAnsiTheme="minorHAnsi" w:cstheme="minorHAnsi"/>
                <w:sz w:val="24"/>
                <w:szCs w:val="24"/>
              </w:rPr>
            </w:pPr>
            <w:r w:rsidRPr="007A7515">
              <w:rPr>
                <w:rFonts w:asciiTheme="minorHAnsi" w:hAnsiTheme="minorHAnsi" w:cstheme="minorHAnsi"/>
                <w:sz w:val="24"/>
                <w:szCs w:val="24"/>
              </w:rPr>
              <w:lastRenderedPageBreak/>
              <w:br w:type="page"/>
            </w:r>
            <w:r w:rsidRPr="007A7515">
              <w:rPr>
                <w:rFonts w:asciiTheme="minorHAnsi" w:hAnsiTheme="minorHAnsi" w:cstheme="minorHAnsi"/>
                <w:sz w:val="24"/>
                <w:szCs w:val="24"/>
              </w:rPr>
              <w:br w:type="page"/>
            </w:r>
            <w:r w:rsidRPr="007A7515">
              <w:rPr>
                <w:rFonts w:asciiTheme="minorHAnsi" w:hAnsiTheme="minorHAnsi" w:cstheme="minorHAnsi"/>
                <w:b/>
                <w:sz w:val="24"/>
                <w:szCs w:val="24"/>
              </w:rPr>
              <w:t xml:space="preserve">Table 5: </w:t>
            </w:r>
            <w:r w:rsidRPr="007A7515">
              <w:rPr>
                <w:rFonts w:asciiTheme="minorHAnsi" w:hAnsiTheme="minorHAnsi" w:cstheme="minorHAnsi"/>
                <w:sz w:val="24"/>
                <w:szCs w:val="24"/>
              </w:rPr>
              <w:t>Diagnostic performance of the best performing Exploratory models (N=312)</w:t>
            </w:r>
          </w:p>
          <w:p w14:paraId="64FF5BC8" w14:textId="77777777" w:rsidR="00DA71DD" w:rsidRPr="007A7515" w:rsidRDefault="00DA71DD" w:rsidP="00610ABB">
            <w:pPr>
              <w:jc w:val="both"/>
              <w:rPr>
                <w:rFonts w:asciiTheme="minorHAnsi" w:hAnsiTheme="minorHAnsi" w:cstheme="minorHAnsi"/>
                <w:b/>
                <w:sz w:val="24"/>
                <w:szCs w:val="24"/>
                <w:highlight w:val="yellow"/>
              </w:rPr>
            </w:pPr>
          </w:p>
        </w:tc>
      </w:tr>
      <w:tr w:rsidR="00DA71DD" w:rsidRPr="007A7515" w14:paraId="7C71C0C6" w14:textId="77777777" w:rsidTr="0069757B">
        <w:trPr>
          <w:trHeight w:val="547"/>
          <w:tblHeader/>
        </w:trPr>
        <w:tc>
          <w:tcPr>
            <w:tcW w:w="18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0EE641E" w14:textId="77777777" w:rsidR="00DA71DD" w:rsidRPr="007A7515" w:rsidRDefault="00DA71DD" w:rsidP="00610ABB">
            <w:pPr>
              <w:rPr>
                <w:rFonts w:asciiTheme="minorHAnsi" w:hAnsiTheme="minorHAnsi" w:cstheme="minorHAnsi"/>
                <w:b/>
                <w:sz w:val="24"/>
                <w:szCs w:val="24"/>
              </w:rPr>
            </w:pPr>
            <w:r w:rsidRPr="007A7515">
              <w:rPr>
                <w:rFonts w:asciiTheme="minorHAnsi" w:hAnsiTheme="minorHAnsi" w:cstheme="minorHAnsi"/>
                <w:b/>
                <w:sz w:val="24"/>
                <w:szCs w:val="24"/>
              </w:rPr>
              <w:t>Rule</w:t>
            </w:r>
          </w:p>
        </w:tc>
        <w:tc>
          <w:tcPr>
            <w:tcW w:w="4203" w:type="dxa"/>
            <w:tcBorders>
              <w:top w:val="single" w:sz="18" w:space="0" w:color="auto"/>
              <w:left w:val="single" w:sz="18" w:space="0" w:color="auto"/>
              <w:bottom w:val="single" w:sz="18" w:space="0" w:color="auto"/>
            </w:tcBorders>
            <w:shd w:val="clear" w:color="auto" w:fill="D9D9D9" w:themeFill="background1" w:themeFillShade="D9"/>
            <w:vAlign w:val="center"/>
          </w:tcPr>
          <w:p w14:paraId="248381BB" w14:textId="77777777" w:rsidR="00DA71DD" w:rsidRPr="007A7515" w:rsidRDefault="00DA71DD" w:rsidP="00610ABB">
            <w:pPr>
              <w:jc w:val="both"/>
              <w:rPr>
                <w:rFonts w:asciiTheme="minorHAnsi" w:hAnsiTheme="minorHAnsi" w:cstheme="minorHAnsi"/>
                <w:b/>
                <w:sz w:val="24"/>
                <w:szCs w:val="24"/>
              </w:rPr>
            </w:pPr>
            <w:r w:rsidRPr="007A7515">
              <w:rPr>
                <w:rFonts w:asciiTheme="minorHAnsi" w:hAnsiTheme="minorHAnsi" w:cstheme="minorHAnsi"/>
                <w:b/>
                <w:sz w:val="24"/>
                <w:szCs w:val="24"/>
              </w:rPr>
              <w:t>Imaging Technique</w:t>
            </w:r>
          </w:p>
        </w:tc>
        <w:tc>
          <w:tcPr>
            <w:tcW w:w="1883" w:type="dxa"/>
            <w:tcBorders>
              <w:top w:val="single" w:sz="18" w:space="0" w:color="auto"/>
              <w:bottom w:val="single" w:sz="18" w:space="0" w:color="auto"/>
            </w:tcBorders>
            <w:shd w:val="clear" w:color="auto" w:fill="D9D9D9" w:themeFill="background1" w:themeFillShade="D9"/>
            <w:vAlign w:val="center"/>
          </w:tcPr>
          <w:p w14:paraId="6414AA90"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 xml:space="preserve">Sensitivity </w:t>
            </w:r>
          </w:p>
          <w:p w14:paraId="07E04908"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884" w:type="dxa"/>
            <w:tcBorders>
              <w:top w:val="single" w:sz="18" w:space="0" w:color="auto"/>
              <w:bottom w:val="single" w:sz="18" w:space="0" w:color="auto"/>
            </w:tcBorders>
            <w:shd w:val="clear" w:color="auto" w:fill="D9D9D9" w:themeFill="background1" w:themeFillShade="D9"/>
            <w:vAlign w:val="center"/>
          </w:tcPr>
          <w:p w14:paraId="425E6EE7"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Specificity</w:t>
            </w:r>
          </w:p>
          <w:p w14:paraId="3BD17A32"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883" w:type="dxa"/>
            <w:tcBorders>
              <w:top w:val="single" w:sz="18" w:space="0" w:color="auto"/>
              <w:bottom w:val="single" w:sz="18" w:space="0" w:color="auto"/>
            </w:tcBorders>
            <w:shd w:val="clear" w:color="auto" w:fill="D9D9D9" w:themeFill="background1" w:themeFillShade="D9"/>
            <w:vAlign w:val="center"/>
          </w:tcPr>
          <w:p w14:paraId="6E49A7AE"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 xml:space="preserve">Negative </w:t>
            </w:r>
          </w:p>
          <w:p w14:paraId="1AB29E0C"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 xml:space="preserve">Predictive value </w:t>
            </w:r>
          </w:p>
          <w:p w14:paraId="5165F21F"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884" w:type="dxa"/>
            <w:tcBorders>
              <w:top w:val="single" w:sz="18" w:space="0" w:color="auto"/>
              <w:bottom w:val="single" w:sz="18" w:space="0" w:color="auto"/>
            </w:tcBorders>
            <w:shd w:val="clear" w:color="auto" w:fill="D9D9D9" w:themeFill="background1" w:themeFillShade="D9"/>
            <w:vAlign w:val="center"/>
          </w:tcPr>
          <w:p w14:paraId="4F067F34"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Positive Predictive value</w:t>
            </w:r>
          </w:p>
          <w:p w14:paraId="474AD5F7"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(95% CI)</w:t>
            </w:r>
          </w:p>
        </w:tc>
        <w:tc>
          <w:tcPr>
            <w:tcW w:w="1884" w:type="dxa"/>
            <w:tcBorders>
              <w:top w:val="single" w:sz="18" w:space="0" w:color="auto"/>
              <w:bottom w:val="single" w:sz="18" w:space="0" w:color="auto"/>
              <w:right w:val="single" w:sz="18" w:space="0" w:color="auto"/>
            </w:tcBorders>
            <w:shd w:val="clear" w:color="auto" w:fill="D9D9D9" w:themeFill="background1" w:themeFillShade="D9"/>
            <w:vAlign w:val="center"/>
          </w:tcPr>
          <w:p w14:paraId="1CFF4A09"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 xml:space="preserve">Overall Diagnostic Accuracy </w:t>
            </w:r>
          </w:p>
          <w:p w14:paraId="08C804EE" w14:textId="77777777" w:rsidR="00DA71DD" w:rsidRPr="007A7515" w:rsidRDefault="00DA71DD" w:rsidP="00610ABB">
            <w:pPr>
              <w:jc w:val="right"/>
              <w:rPr>
                <w:rFonts w:asciiTheme="minorHAnsi" w:hAnsiTheme="minorHAnsi" w:cstheme="minorHAnsi"/>
                <w:b/>
                <w:sz w:val="24"/>
                <w:szCs w:val="24"/>
              </w:rPr>
            </w:pPr>
            <w:r w:rsidRPr="007A7515">
              <w:rPr>
                <w:rFonts w:asciiTheme="minorHAnsi" w:hAnsiTheme="minorHAnsi" w:cstheme="minorHAnsi"/>
                <w:b/>
                <w:sz w:val="24"/>
                <w:szCs w:val="24"/>
              </w:rPr>
              <w:t>(95% CI)</w:t>
            </w:r>
          </w:p>
        </w:tc>
      </w:tr>
      <w:tr w:rsidR="00DA71DD" w:rsidRPr="007A7515" w14:paraId="28477517" w14:textId="77777777" w:rsidTr="0069757B">
        <w:trPr>
          <w:trHeight w:val="720"/>
        </w:trPr>
        <w:tc>
          <w:tcPr>
            <w:tcW w:w="1890" w:type="dxa"/>
            <w:vMerge w:val="restart"/>
            <w:tcBorders>
              <w:left w:val="single" w:sz="18" w:space="0" w:color="auto"/>
              <w:right w:val="single" w:sz="18" w:space="0" w:color="auto"/>
            </w:tcBorders>
            <w:vAlign w:val="center"/>
          </w:tcPr>
          <w:p w14:paraId="32FD737A"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cstheme="minorHAnsi"/>
                <w:sz w:val="24"/>
                <w:szCs w:val="24"/>
              </w:rPr>
              <w:t>At least 90% Sensitivity (where possible)</w:t>
            </w:r>
          </w:p>
        </w:tc>
        <w:tc>
          <w:tcPr>
            <w:tcW w:w="4203" w:type="dxa"/>
            <w:tcBorders>
              <w:left w:val="single" w:sz="18" w:space="0" w:color="auto"/>
            </w:tcBorders>
            <w:vAlign w:val="center"/>
          </w:tcPr>
          <w:p w14:paraId="4043D96D" w14:textId="2C625B93" w:rsidR="00DA71DD" w:rsidRPr="007A7515" w:rsidRDefault="00F4186E" w:rsidP="00610ABB">
            <w:pPr>
              <w:rPr>
                <w:rFonts w:asciiTheme="minorHAnsi" w:hAnsiTheme="minorHAnsi" w:cstheme="minorHAnsi"/>
                <w:sz w:val="24"/>
                <w:szCs w:val="24"/>
              </w:rPr>
            </w:pPr>
            <w:proofErr w:type="spellStart"/>
            <w:r w:rsidRPr="007A7515">
              <w:rPr>
                <w:rFonts w:asciiTheme="minorHAnsi" w:hAnsiTheme="minorHAnsi" w:cstheme="minorHAnsi"/>
                <w:sz w:val="24"/>
                <w:szCs w:val="24"/>
              </w:rPr>
              <w:t>SUVmax</w:t>
            </w:r>
            <w:proofErr w:type="spellEnd"/>
            <w:r w:rsidR="00DA71DD" w:rsidRPr="007A7515">
              <w:rPr>
                <w:rFonts w:asciiTheme="minorHAnsi" w:hAnsiTheme="minorHAnsi" w:cstheme="minorHAnsi"/>
                <w:sz w:val="24"/>
                <w:szCs w:val="24"/>
              </w:rPr>
              <w:t xml:space="preserve"> (N=309)</w:t>
            </w:r>
          </w:p>
          <w:p w14:paraId="05F8F6BB"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cstheme="minorHAnsi"/>
                <w:sz w:val="24"/>
                <w:szCs w:val="24"/>
              </w:rPr>
              <w:t>(Positive if ≥ 1·8)</w:t>
            </w:r>
          </w:p>
        </w:tc>
        <w:tc>
          <w:tcPr>
            <w:tcW w:w="1883" w:type="dxa"/>
            <w:vAlign w:val="center"/>
          </w:tcPr>
          <w:p w14:paraId="3B1E0607"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173/190 – 91·0%</w:t>
            </w:r>
          </w:p>
          <w:p w14:paraId="09DA06D3" w14:textId="0873EE35"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(86·1% to 94·3%)</w:t>
            </w:r>
          </w:p>
        </w:tc>
        <w:tc>
          <w:tcPr>
            <w:tcW w:w="1884" w:type="dxa"/>
            <w:vAlign w:val="center"/>
          </w:tcPr>
          <w:p w14:paraId="0C447CAF"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75/119 – 63·0%</w:t>
            </w:r>
          </w:p>
          <w:p w14:paraId="3A70099C"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(54·1% to 71·2%)</w:t>
            </w:r>
          </w:p>
        </w:tc>
        <w:tc>
          <w:tcPr>
            <w:tcW w:w="1883" w:type="dxa"/>
            <w:vAlign w:val="center"/>
          </w:tcPr>
          <w:p w14:paraId="772D7CCF"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75/92 – 81·5%</w:t>
            </w:r>
          </w:p>
          <w:p w14:paraId="271A1AEB"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(72·4% to 88·1%)</w:t>
            </w:r>
          </w:p>
        </w:tc>
        <w:tc>
          <w:tcPr>
            <w:tcW w:w="1884" w:type="dxa"/>
            <w:vAlign w:val="center"/>
          </w:tcPr>
          <w:p w14:paraId="2F877DD1"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173/217 – 79·7%</w:t>
            </w:r>
          </w:p>
          <w:p w14:paraId="7BF28999"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(73·9% to 84·5%)</w:t>
            </w:r>
          </w:p>
        </w:tc>
        <w:tc>
          <w:tcPr>
            <w:tcW w:w="1884" w:type="dxa"/>
            <w:tcBorders>
              <w:right w:val="single" w:sz="18" w:space="0" w:color="auto"/>
            </w:tcBorders>
            <w:vAlign w:val="center"/>
          </w:tcPr>
          <w:p w14:paraId="2295A826"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248/309 – 80·3%</w:t>
            </w:r>
          </w:p>
          <w:p w14:paraId="62606D21"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(75·5% to 84·3%)</w:t>
            </w:r>
          </w:p>
        </w:tc>
      </w:tr>
      <w:tr w:rsidR="00DA71DD" w:rsidRPr="007A7515" w14:paraId="30B05670" w14:textId="77777777" w:rsidTr="0069757B">
        <w:trPr>
          <w:trHeight w:val="720"/>
        </w:trPr>
        <w:tc>
          <w:tcPr>
            <w:tcW w:w="1890" w:type="dxa"/>
            <w:vMerge/>
            <w:tcBorders>
              <w:left w:val="single" w:sz="18" w:space="0" w:color="auto"/>
              <w:right w:val="single" w:sz="18" w:space="0" w:color="auto"/>
            </w:tcBorders>
            <w:vAlign w:val="center"/>
          </w:tcPr>
          <w:p w14:paraId="5863AE9F" w14:textId="77777777" w:rsidR="00DA71DD" w:rsidRPr="007A7515" w:rsidRDefault="00DA71DD" w:rsidP="00610ABB">
            <w:pPr>
              <w:rPr>
                <w:rFonts w:asciiTheme="minorHAnsi" w:hAnsiTheme="minorHAnsi" w:cstheme="minorHAnsi"/>
                <w:sz w:val="24"/>
                <w:szCs w:val="24"/>
              </w:rPr>
            </w:pPr>
          </w:p>
        </w:tc>
        <w:tc>
          <w:tcPr>
            <w:tcW w:w="4203" w:type="dxa"/>
            <w:tcBorders>
              <w:left w:val="single" w:sz="18" w:space="0" w:color="auto"/>
            </w:tcBorders>
            <w:vAlign w:val="center"/>
          </w:tcPr>
          <w:p w14:paraId="032EFD9B" w14:textId="77777777" w:rsidR="00DA71DD" w:rsidRPr="007A7515" w:rsidRDefault="00DA71DD" w:rsidP="00610ABB">
            <w:pPr>
              <w:spacing w:line="340" w:lineRule="exact"/>
              <w:rPr>
                <w:rFonts w:asciiTheme="minorHAnsi" w:hAnsiTheme="minorHAnsi" w:cs="Arial"/>
                <w:sz w:val="24"/>
                <w:szCs w:val="24"/>
              </w:rPr>
            </w:pPr>
            <w:r w:rsidRPr="007A7515">
              <w:rPr>
                <w:rFonts w:asciiTheme="minorHAnsi" w:hAnsiTheme="minorHAnsi" w:cs="Arial"/>
                <w:sz w:val="24"/>
                <w:szCs w:val="24"/>
              </w:rPr>
              <w:t xml:space="preserve">DCE-CT Peak Enhancement </w:t>
            </w:r>
          </w:p>
          <w:p w14:paraId="3CC3CFBE"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sz w:val="24"/>
                <w:szCs w:val="24"/>
              </w:rPr>
              <w:t>(Positive if ≥ 25)</w:t>
            </w:r>
            <w:r w:rsidRPr="007A7515">
              <w:rPr>
                <w:rFonts w:asciiTheme="minorHAnsi" w:hAnsiTheme="minorHAnsi" w:cs="Arial"/>
                <w:sz w:val="24"/>
                <w:szCs w:val="24"/>
              </w:rPr>
              <w:t xml:space="preserve"> (N=311)</w:t>
            </w:r>
          </w:p>
        </w:tc>
        <w:tc>
          <w:tcPr>
            <w:tcW w:w="1883" w:type="dxa"/>
            <w:vAlign w:val="center"/>
          </w:tcPr>
          <w:p w14:paraId="3F057ADA"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176/190 – 92·6%</w:t>
            </w:r>
          </w:p>
          <w:p w14:paraId="5046CAF8"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(88·0% to 95·6%)</w:t>
            </w:r>
          </w:p>
        </w:tc>
        <w:tc>
          <w:tcPr>
            <w:tcW w:w="1884" w:type="dxa"/>
            <w:vAlign w:val="center"/>
          </w:tcPr>
          <w:p w14:paraId="46E57AC3"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47/121 – 38·8%</w:t>
            </w:r>
          </w:p>
          <w:p w14:paraId="6CA36F8B"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(30·6% to 47·7%)</w:t>
            </w:r>
          </w:p>
        </w:tc>
        <w:tc>
          <w:tcPr>
            <w:tcW w:w="1883" w:type="dxa"/>
            <w:vAlign w:val="center"/>
          </w:tcPr>
          <w:p w14:paraId="54FB0621"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47/61 – 77·1%</w:t>
            </w:r>
          </w:p>
          <w:p w14:paraId="3D2709B6"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(65·1% to 85·8%)</w:t>
            </w:r>
          </w:p>
        </w:tc>
        <w:tc>
          <w:tcPr>
            <w:tcW w:w="1884" w:type="dxa"/>
            <w:vAlign w:val="center"/>
          </w:tcPr>
          <w:p w14:paraId="1DAC7046"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176/250 – 70·4%</w:t>
            </w:r>
          </w:p>
          <w:p w14:paraId="7B5BE925"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(64·5% to 75·7%)</w:t>
            </w:r>
          </w:p>
        </w:tc>
        <w:tc>
          <w:tcPr>
            <w:tcW w:w="1884" w:type="dxa"/>
            <w:tcBorders>
              <w:right w:val="single" w:sz="18" w:space="0" w:color="auto"/>
            </w:tcBorders>
            <w:vAlign w:val="center"/>
          </w:tcPr>
          <w:p w14:paraId="100C27BB"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223/311 – 71·7%</w:t>
            </w:r>
          </w:p>
          <w:p w14:paraId="3D5CEB01"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(66·5% to 76·4%)</w:t>
            </w:r>
          </w:p>
        </w:tc>
      </w:tr>
      <w:tr w:rsidR="00DA71DD" w:rsidRPr="007A7515" w14:paraId="31B73EA1" w14:textId="77777777" w:rsidTr="0069757B">
        <w:trPr>
          <w:trHeight w:val="720"/>
        </w:trPr>
        <w:tc>
          <w:tcPr>
            <w:tcW w:w="1890" w:type="dxa"/>
            <w:vMerge/>
            <w:tcBorders>
              <w:left w:val="single" w:sz="18" w:space="0" w:color="auto"/>
              <w:bottom w:val="single" w:sz="18" w:space="0" w:color="auto"/>
              <w:right w:val="single" w:sz="18" w:space="0" w:color="auto"/>
            </w:tcBorders>
            <w:vAlign w:val="center"/>
          </w:tcPr>
          <w:p w14:paraId="77F0CEB1" w14:textId="77777777" w:rsidR="00DA71DD" w:rsidRPr="007A7515" w:rsidRDefault="00DA71DD" w:rsidP="00610ABB">
            <w:pPr>
              <w:rPr>
                <w:rFonts w:asciiTheme="minorHAnsi" w:hAnsiTheme="minorHAnsi" w:cstheme="minorHAnsi"/>
                <w:sz w:val="24"/>
                <w:szCs w:val="24"/>
              </w:rPr>
            </w:pPr>
          </w:p>
        </w:tc>
        <w:tc>
          <w:tcPr>
            <w:tcW w:w="4203" w:type="dxa"/>
            <w:tcBorders>
              <w:left w:val="single" w:sz="18" w:space="0" w:color="auto"/>
              <w:bottom w:val="single" w:sz="18" w:space="0" w:color="auto"/>
            </w:tcBorders>
            <w:vAlign w:val="center"/>
          </w:tcPr>
          <w:p w14:paraId="6C364B7E" w14:textId="3EB0C7A3" w:rsidR="00DA71DD" w:rsidRPr="007A7515" w:rsidRDefault="00F4186E" w:rsidP="00610ABB">
            <w:pPr>
              <w:spacing w:line="340" w:lineRule="exact"/>
              <w:rPr>
                <w:rFonts w:asciiTheme="minorHAnsi" w:hAnsiTheme="minorHAnsi" w:cs="Arial"/>
                <w:sz w:val="24"/>
                <w:szCs w:val="24"/>
              </w:rPr>
            </w:pPr>
            <w:proofErr w:type="spellStart"/>
            <w:r w:rsidRPr="007A7515">
              <w:rPr>
                <w:rFonts w:asciiTheme="minorHAnsi" w:hAnsiTheme="minorHAnsi" w:cs="Arial"/>
                <w:sz w:val="24"/>
                <w:szCs w:val="24"/>
              </w:rPr>
              <w:t>SUVmax</w:t>
            </w:r>
            <w:proofErr w:type="spellEnd"/>
            <w:r w:rsidRPr="007A7515">
              <w:rPr>
                <w:rFonts w:asciiTheme="minorHAnsi" w:hAnsiTheme="minorHAnsi" w:cs="Arial"/>
                <w:sz w:val="24"/>
                <w:szCs w:val="24"/>
              </w:rPr>
              <w:t xml:space="preserve"> </w:t>
            </w:r>
            <w:r w:rsidR="00DA71DD" w:rsidRPr="007A7515">
              <w:rPr>
                <w:rFonts w:asciiTheme="minorHAnsi" w:hAnsiTheme="minorHAnsi" w:cs="Arial"/>
                <w:sz w:val="24"/>
                <w:szCs w:val="24"/>
              </w:rPr>
              <w:t>and DCE-CT Peak enhancement</w:t>
            </w:r>
          </w:p>
          <w:p w14:paraId="79FB0FE4"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sz w:val="24"/>
                <w:szCs w:val="24"/>
              </w:rPr>
              <w:t>(Positive if Probability ≥ 0·43) (N=308)</w:t>
            </w:r>
          </w:p>
        </w:tc>
        <w:tc>
          <w:tcPr>
            <w:tcW w:w="1883" w:type="dxa"/>
            <w:tcBorders>
              <w:bottom w:val="single" w:sz="18" w:space="0" w:color="auto"/>
            </w:tcBorders>
            <w:vAlign w:val="center"/>
          </w:tcPr>
          <w:p w14:paraId="2F9D860E"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171/189 – 90·5%</w:t>
            </w:r>
          </w:p>
          <w:p w14:paraId="492C9409"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(85·5% to 93·9%)</w:t>
            </w:r>
          </w:p>
        </w:tc>
        <w:tc>
          <w:tcPr>
            <w:tcW w:w="1884" w:type="dxa"/>
            <w:tcBorders>
              <w:bottom w:val="single" w:sz="18" w:space="0" w:color="auto"/>
            </w:tcBorders>
            <w:vAlign w:val="center"/>
          </w:tcPr>
          <w:p w14:paraId="4E380C03"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82/119 – 68·9%</w:t>
            </w:r>
          </w:p>
          <w:p w14:paraId="5731BAC3"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(60·1% to 76·5%)</w:t>
            </w:r>
          </w:p>
        </w:tc>
        <w:tc>
          <w:tcPr>
            <w:tcW w:w="1883" w:type="dxa"/>
            <w:tcBorders>
              <w:bottom w:val="single" w:sz="18" w:space="0" w:color="auto"/>
            </w:tcBorders>
            <w:vAlign w:val="center"/>
          </w:tcPr>
          <w:p w14:paraId="29D6A55B"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82/100 – 82·0%</w:t>
            </w:r>
          </w:p>
          <w:p w14:paraId="2A9257B8"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(73·3% to 88·3%)</w:t>
            </w:r>
          </w:p>
        </w:tc>
        <w:tc>
          <w:tcPr>
            <w:tcW w:w="1884" w:type="dxa"/>
            <w:tcBorders>
              <w:bottom w:val="single" w:sz="18" w:space="0" w:color="auto"/>
            </w:tcBorders>
            <w:vAlign w:val="center"/>
          </w:tcPr>
          <w:p w14:paraId="4B3C0882"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171/208 – 82·2%</w:t>
            </w:r>
          </w:p>
          <w:p w14:paraId="591F34D3"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(76·4% to 86·8%)</w:t>
            </w:r>
          </w:p>
        </w:tc>
        <w:tc>
          <w:tcPr>
            <w:tcW w:w="1884" w:type="dxa"/>
            <w:tcBorders>
              <w:bottom w:val="single" w:sz="18" w:space="0" w:color="auto"/>
              <w:right w:val="single" w:sz="18" w:space="0" w:color="auto"/>
            </w:tcBorders>
            <w:vAlign w:val="center"/>
          </w:tcPr>
          <w:p w14:paraId="1D3A5513" w14:textId="77777777" w:rsidR="00DA71DD" w:rsidRPr="007A7515" w:rsidRDefault="00DA71DD" w:rsidP="00610ABB">
            <w:pPr>
              <w:spacing w:line="340" w:lineRule="exact"/>
              <w:jc w:val="right"/>
              <w:rPr>
                <w:rFonts w:asciiTheme="minorHAnsi" w:hAnsiTheme="minorHAnsi"/>
                <w:sz w:val="24"/>
                <w:szCs w:val="24"/>
              </w:rPr>
            </w:pPr>
            <w:r w:rsidRPr="007A7515">
              <w:rPr>
                <w:rFonts w:asciiTheme="minorHAnsi" w:hAnsiTheme="minorHAnsi"/>
                <w:sz w:val="24"/>
                <w:szCs w:val="24"/>
              </w:rPr>
              <w:t>253/308 – 82·1%</w:t>
            </w:r>
          </w:p>
          <w:p w14:paraId="61DE8C3F"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(77·5% to 86·0%)</w:t>
            </w:r>
          </w:p>
        </w:tc>
      </w:tr>
      <w:tr w:rsidR="00DA71DD" w:rsidRPr="007A7515" w14:paraId="1C2EA260" w14:textId="77777777" w:rsidTr="0069757B">
        <w:trPr>
          <w:cantSplit/>
          <w:trHeight w:val="720"/>
        </w:trPr>
        <w:tc>
          <w:tcPr>
            <w:tcW w:w="1890" w:type="dxa"/>
            <w:vMerge w:val="restart"/>
            <w:tcBorders>
              <w:top w:val="single" w:sz="18" w:space="0" w:color="auto"/>
              <w:left w:val="single" w:sz="18" w:space="0" w:color="auto"/>
              <w:right w:val="single" w:sz="18" w:space="0" w:color="auto"/>
            </w:tcBorders>
            <w:vAlign w:val="center"/>
          </w:tcPr>
          <w:p w14:paraId="5DEA75FC"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cstheme="minorHAnsi"/>
                <w:sz w:val="24"/>
                <w:szCs w:val="24"/>
              </w:rPr>
              <w:br w:type="page"/>
              <w:t>Best Balance of Sensitivity and Specificity</w:t>
            </w:r>
          </w:p>
        </w:tc>
        <w:tc>
          <w:tcPr>
            <w:tcW w:w="4203" w:type="dxa"/>
            <w:tcBorders>
              <w:top w:val="single" w:sz="18" w:space="0" w:color="auto"/>
              <w:left w:val="single" w:sz="18" w:space="0" w:color="auto"/>
              <w:bottom w:val="single" w:sz="8" w:space="0" w:color="auto"/>
              <w:right w:val="single" w:sz="8" w:space="0" w:color="auto"/>
            </w:tcBorders>
            <w:vAlign w:val="center"/>
          </w:tcPr>
          <w:p w14:paraId="06BD3A0A" w14:textId="2EB97D0B" w:rsidR="00DA71DD" w:rsidRPr="007A7515" w:rsidRDefault="00F4186E" w:rsidP="00610ABB">
            <w:pPr>
              <w:rPr>
                <w:rFonts w:asciiTheme="minorHAnsi" w:hAnsiTheme="minorHAnsi" w:cstheme="minorHAnsi"/>
                <w:sz w:val="24"/>
                <w:szCs w:val="24"/>
              </w:rPr>
            </w:pPr>
            <w:proofErr w:type="spellStart"/>
            <w:r w:rsidRPr="007A7515">
              <w:rPr>
                <w:rFonts w:asciiTheme="minorHAnsi" w:hAnsiTheme="minorHAnsi" w:cstheme="minorHAnsi"/>
                <w:sz w:val="24"/>
                <w:szCs w:val="24"/>
              </w:rPr>
              <w:t>SUVmax</w:t>
            </w:r>
            <w:proofErr w:type="spellEnd"/>
            <w:r w:rsidR="00DA71DD" w:rsidRPr="007A7515">
              <w:rPr>
                <w:rFonts w:asciiTheme="minorHAnsi" w:hAnsiTheme="minorHAnsi" w:cstheme="minorHAnsi"/>
                <w:sz w:val="24"/>
                <w:szCs w:val="24"/>
              </w:rPr>
              <w:t xml:space="preserve"> (N=310)</w:t>
            </w:r>
          </w:p>
          <w:p w14:paraId="24683DEB"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cstheme="minorHAnsi"/>
                <w:sz w:val="24"/>
                <w:szCs w:val="24"/>
              </w:rPr>
              <w:t>(Positive if ≥ 2·3)</w:t>
            </w:r>
          </w:p>
        </w:tc>
        <w:tc>
          <w:tcPr>
            <w:tcW w:w="1883" w:type="dxa"/>
            <w:tcBorders>
              <w:top w:val="single" w:sz="18" w:space="0" w:color="auto"/>
              <w:left w:val="single" w:sz="8" w:space="0" w:color="auto"/>
              <w:bottom w:val="single" w:sz="8" w:space="0" w:color="auto"/>
              <w:right w:val="single" w:sz="8" w:space="0" w:color="auto"/>
            </w:tcBorders>
            <w:vAlign w:val="center"/>
          </w:tcPr>
          <w:p w14:paraId="4E1C2142"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153/190 – 80·5%</w:t>
            </w:r>
          </w:p>
          <w:p w14:paraId="2834C65B"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(74·3% to 85·5%)</w:t>
            </w:r>
          </w:p>
        </w:tc>
        <w:tc>
          <w:tcPr>
            <w:tcW w:w="1884" w:type="dxa"/>
            <w:tcBorders>
              <w:top w:val="single" w:sz="18" w:space="0" w:color="auto"/>
              <w:left w:val="single" w:sz="8" w:space="0" w:color="auto"/>
              <w:bottom w:val="single" w:sz="8" w:space="0" w:color="auto"/>
              <w:right w:val="single" w:sz="8" w:space="0" w:color="auto"/>
            </w:tcBorders>
            <w:vAlign w:val="center"/>
          </w:tcPr>
          <w:p w14:paraId="0BAA61AF"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93/119 – 78·2%</w:t>
            </w:r>
          </w:p>
          <w:p w14:paraId="22723B23"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(69·9% to 84·6%)</w:t>
            </w:r>
          </w:p>
        </w:tc>
        <w:tc>
          <w:tcPr>
            <w:tcW w:w="1883"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135368E9"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93/130 – 71·5%</w:t>
            </w:r>
          </w:p>
          <w:p w14:paraId="01EC7928"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(63·3% to 78·6%)</w:t>
            </w:r>
          </w:p>
        </w:tc>
        <w:tc>
          <w:tcPr>
            <w:tcW w:w="1884"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67F0A415"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153/179 – 85·5%</w:t>
            </w:r>
          </w:p>
          <w:p w14:paraId="15D3AE73"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(79·6% to 89·9%)</w:t>
            </w:r>
          </w:p>
        </w:tc>
        <w:tc>
          <w:tcPr>
            <w:tcW w:w="1884" w:type="dxa"/>
            <w:tcBorders>
              <w:top w:val="single" w:sz="18" w:space="0" w:color="auto"/>
              <w:left w:val="single" w:sz="8" w:space="0" w:color="auto"/>
              <w:bottom w:val="single" w:sz="8" w:space="0" w:color="auto"/>
              <w:right w:val="single" w:sz="18" w:space="0" w:color="auto"/>
            </w:tcBorders>
            <w:shd w:val="clear" w:color="auto" w:fill="FFFFFF" w:themeFill="background1"/>
            <w:vAlign w:val="center"/>
          </w:tcPr>
          <w:p w14:paraId="74D81CB5"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246/309 – 79·6%</w:t>
            </w:r>
          </w:p>
          <w:p w14:paraId="21D24F08"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(74·8% to 83·7%)</w:t>
            </w:r>
          </w:p>
        </w:tc>
      </w:tr>
      <w:tr w:rsidR="00DA71DD" w:rsidRPr="007A7515" w14:paraId="542E682E" w14:textId="77777777" w:rsidTr="0069757B">
        <w:trPr>
          <w:cantSplit/>
          <w:trHeight w:val="720"/>
        </w:trPr>
        <w:tc>
          <w:tcPr>
            <w:tcW w:w="1890" w:type="dxa"/>
            <w:vMerge/>
            <w:tcBorders>
              <w:left w:val="single" w:sz="18" w:space="0" w:color="auto"/>
              <w:right w:val="single" w:sz="18" w:space="0" w:color="auto"/>
            </w:tcBorders>
            <w:vAlign w:val="center"/>
          </w:tcPr>
          <w:p w14:paraId="441806C1" w14:textId="77777777" w:rsidR="00DA71DD" w:rsidRPr="007A7515" w:rsidRDefault="00DA71DD" w:rsidP="00610ABB">
            <w:pPr>
              <w:rPr>
                <w:rFonts w:asciiTheme="minorHAnsi" w:hAnsiTheme="minorHAnsi" w:cstheme="minorHAnsi"/>
                <w:sz w:val="24"/>
                <w:szCs w:val="24"/>
              </w:rPr>
            </w:pPr>
          </w:p>
        </w:tc>
        <w:tc>
          <w:tcPr>
            <w:tcW w:w="4203" w:type="dxa"/>
            <w:tcBorders>
              <w:top w:val="single" w:sz="8" w:space="0" w:color="auto"/>
              <w:left w:val="single" w:sz="18" w:space="0" w:color="auto"/>
              <w:bottom w:val="single" w:sz="8" w:space="0" w:color="auto"/>
              <w:right w:val="single" w:sz="8" w:space="0" w:color="auto"/>
            </w:tcBorders>
            <w:vAlign w:val="center"/>
          </w:tcPr>
          <w:p w14:paraId="68C7F7B2" w14:textId="77777777" w:rsidR="00DA71DD" w:rsidRPr="007A7515" w:rsidRDefault="00DA71DD" w:rsidP="00610ABB">
            <w:pPr>
              <w:widowControl w:val="0"/>
              <w:spacing w:line="340" w:lineRule="exact"/>
              <w:rPr>
                <w:rFonts w:asciiTheme="minorHAnsi" w:hAnsiTheme="minorHAnsi" w:cs="Arial"/>
                <w:sz w:val="24"/>
                <w:szCs w:val="24"/>
              </w:rPr>
            </w:pPr>
            <w:r w:rsidRPr="007A7515">
              <w:rPr>
                <w:rFonts w:asciiTheme="minorHAnsi" w:hAnsiTheme="minorHAnsi" w:cs="Arial"/>
                <w:sz w:val="24"/>
                <w:szCs w:val="24"/>
              </w:rPr>
              <w:t>DCE-CT Peak Enhancement</w:t>
            </w:r>
          </w:p>
          <w:p w14:paraId="5A7662D8"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sz w:val="24"/>
                <w:szCs w:val="24"/>
              </w:rPr>
              <w:t>(Positive if ≥ 38·5)</w:t>
            </w:r>
            <w:r w:rsidRPr="007A7515">
              <w:rPr>
                <w:rFonts w:asciiTheme="minorHAnsi" w:hAnsiTheme="minorHAnsi" w:cs="Arial"/>
                <w:sz w:val="24"/>
                <w:szCs w:val="24"/>
              </w:rPr>
              <w:t xml:space="preserve"> (N=311)</w:t>
            </w:r>
          </w:p>
        </w:tc>
        <w:tc>
          <w:tcPr>
            <w:tcW w:w="1883" w:type="dxa"/>
            <w:tcBorders>
              <w:top w:val="single" w:sz="8" w:space="0" w:color="auto"/>
              <w:left w:val="single" w:sz="8" w:space="0" w:color="auto"/>
              <w:bottom w:val="single" w:sz="8" w:space="0" w:color="auto"/>
              <w:right w:val="single" w:sz="8" w:space="0" w:color="auto"/>
            </w:tcBorders>
            <w:vAlign w:val="center"/>
          </w:tcPr>
          <w:p w14:paraId="0ABAE9FD"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147/190 – 77·4%</w:t>
            </w:r>
          </w:p>
          <w:p w14:paraId="3FAF4981"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(70·9% to 82·7%)</w:t>
            </w:r>
          </w:p>
        </w:tc>
        <w:tc>
          <w:tcPr>
            <w:tcW w:w="1884" w:type="dxa"/>
            <w:tcBorders>
              <w:top w:val="single" w:sz="8" w:space="0" w:color="auto"/>
              <w:left w:val="single" w:sz="8" w:space="0" w:color="auto"/>
              <w:bottom w:val="single" w:sz="8" w:space="0" w:color="auto"/>
              <w:right w:val="single" w:sz="8" w:space="0" w:color="auto"/>
            </w:tcBorders>
            <w:vAlign w:val="center"/>
          </w:tcPr>
          <w:p w14:paraId="42A3B55A"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80/121 – 66·1%</w:t>
            </w:r>
          </w:p>
          <w:p w14:paraId="1D710F38"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(57·3% to 73·9%)</w:t>
            </w:r>
          </w:p>
        </w:tc>
        <w:tc>
          <w:tcPr>
            <w:tcW w:w="1883" w:type="dxa"/>
            <w:tcBorders>
              <w:top w:val="single" w:sz="8" w:space="0" w:color="auto"/>
              <w:left w:val="single" w:sz="8" w:space="0" w:color="auto"/>
              <w:bottom w:val="single" w:sz="8" w:space="0" w:color="auto"/>
              <w:right w:val="single" w:sz="8" w:space="0" w:color="auto"/>
            </w:tcBorders>
            <w:vAlign w:val="center"/>
          </w:tcPr>
          <w:p w14:paraId="1561A2CD"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80/123 – 65·0%</w:t>
            </w:r>
          </w:p>
          <w:p w14:paraId="5DAF4293"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(56·3% to 72·9%)</w:t>
            </w:r>
          </w:p>
        </w:tc>
        <w:tc>
          <w:tcPr>
            <w:tcW w:w="1884" w:type="dxa"/>
            <w:tcBorders>
              <w:top w:val="single" w:sz="8" w:space="0" w:color="auto"/>
              <w:left w:val="single" w:sz="8" w:space="0" w:color="auto"/>
              <w:bottom w:val="single" w:sz="8" w:space="0" w:color="auto"/>
              <w:right w:val="single" w:sz="8" w:space="0" w:color="auto"/>
            </w:tcBorders>
            <w:vAlign w:val="center"/>
          </w:tcPr>
          <w:p w14:paraId="2799F2C5"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147/188 – 78·2%</w:t>
            </w:r>
          </w:p>
          <w:p w14:paraId="58034296"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(71·8% to 83·5%)</w:t>
            </w:r>
          </w:p>
        </w:tc>
        <w:tc>
          <w:tcPr>
            <w:tcW w:w="1884" w:type="dxa"/>
            <w:tcBorders>
              <w:top w:val="single" w:sz="8" w:space="0" w:color="auto"/>
              <w:left w:val="single" w:sz="8" w:space="0" w:color="auto"/>
              <w:bottom w:val="single" w:sz="8" w:space="0" w:color="auto"/>
              <w:right w:val="single" w:sz="18" w:space="0" w:color="auto"/>
            </w:tcBorders>
            <w:vAlign w:val="center"/>
          </w:tcPr>
          <w:p w14:paraId="101E583A"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 xml:space="preserve">227/311 – 73·0% </w:t>
            </w:r>
          </w:p>
          <w:p w14:paraId="772B537A"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(67·8% to 77·6%)</w:t>
            </w:r>
          </w:p>
        </w:tc>
      </w:tr>
      <w:tr w:rsidR="00DA71DD" w:rsidRPr="007A7515" w14:paraId="7A995DFE" w14:textId="77777777" w:rsidTr="0069757B">
        <w:trPr>
          <w:cantSplit/>
          <w:trHeight w:val="720"/>
        </w:trPr>
        <w:tc>
          <w:tcPr>
            <w:tcW w:w="1890" w:type="dxa"/>
            <w:vMerge/>
            <w:tcBorders>
              <w:left w:val="single" w:sz="18" w:space="0" w:color="auto"/>
              <w:bottom w:val="single" w:sz="18" w:space="0" w:color="auto"/>
              <w:right w:val="single" w:sz="18" w:space="0" w:color="auto"/>
            </w:tcBorders>
            <w:vAlign w:val="center"/>
          </w:tcPr>
          <w:p w14:paraId="135F861A" w14:textId="77777777" w:rsidR="00DA71DD" w:rsidRPr="007A7515" w:rsidRDefault="00DA71DD" w:rsidP="00610ABB">
            <w:pPr>
              <w:rPr>
                <w:rFonts w:asciiTheme="minorHAnsi" w:hAnsiTheme="minorHAnsi" w:cstheme="minorHAnsi"/>
                <w:sz w:val="24"/>
                <w:szCs w:val="24"/>
              </w:rPr>
            </w:pPr>
          </w:p>
        </w:tc>
        <w:tc>
          <w:tcPr>
            <w:tcW w:w="4203" w:type="dxa"/>
            <w:tcBorders>
              <w:top w:val="single" w:sz="8" w:space="0" w:color="auto"/>
              <w:left w:val="single" w:sz="18" w:space="0" w:color="auto"/>
              <w:bottom w:val="single" w:sz="18" w:space="0" w:color="auto"/>
              <w:right w:val="single" w:sz="8" w:space="0" w:color="auto"/>
            </w:tcBorders>
            <w:vAlign w:val="center"/>
          </w:tcPr>
          <w:p w14:paraId="52A861AB" w14:textId="23CE3778" w:rsidR="00DA71DD" w:rsidRPr="007A7515" w:rsidRDefault="00F4186E" w:rsidP="00610ABB">
            <w:pPr>
              <w:widowControl w:val="0"/>
              <w:spacing w:line="340" w:lineRule="exact"/>
              <w:rPr>
                <w:rFonts w:asciiTheme="minorHAnsi" w:hAnsiTheme="minorHAnsi" w:cs="Arial"/>
                <w:sz w:val="24"/>
                <w:szCs w:val="24"/>
              </w:rPr>
            </w:pPr>
            <w:proofErr w:type="spellStart"/>
            <w:r w:rsidRPr="007A7515">
              <w:rPr>
                <w:rFonts w:asciiTheme="minorHAnsi" w:hAnsiTheme="minorHAnsi" w:cs="Arial"/>
                <w:sz w:val="24"/>
                <w:szCs w:val="24"/>
              </w:rPr>
              <w:t>SUVmax</w:t>
            </w:r>
            <w:proofErr w:type="spellEnd"/>
            <w:r w:rsidRPr="007A7515">
              <w:rPr>
                <w:rFonts w:asciiTheme="minorHAnsi" w:hAnsiTheme="minorHAnsi" w:cs="Arial"/>
                <w:sz w:val="24"/>
                <w:szCs w:val="24"/>
              </w:rPr>
              <w:t xml:space="preserve"> </w:t>
            </w:r>
            <w:r w:rsidR="00DA71DD" w:rsidRPr="007A7515">
              <w:rPr>
                <w:rFonts w:asciiTheme="minorHAnsi" w:hAnsiTheme="minorHAnsi" w:cs="Arial"/>
                <w:sz w:val="24"/>
                <w:szCs w:val="24"/>
              </w:rPr>
              <w:t>and DCE-CT Peak Enhancement</w:t>
            </w:r>
          </w:p>
          <w:p w14:paraId="20B7CF3D" w14:textId="77777777" w:rsidR="00DA71DD" w:rsidRPr="007A7515" w:rsidRDefault="00DA71DD" w:rsidP="00610ABB">
            <w:pPr>
              <w:rPr>
                <w:rFonts w:asciiTheme="minorHAnsi" w:hAnsiTheme="minorHAnsi" w:cstheme="minorHAnsi"/>
                <w:sz w:val="24"/>
                <w:szCs w:val="24"/>
              </w:rPr>
            </w:pPr>
            <w:r w:rsidRPr="007A7515">
              <w:rPr>
                <w:rFonts w:asciiTheme="minorHAnsi" w:hAnsiTheme="minorHAnsi"/>
                <w:sz w:val="24"/>
                <w:szCs w:val="24"/>
              </w:rPr>
              <w:t>(Positive if Probability ≥ 0·53) (N=308)</w:t>
            </w:r>
          </w:p>
        </w:tc>
        <w:tc>
          <w:tcPr>
            <w:tcW w:w="1883" w:type="dxa"/>
            <w:tcBorders>
              <w:top w:val="single" w:sz="8" w:space="0" w:color="auto"/>
              <w:left w:val="single" w:sz="8" w:space="0" w:color="auto"/>
              <w:bottom w:val="single" w:sz="18" w:space="0" w:color="auto"/>
              <w:right w:val="single" w:sz="8" w:space="0" w:color="auto"/>
            </w:tcBorders>
            <w:vAlign w:val="center"/>
          </w:tcPr>
          <w:p w14:paraId="46962323"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160/189 – 84·7%</w:t>
            </w:r>
          </w:p>
          <w:p w14:paraId="08CED69A"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(78·8% to 89·1%)</w:t>
            </w:r>
          </w:p>
        </w:tc>
        <w:tc>
          <w:tcPr>
            <w:tcW w:w="1884" w:type="dxa"/>
            <w:tcBorders>
              <w:top w:val="single" w:sz="8" w:space="0" w:color="auto"/>
              <w:left w:val="single" w:sz="8" w:space="0" w:color="auto"/>
              <w:bottom w:val="single" w:sz="18" w:space="0" w:color="auto"/>
              <w:right w:val="single" w:sz="8" w:space="0" w:color="auto"/>
            </w:tcBorders>
            <w:vAlign w:val="center"/>
          </w:tcPr>
          <w:p w14:paraId="020B801B"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92/119 – 77·3%</w:t>
            </w:r>
          </w:p>
          <w:p w14:paraId="0E3E3B17"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(69·0% to 83·9%)</w:t>
            </w:r>
          </w:p>
        </w:tc>
        <w:tc>
          <w:tcPr>
            <w:tcW w:w="1883" w:type="dxa"/>
            <w:tcBorders>
              <w:top w:val="single" w:sz="8" w:space="0" w:color="auto"/>
              <w:left w:val="single" w:sz="8" w:space="0" w:color="auto"/>
              <w:bottom w:val="single" w:sz="18" w:space="0" w:color="auto"/>
              <w:right w:val="single" w:sz="8" w:space="0" w:color="auto"/>
            </w:tcBorders>
            <w:vAlign w:val="center"/>
          </w:tcPr>
          <w:p w14:paraId="046DAC71"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92/121 – 76·0%</w:t>
            </w:r>
          </w:p>
          <w:p w14:paraId="7E7D0F50"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(67·7% to 82·8%)</w:t>
            </w:r>
          </w:p>
        </w:tc>
        <w:tc>
          <w:tcPr>
            <w:tcW w:w="1884" w:type="dxa"/>
            <w:tcBorders>
              <w:top w:val="single" w:sz="8" w:space="0" w:color="auto"/>
              <w:left w:val="single" w:sz="8" w:space="0" w:color="auto"/>
              <w:bottom w:val="single" w:sz="18" w:space="0" w:color="auto"/>
              <w:right w:val="single" w:sz="8" w:space="0" w:color="auto"/>
            </w:tcBorders>
            <w:vAlign w:val="center"/>
          </w:tcPr>
          <w:p w14:paraId="1EC16CF8"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160/187 – 85·6%</w:t>
            </w:r>
          </w:p>
          <w:p w14:paraId="7D7E3823"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(79·8% to 89·9%)</w:t>
            </w:r>
          </w:p>
        </w:tc>
        <w:tc>
          <w:tcPr>
            <w:tcW w:w="1884" w:type="dxa"/>
            <w:tcBorders>
              <w:top w:val="single" w:sz="8" w:space="0" w:color="auto"/>
              <w:left w:val="single" w:sz="8" w:space="0" w:color="auto"/>
              <w:bottom w:val="single" w:sz="18" w:space="0" w:color="auto"/>
              <w:right w:val="single" w:sz="18" w:space="0" w:color="auto"/>
            </w:tcBorders>
            <w:vAlign w:val="center"/>
          </w:tcPr>
          <w:p w14:paraId="6E3C92F2" w14:textId="77777777" w:rsidR="00DA71DD" w:rsidRPr="007A7515" w:rsidRDefault="00DA71DD" w:rsidP="00610ABB">
            <w:pPr>
              <w:widowControl w:val="0"/>
              <w:spacing w:line="340" w:lineRule="exact"/>
              <w:jc w:val="right"/>
              <w:rPr>
                <w:rFonts w:asciiTheme="minorHAnsi" w:hAnsiTheme="minorHAnsi"/>
                <w:sz w:val="24"/>
                <w:szCs w:val="24"/>
              </w:rPr>
            </w:pPr>
            <w:r w:rsidRPr="007A7515">
              <w:rPr>
                <w:rFonts w:asciiTheme="minorHAnsi" w:hAnsiTheme="minorHAnsi"/>
                <w:sz w:val="24"/>
                <w:szCs w:val="24"/>
              </w:rPr>
              <w:t>252/308 – 81·8%</w:t>
            </w:r>
          </w:p>
          <w:p w14:paraId="24DE2E0D" w14:textId="77777777" w:rsidR="00DA71DD" w:rsidRPr="007A7515" w:rsidRDefault="00DA71DD" w:rsidP="00610ABB">
            <w:pPr>
              <w:jc w:val="right"/>
              <w:rPr>
                <w:rFonts w:asciiTheme="minorHAnsi" w:hAnsiTheme="minorHAnsi" w:cstheme="minorHAnsi"/>
                <w:sz w:val="24"/>
                <w:szCs w:val="24"/>
              </w:rPr>
            </w:pPr>
            <w:r w:rsidRPr="007A7515">
              <w:rPr>
                <w:rFonts w:asciiTheme="minorHAnsi" w:hAnsiTheme="minorHAnsi"/>
                <w:sz w:val="24"/>
                <w:szCs w:val="24"/>
              </w:rPr>
              <w:t>(77·1% to 85·7%)</w:t>
            </w:r>
          </w:p>
        </w:tc>
      </w:tr>
    </w:tbl>
    <w:p w14:paraId="68B7DF18" w14:textId="77777777" w:rsidR="00DA71DD" w:rsidRPr="007A7515" w:rsidRDefault="00DA71DD" w:rsidP="00DA71DD">
      <w:pPr>
        <w:jc w:val="both"/>
        <w:rPr>
          <w:rFonts w:asciiTheme="minorHAnsi" w:hAnsiTheme="minorHAnsi" w:cstheme="minorHAnsi"/>
          <w:sz w:val="24"/>
          <w:szCs w:val="24"/>
        </w:rPr>
      </w:pPr>
    </w:p>
    <w:p w14:paraId="70F68571" w14:textId="48FA49C8" w:rsidR="00DA71DD" w:rsidRPr="007A7515" w:rsidRDefault="00F4186E" w:rsidP="005E4C87">
      <w:pPr>
        <w:spacing w:after="200" w:line="276" w:lineRule="auto"/>
        <w:rPr>
          <w:rFonts w:asciiTheme="minorHAnsi" w:hAnsiTheme="minorHAnsi" w:cstheme="minorHAnsi"/>
          <w:bCs/>
          <w:sz w:val="24"/>
          <w:szCs w:val="24"/>
        </w:rPr>
      </w:pPr>
      <w:r w:rsidRPr="007A7515">
        <w:rPr>
          <w:rFonts w:asciiTheme="minorHAnsi" w:hAnsiTheme="minorHAnsi" w:cstheme="minorHAnsi"/>
          <w:bCs/>
          <w:sz w:val="24"/>
          <w:szCs w:val="24"/>
        </w:rPr>
        <w:t xml:space="preserve">Abbreviations: </w:t>
      </w:r>
      <w:proofErr w:type="spellStart"/>
      <w:r w:rsidRPr="007A7515">
        <w:rPr>
          <w:rFonts w:asciiTheme="minorHAnsi" w:hAnsiTheme="minorHAnsi" w:cstheme="minorHAnsi"/>
          <w:bCs/>
          <w:sz w:val="24"/>
          <w:szCs w:val="24"/>
        </w:rPr>
        <w:t>SUVmax</w:t>
      </w:r>
      <w:proofErr w:type="spellEnd"/>
      <w:r w:rsidRPr="007A7515">
        <w:rPr>
          <w:rFonts w:asciiTheme="minorHAnsi" w:hAnsiTheme="minorHAnsi" w:cstheme="minorHAnsi"/>
          <w:bCs/>
          <w:sz w:val="24"/>
          <w:szCs w:val="24"/>
        </w:rPr>
        <w:t>=</w:t>
      </w:r>
      <w:r w:rsidRPr="007A7515">
        <w:rPr>
          <w:sz w:val="24"/>
          <w:szCs w:val="24"/>
        </w:rPr>
        <w:t xml:space="preserve"> </w:t>
      </w:r>
      <w:r w:rsidRPr="007A7515">
        <w:rPr>
          <w:rFonts w:asciiTheme="minorHAnsi" w:hAnsiTheme="minorHAnsi" w:cstheme="minorHAnsi"/>
          <w:bCs/>
          <w:sz w:val="24"/>
          <w:szCs w:val="24"/>
        </w:rPr>
        <w:t>maximum standardised uptake value</w:t>
      </w:r>
      <w:r w:rsidR="005E4C87" w:rsidRPr="007A7515">
        <w:rPr>
          <w:rFonts w:asciiTheme="minorHAnsi" w:hAnsiTheme="minorHAnsi" w:cstheme="minorHAnsi"/>
          <w:bCs/>
          <w:sz w:val="24"/>
          <w:szCs w:val="24"/>
        </w:rPr>
        <w:t>, DCE-CT=</w:t>
      </w:r>
      <w:r w:rsidR="005E4C87" w:rsidRPr="007A7515">
        <w:rPr>
          <w:sz w:val="24"/>
          <w:szCs w:val="24"/>
        </w:rPr>
        <w:t xml:space="preserve"> </w:t>
      </w:r>
      <w:r w:rsidR="005E4C87" w:rsidRPr="007A7515">
        <w:rPr>
          <w:rFonts w:asciiTheme="minorHAnsi" w:hAnsiTheme="minorHAnsi" w:cstheme="minorHAnsi"/>
          <w:bCs/>
          <w:sz w:val="24"/>
          <w:szCs w:val="24"/>
        </w:rPr>
        <w:t>dynamic contrast-enhanced computed tomography.</w:t>
      </w:r>
    </w:p>
    <w:p w14:paraId="3C6A2534" w14:textId="77777777" w:rsidR="00DA71DD" w:rsidRPr="007A7515" w:rsidRDefault="00DA71DD" w:rsidP="00DA71DD">
      <w:pPr>
        <w:spacing w:after="200" w:line="276" w:lineRule="auto"/>
        <w:rPr>
          <w:rFonts w:asciiTheme="minorHAnsi" w:hAnsiTheme="minorHAnsi" w:cstheme="minorHAnsi"/>
          <w:bCs/>
          <w:sz w:val="24"/>
          <w:szCs w:val="24"/>
        </w:rPr>
        <w:sectPr w:rsidR="00DA71DD" w:rsidRPr="007A7515" w:rsidSect="00A86897">
          <w:pgSz w:w="16838" w:h="11906" w:orient="landscape"/>
          <w:pgMar w:top="1440" w:right="1440" w:bottom="1440" w:left="1440" w:header="709" w:footer="709" w:gutter="0"/>
          <w:cols w:space="708"/>
          <w:titlePg/>
          <w:docGrid w:linePitch="360"/>
        </w:sectPr>
      </w:pPr>
    </w:p>
    <w:p w14:paraId="4F221E1F" w14:textId="0504068E" w:rsidR="00DA71DD" w:rsidRPr="007A7515" w:rsidRDefault="00DA71DD" w:rsidP="00DA71DD">
      <w:pPr>
        <w:pStyle w:val="Caption"/>
        <w:keepNext/>
        <w:rPr>
          <w:rFonts w:asciiTheme="minorHAnsi" w:hAnsiTheme="minorHAnsi" w:cstheme="minorHAnsi"/>
          <w:sz w:val="24"/>
          <w:szCs w:val="24"/>
        </w:rPr>
      </w:pPr>
      <w:bookmarkStart w:id="19" w:name="_Ref15178187"/>
      <w:r w:rsidRPr="007A7515">
        <w:rPr>
          <w:rFonts w:asciiTheme="minorHAnsi" w:hAnsiTheme="minorHAnsi" w:cstheme="minorHAnsi"/>
          <w:sz w:val="24"/>
          <w:szCs w:val="24"/>
        </w:rPr>
        <w:lastRenderedPageBreak/>
        <w:t xml:space="preserve">Table </w:t>
      </w:r>
      <w:bookmarkEnd w:id="19"/>
      <w:r w:rsidRPr="007A7515">
        <w:rPr>
          <w:rFonts w:asciiTheme="minorHAnsi" w:hAnsiTheme="minorHAnsi" w:cstheme="minorHAnsi"/>
          <w:noProof/>
          <w:sz w:val="24"/>
          <w:szCs w:val="24"/>
        </w:rPr>
        <w:t>6:</w:t>
      </w:r>
      <w:r w:rsidRPr="007A7515">
        <w:rPr>
          <w:rFonts w:asciiTheme="minorHAnsi" w:hAnsiTheme="minorHAnsi" w:cstheme="minorHAnsi"/>
          <w:sz w:val="24"/>
          <w:szCs w:val="24"/>
        </w:rPr>
        <w:t xml:space="preserve"> Costs and consequences results for base case analysis</w:t>
      </w:r>
      <w:r w:rsidR="006D0FE0">
        <w:rPr>
          <w:rFonts w:asciiTheme="minorHAnsi" w:hAnsiTheme="minorHAnsi" w:cstheme="minorHAnsi"/>
          <w:sz w:val="24"/>
          <w:szCs w:val="24"/>
        </w:rPr>
        <w:t xml:space="preserve"> from a healthcare system perspective.</w:t>
      </w:r>
    </w:p>
    <w:tbl>
      <w:tblPr>
        <w:tblW w:w="99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3"/>
        <w:gridCol w:w="1678"/>
        <w:gridCol w:w="1742"/>
        <w:gridCol w:w="2167"/>
      </w:tblGrid>
      <w:tr w:rsidR="00DA71DD" w:rsidRPr="007A7515" w14:paraId="07248431" w14:textId="77777777" w:rsidTr="00610ABB">
        <w:trPr>
          <w:trHeight w:val="238"/>
        </w:trPr>
        <w:tc>
          <w:tcPr>
            <w:tcW w:w="4383" w:type="dxa"/>
            <w:shd w:val="clear" w:color="000000" w:fill="FFFFFF"/>
            <w:noWrap/>
            <w:tcMar>
              <w:top w:w="15" w:type="dxa"/>
              <w:left w:w="15" w:type="dxa"/>
              <w:bottom w:w="0" w:type="dxa"/>
              <w:right w:w="15" w:type="dxa"/>
            </w:tcMar>
            <w:vAlign w:val="center"/>
            <w:hideMark/>
          </w:tcPr>
          <w:p w14:paraId="6AEA6A1E" w14:textId="77777777" w:rsidR="00DA71DD" w:rsidRPr="007A7515" w:rsidRDefault="00DA71DD" w:rsidP="00610ABB">
            <w:pPr>
              <w:spacing w:line="360" w:lineRule="auto"/>
              <w:jc w:val="center"/>
              <w:rPr>
                <w:rFonts w:asciiTheme="minorHAnsi" w:hAnsiTheme="minorHAnsi" w:cstheme="minorHAnsi"/>
                <w:b/>
                <w:bCs/>
                <w:color w:val="000000"/>
                <w:sz w:val="24"/>
                <w:szCs w:val="24"/>
                <w:lang w:eastAsia="en-GB"/>
              </w:rPr>
            </w:pPr>
            <w:r w:rsidRPr="007A7515">
              <w:rPr>
                <w:rFonts w:asciiTheme="minorHAnsi" w:hAnsiTheme="minorHAnsi" w:cstheme="minorHAnsi"/>
                <w:b/>
                <w:bCs/>
                <w:color w:val="000000"/>
                <w:sz w:val="24"/>
                <w:szCs w:val="24"/>
              </w:rPr>
              <w:t>Single Outcomes</w:t>
            </w:r>
          </w:p>
        </w:tc>
        <w:tc>
          <w:tcPr>
            <w:tcW w:w="1678" w:type="dxa"/>
            <w:shd w:val="clear" w:color="000000" w:fill="FFFFFF"/>
            <w:tcMar>
              <w:top w:w="15" w:type="dxa"/>
              <w:left w:w="15" w:type="dxa"/>
              <w:bottom w:w="0" w:type="dxa"/>
              <w:right w:w="15" w:type="dxa"/>
            </w:tcMar>
            <w:vAlign w:val="center"/>
            <w:hideMark/>
          </w:tcPr>
          <w:p w14:paraId="2155D70A" w14:textId="6CA18C76" w:rsidR="00DA71DD" w:rsidRPr="009864EC" w:rsidRDefault="00DA71DD" w:rsidP="009864EC">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PET/CT</w:t>
            </w:r>
          </w:p>
        </w:tc>
        <w:tc>
          <w:tcPr>
            <w:tcW w:w="1742" w:type="dxa"/>
            <w:shd w:val="clear" w:color="000000" w:fill="FFFFFF"/>
            <w:tcMar>
              <w:top w:w="15" w:type="dxa"/>
              <w:left w:w="15" w:type="dxa"/>
              <w:bottom w:w="0" w:type="dxa"/>
              <w:right w:w="15" w:type="dxa"/>
            </w:tcMar>
            <w:vAlign w:val="center"/>
            <w:hideMark/>
          </w:tcPr>
          <w:p w14:paraId="02FD168B" w14:textId="04A75735" w:rsidR="00DA71DD" w:rsidRPr="007A7515" w:rsidRDefault="00DA71DD" w:rsidP="009864EC">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DCE-CT</w:t>
            </w:r>
          </w:p>
        </w:tc>
        <w:tc>
          <w:tcPr>
            <w:tcW w:w="2167" w:type="dxa"/>
            <w:shd w:val="clear" w:color="000000" w:fill="FFFFFF"/>
            <w:noWrap/>
            <w:tcMar>
              <w:top w:w="15" w:type="dxa"/>
              <w:left w:w="15" w:type="dxa"/>
              <w:bottom w:w="0" w:type="dxa"/>
              <w:right w:w="15" w:type="dxa"/>
            </w:tcMar>
            <w:vAlign w:val="center"/>
            <w:hideMark/>
          </w:tcPr>
          <w:p w14:paraId="0A700961" w14:textId="0DC9E820" w:rsidR="00DA71DD" w:rsidRPr="007A7515" w:rsidRDefault="00DA71DD" w:rsidP="009864EC">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DCE-CT /PET/CT</w:t>
            </w:r>
          </w:p>
        </w:tc>
      </w:tr>
      <w:tr w:rsidR="00DA71DD" w:rsidRPr="007A7515" w14:paraId="3FFDEF35" w14:textId="77777777" w:rsidTr="00610ABB">
        <w:tblPrEx>
          <w:tblCellMar>
            <w:left w:w="108" w:type="dxa"/>
            <w:right w:w="108" w:type="dxa"/>
          </w:tblCellMar>
        </w:tblPrEx>
        <w:trPr>
          <w:trHeight w:val="238"/>
        </w:trPr>
        <w:tc>
          <w:tcPr>
            <w:tcW w:w="4383" w:type="dxa"/>
            <w:shd w:val="clear" w:color="000000" w:fill="FFFFFF"/>
            <w:vAlign w:val="center"/>
            <w:hideMark/>
          </w:tcPr>
          <w:p w14:paraId="1EEFF6E3"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 xml:space="preserve">Cost </w:t>
            </w:r>
          </w:p>
        </w:tc>
        <w:tc>
          <w:tcPr>
            <w:tcW w:w="1678" w:type="dxa"/>
            <w:shd w:val="clear" w:color="auto" w:fill="auto"/>
            <w:noWrap/>
            <w:vAlign w:val="center"/>
            <w:hideMark/>
          </w:tcPr>
          <w:p w14:paraId="76DF26F2"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£4013 (206)</w:t>
            </w:r>
          </w:p>
        </w:tc>
        <w:tc>
          <w:tcPr>
            <w:tcW w:w="1742" w:type="dxa"/>
            <w:shd w:val="clear" w:color="auto" w:fill="auto"/>
            <w:noWrap/>
            <w:vAlign w:val="center"/>
            <w:hideMark/>
          </w:tcPr>
          <w:p w14:paraId="69E612DD"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£3305 (199)</w:t>
            </w:r>
          </w:p>
        </w:tc>
        <w:tc>
          <w:tcPr>
            <w:tcW w:w="2167" w:type="dxa"/>
            <w:shd w:val="clear" w:color="auto" w:fill="auto"/>
            <w:noWrap/>
            <w:vAlign w:val="center"/>
            <w:hideMark/>
          </w:tcPr>
          <w:p w14:paraId="3A6E995A"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£4058 (210)</w:t>
            </w:r>
          </w:p>
        </w:tc>
      </w:tr>
      <w:tr w:rsidR="00DA71DD" w:rsidRPr="007A7515" w14:paraId="50186D40" w14:textId="77777777" w:rsidTr="00610ABB">
        <w:tblPrEx>
          <w:tblCellMar>
            <w:left w:w="108" w:type="dxa"/>
            <w:right w:w="108" w:type="dxa"/>
          </w:tblCellMar>
        </w:tblPrEx>
        <w:trPr>
          <w:trHeight w:val="238"/>
        </w:trPr>
        <w:tc>
          <w:tcPr>
            <w:tcW w:w="4383" w:type="dxa"/>
            <w:shd w:val="clear" w:color="000000" w:fill="FFFFFF"/>
            <w:vAlign w:val="center"/>
            <w:hideMark/>
          </w:tcPr>
          <w:p w14:paraId="0BCE921C"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 xml:space="preserve">Accurately managed cases </w:t>
            </w:r>
          </w:p>
        </w:tc>
        <w:tc>
          <w:tcPr>
            <w:tcW w:w="1678" w:type="dxa"/>
            <w:shd w:val="clear" w:color="auto" w:fill="auto"/>
            <w:noWrap/>
            <w:vAlign w:val="center"/>
            <w:hideMark/>
          </w:tcPr>
          <w:p w14:paraId="0EC7E516" w14:textId="52D52EE2"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82</w:t>
            </w:r>
            <w:r w:rsidR="00FB4D6C" w:rsidRPr="007A7515">
              <w:rPr>
                <w:rFonts w:asciiTheme="minorHAnsi" w:hAnsiTheme="minorHAnsi" w:cstheme="minorHAnsi"/>
                <w:color w:val="000000"/>
                <w:sz w:val="24"/>
                <w:szCs w:val="24"/>
              </w:rPr>
              <w:t>·</w:t>
            </w:r>
            <w:r w:rsidR="00FB4D6C">
              <w:rPr>
                <w:rFonts w:asciiTheme="minorHAnsi" w:hAnsiTheme="minorHAnsi" w:cstheme="minorHAnsi"/>
                <w:color w:val="000000"/>
                <w:sz w:val="24"/>
                <w:szCs w:val="24"/>
              </w:rPr>
              <w:t>0</w:t>
            </w:r>
            <w:r w:rsidRPr="007A7515">
              <w:rPr>
                <w:rFonts w:asciiTheme="minorHAnsi" w:hAnsiTheme="minorHAnsi" w:cstheme="minorHAnsi"/>
                <w:color w:val="000000"/>
                <w:sz w:val="24"/>
                <w:szCs w:val="24"/>
              </w:rPr>
              <w:t>% (1·6%)</w:t>
            </w:r>
          </w:p>
        </w:tc>
        <w:tc>
          <w:tcPr>
            <w:tcW w:w="1742" w:type="dxa"/>
            <w:shd w:val="clear" w:color="auto" w:fill="auto"/>
            <w:noWrap/>
            <w:vAlign w:val="center"/>
            <w:hideMark/>
          </w:tcPr>
          <w:p w14:paraId="25AC3737" w14:textId="27EFB0A1"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77·8% (2</w:t>
            </w:r>
            <w:r w:rsidR="00FB4D6C" w:rsidRPr="007A7515">
              <w:rPr>
                <w:rFonts w:asciiTheme="minorHAnsi" w:hAnsiTheme="minorHAnsi" w:cstheme="minorHAnsi"/>
                <w:color w:val="000000"/>
                <w:sz w:val="24"/>
                <w:szCs w:val="24"/>
              </w:rPr>
              <w:t>·</w:t>
            </w:r>
            <w:r w:rsidR="00FB4D6C">
              <w:rPr>
                <w:rFonts w:asciiTheme="minorHAnsi" w:hAnsiTheme="minorHAnsi" w:cstheme="minorHAnsi"/>
                <w:color w:val="000000"/>
                <w:sz w:val="24"/>
                <w:szCs w:val="24"/>
              </w:rPr>
              <w:t>0</w:t>
            </w:r>
            <w:r w:rsidRPr="007A7515">
              <w:rPr>
                <w:rFonts w:asciiTheme="minorHAnsi" w:hAnsiTheme="minorHAnsi" w:cstheme="minorHAnsi"/>
                <w:color w:val="000000"/>
                <w:sz w:val="24"/>
                <w:szCs w:val="24"/>
              </w:rPr>
              <w:t>%)</w:t>
            </w:r>
          </w:p>
        </w:tc>
        <w:tc>
          <w:tcPr>
            <w:tcW w:w="2167" w:type="dxa"/>
            <w:shd w:val="clear" w:color="auto" w:fill="auto"/>
            <w:noWrap/>
            <w:vAlign w:val="center"/>
            <w:hideMark/>
          </w:tcPr>
          <w:p w14:paraId="5ACEF1A0"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84·4% (1·4%)</w:t>
            </w:r>
          </w:p>
        </w:tc>
      </w:tr>
      <w:tr w:rsidR="00DA71DD" w:rsidRPr="007A7515" w14:paraId="6B87FA54" w14:textId="77777777" w:rsidTr="00610ABB">
        <w:tblPrEx>
          <w:tblCellMar>
            <w:left w:w="108" w:type="dxa"/>
            <w:right w:w="108" w:type="dxa"/>
          </w:tblCellMar>
        </w:tblPrEx>
        <w:trPr>
          <w:trHeight w:val="238"/>
        </w:trPr>
        <w:tc>
          <w:tcPr>
            <w:tcW w:w="4383" w:type="dxa"/>
            <w:shd w:val="clear" w:color="000000" w:fill="FFFFFF"/>
            <w:vAlign w:val="center"/>
            <w:hideMark/>
          </w:tcPr>
          <w:p w14:paraId="54242031"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 xml:space="preserve">Malignancies treated </w:t>
            </w:r>
          </w:p>
        </w:tc>
        <w:tc>
          <w:tcPr>
            <w:tcW w:w="1678" w:type="dxa"/>
            <w:shd w:val="clear" w:color="auto" w:fill="auto"/>
            <w:noWrap/>
            <w:vAlign w:val="center"/>
            <w:hideMark/>
          </w:tcPr>
          <w:p w14:paraId="08F3DFE1"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44·2% (2·5%)</w:t>
            </w:r>
          </w:p>
        </w:tc>
        <w:tc>
          <w:tcPr>
            <w:tcW w:w="1742" w:type="dxa"/>
            <w:shd w:val="clear" w:color="auto" w:fill="auto"/>
            <w:noWrap/>
            <w:vAlign w:val="center"/>
            <w:hideMark/>
          </w:tcPr>
          <w:p w14:paraId="0EE079AE"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40·1% (2·5%)</w:t>
            </w:r>
          </w:p>
        </w:tc>
        <w:tc>
          <w:tcPr>
            <w:tcW w:w="2167" w:type="dxa"/>
            <w:shd w:val="clear" w:color="auto" w:fill="auto"/>
            <w:noWrap/>
            <w:vAlign w:val="center"/>
            <w:hideMark/>
          </w:tcPr>
          <w:p w14:paraId="54A8D1DD"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46·7% (2·4%)</w:t>
            </w:r>
          </w:p>
        </w:tc>
      </w:tr>
      <w:tr w:rsidR="00DA71DD" w:rsidRPr="007A7515" w14:paraId="1E86DA5C" w14:textId="77777777" w:rsidTr="00610ABB">
        <w:tblPrEx>
          <w:tblCellMar>
            <w:left w:w="108" w:type="dxa"/>
            <w:right w:w="108" w:type="dxa"/>
          </w:tblCellMar>
        </w:tblPrEx>
        <w:trPr>
          <w:trHeight w:val="238"/>
        </w:trPr>
        <w:tc>
          <w:tcPr>
            <w:tcW w:w="4383" w:type="dxa"/>
            <w:shd w:val="clear" w:color="000000" w:fill="FFFFFF"/>
            <w:vAlign w:val="center"/>
            <w:hideMark/>
          </w:tcPr>
          <w:p w14:paraId="5A9B49B2"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QALYS</w:t>
            </w:r>
          </w:p>
        </w:tc>
        <w:tc>
          <w:tcPr>
            <w:tcW w:w="1678" w:type="dxa"/>
            <w:shd w:val="clear" w:color="auto" w:fill="auto"/>
            <w:noWrap/>
            <w:vAlign w:val="center"/>
          </w:tcPr>
          <w:p w14:paraId="12672222"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7·64 (0·25)</w:t>
            </w:r>
          </w:p>
        </w:tc>
        <w:tc>
          <w:tcPr>
            <w:tcW w:w="1742" w:type="dxa"/>
            <w:shd w:val="clear" w:color="auto" w:fill="auto"/>
            <w:noWrap/>
            <w:vAlign w:val="center"/>
          </w:tcPr>
          <w:p w14:paraId="19953E7B"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7·43 (0·26)</w:t>
            </w:r>
          </w:p>
        </w:tc>
        <w:tc>
          <w:tcPr>
            <w:tcW w:w="2167" w:type="dxa"/>
            <w:shd w:val="clear" w:color="auto" w:fill="auto"/>
            <w:noWrap/>
            <w:vAlign w:val="center"/>
          </w:tcPr>
          <w:p w14:paraId="0D8ABD25"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7·76 (0·24)</w:t>
            </w:r>
          </w:p>
        </w:tc>
      </w:tr>
      <w:tr w:rsidR="00DA71DD" w:rsidRPr="007A7515" w14:paraId="4EFDEF7F" w14:textId="77777777" w:rsidTr="00610ABB">
        <w:tblPrEx>
          <w:tblCellMar>
            <w:left w:w="108" w:type="dxa"/>
            <w:right w:w="108" w:type="dxa"/>
          </w:tblCellMar>
        </w:tblPrEx>
        <w:trPr>
          <w:trHeight w:val="238"/>
        </w:trPr>
        <w:tc>
          <w:tcPr>
            <w:tcW w:w="4383" w:type="dxa"/>
            <w:shd w:val="clear" w:color="000000" w:fill="FFFFFF"/>
            <w:vAlign w:val="center"/>
            <w:hideMark/>
          </w:tcPr>
          <w:p w14:paraId="3673AB74"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Life expectancy (years)</w:t>
            </w:r>
          </w:p>
        </w:tc>
        <w:tc>
          <w:tcPr>
            <w:tcW w:w="1678" w:type="dxa"/>
            <w:shd w:val="clear" w:color="auto" w:fill="auto"/>
            <w:noWrap/>
            <w:vAlign w:val="center"/>
          </w:tcPr>
          <w:p w14:paraId="0E85452E"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10·5 (0·32)</w:t>
            </w:r>
          </w:p>
        </w:tc>
        <w:tc>
          <w:tcPr>
            <w:tcW w:w="1742" w:type="dxa"/>
            <w:shd w:val="clear" w:color="auto" w:fill="auto"/>
            <w:noWrap/>
            <w:vAlign w:val="center"/>
          </w:tcPr>
          <w:p w14:paraId="29BBA67E"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10·22 (0·34)</w:t>
            </w:r>
          </w:p>
        </w:tc>
        <w:tc>
          <w:tcPr>
            <w:tcW w:w="2167" w:type="dxa"/>
            <w:shd w:val="clear" w:color="auto" w:fill="auto"/>
            <w:noWrap/>
            <w:vAlign w:val="center"/>
          </w:tcPr>
          <w:p w14:paraId="1EEEECC4"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10·65 (0·31)</w:t>
            </w:r>
          </w:p>
        </w:tc>
      </w:tr>
      <w:tr w:rsidR="00DA71DD" w:rsidRPr="007A7515" w14:paraId="579D0E01" w14:textId="77777777" w:rsidTr="00610ABB">
        <w:tblPrEx>
          <w:tblCellMar>
            <w:left w:w="108" w:type="dxa"/>
            <w:right w:w="108" w:type="dxa"/>
          </w:tblCellMar>
        </w:tblPrEx>
        <w:trPr>
          <w:trHeight w:val="238"/>
        </w:trPr>
        <w:tc>
          <w:tcPr>
            <w:tcW w:w="4383" w:type="dxa"/>
            <w:shd w:val="clear" w:color="000000" w:fill="FFFFFF"/>
            <w:vAlign w:val="center"/>
            <w:hideMark/>
          </w:tcPr>
          <w:p w14:paraId="7ED9C23C"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Delayed or no treatment</w:t>
            </w:r>
          </w:p>
        </w:tc>
        <w:tc>
          <w:tcPr>
            <w:tcW w:w="1678" w:type="dxa"/>
            <w:shd w:val="clear" w:color="auto" w:fill="auto"/>
            <w:noWrap/>
            <w:vAlign w:val="center"/>
            <w:hideMark/>
          </w:tcPr>
          <w:p w14:paraId="02FD759B"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20·31% (1·84%)</w:t>
            </w:r>
          </w:p>
        </w:tc>
        <w:tc>
          <w:tcPr>
            <w:tcW w:w="1742" w:type="dxa"/>
            <w:shd w:val="clear" w:color="auto" w:fill="auto"/>
            <w:noWrap/>
            <w:vAlign w:val="center"/>
            <w:hideMark/>
          </w:tcPr>
          <w:p w14:paraId="50956DE2"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25·63% (2·15%)</w:t>
            </w:r>
          </w:p>
        </w:tc>
        <w:tc>
          <w:tcPr>
            <w:tcW w:w="2167" w:type="dxa"/>
            <w:shd w:val="clear" w:color="auto" w:fill="auto"/>
            <w:noWrap/>
            <w:vAlign w:val="center"/>
            <w:hideMark/>
          </w:tcPr>
          <w:p w14:paraId="0FA56840"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17·18% (1·59%)</w:t>
            </w:r>
          </w:p>
        </w:tc>
      </w:tr>
      <w:tr w:rsidR="00DA71DD" w:rsidRPr="007A7515" w14:paraId="76C86C17" w14:textId="77777777" w:rsidTr="00610ABB">
        <w:tblPrEx>
          <w:tblCellMar>
            <w:left w:w="108" w:type="dxa"/>
            <w:right w:w="108" w:type="dxa"/>
          </w:tblCellMar>
        </w:tblPrEx>
        <w:trPr>
          <w:trHeight w:val="470"/>
        </w:trPr>
        <w:tc>
          <w:tcPr>
            <w:tcW w:w="4383" w:type="dxa"/>
            <w:shd w:val="clear" w:color="000000" w:fill="FFFFFF"/>
            <w:vAlign w:val="center"/>
            <w:hideMark/>
          </w:tcPr>
          <w:p w14:paraId="3F2F2364"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 xml:space="preserve">Malignancies missed </w:t>
            </w:r>
          </w:p>
        </w:tc>
        <w:tc>
          <w:tcPr>
            <w:tcW w:w="1678" w:type="dxa"/>
            <w:shd w:val="clear" w:color="auto" w:fill="auto"/>
            <w:noWrap/>
            <w:vAlign w:val="center"/>
            <w:hideMark/>
          </w:tcPr>
          <w:p w14:paraId="0E6D83CE"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16·2% (1·68%)</w:t>
            </w:r>
          </w:p>
        </w:tc>
        <w:tc>
          <w:tcPr>
            <w:tcW w:w="1742" w:type="dxa"/>
            <w:shd w:val="clear" w:color="auto" w:fill="auto"/>
            <w:noWrap/>
            <w:vAlign w:val="center"/>
            <w:hideMark/>
          </w:tcPr>
          <w:p w14:paraId="1A662C76"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20·49% (2·04%)</w:t>
            </w:r>
          </w:p>
        </w:tc>
        <w:tc>
          <w:tcPr>
            <w:tcW w:w="2167" w:type="dxa"/>
            <w:shd w:val="clear" w:color="auto" w:fill="auto"/>
            <w:noWrap/>
            <w:vAlign w:val="center"/>
            <w:hideMark/>
          </w:tcPr>
          <w:p w14:paraId="5CC46E4D"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13·71% (1·43%)</w:t>
            </w:r>
          </w:p>
        </w:tc>
      </w:tr>
      <w:tr w:rsidR="00DA71DD" w:rsidRPr="007A7515" w14:paraId="5DAEB871" w14:textId="77777777" w:rsidTr="00610ABB">
        <w:tblPrEx>
          <w:tblCellMar>
            <w:left w:w="108" w:type="dxa"/>
            <w:right w:w="108" w:type="dxa"/>
          </w:tblCellMar>
        </w:tblPrEx>
        <w:trPr>
          <w:trHeight w:val="470"/>
        </w:trPr>
        <w:tc>
          <w:tcPr>
            <w:tcW w:w="4383" w:type="dxa"/>
            <w:shd w:val="clear" w:color="000000" w:fill="FFFFFF"/>
            <w:vAlign w:val="center"/>
            <w:hideMark/>
          </w:tcPr>
          <w:p w14:paraId="01E7B2AF"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Benign cases treated</w:t>
            </w:r>
          </w:p>
        </w:tc>
        <w:tc>
          <w:tcPr>
            <w:tcW w:w="1678" w:type="dxa"/>
            <w:shd w:val="clear" w:color="auto" w:fill="auto"/>
            <w:noWrap/>
            <w:vAlign w:val="center"/>
            <w:hideMark/>
          </w:tcPr>
          <w:p w14:paraId="30BE8EA9"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9·91% (1·25%)</w:t>
            </w:r>
          </w:p>
        </w:tc>
        <w:tc>
          <w:tcPr>
            <w:tcW w:w="1742" w:type="dxa"/>
            <w:shd w:val="clear" w:color="auto" w:fill="auto"/>
            <w:noWrap/>
            <w:vAlign w:val="center"/>
            <w:hideMark/>
          </w:tcPr>
          <w:p w14:paraId="1973ADE2"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9·8% (1·25%)</w:t>
            </w:r>
          </w:p>
        </w:tc>
        <w:tc>
          <w:tcPr>
            <w:tcW w:w="2167" w:type="dxa"/>
            <w:shd w:val="clear" w:color="auto" w:fill="auto"/>
            <w:noWrap/>
            <w:vAlign w:val="center"/>
            <w:hideMark/>
          </w:tcPr>
          <w:p w14:paraId="05E28255" w14:textId="5EABA282"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9</w:t>
            </w:r>
            <w:r w:rsidR="00FB4D6C" w:rsidRPr="007A7515">
              <w:rPr>
                <w:rFonts w:asciiTheme="minorHAnsi" w:hAnsiTheme="minorHAnsi" w:cstheme="minorHAnsi"/>
                <w:color w:val="000000"/>
                <w:sz w:val="24"/>
                <w:szCs w:val="24"/>
              </w:rPr>
              <w:t>·</w:t>
            </w:r>
            <w:r w:rsidR="00FB4D6C">
              <w:rPr>
                <w:rFonts w:asciiTheme="minorHAnsi" w:hAnsiTheme="minorHAnsi" w:cstheme="minorHAnsi"/>
                <w:color w:val="000000"/>
                <w:sz w:val="24"/>
                <w:szCs w:val="24"/>
              </w:rPr>
              <w:t>0</w:t>
            </w:r>
            <w:r w:rsidRPr="007A7515">
              <w:rPr>
                <w:rFonts w:asciiTheme="minorHAnsi" w:hAnsiTheme="minorHAnsi" w:cstheme="minorHAnsi"/>
                <w:color w:val="000000"/>
                <w:sz w:val="24"/>
                <w:szCs w:val="24"/>
              </w:rPr>
              <w:t>% (1·23%)</w:t>
            </w:r>
          </w:p>
        </w:tc>
      </w:tr>
      <w:tr w:rsidR="00DA71DD" w:rsidRPr="007A7515" w14:paraId="6D1DA1A9" w14:textId="77777777" w:rsidTr="00610ABB">
        <w:tblPrEx>
          <w:tblCellMar>
            <w:left w:w="108" w:type="dxa"/>
            <w:right w:w="108" w:type="dxa"/>
          </w:tblCellMar>
        </w:tblPrEx>
        <w:trPr>
          <w:trHeight w:val="238"/>
        </w:trPr>
        <w:tc>
          <w:tcPr>
            <w:tcW w:w="4383" w:type="dxa"/>
            <w:shd w:val="clear" w:color="000000" w:fill="FFFFFF"/>
            <w:vAlign w:val="center"/>
            <w:hideMark/>
          </w:tcPr>
          <w:p w14:paraId="12E69E6C"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Operative deaths</w:t>
            </w:r>
          </w:p>
        </w:tc>
        <w:tc>
          <w:tcPr>
            <w:tcW w:w="1678" w:type="dxa"/>
            <w:shd w:val="clear" w:color="auto" w:fill="auto"/>
            <w:noWrap/>
            <w:vAlign w:val="center"/>
            <w:hideMark/>
          </w:tcPr>
          <w:p w14:paraId="345840C5" w14:textId="57746912"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w:t>
            </w:r>
            <w:r w:rsidR="00FB4D6C" w:rsidRPr="007A7515">
              <w:rPr>
                <w:rFonts w:asciiTheme="minorHAnsi" w:hAnsiTheme="minorHAnsi" w:cstheme="minorHAnsi"/>
                <w:color w:val="000000"/>
                <w:sz w:val="24"/>
                <w:szCs w:val="24"/>
              </w:rPr>
              <w:t>·</w:t>
            </w:r>
            <w:r w:rsidR="00FB4D6C">
              <w:rPr>
                <w:rFonts w:asciiTheme="minorHAnsi" w:hAnsiTheme="minorHAnsi" w:cstheme="minorHAnsi"/>
                <w:color w:val="000000"/>
                <w:sz w:val="24"/>
                <w:szCs w:val="24"/>
              </w:rPr>
              <w:t>0</w:t>
            </w:r>
            <w:r w:rsidRPr="007A7515">
              <w:rPr>
                <w:rFonts w:asciiTheme="minorHAnsi" w:hAnsiTheme="minorHAnsi" w:cstheme="minorHAnsi"/>
                <w:color w:val="000000"/>
                <w:sz w:val="24"/>
                <w:szCs w:val="24"/>
              </w:rPr>
              <w:t>% (0·05%)</w:t>
            </w:r>
          </w:p>
        </w:tc>
        <w:tc>
          <w:tcPr>
            <w:tcW w:w="1742" w:type="dxa"/>
            <w:shd w:val="clear" w:color="auto" w:fill="auto"/>
            <w:noWrap/>
            <w:vAlign w:val="center"/>
            <w:hideMark/>
          </w:tcPr>
          <w:p w14:paraId="38B98D80"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0·92% (0·05%)</w:t>
            </w:r>
          </w:p>
        </w:tc>
        <w:tc>
          <w:tcPr>
            <w:tcW w:w="2167" w:type="dxa"/>
            <w:shd w:val="clear" w:color="auto" w:fill="auto"/>
            <w:noWrap/>
            <w:vAlign w:val="center"/>
            <w:hideMark/>
          </w:tcPr>
          <w:p w14:paraId="4176295D"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1·05% (0·05%)</w:t>
            </w:r>
          </w:p>
        </w:tc>
      </w:tr>
      <w:tr w:rsidR="00DA71DD" w:rsidRPr="007A7515" w14:paraId="15053885" w14:textId="77777777" w:rsidTr="00610ABB">
        <w:tblPrEx>
          <w:tblCellMar>
            <w:left w:w="108" w:type="dxa"/>
            <w:right w:w="108" w:type="dxa"/>
          </w:tblCellMar>
        </w:tblPrEx>
        <w:trPr>
          <w:trHeight w:val="470"/>
        </w:trPr>
        <w:tc>
          <w:tcPr>
            <w:tcW w:w="4383" w:type="dxa"/>
            <w:shd w:val="clear" w:color="000000" w:fill="FFFFFF"/>
            <w:vAlign w:val="center"/>
            <w:hideMark/>
          </w:tcPr>
          <w:p w14:paraId="24CFB82C"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Operative deaths for benign cases</w:t>
            </w:r>
          </w:p>
        </w:tc>
        <w:tc>
          <w:tcPr>
            <w:tcW w:w="1678" w:type="dxa"/>
            <w:shd w:val="clear" w:color="auto" w:fill="auto"/>
            <w:noWrap/>
            <w:vAlign w:val="center"/>
            <w:hideMark/>
          </w:tcPr>
          <w:p w14:paraId="4FD9397D"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0·17% (0·02%)</w:t>
            </w:r>
          </w:p>
        </w:tc>
        <w:tc>
          <w:tcPr>
            <w:tcW w:w="1742" w:type="dxa"/>
            <w:shd w:val="clear" w:color="auto" w:fill="auto"/>
            <w:noWrap/>
            <w:vAlign w:val="center"/>
            <w:hideMark/>
          </w:tcPr>
          <w:p w14:paraId="5B7F5184"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0·16% (0·02%)</w:t>
            </w:r>
          </w:p>
        </w:tc>
        <w:tc>
          <w:tcPr>
            <w:tcW w:w="2167" w:type="dxa"/>
            <w:shd w:val="clear" w:color="auto" w:fill="auto"/>
            <w:noWrap/>
            <w:vAlign w:val="center"/>
            <w:hideMark/>
          </w:tcPr>
          <w:p w14:paraId="3E671E61"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0·15% (0·02%)</w:t>
            </w:r>
          </w:p>
        </w:tc>
      </w:tr>
      <w:tr w:rsidR="00DA71DD" w:rsidRPr="007A7515" w14:paraId="743E6A11" w14:textId="77777777" w:rsidTr="00610ABB">
        <w:tblPrEx>
          <w:tblCellMar>
            <w:left w:w="108" w:type="dxa"/>
            <w:right w:w="108" w:type="dxa"/>
          </w:tblCellMar>
        </w:tblPrEx>
        <w:trPr>
          <w:trHeight w:val="238"/>
        </w:trPr>
        <w:tc>
          <w:tcPr>
            <w:tcW w:w="4383" w:type="dxa"/>
            <w:shd w:val="clear" w:color="000000" w:fill="FFFFFF"/>
            <w:noWrap/>
            <w:vAlign w:val="center"/>
            <w:hideMark/>
          </w:tcPr>
          <w:p w14:paraId="04561286" w14:textId="77777777" w:rsidR="00DA71DD" w:rsidRPr="007A7515" w:rsidRDefault="00DA71DD" w:rsidP="00610ABB">
            <w:pPr>
              <w:spacing w:line="360" w:lineRule="auto"/>
              <w:jc w:val="center"/>
              <w:rPr>
                <w:rFonts w:asciiTheme="minorHAnsi" w:hAnsiTheme="minorHAnsi" w:cstheme="minorHAnsi"/>
                <w:b/>
                <w:bCs/>
                <w:color w:val="000000"/>
                <w:sz w:val="24"/>
                <w:szCs w:val="24"/>
              </w:rPr>
            </w:pPr>
            <w:r w:rsidRPr="007A7515">
              <w:rPr>
                <w:rFonts w:asciiTheme="minorHAnsi" w:hAnsiTheme="minorHAnsi" w:cstheme="minorHAnsi"/>
                <w:b/>
                <w:bCs/>
                <w:color w:val="000000"/>
                <w:sz w:val="24"/>
                <w:szCs w:val="24"/>
              </w:rPr>
              <w:t>Operative deaths for malignant cases</w:t>
            </w:r>
          </w:p>
        </w:tc>
        <w:tc>
          <w:tcPr>
            <w:tcW w:w="1678" w:type="dxa"/>
            <w:shd w:val="clear" w:color="auto" w:fill="auto"/>
            <w:noWrap/>
            <w:vAlign w:val="center"/>
            <w:hideMark/>
          </w:tcPr>
          <w:p w14:paraId="751147BD"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0·96% (0·05%)</w:t>
            </w:r>
          </w:p>
        </w:tc>
        <w:tc>
          <w:tcPr>
            <w:tcW w:w="1742" w:type="dxa"/>
            <w:shd w:val="clear" w:color="auto" w:fill="auto"/>
            <w:noWrap/>
            <w:vAlign w:val="center"/>
            <w:hideMark/>
          </w:tcPr>
          <w:p w14:paraId="32FA0C2E"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0·87% (0·05%)</w:t>
            </w:r>
          </w:p>
        </w:tc>
        <w:tc>
          <w:tcPr>
            <w:tcW w:w="2167" w:type="dxa"/>
            <w:shd w:val="clear" w:color="auto" w:fill="auto"/>
            <w:noWrap/>
            <w:vAlign w:val="center"/>
            <w:hideMark/>
          </w:tcPr>
          <w:p w14:paraId="3DB2178E" w14:textId="77777777" w:rsidR="00DA71DD" w:rsidRPr="007A7515" w:rsidRDefault="00DA71DD" w:rsidP="00610ABB">
            <w:pPr>
              <w:spacing w:line="360" w:lineRule="auto"/>
              <w:jc w:val="center"/>
              <w:rPr>
                <w:rFonts w:asciiTheme="minorHAnsi" w:hAnsiTheme="minorHAnsi" w:cstheme="minorHAnsi"/>
                <w:color w:val="000000"/>
                <w:sz w:val="24"/>
                <w:szCs w:val="24"/>
              </w:rPr>
            </w:pPr>
            <w:r w:rsidRPr="007A7515">
              <w:rPr>
                <w:rFonts w:asciiTheme="minorHAnsi" w:hAnsiTheme="minorHAnsi" w:cstheme="minorHAnsi"/>
                <w:color w:val="000000"/>
                <w:sz w:val="24"/>
                <w:szCs w:val="24"/>
              </w:rPr>
              <w:t>1·01% (0·05%)</w:t>
            </w:r>
          </w:p>
        </w:tc>
      </w:tr>
    </w:tbl>
    <w:p w14:paraId="1977F2F5" w14:textId="77777777" w:rsidR="00DA71DD" w:rsidRPr="007A7515" w:rsidRDefault="00DA71DD" w:rsidP="00DA71DD">
      <w:pPr>
        <w:rPr>
          <w:sz w:val="24"/>
          <w:szCs w:val="24"/>
        </w:rPr>
      </w:pPr>
    </w:p>
    <w:p w14:paraId="087EDACE" w14:textId="7F2417D4" w:rsidR="009864EC" w:rsidRDefault="009864EC" w:rsidP="008C6AE1">
      <w:pPr>
        <w:pStyle w:val="NoSpacing"/>
        <w:rPr>
          <w:rFonts w:asciiTheme="minorHAnsi" w:hAnsiTheme="minorHAnsi" w:cstheme="minorHAnsi"/>
          <w:bCs/>
          <w:szCs w:val="24"/>
        </w:rPr>
      </w:pPr>
      <w:r>
        <w:rPr>
          <w:rFonts w:asciiTheme="minorHAnsi" w:hAnsiTheme="minorHAnsi" w:cstheme="minorHAnsi"/>
          <w:bCs/>
          <w:szCs w:val="24"/>
        </w:rPr>
        <w:t xml:space="preserve">Values reported as </w:t>
      </w:r>
      <w:r>
        <w:rPr>
          <w:rFonts w:asciiTheme="minorHAnsi" w:hAnsiTheme="minorHAnsi" w:cstheme="minorHAnsi"/>
          <w:bCs/>
          <w:color w:val="000000"/>
          <w:szCs w:val="24"/>
        </w:rPr>
        <w:t xml:space="preserve">Mean </w:t>
      </w:r>
      <w:r w:rsidRPr="007A7515">
        <w:rPr>
          <w:rFonts w:asciiTheme="minorHAnsi" w:hAnsiTheme="minorHAnsi" w:cstheme="minorHAnsi"/>
          <w:bCs/>
          <w:color w:val="000000"/>
          <w:szCs w:val="24"/>
        </w:rPr>
        <w:t>(SD)</w:t>
      </w:r>
      <w:r>
        <w:rPr>
          <w:rFonts w:asciiTheme="minorHAnsi" w:hAnsiTheme="minorHAnsi" w:cstheme="minorHAnsi"/>
          <w:bCs/>
          <w:color w:val="000000"/>
          <w:szCs w:val="24"/>
        </w:rPr>
        <w:t>.</w:t>
      </w:r>
    </w:p>
    <w:p w14:paraId="67733C8E" w14:textId="15DADDE2" w:rsidR="00194380" w:rsidRPr="007A7515" w:rsidRDefault="005E4C87" w:rsidP="008C6AE1">
      <w:pPr>
        <w:pStyle w:val="NoSpacing"/>
        <w:rPr>
          <w:rFonts w:asciiTheme="minorHAnsi" w:hAnsiTheme="minorHAnsi" w:cstheme="minorHAnsi"/>
          <w:b/>
          <w:szCs w:val="24"/>
        </w:rPr>
      </w:pPr>
      <w:r w:rsidRPr="00A016DA">
        <w:rPr>
          <w:rFonts w:asciiTheme="minorHAnsi" w:hAnsiTheme="minorHAnsi" w:cstheme="minorHAnsi"/>
          <w:bCs/>
          <w:szCs w:val="24"/>
        </w:rPr>
        <w:t>Abbreviations: DCE-CT=</w:t>
      </w:r>
      <w:r w:rsidRPr="007A7515">
        <w:rPr>
          <w:rFonts w:asciiTheme="minorHAnsi" w:hAnsiTheme="minorHAnsi" w:cstheme="minorHAnsi"/>
          <w:szCs w:val="24"/>
          <w:lang w:eastAsia="en-GB"/>
        </w:rPr>
        <w:t xml:space="preserve"> Dynamic contrast-enhanced computed </w:t>
      </w:r>
      <w:proofErr w:type="gramStart"/>
      <w:r w:rsidRPr="007A7515">
        <w:rPr>
          <w:rFonts w:asciiTheme="minorHAnsi" w:hAnsiTheme="minorHAnsi" w:cstheme="minorHAnsi"/>
          <w:szCs w:val="24"/>
          <w:lang w:eastAsia="en-GB"/>
        </w:rPr>
        <w:t>tomography</w:t>
      </w:r>
      <w:r w:rsidRPr="007A7515">
        <w:rPr>
          <w:rFonts w:asciiTheme="minorHAnsi" w:hAnsiTheme="minorHAnsi" w:cstheme="minorHAnsi"/>
          <w:b/>
          <w:szCs w:val="24"/>
        </w:rPr>
        <w:t xml:space="preserve"> ,</w:t>
      </w:r>
      <w:proofErr w:type="gramEnd"/>
      <w:r w:rsidRPr="007A7515">
        <w:rPr>
          <w:rFonts w:asciiTheme="minorHAnsi" w:hAnsiTheme="minorHAnsi" w:cstheme="minorHAnsi"/>
          <w:b/>
          <w:szCs w:val="24"/>
        </w:rPr>
        <w:t xml:space="preserve"> </w:t>
      </w:r>
      <w:r w:rsidRPr="00A016DA">
        <w:rPr>
          <w:rFonts w:asciiTheme="minorHAnsi" w:hAnsiTheme="minorHAnsi" w:cstheme="minorHAnsi"/>
          <w:bCs/>
          <w:szCs w:val="24"/>
        </w:rPr>
        <w:t>PET/CT=18Fluorine Fluorodeoxyglucose Positron Emission Tomography/Computed Tomography, QALYS=</w:t>
      </w:r>
      <w:r w:rsidRPr="007A7515">
        <w:rPr>
          <w:bCs/>
          <w:szCs w:val="24"/>
        </w:rPr>
        <w:t xml:space="preserve"> </w:t>
      </w:r>
      <w:r w:rsidRPr="00A016DA">
        <w:rPr>
          <w:rFonts w:asciiTheme="minorHAnsi" w:hAnsiTheme="minorHAnsi" w:cstheme="minorHAnsi"/>
          <w:bCs/>
          <w:szCs w:val="24"/>
        </w:rPr>
        <w:t>quality-adjusted life-year.</w:t>
      </w:r>
    </w:p>
    <w:p w14:paraId="1B73BAA3" w14:textId="77777777" w:rsidR="00194380" w:rsidRPr="007A7515" w:rsidRDefault="00194380" w:rsidP="008C6AE1">
      <w:pPr>
        <w:pStyle w:val="NoSpacing"/>
        <w:rPr>
          <w:rFonts w:asciiTheme="minorHAnsi" w:hAnsiTheme="minorHAnsi" w:cstheme="minorHAnsi"/>
          <w:b/>
          <w:szCs w:val="24"/>
        </w:rPr>
      </w:pPr>
    </w:p>
    <w:p w14:paraId="7C8FA4D4" w14:textId="77777777" w:rsidR="00194380" w:rsidRPr="007A7515" w:rsidRDefault="00194380">
      <w:pPr>
        <w:spacing w:after="200" w:line="276" w:lineRule="auto"/>
        <w:rPr>
          <w:rFonts w:asciiTheme="minorHAnsi" w:hAnsiTheme="minorHAnsi" w:cstheme="minorHAnsi"/>
          <w:b/>
          <w:sz w:val="24"/>
          <w:szCs w:val="24"/>
        </w:rPr>
      </w:pPr>
      <w:r w:rsidRPr="007A7515">
        <w:rPr>
          <w:rFonts w:asciiTheme="minorHAnsi" w:hAnsiTheme="minorHAnsi" w:cstheme="minorHAnsi"/>
          <w:b/>
          <w:sz w:val="24"/>
          <w:szCs w:val="24"/>
        </w:rPr>
        <w:br w:type="page"/>
      </w:r>
    </w:p>
    <w:p w14:paraId="0237E738" w14:textId="64145F0F" w:rsidR="008C6AE1" w:rsidRPr="007A7515" w:rsidRDefault="008C6AE1" w:rsidP="008C6AE1">
      <w:pPr>
        <w:pStyle w:val="NoSpacing"/>
        <w:rPr>
          <w:rFonts w:asciiTheme="minorHAnsi" w:hAnsiTheme="minorHAnsi" w:cstheme="minorHAnsi"/>
          <w:b/>
          <w:szCs w:val="24"/>
        </w:rPr>
      </w:pPr>
      <w:r w:rsidRPr="007A7515">
        <w:rPr>
          <w:rFonts w:asciiTheme="minorHAnsi" w:hAnsiTheme="minorHAnsi" w:cstheme="minorHAnsi"/>
          <w:b/>
          <w:szCs w:val="24"/>
        </w:rPr>
        <w:lastRenderedPageBreak/>
        <w:t>FIGURES</w:t>
      </w:r>
    </w:p>
    <w:p w14:paraId="565FDC19" w14:textId="77777777" w:rsidR="008C6AE1" w:rsidRPr="007A7515" w:rsidRDefault="008C6AE1" w:rsidP="008C6AE1">
      <w:pPr>
        <w:pStyle w:val="NoSpacing"/>
        <w:rPr>
          <w:rFonts w:asciiTheme="minorHAnsi" w:hAnsiTheme="minorHAnsi" w:cstheme="minorHAnsi"/>
          <w:b/>
          <w:szCs w:val="24"/>
        </w:rPr>
      </w:pPr>
    </w:p>
    <w:p w14:paraId="1E23541D" w14:textId="340D8204" w:rsidR="008C6AE1" w:rsidRDefault="008C6AE1" w:rsidP="008C6AE1">
      <w:pPr>
        <w:pStyle w:val="NoSpacing"/>
        <w:rPr>
          <w:rFonts w:asciiTheme="minorHAnsi" w:hAnsiTheme="minorHAnsi" w:cstheme="minorHAnsi"/>
          <w:szCs w:val="24"/>
        </w:rPr>
      </w:pPr>
      <w:r w:rsidRPr="007A7515">
        <w:rPr>
          <w:rFonts w:asciiTheme="minorHAnsi" w:hAnsiTheme="minorHAnsi" w:cstheme="minorHAnsi"/>
          <w:b/>
          <w:szCs w:val="24"/>
        </w:rPr>
        <w:t xml:space="preserve">Figure 1: </w:t>
      </w:r>
      <w:proofErr w:type="spellStart"/>
      <w:r w:rsidRPr="007A7515">
        <w:rPr>
          <w:rFonts w:asciiTheme="minorHAnsi" w:hAnsiTheme="minorHAnsi" w:cstheme="minorHAnsi"/>
          <w:szCs w:val="24"/>
        </w:rPr>
        <w:t>SPUtNIk</w:t>
      </w:r>
      <w:proofErr w:type="spellEnd"/>
      <w:r w:rsidRPr="007A7515">
        <w:rPr>
          <w:rFonts w:asciiTheme="minorHAnsi" w:hAnsiTheme="minorHAnsi" w:cstheme="minorHAnsi"/>
          <w:szCs w:val="24"/>
        </w:rPr>
        <w:t xml:space="preserve"> trial STARD flowchart</w:t>
      </w:r>
    </w:p>
    <w:p w14:paraId="0541B251" w14:textId="579EE04C" w:rsidR="009661C6" w:rsidRPr="007A7515" w:rsidRDefault="009661C6" w:rsidP="008C6AE1">
      <w:pPr>
        <w:pStyle w:val="NoSpacing"/>
        <w:rPr>
          <w:rFonts w:asciiTheme="minorHAnsi" w:hAnsiTheme="minorHAnsi" w:cstheme="minorHAnsi"/>
          <w:szCs w:val="24"/>
        </w:rPr>
      </w:pPr>
    </w:p>
    <w:p w14:paraId="4C5E970E" w14:textId="1C632526" w:rsidR="008C6AE1" w:rsidRDefault="00B957B5" w:rsidP="008C6AE1">
      <w:pPr>
        <w:pStyle w:val="NoSpacing"/>
        <w:rPr>
          <w:rFonts w:asciiTheme="minorHAnsi" w:hAnsiTheme="minorHAnsi" w:cstheme="minorHAnsi"/>
          <w:szCs w:val="24"/>
        </w:rPr>
      </w:pPr>
      <w:r>
        <w:rPr>
          <w:rFonts w:asciiTheme="minorHAnsi" w:hAnsiTheme="minorHAnsi" w:cstheme="minorHAnsi"/>
          <w:szCs w:val="24"/>
        </w:rPr>
        <w:t xml:space="preserve"> </w:t>
      </w:r>
    </w:p>
    <w:p w14:paraId="2B4D48C2" w14:textId="77777777" w:rsidR="009661C6" w:rsidRDefault="009661C6">
      <w:pPr>
        <w:spacing w:after="200" w:line="276"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5D3F170E" w14:textId="30D660D3" w:rsidR="008C6AE1" w:rsidRPr="007A7515" w:rsidRDefault="008C6AE1" w:rsidP="008C6AE1">
      <w:pPr>
        <w:spacing w:line="360" w:lineRule="auto"/>
        <w:rPr>
          <w:rFonts w:asciiTheme="minorHAnsi" w:hAnsiTheme="minorHAnsi" w:cstheme="minorHAnsi"/>
          <w:b/>
          <w:bCs/>
          <w:sz w:val="24"/>
          <w:szCs w:val="24"/>
        </w:rPr>
      </w:pPr>
      <w:r w:rsidRPr="007A7515">
        <w:rPr>
          <w:rFonts w:asciiTheme="minorHAnsi" w:hAnsiTheme="minorHAnsi" w:cstheme="minorHAnsi"/>
          <w:b/>
          <w:bCs/>
          <w:sz w:val="24"/>
          <w:szCs w:val="24"/>
        </w:rPr>
        <w:lastRenderedPageBreak/>
        <w:t xml:space="preserve">Figure 2: </w:t>
      </w:r>
      <w:r w:rsidRPr="007A7515">
        <w:rPr>
          <w:rFonts w:asciiTheme="minorHAnsi" w:hAnsiTheme="minorHAnsi" w:cstheme="minorHAnsi"/>
          <w:sz w:val="24"/>
          <w:szCs w:val="24"/>
        </w:rPr>
        <w:t xml:space="preserve">ROC curves comparing PET/CT grading, </w:t>
      </w:r>
      <w:proofErr w:type="spellStart"/>
      <w:r w:rsidRPr="007A7515">
        <w:rPr>
          <w:rFonts w:asciiTheme="minorHAnsi" w:hAnsiTheme="minorHAnsi" w:cstheme="minorHAnsi"/>
          <w:sz w:val="24"/>
          <w:szCs w:val="24"/>
        </w:rPr>
        <w:t>SUVmax</w:t>
      </w:r>
      <w:proofErr w:type="spellEnd"/>
      <w:r w:rsidRPr="007A7515">
        <w:rPr>
          <w:rFonts w:asciiTheme="minorHAnsi" w:hAnsiTheme="minorHAnsi" w:cstheme="minorHAnsi"/>
          <w:sz w:val="24"/>
          <w:szCs w:val="24"/>
        </w:rPr>
        <w:t>, peak enhancement and a combination of the variables</w:t>
      </w:r>
    </w:p>
    <w:p w14:paraId="419DC24F" w14:textId="050FAEC3" w:rsidR="00F4186E" w:rsidRPr="00A016DA" w:rsidRDefault="00F4186E" w:rsidP="00377067">
      <w:pPr>
        <w:spacing w:after="200" w:line="276" w:lineRule="auto"/>
        <w:jc w:val="center"/>
        <w:rPr>
          <w:rFonts w:asciiTheme="minorHAnsi" w:eastAsiaTheme="minorEastAsia" w:hAnsiTheme="minorHAnsi" w:cstheme="minorHAnsi"/>
          <w:sz w:val="24"/>
          <w:szCs w:val="24"/>
          <w:vertAlign w:val="superscript"/>
          <w:lang w:eastAsia="zh-CN"/>
        </w:rPr>
      </w:pPr>
    </w:p>
    <w:p w14:paraId="78E4A6A3" w14:textId="77777777" w:rsidR="00427C66" w:rsidRDefault="00F4186E" w:rsidP="00A016DA">
      <w:pPr>
        <w:spacing w:after="200" w:line="276" w:lineRule="auto"/>
        <w:rPr>
          <w:rFonts w:asciiTheme="minorHAnsi" w:eastAsiaTheme="minorEastAsia" w:hAnsiTheme="minorHAnsi" w:cstheme="minorHAnsi"/>
          <w:sz w:val="24"/>
          <w:szCs w:val="24"/>
          <w:lang w:eastAsia="zh-CN"/>
        </w:rPr>
      </w:pPr>
      <w:proofErr w:type="spellStart"/>
      <w:r w:rsidRPr="00B957B5">
        <w:rPr>
          <w:rFonts w:asciiTheme="minorHAnsi" w:eastAsiaTheme="minorEastAsia" w:hAnsiTheme="minorHAnsi" w:cstheme="minorHAnsi"/>
          <w:sz w:val="24"/>
          <w:szCs w:val="24"/>
          <w:lang w:eastAsia="zh-CN"/>
        </w:rPr>
        <w:t>Aberviations</w:t>
      </w:r>
      <w:proofErr w:type="spellEnd"/>
      <w:r w:rsidRPr="00B957B5">
        <w:rPr>
          <w:rFonts w:asciiTheme="minorHAnsi" w:eastAsiaTheme="minorEastAsia" w:hAnsiTheme="minorHAnsi" w:cstheme="minorHAnsi"/>
          <w:sz w:val="24"/>
          <w:szCs w:val="24"/>
          <w:lang w:eastAsia="zh-CN"/>
        </w:rPr>
        <w:t>:</w:t>
      </w:r>
      <w:r w:rsidR="00865495" w:rsidRPr="00B957B5">
        <w:rPr>
          <w:sz w:val="24"/>
          <w:szCs w:val="24"/>
        </w:rPr>
        <w:t xml:space="preserve"> </w:t>
      </w:r>
      <w:r w:rsidR="00865495" w:rsidRPr="00B957B5">
        <w:rPr>
          <w:rFonts w:asciiTheme="minorHAnsi" w:eastAsiaTheme="minorEastAsia" w:hAnsiTheme="minorHAnsi" w:cstheme="minorHAnsi"/>
          <w:sz w:val="24"/>
          <w:szCs w:val="24"/>
          <w:lang w:eastAsia="zh-CN"/>
        </w:rPr>
        <w:t>DCE-CT= Dynamic contrast-enhanced computed tomography, PET/CT=18Fluorine Fluorodeoxyglucose Positron Emission Tomography/Computed Tomography.</w:t>
      </w:r>
      <w:r w:rsidR="00865495" w:rsidRPr="00B957B5">
        <w:rPr>
          <w:sz w:val="24"/>
          <w:szCs w:val="24"/>
        </w:rPr>
        <w:t xml:space="preserve"> </w:t>
      </w:r>
      <w:proofErr w:type="spellStart"/>
      <w:r w:rsidR="00865495" w:rsidRPr="00B957B5">
        <w:rPr>
          <w:rFonts w:asciiTheme="minorHAnsi" w:eastAsiaTheme="minorEastAsia" w:hAnsiTheme="minorHAnsi" w:cstheme="minorHAnsi"/>
          <w:sz w:val="24"/>
          <w:szCs w:val="24"/>
          <w:lang w:eastAsia="zh-CN"/>
        </w:rPr>
        <w:t>SUVmax</w:t>
      </w:r>
      <w:proofErr w:type="spellEnd"/>
      <w:r w:rsidR="00865495" w:rsidRPr="00B957B5">
        <w:rPr>
          <w:rFonts w:asciiTheme="minorHAnsi" w:eastAsiaTheme="minorEastAsia" w:hAnsiTheme="minorHAnsi" w:cstheme="minorHAnsi"/>
          <w:sz w:val="24"/>
          <w:szCs w:val="24"/>
          <w:lang w:eastAsia="zh-CN"/>
        </w:rPr>
        <w:t>= maximum standardised uptake value</w:t>
      </w:r>
    </w:p>
    <w:p w14:paraId="04822B81" w14:textId="77777777" w:rsidR="00B957B5" w:rsidRDefault="00B957B5" w:rsidP="00A016DA">
      <w:pPr>
        <w:spacing w:after="200" w:line="276" w:lineRule="auto"/>
        <w:rPr>
          <w:rFonts w:asciiTheme="minorHAnsi" w:eastAsiaTheme="minorEastAsia" w:hAnsiTheme="minorHAnsi" w:cstheme="minorHAnsi"/>
          <w:sz w:val="24"/>
          <w:szCs w:val="24"/>
          <w:lang w:eastAsia="zh-CN"/>
        </w:rPr>
      </w:pPr>
    </w:p>
    <w:p w14:paraId="218F3252" w14:textId="77777777" w:rsidR="009661C6" w:rsidRDefault="009661C6">
      <w:pPr>
        <w:spacing w:after="200" w:line="276" w:lineRule="auto"/>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br w:type="page"/>
      </w:r>
    </w:p>
    <w:p w14:paraId="041A7EDB" w14:textId="4FB41251" w:rsidR="00282131" w:rsidRPr="007A7515" w:rsidRDefault="008C6AE1" w:rsidP="000A1D28">
      <w:pPr>
        <w:jc w:val="both"/>
        <w:rPr>
          <w:sz w:val="24"/>
          <w:szCs w:val="24"/>
        </w:rPr>
      </w:pPr>
      <w:r w:rsidRPr="007A7515">
        <w:rPr>
          <w:rFonts w:asciiTheme="minorHAnsi" w:hAnsiTheme="minorHAnsi" w:cstheme="minorHAnsi"/>
          <w:b/>
          <w:color w:val="000000" w:themeColor="text1"/>
          <w:sz w:val="24"/>
          <w:szCs w:val="24"/>
        </w:rPr>
        <w:lastRenderedPageBreak/>
        <w:t xml:space="preserve">Figure 3: </w:t>
      </w:r>
      <w:r w:rsidR="000A1D28" w:rsidRPr="007A7515">
        <w:rPr>
          <w:sz w:val="24"/>
          <w:szCs w:val="24"/>
        </w:rPr>
        <w:t>Cost-effectiveness acceptability curve</w:t>
      </w:r>
      <w:r w:rsidR="00D83628">
        <w:rPr>
          <w:sz w:val="24"/>
          <w:szCs w:val="24"/>
        </w:rPr>
        <w:t>s</w:t>
      </w:r>
      <w:r w:rsidR="000A1D28" w:rsidRPr="007A7515">
        <w:rPr>
          <w:sz w:val="24"/>
          <w:szCs w:val="24"/>
        </w:rPr>
        <w:t xml:space="preserve"> for</w:t>
      </w:r>
      <w:r w:rsidR="00D83628">
        <w:rPr>
          <w:sz w:val="24"/>
          <w:szCs w:val="24"/>
        </w:rPr>
        <w:t xml:space="preserve"> the 3 imaging approaches for</w:t>
      </w:r>
      <w:r w:rsidR="000A1D28" w:rsidRPr="007A7515">
        <w:rPr>
          <w:sz w:val="24"/>
          <w:szCs w:val="24"/>
        </w:rPr>
        <w:t xml:space="preserve"> cost per correctly treated malignancy (A) and per correctly managed case (B).</w:t>
      </w:r>
    </w:p>
    <w:p w14:paraId="7485728A" w14:textId="77777777" w:rsidR="000A1D28" w:rsidRPr="007A7515" w:rsidRDefault="000A1D28" w:rsidP="000A1D28">
      <w:pPr>
        <w:jc w:val="both"/>
        <w:rPr>
          <w:rFonts w:asciiTheme="minorHAnsi" w:eastAsiaTheme="minorHAnsi" w:hAnsiTheme="minorHAnsi" w:cstheme="minorHAnsi"/>
          <w:b/>
          <w:sz w:val="24"/>
          <w:szCs w:val="24"/>
        </w:rPr>
      </w:pPr>
    </w:p>
    <w:p w14:paraId="07986C29" w14:textId="45B01893" w:rsidR="00194380" w:rsidRDefault="00194380">
      <w:pPr>
        <w:spacing w:after="200" w:line="276" w:lineRule="auto"/>
        <w:rPr>
          <w:rFonts w:asciiTheme="minorHAnsi" w:eastAsiaTheme="minorHAnsi" w:hAnsiTheme="minorHAnsi" w:cstheme="minorHAnsi"/>
          <w:b/>
          <w:sz w:val="24"/>
          <w:szCs w:val="24"/>
        </w:rPr>
      </w:pPr>
    </w:p>
    <w:p w14:paraId="409A3DBD" w14:textId="0F8D6CEF" w:rsidR="00913B67" w:rsidRPr="00913B67" w:rsidRDefault="00913B67">
      <w:pPr>
        <w:spacing w:after="200" w:line="276" w:lineRule="auto"/>
        <w:rPr>
          <w:rFonts w:asciiTheme="minorHAnsi" w:eastAsiaTheme="minorHAnsi" w:hAnsiTheme="minorHAnsi" w:cstheme="minorHAnsi"/>
          <w:bCs/>
          <w:sz w:val="24"/>
          <w:szCs w:val="24"/>
        </w:rPr>
      </w:pPr>
      <w:r w:rsidRPr="00913B67">
        <w:rPr>
          <w:rFonts w:asciiTheme="minorHAnsi" w:eastAsiaTheme="minorHAnsi" w:hAnsiTheme="minorHAnsi" w:cstheme="minorHAnsi"/>
          <w:bCs/>
          <w:sz w:val="24"/>
          <w:szCs w:val="24"/>
        </w:rPr>
        <w:t>Willingness to pay is expressed in £GBP</w:t>
      </w:r>
      <w:r w:rsidR="00D83628">
        <w:rPr>
          <w:rFonts w:asciiTheme="minorHAnsi" w:eastAsiaTheme="minorHAnsi" w:hAnsiTheme="minorHAnsi" w:cstheme="minorHAnsi"/>
          <w:bCs/>
          <w:sz w:val="24"/>
          <w:szCs w:val="24"/>
        </w:rPr>
        <w:t xml:space="preserve">. The x-axis represents the willingness to pay threshold for each correctly treated or diagnosed case, while the y axis represents the proportion of model iterations in which a particular imaging strategy is the most cost-effective approach at each of the willingness to pay thresholds. For example, </w:t>
      </w:r>
      <w:r w:rsidR="00FC4260">
        <w:rPr>
          <w:rFonts w:asciiTheme="minorHAnsi" w:eastAsiaTheme="minorHAnsi" w:hAnsiTheme="minorHAnsi" w:cstheme="minorHAnsi"/>
          <w:bCs/>
          <w:sz w:val="24"/>
          <w:szCs w:val="24"/>
        </w:rPr>
        <w:t xml:space="preserve">below a willingness to pay threshold of £10,000, DCE-CT is the most cost-effective in 100% of model iterations. </w:t>
      </w:r>
    </w:p>
    <w:sectPr w:rsidR="00913B67" w:rsidRPr="00913B67" w:rsidSect="009C7327">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50537" w14:textId="77777777" w:rsidR="00936019" w:rsidRDefault="00936019" w:rsidP="00B3215F">
      <w:r>
        <w:separator/>
      </w:r>
    </w:p>
  </w:endnote>
  <w:endnote w:type="continuationSeparator" w:id="0">
    <w:p w14:paraId="4C4FD65C" w14:textId="77777777" w:rsidR="00936019" w:rsidRDefault="00936019" w:rsidP="00B3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51C4" w14:textId="77777777" w:rsidR="00167AED" w:rsidRDefault="00167AED" w:rsidP="0002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7302F" w14:textId="77777777" w:rsidR="00167AED" w:rsidRDefault="00167AED" w:rsidP="00024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8BA8" w14:textId="7ACB26E6" w:rsidR="00167AED" w:rsidRDefault="00167AED" w:rsidP="0002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5E40">
      <w:rPr>
        <w:rStyle w:val="PageNumber"/>
        <w:noProof/>
      </w:rPr>
      <w:t>15</w:t>
    </w:r>
    <w:r>
      <w:rPr>
        <w:rStyle w:val="PageNumber"/>
      </w:rPr>
      <w:fldChar w:fldCharType="end"/>
    </w:r>
  </w:p>
  <w:p w14:paraId="29409B32" w14:textId="0F3F673C" w:rsidR="00167AED" w:rsidRDefault="00167AED" w:rsidP="000244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C5E5" w14:textId="6F7EB648" w:rsidR="00167AED" w:rsidRPr="0053128F" w:rsidRDefault="00167AED" w:rsidP="005312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694799"/>
      <w:docPartObj>
        <w:docPartGallery w:val="Page Numbers (Bottom of Page)"/>
        <w:docPartUnique/>
      </w:docPartObj>
    </w:sdtPr>
    <w:sdtEndPr>
      <w:rPr>
        <w:color w:val="000000" w:themeColor="text1"/>
        <w:sz w:val="20"/>
      </w:rPr>
    </w:sdtEndPr>
    <w:sdtContent>
      <w:p w14:paraId="69754596" w14:textId="77777777" w:rsidR="00167AED" w:rsidRDefault="00167AED" w:rsidP="004A59DE">
        <w:pPr>
          <w:pStyle w:val="Footer"/>
        </w:pPr>
      </w:p>
      <w:p w14:paraId="52FB8181" w14:textId="77777777" w:rsidR="00167AED" w:rsidRDefault="00167AED" w:rsidP="004A59DE">
        <w:pPr>
          <w:pStyle w:val="Footer"/>
        </w:pPr>
      </w:p>
      <w:p w14:paraId="15A40EED" w14:textId="6777223F" w:rsidR="00167AED" w:rsidRPr="007734BA" w:rsidRDefault="00167AED" w:rsidP="004A59DE">
        <w:pPr>
          <w:pStyle w:val="Footer"/>
          <w:pBdr>
            <w:top w:val="single" w:sz="4" w:space="1" w:color="auto"/>
          </w:pBdr>
          <w:rPr>
            <w:color w:val="000000" w:themeColor="text1"/>
            <w:sz w:val="18"/>
            <w:szCs w:val="20"/>
          </w:rPr>
        </w:pPr>
        <w:proofErr w:type="spellStart"/>
        <w:r>
          <w:rPr>
            <w:bCs/>
            <w:color w:val="000000" w:themeColor="text1"/>
            <w:sz w:val="18"/>
            <w:szCs w:val="20"/>
          </w:rPr>
          <w:t>SPUtNIk</w:t>
        </w:r>
        <w:proofErr w:type="spellEnd"/>
        <w:r>
          <w:rPr>
            <w:bCs/>
            <w:color w:val="000000" w:themeColor="text1"/>
            <w:sz w:val="18"/>
            <w:szCs w:val="20"/>
          </w:rPr>
          <w:t xml:space="preserve"> </w:t>
        </w:r>
        <w:r w:rsidRPr="00AC7AE5">
          <w:rPr>
            <w:bCs/>
            <w:color w:val="000000" w:themeColor="text1"/>
            <w:sz w:val="18"/>
            <w:szCs w:val="20"/>
          </w:rPr>
          <w:t>End of Trial Report</w:t>
        </w:r>
        <w:r>
          <w:rPr>
            <w:bCs/>
            <w:color w:val="000000" w:themeColor="text1"/>
            <w:sz w:val="18"/>
            <w:szCs w:val="20"/>
          </w:rPr>
          <w:t xml:space="preserve"> draft Stats Sections </w:t>
        </w:r>
        <w:r w:rsidRPr="00AC7AE5">
          <w:rPr>
            <w:bCs/>
            <w:color w:val="000000" w:themeColor="text1"/>
            <w:sz w:val="18"/>
            <w:szCs w:val="20"/>
          </w:rPr>
          <w:t>v</w:t>
        </w:r>
        <w:r>
          <w:rPr>
            <w:bCs/>
            <w:color w:val="000000" w:themeColor="text1"/>
            <w:sz w:val="18"/>
            <w:szCs w:val="20"/>
          </w:rPr>
          <w:t xml:space="preserve">0·6 30·8·19                                                  </w:t>
        </w:r>
        <w:r w:rsidRPr="00AC7AE5">
          <w:rPr>
            <w:color w:val="000000" w:themeColor="text1"/>
            <w:sz w:val="18"/>
            <w:szCs w:val="20"/>
          </w:rPr>
          <w:t xml:space="preserve">Page </w:t>
        </w:r>
        <w:r w:rsidRPr="00AC7AE5">
          <w:rPr>
            <w:b/>
            <w:bCs/>
            <w:color w:val="000000" w:themeColor="text1"/>
            <w:sz w:val="18"/>
            <w:szCs w:val="20"/>
          </w:rPr>
          <w:fldChar w:fldCharType="begin"/>
        </w:r>
        <w:r w:rsidRPr="00AC7AE5">
          <w:rPr>
            <w:b/>
            <w:bCs/>
            <w:color w:val="000000" w:themeColor="text1"/>
            <w:sz w:val="18"/>
            <w:szCs w:val="20"/>
          </w:rPr>
          <w:instrText xml:space="preserve"> PAGE </w:instrText>
        </w:r>
        <w:r w:rsidRPr="00AC7AE5">
          <w:rPr>
            <w:b/>
            <w:bCs/>
            <w:color w:val="000000" w:themeColor="text1"/>
            <w:sz w:val="18"/>
            <w:szCs w:val="20"/>
          </w:rPr>
          <w:fldChar w:fldCharType="separate"/>
        </w:r>
        <w:r>
          <w:rPr>
            <w:b/>
            <w:bCs/>
            <w:noProof/>
            <w:color w:val="000000" w:themeColor="text1"/>
            <w:sz w:val="18"/>
            <w:szCs w:val="20"/>
          </w:rPr>
          <w:t>24</w:t>
        </w:r>
        <w:r w:rsidRPr="00AC7AE5">
          <w:rPr>
            <w:b/>
            <w:bCs/>
            <w:color w:val="000000" w:themeColor="text1"/>
            <w:sz w:val="18"/>
            <w:szCs w:val="20"/>
          </w:rPr>
          <w:fldChar w:fldCharType="end"/>
        </w:r>
        <w:r w:rsidRPr="00AC7AE5">
          <w:rPr>
            <w:color w:val="000000" w:themeColor="text1"/>
            <w:sz w:val="18"/>
            <w:szCs w:val="20"/>
          </w:rPr>
          <w:t xml:space="preserve"> of </w:t>
        </w:r>
        <w:r w:rsidRPr="00AC7AE5">
          <w:rPr>
            <w:b/>
            <w:bCs/>
            <w:color w:val="000000" w:themeColor="text1"/>
            <w:sz w:val="18"/>
            <w:szCs w:val="20"/>
          </w:rPr>
          <w:fldChar w:fldCharType="begin"/>
        </w:r>
        <w:r w:rsidRPr="00AC7AE5">
          <w:rPr>
            <w:b/>
            <w:bCs/>
            <w:color w:val="000000" w:themeColor="text1"/>
            <w:sz w:val="18"/>
            <w:szCs w:val="20"/>
          </w:rPr>
          <w:instrText xml:space="preserve"> NUMPAGES  </w:instrText>
        </w:r>
        <w:r w:rsidRPr="00AC7AE5">
          <w:rPr>
            <w:b/>
            <w:bCs/>
            <w:color w:val="000000" w:themeColor="text1"/>
            <w:sz w:val="18"/>
            <w:szCs w:val="20"/>
          </w:rPr>
          <w:fldChar w:fldCharType="separate"/>
        </w:r>
        <w:r>
          <w:rPr>
            <w:b/>
            <w:bCs/>
            <w:noProof/>
            <w:color w:val="000000" w:themeColor="text1"/>
            <w:sz w:val="18"/>
            <w:szCs w:val="20"/>
          </w:rPr>
          <w:t>76</w:t>
        </w:r>
        <w:r w:rsidRPr="00AC7AE5">
          <w:rPr>
            <w:b/>
            <w:bCs/>
            <w:color w:val="000000" w:themeColor="text1"/>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AAC0D" w14:textId="77777777" w:rsidR="00936019" w:rsidRDefault="00936019" w:rsidP="00B3215F">
      <w:r>
        <w:separator/>
      </w:r>
    </w:p>
  </w:footnote>
  <w:footnote w:type="continuationSeparator" w:id="0">
    <w:p w14:paraId="1529648C" w14:textId="77777777" w:rsidR="00936019" w:rsidRDefault="00936019" w:rsidP="00B3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333A" w14:textId="2BA6C1A2" w:rsidR="00167AED" w:rsidRPr="0053128F" w:rsidRDefault="00167AED" w:rsidP="005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70A6" w14:textId="77777777" w:rsidR="00167AED" w:rsidRPr="002F0821" w:rsidRDefault="00167AED" w:rsidP="004A59DE">
    <w:pPr>
      <w:pStyle w:val="Header"/>
      <w:pBdr>
        <w:bottom w:val="single" w:sz="4" w:space="1" w:color="auto"/>
      </w:pBdr>
      <w:rPr>
        <w:color w:val="A6A6A6" w:themeColor="background1" w:themeShade="A6"/>
      </w:rPr>
    </w:pPr>
    <w:proofErr w:type="spellStart"/>
    <w:r>
      <w:rPr>
        <w:color w:val="A6A6A6" w:themeColor="background1" w:themeShade="A6"/>
      </w:rPr>
      <w:t>SPUtNIk</w:t>
    </w:r>
    <w:proofErr w:type="spellEnd"/>
  </w:p>
  <w:p w14:paraId="44398245" w14:textId="77777777" w:rsidR="00167AED" w:rsidRDefault="0016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CDC"/>
    <w:multiLevelType w:val="hybridMultilevel"/>
    <w:tmpl w:val="23F61A0C"/>
    <w:lvl w:ilvl="0" w:tplc="0B6807F2">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B5D0E69"/>
    <w:multiLevelType w:val="hybridMultilevel"/>
    <w:tmpl w:val="FBFEC918"/>
    <w:lvl w:ilvl="0" w:tplc="580C4708">
      <w:start w:val="1"/>
      <w:numFmt w:val="bullet"/>
      <w:lvlText w:val=""/>
      <w:lvlJc w:val="left"/>
      <w:pPr>
        <w:ind w:left="546" w:hanging="361"/>
      </w:pPr>
      <w:rPr>
        <w:rFonts w:ascii="Symbol" w:eastAsia="Symbol" w:hAnsi="Symbol" w:hint="default"/>
        <w:w w:val="100"/>
        <w:sz w:val="22"/>
        <w:szCs w:val="22"/>
      </w:rPr>
    </w:lvl>
    <w:lvl w:ilvl="1" w:tplc="5432878E">
      <w:start w:val="1"/>
      <w:numFmt w:val="bullet"/>
      <w:lvlText w:val="•"/>
      <w:lvlJc w:val="left"/>
      <w:pPr>
        <w:ind w:left="1285" w:hanging="361"/>
      </w:pPr>
      <w:rPr>
        <w:rFonts w:hint="default"/>
      </w:rPr>
    </w:lvl>
    <w:lvl w:ilvl="2" w:tplc="FA1A520C">
      <w:start w:val="1"/>
      <w:numFmt w:val="bullet"/>
      <w:lvlText w:val="•"/>
      <w:lvlJc w:val="left"/>
      <w:pPr>
        <w:ind w:left="2031" w:hanging="361"/>
      </w:pPr>
      <w:rPr>
        <w:rFonts w:hint="default"/>
      </w:rPr>
    </w:lvl>
    <w:lvl w:ilvl="3" w:tplc="F8CC5624">
      <w:start w:val="1"/>
      <w:numFmt w:val="bullet"/>
      <w:lvlText w:val="•"/>
      <w:lvlJc w:val="left"/>
      <w:pPr>
        <w:ind w:left="2777" w:hanging="361"/>
      </w:pPr>
      <w:rPr>
        <w:rFonts w:hint="default"/>
      </w:rPr>
    </w:lvl>
    <w:lvl w:ilvl="4" w:tplc="210650BE">
      <w:start w:val="1"/>
      <w:numFmt w:val="bullet"/>
      <w:lvlText w:val="•"/>
      <w:lvlJc w:val="left"/>
      <w:pPr>
        <w:ind w:left="3523" w:hanging="361"/>
      </w:pPr>
      <w:rPr>
        <w:rFonts w:hint="default"/>
      </w:rPr>
    </w:lvl>
    <w:lvl w:ilvl="5" w:tplc="EE16854C">
      <w:start w:val="1"/>
      <w:numFmt w:val="bullet"/>
      <w:lvlText w:val="•"/>
      <w:lvlJc w:val="left"/>
      <w:pPr>
        <w:ind w:left="4269" w:hanging="361"/>
      </w:pPr>
      <w:rPr>
        <w:rFonts w:hint="default"/>
      </w:rPr>
    </w:lvl>
    <w:lvl w:ilvl="6" w:tplc="229AD166">
      <w:start w:val="1"/>
      <w:numFmt w:val="bullet"/>
      <w:lvlText w:val="•"/>
      <w:lvlJc w:val="left"/>
      <w:pPr>
        <w:ind w:left="5015" w:hanging="361"/>
      </w:pPr>
      <w:rPr>
        <w:rFonts w:hint="default"/>
      </w:rPr>
    </w:lvl>
    <w:lvl w:ilvl="7" w:tplc="AB38261A">
      <w:start w:val="1"/>
      <w:numFmt w:val="bullet"/>
      <w:lvlText w:val="•"/>
      <w:lvlJc w:val="left"/>
      <w:pPr>
        <w:ind w:left="5761" w:hanging="361"/>
      </w:pPr>
      <w:rPr>
        <w:rFonts w:hint="default"/>
      </w:rPr>
    </w:lvl>
    <w:lvl w:ilvl="8" w:tplc="1E0C1B66">
      <w:start w:val="1"/>
      <w:numFmt w:val="bullet"/>
      <w:lvlText w:val="•"/>
      <w:lvlJc w:val="left"/>
      <w:pPr>
        <w:ind w:left="6507" w:hanging="361"/>
      </w:pPr>
      <w:rPr>
        <w:rFonts w:hint="default"/>
      </w:rPr>
    </w:lvl>
  </w:abstractNum>
  <w:abstractNum w:abstractNumId="2" w15:restartNumberingAfterBreak="0">
    <w:nsid w:val="0C9F591B"/>
    <w:multiLevelType w:val="hybridMultilevel"/>
    <w:tmpl w:val="5D609E20"/>
    <w:lvl w:ilvl="0" w:tplc="E32213FE">
      <w:start w:val="1"/>
      <w:numFmt w:val="lowerLetter"/>
      <w:lvlText w:val="%1)"/>
      <w:lvlJc w:val="left"/>
      <w:pPr>
        <w:ind w:left="1064" w:hanging="785"/>
      </w:pPr>
      <w:rPr>
        <w:rFonts w:ascii="Calibri" w:eastAsia="Calibri" w:hAnsi="Calibri" w:hint="default"/>
        <w:spacing w:val="-1"/>
        <w:w w:val="100"/>
        <w:sz w:val="22"/>
        <w:szCs w:val="22"/>
      </w:rPr>
    </w:lvl>
    <w:lvl w:ilvl="1" w:tplc="68C0218A">
      <w:start w:val="1"/>
      <w:numFmt w:val="bullet"/>
      <w:lvlText w:val="•"/>
      <w:lvlJc w:val="left"/>
      <w:pPr>
        <w:ind w:left="1817" w:hanging="785"/>
      </w:pPr>
      <w:rPr>
        <w:rFonts w:hint="default"/>
      </w:rPr>
    </w:lvl>
    <w:lvl w:ilvl="2" w:tplc="030EA6B6">
      <w:start w:val="1"/>
      <w:numFmt w:val="bullet"/>
      <w:lvlText w:val="•"/>
      <w:lvlJc w:val="left"/>
      <w:pPr>
        <w:ind w:left="2574" w:hanging="785"/>
      </w:pPr>
      <w:rPr>
        <w:rFonts w:hint="default"/>
      </w:rPr>
    </w:lvl>
    <w:lvl w:ilvl="3" w:tplc="433E12B2">
      <w:start w:val="1"/>
      <w:numFmt w:val="bullet"/>
      <w:lvlText w:val="•"/>
      <w:lvlJc w:val="left"/>
      <w:pPr>
        <w:ind w:left="3331" w:hanging="785"/>
      </w:pPr>
      <w:rPr>
        <w:rFonts w:hint="default"/>
      </w:rPr>
    </w:lvl>
    <w:lvl w:ilvl="4" w:tplc="B484C1CE">
      <w:start w:val="1"/>
      <w:numFmt w:val="bullet"/>
      <w:lvlText w:val="•"/>
      <w:lvlJc w:val="left"/>
      <w:pPr>
        <w:ind w:left="4088" w:hanging="785"/>
      </w:pPr>
      <w:rPr>
        <w:rFonts w:hint="default"/>
      </w:rPr>
    </w:lvl>
    <w:lvl w:ilvl="5" w:tplc="81F06B4C">
      <w:start w:val="1"/>
      <w:numFmt w:val="bullet"/>
      <w:lvlText w:val="•"/>
      <w:lvlJc w:val="left"/>
      <w:pPr>
        <w:ind w:left="4846" w:hanging="785"/>
      </w:pPr>
      <w:rPr>
        <w:rFonts w:hint="default"/>
      </w:rPr>
    </w:lvl>
    <w:lvl w:ilvl="6" w:tplc="CE2271BC">
      <w:start w:val="1"/>
      <w:numFmt w:val="bullet"/>
      <w:lvlText w:val="•"/>
      <w:lvlJc w:val="left"/>
      <w:pPr>
        <w:ind w:left="5603" w:hanging="785"/>
      </w:pPr>
      <w:rPr>
        <w:rFonts w:hint="default"/>
      </w:rPr>
    </w:lvl>
    <w:lvl w:ilvl="7" w:tplc="93301C2E">
      <w:start w:val="1"/>
      <w:numFmt w:val="bullet"/>
      <w:lvlText w:val="•"/>
      <w:lvlJc w:val="left"/>
      <w:pPr>
        <w:ind w:left="6360" w:hanging="785"/>
      </w:pPr>
      <w:rPr>
        <w:rFonts w:hint="default"/>
      </w:rPr>
    </w:lvl>
    <w:lvl w:ilvl="8" w:tplc="69D823B0">
      <w:start w:val="1"/>
      <w:numFmt w:val="bullet"/>
      <w:lvlText w:val="•"/>
      <w:lvlJc w:val="left"/>
      <w:pPr>
        <w:ind w:left="7117" w:hanging="785"/>
      </w:pPr>
      <w:rPr>
        <w:rFonts w:hint="default"/>
      </w:rPr>
    </w:lvl>
  </w:abstractNum>
  <w:abstractNum w:abstractNumId="3" w15:restartNumberingAfterBreak="0">
    <w:nsid w:val="0CD32E8D"/>
    <w:multiLevelType w:val="hybridMultilevel"/>
    <w:tmpl w:val="3180542A"/>
    <w:lvl w:ilvl="0" w:tplc="2E2218F6">
      <w:start w:val="1"/>
      <w:numFmt w:val="bullet"/>
      <w:lvlText w:val=""/>
      <w:lvlJc w:val="left"/>
      <w:pPr>
        <w:ind w:left="2109" w:hanging="361"/>
      </w:pPr>
      <w:rPr>
        <w:rFonts w:ascii="Symbol" w:eastAsia="Symbol" w:hAnsi="Symbol" w:hint="default"/>
        <w:w w:val="100"/>
        <w:sz w:val="22"/>
        <w:szCs w:val="22"/>
      </w:rPr>
    </w:lvl>
    <w:lvl w:ilvl="1" w:tplc="FFC610EC">
      <w:start w:val="1"/>
      <w:numFmt w:val="bullet"/>
      <w:lvlText w:val="•"/>
      <w:lvlJc w:val="left"/>
      <w:pPr>
        <w:ind w:left="2592" w:hanging="361"/>
      </w:pPr>
      <w:rPr>
        <w:rFonts w:hint="default"/>
      </w:rPr>
    </w:lvl>
    <w:lvl w:ilvl="2" w:tplc="717032E4">
      <w:start w:val="1"/>
      <w:numFmt w:val="bullet"/>
      <w:lvlText w:val="•"/>
      <w:lvlJc w:val="left"/>
      <w:pPr>
        <w:ind w:left="3084" w:hanging="361"/>
      </w:pPr>
      <w:rPr>
        <w:rFonts w:hint="default"/>
      </w:rPr>
    </w:lvl>
    <w:lvl w:ilvl="3" w:tplc="C6681D1A">
      <w:start w:val="1"/>
      <w:numFmt w:val="bullet"/>
      <w:lvlText w:val="•"/>
      <w:lvlJc w:val="left"/>
      <w:pPr>
        <w:ind w:left="3576" w:hanging="361"/>
      </w:pPr>
      <w:rPr>
        <w:rFonts w:hint="default"/>
      </w:rPr>
    </w:lvl>
    <w:lvl w:ilvl="4" w:tplc="AE6631DE">
      <w:start w:val="1"/>
      <w:numFmt w:val="bullet"/>
      <w:lvlText w:val="•"/>
      <w:lvlJc w:val="left"/>
      <w:pPr>
        <w:ind w:left="4068" w:hanging="361"/>
      </w:pPr>
      <w:rPr>
        <w:rFonts w:hint="default"/>
      </w:rPr>
    </w:lvl>
    <w:lvl w:ilvl="5" w:tplc="8736B860">
      <w:start w:val="1"/>
      <w:numFmt w:val="bullet"/>
      <w:lvlText w:val="•"/>
      <w:lvlJc w:val="left"/>
      <w:pPr>
        <w:ind w:left="4560" w:hanging="361"/>
      </w:pPr>
      <w:rPr>
        <w:rFonts w:hint="default"/>
      </w:rPr>
    </w:lvl>
    <w:lvl w:ilvl="6" w:tplc="E04AF1CE">
      <w:start w:val="1"/>
      <w:numFmt w:val="bullet"/>
      <w:lvlText w:val="•"/>
      <w:lvlJc w:val="left"/>
      <w:pPr>
        <w:ind w:left="5052" w:hanging="361"/>
      </w:pPr>
      <w:rPr>
        <w:rFonts w:hint="default"/>
      </w:rPr>
    </w:lvl>
    <w:lvl w:ilvl="7" w:tplc="F50C5602">
      <w:start w:val="1"/>
      <w:numFmt w:val="bullet"/>
      <w:lvlText w:val="•"/>
      <w:lvlJc w:val="left"/>
      <w:pPr>
        <w:ind w:left="5544" w:hanging="361"/>
      </w:pPr>
      <w:rPr>
        <w:rFonts w:hint="default"/>
      </w:rPr>
    </w:lvl>
    <w:lvl w:ilvl="8" w:tplc="16983A04">
      <w:start w:val="1"/>
      <w:numFmt w:val="bullet"/>
      <w:lvlText w:val="•"/>
      <w:lvlJc w:val="left"/>
      <w:pPr>
        <w:ind w:left="6036" w:hanging="361"/>
      </w:pPr>
      <w:rPr>
        <w:rFonts w:hint="default"/>
      </w:rPr>
    </w:lvl>
  </w:abstractNum>
  <w:abstractNum w:abstractNumId="4" w15:restartNumberingAfterBreak="0">
    <w:nsid w:val="0F0B44A1"/>
    <w:multiLevelType w:val="hybridMultilevel"/>
    <w:tmpl w:val="22EC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20962"/>
    <w:multiLevelType w:val="hybridMultilevel"/>
    <w:tmpl w:val="5214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A3BF7"/>
    <w:multiLevelType w:val="hybridMultilevel"/>
    <w:tmpl w:val="0C7A1A12"/>
    <w:lvl w:ilvl="0" w:tplc="D5C44BB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2FEB1051"/>
    <w:multiLevelType w:val="hybridMultilevel"/>
    <w:tmpl w:val="2F0E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152EE"/>
    <w:multiLevelType w:val="hybridMultilevel"/>
    <w:tmpl w:val="70D6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67298"/>
    <w:multiLevelType w:val="hybridMultilevel"/>
    <w:tmpl w:val="08A62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36FCE"/>
    <w:multiLevelType w:val="hybridMultilevel"/>
    <w:tmpl w:val="BB02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348E2"/>
    <w:multiLevelType w:val="hybridMultilevel"/>
    <w:tmpl w:val="33FA6FFA"/>
    <w:lvl w:ilvl="0" w:tplc="46685A94">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86315"/>
    <w:multiLevelType w:val="hybridMultilevel"/>
    <w:tmpl w:val="D62A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643DB"/>
    <w:multiLevelType w:val="hybridMultilevel"/>
    <w:tmpl w:val="4D24C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8187E"/>
    <w:multiLevelType w:val="hybridMultilevel"/>
    <w:tmpl w:val="321A9EBA"/>
    <w:lvl w:ilvl="0" w:tplc="580C4708">
      <w:start w:val="1"/>
      <w:numFmt w:val="bullet"/>
      <w:lvlText w:val=""/>
      <w:lvlJc w:val="left"/>
      <w:pPr>
        <w:ind w:left="360" w:hanging="360"/>
      </w:pPr>
      <w:rPr>
        <w:rFonts w:ascii="Symbol" w:eastAsia="Symbol" w:hAnsi="Symbol" w:hint="default"/>
        <w:w w:val="100"/>
        <w:sz w:val="22"/>
        <w:szCs w:val="22"/>
      </w:rPr>
    </w:lvl>
    <w:lvl w:ilvl="1" w:tplc="0B6807F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2B06B3"/>
    <w:multiLevelType w:val="hybridMultilevel"/>
    <w:tmpl w:val="E446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9C6202"/>
    <w:multiLevelType w:val="hybridMultilevel"/>
    <w:tmpl w:val="108656B0"/>
    <w:lvl w:ilvl="0" w:tplc="580C4708">
      <w:start w:val="1"/>
      <w:numFmt w:val="bullet"/>
      <w:lvlText w:val=""/>
      <w:lvlJc w:val="left"/>
      <w:pPr>
        <w:ind w:left="360" w:hanging="360"/>
      </w:pPr>
      <w:rPr>
        <w:rFonts w:ascii="Symbol" w:eastAsia="Symbol" w:hAnsi="Symbol" w:hint="default"/>
        <w:w w:val="100"/>
        <w:sz w:val="22"/>
        <w:szCs w:val="22"/>
      </w:rPr>
    </w:lvl>
    <w:lvl w:ilvl="1" w:tplc="580C4708">
      <w:start w:val="1"/>
      <w:numFmt w:val="bullet"/>
      <w:lvlText w:val=""/>
      <w:lvlJc w:val="left"/>
      <w:pPr>
        <w:ind w:left="1080" w:hanging="360"/>
      </w:pPr>
      <w:rPr>
        <w:rFonts w:ascii="Symbol" w:eastAsia="Symbol" w:hAnsi="Symbol" w:hint="default"/>
        <w:w w:val="100"/>
        <w:sz w:val="22"/>
        <w:szCs w:val="22"/>
      </w:rPr>
    </w:lvl>
    <w:lvl w:ilvl="2" w:tplc="10EC7BB4">
      <w:start w:val="18"/>
      <w:numFmt w:val="bullet"/>
      <w:lvlText w:val="•"/>
      <w:lvlJc w:val="left"/>
      <w:pPr>
        <w:ind w:left="1800" w:hanging="360"/>
      </w:pPr>
      <w:rPr>
        <w:rFonts w:ascii="Calibri" w:eastAsiaTheme="minorEastAsia"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D3341"/>
    <w:multiLevelType w:val="hybridMultilevel"/>
    <w:tmpl w:val="F7729572"/>
    <w:lvl w:ilvl="0" w:tplc="5F70E99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674B72"/>
    <w:multiLevelType w:val="hybridMultilevel"/>
    <w:tmpl w:val="34FAB006"/>
    <w:lvl w:ilvl="0" w:tplc="79A88EFC">
      <w:start w:val="1"/>
      <w:numFmt w:val="bullet"/>
      <w:lvlText w:val="o"/>
      <w:lvlJc w:val="left"/>
      <w:pPr>
        <w:ind w:left="1192" w:hanging="361"/>
      </w:pPr>
      <w:rPr>
        <w:rFonts w:ascii="Courier New" w:eastAsia="Courier New" w:hAnsi="Courier New" w:hint="default"/>
        <w:w w:val="100"/>
        <w:sz w:val="22"/>
        <w:szCs w:val="22"/>
      </w:rPr>
    </w:lvl>
    <w:lvl w:ilvl="1" w:tplc="CE82F94A">
      <w:start w:val="1"/>
      <w:numFmt w:val="bullet"/>
      <w:lvlText w:val="•"/>
      <w:lvlJc w:val="left"/>
      <w:pPr>
        <w:ind w:left="2122" w:hanging="361"/>
      </w:pPr>
      <w:rPr>
        <w:rFonts w:hint="default"/>
      </w:rPr>
    </w:lvl>
    <w:lvl w:ilvl="2" w:tplc="4D4A76BA">
      <w:start w:val="1"/>
      <w:numFmt w:val="bullet"/>
      <w:lvlText w:val="•"/>
      <w:lvlJc w:val="left"/>
      <w:pPr>
        <w:ind w:left="3045" w:hanging="361"/>
      </w:pPr>
      <w:rPr>
        <w:rFonts w:hint="default"/>
      </w:rPr>
    </w:lvl>
    <w:lvl w:ilvl="3" w:tplc="4D566792">
      <w:start w:val="1"/>
      <w:numFmt w:val="bullet"/>
      <w:lvlText w:val="•"/>
      <w:lvlJc w:val="left"/>
      <w:pPr>
        <w:ind w:left="3967" w:hanging="361"/>
      </w:pPr>
      <w:rPr>
        <w:rFonts w:hint="default"/>
      </w:rPr>
    </w:lvl>
    <w:lvl w:ilvl="4" w:tplc="D466002A">
      <w:start w:val="1"/>
      <w:numFmt w:val="bullet"/>
      <w:lvlText w:val="•"/>
      <w:lvlJc w:val="left"/>
      <w:pPr>
        <w:ind w:left="4890" w:hanging="361"/>
      </w:pPr>
      <w:rPr>
        <w:rFonts w:hint="default"/>
      </w:rPr>
    </w:lvl>
    <w:lvl w:ilvl="5" w:tplc="8E7A6DEC">
      <w:start w:val="1"/>
      <w:numFmt w:val="bullet"/>
      <w:lvlText w:val="•"/>
      <w:lvlJc w:val="left"/>
      <w:pPr>
        <w:ind w:left="5813" w:hanging="361"/>
      </w:pPr>
      <w:rPr>
        <w:rFonts w:hint="default"/>
      </w:rPr>
    </w:lvl>
    <w:lvl w:ilvl="6" w:tplc="688C24BA">
      <w:start w:val="1"/>
      <w:numFmt w:val="bullet"/>
      <w:lvlText w:val="•"/>
      <w:lvlJc w:val="left"/>
      <w:pPr>
        <w:ind w:left="6735" w:hanging="361"/>
      </w:pPr>
      <w:rPr>
        <w:rFonts w:hint="default"/>
      </w:rPr>
    </w:lvl>
    <w:lvl w:ilvl="7" w:tplc="742AFE72">
      <w:start w:val="1"/>
      <w:numFmt w:val="bullet"/>
      <w:lvlText w:val="•"/>
      <w:lvlJc w:val="left"/>
      <w:pPr>
        <w:ind w:left="7658" w:hanging="361"/>
      </w:pPr>
      <w:rPr>
        <w:rFonts w:hint="default"/>
      </w:rPr>
    </w:lvl>
    <w:lvl w:ilvl="8" w:tplc="E7507702">
      <w:start w:val="1"/>
      <w:numFmt w:val="bullet"/>
      <w:lvlText w:val="•"/>
      <w:lvlJc w:val="left"/>
      <w:pPr>
        <w:ind w:left="8581" w:hanging="361"/>
      </w:pPr>
      <w:rPr>
        <w:rFonts w:hint="default"/>
      </w:rPr>
    </w:lvl>
  </w:abstractNum>
  <w:abstractNum w:abstractNumId="19" w15:restartNumberingAfterBreak="0">
    <w:nsid w:val="4FA64F39"/>
    <w:multiLevelType w:val="hybridMultilevel"/>
    <w:tmpl w:val="8A7C1ACE"/>
    <w:lvl w:ilvl="0" w:tplc="580C4708">
      <w:start w:val="1"/>
      <w:numFmt w:val="bullet"/>
      <w:lvlText w:val=""/>
      <w:lvlJc w:val="left"/>
      <w:pPr>
        <w:ind w:left="360" w:hanging="360"/>
      </w:pPr>
      <w:rPr>
        <w:rFonts w:ascii="Symbol" w:eastAsia="Symbol" w:hAnsi="Symbol" w:hint="default"/>
        <w:w w:val="100"/>
        <w:sz w:val="22"/>
        <w:szCs w:val="22"/>
      </w:rPr>
    </w:lvl>
    <w:lvl w:ilvl="1" w:tplc="0B6807F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F11096"/>
    <w:multiLevelType w:val="hybridMultilevel"/>
    <w:tmpl w:val="D66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C2468"/>
    <w:multiLevelType w:val="hybridMultilevel"/>
    <w:tmpl w:val="F4C867D8"/>
    <w:lvl w:ilvl="0" w:tplc="580C4708">
      <w:start w:val="1"/>
      <w:numFmt w:val="bullet"/>
      <w:lvlText w:val=""/>
      <w:lvlJc w:val="left"/>
      <w:pPr>
        <w:ind w:left="360" w:hanging="360"/>
      </w:pPr>
      <w:rPr>
        <w:rFonts w:ascii="Symbol" w:eastAsia="Symbol" w:hAnsi="Symbol" w:hint="default"/>
        <w:w w:val="100"/>
        <w:sz w:val="22"/>
        <w:szCs w:val="22"/>
      </w:rPr>
    </w:lvl>
    <w:lvl w:ilvl="1" w:tplc="580C4708">
      <w:start w:val="1"/>
      <w:numFmt w:val="bullet"/>
      <w:lvlText w:val=""/>
      <w:lvlJc w:val="left"/>
      <w:pPr>
        <w:ind w:left="1080" w:hanging="360"/>
      </w:pPr>
      <w:rPr>
        <w:rFonts w:ascii="Symbol" w:eastAsia="Symbol" w:hAnsi="Symbol" w:hint="default"/>
        <w:w w:val="100"/>
        <w:sz w:val="22"/>
        <w:szCs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0A5D09"/>
    <w:multiLevelType w:val="hybridMultilevel"/>
    <w:tmpl w:val="E7EC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473E9"/>
    <w:multiLevelType w:val="multilevel"/>
    <w:tmpl w:val="B8B0B85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1" w:hanging="720"/>
      </w:pPr>
      <w:rPr>
        <w:rFonts w:hint="default"/>
        <w:color w:val="auto"/>
      </w:rPr>
    </w:lvl>
    <w:lvl w:ilvl="3">
      <w:start w:val="1"/>
      <w:numFmt w:val="decimal"/>
      <w:pStyle w:val="Heading4"/>
      <w:lvlText w:val="%1.%2.%3.%4"/>
      <w:lvlJc w:val="left"/>
      <w:pPr>
        <w:ind w:left="864" w:hanging="864"/>
      </w:pPr>
      <w:rPr>
        <w:rFonts w:hint="default"/>
        <w:b w:val="0"/>
        <w:bCs/>
        <w:i w:val="0"/>
        <w:iCs w: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C737188"/>
    <w:multiLevelType w:val="hybridMultilevel"/>
    <w:tmpl w:val="809C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1340A"/>
    <w:multiLevelType w:val="hybridMultilevel"/>
    <w:tmpl w:val="F60846EA"/>
    <w:lvl w:ilvl="0" w:tplc="E9F62DEA">
      <w:start w:val="9"/>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A4BED"/>
    <w:multiLevelType w:val="hybridMultilevel"/>
    <w:tmpl w:val="60400EA8"/>
    <w:lvl w:ilvl="0" w:tplc="580C4708">
      <w:start w:val="1"/>
      <w:numFmt w:val="bullet"/>
      <w:lvlText w:val=""/>
      <w:lvlJc w:val="left"/>
      <w:pPr>
        <w:ind w:left="360" w:hanging="360"/>
      </w:pPr>
      <w:rPr>
        <w:rFonts w:ascii="Symbol" w:eastAsia="Symbol" w:hAnsi="Symbol" w:hint="default"/>
        <w:w w:val="100"/>
        <w:sz w:val="22"/>
        <w:szCs w:val="22"/>
      </w:rPr>
    </w:lvl>
    <w:lvl w:ilvl="1" w:tplc="580C4708">
      <w:start w:val="1"/>
      <w:numFmt w:val="bullet"/>
      <w:lvlText w:val=""/>
      <w:lvlJc w:val="left"/>
      <w:pPr>
        <w:ind w:left="1080" w:hanging="360"/>
      </w:pPr>
      <w:rPr>
        <w:rFonts w:ascii="Symbol" w:eastAsia="Symbol" w:hAnsi="Symbol" w:hint="default"/>
        <w:w w:val="100"/>
        <w:sz w:val="22"/>
        <w:szCs w:val="22"/>
      </w:rPr>
    </w:lvl>
    <w:lvl w:ilvl="2" w:tplc="8160BB74">
      <w:start w:val="18"/>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4A0448"/>
    <w:multiLevelType w:val="hybridMultilevel"/>
    <w:tmpl w:val="44F6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37364"/>
    <w:multiLevelType w:val="hybridMultilevel"/>
    <w:tmpl w:val="3C7A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93F4A"/>
    <w:multiLevelType w:val="hybridMultilevel"/>
    <w:tmpl w:val="335CD38A"/>
    <w:lvl w:ilvl="0" w:tplc="975889AC">
      <w:start w:val="9"/>
      <w:numFmt w:val="decimal"/>
      <w:lvlText w:val="%1"/>
      <w:lvlJc w:val="left"/>
      <w:pPr>
        <w:ind w:left="720" w:hanging="360"/>
      </w:pPr>
      <w:rPr>
        <w:rFonts w:ascii="Calibri" w:hAnsi="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286EF5"/>
    <w:multiLevelType w:val="multilevel"/>
    <w:tmpl w:val="EBB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0E5F71"/>
    <w:multiLevelType w:val="hybridMultilevel"/>
    <w:tmpl w:val="7A604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115464"/>
    <w:multiLevelType w:val="hybridMultilevel"/>
    <w:tmpl w:val="8EE0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42613"/>
    <w:multiLevelType w:val="hybridMultilevel"/>
    <w:tmpl w:val="E4A8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E2779"/>
    <w:multiLevelType w:val="hybridMultilevel"/>
    <w:tmpl w:val="03A2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30B9B"/>
    <w:multiLevelType w:val="hybridMultilevel"/>
    <w:tmpl w:val="E0EC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E5DA1"/>
    <w:multiLevelType w:val="hybridMultilevel"/>
    <w:tmpl w:val="4D24C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3878AB"/>
    <w:multiLevelType w:val="hybridMultilevel"/>
    <w:tmpl w:val="283E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1"/>
  </w:num>
  <w:num w:numId="6">
    <w:abstractNumId w:val="6"/>
  </w:num>
  <w:num w:numId="7">
    <w:abstractNumId w:val="28"/>
  </w:num>
  <w:num w:numId="8">
    <w:abstractNumId w:val="35"/>
  </w:num>
  <w:num w:numId="9">
    <w:abstractNumId w:val="24"/>
  </w:num>
  <w:num w:numId="10">
    <w:abstractNumId w:val="13"/>
  </w:num>
  <w:num w:numId="11">
    <w:abstractNumId w:val="34"/>
  </w:num>
  <w:num w:numId="12">
    <w:abstractNumId w:val="5"/>
  </w:num>
  <w:num w:numId="13">
    <w:abstractNumId w:val="15"/>
  </w:num>
  <w:num w:numId="14">
    <w:abstractNumId w:val="33"/>
  </w:num>
  <w:num w:numId="15">
    <w:abstractNumId w:val="7"/>
  </w:num>
  <w:num w:numId="16">
    <w:abstractNumId w:val="4"/>
  </w:num>
  <w:num w:numId="17">
    <w:abstractNumId w:val="20"/>
  </w:num>
  <w:num w:numId="18">
    <w:abstractNumId w:val="22"/>
  </w:num>
  <w:num w:numId="19">
    <w:abstractNumId w:val="12"/>
  </w:num>
  <w:num w:numId="20">
    <w:abstractNumId w:val="2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2"/>
  </w:num>
  <w:num w:numId="24">
    <w:abstractNumId w:val="10"/>
  </w:num>
  <w:num w:numId="25">
    <w:abstractNumId w:val="37"/>
  </w:num>
  <w:num w:numId="26">
    <w:abstractNumId w:val="14"/>
  </w:num>
  <w:num w:numId="27">
    <w:abstractNumId w:val="19"/>
  </w:num>
  <w:num w:numId="28">
    <w:abstractNumId w:val="16"/>
  </w:num>
  <w:num w:numId="29">
    <w:abstractNumId w:val="26"/>
  </w:num>
  <w:num w:numId="30">
    <w:abstractNumId w:val="21"/>
  </w:num>
  <w:num w:numId="31">
    <w:abstractNumId w:val="1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8"/>
  </w:num>
  <w:num w:numId="35">
    <w:abstractNumId w:val="3"/>
  </w:num>
  <w:num w:numId="36">
    <w:abstractNumId w:val="2"/>
  </w:num>
  <w:num w:numId="37">
    <w:abstractNumId w:val="18"/>
  </w:num>
  <w:num w:numId="38">
    <w:abstractNumId w:val="25"/>
  </w:num>
  <w:num w:numId="39">
    <w:abstractNumId w:val="29"/>
  </w:num>
  <w:num w:numId="4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PT" w:vendorID="64" w:dllVersion="4096"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tpf9rviafsv6et2s5vd9dlwfzzrfr5fe9z&quot;&gt;Sputnik final report&lt;record-ids&gt;&lt;item&gt;1&lt;/item&gt;&lt;item&gt;2&lt;/item&gt;&lt;item&gt;3&lt;/item&gt;&lt;item&gt;4&lt;/item&gt;&lt;item&gt;6&lt;/item&gt;&lt;item&gt;7&lt;/item&gt;&lt;item&gt;8&lt;/item&gt;&lt;item&gt;9&lt;/item&gt;&lt;item&gt;11&lt;/item&gt;&lt;item&gt;13&lt;/item&gt;&lt;item&gt;14&lt;/item&gt;&lt;item&gt;16&lt;/item&gt;&lt;item&gt;17&lt;/item&gt;&lt;item&gt;18&lt;/item&gt;&lt;item&gt;19&lt;/item&gt;&lt;item&gt;20&lt;/item&gt;&lt;item&gt;21&lt;/item&gt;&lt;item&gt;23&lt;/item&gt;&lt;item&gt;25&lt;/item&gt;&lt;item&gt;26&lt;/item&gt;&lt;item&gt;29&lt;/item&gt;&lt;item&gt;30&lt;/item&gt;&lt;item&gt;31&lt;/item&gt;&lt;item&gt;34&lt;/item&gt;&lt;item&gt;36&lt;/item&gt;&lt;item&gt;38&lt;/item&gt;&lt;item&gt;41&lt;/item&gt;&lt;item&gt;43&lt;/item&gt;&lt;item&gt;45&lt;/item&gt;&lt;item&gt;47&lt;/item&gt;&lt;item&gt;48&lt;/item&gt;&lt;item&gt;49&lt;/item&gt;&lt;item&gt;51&lt;/item&gt;&lt;item&gt;53&lt;/item&gt;&lt;item&gt;55&lt;/item&gt;&lt;item&gt;56&lt;/item&gt;&lt;item&gt;57&lt;/item&gt;&lt;item&gt;58&lt;/item&gt;&lt;item&gt;61&lt;/item&gt;&lt;item&gt;62&lt;/item&gt;&lt;item&gt;63&lt;/item&gt;&lt;item&gt;64&lt;/item&gt;&lt;item&gt;65&lt;/item&gt;&lt;item&gt;66&lt;/item&gt;&lt;item&gt;67&lt;/item&gt;&lt;item&gt;68&lt;/item&gt;&lt;item&gt;69&lt;/item&gt;&lt;item&gt;70&lt;/item&gt;&lt;item&gt;72&lt;/item&gt;&lt;item&gt;73&lt;/item&gt;&lt;item&gt;74&lt;/item&gt;&lt;item&gt;75&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7&lt;/item&gt;&lt;item&gt;108&lt;/item&gt;&lt;item&gt;110&lt;/item&gt;&lt;item&gt;111&lt;/item&gt;&lt;item&gt;114&lt;/item&gt;&lt;item&gt;115&lt;/item&gt;&lt;item&gt;116&lt;/item&gt;&lt;/record-ids&gt;&lt;/item&gt;&lt;/Libraries&gt;"/>
  </w:docVars>
  <w:rsids>
    <w:rsidRoot w:val="00DD5464"/>
    <w:rsid w:val="000011C1"/>
    <w:rsid w:val="000025E9"/>
    <w:rsid w:val="000028AB"/>
    <w:rsid w:val="0000379C"/>
    <w:rsid w:val="00005321"/>
    <w:rsid w:val="000056B1"/>
    <w:rsid w:val="00006057"/>
    <w:rsid w:val="000060F1"/>
    <w:rsid w:val="000060FE"/>
    <w:rsid w:val="0000651E"/>
    <w:rsid w:val="00007AF4"/>
    <w:rsid w:val="00007FB3"/>
    <w:rsid w:val="0001070C"/>
    <w:rsid w:val="00011CB7"/>
    <w:rsid w:val="00013212"/>
    <w:rsid w:val="000137D5"/>
    <w:rsid w:val="00013FAB"/>
    <w:rsid w:val="000153E1"/>
    <w:rsid w:val="000162D7"/>
    <w:rsid w:val="00016A1E"/>
    <w:rsid w:val="00016A33"/>
    <w:rsid w:val="00017594"/>
    <w:rsid w:val="0001770E"/>
    <w:rsid w:val="0001785A"/>
    <w:rsid w:val="00020165"/>
    <w:rsid w:val="0002019E"/>
    <w:rsid w:val="000208DF"/>
    <w:rsid w:val="00020AF5"/>
    <w:rsid w:val="00020B0B"/>
    <w:rsid w:val="000214E6"/>
    <w:rsid w:val="000230C1"/>
    <w:rsid w:val="000235B5"/>
    <w:rsid w:val="00023E18"/>
    <w:rsid w:val="00023F50"/>
    <w:rsid w:val="00024491"/>
    <w:rsid w:val="000247E0"/>
    <w:rsid w:val="00024C6A"/>
    <w:rsid w:val="00026F87"/>
    <w:rsid w:val="0003053F"/>
    <w:rsid w:val="00031AFF"/>
    <w:rsid w:val="00032703"/>
    <w:rsid w:val="000329A2"/>
    <w:rsid w:val="00032B2D"/>
    <w:rsid w:val="00032EEC"/>
    <w:rsid w:val="00034C72"/>
    <w:rsid w:val="0003594E"/>
    <w:rsid w:val="00035FA1"/>
    <w:rsid w:val="00036A62"/>
    <w:rsid w:val="000374A3"/>
    <w:rsid w:val="00040C33"/>
    <w:rsid w:val="000438B4"/>
    <w:rsid w:val="00046729"/>
    <w:rsid w:val="00047026"/>
    <w:rsid w:val="00047B23"/>
    <w:rsid w:val="00047E86"/>
    <w:rsid w:val="00050063"/>
    <w:rsid w:val="00053A2E"/>
    <w:rsid w:val="00054B22"/>
    <w:rsid w:val="00054F99"/>
    <w:rsid w:val="00055062"/>
    <w:rsid w:val="000572BA"/>
    <w:rsid w:val="000574D6"/>
    <w:rsid w:val="00057AD5"/>
    <w:rsid w:val="0006012C"/>
    <w:rsid w:val="00060504"/>
    <w:rsid w:val="000613A2"/>
    <w:rsid w:val="00063262"/>
    <w:rsid w:val="00063AEA"/>
    <w:rsid w:val="0006400B"/>
    <w:rsid w:val="00064478"/>
    <w:rsid w:val="00066D63"/>
    <w:rsid w:val="00067AA8"/>
    <w:rsid w:val="00070032"/>
    <w:rsid w:val="0007119A"/>
    <w:rsid w:val="000711A0"/>
    <w:rsid w:val="0007232F"/>
    <w:rsid w:val="00074791"/>
    <w:rsid w:val="00074925"/>
    <w:rsid w:val="000750AC"/>
    <w:rsid w:val="0007704D"/>
    <w:rsid w:val="00077B06"/>
    <w:rsid w:val="00080173"/>
    <w:rsid w:val="00080F75"/>
    <w:rsid w:val="000819CF"/>
    <w:rsid w:val="00082C72"/>
    <w:rsid w:val="00082CE1"/>
    <w:rsid w:val="00083905"/>
    <w:rsid w:val="00083916"/>
    <w:rsid w:val="00083951"/>
    <w:rsid w:val="00083C31"/>
    <w:rsid w:val="000848DA"/>
    <w:rsid w:val="00084E21"/>
    <w:rsid w:val="0008540D"/>
    <w:rsid w:val="00086C7D"/>
    <w:rsid w:val="00087D0A"/>
    <w:rsid w:val="000903A6"/>
    <w:rsid w:val="00090AA6"/>
    <w:rsid w:val="00090F48"/>
    <w:rsid w:val="000912F3"/>
    <w:rsid w:val="0009190D"/>
    <w:rsid w:val="000920AB"/>
    <w:rsid w:val="000922CB"/>
    <w:rsid w:val="000930CA"/>
    <w:rsid w:val="00093976"/>
    <w:rsid w:val="000A0B29"/>
    <w:rsid w:val="000A138B"/>
    <w:rsid w:val="000A13F3"/>
    <w:rsid w:val="000A1725"/>
    <w:rsid w:val="000A1D28"/>
    <w:rsid w:val="000A2385"/>
    <w:rsid w:val="000A3FF9"/>
    <w:rsid w:val="000A4192"/>
    <w:rsid w:val="000A43E0"/>
    <w:rsid w:val="000A6309"/>
    <w:rsid w:val="000A708D"/>
    <w:rsid w:val="000B03D0"/>
    <w:rsid w:val="000B0A00"/>
    <w:rsid w:val="000B20E0"/>
    <w:rsid w:val="000B2CA1"/>
    <w:rsid w:val="000B2D1C"/>
    <w:rsid w:val="000B4A78"/>
    <w:rsid w:val="000B54D2"/>
    <w:rsid w:val="000B796D"/>
    <w:rsid w:val="000C096D"/>
    <w:rsid w:val="000C0AD1"/>
    <w:rsid w:val="000C0C44"/>
    <w:rsid w:val="000C202A"/>
    <w:rsid w:val="000C22F9"/>
    <w:rsid w:val="000C31DE"/>
    <w:rsid w:val="000C3440"/>
    <w:rsid w:val="000C3FBD"/>
    <w:rsid w:val="000C41CC"/>
    <w:rsid w:val="000C4B39"/>
    <w:rsid w:val="000C5840"/>
    <w:rsid w:val="000C5DFD"/>
    <w:rsid w:val="000C5F3E"/>
    <w:rsid w:val="000C6170"/>
    <w:rsid w:val="000C67F4"/>
    <w:rsid w:val="000C744C"/>
    <w:rsid w:val="000D4880"/>
    <w:rsid w:val="000D496C"/>
    <w:rsid w:val="000D4C11"/>
    <w:rsid w:val="000D4C1D"/>
    <w:rsid w:val="000D4DEA"/>
    <w:rsid w:val="000D5AFF"/>
    <w:rsid w:val="000E026B"/>
    <w:rsid w:val="000E1261"/>
    <w:rsid w:val="000E1824"/>
    <w:rsid w:val="000E2135"/>
    <w:rsid w:val="000E29B3"/>
    <w:rsid w:val="000E3340"/>
    <w:rsid w:val="000E428A"/>
    <w:rsid w:val="000E5099"/>
    <w:rsid w:val="000E626B"/>
    <w:rsid w:val="000E6B03"/>
    <w:rsid w:val="000E7865"/>
    <w:rsid w:val="000E7B1F"/>
    <w:rsid w:val="000F051D"/>
    <w:rsid w:val="000F157F"/>
    <w:rsid w:val="000F199C"/>
    <w:rsid w:val="000F2BDB"/>
    <w:rsid w:val="000F2C9F"/>
    <w:rsid w:val="000F385E"/>
    <w:rsid w:val="000F416C"/>
    <w:rsid w:val="000F52F8"/>
    <w:rsid w:val="000F5CB4"/>
    <w:rsid w:val="000F6118"/>
    <w:rsid w:val="000F700F"/>
    <w:rsid w:val="000F743F"/>
    <w:rsid w:val="000F75B2"/>
    <w:rsid w:val="000F75CA"/>
    <w:rsid w:val="000F7CD6"/>
    <w:rsid w:val="0010043E"/>
    <w:rsid w:val="0010082E"/>
    <w:rsid w:val="00100DB5"/>
    <w:rsid w:val="00101D2B"/>
    <w:rsid w:val="00102D8F"/>
    <w:rsid w:val="00103290"/>
    <w:rsid w:val="0010451F"/>
    <w:rsid w:val="001055F0"/>
    <w:rsid w:val="00105D1F"/>
    <w:rsid w:val="00106E3D"/>
    <w:rsid w:val="00107653"/>
    <w:rsid w:val="00110B79"/>
    <w:rsid w:val="00114170"/>
    <w:rsid w:val="001156BB"/>
    <w:rsid w:val="001160B9"/>
    <w:rsid w:val="00116876"/>
    <w:rsid w:val="00116F99"/>
    <w:rsid w:val="00116FC3"/>
    <w:rsid w:val="00117703"/>
    <w:rsid w:val="001178C9"/>
    <w:rsid w:val="001224D8"/>
    <w:rsid w:val="00123AD5"/>
    <w:rsid w:val="00124114"/>
    <w:rsid w:val="00124AC6"/>
    <w:rsid w:val="00124CB9"/>
    <w:rsid w:val="00126987"/>
    <w:rsid w:val="00130351"/>
    <w:rsid w:val="0013043B"/>
    <w:rsid w:val="00130DDD"/>
    <w:rsid w:val="0013103D"/>
    <w:rsid w:val="0013202E"/>
    <w:rsid w:val="001328D0"/>
    <w:rsid w:val="00132B1A"/>
    <w:rsid w:val="001350D4"/>
    <w:rsid w:val="0013515A"/>
    <w:rsid w:val="001354A6"/>
    <w:rsid w:val="00135A4E"/>
    <w:rsid w:val="00136475"/>
    <w:rsid w:val="0013694C"/>
    <w:rsid w:val="00137579"/>
    <w:rsid w:val="001376CD"/>
    <w:rsid w:val="001378DE"/>
    <w:rsid w:val="00137F04"/>
    <w:rsid w:val="001418B0"/>
    <w:rsid w:val="00141FF9"/>
    <w:rsid w:val="0014218F"/>
    <w:rsid w:val="00142B36"/>
    <w:rsid w:val="001434AB"/>
    <w:rsid w:val="0014359E"/>
    <w:rsid w:val="0014372C"/>
    <w:rsid w:val="00143968"/>
    <w:rsid w:val="00144FD9"/>
    <w:rsid w:val="0014737C"/>
    <w:rsid w:val="001477E9"/>
    <w:rsid w:val="00147E01"/>
    <w:rsid w:val="0015209A"/>
    <w:rsid w:val="0015588B"/>
    <w:rsid w:val="00156240"/>
    <w:rsid w:val="00156315"/>
    <w:rsid w:val="00156465"/>
    <w:rsid w:val="001566E9"/>
    <w:rsid w:val="0016054A"/>
    <w:rsid w:val="00160914"/>
    <w:rsid w:val="00161896"/>
    <w:rsid w:val="00163400"/>
    <w:rsid w:val="00163B6C"/>
    <w:rsid w:val="00164A60"/>
    <w:rsid w:val="00164F2B"/>
    <w:rsid w:val="00165234"/>
    <w:rsid w:val="00165920"/>
    <w:rsid w:val="0016755F"/>
    <w:rsid w:val="00167AED"/>
    <w:rsid w:val="001705CC"/>
    <w:rsid w:val="00171413"/>
    <w:rsid w:val="001729F3"/>
    <w:rsid w:val="00173295"/>
    <w:rsid w:val="00173767"/>
    <w:rsid w:val="001739EC"/>
    <w:rsid w:val="00174190"/>
    <w:rsid w:val="001742C4"/>
    <w:rsid w:val="00174AA4"/>
    <w:rsid w:val="00174E01"/>
    <w:rsid w:val="00175FD2"/>
    <w:rsid w:val="0017655B"/>
    <w:rsid w:val="0018082B"/>
    <w:rsid w:val="00180CF1"/>
    <w:rsid w:val="0018262F"/>
    <w:rsid w:val="00182BEC"/>
    <w:rsid w:val="00184164"/>
    <w:rsid w:val="00184207"/>
    <w:rsid w:val="00184591"/>
    <w:rsid w:val="001864A6"/>
    <w:rsid w:val="00186D64"/>
    <w:rsid w:val="00187338"/>
    <w:rsid w:val="00187748"/>
    <w:rsid w:val="0019131C"/>
    <w:rsid w:val="00191CA0"/>
    <w:rsid w:val="00191F40"/>
    <w:rsid w:val="00192068"/>
    <w:rsid w:val="00192E3D"/>
    <w:rsid w:val="00193BCA"/>
    <w:rsid w:val="00194024"/>
    <w:rsid w:val="001940AA"/>
    <w:rsid w:val="00194380"/>
    <w:rsid w:val="00195391"/>
    <w:rsid w:val="00195E0F"/>
    <w:rsid w:val="001A0ADF"/>
    <w:rsid w:val="001A0C28"/>
    <w:rsid w:val="001A1219"/>
    <w:rsid w:val="001A1A0B"/>
    <w:rsid w:val="001A2B2D"/>
    <w:rsid w:val="001A551D"/>
    <w:rsid w:val="001A5AD6"/>
    <w:rsid w:val="001A5EB8"/>
    <w:rsid w:val="001A7472"/>
    <w:rsid w:val="001A76C0"/>
    <w:rsid w:val="001B2B5B"/>
    <w:rsid w:val="001B3573"/>
    <w:rsid w:val="001C035F"/>
    <w:rsid w:val="001C1165"/>
    <w:rsid w:val="001C3BFF"/>
    <w:rsid w:val="001C5042"/>
    <w:rsid w:val="001C5B4E"/>
    <w:rsid w:val="001C5D60"/>
    <w:rsid w:val="001C5DC8"/>
    <w:rsid w:val="001C6015"/>
    <w:rsid w:val="001D288F"/>
    <w:rsid w:val="001D2D97"/>
    <w:rsid w:val="001D2E55"/>
    <w:rsid w:val="001D370E"/>
    <w:rsid w:val="001D3C5C"/>
    <w:rsid w:val="001D65F1"/>
    <w:rsid w:val="001D743D"/>
    <w:rsid w:val="001D7D46"/>
    <w:rsid w:val="001E18B2"/>
    <w:rsid w:val="001E339B"/>
    <w:rsid w:val="001E3F43"/>
    <w:rsid w:val="001E473A"/>
    <w:rsid w:val="001E51B9"/>
    <w:rsid w:val="001E57F9"/>
    <w:rsid w:val="001E6776"/>
    <w:rsid w:val="001E6A9D"/>
    <w:rsid w:val="001E6C5A"/>
    <w:rsid w:val="001F1559"/>
    <w:rsid w:val="001F19E8"/>
    <w:rsid w:val="001F1E7F"/>
    <w:rsid w:val="001F2B27"/>
    <w:rsid w:val="001F3A60"/>
    <w:rsid w:val="001F3BF8"/>
    <w:rsid w:val="001F4D71"/>
    <w:rsid w:val="001F5C43"/>
    <w:rsid w:val="001F5C98"/>
    <w:rsid w:val="001F6302"/>
    <w:rsid w:val="001F6792"/>
    <w:rsid w:val="001F6BE9"/>
    <w:rsid w:val="001F6E20"/>
    <w:rsid w:val="00201A89"/>
    <w:rsid w:val="0020302C"/>
    <w:rsid w:val="002039E6"/>
    <w:rsid w:val="00204179"/>
    <w:rsid w:val="0020472A"/>
    <w:rsid w:val="002050F5"/>
    <w:rsid w:val="00205B3C"/>
    <w:rsid w:val="002078E9"/>
    <w:rsid w:val="00207F8F"/>
    <w:rsid w:val="00210100"/>
    <w:rsid w:val="00214376"/>
    <w:rsid w:val="0021491B"/>
    <w:rsid w:val="00214D6C"/>
    <w:rsid w:val="002157BE"/>
    <w:rsid w:val="00216B29"/>
    <w:rsid w:val="00217290"/>
    <w:rsid w:val="00217CBD"/>
    <w:rsid w:val="00217D9B"/>
    <w:rsid w:val="00220374"/>
    <w:rsid w:val="00220774"/>
    <w:rsid w:val="00220917"/>
    <w:rsid w:val="0022192F"/>
    <w:rsid w:val="0022285F"/>
    <w:rsid w:val="00222E04"/>
    <w:rsid w:val="002235AE"/>
    <w:rsid w:val="00223BB9"/>
    <w:rsid w:val="00224488"/>
    <w:rsid w:val="0022485A"/>
    <w:rsid w:val="00224A89"/>
    <w:rsid w:val="00225C88"/>
    <w:rsid w:val="00226274"/>
    <w:rsid w:val="00226B8E"/>
    <w:rsid w:val="00227BCC"/>
    <w:rsid w:val="00227C39"/>
    <w:rsid w:val="00227CD5"/>
    <w:rsid w:val="002307A8"/>
    <w:rsid w:val="0023169F"/>
    <w:rsid w:val="002333AC"/>
    <w:rsid w:val="0023364B"/>
    <w:rsid w:val="00234392"/>
    <w:rsid w:val="0023498C"/>
    <w:rsid w:val="002354A3"/>
    <w:rsid w:val="002354AB"/>
    <w:rsid w:val="00235CF2"/>
    <w:rsid w:val="00236EE8"/>
    <w:rsid w:val="00236FB0"/>
    <w:rsid w:val="00237BF5"/>
    <w:rsid w:val="002402B4"/>
    <w:rsid w:val="002406EB"/>
    <w:rsid w:val="002411BD"/>
    <w:rsid w:val="002416B1"/>
    <w:rsid w:val="002419C9"/>
    <w:rsid w:val="0024382A"/>
    <w:rsid w:val="00243B48"/>
    <w:rsid w:val="00243DE7"/>
    <w:rsid w:val="0024586F"/>
    <w:rsid w:val="00245F65"/>
    <w:rsid w:val="002474DD"/>
    <w:rsid w:val="00251A34"/>
    <w:rsid w:val="00252056"/>
    <w:rsid w:val="0025329E"/>
    <w:rsid w:val="00253877"/>
    <w:rsid w:val="002546A3"/>
    <w:rsid w:val="002549E8"/>
    <w:rsid w:val="002566FB"/>
    <w:rsid w:val="00256FFD"/>
    <w:rsid w:val="002579F6"/>
    <w:rsid w:val="00257E30"/>
    <w:rsid w:val="0026007A"/>
    <w:rsid w:val="0026028D"/>
    <w:rsid w:val="00260D5A"/>
    <w:rsid w:val="00261581"/>
    <w:rsid w:val="0026223F"/>
    <w:rsid w:val="00262957"/>
    <w:rsid w:val="002632EB"/>
    <w:rsid w:val="002638BB"/>
    <w:rsid w:val="00263A3D"/>
    <w:rsid w:val="002642F7"/>
    <w:rsid w:val="00264993"/>
    <w:rsid w:val="00264BCC"/>
    <w:rsid w:val="00265068"/>
    <w:rsid w:val="002650A0"/>
    <w:rsid w:val="00265196"/>
    <w:rsid w:val="002654AD"/>
    <w:rsid w:val="00265517"/>
    <w:rsid w:val="00266293"/>
    <w:rsid w:val="00267BE0"/>
    <w:rsid w:val="00267C09"/>
    <w:rsid w:val="00267F85"/>
    <w:rsid w:val="002705DD"/>
    <w:rsid w:val="00270B76"/>
    <w:rsid w:val="00270E07"/>
    <w:rsid w:val="00270F52"/>
    <w:rsid w:val="002714E5"/>
    <w:rsid w:val="00271A42"/>
    <w:rsid w:val="00271DC5"/>
    <w:rsid w:val="002729F0"/>
    <w:rsid w:val="0027337A"/>
    <w:rsid w:val="002741FC"/>
    <w:rsid w:val="00274E4D"/>
    <w:rsid w:val="00274F12"/>
    <w:rsid w:val="00275C1C"/>
    <w:rsid w:val="00275C37"/>
    <w:rsid w:val="00276134"/>
    <w:rsid w:val="00277849"/>
    <w:rsid w:val="00277F14"/>
    <w:rsid w:val="0028001C"/>
    <w:rsid w:val="00280288"/>
    <w:rsid w:val="00280810"/>
    <w:rsid w:val="00280D19"/>
    <w:rsid w:val="0028195C"/>
    <w:rsid w:val="00282131"/>
    <w:rsid w:val="0028453F"/>
    <w:rsid w:val="00285297"/>
    <w:rsid w:val="00285BFE"/>
    <w:rsid w:val="00287049"/>
    <w:rsid w:val="00290057"/>
    <w:rsid w:val="00290996"/>
    <w:rsid w:val="002914EE"/>
    <w:rsid w:val="00293D2D"/>
    <w:rsid w:val="00294AE7"/>
    <w:rsid w:val="00295172"/>
    <w:rsid w:val="002955FD"/>
    <w:rsid w:val="00295CC9"/>
    <w:rsid w:val="00296CBD"/>
    <w:rsid w:val="00297325"/>
    <w:rsid w:val="00297912"/>
    <w:rsid w:val="002A0B65"/>
    <w:rsid w:val="002A0EE0"/>
    <w:rsid w:val="002A1B1B"/>
    <w:rsid w:val="002A2AF0"/>
    <w:rsid w:val="002A3A03"/>
    <w:rsid w:val="002A3A32"/>
    <w:rsid w:val="002A4241"/>
    <w:rsid w:val="002A52BC"/>
    <w:rsid w:val="002A562E"/>
    <w:rsid w:val="002B29F2"/>
    <w:rsid w:val="002B2ADF"/>
    <w:rsid w:val="002B35A3"/>
    <w:rsid w:val="002B3B83"/>
    <w:rsid w:val="002B3EBC"/>
    <w:rsid w:val="002B43BC"/>
    <w:rsid w:val="002B50C6"/>
    <w:rsid w:val="002B579B"/>
    <w:rsid w:val="002B5989"/>
    <w:rsid w:val="002B7A8B"/>
    <w:rsid w:val="002B7EB2"/>
    <w:rsid w:val="002C0031"/>
    <w:rsid w:val="002C1006"/>
    <w:rsid w:val="002C105E"/>
    <w:rsid w:val="002C171D"/>
    <w:rsid w:val="002C1F79"/>
    <w:rsid w:val="002C21C0"/>
    <w:rsid w:val="002C2D15"/>
    <w:rsid w:val="002C35D2"/>
    <w:rsid w:val="002C40E6"/>
    <w:rsid w:val="002C46C2"/>
    <w:rsid w:val="002C5252"/>
    <w:rsid w:val="002C53F8"/>
    <w:rsid w:val="002C67B8"/>
    <w:rsid w:val="002C6B3F"/>
    <w:rsid w:val="002C7899"/>
    <w:rsid w:val="002D0FA8"/>
    <w:rsid w:val="002D2880"/>
    <w:rsid w:val="002D359E"/>
    <w:rsid w:val="002D4395"/>
    <w:rsid w:val="002D768C"/>
    <w:rsid w:val="002D7885"/>
    <w:rsid w:val="002E16BB"/>
    <w:rsid w:val="002E1C07"/>
    <w:rsid w:val="002E279A"/>
    <w:rsid w:val="002E32E6"/>
    <w:rsid w:val="002E354F"/>
    <w:rsid w:val="002E51DA"/>
    <w:rsid w:val="002E5A42"/>
    <w:rsid w:val="002E70F7"/>
    <w:rsid w:val="002F037D"/>
    <w:rsid w:val="002F03D3"/>
    <w:rsid w:val="002F0821"/>
    <w:rsid w:val="002F26F5"/>
    <w:rsid w:val="002F2E31"/>
    <w:rsid w:val="002F3281"/>
    <w:rsid w:val="002F3B37"/>
    <w:rsid w:val="002F3C9D"/>
    <w:rsid w:val="002F3FF7"/>
    <w:rsid w:val="002F42B0"/>
    <w:rsid w:val="002F6D58"/>
    <w:rsid w:val="002F7097"/>
    <w:rsid w:val="002F75E6"/>
    <w:rsid w:val="00300C1A"/>
    <w:rsid w:val="00300D51"/>
    <w:rsid w:val="003030D5"/>
    <w:rsid w:val="00303858"/>
    <w:rsid w:val="003038B9"/>
    <w:rsid w:val="00305181"/>
    <w:rsid w:val="00305E69"/>
    <w:rsid w:val="00305E9E"/>
    <w:rsid w:val="0030684E"/>
    <w:rsid w:val="003069CA"/>
    <w:rsid w:val="00310727"/>
    <w:rsid w:val="00310E78"/>
    <w:rsid w:val="00312C74"/>
    <w:rsid w:val="00313220"/>
    <w:rsid w:val="00313B17"/>
    <w:rsid w:val="00314C71"/>
    <w:rsid w:val="00315696"/>
    <w:rsid w:val="003161AD"/>
    <w:rsid w:val="0031664B"/>
    <w:rsid w:val="003168B7"/>
    <w:rsid w:val="003179C3"/>
    <w:rsid w:val="00317E34"/>
    <w:rsid w:val="00321226"/>
    <w:rsid w:val="003212D1"/>
    <w:rsid w:val="00321340"/>
    <w:rsid w:val="00323105"/>
    <w:rsid w:val="003237A0"/>
    <w:rsid w:val="00323E48"/>
    <w:rsid w:val="0032509C"/>
    <w:rsid w:val="00325684"/>
    <w:rsid w:val="003259CF"/>
    <w:rsid w:val="00325BE3"/>
    <w:rsid w:val="00325EC1"/>
    <w:rsid w:val="00326E8D"/>
    <w:rsid w:val="00326EF2"/>
    <w:rsid w:val="00330DB0"/>
    <w:rsid w:val="00331B59"/>
    <w:rsid w:val="003327A1"/>
    <w:rsid w:val="0033354B"/>
    <w:rsid w:val="00333F9B"/>
    <w:rsid w:val="00334301"/>
    <w:rsid w:val="0033458F"/>
    <w:rsid w:val="00335403"/>
    <w:rsid w:val="003369BA"/>
    <w:rsid w:val="00337752"/>
    <w:rsid w:val="0034286E"/>
    <w:rsid w:val="00342F36"/>
    <w:rsid w:val="0034402F"/>
    <w:rsid w:val="003465CF"/>
    <w:rsid w:val="00346868"/>
    <w:rsid w:val="00347078"/>
    <w:rsid w:val="0034797F"/>
    <w:rsid w:val="00350BEB"/>
    <w:rsid w:val="00350D52"/>
    <w:rsid w:val="00351853"/>
    <w:rsid w:val="00351C2B"/>
    <w:rsid w:val="00352615"/>
    <w:rsid w:val="0035277B"/>
    <w:rsid w:val="00352DB2"/>
    <w:rsid w:val="0035400F"/>
    <w:rsid w:val="0035596F"/>
    <w:rsid w:val="00356037"/>
    <w:rsid w:val="00356260"/>
    <w:rsid w:val="003564CE"/>
    <w:rsid w:val="00356F33"/>
    <w:rsid w:val="0036083B"/>
    <w:rsid w:val="00360942"/>
    <w:rsid w:val="0036202B"/>
    <w:rsid w:val="00362A38"/>
    <w:rsid w:val="00363111"/>
    <w:rsid w:val="00363177"/>
    <w:rsid w:val="00363B94"/>
    <w:rsid w:val="0036438D"/>
    <w:rsid w:val="00364AAD"/>
    <w:rsid w:val="00364EB2"/>
    <w:rsid w:val="00364F65"/>
    <w:rsid w:val="00365314"/>
    <w:rsid w:val="00365531"/>
    <w:rsid w:val="00365909"/>
    <w:rsid w:val="00365B35"/>
    <w:rsid w:val="00366E26"/>
    <w:rsid w:val="00367478"/>
    <w:rsid w:val="003679D5"/>
    <w:rsid w:val="00370EE3"/>
    <w:rsid w:val="00374659"/>
    <w:rsid w:val="00374C6C"/>
    <w:rsid w:val="00374DCF"/>
    <w:rsid w:val="00376163"/>
    <w:rsid w:val="00376213"/>
    <w:rsid w:val="00376AA3"/>
    <w:rsid w:val="00376B60"/>
    <w:rsid w:val="00377067"/>
    <w:rsid w:val="0037794E"/>
    <w:rsid w:val="00380009"/>
    <w:rsid w:val="00380723"/>
    <w:rsid w:val="003809E1"/>
    <w:rsid w:val="00381157"/>
    <w:rsid w:val="00383C15"/>
    <w:rsid w:val="00385FF6"/>
    <w:rsid w:val="00386D79"/>
    <w:rsid w:val="003871ED"/>
    <w:rsid w:val="0038761F"/>
    <w:rsid w:val="003876C1"/>
    <w:rsid w:val="00390A11"/>
    <w:rsid w:val="00391675"/>
    <w:rsid w:val="00392A01"/>
    <w:rsid w:val="00392AA5"/>
    <w:rsid w:val="00393547"/>
    <w:rsid w:val="00393D77"/>
    <w:rsid w:val="00394024"/>
    <w:rsid w:val="003946BA"/>
    <w:rsid w:val="00394F5F"/>
    <w:rsid w:val="0039565E"/>
    <w:rsid w:val="00395D5C"/>
    <w:rsid w:val="00396855"/>
    <w:rsid w:val="003976B5"/>
    <w:rsid w:val="003A0680"/>
    <w:rsid w:val="003A11E3"/>
    <w:rsid w:val="003A134F"/>
    <w:rsid w:val="003A1A14"/>
    <w:rsid w:val="003A2F19"/>
    <w:rsid w:val="003A2F74"/>
    <w:rsid w:val="003A38BB"/>
    <w:rsid w:val="003A41BD"/>
    <w:rsid w:val="003A4CB8"/>
    <w:rsid w:val="003A5851"/>
    <w:rsid w:val="003A6245"/>
    <w:rsid w:val="003A7737"/>
    <w:rsid w:val="003A7839"/>
    <w:rsid w:val="003A7DA9"/>
    <w:rsid w:val="003B1C00"/>
    <w:rsid w:val="003B25EB"/>
    <w:rsid w:val="003B270B"/>
    <w:rsid w:val="003B2AFA"/>
    <w:rsid w:val="003B53AB"/>
    <w:rsid w:val="003B5896"/>
    <w:rsid w:val="003B5CAB"/>
    <w:rsid w:val="003B5F66"/>
    <w:rsid w:val="003B63DB"/>
    <w:rsid w:val="003B685F"/>
    <w:rsid w:val="003B7976"/>
    <w:rsid w:val="003B79A3"/>
    <w:rsid w:val="003B7DCE"/>
    <w:rsid w:val="003C011F"/>
    <w:rsid w:val="003C1853"/>
    <w:rsid w:val="003C21CE"/>
    <w:rsid w:val="003C222B"/>
    <w:rsid w:val="003C37C8"/>
    <w:rsid w:val="003C3CF3"/>
    <w:rsid w:val="003C4E87"/>
    <w:rsid w:val="003C5DC8"/>
    <w:rsid w:val="003C669C"/>
    <w:rsid w:val="003C70C4"/>
    <w:rsid w:val="003C7A55"/>
    <w:rsid w:val="003D0726"/>
    <w:rsid w:val="003D1BDD"/>
    <w:rsid w:val="003D1FCF"/>
    <w:rsid w:val="003D23EE"/>
    <w:rsid w:val="003D28AB"/>
    <w:rsid w:val="003D35B6"/>
    <w:rsid w:val="003D5587"/>
    <w:rsid w:val="003D720E"/>
    <w:rsid w:val="003D7E77"/>
    <w:rsid w:val="003E0086"/>
    <w:rsid w:val="003E0CF7"/>
    <w:rsid w:val="003E3186"/>
    <w:rsid w:val="003E44AB"/>
    <w:rsid w:val="003E4566"/>
    <w:rsid w:val="003E4F1E"/>
    <w:rsid w:val="003E6DEC"/>
    <w:rsid w:val="003E72C3"/>
    <w:rsid w:val="003E733B"/>
    <w:rsid w:val="003E79DB"/>
    <w:rsid w:val="003E7A7E"/>
    <w:rsid w:val="003E7BA2"/>
    <w:rsid w:val="003F01DF"/>
    <w:rsid w:val="003F0FD0"/>
    <w:rsid w:val="003F25DE"/>
    <w:rsid w:val="003F4160"/>
    <w:rsid w:val="003F4518"/>
    <w:rsid w:val="003F4C74"/>
    <w:rsid w:val="003F5549"/>
    <w:rsid w:val="003F6A2A"/>
    <w:rsid w:val="004001C6"/>
    <w:rsid w:val="00400200"/>
    <w:rsid w:val="004008FE"/>
    <w:rsid w:val="00400BB4"/>
    <w:rsid w:val="0040123F"/>
    <w:rsid w:val="0040357E"/>
    <w:rsid w:val="00404AC0"/>
    <w:rsid w:val="004051C4"/>
    <w:rsid w:val="004058C4"/>
    <w:rsid w:val="00405DA3"/>
    <w:rsid w:val="00406079"/>
    <w:rsid w:val="00411C49"/>
    <w:rsid w:val="0041272B"/>
    <w:rsid w:val="004134DA"/>
    <w:rsid w:val="0041417C"/>
    <w:rsid w:val="0041443B"/>
    <w:rsid w:val="00415E3B"/>
    <w:rsid w:val="004170AB"/>
    <w:rsid w:val="00417705"/>
    <w:rsid w:val="004177F9"/>
    <w:rsid w:val="004178B1"/>
    <w:rsid w:val="00420DA2"/>
    <w:rsid w:val="004216E7"/>
    <w:rsid w:val="004224EA"/>
    <w:rsid w:val="00422D6D"/>
    <w:rsid w:val="00422D8B"/>
    <w:rsid w:val="00423C6F"/>
    <w:rsid w:val="00423F07"/>
    <w:rsid w:val="0042585D"/>
    <w:rsid w:val="004260D4"/>
    <w:rsid w:val="004273DF"/>
    <w:rsid w:val="004274CE"/>
    <w:rsid w:val="00427699"/>
    <w:rsid w:val="00427C66"/>
    <w:rsid w:val="00427F1B"/>
    <w:rsid w:val="00430952"/>
    <w:rsid w:val="00430D3D"/>
    <w:rsid w:val="00433C58"/>
    <w:rsid w:val="0043442F"/>
    <w:rsid w:val="00434EF8"/>
    <w:rsid w:val="00434FE2"/>
    <w:rsid w:val="00435793"/>
    <w:rsid w:val="004357F6"/>
    <w:rsid w:val="00436977"/>
    <w:rsid w:val="004378DF"/>
    <w:rsid w:val="00437A17"/>
    <w:rsid w:val="00437E04"/>
    <w:rsid w:val="00440448"/>
    <w:rsid w:val="00441549"/>
    <w:rsid w:val="00441B75"/>
    <w:rsid w:val="0044234B"/>
    <w:rsid w:val="00443022"/>
    <w:rsid w:val="00443341"/>
    <w:rsid w:val="004436E8"/>
    <w:rsid w:val="00443DF5"/>
    <w:rsid w:val="0044447F"/>
    <w:rsid w:val="004451A7"/>
    <w:rsid w:val="004451CE"/>
    <w:rsid w:val="00445D88"/>
    <w:rsid w:val="00446A35"/>
    <w:rsid w:val="00447D39"/>
    <w:rsid w:val="00447D40"/>
    <w:rsid w:val="00447D75"/>
    <w:rsid w:val="00447EAE"/>
    <w:rsid w:val="00450A21"/>
    <w:rsid w:val="00451524"/>
    <w:rsid w:val="004533CB"/>
    <w:rsid w:val="00453596"/>
    <w:rsid w:val="004543A9"/>
    <w:rsid w:val="00454731"/>
    <w:rsid w:val="00454DE5"/>
    <w:rsid w:val="0045564F"/>
    <w:rsid w:val="00456598"/>
    <w:rsid w:val="004569FC"/>
    <w:rsid w:val="00456AC1"/>
    <w:rsid w:val="00456EC1"/>
    <w:rsid w:val="00456F2A"/>
    <w:rsid w:val="00457D05"/>
    <w:rsid w:val="00457FA3"/>
    <w:rsid w:val="0046034B"/>
    <w:rsid w:val="004605D7"/>
    <w:rsid w:val="00461636"/>
    <w:rsid w:val="00461B4F"/>
    <w:rsid w:val="00461B8A"/>
    <w:rsid w:val="004622B1"/>
    <w:rsid w:val="004630D3"/>
    <w:rsid w:val="0046375B"/>
    <w:rsid w:val="004651E0"/>
    <w:rsid w:val="004675C4"/>
    <w:rsid w:val="00467924"/>
    <w:rsid w:val="00467BC5"/>
    <w:rsid w:val="004703BA"/>
    <w:rsid w:val="004727EC"/>
    <w:rsid w:val="00472814"/>
    <w:rsid w:val="00473918"/>
    <w:rsid w:val="00473BA6"/>
    <w:rsid w:val="00475F39"/>
    <w:rsid w:val="00476B74"/>
    <w:rsid w:val="00477334"/>
    <w:rsid w:val="00477568"/>
    <w:rsid w:val="00477BB1"/>
    <w:rsid w:val="004804D0"/>
    <w:rsid w:val="00480A59"/>
    <w:rsid w:val="00481410"/>
    <w:rsid w:val="00481788"/>
    <w:rsid w:val="00481C48"/>
    <w:rsid w:val="0048254D"/>
    <w:rsid w:val="004825D4"/>
    <w:rsid w:val="004825E4"/>
    <w:rsid w:val="00482A8D"/>
    <w:rsid w:val="00483473"/>
    <w:rsid w:val="0048482E"/>
    <w:rsid w:val="004853F3"/>
    <w:rsid w:val="00485819"/>
    <w:rsid w:val="004860B1"/>
    <w:rsid w:val="004861C4"/>
    <w:rsid w:val="00486BEC"/>
    <w:rsid w:val="00486CA4"/>
    <w:rsid w:val="00486D9E"/>
    <w:rsid w:val="00487DC7"/>
    <w:rsid w:val="004902B2"/>
    <w:rsid w:val="004917C0"/>
    <w:rsid w:val="00493ECF"/>
    <w:rsid w:val="0049434F"/>
    <w:rsid w:val="00496727"/>
    <w:rsid w:val="00496EFD"/>
    <w:rsid w:val="004974D1"/>
    <w:rsid w:val="004A018F"/>
    <w:rsid w:val="004A02FD"/>
    <w:rsid w:val="004A0900"/>
    <w:rsid w:val="004A1585"/>
    <w:rsid w:val="004A28EA"/>
    <w:rsid w:val="004A336C"/>
    <w:rsid w:val="004A3391"/>
    <w:rsid w:val="004A33F8"/>
    <w:rsid w:val="004A3599"/>
    <w:rsid w:val="004A37F4"/>
    <w:rsid w:val="004A39FB"/>
    <w:rsid w:val="004A449B"/>
    <w:rsid w:val="004A4B95"/>
    <w:rsid w:val="004A59DE"/>
    <w:rsid w:val="004A6285"/>
    <w:rsid w:val="004A6A4A"/>
    <w:rsid w:val="004A6B27"/>
    <w:rsid w:val="004A7DE5"/>
    <w:rsid w:val="004B0282"/>
    <w:rsid w:val="004B0630"/>
    <w:rsid w:val="004B124F"/>
    <w:rsid w:val="004B1E30"/>
    <w:rsid w:val="004B3392"/>
    <w:rsid w:val="004B3E46"/>
    <w:rsid w:val="004B451E"/>
    <w:rsid w:val="004B4CEC"/>
    <w:rsid w:val="004B536D"/>
    <w:rsid w:val="004B5574"/>
    <w:rsid w:val="004B5E75"/>
    <w:rsid w:val="004B67B7"/>
    <w:rsid w:val="004B6B7C"/>
    <w:rsid w:val="004B6CC0"/>
    <w:rsid w:val="004B6DFE"/>
    <w:rsid w:val="004B772F"/>
    <w:rsid w:val="004C080A"/>
    <w:rsid w:val="004C14D8"/>
    <w:rsid w:val="004C1A79"/>
    <w:rsid w:val="004C1DE0"/>
    <w:rsid w:val="004C2079"/>
    <w:rsid w:val="004C2395"/>
    <w:rsid w:val="004C2A7C"/>
    <w:rsid w:val="004C2DB4"/>
    <w:rsid w:val="004C3B32"/>
    <w:rsid w:val="004C5372"/>
    <w:rsid w:val="004C6C7A"/>
    <w:rsid w:val="004C6E91"/>
    <w:rsid w:val="004C7218"/>
    <w:rsid w:val="004C7590"/>
    <w:rsid w:val="004D16CA"/>
    <w:rsid w:val="004D1AFD"/>
    <w:rsid w:val="004D28CF"/>
    <w:rsid w:val="004D2933"/>
    <w:rsid w:val="004D40A0"/>
    <w:rsid w:val="004D4CEF"/>
    <w:rsid w:val="004D58BC"/>
    <w:rsid w:val="004D5E40"/>
    <w:rsid w:val="004D62E1"/>
    <w:rsid w:val="004D66EE"/>
    <w:rsid w:val="004D6C6B"/>
    <w:rsid w:val="004D6F1B"/>
    <w:rsid w:val="004D7557"/>
    <w:rsid w:val="004E222E"/>
    <w:rsid w:val="004E37D4"/>
    <w:rsid w:val="004E446C"/>
    <w:rsid w:val="004E5E31"/>
    <w:rsid w:val="004E7B38"/>
    <w:rsid w:val="004F00F3"/>
    <w:rsid w:val="004F1E04"/>
    <w:rsid w:val="004F2A97"/>
    <w:rsid w:val="004F33A9"/>
    <w:rsid w:val="004F45FC"/>
    <w:rsid w:val="004F527E"/>
    <w:rsid w:val="004F6012"/>
    <w:rsid w:val="004F68B9"/>
    <w:rsid w:val="004F6F6E"/>
    <w:rsid w:val="004F7A87"/>
    <w:rsid w:val="00500594"/>
    <w:rsid w:val="00500733"/>
    <w:rsid w:val="00501653"/>
    <w:rsid w:val="00501FFF"/>
    <w:rsid w:val="00502379"/>
    <w:rsid w:val="005026A7"/>
    <w:rsid w:val="00502A83"/>
    <w:rsid w:val="00502B99"/>
    <w:rsid w:val="00502EF8"/>
    <w:rsid w:val="00503C37"/>
    <w:rsid w:val="00503DB9"/>
    <w:rsid w:val="00504E77"/>
    <w:rsid w:val="005055D7"/>
    <w:rsid w:val="00506F18"/>
    <w:rsid w:val="00510277"/>
    <w:rsid w:val="00510795"/>
    <w:rsid w:val="00511313"/>
    <w:rsid w:val="0051195B"/>
    <w:rsid w:val="00511D10"/>
    <w:rsid w:val="00511D72"/>
    <w:rsid w:val="00512AA7"/>
    <w:rsid w:val="00513685"/>
    <w:rsid w:val="005144DA"/>
    <w:rsid w:val="00515556"/>
    <w:rsid w:val="00516448"/>
    <w:rsid w:val="005164A0"/>
    <w:rsid w:val="00516823"/>
    <w:rsid w:val="00516E43"/>
    <w:rsid w:val="00516E6E"/>
    <w:rsid w:val="00516F85"/>
    <w:rsid w:val="00517826"/>
    <w:rsid w:val="00517FB4"/>
    <w:rsid w:val="00520AC8"/>
    <w:rsid w:val="005211E9"/>
    <w:rsid w:val="0052295F"/>
    <w:rsid w:val="00523F28"/>
    <w:rsid w:val="0052446A"/>
    <w:rsid w:val="00524B0D"/>
    <w:rsid w:val="005273F4"/>
    <w:rsid w:val="00527B73"/>
    <w:rsid w:val="005309D0"/>
    <w:rsid w:val="00530B66"/>
    <w:rsid w:val="0053128F"/>
    <w:rsid w:val="00531D14"/>
    <w:rsid w:val="00533A18"/>
    <w:rsid w:val="00533CA9"/>
    <w:rsid w:val="00535079"/>
    <w:rsid w:val="005354AE"/>
    <w:rsid w:val="00535BE9"/>
    <w:rsid w:val="00536CF8"/>
    <w:rsid w:val="00536EEF"/>
    <w:rsid w:val="0053707C"/>
    <w:rsid w:val="00537C60"/>
    <w:rsid w:val="005416C7"/>
    <w:rsid w:val="00543AC9"/>
    <w:rsid w:val="00544DA0"/>
    <w:rsid w:val="00545831"/>
    <w:rsid w:val="0054678F"/>
    <w:rsid w:val="00547F3C"/>
    <w:rsid w:val="00551320"/>
    <w:rsid w:val="005519FC"/>
    <w:rsid w:val="00553B53"/>
    <w:rsid w:val="00554237"/>
    <w:rsid w:val="005546A2"/>
    <w:rsid w:val="0055588E"/>
    <w:rsid w:val="00560F9D"/>
    <w:rsid w:val="00562A06"/>
    <w:rsid w:val="005633E7"/>
    <w:rsid w:val="00563630"/>
    <w:rsid w:val="00564266"/>
    <w:rsid w:val="00565C66"/>
    <w:rsid w:val="005676DA"/>
    <w:rsid w:val="00567C7A"/>
    <w:rsid w:val="00570D10"/>
    <w:rsid w:val="00571129"/>
    <w:rsid w:val="005711FB"/>
    <w:rsid w:val="00571552"/>
    <w:rsid w:val="00572524"/>
    <w:rsid w:val="00573BB0"/>
    <w:rsid w:val="005744D4"/>
    <w:rsid w:val="0057467D"/>
    <w:rsid w:val="00574F57"/>
    <w:rsid w:val="00575833"/>
    <w:rsid w:val="00582891"/>
    <w:rsid w:val="00582A25"/>
    <w:rsid w:val="00582B3B"/>
    <w:rsid w:val="00582D05"/>
    <w:rsid w:val="00583F0B"/>
    <w:rsid w:val="00584C26"/>
    <w:rsid w:val="00586172"/>
    <w:rsid w:val="00586828"/>
    <w:rsid w:val="005868EA"/>
    <w:rsid w:val="0058742B"/>
    <w:rsid w:val="0059013F"/>
    <w:rsid w:val="00590348"/>
    <w:rsid w:val="005907DB"/>
    <w:rsid w:val="00590EE0"/>
    <w:rsid w:val="00590EE3"/>
    <w:rsid w:val="00591506"/>
    <w:rsid w:val="005924A0"/>
    <w:rsid w:val="005930D3"/>
    <w:rsid w:val="00593304"/>
    <w:rsid w:val="00593DC6"/>
    <w:rsid w:val="005946E9"/>
    <w:rsid w:val="00594D4F"/>
    <w:rsid w:val="00595D0D"/>
    <w:rsid w:val="00595EB1"/>
    <w:rsid w:val="00595FD8"/>
    <w:rsid w:val="00596034"/>
    <w:rsid w:val="00596226"/>
    <w:rsid w:val="0059725B"/>
    <w:rsid w:val="00597DB5"/>
    <w:rsid w:val="005A1CF8"/>
    <w:rsid w:val="005A1EDD"/>
    <w:rsid w:val="005A255C"/>
    <w:rsid w:val="005A3152"/>
    <w:rsid w:val="005A41A6"/>
    <w:rsid w:val="005A4942"/>
    <w:rsid w:val="005A6E89"/>
    <w:rsid w:val="005A6EF3"/>
    <w:rsid w:val="005A6F48"/>
    <w:rsid w:val="005A7841"/>
    <w:rsid w:val="005B0515"/>
    <w:rsid w:val="005B0A12"/>
    <w:rsid w:val="005B0A8D"/>
    <w:rsid w:val="005B0F43"/>
    <w:rsid w:val="005B12B1"/>
    <w:rsid w:val="005B1608"/>
    <w:rsid w:val="005B1C13"/>
    <w:rsid w:val="005B2347"/>
    <w:rsid w:val="005B25E3"/>
    <w:rsid w:val="005B280F"/>
    <w:rsid w:val="005B76CE"/>
    <w:rsid w:val="005B78AE"/>
    <w:rsid w:val="005B7960"/>
    <w:rsid w:val="005C02DE"/>
    <w:rsid w:val="005C058A"/>
    <w:rsid w:val="005C070D"/>
    <w:rsid w:val="005C0A94"/>
    <w:rsid w:val="005C157B"/>
    <w:rsid w:val="005C20FA"/>
    <w:rsid w:val="005C24D9"/>
    <w:rsid w:val="005C26FA"/>
    <w:rsid w:val="005C3591"/>
    <w:rsid w:val="005C3EDA"/>
    <w:rsid w:val="005C4090"/>
    <w:rsid w:val="005C514B"/>
    <w:rsid w:val="005C66F8"/>
    <w:rsid w:val="005C6771"/>
    <w:rsid w:val="005C71AA"/>
    <w:rsid w:val="005C78D1"/>
    <w:rsid w:val="005C7957"/>
    <w:rsid w:val="005C7A31"/>
    <w:rsid w:val="005D0704"/>
    <w:rsid w:val="005D0E24"/>
    <w:rsid w:val="005D1937"/>
    <w:rsid w:val="005D27D8"/>
    <w:rsid w:val="005D3A8F"/>
    <w:rsid w:val="005D3B87"/>
    <w:rsid w:val="005D41C1"/>
    <w:rsid w:val="005D44AF"/>
    <w:rsid w:val="005D553B"/>
    <w:rsid w:val="005D645E"/>
    <w:rsid w:val="005D75BD"/>
    <w:rsid w:val="005D7847"/>
    <w:rsid w:val="005E122A"/>
    <w:rsid w:val="005E1884"/>
    <w:rsid w:val="005E1A73"/>
    <w:rsid w:val="005E290F"/>
    <w:rsid w:val="005E4C87"/>
    <w:rsid w:val="005E4C92"/>
    <w:rsid w:val="005E6696"/>
    <w:rsid w:val="005E6746"/>
    <w:rsid w:val="005E7338"/>
    <w:rsid w:val="005E78B2"/>
    <w:rsid w:val="005E7CEC"/>
    <w:rsid w:val="005F1DCD"/>
    <w:rsid w:val="005F2602"/>
    <w:rsid w:val="005F2E00"/>
    <w:rsid w:val="005F3558"/>
    <w:rsid w:val="005F3F59"/>
    <w:rsid w:val="005F446C"/>
    <w:rsid w:val="005F519A"/>
    <w:rsid w:val="005F5B42"/>
    <w:rsid w:val="005F6440"/>
    <w:rsid w:val="00600CA4"/>
    <w:rsid w:val="00600F3E"/>
    <w:rsid w:val="006021DA"/>
    <w:rsid w:val="00603CBC"/>
    <w:rsid w:val="00603DCA"/>
    <w:rsid w:val="00603F1C"/>
    <w:rsid w:val="00604528"/>
    <w:rsid w:val="00605190"/>
    <w:rsid w:val="00605924"/>
    <w:rsid w:val="00610981"/>
    <w:rsid w:val="00610ABB"/>
    <w:rsid w:val="00610C98"/>
    <w:rsid w:val="00610CAF"/>
    <w:rsid w:val="0061329A"/>
    <w:rsid w:val="006138D3"/>
    <w:rsid w:val="00613C92"/>
    <w:rsid w:val="00615353"/>
    <w:rsid w:val="00615923"/>
    <w:rsid w:val="00615C88"/>
    <w:rsid w:val="00616792"/>
    <w:rsid w:val="00617306"/>
    <w:rsid w:val="00617BC9"/>
    <w:rsid w:val="00621A2C"/>
    <w:rsid w:val="00621E9A"/>
    <w:rsid w:val="00621F87"/>
    <w:rsid w:val="00622D55"/>
    <w:rsid w:val="00623298"/>
    <w:rsid w:val="00623353"/>
    <w:rsid w:val="00623653"/>
    <w:rsid w:val="00623813"/>
    <w:rsid w:val="0062382F"/>
    <w:rsid w:val="006239BE"/>
    <w:rsid w:val="00623E03"/>
    <w:rsid w:val="00623F94"/>
    <w:rsid w:val="00627C3A"/>
    <w:rsid w:val="00630898"/>
    <w:rsid w:val="00630E31"/>
    <w:rsid w:val="00631B14"/>
    <w:rsid w:val="00631F2B"/>
    <w:rsid w:val="006320B4"/>
    <w:rsid w:val="006321A6"/>
    <w:rsid w:val="00632B9A"/>
    <w:rsid w:val="00636EDD"/>
    <w:rsid w:val="00640270"/>
    <w:rsid w:val="00641398"/>
    <w:rsid w:val="00643686"/>
    <w:rsid w:val="0064526C"/>
    <w:rsid w:val="00646CD7"/>
    <w:rsid w:val="00646D2C"/>
    <w:rsid w:val="006475DB"/>
    <w:rsid w:val="00647FAC"/>
    <w:rsid w:val="006505B1"/>
    <w:rsid w:val="006508BA"/>
    <w:rsid w:val="00651415"/>
    <w:rsid w:val="00651478"/>
    <w:rsid w:val="0065207A"/>
    <w:rsid w:val="0065244F"/>
    <w:rsid w:val="00653BBA"/>
    <w:rsid w:val="00654057"/>
    <w:rsid w:val="00654A94"/>
    <w:rsid w:val="0065505D"/>
    <w:rsid w:val="00655978"/>
    <w:rsid w:val="00656A33"/>
    <w:rsid w:val="0065778E"/>
    <w:rsid w:val="00657902"/>
    <w:rsid w:val="00660DEE"/>
    <w:rsid w:val="00661D4A"/>
    <w:rsid w:val="0066232C"/>
    <w:rsid w:val="00662785"/>
    <w:rsid w:val="00663117"/>
    <w:rsid w:val="00663D2B"/>
    <w:rsid w:val="006654D6"/>
    <w:rsid w:val="00666733"/>
    <w:rsid w:val="00667261"/>
    <w:rsid w:val="00667A52"/>
    <w:rsid w:val="00667B4C"/>
    <w:rsid w:val="00667FC0"/>
    <w:rsid w:val="00670D26"/>
    <w:rsid w:val="00672427"/>
    <w:rsid w:val="006724C2"/>
    <w:rsid w:val="00673AA6"/>
    <w:rsid w:val="00673D96"/>
    <w:rsid w:val="006748E4"/>
    <w:rsid w:val="00675081"/>
    <w:rsid w:val="0067672C"/>
    <w:rsid w:val="00676C18"/>
    <w:rsid w:val="00676F16"/>
    <w:rsid w:val="00676F95"/>
    <w:rsid w:val="00677A78"/>
    <w:rsid w:val="00677D87"/>
    <w:rsid w:val="00680881"/>
    <w:rsid w:val="0068092A"/>
    <w:rsid w:val="00680BD2"/>
    <w:rsid w:val="0068152F"/>
    <w:rsid w:val="00681D26"/>
    <w:rsid w:val="00681FBD"/>
    <w:rsid w:val="006824C1"/>
    <w:rsid w:val="00683C31"/>
    <w:rsid w:val="00684456"/>
    <w:rsid w:val="006848C2"/>
    <w:rsid w:val="0068563F"/>
    <w:rsid w:val="00687A50"/>
    <w:rsid w:val="006908DF"/>
    <w:rsid w:val="00691319"/>
    <w:rsid w:val="006941AB"/>
    <w:rsid w:val="006961D7"/>
    <w:rsid w:val="0069632C"/>
    <w:rsid w:val="0069757B"/>
    <w:rsid w:val="006A1C8A"/>
    <w:rsid w:val="006A255D"/>
    <w:rsid w:val="006A472F"/>
    <w:rsid w:val="006A554B"/>
    <w:rsid w:val="006A590C"/>
    <w:rsid w:val="006A5F26"/>
    <w:rsid w:val="006A5FE1"/>
    <w:rsid w:val="006A6649"/>
    <w:rsid w:val="006A6A7D"/>
    <w:rsid w:val="006A6BDE"/>
    <w:rsid w:val="006A6DBB"/>
    <w:rsid w:val="006A7F60"/>
    <w:rsid w:val="006A7FD3"/>
    <w:rsid w:val="006B323C"/>
    <w:rsid w:val="006B4404"/>
    <w:rsid w:val="006B4890"/>
    <w:rsid w:val="006B4DA5"/>
    <w:rsid w:val="006B5050"/>
    <w:rsid w:val="006B57FD"/>
    <w:rsid w:val="006B5C69"/>
    <w:rsid w:val="006B6020"/>
    <w:rsid w:val="006B6FAB"/>
    <w:rsid w:val="006B726F"/>
    <w:rsid w:val="006B7F84"/>
    <w:rsid w:val="006C2626"/>
    <w:rsid w:val="006C626B"/>
    <w:rsid w:val="006C73BA"/>
    <w:rsid w:val="006C73F5"/>
    <w:rsid w:val="006C7FC1"/>
    <w:rsid w:val="006D07C7"/>
    <w:rsid w:val="006D0FE0"/>
    <w:rsid w:val="006D278A"/>
    <w:rsid w:val="006D3FB2"/>
    <w:rsid w:val="006D459F"/>
    <w:rsid w:val="006D534C"/>
    <w:rsid w:val="006D6490"/>
    <w:rsid w:val="006D66E1"/>
    <w:rsid w:val="006D7149"/>
    <w:rsid w:val="006D73CC"/>
    <w:rsid w:val="006E00E0"/>
    <w:rsid w:val="006E09B1"/>
    <w:rsid w:val="006E100B"/>
    <w:rsid w:val="006E16CC"/>
    <w:rsid w:val="006E3BB0"/>
    <w:rsid w:val="006E3C8A"/>
    <w:rsid w:val="006E5819"/>
    <w:rsid w:val="006E584C"/>
    <w:rsid w:val="006E6F04"/>
    <w:rsid w:val="006E75F9"/>
    <w:rsid w:val="006E792A"/>
    <w:rsid w:val="006F0B66"/>
    <w:rsid w:val="006F0C90"/>
    <w:rsid w:val="006F243C"/>
    <w:rsid w:val="006F3E2E"/>
    <w:rsid w:val="006F3FFC"/>
    <w:rsid w:val="006F4108"/>
    <w:rsid w:val="006F4582"/>
    <w:rsid w:val="006F49FA"/>
    <w:rsid w:val="006F4A96"/>
    <w:rsid w:val="006F5497"/>
    <w:rsid w:val="006F55FE"/>
    <w:rsid w:val="006F5C45"/>
    <w:rsid w:val="006F6651"/>
    <w:rsid w:val="006F6B40"/>
    <w:rsid w:val="006F750F"/>
    <w:rsid w:val="006F7FB4"/>
    <w:rsid w:val="00700143"/>
    <w:rsid w:val="00700FE0"/>
    <w:rsid w:val="00702509"/>
    <w:rsid w:val="00703A1A"/>
    <w:rsid w:val="00703F6C"/>
    <w:rsid w:val="0070455C"/>
    <w:rsid w:val="00704B3E"/>
    <w:rsid w:val="00704F6E"/>
    <w:rsid w:val="00705115"/>
    <w:rsid w:val="00705235"/>
    <w:rsid w:val="00705FCF"/>
    <w:rsid w:val="0070651E"/>
    <w:rsid w:val="00706A85"/>
    <w:rsid w:val="00707196"/>
    <w:rsid w:val="00707F33"/>
    <w:rsid w:val="0071037C"/>
    <w:rsid w:val="007107B2"/>
    <w:rsid w:val="00711A18"/>
    <w:rsid w:val="007122CB"/>
    <w:rsid w:val="00712CE4"/>
    <w:rsid w:val="00713AAC"/>
    <w:rsid w:val="00713E84"/>
    <w:rsid w:val="007146A2"/>
    <w:rsid w:val="0071513F"/>
    <w:rsid w:val="007164EC"/>
    <w:rsid w:val="0071670E"/>
    <w:rsid w:val="00716BBF"/>
    <w:rsid w:val="00716C69"/>
    <w:rsid w:val="00717829"/>
    <w:rsid w:val="007201EC"/>
    <w:rsid w:val="0072039E"/>
    <w:rsid w:val="007207DD"/>
    <w:rsid w:val="00721133"/>
    <w:rsid w:val="007215F0"/>
    <w:rsid w:val="007218EB"/>
    <w:rsid w:val="00723301"/>
    <w:rsid w:val="00723D17"/>
    <w:rsid w:val="00724982"/>
    <w:rsid w:val="00724BAA"/>
    <w:rsid w:val="00725EF1"/>
    <w:rsid w:val="00727F02"/>
    <w:rsid w:val="00734184"/>
    <w:rsid w:val="00734AD8"/>
    <w:rsid w:val="00736161"/>
    <w:rsid w:val="00737171"/>
    <w:rsid w:val="0074040A"/>
    <w:rsid w:val="007407B2"/>
    <w:rsid w:val="00741BCF"/>
    <w:rsid w:val="00746793"/>
    <w:rsid w:val="00746D44"/>
    <w:rsid w:val="00747B46"/>
    <w:rsid w:val="00747CDA"/>
    <w:rsid w:val="00751C54"/>
    <w:rsid w:val="007525D5"/>
    <w:rsid w:val="00752E2C"/>
    <w:rsid w:val="00752E7F"/>
    <w:rsid w:val="00753A77"/>
    <w:rsid w:val="00753A89"/>
    <w:rsid w:val="00753C2F"/>
    <w:rsid w:val="00753C8F"/>
    <w:rsid w:val="00753F4D"/>
    <w:rsid w:val="00755015"/>
    <w:rsid w:val="00755B7F"/>
    <w:rsid w:val="00756AEA"/>
    <w:rsid w:val="00756AEC"/>
    <w:rsid w:val="00760CEC"/>
    <w:rsid w:val="00761AC4"/>
    <w:rsid w:val="00762031"/>
    <w:rsid w:val="00762620"/>
    <w:rsid w:val="00762C75"/>
    <w:rsid w:val="00763563"/>
    <w:rsid w:val="00764334"/>
    <w:rsid w:val="00765010"/>
    <w:rsid w:val="0076501D"/>
    <w:rsid w:val="00766603"/>
    <w:rsid w:val="00766B8A"/>
    <w:rsid w:val="00767020"/>
    <w:rsid w:val="0076789E"/>
    <w:rsid w:val="007702FC"/>
    <w:rsid w:val="0077042B"/>
    <w:rsid w:val="0077067B"/>
    <w:rsid w:val="00770A52"/>
    <w:rsid w:val="00770BA8"/>
    <w:rsid w:val="007714D9"/>
    <w:rsid w:val="00771A15"/>
    <w:rsid w:val="00771A6A"/>
    <w:rsid w:val="00771D16"/>
    <w:rsid w:val="0077332B"/>
    <w:rsid w:val="007734BA"/>
    <w:rsid w:val="007737A3"/>
    <w:rsid w:val="00774A73"/>
    <w:rsid w:val="00774E96"/>
    <w:rsid w:val="00774F6E"/>
    <w:rsid w:val="0077526A"/>
    <w:rsid w:val="0077532D"/>
    <w:rsid w:val="00776440"/>
    <w:rsid w:val="00776EC7"/>
    <w:rsid w:val="00776FF6"/>
    <w:rsid w:val="007814CF"/>
    <w:rsid w:val="007827B0"/>
    <w:rsid w:val="00783E72"/>
    <w:rsid w:val="00784C93"/>
    <w:rsid w:val="0078571E"/>
    <w:rsid w:val="00786A21"/>
    <w:rsid w:val="00786CE9"/>
    <w:rsid w:val="00787C61"/>
    <w:rsid w:val="00790B88"/>
    <w:rsid w:val="00791617"/>
    <w:rsid w:val="0079186D"/>
    <w:rsid w:val="00794D78"/>
    <w:rsid w:val="007966E1"/>
    <w:rsid w:val="007979E3"/>
    <w:rsid w:val="007A1480"/>
    <w:rsid w:val="007A1641"/>
    <w:rsid w:val="007A1681"/>
    <w:rsid w:val="007A18C0"/>
    <w:rsid w:val="007A1BA2"/>
    <w:rsid w:val="007A3470"/>
    <w:rsid w:val="007A3DCA"/>
    <w:rsid w:val="007A5021"/>
    <w:rsid w:val="007A6588"/>
    <w:rsid w:val="007A7515"/>
    <w:rsid w:val="007A7536"/>
    <w:rsid w:val="007A7777"/>
    <w:rsid w:val="007B08BE"/>
    <w:rsid w:val="007B12C4"/>
    <w:rsid w:val="007B3829"/>
    <w:rsid w:val="007B3B87"/>
    <w:rsid w:val="007B3E43"/>
    <w:rsid w:val="007B4B80"/>
    <w:rsid w:val="007B4C9B"/>
    <w:rsid w:val="007B4ED7"/>
    <w:rsid w:val="007B5173"/>
    <w:rsid w:val="007B6330"/>
    <w:rsid w:val="007B6ABB"/>
    <w:rsid w:val="007C04C7"/>
    <w:rsid w:val="007C133E"/>
    <w:rsid w:val="007C1486"/>
    <w:rsid w:val="007C1A85"/>
    <w:rsid w:val="007C348D"/>
    <w:rsid w:val="007C6F1D"/>
    <w:rsid w:val="007D11FA"/>
    <w:rsid w:val="007D215F"/>
    <w:rsid w:val="007D222F"/>
    <w:rsid w:val="007D4426"/>
    <w:rsid w:val="007D4C1D"/>
    <w:rsid w:val="007D4E12"/>
    <w:rsid w:val="007D4EE4"/>
    <w:rsid w:val="007D61BD"/>
    <w:rsid w:val="007D6C2A"/>
    <w:rsid w:val="007D72E1"/>
    <w:rsid w:val="007E034F"/>
    <w:rsid w:val="007E0566"/>
    <w:rsid w:val="007E0DB7"/>
    <w:rsid w:val="007E1169"/>
    <w:rsid w:val="007E1A92"/>
    <w:rsid w:val="007E1C26"/>
    <w:rsid w:val="007E25F8"/>
    <w:rsid w:val="007E2C19"/>
    <w:rsid w:val="007E3025"/>
    <w:rsid w:val="007E3129"/>
    <w:rsid w:val="007E3824"/>
    <w:rsid w:val="007E3A7C"/>
    <w:rsid w:val="007E3F8D"/>
    <w:rsid w:val="007E4F47"/>
    <w:rsid w:val="007E5395"/>
    <w:rsid w:val="007E6AF5"/>
    <w:rsid w:val="007E75CA"/>
    <w:rsid w:val="007F1012"/>
    <w:rsid w:val="007F1484"/>
    <w:rsid w:val="007F1685"/>
    <w:rsid w:val="007F2398"/>
    <w:rsid w:val="007F25F7"/>
    <w:rsid w:val="007F46B2"/>
    <w:rsid w:val="007F4E12"/>
    <w:rsid w:val="007F5164"/>
    <w:rsid w:val="007F580C"/>
    <w:rsid w:val="007F6F8B"/>
    <w:rsid w:val="007F7090"/>
    <w:rsid w:val="0080051F"/>
    <w:rsid w:val="00800E06"/>
    <w:rsid w:val="008028D9"/>
    <w:rsid w:val="00802C0E"/>
    <w:rsid w:val="0080561E"/>
    <w:rsid w:val="00805C99"/>
    <w:rsid w:val="00805D6B"/>
    <w:rsid w:val="008066EF"/>
    <w:rsid w:val="0080678B"/>
    <w:rsid w:val="00810B5A"/>
    <w:rsid w:val="0081263E"/>
    <w:rsid w:val="0081280A"/>
    <w:rsid w:val="00812FE8"/>
    <w:rsid w:val="008136A3"/>
    <w:rsid w:val="0081373D"/>
    <w:rsid w:val="008143D1"/>
    <w:rsid w:val="008146FC"/>
    <w:rsid w:val="008147EA"/>
    <w:rsid w:val="008154BF"/>
    <w:rsid w:val="00815720"/>
    <w:rsid w:val="0081651C"/>
    <w:rsid w:val="0081655D"/>
    <w:rsid w:val="008167FA"/>
    <w:rsid w:val="00816B48"/>
    <w:rsid w:val="008172B6"/>
    <w:rsid w:val="00820BCC"/>
    <w:rsid w:val="00821002"/>
    <w:rsid w:val="00822F80"/>
    <w:rsid w:val="008235C9"/>
    <w:rsid w:val="00824578"/>
    <w:rsid w:val="00825193"/>
    <w:rsid w:val="008259EB"/>
    <w:rsid w:val="00827B59"/>
    <w:rsid w:val="00830CE4"/>
    <w:rsid w:val="0083187C"/>
    <w:rsid w:val="00834068"/>
    <w:rsid w:val="00834EFA"/>
    <w:rsid w:val="00835A7D"/>
    <w:rsid w:val="00835EB0"/>
    <w:rsid w:val="008369CE"/>
    <w:rsid w:val="008369E4"/>
    <w:rsid w:val="00836E5B"/>
    <w:rsid w:val="00840171"/>
    <w:rsid w:val="00840A70"/>
    <w:rsid w:val="0084110A"/>
    <w:rsid w:val="00841850"/>
    <w:rsid w:val="00844534"/>
    <w:rsid w:val="00844924"/>
    <w:rsid w:val="00845970"/>
    <w:rsid w:val="008471B7"/>
    <w:rsid w:val="00847A6E"/>
    <w:rsid w:val="00847BB0"/>
    <w:rsid w:val="00847EF6"/>
    <w:rsid w:val="00850B6F"/>
    <w:rsid w:val="00851710"/>
    <w:rsid w:val="0085181E"/>
    <w:rsid w:val="00852977"/>
    <w:rsid w:val="008531E6"/>
    <w:rsid w:val="008536D3"/>
    <w:rsid w:val="00853B71"/>
    <w:rsid w:val="00853E80"/>
    <w:rsid w:val="00854155"/>
    <w:rsid w:val="00855460"/>
    <w:rsid w:val="008554C7"/>
    <w:rsid w:val="00855E1A"/>
    <w:rsid w:val="00856F29"/>
    <w:rsid w:val="008570AB"/>
    <w:rsid w:val="008573D0"/>
    <w:rsid w:val="00861BAD"/>
    <w:rsid w:val="00862A03"/>
    <w:rsid w:val="00862D71"/>
    <w:rsid w:val="00863447"/>
    <w:rsid w:val="00863B28"/>
    <w:rsid w:val="00863CA7"/>
    <w:rsid w:val="00863F4E"/>
    <w:rsid w:val="00864653"/>
    <w:rsid w:val="00864E47"/>
    <w:rsid w:val="00865389"/>
    <w:rsid w:val="00865495"/>
    <w:rsid w:val="008669A0"/>
    <w:rsid w:val="0086725D"/>
    <w:rsid w:val="00867572"/>
    <w:rsid w:val="008675A9"/>
    <w:rsid w:val="00867B88"/>
    <w:rsid w:val="00870E13"/>
    <w:rsid w:val="008710DD"/>
    <w:rsid w:val="00871A96"/>
    <w:rsid w:val="008728B6"/>
    <w:rsid w:val="00874EA4"/>
    <w:rsid w:val="00874EFD"/>
    <w:rsid w:val="00876111"/>
    <w:rsid w:val="00877E2D"/>
    <w:rsid w:val="008817A8"/>
    <w:rsid w:val="008818CC"/>
    <w:rsid w:val="00881A04"/>
    <w:rsid w:val="00881F0B"/>
    <w:rsid w:val="00882524"/>
    <w:rsid w:val="00882F16"/>
    <w:rsid w:val="008833FE"/>
    <w:rsid w:val="008840B3"/>
    <w:rsid w:val="00885415"/>
    <w:rsid w:val="00887258"/>
    <w:rsid w:val="0088782C"/>
    <w:rsid w:val="00891FE0"/>
    <w:rsid w:val="008923CC"/>
    <w:rsid w:val="00893908"/>
    <w:rsid w:val="008939D5"/>
    <w:rsid w:val="00894BB9"/>
    <w:rsid w:val="00895531"/>
    <w:rsid w:val="00895786"/>
    <w:rsid w:val="00896126"/>
    <w:rsid w:val="008966C3"/>
    <w:rsid w:val="0089693A"/>
    <w:rsid w:val="008A0059"/>
    <w:rsid w:val="008A0527"/>
    <w:rsid w:val="008A0862"/>
    <w:rsid w:val="008A099B"/>
    <w:rsid w:val="008A0EF2"/>
    <w:rsid w:val="008A1A25"/>
    <w:rsid w:val="008A1AB5"/>
    <w:rsid w:val="008A2A58"/>
    <w:rsid w:val="008A2D31"/>
    <w:rsid w:val="008A5553"/>
    <w:rsid w:val="008A5782"/>
    <w:rsid w:val="008A5942"/>
    <w:rsid w:val="008A5B43"/>
    <w:rsid w:val="008A62F5"/>
    <w:rsid w:val="008A68F7"/>
    <w:rsid w:val="008A6A0A"/>
    <w:rsid w:val="008A7A30"/>
    <w:rsid w:val="008A7BFA"/>
    <w:rsid w:val="008B09CC"/>
    <w:rsid w:val="008B0FE5"/>
    <w:rsid w:val="008B1A6E"/>
    <w:rsid w:val="008B2CDB"/>
    <w:rsid w:val="008B3979"/>
    <w:rsid w:val="008B3999"/>
    <w:rsid w:val="008C0216"/>
    <w:rsid w:val="008C0617"/>
    <w:rsid w:val="008C16DE"/>
    <w:rsid w:val="008C1923"/>
    <w:rsid w:val="008C2DA1"/>
    <w:rsid w:val="008C337C"/>
    <w:rsid w:val="008C3686"/>
    <w:rsid w:val="008C4020"/>
    <w:rsid w:val="008C454A"/>
    <w:rsid w:val="008C48C7"/>
    <w:rsid w:val="008C4FDD"/>
    <w:rsid w:val="008C5C1C"/>
    <w:rsid w:val="008C6AE1"/>
    <w:rsid w:val="008C7411"/>
    <w:rsid w:val="008D2564"/>
    <w:rsid w:val="008D2B75"/>
    <w:rsid w:val="008D431B"/>
    <w:rsid w:val="008D5780"/>
    <w:rsid w:val="008D5CFD"/>
    <w:rsid w:val="008D797C"/>
    <w:rsid w:val="008E05CE"/>
    <w:rsid w:val="008E0D2A"/>
    <w:rsid w:val="008E1576"/>
    <w:rsid w:val="008E1FA0"/>
    <w:rsid w:val="008E3187"/>
    <w:rsid w:val="008E3335"/>
    <w:rsid w:val="008E380B"/>
    <w:rsid w:val="008E3FC0"/>
    <w:rsid w:val="008E564D"/>
    <w:rsid w:val="008E6018"/>
    <w:rsid w:val="008E73FF"/>
    <w:rsid w:val="008E7BF3"/>
    <w:rsid w:val="008F078E"/>
    <w:rsid w:val="008F0DF7"/>
    <w:rsid w:val="008F1133"/>
    <w:rsid w:val="008F4AFB"/>
    <w:rsid w:val="008F69A0"/>
    <w:rsid w:val="008F7738"/>
    <w:rsid w:val="008F7C2D"/>
    <w:rsid w:val="009001B4"/>
    <w:rsid w:val="00901069"/>
    <w:rsid w:val="00901200"/>
    <w:rsid w:val="009013A4"/>
    <w:rsid w:val="00901BF7"/>
    <w:rsid w:val="00901D4F"/>
    <w:rsid w:val="00902207"/>
    <w:rsid w:val="00902A10"/>
    <w:rsid w:val="00903058"/>
    <w:rsid w:val="00903144"/>
    <w:rsid w:val="00903BF2"/>
    <w:rsid w:val="009040C3"/>
    <w:rsid w:val="0090429D"/>
    <w:rsid w:val="009053F0"/>
    <w:rsid w:val="00905618"/>
    <w:rsid w:val="0090569E"/>
    <w:rsid w:val="0090585D"/>
    <w:rsid w:val="00905970"/>
    <w:rsid w:val="00905A5F"/>
    <w:rsid w:val="00906474"/>
    <w:rsid w:val="0090658B"/>
    <w:rsid w:val="00906931"/>
    <w:rsid w:val="00907C97"/>
    <w:rsid w:val="00907F1C"/>
    <w:rsid w:val="0091003D"/>
    <w:rsid w:val="00910A7C"/>
    <w:rsid w:val="00910AE6"/>
    <w:rsid w:val="00910C21"/>
    <w:rsid w:val="00911769"/>
    <w:rsid w:val="00911E0B"/>
    <w:rsid w:val="00911E5A"/>
    <w:rsid w:val="00912651"/>
    <w:rsid w:val="009126F7"/>
    <w:rsid w:val="009127DB"/>
    <w:rsid w:val="0091303A"/>
    <w:rsid w:val="00913B67"/>
    <w:rsid w:val="009158F0"/>
    <w:rsid w:val="0091590F"/>
    <w:rsid w:val="00915B38"/>
    <w:rsid w:val="009161DB"/>
    <w:rsid w:val="00916A29"/>
    <w:rsid w:val="00917A94"/>
    <w:rsid w:val="009201D5"/>
    <w:rsid w:val="0092033D"/>
    <w:rsid w:val="009214A9"/>
    <w:rsid w:val="009230BB"/>
    <w:rsid w:val="009258E0"/>
    <w:rsid w:val="0092642F"/>
    <w:rsid w:val="009266EB"/>
    <w:rsid w:val="00926D5C"/>
    <w:rsid w:val="009279DF"/>
    <w:rsid w:val="009316B9"/>
    <w:rsid w:val="00932C6B"/>
    <w:rsid w:val="00933378"/>
    <w:rsid w:val="009334B2"/>
    <w:rsid w:val="009336C6"/>
    <w:rsid w:val="0093407B"/>
    <w:rsid w:val="009343CD"/>
    <w:rsid w:val="00934D64"/>
    <w:rsid w:val="00936019"/>
    <w:rsid w:val="0093793D"/>
    <w:rsid w:val="009404CC"/>
    <w:rsid w:val="00941BD7"/>
    <w:rsid w:val="009430F4"/>
    <w:rsid w:val="00944893"/>
    <w:rsid w:val="00945B08"/>
    <w:rsid w:val="009473A0"/>
    <w:rsid w:val="009476BC"/>
    <w:rsid w:val="00947C51"/>
    <w:rsid w:val="0095028E"/>
    <w:rsid w:val="00950A92"/>
    <w:rsid w:val="00951BD5"/>
    <w:rsid w:val="009529F3"/>
    <w:rsid w:val="0095345E"/>
    <w:rsid w:val="009538B3"/>
    <w:rsid w:val="00953CFE"/>
    <w:rsid w:val="00954B7D"/>
    <w:rsid w:val="009551ED"/>
    <w:rsid w:val="00955335"/>
    <w:rsid w:val="00955D06"/>
    <w:rsid w:val="009579DC"/>
    <w:rsid w:val="009603EB"/>
    <w:rsid w:val="00961BA3"/>
    <w:rsid w:val="00961EB7"/>
    <w:rsid w:val="00962301"/>
    <w:rsid w:val="00962427"/>
    <w:rsid w:val="00963794"/>
    <w:rsid w:val="009660E9"/>
    <w:rsid w:val="009661C6"/>
    <w:rsid w:val="009703D6"/>
    <w:rsid w:val="009714DE"/>
    <w:rsid w:val="00971CCD"/>
    <w:rsid w:val="00971DDC"/>
    <w:rsid w:val="00971F7A"/>
    <w:rsid w:val="00972BCB"/>
    <w:rsid w:val="00973656"/>
    <w:rsid w:val="00973C7C"/>
    <w:rsid w:val="00974348"/>
    <w:rsid w:val="00974FDA"/>
    <w:rsid w:val="00975F30"/>
    <w:rsid w:val="00976B5A"/>
    <w:rsid w:val="00976E96"/>
    <w:rsid w:val="00980E1C"/>
    <w:rsid w:val="0098172D"/>
    <w:rsid w:val="00982183"/>
    <w:rsid w:val="0098287E"/>
    <w:rsid w:val="0098328B"/>
    <w:rsid w:val="009833F0"/>
    <w:rsid w:val="009843C3"/>
    <w:rsid w:val="00984DCA"/>
    <w:rsid w:val="00986281"/>
    <w:rsid w:val="009864EC"/>
    <w:rsid w:val="009866EF"/>
    <w:rsid w:val="00986E3F"/>
    <w:rsid w:val="009879EE"/>
    <w:rsid w:val="00987F86"/>
    <w:rsid w:val="00990508"/>
    <w:rsid w:val="00991719"/>
    <w:rsid w:val="009918D8"/>
    <w:rsid w:val="0099228C"/>
    <w:rsid w:val="009942AE"/>
    <w:rsid w:val="0099522C"/>
    <w:rsid w:val="00995508"/>
    <w:rsid w:val="0099656D"/>
    <w:rsid w:val="0099778D"/>
    <w:rsid w:val="009A1A14"/>
    <w:rsid w:val="009A1D79"/>
    <w:rsid w:val="009A23C3"/>
    <w:rsid w:val="009A255B"/>
    <w:rsid w:val="009A34E4"/>
    <w:rsid w:val="009A49C2"/>
    <w:rsid w:val="009A5BD4"/>
    <w:rsid w:val="009A5EFD"/>
    <w:rsid w:val="009A633A"/>
    <w:rsid w:val="009A6936"/>
    <w:rsid w:val="009A76B9"/>
    <w:rsid w:val="009A7C5B"/>
    <w:rsid w:val="009A7D16"/>
    <w:rsid w:val="009B2D89"/>
    <w:rsid w:val="009B3179"/>
    <w:rsid w:val="009B3EED"/>
    <w:rsid w:val="009B48A6"/>
    <w:rsid w:val="009B494B"/>
    <w:rsid w:val="009B5951"/>
    <w:rsid w:val="009B7514"/>
    <w:rsid w:val="009C0E62"/>
    <w:rsid w:val="009C1FFC"/>
    <w:rsid w:val="009C2948"/>
    <w:rsid w:val="009C2FE1"/>
    <w:rsid w:val="009C401D"/>
    <w:rsid w:val="009C481C"/>
    <w:rsid w:val="009C6897"/>
    <w:rsid w:val="009C70EB"/>
    <w:rsid w:val="009C7327"/>
    <w:rsid w:val="009C7846"/>
    <w:rsid w:val="009C7D55"/>
    <w:rsid w:val="009D0440"/>
    <w:rsid w:val="009D1950"/>
    <w:rsid w:val="009D231E"/>
    <w:rsid w:val="009D3549"/>
    <w:rsid w:val="009D3CA2"/>
    <w:rsid w:val="009D4165"/>
    <w:rsid w:val="009D4E3F"/>
    <w:rsid w:val="009D6579"/>
    <w:rsid w:val="009D7008"/>
    <w:rsid w:val="009D7575"/>
    <w:rsid w:val="009D7610"/>
    <w:rsid w:val="009D7C55"/>
    <w:rsid w:val="009E1647"/>
    <w:rsid w:val="009E2938"/>
    <w:rsid w:val="009E298E"/>
    <w:rsid w:val="009E2EA8"/>
    <w:rsid w:val="009E3079"/>
    <w:rsid w:val="009E3EAE"/>
    <w:rsid w:val="009E3EC4"/>
    <w:rsid w:val="009E6802"/>
    <w:rsid w:val="009E68C3"/>
    <w:rsid w:val="009E7380"/>
    <w:rsid w:val="009E7748"/>
    <w:rsid w:val="009E7D67"/>
    <w:rsid w:val="009F0827"/>
    <w:rsid w:val="009F1CD0"/>
    <w:rsid w:val="009F1D13"/>
    <w:rsid w:val="009F2098"/>
    <w:rsid w:val="009F24C6"/>
    <w:rsid w:val="009F39CF"/>
    <w:rsid w:val="009F3C59"/>
    <w:rsid w:val="009F3D92"/>
    <w:rsid w:val="009F5F2C"/>
    <w:rsid w:val="009F73CA"/>
    <w:rsid w:val="009F7BEE"/>
    <w:rsid w:val="00A002D8"/>
    <w:rsid w:val="00A016DA"/>
    <w:rsid w:val="00A01A5F"/>
    <w:rsid w:val="00A01D8D"/>
    <w:rsid w:val="00A02305"/>
    <w:rsid w:val="00A02D87"/>
    <w:rsid w:val="00A0598D"/>
    <w:rsid w:val="00A05AA7"/>
    <w:rsid w:val="00A05CB2"/>
    <w:rsid w:val="00A060ED"/>
    <w:rsid w:val="00A0653A"/>
    <w:rsid w:val="00A07745"/>
    <w:rsid w:val="00A07DB8"/>
    <w:rsid w:val="00A07ECB"/>
    <w:rsid w:val="00A10065"/>
    <w:rsid w:val="00A10D3C"/>
    <w:rsid w:val="00A111DA"/>
    <w:rsid w:val="00A11472"/>
    <w:rsid w:val="00A118C9"/>
    <w:rsid w:val="00A1270A"/>
    <w:rsid w:val="00A12D68"/>
    <w:rsid w:val="00A1363B"/>
    <w:rsid w:val="00A1461A"/>
    <w:rsid w:val="00A14DA4"/>
    <w:rsid w:val="00A15FE8"/>
    <w:rsid w:val="00A203E5"/>
    <w:rsid w:val="00A20773"/>
    <w:rsid w:val="00A20B01"/>
    <w:rsid w:val="00A20DD2"/>
    <w:rsid w:val="00A21404"/>
    <w:rsid w:val="00A217F3"/>
    <w:rsid w:val="00A219FA"/>
    <w:rsid w:val="00A21A9F"/>
    <w:rsid w:val="00A224AC"/>
    <w:rsid w:val="00A23729"/>
    <w:rsid w:val="00A23D8C"/>
    <w:rsid w:val="00A24305"/>
    <w:rsid w:val="00A24F4B"/>
    <w:rsid w:val="00A251A8"/>
    <w:rsid w:val="00A25E6F"/>
    <w:rsid w:val="00A25F1B"/>
    <w:rsid w:val="00A27CF6"/>
    <w:rsid w:val="00A30527"/>
    <w:rsid w:val="00A324B0"/>
    <w:rsid w:val="00A33268"/>
    <w:rsid w:val="00A333C4"/>
    <w:rsid w:val="00A335F7"/>
    <w:rsid w:val="00A3375B"/>
    <w:rsid w:val="00A3405C"/>
    <w:rsid w:val="00A345C9"/>
    <w:rsid w:val="00A34AE2"/>
    <w:rsid w:val="00A37771"/>
    <w:rsid w:val="00A379BE"/>
    <w:rsid w:val="00A40268"/>
    <w:rsid w:val="00A4032D"/>
    <w:rsid w:val="00A408D0"/>
    <w:rsid w:val="00A42986"/>
    <w:rsid w:val="00A4327E"/>
    <w:rsid w:val="00A43F89"/>
    <w:rsid w:val="00A45124"/>
    <w:rsid w:val="00A468F7"/>
    <w:rsid w:val="00A4779D"/>
    <w:rsid w:val="00A47E26"/>
    <w:rsid w:val="00A50846"/>
    <w:rsid w:val="00A5125E"/>
    <w:rsid w:val="00A51A33"/>
    <w:rsid w:val="00A51E24"/>
    <w:rsid w:val="00A52581"/>
    <w:rsid w:val="00A52B17"/>
    <w:rsid w:val="00A54F0D"/>
    <w:rsid w:val="00A561AA"/>
    <w:rsid w:val="00A5664A"/>
    <w:rsid w:val="00A610C3"/>
    <w:rsid w:val="00A61F34"/>
    <w:rsid w:val="00A62547"/>
    <w:rsid w:val="00A643B1"/>
    <w:rsid w:val="00A64E19"/>
    <w:rsid w:val="00A67813"/>
    <w:rsid w:val="00A678E6"/>
    <w:rsid w:val="00A71425"/>
    <w:rsid w:val="00A74EA7"/>
    <w:rsid w:val="00A756AF"/>
    <w:rsid w:val="00A75FA4"/>
    <w:rsid w:val="00A76038"/>
    <w:rsid w:val="00A76149"/>
    <w:rsid w:val="00A768FD"/>
    <w:rsid w:val="00A77A88"/>
    <w:rsid w:val="00A8091C"/>
    <w:rsid w:val="00A8186A"/>
    <w:rsid w:val="00A8197D"/>
    <w:rsid w:val="00A81AB5"/>
    <w:rsid w:val="00A81B14"/>
    <w:rsid w:val="00A823A4"/>
    <w:rsid w:val="00A8585D"/>
    <w:rsid w:val="00A86410"/>
    <w:rsid w:val="00A86897"/>
    <w:rsid w:val="00A87875"/>
    <w:rsid w:val="00A907A4"/>
    <w:rsid w:val="00A90B18"/>
    <w:rsid w:val="00A90EBC"/>
    <w:rsid w:val="00A90F0B"/>
    <w:rsid w:val="00A920D2"/>
    <w:rsid w:val="00A92BFF"/>
    <w:rsid w:val="00A92DC0"/>
    <w:rsid w:val="00A93E7B"/>
    <w:rsid w:val="00A953C0"/>
    <w:rsid w:val="00A95A40"/>
    <w:rsid w:val="00A960EE"/>
    <w:rsid w:val="00AA0EEE"/>
    <w:rsid w:val="00AA13D3"/>
    <w:rsid w:val="00AA1F09"/>
    <w:rsid w:val="00AA2AA7"/>
    <w:rsid w:val="00AA3016"/>
    <w:rsid w:val="00AA3246"/>
    <w:rsid w:val="00AA3DB8"/>
    <w:rsid w:val="00AA3E6E"/>
    <w:rsid w:val="00AA51E4"/>
    <w:rsid w:val="00AA520A"/>
    <w:rsid w:val="00AA5E7A"/>
    <w:rsid w:val="00AA6077"/>
    <w:rsid w:val="00AA6F35"/>
    <w:rsid w:val="00AA74CC"/>
    <w:rsid w:val="00AA7843"/>
    <w:rsid w:val="00AB0010"/>
    <w:rsid w:val="00AB29E6"/>
    <w:rsid w:val="00AB3A28"/>
    <w:rsid w:val="00AB3F03"/>
    <w:rsid w:val="00AB4088"/>
    <w:rsid w:val="00AB416B"/>
    <w:rsid w:val="00AB4421"/>
    <w:rsid w:val="00AB46F0"/>
    <w:rsid w:val="00AB50B2"/>
    <w:rsid w:val="00AB5DCB"/>
    <w:rsid w:val="00AB71E4"/>
    <w:rsid w:val="00AB726E"/>
    <w:rsid w:val="00AB7B02"/>
    <w:rsid w:val="00AC14A8"/>
    <w:rsid w:val="00AC2036"/>
    <w:rsid w:val="00AC2A8E"/>
    <w:rsid w:val="00AC2CCA"/>
    <w:rsid w:val="00AC3A24"/>
    <w:rsid w:val="00AC5C25"/>
    <w:rsid w:val="00AC6FBE"/>
    <w:rsid w:val="00AC7AE5"/>
    <w:rsid w:val="00AC7DA9"/>
    <w:rsid w:val="00AD013B"/>
    <w:rsid w:val="00AD06DB"/>
    <w:rsid w:val="00AD21FF"/>
    <w:rsid w:val="00AD2EEC"/>
    <w:rsid w:val="00AD49F4"/>
    <w:rsid w:val="00AD4C41"/>
    <w:rsid w:val="00AD51B7"/>
    <w:rsid w:val="00AD608F"/>
    <w:rsid w:val="00AD7775"/>
    <w:rsid w:val="00AD794A"/>
    <w:rsid w:val="00AE016B"/>
    <w:rsid w:val="00AE066A"/>
    <w:rsid w:val="00AE071B"/>
    <w:rsid w:val="00AE0ABD"/>
    <w:rsid w:val="00AE1D84"/>
    <w:rsid w:val="00AE1FF2"/>
    <w:rsid w:val="00AE218A"/>
    <w:rsid w:val="00AE3D89"/>
    <w:rsid w:val="00AE405E"/>
    <w:rsid w:val="00AE4180"/>
    <w:rsid w:val="00AE42AC"/>
    <w:rsid w:val="00AE4752"/>
    <w:rsid w:val="00AE53DD"/>
    <w:rsid w:val="00AF0089"/>
    <w:rsid w:val="00AF027D"/>
    <w:rsid w:val="00AF0492"/>
    <w:rsid w:val="00AF04AA"/>
    <w:rsid w:val="00AF4831"/>
    <w:rsid w:val="00AF4933"/>
    <w:rsid w:val="00AF49BA"/>
    <w:rsid w:val="00AF5739"/>
    <w:rsid w:val="00AF6560"/>
    <w:rsid w:val="00AF6EDD"/>
    <w:rsid w:val="00AF7C91"/>
    <w:rsid w:val="00B0024C"/>
    <w:rsid w:val="00B0094B"/>
    <w:rsid w:val="00B01C65"/>
    <w:rsid w:val="00B020C9"/>
    <w:rsid w:val="00B02602"/>
    <w:rsid w:val="00B0387A"/>
    <w:rsid w:val="00B03E00"/>
    <w:rsid w:val="00B04B67"/>
    <w:rsid w:val="00B05C29"/>
    <w:rsid w:val="00B06012"/>
    <w:rsid w:val="00B06529"/>
    <w:rsid w:val="00B06A77"/>
    <w:rsid w:val="00B0766B"/>
    <w:rsid w:val="00B07BD0"/>
    <w:rsid w:val="00B10A8F"/>
    <w:rsid w:val="00B10D97"/>
    <w:rsid w:val="00B10F87"/>
    <w:rsid w:val="00B11477"/>
    <w:rsid w:val="00B116CF"/>
    <w:rsid w:val="00B1231D"/>
    <w:rsid w:val="00B1254E"/>
    <w:rsid w:val="00B13EE1"/>
    <w:rsid w:val="00B14129"/>
    <w:rsid w:val="00B14E93"/>
    <w:rsid w:val="00B15453"/>
    <w:rsid w:val="00B15A2C"/>
    <w:rsid w:val="00B15D5F"/>
    <w:rsid w:val="00B16D59"/>
    <w:rsid w:val="00B16ED3"/>
    <w:rsid w:val="00B203DF"/>
    <w:rsid w:val="00B214B5"/>
    <w:rsid w:val="00B21976"/>
    <w:rsid w:val="00B21A0B"/>
    <w:rsid w:val="00B220E9"/>
    <w:rsid w:val="00B22405"/>
    <w:rsid w:val="00B22FEA"/>
    <w:rsid w:val="00B24926"/>
    <w:rsid w:val="00B25F4B"/>
    <w:rsid w:val="00B27369"/>
    <w:rsid w:val="00B303E6"/>
    <w:rsid w:val="00B31395"/>
    <w:rsid w:val="00B31A78"/>
    <w:rsid w:val="00B31D48"/>
    <w:rsid w:val="00B31E56"/>
    <w:rsid w:val="00B3215F"/>
    <w:rsid w:val="00B323EB"/>
    <w:rsid w:val="00B327EE"/>
    <w:rsid w:val="00B3347B"/>
    <w:rsid w:val="00B33B25"/>
    <w:rsid w:val="00B34D50"/>
    <w:rsid w:val="00B35205"/>
    <w:rsid w:val="00B362AD"/>
    <w:rsid w:val="00B36477"/>
    <w:rsid w:val="00B36EF1"/>
    <w:rsid w:val="00B37E2D"/>
    <w:rsid w:val="00B407F3"/>
    <w:rsid w:val="00B40C3A"/>
    <w:rsid w:val="00B40D55"/>
    <w:rsid w:val="00B425A7"/>
    <w:rsid w:val="00B42BFB"/>
    <w:rsid w:val="00B42CDD"/>
    <w:rsid w:val="00B439AF"/>
    <w:rsid w:val="00B43FAA"/>
    <w:rsid w:val="00B460B7"/>
    <w:rsid w:val="00B4625D"/>
    <w:rsid w:val="00B47AC3"/>
    <w:rsid w:val="00B520DD"/>
    <w:rsid w:val="00B52271"/>
    <w:rsid w:val="00B525D1"/>
    <w:rsid w:val="00B53C4D"/>
    <w:rsid w:val="00B550CE"/>
    <w:rsid w:val="00B5609F"/>
    <w:rsid w:val="00B56376"/>
    <w:rsid w:val="00B56F50"/>
    <w:rsid w:val="00B577E2"/>
    <w:rsid w:val="00B579BD"/>
    <w:rsid w:val="00B61C0D"/>
    <w:rsid w:val="00B62D0A"/>
    <w:rsid w:val="00B631DC"/>
    <w:rsid w:val="00B6381D"/>
    <w:rsid w:val="00B64A3C"/>
    <w:rsid w:val="00B64FCA"/>
    <w:rsid w:val="00B65166"/>
    <w:rsid w:val="00B65633"/>
    <w:rsid w:val="00B6624F"/>
    <w:rsid w:val="00B67E3C"/>
    <w:rsid w:val="00B70690"/>
    <w:rsid w:val="00B70EF4"/>
    <w:rsid w:val="00B70F5B"/>
    <w:rsid w:val="00B74A98"/>
    <w:rsid w:val="00B75E75"/>
    <w:rsid w:val="00B774AE"/>
    <w:rsid w:val="00B77655"/>
    <w:rsid w:val="00B81B4B"/>
    <w:rsid w:val="00B81BBC"/>
    <w:rsid w:val="00B81D12"/>
    <w:rsid w:val="00B827E1"/>
    <w:rsid w:val="00B82806"/>
    <w:rsid w:val="00B82A17"/>
    <w:rsid w:val="00B82E4E"/>
    <w:rsid w:val="00B83F84"/>
    <w:rsid w:val="00B84C4F"/>
    <w:rsid w:val="00B84E3B"/>
    <w:rsid w:val="00B84F0C"/>
    <w:rsid w:val="00B86319"/>
    <w:rsid w:val="00B86D57"/>
    <w:rsid w:val="00B870EB"/>
    <w:rsid w:val="00B904B6"/>
    <w:rsid w:val="00B92137"/>
    <w:rsid w:val="00B933CE"/>
    <w:rsid w:val="00B93F12"/>
    <w:rsid w:val="00B943DB"/>
    <w:rsid w:val="00B94571"/>
    <w:rsid w:val="00B94766"/>
    <w:rsid w:val="00B947A0"/>
    <w:rsid w:val="00B95388"/>
    <w:rsid w:val="00B9558C"/>
    <w:rsid w:val="00B957B5"/>
    <w:rsid w:val="00B9758B"/>
    <w:rsid w:val="00B97962"/>
    <w:rsid w:val="00B97A65"/>
    <w:rsid w:val="00B97FF6"/>
    <w:rsid w:val="00BA07C3"/>
    <w:rsid w:val="00BA0F3C"/>
    <w:rsid w:val="00BA3208"/>
    <w:rsid w:val="00BA402D"/>
    <w:rsid w:val="00BA4292"/>
    <w:rsid w:val="00BA4451"/>
    <w:rsid w:val="00BA53B5"/>
    <w:rsid w:val="00BA5516"/>
    <w:rsid w:val="00BA57C5"/>
    <w:rsid w:val="00BA680B"/>
    <w:rsid w:val="00BA70A4"/>
    <w:rsid w:val="00BA70CD"/>
    <w:rsid w:val="00BB1116"/>
    <w:rsid w:val="00BB118D"/>
    <w:rsid w:val="00BB1DDE"/>
    <w:rsid w:val="00BB3554"/>
    <w:rsid w:val="00BB3B00"/>
    <w:rsid w:val="00BB4D3C"/>
    <w:rsid w:val="00BB513C"/>
    <w:rsid w:val="00BB5969"/>
    <w:rsid w:val="00BB6294"/>
    <w:rsid w:val="00BB6F8F"/>
    <w:rsid w:val="00BB763F"/>
    <w:rsid w:val="00BB78D8"/>
    <w:rsid w:val="00BC0984"/>
    <w:rsid w:val="00BC0A3D"/>
    <w:rsid w:val="00BC0BE1"/>
    <w:rsid w:val="00BC2945"/>
    <w:rsid w:val="00BC4231"/>
    <w:rsid w:val="00BC4A24"/>
    <w:rsid w:val="00BC534F"/>
    <w:rsid w:val="00BC7B50"/>
    <w:rsid w:val="00BD009D"/>
    <w:rsid w:val="00BD0484"/>
    <w:rsid w:val="00BD04B6"/>
    <w:rsid w:val="00BD0C22"/>
    <w:rsid w:val="00BD13AA"/>
    <w:rsid w:val="00BD1CE4"/>
    <w:rsid w:val="00BD3D6B"/>
    <w:rsid w:val="00BD5BD3"/>
    <w:rsid w:val="00BD6788"/>
    <w:rsid w:val="00BD7445"/>
    <w:rsid w:val="00BD7E2C"/>
    <w:rsid w:val="00BE1032"/>
    <w:rsid w:val="00BE1215"/>
    <w:rsid w:val="00BE1AE6"/>
    <w:rsid w:val="00BE340B"/>
    <w:rsid w:val="00BE3732"/>
    <w:rsid w:val="00BE41BF"/>
    <w:rsid w:val="00BE42D1"/>
    <w:rsid w:val="00BE4306"/>
    <w:rsid w:val="00BE4951"/>
    <w:rsid w:val="00BE4EF0"/>
    <w:rsid w:val="00BE5305"/>
    <w:rsid w:val="00BE67A3"/>
    <w:rsid w:val="00BE7BE0"/>
    <w:rsid w:val="00BF0592"/>
    <w:rsid w:val="00BF07DF"/>
    <w:rsid w:val="00BF0A19"/>
    <w:rsid w:val="00BF0AC3"/>
    <w:rsid w:val="00BF0C42"/>
    <w:rsid w:val="00BF0E3C"/>
    <w:rsid w:val="00BF129B"/>
    <w:rsid w:val="00BF19E8"/>
    <w:rsid w:val="00BF23BF"/>
    <w:rsid w:val="00BF4317"/>
    <w:rsid w:val="00BF4455"/>
    <w:rsid w:val="00BF4D28"/>
    <w:rsid w:val="00BF4F65"/>
    <w:rsid w:val="00BF603F"/>
    <w:rsid w:val="00C00116"/>
    <w:rsid w:val="00C00506"/>
    <w:rsid w:val="00C01C10"/>
    <w:rsid w:val="00C03F43"/>
    <w:rsid w:val="00C03F92"/>
    <w:rsid w:val="00C0426B"/>
    <w:rsid w:val="00C04FC5"/>
    <w:rsid w:val="00C06181"/>
    <w:rsid w:val="00C07010"/>
    <w:rsid w:val="00C07383"/>
    <w:rsid w:val="00C073D6"/>
    <w:rsid w:val="00C0772F"/>
    <w:rsid w:val="00C109EB"/>
    <w:rsid w:val="00C10A3F"/>
    <w:rsid w:val="00C113A8"/>
    <w:rsid w:val="00C1258C"/>
    <w:rsid w:val="00C138D5"/>
    <w:rsid w:val="00C14390"/>
    <w:rsid w:val="00C147C5"/>
    <w:rsid w:val="00C153B3"/>
    <w:rsid w:val="00C15907"/>
    <w:rsid w:val="00C16292"/>
    <w:rsid w:val="00C16954"/>
    <w:rsid w:val="00C17D0E"/>
    <w:rsid w:val="00C202A0"/>
    <w:rsid w:val="00C20C7C"/>
    <w:rsid w:val="00C20E0B"/>
    <w:rsid w:val="00C229B7"/>
    <w:rsid w:val="00C2385F"/>
    <w:rsid w:val="00C23AC0"/>
    <w:rsid w:val="00C242CE"/>
    <w:rsid w:val="00C243EF"/>
    <w:rsid w:val="00C2470B"/>
    <w:rsid w:val="00C24DD5"/>
    <w:rsid w:val="00C25136"/>
    <w:rsid w:val="00C26463"/>
    <w:rsid w:val="00C26C54"/>
    <w:rsid w:val="00C27CE2"/>
    <w:rsid w:val="00C302CE"/>
    <w:rsid w:val="00C306AF"/>
    <w:rsid w:val="00C30778"/>
    <w:rsid w:val="00C30799"/>
    <w:rsid w:val="00C30A95"/>
    <w:rsid w:val="00C3115C"/>
    <w:rsid w:val="00C31614"/>
    <w:rsid w:val="00C31722"/>
    <w:rsid w:val="00C31C21"/>
    <w:rsid w:val="00C3283C"/>
    <w:rsid w:val="00C34FBE"/>
    <w:rsid w:val="00C35533"/>
    <w:rsid w:val="00C35C71"/>
    <w:rsid w:val="00C36A36"/>
    <w:rsid w:val="00C36F95"/>
    <w:rsid w:val="00C400AE"/>
    <w:rsid w:val="00C4270E"/>
    <w:rsid w:val="00C42B34"/>
    <w:rsid w:val="00C42EBC"/>
    <w:rsid w:val="00C43758"/>
    <w:rsid w:val="00C438C6"/>
    <w:rsid w:val="00C45815"/>
    <w:rsid w:val="00C45A30"/>
    <w:rsid w:val="00C4649D"/>
    <w:rsid w:val="00C46554"/>
    <w:rsid w:val="00C46984"/>
    <w:rsid w:val="00C46B25"/>
    <w:rsid w:val="00C46DD9"/>
    <w:rsid w:val="00C47775"/>
    <w:rsid w:val="00C47D5A"/>
    <w:rsid w:val="00C50663"/>
    <w:rsid w:val="00C513DC"/>
    <w:rsid w:val="00C516EB"/>
    <w:rsid w:val="00C517AA"/>
    <w:rsid w:val="00C52211"/>
    <w:rsid w:val="00C52257"/>
    <w:rsid w:val="00C52464"/>
    <w:rsid w:val="00C52721"/>
    <w:rsid w:val="00C529A1"/>
    <w:rsid w:val="00C52ACB"/>
    <w:rsid w:val="00C53170"/>
    <w:rsid w:val="00C5335B"/>
    <w:rsid w:val="00C540EB"/>
    <w:rsid w:val="00C55CA5"/>
    <w:rsid w:val="00C560C9"/>
    <w:rsid w:val="00C6037D"/>
    <w:rsid w:val="00C605B4"/>
    <w:rsid w:val="00C60C37"/>
    <w:rsid w:val="00C62722"/>
    <w:rsid w:val="00C62CA4"/>
    <w:rsid w:val="00C62D87"/>
    <w:rsid w:val="00C63923"/>
    <w:rsid w:val="00C65E75"/>
    <w:rsid w:val="00C65EB1"/>
    <w:rsid w:val="00C66BB1"/>
    <w:rsid w:val="00C67080"/>
    <w:rsid w:val="00C7007E"/>
    <w:rsid w:val="00C70630"/>
    <w:rsid w:val="00C71F75"/>
    <w:rsid w:val="00C732BD"/>
    <w:rsid w:val="00C73662"/>
    <w:rsid w:val="00C73CC3"/>
    <w:rsid w:val="00C7742A"/>
    <w:rsid w:val="00C779C0"/>
    <w:rsid w:val="00C77EF2"/>
    <w:rsid w:val="00C80184"/>
    <w:rsid w:val="00C80483"/>
    <w:rsid w:val="00C80C6F"/>
    <w:rsid w:val="00C81855"/>
    <w:rsid w:val="00C827BD"/>
    <w:rsid w:val="00C8382E"/>
    <w:rsid w:val="00C8413E"/>
    <w:rsid w:val="00C843AF"/>
    <w:rsid w:val="00C86295"/>
    <w:rsid w:val="00C86412"/>
    <w:rsid w:val="00C87105"/>
    <w:rsid w:val="00C87143"/>
    <w:rsid w:val="00C87271"/>
    <w:rsid w:val="00C87602"/>
    <w:rsid w:val="00C87632"/>
    <w:rsid w:val="00C90370"/>
    <w:rsid w:val="00C927B0"/>
    <w:rsid w:val="00C92A53"/>
    <w:rsid w:val="00C92F61"/>
    <w:rsid w:val="00C93172"/>
    <w:rsid w:val="00C934BF"/>
    <w:rsid w:val="00C938CE"/>
    <w:rsid w:val="00C93B4F"/>
    <w:rsid w:val="00C94D0F"/>
    <w:rsid w:val="00C95AC1"/>
    <w:rsid w:val="00C9622A"/>
    <w:rsid w:val="00C96B48"/>
    <w:rsid w:val="00C96B9A"/>
    <w:rsid w:val="00C977DB"/>
    <w:rsid w:val="00CA1273"/>
    <w:rsid w:val="00CA12D8"/>
    <w:rsid w:val="00CA2036"/>
    <w:rsid w:val="00CA2C75"/>
    <w:rsid w:val="00CA3283"/>
    <w:rsid w:val="00CA3496"/>
    <w:rsid w:val="00CA3618"/>
    <w:rsid w:val="00CA42AC"/>
    <w:rsid w:val="00CA4C7B"/>
    <w:rsid w:val="00CA5349"/>
    <w:rsid w:val="00CA555A"/>
    <w:rsid w:val="00CA5EAA"/>
    <w:rsid w:val="00CA634E"/>
    <w:rsid w:val="00CB0BB5"/>
    <w:rsid w:val="00CB1B2C"/>
    <w:rsid w:val="00CB1CFF"/>
    <w:rsid w:val="00CB1E94"/>
    <w:rsid w:val="00CB2E28"/>
    <w:rsid w:val="00CB31E1"/>
    <w:rsid w:val="00CB32B3"/>
    <w:rsid w:val="00CB36E9"/>
    <w:rsid w:val="00CB38E5"/>
    <w:rsid w:val="00CB3997"/>
    <w:rsid w:val="00CB4488"/>
    <w:rsid w:val="00CB4AE5"/>
    <w:rsid w:val="00CB576B"/>
    <w:rsid w:val="00CC02F2"/>
    <w:rsid w:val="00CC09AA"/>
    <w:rsid w:val="00CC09E7"/>
    <w:rsid w:val="00CC2BE0"/>
    <w:rsid w:val="00CC3148"/>
    <w:rsid w:val="00CC56DD"/>
    <w:rsid w:val="00CC6216"/>
    <w:rsid w:val="00CC621E"/>
    <w:rsid w:val="00CC6312"/>
    <w:rsid w:val="00CD0307"/>
    <w:rsid w:val="00CD0F1A"/>
    <w:rsid w:val="00CD17B7"/>
    <w:rsid w:val="00CD1B2E"/>
    <w:rsid w:val="00CD24B8"/>
    <w:rsid w:val="00CD3C40"/>
    <w:rsid w:val="00CD41C6"/>
    <w:rsid w:val="00CD45DF"/>
    <w:rsid w:val="00CD4895"/>
    <w:rsid w:val="00CD55D1"/>
    <w:rsid w:val="00CD6812"/>
    <w:rsid w:val="00CD6DB7"/>
    <w:rsid w:val="00CD7A91"/>
    <w:rsid w:val="00CE0057"/>
    <w:rsid w:val="00CE0D53"/>
    <w:rsid w:val="00CE1C80"/>
    <w:rsid w:val="00CE1E1B"/>
    <w:rsid w:val="00CE22E1"/>
    <w:rsid w:val="00CE3883"/>
    <w:rsid w:val="00CE44A9"/>
    <w:rsid w:val="00CE563D"/>
    <w:rsid w:val="00CE5A6D"/>
    <w:rsid w:val="00CE7D19"/>
    <w:rsid w:val="00CE7DA7"/>
    <w:rsid w:val="00CE7E3B"/>
    <w:rsid w:val="00CF0A31"/>
    <w:rsid w:val="00CF0AFE"/>
    <w:rsid w:val="00CF1028"/>
    <w:rsid w:val="00CF1B16"/>
    <w:rsid w:val="00CF2CA2"/>
    <w:rsid w:val="00CF2DF4"/>
    <w:rsid w:val="00CF498D"/>
    <w:rsid w:val="00CF5196"/>
    <w:rsid w:val="00CF5B6E"/>
    <w:rsid w:val="00CF5E99"/>
    <w:rsid w:val="00CF6314"/>
    <w:rsid w:val="00CF6D03"/>
    <w:rsid w:val="00CF7159"/>
    <w:rsid w:val="00CF7368"/>
    <w:rsid w:val="00CF7678"/>
    <w:rsid w:val="00CF774F"/>
    <w:rsid w:val="00D00075"/>
    <w:rsid w:val="00D00668"/>
    <w:rsid w:val="00D0093C"/>
    <w:rsid w:val="00D01D6C"/>
    <w:rsid w:val="00D0316C"/>
    <w:rsid w:val="00D0350B"/>
    <w:rsid w:val="00D03AD1"/>
    <w:rsid w:val="00D03D95"/>
    <w:rsid w:val="00D04C6B"/>
    <w:rsid w:val="00D055FD"/>
    <w:rsid w:val="00D05DA4"/>
    <w:rsid w:val="00D06E70"/>
    <w:rsid w:val="00D07347"/>
    <w:rsid w:val="00D077F7"/>
    <w:rsid w:val="00D07ABE"/>
    <w:rsid w:val="00D1002E"/>
    <w:rsid w:val="00D1070D"/>
    <w:rsid w:val="00D10A99"/>
    <w:rsid w:val="00D10B52"/>
    <w:rsid w:val="00D11C23"/>
    <w:rsid w:val="00D12B8C"/>
    <w:rsid w:val="00D12C0E"/>
    <w:rsid w:val="00D12FD2"/>
    <w:rsid w:val="00D132A2"/>
    <w:rsid w:val="00D14608"/>
    <w:rsid w:val="00D14B0C"/>
    <w:rsid w:val="00D15C18"/>
    <w:rsid w:val="00D15E97"/>
    <w:rsid w:val="00D15F16"/>
    <w:rsid w:val="00D17976"/>
    <w:rsid w:val="00D2049F"/>
    <w:rsid w:val="00D229CC"/>
    <w:rsid w:val="00D2435C"/>
    <w:rsid w:val="00D2523F"/>
    <w:rsid w:val="00D256A2"/>
    <w:rsid w:val="00D26A4E"/>
    <w:rsid w:val="00D26DEA"/>
    <w:rsid w:val="00D27264"/>
    <w:rsid w:val="00D3043D"/>
    <w:rsid w:val="00D3122C"/>
    <w:rsid w:val="00D318D2"/>
    <w:rsid w:val="00D31B48"/>
    <w:rsid w:val="00D320E5"/>
    <w:rsid w:val="00D32529"/>
    <w:rsid w:val="00D336AF"/>
    <w:rsid w:val="00D3373D"/>
    <w:rsid w:val="00D3450A"/>
    <w:rsid w:val="00D3465E"/>
    <w:rsid w:val="00D34870"/>
    <w:rsid w:val="00D34DAF"/>
    <w:rsid w:val="00D352AF"/>
    <w:rsid w:val="00D35AEF"/>
    <w:rsid w:val="00D35F43"/>
    <w:rsid w:val="00D406BB"/>
    <w:rsid w:val="00D43341"/>
    <w:rsid w:val="00D43842"/>
    <w:rsid w:val="00D4644D"/>
    <w:rsid w:val="00D4649A"/>
    <w:rsid w:val="00D46FB5"/>
    <w:rsid w:val="00D47053"/>
    <w:rsid w:val="00D47551"/>
    <w:rsid w:val="00D50B93"/>
    <w:rsid w:val="00D50C93"/>
    <w:rsid w:val="00D51972"/>
    <w:rsid w:val="00D519F2"/>
    <w:rsid w:val="00D5252D"/>
    <w:rsid w:val="00D526BD"/>
    <w:rsid w:val="00D53027"/>
    <w:rsid w:val="00D53FBE"/>
    <w:rsid w:val="00D540E1"/>
    <w:rsid w:val="00D543E9"/>
    <w:rsid w:val="00D55048"/>
    <w:rsid w:val="00D55415"/>
    <w:rsid w:val="00D56955"/>
    <w:rsid w:val="00D571C8"/>
    <w:rsid w:val="00D6170C"/>
    <w:rsid w:val="00D618C2"/>
    <w:rsid w:val="00D6205D"/>
    <w:rsid w:val="00D623FC"/>
    <w:rsid w:val="00D62EA7"/>
    <w:rsid w:val="00D64101"/>
    <w:rsid w:val="00D64BD3"/>
    <w:rsid w:val="00D6587A"/>
    <w:rsid w:val="00D66C4C"/>
    <w:rsid w:val="00D66E63"/>
    <w:rsid w:val="00D671D0"/>
    <w:rsid w:val="00D6773E"/>
    <w:rsid w:val="00D6791D"/>
    <w:rsid w:val="00D67A90"/>
    <w:rsid w:val="00D706FD"/>
    <w:rsid w:val="00D7114E"/>
    <w:rsid w:val="00D73BB0"/>
    <w:rsid w:val="00D75872"/>
    <w:rsid w:val="00D7615C"/>
    <w:rsid w:val="00D76515"/>
    <w:rsid w:val="00D778CE"/>
    <w:rsid w:val="00D77B1E"/>
    <w:rsid w:val="00D77DE8"/>
    <w:rsid w:val="00D809A9"/>
    <w:rsid w:val="00D83628"/>
    <w:rsid w:val="00D84E13"/>
    <w:rsid w:val="00D85615"/>
    <w:rsid w:val="00D877EB"/>
    <w:rsid w:val="00D90382"/>
    <w:rsid w:val="00D92084"/>
    <w:rsid w:val="00D94042"/>
    <w:rsid w:val="00D94CC6"/>
    <w:rsid w:val="00D95BAE"/>
    <w:rsid w:val="00D95FC5"/>
    <w:rsid w:val="00D9661D"/>
    <w:rsid w:val="00D96626"/>
    <w:rsid w:val="00D966E0"/>
    <w:rsid w:val="00D966FC"/>
    <w:rsid w:val="00DA02AD"/>
    <w:rsid w:val="00DA09B0"/>
    <w:rsid w:val="00DA0A9D"/>
    <w:rsid w:val="00DA0E61"/>
    <w:rsid w:val="00DA1A57"/>
    <w:rsid w:val="00DA1EB9"/>
    <w:rsid w:val="00DA2E22"/>
    <w:rsid w:val="00DA33D3"/>
    <w:rsid w:val="00DA6090"/>
    <w:rsid w:val="00DA62EF"/>
    <w:rsid w:val="00DA64B5"/>
    <w:rsid w:val="00DA71DD"/>
    <w:rsid w:val="00DA7386"/>
    <w:rsid w:val="00DA73BF"/>
    <w:rsid w:val="00DB0055"/>
    <w:rsid w:val="00DB0A92"/>
    <w:rsid w:val="00DB1993"/>
    <w:rsid w:val="00DB4C92"/>
    <w:rsid w:val="00DB4CB2"/>
    <w:rsid w:val="00DC1524"/>
    <w:rsid w:val="00DC152E"/>
    <w:rsid w:val="00DC264A"/>
    <w:rsid w:val="00DC27FF"/>
    <w:rsid w:val="00DC4670"/>
    <w:rsid w:val="00DC5F9E"/>
    <w:rsid w:val="00DC6733"/>
    <w:rsid w:val="00DD222C"/>
    <w:rsid w:val="00DD2698"/>
    <w:rsid w:val="00DD272C"/>
    <w:rsid w:val="00DD282D"/>
    <w:rsid w:val="00DD3947"/>
    <w:rsid w:val="00DD3CBD"/>
    <w:rsid w:val="00DD4069"/>
    <w:rsid w:val="00DD472F"/>
    <w:rsid w:val="00DD5464"/>
    <w:rsid w:val="00DD5CB5"/>
    <w:rsid w:val="00DD6708"/>
    <w:rsid w:val="00DD6F9B"/>
    <w:rsid w:val="00DD73D0"/>
    <w:rsid w:val="00DD7574"/>
    <w:rsid w:val="00DD7BD1"/>
    <w:rsid w:val="00DD7BE3"/>
    <w:rsid w:val="00DD7E60"/>
    <w:rsid w:val="00DE008D"/>
    <w:rsid w:val="00DE06E9"/>
    <w:rsid w:val="00DE1022"/>
    <w:rsid w:val="00DE1C73"/>
    <w:rsid w:val="00DE402A"/>
    <w:rsid w:val="00DE435B"/>
    <w:rsid w:val="00DE5B8B"/>
    <w:rsid w:val="00DE5C75"/>
    <w:rsid w:val="00DF10EA"/>
    <w:rsid w:val="00DF2612"/>
    <w:rsid w:val="00DF3764"/>
    <w:rsid w:val="00DF4CB0"/>
    <w:rsid w:val="00DF5127"/>
    <w:rsid w:val="00DF5310"/>
    <w:rsid w:val="00DF5887"/>
    <w:rsid w:val="00DF5F9F"/>
    <w:rsid w:val="00DF6229"/>
    <w:rsid w:val="00DF75FA"/>
    <w:rsid w:val="00DF7F7C"/>
    <w:rsid w:val="00E00688"/>
    <w:rsid w:val="00E00A46"/>
    <w:rsid w:val="00E00A76"/>
    <w:rsid w:val="00E0153C"/>
    <w:rsid w:val="00E0192F"/>
    <w:rsid w:val="00E026E8"/>
    <w:rsid w:val="00E0293F"/>
    <w:rsid w:val="00E040FE"/>
    <w:rsid w:val="00E04334"/>
    <w:rsid w:val="00E051AE"/>
    <w:rsid w:val="00E056E5"/>
    <w:rsid w:val="00E068D3"/>
    <w:rsid w:val="00E07AA8"/>
    <w:rsid w:val="00E14A98"/>
    <w:rsid w:val="00E15368"/>
    <w:rsid w:val="00E15833"/>
    <w:rsid w:val="00E17016"/>
    <w:rsid w:val="00E174B3"/>
    <w:rsid w:val="00E17F3A"/>
    <w:rsid w:val="00E214BC"/>
    <w:rsid w:val="00E21927"/>
    <w:rsid w:val="00E21B19"/>
    <w:rsid w:val="00E224C3"/>
    <w:rsid w:val="00E239F5"/>
    <w:rsid w:val="00E23A0B"/>
    <w:rsid w:val="00E24765"/>
    <w:rsid w:val="00E252AB"/>
    <w:rsid w:val="00E25B63"/>
    <w:rsid w:val="00E25CEB"/>
    <w:rsid w:val="00E2659B"/>
    <w:rsid w:val="00E27216"/>
    <w:rsid w:val="00E27BAD"/>
    <w:rsid w:val="00E300E8"/>
    <w:rsid w:val="00E3201D"/>
    <w:rsid w:val="00E3432F"/>
    <w:rsid w:val="00E345E8"/>
    <w:rsid w:val="00E35FBF"/>
    <w:rsid w:val="00E361A6"/>
    <w:rsid w:val="00E365EB"/>
    <w:rsid w:val="00E375F9"/>
    <w:rsid w:val="00E41993"/>
    <w:rsid w:val="00E41EF1"/>
    <w:rsid w:val="00E42BE0"/>
    <w:rsid w:val="00E43539"/>
    <w:rsid w:val="00E43F57"/>
    <w:rsid w:val="00E446EC"/>
    <w:rsid w:val="00E457D4"/>
    <w:rsid w:val="00E465CF"/>
    <w:rsid w:val="00E46E70"/>
    <w:rsid w:val="00E47721"/>
    <w:rsid w:val="00E47D68"/>
    <w:rsid w:val="00E47F73"/>
    <w:rsid w:val="00E50FE3"/>
    <w:rsid w:val="00E51402"/>
    <w:rsid w:val="00E5141F"/>
    <w:rsid w:val="00E51B4A"/>
    <w:rsid w:val="00E531F8"/>
    <w:rsid w:val="00E53A39"/>
    <w:rsid w:val="00E53BB9"/>
    <w:rsid w:val="00E54009"/>
    <w:rsid w:val="00E55023"/>
    <w:rsid w:val="00E5633E"/>
    <w:rsid w:val="00E56F3C"/>
    <w:rsid w:val="00E572FE"/>
    <w:rsid w:val="00E57D50"/>
    <w:rsid w:val="00E57D85"/>
    <w:rsid w:val="00E603C8"/>
    <w:rsid w:val="00E60BC2"/>
    <w:rsid w:val="00E60FA2"/>
    <w:rsid w:val="00E62771"/>
    <w:rsid w:val="00E62814"/>
    <w:rsid w:val="00E62A2B"/>
    <w:rsid w:val="00E65ACE"/>
    <w:rsid w:val="00E664E2"/>
    <w:rsid w:val="00E71379"/>
    <w:rsid w:val="00E72745"/>
    <w:rsid w:val="00E73624"/>
    <w:rsid w:val="00E73CAB"/>
    <w:rsid w:val="00E74668"/>
    <w:rsid w:val="00E74E6A"/>
    <w:rsid w:val="00E76217"/>
    <w:rsid w:val="00E7684E"/>
    <w:rsid w:val="00E80359"/>
    <w:rsid w:val="00E80614"/>
    <w:rsid w:val="00E809D5"/>
    <w:rsid w:val="00E80FA7"/>
    <w:rsid w:val="00E82847"/>
    <w:rsid w:val="00E82A04"/>
    <w:rsid w:val="00E83518"/>
    <w:rsid w:val="00E83CF7"/>
    <w:rsid w:val="00E84602"/>
    <w:rsid w:val="00E84C9B"/>
    <w:rsid w:val="00E87443"/>
    <w:rsid w:val="00E879BA"/>
    <w:rsid w:val="00E87C72"/>
    <w:rsid w:val="00E90580"/>
    <w:rsid w:val="00E90A21"/>
    <w:rsid w:val="00E91BEF"/>
    <w:rsid w:val="00E92916"/>
    <w:rsid w:val="00E94B18"/>
    <w:rsid w:val="00E95FC4"/>
    <w:rsid w:val="00E96269"/>
    <w:rsid w:val="00EA0480"/>
    <w:rsid w:val="00EA0ADA"/>
    <w:rsid w:val="00EA0BF0"/>
    <w:rsid w:val="00EA138C"/>
    <w:rsid w:val="00EA13D8"/>
    <w:rsid w:val="00EA2812"/>
    <w:rsid w:val="00EA2B84"/>
    <w:rsid w:val="00EA2ED0"/>
    <w:rsid w:val="00EA56BF"/>
    <w:rsid w:val="00EA58FD"/>
    <w:rsid w:val="00EA71D1"/>
    <w:rsid w:val="00EA7533"/>
    <w:rsid w:val="00EA768F"/>
    <w:rsid w:val="00EB055A"/>
    <w:rsid w:val="00EB09C6"/>
    <w:rsid w:val="00EB0A94"/>
    <w:rsid w:val="00EB1B40"/>
    <w:rsid w:val="00EB20FC"/>
    <w:rsid w:val="00EB333A"/>
    <w:rsid w:val="00EB3B56"/>
    <w:rsid w:val="00EB4576"/>
    <w:rsid w:val="00EB4CA9"/>
    <w:rsid w:val="00EB5E0C"/>
    <w:rsid w:val="00EB620E"/>
    <w:rsid w:val="00EB6F32"/>
    <w:rsid w:val="00EB72B7"/>
    <w:rsid w:val="00EC0452"/>
    <w:rsid w:val="00EC0DC4"/>
    <w:rsid w:val="00EC114E"/>
    <w:rsid w:val="00EC2FF9"/>
    <w:rsid w:val="00EC3156"/>
    <w:rsid w:val="00EC3D99"/>
    <w:rsid w:val="00EC447A"/>
    <w:rsid w:val="00EC4950"/>
    <w:rsid w:val="00EC5270"/>
    <w:rsid w:val="00EC64CD"/>
    <w:rsid w:val="00EC6B53"/>
    <w:rsid w:val="00EC6CD3"/>
    <w:rsid w:val="00EC73D4"/>
    <w:rsid w:val="00ED02CF"/>
    <w:rsid w:val="00ED1B76"/>
    <w:rsid w:val="00ED1C46"/>
    <w:rsid w:val="00ED1D7E"/>
    <w:rsid w:val="00ED2890"/>
    <w:rsid w:val="00ED3762"/>
    <w:rsid w:val="00ED4693"/>
    <w:rsid w:val="00ED494C"/>
    <w:rsid w:val="00ED571A"/>
    <w:rsid w:val="00ED5B80"/>
    <w:rsid w:val="00ED666A"/>
    <w:rsid w:val="00ED68E1"/>
    <w:rsid w:val="00ED72F2"/>
    <w:rsid w:val="00EE2343"/>
    <w:rsid w:val="00EE2799"/>
    <w:rsid w:val="00EE2FA4"/>
    <w:rsid w:val="00EE3198"/>
    <w:rsid w:val="00EE3E2C"/>
    <w:rsid w:val="00EE5A00"/>
    <w:rsid w:val="00EE7ABE"/>
    <w:rsid w:val="00EF057B"/>
    <w:rsid w:val="00EF0C20"/>
    <w:rsid w:val="00EF0CD8"/>
    <w:rsid w:val="00EF1B97"/>
    <w:rsid w:val="00EF2FC6"/>
    <w:rsid w:val="00EF5104"/>
    <w:rsid w:val="00EF5ECF"/>
    <w:rsid w:val="00EF69A5"/>
    <w:rsid w:val="00EF74D4"/>
    <w:rsid w:val="00EF7C30"/>
    <w:rsid w:val="00F01FCD"/>
    <w:rsid w:val="00F02361"/>
    <w:rsid w:val="00F032B3"/>
    <w:rsid w:val="00F0557F"/>
    <w:rsid w:val="00F0627A"/>
    <w:rsid w:val="00F075EC"/>
    <w:rsid w:val="00F07B49"/>
    <w:rsid w:val="00F07CA9"/>
    <w:rsid w:val="00F07F1B"/>
    <w:rsid w:val="00F07F40"/>
    <w:rsid w:val="00F103A3"/>
    <w:rsid w:val="00F10C16"/>
    <w:rsid w:val="00F10DE7"/>
    <w:rsid w:val="00F10FC7"/>
    <w:rsid w:val="00F11C96"/>
    <w:rsid w:val="00F13D16"/>
    <w:rsid w:val="00F142CA"/>
    <w:rsid w:val="00F1527D"/>
    <w:rsid w:val="00F1569E"/>
    <w:rsid w:val="00F15D05"/>
    <w:rsid w:val="00F15D3E"/>
    <w:rsid w:val="00F160EF"/>
    <w:rsid w:val="00F16633"/>
    <w:rsid w:val="00F17299"/>
    <w:rsid w:val="00F202A6"/>
    <w:rsid w:val="00F209BA"/>
    <w:rsid w:val="00F20CF4"/>
    <w:rsid w:val="00F21CC6"/>
    <w:rsid w:val="00F23266"/>
    <w:rsid w:val="00F237E6"/>
    <w:rsid w:val="00F24EB0"/>
    <w:rsid w:val="00F25AC0"/>
    <w:rsid w:val="00F25B55"/>
    <w:rsid w:val="00F25E32"/>
    <w:rsid w:val="00F27E08"/>
    <w:rsid w:val="00F3068D"/>
    <w:rsid w:val="00F315D3"/>
    <w:rsid w:val="00F31BC7"/>
    <w:rsid w:val="00F33EDD"/>
    <w:rsid w:val="00F344DA"/>
    <w:rsid w:val="00F34A58"/>
    <w:rsid w:val="00F34B6A"/>
    <w:rsid w:val="00F3526B"/>
    <w:rsid w:val="00F35D0A"/>
    <w:rsid w:val="00F3747A"/>
    <w:rsid w:val="00F376FA"/>
    <w:rsid w:val="00F404C6"/>
    <w:rsid w:val="00F4054C"/>
    <w:rsid w:val="00F4154A"/>
    <w:rsid w:val="00F4186E"/>
    <w:rsid w:val="00F41C64"/>
    <w:rsid w:val="00F42015"/>
    <w:rsid w:val="00F42D3C"/>
    <w:rsid w:val="00F43CC3"/>
    <w:rsid w:val="00F44252"/>
    <w:rsid w:val="00F44FD0"/>
    <w:rsid w:val="00F45302"/>
    <w:rsid w:val="00F45499"/>
    <w:rsid w:val="00F45B41"/>
    <w:rsid w:val="00F46481"/>
    <w:rsid w:val="00F46791"/>
    <w:rsid w:val="00F517B6"/>
    <w:rsid w:val="00F522B1"/>
    <w:rsid w:val="00F526E1"/>
    <w:rsid w:val="00F52B2C"/>
    <w:rsid w:val="00F52FE6"/>
    <w:rsid w:val="00F55AD8"/>
    <w:rsid w:val="00F55C00"/>
    <w:rsid w:val="00F57F75"/>
    <w:rsid w:val="00F60EA5"/>
    <w:rsid w:val="00F6183C"/>
    <w:rsid w:val="00F6193D"/>
    <w:rsid w:val="00F6305A"/>
    <w:rsid w:val="00F6310D"/>
    <w:rsid w:val="00F633AD"/>
    <w:rsid w:val="00F63820"/>
    <w:rsid w:val="00F647F3"/>
    <w:rsid w:val="00F64CEE"/>
    <w:rsid w:val="00F65117"/>
    <w:rsid w:val="00F65C25"/>
    <w:rsid w:val="00F65D15"/>
    <w:rsid w:val="00F676B1"/>
    <w:rsid w:val="00F70148"/>
    <w:rsid w:val="00F731F5"/>
    <w:rsid w:val="00F73209"/>
    <w:rsid w:val="00F73E2C"/>
    <w:rsid w:val="00F74AD3"/>
    <w:rsid w:val="00F75390"/>
    <w:rsid w:val="00F7544A"/>
    <w:rsid w:val="00F777E5"/>
    <w:rsid w:val="00F778F2"/>
    <w:rsid w:val="00F805C8"/>
    <w:rsid w:val="00F81F23"/>
    <w:rsid w:val="00F82883"/>
    <w:rsid w:val="00F83105"/>
    <w:rsid w:val="00F83DDF"/>
    <w:rsid w:val="00F844EF"/>
    <w:rsid w:val="00F84CB8"/>
    <w:rsid w:val="00F8563E"/>
    <w:rsid w:val="00F8646A"/>
    <w:rsid w:val="00F90E5A"/>
    <w:rsid w:val="00F90EF6"/>
    <w:rsid w:val="00F9112B"/>
    <w:rsid w:val="00F91DB5"/>
    <w:rsid w:val="00F925F8"/>
    <w:rsid w:val="00F93D5D"/>
    <w:rsid w:val="00F9403B"/>
    <w:rsid w:val="00F95157"/>
    <w:rsid w:val="00F95B0E"/>
    <w:rsid w:val="00F95CCF"/>
    <w:rsid w:val="00F95E18"/>
    <w:rsid w:val="00FA05C8"/>
    <w:rsid w:val="00FA0AA8"/>
    <w:rsid w:val="00FA1AFD"/>
    <w:rsid w:val="00FA1D10"/>
    <w:rsid w:val="00FA332A"/>
    <w:rsid w:val="00FA3527"/>
    <w:rsid w:val="00FA3E72"/>
    <w:rsid w:val="00FA40A7"/>
    <w:rsid w:val="00FA58C3"/>
    <w:rsid w:val="00FA6B3B"/>
    <w:rsid w:val="00FA6BAF"/>
    <w:rsid w:val="00FA797F"/>
    <w:rsid w:val="00FB0B45"/>
    <w:rsid w:val="00FB101F"/>
    <w:rsid w:val="00FB11D1"/>
    <w:rsid w:val="00FB243E"/>
    <w:rsid w:val="00FB2852"/>
    <w:rsid w:val="00FB3063"/>
    <w:rsid w:val="00FB322C"/>
    <w:rsid w:val="00FB346D"/>
    <w:rsid w:val="00FB3557"/>
    <w:rsid w:val="00FB49C4"/>
    <w:rsid w:val="00FB4D6C"/>
    <w:rsid w:val="00FB5DE1"/>
    <w:rsid w:val="00FB777C"/>
    <w:rsid w:val="00FC2057"/>
    <w:rsid w:val="00FC265F"/>
    <w:rsid w:val="00FC31BF"/>
    <w:rsid w:val="00FC3EC1"/>
    <w:rsid w:val="00FC3FD8"/>
    <w:rsid w:val="00FC4260"/>
    <w:rsid w:val="00FC45C8"/>
    <w:rsid w:val="00FC4787"/>
    <w:rsid w:val="00FC598E"/>
    <w:rsid w:val="00FC5A09"/>
    <w:rsid w:val="00FC63F7"/>
    <w:rsid w:val="00FC7700"/>
    <w:rsid w:val="00FC79A2"/>
    <w:rsid w:val="00FC7DBB"/>
    <w:rsid w:val="00FD04C8"/>
    <w:rsid w:val="00FD1832"/>
    <w:rsid w:val="00FD1DE4"/>
    <w:rsid w:val="00FD2CE5"/>
    <w:rsid w:val="00FD337D"/>
    <w:rsid w:val="00FD3D95"/>
    <w:rsid w:val="00FD4213"/>
    <w:rsid w:val="00FD56E0"/>
    <w:rsid w:val="00FD591F"/>
    <w:rsid w:val="00FD5D56"/>
    <w:rsid w:val="00FD7229"/>
    <w:rsid w:val="00FD7AF0"/>
    <w:rsid w:val="00FE0F8C"/>
    <w:rsid w:val="00FE290A"/>
    <w:rsid w:val="00FE4771"/>
    <w:rsid w:val="00FE5E05"/>
    <w:rsid w:val="00FE60AF"/>
    <w:rsid w:val="00FF0D71"/>
    <w:rsid w:val="00FF141A"/>
    <w:rsid w:val="00FF2369"/>
    <w:rsid w:val="00FF3E87"/>
    <w:rsid w:val="00FF74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EBE91"/>
  <w15:docId w15:val="{354AE870-BD9D-A04B-84F4-5DF091C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5464"/>
    <w:pPr>
      <w:spacing w:after="0" w:line="240" w:lineRule="auto"/>
    </w:pPr>
    <w:rPr>
      <w:rFonts w:ascii="Calibri" w:eastAsia="Times New Roman" w:hAnsi="Calibri" w:cs="Times New Roman"/>
      <w:lang w:eastAsia="en-US"/>
    </w:rPr>
  </w:style>
  <w:style w:type="paragraph" w:styleId="Heading1">
    <w:name w:val="heading 1"/>
    <w:aliases w:val="Titol 1,Outline1"/>
    <w:basedOn w:val="Normal"/>
    <w:next w:val="BodyText"/>
    <w:link w:val="Heading1Char"/>
    <w:uiPriority w:val="1"/>
    <w:qFormat/>
    <w:rsid w:val="00544DA0"/>
    <w:pPr>
      <w:keepNext/>
      <w:keepLines/>
      <w:numPr>
        <w:numId w:val="1"/>
      </w:numPr>
      <w:spacing w:before="120" w:line="360" w:lineRule="auto"/>
      <w:outlineLvl w:val="0"/>
    </w:pPr>
    <w:rPr>
      <w:rFonts w:ascii="Times New Roman" w:eastAsiaTheme="majorEastAsia" w:hAnsi="Times New Roman" w:cstheme="majorBidi"/>
      <w:b/>
      <w:bCs/>
      <w:sz w:val="32"/>
      <w:szCs w:val="28"/>
    </w:rPr>
  </w:style>
  <w:style w:type="paragraph" w:styleId="Heading2">
    <w:name w:val="heading 2"/>
    <w:basedOn w:val="ListParagraph"/>
    <w:next w:val="Normal"/>
    <w:link w:val="Heading2Char"/>
    <w:uiPriority w:val="1"/>
    <w:unhideWhenUsed/>
    <w:qFormat/>
    <w:rsid w:val="00C92A53"/>
    <w:pPr>
      <w:keepNext/>
      <w:numPr>
        <w:ilvl w:val="1"/>
        <w:numId w:val="1"/>
      </w:numPr>
      <w:autoSpaceDE w:val="0"/>
      <w:autoSpaceDN w:val="0"/>
      <w:adjustRightInd w:val="0"/>
      <w:spacing w:after="80" w:line="360" w:lineRule="auto"/>
      <w:outlineLvl w:val="1"/>
    </w:pPr>
    <w:rPr>
      <w:rFonts w:ascii="Times New Roman" w:hAnsi="Times New Roman" w:cstheme="minorHAnsi"/>
      <w:b/>
      <w:bCs/>
      <w:sz w:val="24"/>
      <w:szCs w:val="24"/>
    </w:rPr>
  </w:style>
  <w:style w:type="paragraph" w:styleId="Heading3">
    <w:name w:val="heading 3"/>
    <w:basedOn w:val="Normal"/>
    <w:next w:val="Normal"/>
    <w:link w:val="Heading3Char"/>
    <w:unhideWhenUsed/>
    <w:qFormat/>
    <w:rsid w:val="00A01D8D"/>
    <w:pPr>
      <w:keepNext/>
      <w:numPr>
        <w:ilvl w:val="2"/>
        <w:numId w:val="1"/>
      </w:numPr>
      <w:spacing w:before="60" w:after="60" w:line="360" w:lineRule="auto"/>
      <w:outlineLvl w:val="2"/>
    </w:pPr>
    <w:rPr>
      <w:rFonts w:ascii="Times New Roman" w:hAnsi="Times New Roman" w:cstheme="minorBidi"/>
      <w:b/>
      <w:bCs/>
      <w:i/>
      <w:sz w:val="24"/>
      <w:szCs w:val="26"/>
    </w:rPr>
  </w:style>
  <w:style w:type="paragraph" w:styleId="Heading4">
    <w:name w:val="heading 4"/>
    <w:basedOn w:val="Normal"/>
    <w:next w:val="Normal"/>
    <w:link w:val="Heading4Char"/>
    <w:uiPriority w:val="9"/>
    <w:unhideWhenUsed/>
    <w:qFormat/>
    <w:rsid w:val="00800E06"/>
    <w:pPr>
      <w:keepNext/>
      <w:keepLines/>
      <w:numPr>
        <w:ilvl w:val="3"/>
        <w:numId w:val="1"/>
      </w:numPr>
      <w:spacing w:before="40" w:after="120"/>
      <w:outlineLvl w:val="3"/>
    </w:pPr>
    <w:rPr>
      <w:rFonts w:ascii="Times New Roman" w:eastAsiaTheme="majorEastAsia" w:hAnsi="Times New Roman" w:cstheme="majorBidi"/>
      <w:iCs/>
      <w:caps/>
      <w:sz w:val="20"/>
    </w:rPr>
  </w:style>
  <w:style w:type="paragraph" w:styleId="Heading5">
    <w:name w:val="heading 5"/>
    <w:basedOn w:val="Normal"/>
    <w:next w:val="Normal"/>
    <w:link w:val="Heading5Char"/>
    <w:uiPriority w:val="9"/>
    <w:unhideWhenUsed/>
    <w:qFormat/>
    <w:rsid w:val="000208DF"/>
    <w:pPr>
      <w:keepNext/>
      <w:keepLines/>
      <w:spacing w:before="40" w:after="120"/>
      <w:outlineLvl w:val="4"/>
    </w:pPr>
    <w:rPr>
      <w:rFonts w:ascii="Times New Roman" w:eastAsiaTheme="majorEastAsia" w:hAnsi="Times New Roman" w:cstheme="majorBidi"/>
      <w:i/>
      <w:sz w:val="24"/>
    </w:rPr>
  </w:style>
  <w:style w:type="paragraph" w:styleId="Heading6">
    <w:name w:val="heading 6"/>
    <w:basedOn w:val="Normal"/>
    <w:next w:val="Normal"/>
    <w:link w:val="Heading6Char"/>
    <w:uiPriority w:val="9"/>
    <w:semiHidden/>
    <w:unhideWhenUsed/>
    <w:qFormat/>
    <w:rsid w:val="00454DE5"/>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4DE5"/>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4DE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4DE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9D3CA2"/>
    <w:pPr>
      <w:spacing w:after="120"/>
    </w:pPr>
  </w:style>
  <w:style w:type="character" w:customStyle="1" w:styleId="BodyTextChar">
    <w:name w:val="Body Text Char"/>
    <w:basedOn w:val="DefaultParagraphFont"/>
    <w:link w:val="BodyText"/>
    <w:uiPriority w:val="99"/>
    <w:rsid w:val="009D3CA2"/>
    <w:rPr>
      <w:rFonts w:ascii="Calibri" w:eastAsia="Times New Roman" w:hAnsi="Calibri" w:cs="Times New Roman"/>
      <w:lang w:eastAsia="en-US"/>
    </w:rPr>
  </w:style>
  <w:style w:type="character" w:customStyle="1" w:styleId="Heading1Char">
    <w:name w:val="Heading 1 Char"/>
    <w:aliases w:val="Titol 1 Char,Outline1 Char"/>
    <w:basedOn w:val="DefaultParagraphFont"/>
    <w:link w:val="Heading1"/>
    <w:uiPriority w:val="1"/>
    <w:rsid w:val="00544DA0"/>
    <w:rPr>
      <w:rFonts w:ascii="Times New Roman" w:eastAsiaTheme="majorEastAsia" w:hAnsi="Times New Roman" w:cstheme="majorBidi"/>
      <w:b/>
      <w:bCs/>
      <w:sz w:val="32"/>
      <w:szCs w:val="28"/>
      <w:lang w:eastAsia="en-US"/>
    </w:rPr>
  </w:style>
  <w:style w:type="paragraph" w:styleId="ListParagraph">
    <w:name w:val="List Paragraph"/>
    <w:basedOn w:val="Normal"/>
    <w:uiPriority w:val="1"/>
    <w:qFormat/>
    <w:rsid w:val="00CC6312"/>
    <w:pPr>
      <w:ind w:left="720"/>
      <w:contextualSpacing/>
    </w:pPr>
  </w:style>
  <w:style w:type="character" w:customStyle="1" w:styleId="Heading2Char">
    <w:name w:val="Heading 2 Char"/>
    <w:basedOn w:val="DefaultParagraphFont"/>
    <w:link w:val="Heading2"/>
    <w:uiPriority w:val="1"/>
    <w:rsid w:val="00C92A53"/>
    <w:rPr>
      <w:rFonts w:ascii="Times New Roman" w:eastAsia="Times New Roman" w:hAnsi="Times New Roman" w:cstheme="minorHAnsi"/>
      <w:b/>
      <w:bCs/>
      <w:sz w:val="24"/>
      <w:szCs w:val="24"/>
      <w:lang w:eastAsia="en-US"/>
    </w:rPr>
  </w:style>
  <w:style w:type="character" w:customStyle="1" w:styleId="Heading3Char">
    <w:name w:val="Heading 3 Char"/>
    <w:basedOn w:val="DefaultParagraphFont"/>
    <w:link w:val="Heading3"/>
    <w:rsid w:val="00A01D8D"/>
    <w:rPr>
      <w:rFonts w:ascii="Times New Roman" w:eastAsia="Times New Roman" w:hAnsi="Times New Roman"/>
      <w:b/>
      <w:bCs/>
      <w:i/>
      <w:sz w:val="24"/>
      <w:szCs w:val="26"/>
      <w:lang w:eastAsia="en-US"/>
    </w:rPr>
  </w:style>
  <w:style w:type="character" w:customStyle="1" w:styleId="Heading4Char">
    <w:name w:val="Heading 4 Char"/>
    <w:basedOn w:val="DefaultParagraphFont"/>
    <w:link w:val="Heading4"/>
    <w:uiPriority w:val="9"/>
    <w:rsid w:val="00800E06"/>
    <w:rPr>
      <w:rFonts w:ascii="Times New Roman" w:eastAsiaTheme="majorEastAsia" w:hAnsi="Times New Roman" w:cstheme="majorBidi"/>
      <w:iCs/>
      <w:caps/>
      <w:sz w:val="20"/>
      <w:lang w:eastAsia="en-US"/>
    </w:rPr>
  </w:style>
  <w:style w:type="character" w:customStyle="1" w:styleId="Heading5Char">
    <w:name w:val="Heading 5 Char"/>
    <w:basedOn w:val="DefaultParagraphFont"/>
    <w:link w:val="Heading5"/>
    <w:uiPriority w:val="9"/>
    <w:rsid w:val="006E584C"/>
    <w:rPr>
      <w:rFonts w:ascii="Times New Roman" w:eastAsiaTheme="majorEastAsia" w:hAnsi="Times New Roman" w:cstheme="majorBidi"/>
      <w:i/>
      <w:sz w:val="24"/>
      <w:lang w:eastAsia="en-US"/>
    </w:rPr>
  </w:style>
  <w:style w:type="character" w:customStyle="1" w:styleId="Heading6Char">
    <w:name w:val="Heading 6 Char"/>
    <w:basedOn w:val="DefaultParagraphFont"/>
    <w:link w:val="Heading6"/>
    <w:uiPriority w:val="9"/>
    <w:semiHidden/>
    <w:rsid w:val="00454DE5"/>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454DE5"/>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454DE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54DE5"/>
    <w:rPr>
      <w:rFonts w:asciiTheme="majorHAnsi" w:eastAsiaTheme="majorEastAsia" w:hAnsiTheme="majorHAnsi" w:cstheme="majorBidi"/>
      <w:i/>
      <w:iCs/>
      <w:color w:val="272727" w:themeColor="text1" w:themeTint="D8"/>
      <w:sz w:val="21"/>
      <w:szCs w:val="21"/>
      <w:lang w:eastAsia="en-US"/>
    </w:rPr>
  </w:style>
  <w:style w:type="paragraph" w:styleId="BalloonText">
    <w:name w:val="Balloon Text"/>
    <w:basedOn w:val="Normal"/>
    <w:link w:val="BalloonTextChar"/>
    <w:uiPriority w:val="99"/>
    <w:semiHidden/>
    <w:unhideWhenUsed/>
    <w:rsid w:val="00DD5464"/>
    <w:rPr>
      <w:rFonts w:ascii="Tahoma" w:hAnsi="Tahoma" w:cs="Tahoma"/>
      <w:sz w:val="16"/>
      <w:szCs w:val="16"/>
    </w:rPr>
  </w:style>
  <w:style w:type="character" w:customStyle="1" w:styleId="BalloonTextChar">
    <w:name w:val="Balloon Text Char"/>
    <w:basedOn w:val="DefaultParagraphFont"/>
    <w:link w:val="BalloonText"/>
    <w:uiPriority w:val="99"/>
    <w:semiHidden/>
    <w:rsid w:val="00DD5464"/>
    <w:rPr>
      <w:rFonts w:ascii="Tahoma" w:eastAsia="Times New Roman" w:hAnsi="Tahoma" w:cs="Tahoma"/>
      <w:sz w:val="16"/>
      <w:szCs w:val="16"/>
      <w:lang w:eastAsia="en-US"/>
    </w:rPr>
  </w:style>
  <w:style w:type="paragraph" w:styleId="Header">
    <w:name w:val="header"/>
    <w:basedOn w:val="Normal"/>
    <w:link w:val="HeaderChar"/>
    <w:uiPriority w:val="99"/>
    <w:unhideWhenUsed/>
    <w:rsid w:val="00B3215F"/>
    <w:pPr>
      <w:tabs>
        <w:tab w:val="center" w:pos="4513"/>
        <w:tab w:val="right" w:pos="9026"/>
      </w:tabs>
    </w:pPr>
  </w:style>
  <w:style w:type="character" w:customStyle="1" w:styleId="HeaderChar">
    <w:name w:val="Header Char"/>
    <w:basedOn w:val="DefaultParagraphFont"/>
    <w:link w:val="Header"/>
    <w:uiPriority w:val="99"/>
    <w:rsid w:val="00B3215F"/>
    <w:rPr>
      <w:rFonts w:ascii="Calibri" w:eastAsia="Times New Roman" w:hAnsi="Calibri" w:cs="Times New Roman"/>
      <w:lang w:eastAsia="en-US"/>
    </w:rPr>
  </w:style>
  <w:style w:type="paragraph" w:styleId="Footer">
    <w:name w:val="footer"/>
    <w:basedOn w:val="Normal"/>
    <w:link w:val="FooterChar"/>
    <w:uiPriority w:val="99"/>
    <w:unhideWhenUsed/>
    <w:rsid w:val="00B3215F"/>
    <w:pPr>
      <w:tabs>
        <w:tab w:val="center" w:pos="4513"/>
        <w:tab w:val="right" w:pos="9026"/>
      </w:tabs>
    </w:pPr>
  </w:style>
  <w:style w:type="character" w:customStyle="1" w:styleId="FooterChar">
    <w:name w:val="Footer Char"/>
    <w:basedOn w:val="DefaultParagraphFont"/>
    <w:link w:val="Footer"/>
    <w:uiPriority w:val="99"/>
    <w:rsid w:val="00B3215F"/>
    <w:rPr>
      <w:rFonts w:ascii="Calibri" w:eastAsia="Times New Roman" w:hAnsi="Calibri" w:cs="Times New Roman"/>
      <w:lang w:eastAsia="en-US"/>
    </w:rPr>
  </w:style>
  <w:style w:type="character" w:styleId="CommentReference">
    <w:name w:val="annotation reference"/>
    <w:basedOn w:val="DefaultParagraphFont"/>
    <w:uiPriority w:val="99"/>
    <w:semiHidden/>
    <w:unhideWhenUsed/>
    <w:rsid w:val="00B3215F"/>
    <w:rPr>
      <w:sz w:val="16"/>
      <w:szCs w:val="16"/>
    </w:rPr>
  </w:style>
  <w:style w:type="paragraph" w:styleId="CommentText">
    <w:name w:val="annotation text"/>
    <w:basedOn w:val="Normal"/>
    <w:link w:val="CommentTextChar"/>
    <w:uiPriority w:val="99"/>
    <w:unhideWhenUsed/>
    <w:rsid w:val="00B3215F"/>
    <w:rPr>
      <w:sz w:val="20"/>
      <w:szCs w:val="20"/>
    </w:rPr>
  </w:style>
  <w:style w:type="character" w:customStyle="1" w:styleId="CommentTextChar">
    <w:name w:val="Comment Text Char"/>
    <w:basedOn w:val="DefaultParagraphFont"/>
    <w:link w:val="CommentText"/>
    <w:uiPriority w:val="99"/>
    <w:rsid w:val="00B3215F"/>
    <w:rPr>
      <w:rFonts w:ascii="Calibri" w:eastAsia="Times New Roman"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3215F"/>
    <w:rPr>
      <w:b/>
      <w:bCs/>
    </w:rPr>
  </w:style>
  <w:style w:type="character" w:customStyle="1" w:styleId="CommentSubjectChar">
    <w:name w:val="Comment Subject Char"/>
    <w:basedOn w:val="CommentTextChar"/>
    <w:link w:val="CommentSubject"/>
    <w:uiPriority w:val="99"/>
    <w:semiHidden/>
    <w:rsid w:val="00B3215F"/>
    <w:rPr>
      <w:rFonts w:ascii="Calibri" w:eastAsia="Times New Roman" w:hAnsi="Calibri" w:cs="Times New Roman"/>
      <w:b/>
      <w:bCs/>
      <w:sz w:val="20"/>
      <w:szCs w:val="20"/>
      <w:lang w:eastAsia="en-US"/>
    </w:rPr>
  </w:style>
  <w:style w:type="paragraph" w:styleId="Caption">
    <w:name w:val="caption"/>
    <w:aliases w:val="Caption for NICE"/>
    <w:basedOn w:val="Normal"/>
    <w:next w:val="Normal"/>
    <w:link w:val="CaptionChar"/>
    <w:uiPriority w:val="35"/>
    <w:unhideWhenUsed/>
    <w:qFormat/>
    <w:rsid w:val="00482A8D"/>
    <w:pPr>
      <w:spacing w:after="200"/>
    </w:pPr>
    <w:rPr>
      <w:rFonts w:ascii="Times New Roman" w:hAnsi="Times New Roman"/>
      <w:b/>
      <w:bCs/>
      <w:szCs w:val="18"/>
    </w:rPr>
  </w:style>
  <w:style w:type="character" w:customStyle="1" w:styleId="CaptionChar">
    <w:name w:val="Caption Char"/>
    <w:aliases w:val="Caption for NICE Char"/>
    <w:link w:val="Caption"/>
    <w:uiPriority w:val="35"/>
    <w:rsid w:val="00C87632"/>
    <w:rPr>
      <w:rFonts w:ascii="Times New Roman" w:eastAsia="Times New Roman" w:hAnsi="Times New Roman" w:cs="Times New Roman"/>
      <w:b/>
      <w:bCs/>
      <w:szCs w:val="18"/>
      <w:lang w:eastAsia="en-US"/>
    </w:rPr>
  </w:style>
  <w:style w:type="paragraph" w:styleId="NormalWeb">
    <w:name w:val="Normal (Web)"/>
    <w:basedOn w:val="Normal"/>
    <w:uiPriority w:val="99"/>
    <w:unhideWhenUsed/>
    <w:rsid w:val="007E5395"/>
    <w:pPr>
      <w:spacing w:before="100" w:beforeAutospacing="1" w:after="100" w:afterAutospacing="1"/>
    </w:pPr>
    <w:rPr>
      <w:rFonts w:ascii="Times New Roman" w:eastAsiaTheme="minorEastAsia" w:hAnsi="Times New Roman"/>
      <w:sz w:val="24"/>
      <w:szCs w:val="24"/>
      <w:lang w:eastAsia="en-GB"/>
    </w:rPr>
  </w:style>
  <w:style w:type="paragraph" w:styleId="Revision">
    <w:name w:val="Revision"/>
    <w:hidden/>
    <w:uiPriority w:val="99"/>
    <w:semiHidden/>
    <w:rsid w:val="003B5896"/>
    <w:pPr>
      <w:spacing w:after="0" w:line="240" w:lineRule="auto"/>
    </w:pPr>
    <w:rPr>
      <w:rFonts w:ascii="Calibri" w:eastAsia="Times New Roman" w:hAnsi="Calibri" w:cs="Times New Roman"/>
      <w:lang w:eastAsia="en-US"/>
    </w:rPr>
  </w:style>
  <w:style w:type="paragraph" w:styleId="Title">
    <w:name w:val="Title"/>
    <w:basedOn w:val="Normal"/>
    <w:next w:val="Normal"/>
    <w:link w:val="TitleChar"/>
    <w:uiPriority w:val="10"/>
    <w:qFormat/>
    <w:rsid w:val="00FB11D1"/>
    <w:pPr>
      <w:spacing w:line="360" w:lineRule="auto"/>
      <w:contextualSpacing/>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FB11D1"/>
    <w:rPr>
      <w:rFonts w:ascii="Times New Roman" w:eastAsiaTheme="majorEastAsia" w:hAnsi="Times New Roman" w:cstheme="majorBidi"/>
      <w:spacing w:val="-10"/>
      <w:kern w:val="28"/>
      <w:sz w:val="36"/>
      <w:szCs w:val="56"/>
      <w:lang w:eastAsia="en-US"/>
    </w:rPr>
  </w:style>
  <w:style w:type="paragraph" w:styleId="NoSpacing">
    <w:name w:val="No Spacing"/>
    <w:aliases w:val="Hip 'Op"/>
    <w:link w:val="NoSpacingChar"/>
    <w:uiPriority w:val="1"/>
    <w:qFormat/>
    <w:rsid w:val="000056B1"/>
    <w:pPr>
      <w:spacing w:after="0" w:line="360" w:lineRule="auto"/>
    </w:pPr>
    <w:rPr>
      <w:rFonts w:ascii="Times New Roman" w:eastAsia="Times New Roman" w:hAnsi="Times New Roman" w:cs="Times New Roman"/>
      <w:sz w:val="24"/>
      <w:lang w:eastAsia="en-US"/>
    </w:rPr>
  </w:style>
  <w:style w:type="character" w:customStyle="1" w:styleId="NoSpacingChar">
    <w:name w:val="No Spacing Char"/>
    <w:aliases w:val="Hip 'Op Char"/>
    <w:basedOn w:val="DefaultParagraphFont"/>
    <w:link w:val="NoSpacing"/>
    <w:uiPriority w:val="1"/>
    <w:rsid w:val="00515556"/>
    <w:rPr>
      <w:rFonts w:ascii="Times New Roman" w:eastAsia="Times New Roman" w:hAnsi="Times New Roman" w:cs="Times New Roman"/>
      <w:sz w:val="24"/>
      <w:lang w:eastAsia="en-US"/>
    </w:rPr>
  </w:style>
  <w:style w:type="paragraph" w:styleId="TOC5">
    <w:name w:val="toc 5"/>
    <w:basedOn w:val="Normal"/>
    <w:next w:val="Normal"/>
    <w:autoRedefine/>
    <w:uiPriority w:val="39"/>
    <w:unhideWhenUsed/>
    <w:rsid w:val="00A71425"/>
    <w:pPr>
      <w:spacing w:after="100"/>
      <w:ind w:left="880"/>
    </w:pPr>
  </w:style>
  <w:style w:type="table" w:styleId="TableGrid">
    <w:name w:val="Table Grid"/>
    <w:basedOn w:val="TableNormal"/>
    <w:uiPriority w:val="39"/>
    <w:rsid w:val="0038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CA5"/>
    <w:rPr>
      <w:color w:val="0000FF" w:themeColor="hyperlink"/>
      <w:u w:val="single"/>
    </w:rPr>
  </w:style>
  <w:style w:type="table" w:customStyle="1" w:styleId="GridTable1Light1">
    <w:name w:val="Grid Table 1 Light1"/>
    <w:basedOn w:val="TableNormal"/>
    <w:uiPriority w:val="46"/>
    <w:rsid w:val="00C55C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46792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67924"/>
    <w:rPr>
      <w:rFonts w:eastAsiaTheme="minorHAnsi"/>
      <w:sz w:val="20"/>
      <w:szCs w:val="20"/>
      <w:lang w:eastAsia="en-US"/>
    </w:rPr>
  </w:style>
  <w:style w:type="character" w:styleId="FootnoteReference">
    <w:name w:val="footnote reference"/>
    <w:basedOn w:val="DefaultParagraphFont"/>
    <w:uiPriority w:val="99"/>
    <w:semiHidden/>
    <w:unhideWhenUsed/>
    <w:rsid w:val="00467924"/>
    <w:rPr>
      <w:vertAlign w:val="superscript"/>
    </w:rPr>
  </w:style>
  <w:style w:type="paragraph" w:customStyle="1" w:styleId="Pa4">
    <w:name w:val="Pa4"/>
    <w:basedOn w:val="Normal"/>
    <w:next w:val="Normal"/>
    <w:uiPriority w:val="99"/>
    <w:rsid w:val="004D7557"/>
    <w:pPr>
      <w:autoSpaceDE w:val="0"/>
      <w:autoSpaceDN w:val="0"/>
      <w:adjustRightInd w:val="0"/>
      <w:spacing w:line="191" w:lineRule="atLeast"/>
    </w:pPr>
    <w:rPr>
      <w:rFonts w:ascii="Arial" w:eastAsiaTheme="minorHAnsi" w:hAnsi="Arial" w:cs="Arial"/>
      <w:sz w:val="24"/>
      <w:szCs w:val="24"/>
    </w:rPr>
  </w:style>
  <w:style w:type="character" w:customStyle="1" w:styleId="A9">
    <w:name w:val="A9"/>
    <w:uiPriority w:val="99"/>
    <w:rsid w:val="004D7557"/>
    <w:rPr>
      <w:color w:val="000000"/>
      <w:sz w:val="22"/>
      <w:szCs w:val="22"/>
    </w:rPr>
  </w:style>
  <w:style w:type="paragraph" w:styleId="EndnoteText">
    <w:name w:val="endnote text"/>
    <w:basedOn w:val="Normal"/>
    <w:link w:val="EndnoteTextChar"/>
    <w:uiPriority w:val="99"/>
    <w:semiHidden/>
    <w:unhideWhenUsed/>
    <w:rsid w:val="00835A7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835A7D"/>
    <w:rPr>
      <w:rFonts w:eastAsiaTheme="minorHAnsi"/>
      <w:sz w:val="20"/>
      <w:szCs w:val="20"/>
      <w:lang w:eastAsia="en-US"/>
    </w:rPr>
  </w:style>
  <w:style w:type="character" w:styleId="EndnoteReference">
    <w:name w:val="endnote reference"/>
    <w:basedOn w:val="DefaultParagraphFont"/>
    <w:uiPriority w:val="99"/>
    <w:semiHidden/>
    <w:unhideWhenUsed/>
    <w:rsid w:val="00835A7D"/>
    <w:rPr>
      <w:vertAlign w:val="superscript"/>
    </w:rPr>
  </w:style>
  <w:style w:type="character" w:customStyle="1" w:styleId="slug-vol">
    <w:name w:val="slug-vol"/>
    <w:basedOn w:val="DefaultParagraphFont"/>
    <w:rsid w:val="00835A7D"/>
    <w:rPr>
      <w:b/>
      <w:bCs/>
    </w:rPr>
  </w:style>
  <w:style w:type="character" w:customStyle="1" w:styleId="cit-sep1">
    <w:name w:val="cit-sep1"/>
    <w:basedOn w:val="DefaultParagraphFont"/>
    <w:rsid w:val="007C133E"/>
    <w:rPr>
      <w:b w:val="0"/>
      <w:bCs w:val="0"/>
    </w:rPr>
  </w:style>
  <w:style w:type="character" w:customStyle="1" w:styleId="slug-pub-date3">
    <w:name w:val="slug-pub-date3"/>
    <w:basedOn w:val="DefaultParagraphFont"/>
    <w:rsid w:val="007C133E"/>
    <w:rPr>
      <w:b w:val="0"/>
      <w:bCs w:val="0"/>
    </w:rPr>
  </w:style>
  <w:style w:type="character" w:customStyle="1" w:styleId="slug-pages3">
    <w:name w:val="slug-pages3"/>
    <w:basedOn w:val="DefaultParagraphFont"/>
    <w:rsid w:val="007C133E"/>
    <w:rPr>
      <w:b w:val="0"/>
      <w:bCs w:val="0"/>
    </w:rPr>
  </w:style>
  <w:style w:type="character" w:customStyle="1" w:styleId="slug-doi2">
    <w:name w:val="slug-doi2"/>
    <w:basedOn w:val="DefaultParagraphFont"/>
    <w:rsid w:val="007C133E"/>
  </w:style>
  <w:style w:type="character" w:styleId="Emphasis">
    <w:name w:val="Emphasis"/>
    <w:basedOn w:val="DefaultParagraphFont"/>
    <w:uiPriority w:val="20"/>
    <w:qFormat/>
    <w:rsid w:val="00A07745"/>
    <w:rPr>
      <w:b/>
      <w:bCs/>
      <w:i w:val="0"/>
      <w:iCs w:val="0"/>
    </w:rPr>
  </w:style>
  <w:style w:type="character" w:customStyle="1" w:styleId="st1">
    <w:name w:val="st1"/>
    <w:basedOn w:val="DefaultParagraphFont"/>
    <w:rsid w:val="00A07745"/>
  </w:style>
  <w:style w:type="character" w:styleId="SubtleReference">
    <w:name w:val="Subtle Reference"/>
    <w:aliases w:val="Hip 'Op Subtle Reference"/>
    <w:basedOn w:val="DefaultParagraphFont"/>
    <w:uiPriority w:val="31"/>
    <w:qFormat/>
    <w:rsid w:val="00A203E5"/>
    <w:rPr>
      <w:rFonts w:ascii="Times New Roman" w:hAnsi="Times New Roman"/>
      <w:smallCaps/>
      <w:color w:val="auto"/>
      <w:sz w:val="22"/>
    </w:rPr>
  </w:style>
  <w:style w:type="paragraph" w:styleId="TableofFigures">
    <w:name w:val="table of figures"/>
    <w:basedOn w:val="Normal"/>
    <w:next w:val="Normal"/>
    <w:uiPriority w:val="99"/>
    <w:unhideWhenUsed/>
    <w:rsid w:val="00352615"/>
  </w:style>
  <w:style w:type="paragraph" w:customStyle="1" w:styleId="EndNoteBibliographyTitle">
    <w:name w:val="EndNote Bibliography Title"/>
    <w:basedOn w:val="Normal"/>
    <w:link w:val="EndNoteBibliographyTitleChar"/>
    <w:rsid w:val="00515556"/>
    <w:pPr>
      <w:jc w:val="center"/>
    </w:pPr>
    <w:rPr>
      <w:rFonts w:ascii="Times New Roman" w:hAnsi="Times New Roman"/>
      <w:noProof/>
      <w:sz w:val="24"/>
      <w:lang w:val="en-US"/>
    </w:rPr>
  </w:style>
  <w:style w:type="character" w:customStyle="1" w:styleId="EndNoteBibliographyTitleChar">
    <w:name w:val="EndNote Bibliography Title Char"/>
    <w:basedOn w:val="NoSpacingChar"/>
    <w:link w:val="EndNoteBibliographyTitle"/>
    <w:rsid w:val="00515556"/>
    <w:rPr>
      <w:rFonts w:ascii="Times New Roman" w:eastAsia="Times New Roman" w:hAnsi="Times New Roman" w:cs="Times New Roman"/>
      <w:noProof/>
      <w:sz w:val="24"/>
      <w:lang w:val="en-US" w:eastAsia="en-US"/>
    </w:rPr>
  </w:style>
  <w:style w:type="paragraph" w:customStyle="1" w:styleId="EndNoteBibliography">
    <w:name w:val="EndNote Bibliography"/>
    <w:basedOn w:val="Normal"/>
    <w:link w:val="EndNoteBibliographyChar"/>
    <w:rsid w:val="00515556"/>
    <w:rPr>
      <w:rFonts w:ascii="Times New Roman" w:hAnsi="Times New Roman"/>
      <w:noProof/>
      <w:sz w:val="24"/>
      <w:lang w:val="en-US"/>
    </w:rPr>
  </w:style>
  <w:style w:type="character" w:customStyle="1" w:styleId="EndNoteBibliographyChar">
    <w:name w:val="EndNote Bibliography Char"/>
    <w:basedOn w:val="NoSpacingChar"/>
    <w:link w:val="EndNoteBibliography"/>
    <w:rsid w:val="00515556"/>
    <w:rPr>
      <w:rFonts w:ascii="Times New Roman" w:eastAsia="Times New Roman" w:hAnsi="Times New Roman" w:cs="Times New Roman"/>
      <w:noProof/>
      <w:sz w:val="24"/>
      <w:lang w:val="en-US" w:eastAsia="en-US"/>
    </w:rPr>
  </w:style>
  <w:style w:type="paragraph" w:customStyle="1" w:styleId="TableParagraph">
    <w:name w:val="Table Paragraph"/>
    <w:basedOn w:val="Normal"/>
    <w:uiPriority w:val="1"/>
    <w:qFormat/>
    <w:rsid w:val="00F6310D"/>
    <w:pPr>
      <w:widowControl w:val="0"/>
    </w:pPr>
    <w:rPr>
      <w:rFonts w:asciiTheme="minorHAnsi" w:eastAsiaTheme="minorHAnsi" w:hAnsiTheme="minorHAnsi" w:cstheme="minorBidi"/>
      <w:lang w:val="en-US"/>
    </w:rPr>
  </w:style>
  <w:style w:type="paragraph" w:customStyle="1" w:styleId="Default">
    <w:name w:val="Default"/>
    <w:link w:val="DefaultChar"/>
    <w:rsid w:val="009C70EB"/>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DefaultChar">
    <w:name w:val="Default Char"/>
    <w:basedOn w:val="DefaultParagraphFont"/>
    <w:link w:val="Default"/>
    <w:rsid w:val="009C70EB"/>
    <w:rPr>
      <w:rFonts w:ascii="Calibri" w:eastAsiaTheme="minorHAnsi" w:hAnsi="Calibri" w:cs="Calibri"/>
      <w:color w:val="000000"/>
      <w:sz w:val="24"/>
      <w:szCs w:val="24"/>
      <w:lang w:eastAsia="en-US"/>
    </w:rPr>
  </w:style>
  <w:style w:type="table" w:customStyle="1" w:styleId="TableGrid1">
    <w:name w:val="Table Grid1"/>
    <w:basedOn w:val="TableNormal"/>
    <w:next w:val="TableGrid"/>
    <w:uiPriority w:val="39"/>
    <w:rsid w:val="00461B4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1B4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E4EF0"/>
    <w:pPr>
      <w:spacing w:after="120"/>
    </w:pPr>
    <w:rPr>
      <w:sz w:val="16"/>
      <w:szCs w:val="16"/>
    </w:rPr>
  </w:style>
  <w:style w:type="character" w:customStyle="1" w:styleId="BodyText3Char">
    <w:name w:val="Body Text 3 Char"/>
    <w:basedOn w:val="DefaultParagraphFont"/>
    <w:link w:val="BodyText3"/>
    <w:uiPriority w:val="99"/>
    <w:semiHidden/>
    <w:rsid w:val="00BE4EF0"/>
    <w:rPr>
      <w:rFonts w:ascii="Calibri" w:eastAsia="Times New Roman" w:hAnsi="Calibri" w:cs="Times New Roman"/>
      <w:sz w:val="16"/>
      <w:szCs w:val="16"/>
      <w:lang w:eastAsia="en-US"/>
    </w:rPr>
  </w:style>
  <w:style w:type="character" w:styleId="PlaceholderText">
    <w:name w:val="Placeholder Text"/>
    <w:basedOn w:val="DefaultParagraphFont"/>
    <w:uiPriority w:val="99"/>
    <w:semiHidden/>
    <w:rsid w:val="00E41993"/>
    <w:rPr>
      <w:color w:val="808080"/>
    </w:rPr>
  </w:style>
  <w:style w:type="paragraph" w:styleId="TOC1">
    <w:name w:val="toc 1"/>
    <w:basedOn w:val="Normal"/>
    <w:uiPriority w:val="39"/>
    <w:qFormat/>
    <w:rsid w:val="00F35D0A"/>
    <w:pPr>
      <w:widowControl w:val="0"/>
      <w:spacing w:before="120"/>
      <w:ind w:left="112"/>
    </w:pPr>
    <w:rPr>
      <w:rFonts w:eastAsia="Calibri" w:cstheme="minorBidi"/>
      <w:b/>
      <w:bCs/>
      <w:sz w:val="24"/>
      <w:szCs w:val="24"/>
      <w:lang w:val="en-US"/>
    </w:rPr>
  </w:style>
  <w:style w:type="paragraph" w:styleId="TOC2">
    <w:name w:val="toc 2"/>
    <w:basedOn w:val="Normal"/>
    <w:uiPriority w:val="39"/>
    <w:qFormat/>
    <w:rsid w:val="00F35D0A"/>
    <w:pPr>
      <w:widowControl w:val="0"/>
      <w:spacing w:before="120"/>
      <w:ind w:left="539" w:hanging="427"/>
    </w:pPr>
    <w:rPr>
      <w:rFonts w:eastAsia="Calibri" w:cstheme="minorBidi"/>
      <w:b/>
      <w:bCs/>
      <w:sz w:val="20"/>
      <w:szCs w:val="20"/>
      <w:lang w:val="en-US"/>
    </w:rPr>
  </w:style>
  <w:style w:type="character" w:styleId="Strong">
    <w:name w:val="Strong"/>
    <w:basedOn w:val="DefaultParagraphFont"/>
    <w:uiPriority w:val="22"/>
    <w:qFormat/>
    <w:rsid w:val="00C87632"/>
    <w:rPr>
      <w:b/>
      <w:bCs/>
    </w:rPr>
  </w:style>
  <w:style w:type="character" w:customStyle="1" w:styleId="UnresolvedMention1">
    <w:name w:val="Unresolved Mention1"/>
    <w:basedOn w:val="DefaultParagraphFont"/>
    <w:uiPriority w:val="99"/>
    <w:semiHidden/>
    <w:unhideWhenUsed/>
    <w:rsid w:val="00C87632"/>
    <w:rPr>
      <w:color w:val="808080"/>
      <w:shd w:val="clear" w:color="auto" w:fill="E6E6E6"/>
    </w:rPr>
  </w:style>
  <w:style w:type="character" w:customStyle="1" w:styleId="ilfuvd">
    <w:name w:val="ilfuvd"/>
    <w:basedOn w:val="DefaultParagraphFont"/>
    <w:rsid w:val="00C87632"/>
  </w:style>
  <w:style w:type="paragraph" w:styleId="HTMLPreformatted">
    <w:name w:val="HTML Preformatted"/>
    <w:basedOn w:val="Normal"/>
    <w:link w:val="HTMLPreformattedChar"/>
    <w:uiPriority w:val="99"/>
    <w:semiHidden/>
    <w:unhideWhenUsed/>
    <w:rsid w:val="00B8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827E1"/>
    <w:rPr>
      <w:rFonts w:ascii="Courier New" w:eastAsia="Times New Roman" w:hAnsi="Courier New" w:cs="Courier New"/>
      <w:sz w:val="20"/>
      <w:szCs w:val="20"/>
      <w:lang w:eastAsia="en-GB"/>
    </w:rPr>
  </w:style>
  <w:style w:type="character" w:customStyle="1" w:styleId="gnkrckgcgsb">
    <w:name w:val="gnkrckgcgsb"/>
    <w:basedOn w:val="DefaultParagraphFont"/>
    <w:rsid w:val="00B827E1"/>
  </w:style>
  <w:style w:type="paragraph" w:styleId="TOCHeading">
    <w:name w:val="TOC Heading"/>
    <w:basedOn w:val="Heading1"/>
    <w:next w:val="Normal"/>
    <w:uiPriority w:val="39"/>
    <w:unhideWhenUsed/>
    <w:qFormat/>
    <w:rsid w:val="002050F5"/>
    <w:pPr>
      <w:numPr>
        <w:numId w:val="0"/>
      </w:numPr>
      <w:spacing w:before="240" w:line="259" w:lineRule="auto"/>
      <w:outlineLvl w:val="9"/>
    </w:pPr>
    <w:rPr>
      <w:rFonts w:asciiTheme="majorHAnsi" w:hAnsiTheme="majorHAnsi"/>
      <w:b w:val="0"/>
      <w:bCs w:val="0"/>
      <w:color w:val="365F91" w:themeColor="accent1" w:themeShade="BF"/>
      <w:szCs w:val="32"/>
      <w:lang w:val="en-US"/>
    </w:rPr>
  </w:style>
  <w:style w:type="paragraph" w:styleId="TOC3">
    <w:name w:val="toc 3"/>
    <w:basedOn w:val="Normal"/>
    <w:next w:val="Normal"/>
    <w:autoRedefine/>
    <w:uiPriority w:val="39"/>
    <w:unhideWhenUsed/>
    <w:rsid w:val="002050F5"/>
    <w:pPr>
      <w:spacing w:after="100"/>
      <w:ind w:left="440"/>
    </w:pPr>
  </w:style>
  <w:style w:type="paragraph" w:styleId="TOC4">
    <w:name w:val="toc 4"/>
    <w:basedOn w:val="Normal"/>
    <w:next w:val="Normal"/>
    <w:autoRedefine/>
    <w:uiPriority w:val="39"/>
    <w:unhideWhenUsed/>
    <w:rsid w:val="002050F5"/>
    <w:pPr>
      <w:spacing w:after="100" w:line="259" w:lineRule="auto"/>
      <w:ind w:left="66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2050F5"/>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2050F5"/>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2050F5"/>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2050F5"/>
    <w:pPr>
      <w:spacing w:after="100" w:line="259" w:lineRule="auto"/>
      <w:ind w:left="1760"/>
    </w:pPr>
    <w:rPr>
      <w:rFonts w:asciiTheme="minorHAnsi" w:eastAsiaTheme="minorEastAsia" w:hAnsiTheme="minorHAnsi" w:cstheme="minorBidi"/>
      <w:lang w:eastAsia="en-GB"/>
    </w:rPr>
  </w:style>
  <w:style w:type="table" w:customStyle="1" w:styleId="TableGrid2">
    <w:name w:val="Table Grid2"/>
    <w:basedOn w:val="TableNormal"/>
    <w:next w:val="TableGrid"/>
    <w:uiPriority w:val="59"/>
    <w:rsid w:val="00F34B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5D0704"/>
    <w:pPr>
      <w:spacing w:after="0" w:line="240" w:lineRule="auto"/>
    </w:pPr>
    <w:rPr>
      <w:rFonts w:eastAsiaTheme="minorHAns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860B1"/>
    <w:rPr>
      <w:color w:val="808080"/>
      <w:shd w:val="clear" w:color="auto" w:fill="E6E6E6"/>
    </w:rPr>
  </w:style>
  <w:style w:type="paragraph" w:styleId="PlainText">
    <w:name w:val="Plain Text"/>
    <w:basedOn w:val="Normal"/>
    <w:link w:val="PlainTextChar"/>
    <w:uiPriority w:val="99"/>
    <w:unhideWhenUsed/>
    <w:rsid w:val="005C71AA"/>
    <w:rPr>
      <w:rFonts w:eastAsiaTheme="minorHAnsi"/>
    </w:rPr>
  </w:style>
  <w:style w:type="character" w:customStyle="1" w:styleId="PlainTextChar">
    <w:name w:val="Plain Text Char"/>
    <w:basedOn w:val="DefaultParagraphFont"/>
    <w:link w:val="PlainText"/>
    <w:uiPriority w:val="99"/>
    <w:rsid w:val="005C71AA"/>
    <w:rPr>
      <w:rFonts w:ascii="Calibri" w:eastAsiaTheme="minorHAnsi" w:hAnsi="Calibri" w:cs="Times New Roman"/>
      <w:lang w:eastAsia="en-US"/>
    </w:rPr>
  </w:style>
  <w:style w:type="character" w:customStyle="1" w:styleId="refauthors">
    <w:name w:val="refauthors"/>
    <w:basedOn w:val="DefaultParagraphFont"/>
    <w:rsid w:val="00656A33"/>
  </w:style>
  <w:style w:type="character" w:customStyle="1" w:styleId="apple-converted-space">
    <w:name w:val="apple-converted-space"/>
    <w:basedOn w:val="DefaultParagraphFont"/>
    <w:rsid w:val="00656A33"/>
  </w:style>
  <w:style w:type="character" w:customStyle="1" w:styleId="reftitle">
    <w:name w:val="reftitle"/>
    <w:basedOn w:val="DefaultParagraphFont"/>
    <w:rsid w:val="00656A33"/>
  </w:style>
  <w:style w:type="character" w:customStyle="1" w:styleId="refseriestitle">
    <w:name w:val="refseriestitle"/>
    <w:basedOn w:val="DefaultParagraphFont"/>
    <w:rsid w:val="00656A33"/>
  </w:style>
  <w:style w:type="character" w:customStyle="1" w:styleId="refseriesdate">
    <w:name w:val="refseriesdate"/>
    <w:basedOn w:val="DefaultParagraphFont"/>
    <w:rsid w:val="00656A33"/>
  </w:style>
  <w:style w:type="character" w:customStyle="1" w:styleId="refseriesvolume">
    <w:name w:val="refseriesvolume"/>
    <w:basedOn w:val="DefaultParagraphFont"/>
    <w:rsid w:val="00656A33"/>
  </w:style>
  <w:style w:type="character" w:customStyle="1" w:styleId="refpages">
    <w:name w:val="refpages"/>
    <w:basedOn w:val="DefaultParagraphFont"/>
    <w:rsid w:val="00656A33"/>
  </w:style>
  <w:style w:type="character" w:customStyle="1" w:styleId="refcomment">
    <w:name w:val="refcomment"/>
    <w:basedOn w:val="DefaultParagraphFont"/>
    <w:rsid w:val="00656A33"/>
  </w:style>
  <w:style w:type="character" w:customStyle="1" w:styleId="refdate">
    <w:name w:val="refdate"/>
    <w:basedOn w:val="DefaultParagraphFont"/>
    <w:rsid w:val="00656A33"/>
  </w:style>
  <w:style w:type="character" w:customStyle="1" w:styleId="UnresolvedMention3">
    <w:name w:val="Unresolved Mention3"/>
    <w:basedOn w:val="DefaultParagraphFont"/>
    <w:uiPriority w:val="99"/>
    <w:semiHidden/>
    <w:unhideWhenUsed/>
    <w:rsid w:val="00991719"/>
    <w:rPr>
      <w:color w:val="605E5C"/>
      <w:shd w:val="clear" w:color="auto" w:fill="E1DFDD"/>
    </w:rPr>
  </w:style>
  <w:style w:type="character" w:customStyle="1" w:styleId="UnresolvedMention4">
    <w:name w:val="Unresolved Mention4"/>
    <w:basedOn w:val="DefaultParagraphFont"/>
    <w:uiPriority w:val="99"/>
    <w:semiHidden/>
    <w:unhideWhenUsed/>
    <w:rsid w:val="009126F7"/>
    <w:rPr>
      <w:color w:val="605E5C"/>
      <w:shd w:val="clear" w:color="auto" w:fill="E1DFDD"/>
    </w:rPr>
  </w:style>
  <w:style w:type="character" w:customStyle="1" w:styleId="UnresolvedMention5">
    <w:name w:val="Unresolved Mention5"/>
    <w:basedOn w:val="DefaultParagraphFont"/>
    <w:uiPriority w:val="99"/>
    <w:semiHidden/>
    <w:unhideWhenUsed/>
    <w:rsid w:val="00D6205D"/>
    <w:rPr>
      <w:color w:val="605E5C"/>
      <w:shd w:val="clear" w:color="auto" w:fill="E1DFDD"/>
    </w:rPr>
  </w:style>
  <w:style w:type="character" w:customStyle="1" w:styleId="UnresolvedMention6">
    <w:name w:val="Unresolved Mention6"/>
    <w:basedOn w:val="DefaultParagraphFont"/>
    <w:uiPriority w:val="99"/>
    <w:semiHidden/>
    <w:unhideWhenUsed/>
    <w:rsid w:val="0035596F"/>
    <w:rPr>
      <w:color w:val="605E5C"/>
      <w:shd w:val="clear" w:color="auto" w:fill="E1DFDD"/>
    </w:rPr>
  </w:style>
  <w:style w:type="character" w:styleId="PageNumber">
    <w:name w:val="page number"/>
    <w:basedOn w:val="DefaultParagraphFont"/>
    <w:uiPriority w:val="99"/>
    <w:semiHidden/>
    <w:unhideWhenUsed/>
    <w:rsid w:val="0002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350">
      <w:bodyDiv w:val="1"/>
      <w:marLeft w:val="0"/>
      <w:marRight w:val="0"/>
      <w:marTop w:val="0"/>
      <w:marBottom w:val="0"/>
      <w:divBdr>
        <w:top w:val="none" w:sz="0" w:space="0" w:color="auto"/>
        <w:left w:val="none" w:sz="0" w:space="0" w:color="auto"/>
        <w:bottom w:val="none" w:sz="0" w:space="0" w:color="auto"/>
        <w:right w:val="none" w:sz="0" w:space="0" w:color="auto"/>
      </w:divBdr>
    </w:div>
    <w:div w:id="55399186">
      <w:bodyDiv w:val="1"/>
      <w:marLeft w:val="0"/>
      <w:marRight w:val="0"/>
      <w:marTop w:val="0"/>
      <w:marBottom w:val="0"/>
      <w:divBdr>
        <w:top w:val="none" w:sz="0" w:space="0" w:color="auto"/>
        <w:left w:val="none" w:sz="0" w:space="0" w:color="auto"/>
        <w:bottom w:val="none" w:sz="0" w:space="0" w:color="auto"/>
        <w:right w:val="none" w:sz="0" w:space="0" w:color="auto"/>
      </w:divBdr>
    </w:div>
    <w:div w:id="78527320">
      <w:bodyDiv w:val="1"/>
      <w:marLeft w:val="0"/>
      <w:marRight w:val="0"/>
      <w:marTop w:val="0"/>
      <w:marBottom w:val="0"/>
      <w:divBdr>
        <w:top w:val="none" w:sz="0" w:space="0" w:color="auto"/>
        <w:left w:val="none" w:sz="0" w:space="0" w:color="auto"/>
        <w:bottom w:val="none" w:sz="0" w:space="0" w:color="auto"/>
        <w:right w:val="none" w:sz="0" w:space="0" w:color="auto"/>
      </w:divBdr>
    </w:div>
    <w:div w:id="86662592">
      <w:bodyDiv w:val="1"/>
      <w:marLeft w:val="0"/>
      <w:marRight w:val="0"/>
      <w:marTop w:val="0"/>
      <w:marBottom w:val="0"/>
      <w:divBdr>
        <w:top w:val="none" w:sz="0" w:space="0" w:color="auto"/>
        <w:left w:val="none" w:sz="0" w:space="0" w:color="auto"/>
        <w:bottom w:val="none" w:sz="0" w:space="0" w:color="auto"/>
        <w:right w:val="none" w:sz="0" w:space="0" w:color="auto"/>
      </w:divBdr>
    </w:div>
    <w:div w:id="134565015">
      <w:bodyDiv w:val="1"/>
      <w:marLeft w:val="0"/>
      <w:marRight w:val="0"/>
      <w:marTop w:val="0"/>
      <w:marBottom w:val="0"/>
      <w:divBdr>
        <w:top w:val="none" w:sz="0" w:space="0" w:color="auto"/>
        <w:left w:val="none" w:sz="0" w:space="0" w:color="auto"/>
        <w:bottom w:val="none" w:sz="0" w:space="0" w:color="auto"/>
        <w:right w:val="none" w:sz="0" w:space="0" w:color="auto"/>
      </w:divBdr>
    </w:div>
    <w:div w:id="151143285">
      <w:bodyDiv w:val="1"/>
      <w:marLeft w:val="0"/>
      <w:marRight w:val="0"/>
      <w:marTop w:val="0"/>
      <w:marBottom w:val="0"/>
      <w:divBdr>
        <w:top w:val="none" w:sz="0" w:space="0" w:color="auto"/>
        <w:left w:val="none" w:sz="0" w:space="0" w:color="auto"/>
        <w:bottom w:val="none" w:sz="0" w:space="0" w:color="auto"/>
        <w:right w:val="none" w:sz="0" w:space="0" w:color="auto"/>
      </w:divBdr>
    </w:div>
    <w:div w:id="199586160">
      <w:bodyDiv w:val="1"/>
      <w:marLeft w:val="0"/>
      <w:marRight w:val="0"/>
      <w:marTop w:val="0"/>
      <w:marBottom w:val="0"/>
      <w:divBdr>
        <w:top w:val="none" w:sz="0" w:space="0" w:color="auto"/>
        <w:left w:val="none" w:sz="0" w:space="0" w:color="auto"/>
        <w:bottom w:val="none" w:sz="0" w:space="0" w:color="auto"/>
        <w:right w:val="none" w:sz="0" w:space="0" w:color="auto"/>
      </w:divBdr>
    </w:div>
    <w:div w:id="200096632">
      <w:bodyDiv w:val="1"/>
      <w:marLeft w:val="0"/>
      <w:marRight w:val="0"/>
      <w:marTop w:val="0"/>
      <w:marBottom w:val="0"/>
      <w:divBdr>
        <w:top w:val="none" w:sz="0" w:space="0" w:color="auto"/>
        <w:left w:val="none" w:sz="0" w:space="0" w:color="auto"/>
        <w:bottom w:val="none" w:sz="0" w:space="0" w:color="auto"/>
        <w:right w:val="none" w:sz="0" w:space="0" w:color="auto"/>
      </w:divBdr>
    </w:div>
    <w:div w:id="221603136">
      <w:bodyDiv w:val="1"/>
      <w:marLeft w:val="0"/>
      <w:marRight w:val="0"/>
      <w:marTop w:val="0"/>
      <w:marBottom w:val="0"/>
      <w:divBdr>
        <w:top w:val="none" w:sz="0" w:space="0" w:color="auto"/>
        <w:left w:val="none" w:sz="0" w:space="0" w:color="auto"/>
        <w:bottom w:val="none" w:sz="0" w:space="0" w:color="auto"/>
        <w:right w:val="none" w:sz="0" w:space="0" w:color="auto"/>
      </w:divBdr>
    </w:div>
    <w:div w:id="222059985">
      <w:bodyDiv w:val="1"/>
      <w:marLeft w:val="0"/>
      <w:marRight w:val="0"/>
      <w:marTop w:val="0"/>
      <w:marBottom w:val="0"/>
      <w:divBdr>
        <w:top w:val="none" w:sz="0" w:space="0" w:color="auto"/>
        <w:left w:val="none" w:sz="0" w:space="0" w:color="auto"/>
        <w:bottom w:val="none" w:sz="0" w:space="0" w:color="auto"/>
        <w:right w:val="none" w:sz="0" w:space="0" w:color="auto"/>
      </w:divBdr>
    </w:div>
    <w:div w:id="265893688">
      <w:bodyDiv w:val="1"/>
      <w:marLeft w:val="0"/>
      <w:marRight w:val="0"/>
      <w:marTop w:val="0"/>
      <w:marBottom w:val="0"/>
      <w:divBdr>
        <w:top w:val="none" w:sz="0" w:space="0" w:color="auto"/>
        <w:left w:val="none" w:sz="0" w:space="0" w:color="auto"/>
        <w:bottom w:val="none" w:sz="0" w:space="0" w:color="auto"/>
        <w:right w:val="none" w:sz="0" w:space="0" w:color="auto"/>
      </w:divBdr>
    </w:div>
    <w:div w:id="310015533">
      <w:bodyDiv w:val="1"/>
      <w:marLeft w:val="0"/>
      <w:marRight w:val="0"/>
      <w:marTop w:val="0"/>
      <w:marBottom w:val="0"/>
      <w:divBdr>
        <w:top w:val="none" w:sz="0" w:space="0" w:color="auto"/>
        <w:left w:val="none" w:sz="0" w:space="0" w:color="auto"/>
        <w:bottom w:val="none" w:sz="0" w:space="0" w:color="auto"/>
        <w:right w:val="none" w:sz="0" w:space="0" w:color="auto"/>
      </w:divBdr>
    </w:div>
    <w:div w:id="319501247">
      <w:bodyDiv w:val="1"/>
      <w:marLeft w:val="0"/>
      <w:marRight w:val="0"/>
      <w:marTop w:val="0"/>
      <w:marBottom w:val="0"/>
      <w:divBdr>
        <w:top w:val="none" w:sz="0" w:space="0" w:color="auto"/>
        <w:left w:val="none" w:sz="0" w:space="0" w:color="auto"/>
        <w:bottom w:val="none" w:sz="0" w:space="0" w:color="auto"/>
        <w:right w:val="none" w:sz="0" w:space="0" w:color="auto"/>
      </w:divBdr>
    </w:div>
    <w:div w:id="322322949">
      <w:bodyDiv w:val="1"/>
      <w:marLeft w:val="0"/>
      <w:marRight w:val="0"/>
      <w:marTop w:val="0"/>
      <w:marBottom w:val="0"/>
      <w:divBdr>
        <w:top w:val="none" w:sz="0" w:space="0" w:color="auto"/>
        <w:left w:val="none" w:sz="0" w:space="0" w:color="auto"/>
        <w:bottom w:val="none" w:sz="0" w:space="0" w:color="auto"/>
        <w:right w:val="none" w:sz="0" w:space="0" w:color="auto"/>
      </w:divBdr>
      <w:divsChild>
        <w:div w:id="228613911">
          <w:marLeft w:val="0"/>
          <w:marRight w:val="0"/>
          <w:marTop w:val="166"/>
          <w:marBottom w:val="166"/>
          <w:divBdr>
            <w:top w:val="none" w:sz="0" w:space="0" w:color="auto"/>
            <w:left w:val="none" w:sz="0" w:space="0" w:color="auto"/>
            <w:bottom w:val="none" w:sz="0" w:space="0" w:color="auto"/>
            <w:right w:val="none" w:sz="0" w:space="0" w:color="auto"/>
          </w:divBdr>
          <w:divsChild>
            <w:div w:id="2111974884">
              <w:marLeft w:val="0"/>
              <w:marRight w:val="0"/>
              <w:marTop w:val="0"/>
              <w:marBottom w:val="0"/>
              <w:divBdr>
                <w:top w:val="none" w:sz="0" w:space="0" w:color="auto"/>
                <w:left w:val="none" w:sz="0" w:space="0" w:color="auto"/>
                <w:bottom w:val="none" w:sz="0" w:space="0" w:color="auto"/>
                <w:right w:val="none" w:sz="0" w:space="0" w:color="auto"/>
              </w:divBdr>
              <w:divsChild>
                <w:div w:id="1994600341">
                  <w:marLeft w:val="0"/>
                  <w:marRight w:val="0"/>
                  <w:marTop w:val="166"/>
                  <w:marBottom w:val="166"/>
                  <w:divBdr>
                    <w:top w:val="none" w:sz="0" w:space="0" w:color="auto"/>
                    <w:left w:val="none" w:sz="0" w:space="0" w:color="auto"/>
                    <w:bottom w:val="none" w:sz="0" w:space="0" w:color="auto"/>
                    <w:right w:val="none" w:sz="0" w:space="0" w:color="auto"/>
                  </w:divBdr>
                  <w:divsChild>
                    <w:div w:id="767576626">
                      <w:marLeft w:val="0"/>
                      <w:marRight w:val="0"/>
                      <w:marTop w:val="166"/>
                      <w:marBottom w:val="166"/>
                      <w:divBdr>
                        <w:top w:val="none" w:sz="0" w:space="0" w:color="auto"/>
                        <w:left w:val="none" w:sz="0" w:space="0" w:color="auto"/>
                        <w:bottom w:val="none" w:sz="0" w:space="0" w:color="auto"/>
                        <w:right w:val="none" w:sz="0" w:space="0" w:color="auto"/>
                      </w:divBdr>
                      <w:divsChild>
                        <w:div w:id="64304389">
                          <w:marLeft w:val="0"/>
                          <w:marRight w:val="0"/>
                          <w:marTop w:val="0"/>
                          <w:marBottom w:val="0"/>
                          <w:divBdr>
                            <w:top w:val="none" w:sz="0" w:space="0" w:color="auto"/>
                            <w:left w:val="none" w:sz="0" w:space="0" w:color="auto"/>
                            <w:bottom w:val="none" w:sz="0" w:space="0" w:color="auto"/>
                            <w:right w:val="none" w:sz="0" w:space="0" w:color="auto"/>
                          </w:divBdr>
                        </w:div>
                        <w:div w:id="305740230">
                          <w:marLeft w:val="0"/>
                          <w:marRight w:val="0"/>
                          <w:marTop w:val="0"/>
                          <w:marBottom w:val="0"/>
                          <w:divBdr>
                            <w:top w:val="none" w:sz="0" w:space="0" w:color="auto"/>
                            <w:left w:val="none" w:sz="0" w:space="0" w:color="auto"/>
                            <w:bottom w:val="none" w:sz="0" w:space="0" w:color="auto"/>
                            <w:right w:val="none" w:sz="0" w:space="0" w:color="auto"/>
                          </w:divBdr>
                        </w:div>
                        <w:div w:id="378672108">
                          <w:marLeft w:val="0"/>
                          <w:marRight w:val="0"/>
                          <w:marTop w:val="0"/>
                          <w:marBottom w:val="0"/>
                          <w:divBdr>
                            <w:top w:val="none" w:sz="0" w:space="0" w:color="auto"/>
                            <w:left w:val="none" w:sz="0" w:space="0" w:color="auto"/>
                            <w:bottom w:val="none" w:sz="0" w:space="0" w:color="auto"/>
                            <w:right w:val="none" w:sz="0" w:space="0" w:color="auto"/>
                          </w:divBdr>
                        </w:div>
                        <w:div w:id="502162635">
                          <w:marLeft w:val="0"/>
                          <w:marRight w:val="0"/>
                          <w:marTop w:val="0"/>
                          <w:marBottom w:val="0"/>
                          <w:divBdr>
                            <w:top w:val="none" w:sz="0" w:space="0" w:color="auto"/>
                            <w:left w:val="none" w:sz="0" w:space="0" w:color="auto"/>
                            <w:bottom w:val="none" w:sz="0" w:space="0" w:color="auto"/>
                            <w:right w:val="none" w:sz="0" w:space="0" w:color="auto"/>
                          </w:divBdr>
                        </w:div>
                        <w:div w:id="677074708">
                          <w:marLeft w:val="0"/>
                          <w:marRight w:val="0"/>
                          <w:marTop w:val="0"/>
                          <w:marBottom w:val="0"/>
                          <w:divBdr>
                            <w:top w:val="none" w:sz="0" w:space="0" w:color="auto"/>
                            <w:left w:val="none" w:sz="0" w:space="0" w:color="auto"/>
                            <w:bottom w:val="none" w:sz="0" w:space="0" w:color="auto"/>
                            <w:right w:val="none" w:sz="0" w:space="0" w:color="auto"/>
                          </w:divBdr>
                        </w:div>
                        <w:div w:id="682171833">
                          <w:marLeft w:val="0"/>
                          <w:marRight w:val="0"/>
                          <w:marTop w:val="0"/>
                          <w:marBottom w:val="0"/>
                          <w:divBdr>
                            <w:top w:val="none" w:sz="0" w:space="0" w:color="auto"/>
                            <w:left w:val="none" w:sz="0" w:space="0" w:color="auto"/>
                            <w:bottom w:val="none" w:sz="0" w:space="0" w:color="auto"/>
                            <w:right w:val="none" w:sz="0" w:space="0" w:color="auto"/>
                          </w:divBdr>
                        </w:div>
                        <w:div w:id="689990818">
                          <w:marLeft w:val="0"/>
                          <w:marRight w:val="0"/>
                          <w:marTop w:val="0"/>
                          <w:marBottom w:val="0"/>
                          <w:divBdr>
                            <w:top w:val="none" w:sz="0" w:space="0" w:color="auto"/>
                            <w:left w:val="none" w:sz="0" w:space="0" w:color="auto"/>
                            <w:bottom w:val="none" w:sz="0" w:space="0" w:color="auto"/>
                            <w:right w:val="none" w:sz="0" w:space="0" w:color="auto"/>
                          </w:divBdr>
                        </w:div>
                        <w:div w:id="819274426">
                          <w:marLeft w:val="0"/>
                          <w:marRight w:val="0"/>
                          <w:marTop w:val="0"/>
                          <w:marBottom w:val="0"/>
                          <w:divBdr>
                            <w:top w:val="none" w:sz="0" w:space="0" w:color="auto"/>
                            <w:left w:val="none" w:sz="0" w:space="0" w:color="auto"/>
                            <w:bottom w:val="none" w:sz="0" w:space="0" w:color="auto"/>
                            <w:right w:val="none" w:sz="0" w:space="0" w:color="auto"/>
                          </w:divBdr>
                        </w:div>
                        <w:div w:id="827553692">
                          <w:marLeft w:val="0"/>
                          <w:marRight w:val="0"/>
                          <w:marTop w:val="0"/>
                          <w:marBottom w:val="0"/>
                          <w:divBdr>
                            <w:top w:val="none" w:sz="0" w:space="0" w:color="auto"/>
                            <w:left w:val="none" w:sz="0" w:space="0" w:color="auto"/>
                            <w:bottom w:val="none" w:sz="0" w:space="0" w:color="auto"/>
                            <w:right w:val="none" w:sz="0" w:space="0" w:color="auto"/>
                          </w:divBdr>
                        </w:div>
                        <w:div w:id="88055362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068266855">
                          <w:marLeft w:val="0"/>
                          <w:marRight w:val="0"/>
                          <w:marTop w:val="0"/>
                          <w:marBottom w:val="0"/>
                          <w:divBdr>
                            <w:top w:val="none" w:sz="0" w:space="0" w:color="auto"/>
                            <w:left w:val="none" w:sz="0" w:space="0" w:color="auto"/>
                            <w:bottom w:val="none" w:sz="0" w:space="0" w:color="auto"/>
                            <w:right w:val="none" w:sz="0" w:space="0" w:color="auto"/>
                          </w:divBdr>
                        </w:div>
                        <w:div w:id="1237859373">
                          <w:marLeft w:val="0"/>
                          <w:marRight w:val="0"/>
                          <w:marTop w:val="0"/>
                          <w:marBottom w:val="0"/>
                          <w:divBdr>
                            <w:top w:val="none" w:sz="0" w:space="0" w:color="auto"/>
                            <w:left w:val="none" w:sz="0" w:space="0" w:color="auto"/>
                            <w:bottom w:val="none" w:sz="0" w:space="0" w:color="auto"/>
                            <w:right w:val="none" w:sz="0" w:space="0" w:color="auto"/>
                          </w:divBdr>
                        </w:div>
                        <w:div w:id="1266886840">
                          <w:marLeft w:val="0"/>
                          <w:marRight w:val="0"/>
                          <w:marTop w:val="0"/>
                          <w:marBottom w:val="0"/>
                          <w:divBdr>
                            <w:top w:val="none" w:sz="0" w:space="0" w:color="auto"/>
                            <w:left w:val="none" w:sz="0" w:space="0" w:color="auto"/>
                            <w:bottom w:val="none" w:sz="0" w:space="0" w:color="auto"/>
                            <w:right w:val="none" w:sz="0" w:space="0" w:color="auto"/>
                          </w:divBdr>
                        </w:div>
                        <w:div w:id="1319993212">
                          <w:marLeft w:val="0"/>
                          <w:marRight w:val="0"/>
                          <w:marTop w:val="0"/>
                          <w:marBottom w:val="0"/>
                          <w:divBdr>
                            <w:top w:val="none" w:sz="0" w:space="0" w:color="auto"/>
                            <w:left w:val="none" w:sz="0" w:space="0" w:color="auto"/>
                            <w:bottom w:val="none" w:sz="0" w:space="0" w:color="auto"/>
                            <w:right w:val="none" w:sz="0" w:space="0" w:color="auto"/>
                          </w:divBdr>
                        </w:div>
                        <w:div w:id="1449592343">
                          <w:marLeft w:val="0"/>
                          <w:marRight w:val="0"/>
                          <w:marTop w:val="0"/>
                          <w:marBottom w:val="0"/>
                          <w:divBdr>
                            <w:top w:val="none" w:sz="0" w:space="0" w:color="auto"/>
                            <w:left w:val="none" w:sz="0" w:space="0" w:color="auto"/>
                            <w:bottom w:val="none" w:sz="0" w:space="0" w:color="auto"/>
                            <w:right w:val="none" w:sz="0" w:space="0" w:color="auto"/>
                          </w:divBdr>
                        </w:div>
                        <w:div w:id="1594049660">
                          <w:marLeft w:val="0"/>
                          <w:marRight w:val="0"/>
                          <w:marTop w:val="0"/>
                          <w:marBottom w:val="0"/>
                          <w:divBdr>
                            <w:top w:val="none" w:sz="0" w:space="0" w:color="auto"/>
                            <w:left w:val="none" w:sz="0" w:space="0" w:color="auto"/>
                            <w:bottom w:val="none" w:sz="0" w:space="0" w:color="auto"/>
                            <w:right w:val="none" w:sz="0" w:space="0" w:color="auto"/>
                          </w:divBdr>
                        </w:div>
                        <w:div w:id="1610774475">
                          <w:marLeft w:val="0"/>
                          <w:marRight w:val="0"/>
                          <w:marTop w:val="0"/>
                          <w:marBottom w:val="0"/>
                          <w:divBdr>
                            <w:top w:val="none" w:sz="0" w:space="0" w:color="auto"/>
                            <w:left w:val="none" w:sz="0" w:space="0" w:color="auto"/>
                            <w:bottom w:val="none" w:sz="0" w:space="0" w:color="auto"/>
                            <w:right w:val="none" w:sz="0" w:space="0" w:color="auto"/>
                          </w:divBdr>
                        </w:div>
                        <w:div w:id="1640459360">
                          <w:marLeft w:val="0"/>
                          <w:marRight w:val="0"/>
                          <w:marTop w:val="0"/>
                          <w:marBottom w:val="0"/>
                          <w:divBdr>
                            <w:top w:val="none" w:sz="0" w:space="0" w:color="auto"/>
                            <w:left w:val="none" w:sz="0" w:space="0" w:color="auto"/>
                            <w:bottom w:val="none" w:sz="0" w:space="0" w:color="auto"/>
                            <w:right w:val="none" w:sz="0" w:space="0" w:color="auto"/>
                          </w:divBdr>
                        </w:div>
                        <w:div w:id="19317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001">
          <w:marLeft w:val="0"/>
          <w:marRight w:val="0"/>
          <w:marTop w:val="166"/>
          <w:marBottom w:val="166"/>
          <w:divBdr>
            <w:top w:val="none" w:sz="0" w:space="0" w:color="auto"/>
            <w:left w:val="none" w:sz="0" w:space="0" w:color="auto"/>
            <w:bottom w:val="none" w:sz="0" w:space="0" w:color="auto"/>
            <w:right w:val="none" w:sz="0" w:space="0" w:color="auto"/>
          </w:divBdr>
          <w:divsChild>
            <w:div w:id="34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0374">
      <w:bodyDiv w:val="1"/>
      <w:marLeft w:val="0"/>
      <w:marRight w:val="0"/>
      <w:marTop w:val="0"/>
      <w:marBottom w:val="0"/>
      <w:divBdr>
        <w:top w:val="none" w:sz="0" w:space="0" w:color="auto"/>
        <w:left w:val="none" w:sz="0" w:space="0" w:color="auto"/>
        <w:bottom w:val="none" w:sz="0" w:space="0" w:color="auto"/>
        <w:right w:val="none" w:sz="0" w:space="0" w:color="auto"/>
      </w:divBdr>
    </w:div>
    <w:div w:id="388961831">
      <w:bodyDiv w:val="1"/>
      <w:marLeft w:val="0"/>
      <w:marRight w:val="0"/>
      <w:marTop w:val="0"/>
      <w:marBottom w:val="0"/>
      <w:divBdr>
        <w:top w:val="none" w:sz="0" w:space="0" w:color="auto"/>
        <w:left w:val="none" w:sz="0" w:space="0" w:color="auto"/>
        <w:bottom w:val="none" w:sz="0" w:space="0" w:color="auto"/>
        <w:right w:val="none" w:sz="0" w:space="0" w:color="auto"/>
      </w:divBdr>
    </w:div>
    <w:div w:id="401804150">
      <w:bodyDiv w:val="1"/>
      <w:marLeft w:val="0"/>
      <w:marRight w:val="0"/>
      <w:marTop w:val="0"/>
      <w:marBottom w:val="0"/>
      <w:divBdr>
        <w:top w:val="none" w:sz="0" w:space="0" w:color="auto"/>
        <w:left w:val="none" w:sz="0" w:space="0" w:color="auto"/>
        <w:bottom w:val="none" w:sz="0" w:space="0" w:color="auto"/>
        <w:right w:val="none" w:sz="0" w:space="0" w:color="auto"/>
      </w:divBdr>
    </w:div>
    <w:div w:id="402600961">
      <w:bodyDiv w:val="1"/>
      <w:marLeft w:val="0"/>
      <w:marRight w:val="0"/>
      <w:marTop w:val="0"/>
      <w:marBottom w:val="0"/>
      <w:divBdr>
        <w:top w:val="none" w:sz="0" w:space="0" w:color="auto"/>
        <w:left w:val="none" w:sz="0" w:space="0" w:color="auto"/>
        <w:bottom w:val="none" w:sz="0" w:space="0" w:color="auto"/>
        <w:right w:val="none" w:sz="0" w:space="0" w:color="auto"/>
      </w:divBdr>
    </w:div>
    <w:div w:id="441653024">
      <w:bodyDiv w:val="1"/>
      <w:marLeft w:val="0"/>
      <w:marRight w:val="0"/>
      <w:marTop w:val="0"/>
      <w:marBottom w:val="0"/>
      <w:divBdr>
        <w:top w:val="none" w:sz="0" w:space="0" w:color="auto"/>
        <w:left w:val="none" w:sz="0" w:space="0" w:color="auto"/>
        <w:bottom w:val="none" w:sz="0" w:space="0" w:color="auto"/>
        <w:right w:val="none" w:sz="0" w:space="0" w:color="auto"/>
      </w:divBdr>
    </w:div>
    <w:div w:id="466437786">
      <w:bodyDiv w:val="1"/>
      <w:marLeft w:val="0"/>
      <w:marRight w:val="0"/>
      <w:marTop w:val="0"/>
      <w:marBottom w:val="0"/>
      <w:divBdr>
        <w:top w:val="none" w:sz="0" w:space="0" w:color="auto"/>
        <w:left w:val="none" w:sz="0" w:space="0" w:color="auto"/>
        <w:bottom w:val="none" w:sz="0" w:space="0" w:color="auto"/>
        <w:right w:val="none" w:sz="0" w:space="0" w:color="auto"/>
      </w:divBdr>
    </w:div>
    <w:div w:id="503906315">
      <w:bodyDiv w:val="1"/>
      <w:marLeft w:val="0"/>
      <w:marRight w:val="0"/>
      <w:marTop w:val="0"/>
      <w:marBottom w:val="0"/>
      <w:divBdr>
        <w:top w:val="none" w:sz="0" w:space="0" w:color="auto"/>
        <w:left w:val="none" w:sz="0" w:space="0" w:color="auto"/>
        <w:bottom w:val="none" w:sz="0" w:space="0" w:color="auto"/>
        <w:right w:val="none" w:sz="0" w:space="0" w:color="auto"/>
      </w:divBdr>
    </w:div>
    <w:div w:id="569969778">
      <w:bodyDiv w:val="1"/>
      <w:marLeft w:val="0"/>
      <w:marRight w:val="0"/>
      <w:marTop w:val="0"/>
      <w:marBottom w:val="0"/>
      <w:divBdr>
        <w:top w:val="none" w:sz="0" w:space="0" w:color="auto"/>
        <w:left w:val="none" w:sz="0" w:space="0" w:color="auto"/>
        <w:bottom w:val="none" w:sz="0" w:space="0" w:color="auto"/>
        <w:right w:val="none" w:sz="0" w:space="0" w:color="auto"/>
      </w:divBdr>
    </w:div>
    <w:div w:id="573395089">
      <w:bodyDiv w:val="1"/>
      <w:marLeft w:val="0"/>
      <w:marRight w:val="0"/>
      <w:marTop w:val="0"/>
      <w:marBottom w:val="0"/>
      <w:divBdr>
        <w:top w:val="none" w:sz="0" w:space="0" w:color="auto"/>
        <w:left w:val="none" w:sz="0" w:space="0" w:color="auto"/>
        <w:bottom w:val="none" w:sz="0" w:space="0" w:color="auto"/>
        <w:right w:val="none" w:sz="0" w:space="0" w:color="auto"/>
      </w:divBdr>
    </w:div>
    <w:div w:id="631716013">
      <w:bodyDiv w:val="1"/>
      <w:marLeft w:val="0"/>
      <w:marRight w:val="0"/>
      <w:marTop w:val="0"/>
      <w:marBottom w:val="0"/>
      <w:divBdr>
        <w:top w:val="none" w:sz="0" w:space="0" w:color="auto"/>
        <w:left w:val="none" w:sz="0" w:space="0" w:color="auto"/>
        <w:bottom w:val="none" w:sz="0" w:space="0" w:color="auto"/>
        <w:right w:val="none" w:sz="0" w:space="0" w:color="auto"/>
      </w:divBdr>
    </w:div>
    <w:div w:id="674309357">
      <w:bodyDiv w:val="1"/>
      <w:marLeft w:val="0"/>
      <w:marRight w:val="0"/>
      <w:marTop w:val="0"/>
      <w:marBottom w:val="0"/>
      <w:divBdr>
        <w:top w:val="none" w:sz="0" w:space="0" w:color="auto"/>
        <w:left w:val="none" w:sz="0" w:space="0" w:color="auto"/>
        <w:bottom w:val="none" w:sz="0" w:space="0" w:color="auto"/>
        <w:right w:val="none" w:sz="0" w:space="0" w:color="auto"/>
      </w:divBdr>
    </w:div>
    <w:div w:id="738289213">
      <w:bodyDiv w:val="1"/>
      <w:marLeft w:val="0"/>
      <w:marRight w:val="0"/>
      <w:marTop w:val="0"/>
      <w:marBottom w:val="0"/>
      <w:divBdr>
        <w:top w:val="none" w:sz="0" w:space="0" w:color="auto"/>
        <w:left w:val="none" w:sz="0" w:space="0" w:color="auto"/>
        <w:bottom w:val="none" w:sz="0" w:space="0" w:color="auto"/>
        <w:right w:val="none" w:sz="0" w:space="0" w:color="auto"/>
      </w:divBdr>
    </w:div>
    <w:div w:id="810439840">
      <w:bodyDiv w:val="1"/>
      <w:marLeft w:val="0"/>
      <w:marRight w:val="0"/>
      <w:marTop w:val="0"/>
      <w:marBottom w:val="0"/>
      <w:divBdr>
        <w:top w:val="none" w:sz="0" w:space="0" w:color="auto"/>
        <w:left w:val="none" w:sz="0" w:space="0" w:color="auto"/>
        <w:bottom w:val="none" w:sz="0" w:space="0" w:color="auto"/>
        <w:right w:val="none" w:sz="0" w:space="0" w:color="auto"/>
      </w:divBdr>
    </w:div>
    <w:div w:id="824856689">
      <w:bodyDiv w:val="1"/>
      <w:marLeft w:val="0"/>
      <w:marRight w:val="0"/>
      <w:marTop w:val="0"/>
      <w:marBottom w:val="0"/>
      <w:divBdr>
        <w:top w:val="none" w:sz="0" w:space="0" w:color="auto"/>
        <w:left w:val="none" w:sz="0" w:space="0" w:color="auto"/>
        <w:bottom w:val="none" w:sz="0" w:space="0" w:color="auto"/>
        <w:right w:val="none" w:sz="0" w:space="0" w:color="auto"/>
      </w:divBdr>
    </w:div>
    <w:div w:id="838809942">
      <w:bodyDiv w:val="1"/>
      <w:marLeft w:val="0"/>
      <w:marRight w:val="0"/>
      <w:marTop w:val="0"/>
      <w:marBottom w:val="0"/>
      <w:divBdr>
        <w:top w:val="none" w:sz="0" w:space="0" w:color="auto"/>
        <w:left w:val="none" w:sz="0" w:space="0" w:color="auto"/>
        <w:bottom w:val="none" w:sz="0" w:space="0" w:color="auto"/>
        <w:right w:val="none" w:sz="0" w:space="0" w:color="auto"/>
      </w:divBdr>
    </w:div>
    <w:div w:id="854071816">
      <w:bodyDiv w:val="1"/>
      <w:marLeft w:val="0"/>
      <w:marRight w:val="0"/>
      <w:marTop w:val="0"/>
      <w:marBottom w:val="0"/>
      <w:divBdr>
        <w:top w:val="none" w:sz="0" w:space="0" w:color="auto"/>
        <w:left w:val="none" w:sz="0" w:space="0" w:color="auto"/>
        <w:bottom w:val="none" w:sz="0" w:space="0" w:color="auto"/>
        <w:right w:val="none" w:sz="0" w:space="0" w:color="auto"/>
      </w:divBdr>
    </w:div>
    <w:div w:id="855652266">
      <w:bodyDiv w:val="1"/>
      <w:marLeft w:val="0"/>
      <w:marRight w:val="0"/>
      <w:marTop w:val="0"/>
      <w:marBottom w:val="0"/>
      <w:divBdr>
        <w:top w:val="none" w:sz="0" w:space="0" w:color="auto"/>
        <w:left w:val="none" w:sz="0" w:space="0" w:color="auto"/>
        <w:bottom w:val="none" w:sz="0" w:space="0" w:color="auto"/>
        <w:right w:val="none" w:sz="0" w:space="0" w:color="auto"/>
      </w:divBdr>
    </w:div>
    <w:div w:id="856046186">
      <w:bodyDiv w:val="1"/>
      <w:marLeft w:val="0"/>
      <w:marRight w:val="0"/>
      <w:marTop w:val="0"/>
      <w:marBottom w:val="0"/>
      <w:divBdr>
        <w:top w:val="none" w:sz="0" w:space="0" w:color="auto"/>
        <w:left w:val="none" w:sz="0" w:space="0" w:color="auto"/>
        <w:bottom w:val="none" w:sz="0" w:space="0" w:color="auto"/>
        <w:right w:val="none" w:sz="0" w:space="0" w:color="auto"/>
      </w:divBdr>
    </w:div>
    <w:div w:id="858741078">
      <w:bodyDiv w:val="1"/>
      <w:marLeft w:val="0"/>
      <w:marRight w:val="0"/>
      <w:marTop w:val="0"/>
      <w:marBottom w:val="0"/>
      <w:divBdr>
        <w:top w:val="none" w:sz="0" w:space="0" w:color="auto"/>
        <w:left w:val="none" w:sz="0" w:space="0" w:color="auto"/>
        <w:bottom w:val="none" w:sz="0" w:space="0" w:color="auto"/>
        <w:right w:val="none" w:sz="0" w:space="0" w:color="auto"/>
      </w:divBdr>
    </w:div>
    <w:div w:id="878469025">
      <w:bodyDiv w:val="1"/>
      <w:marLeft w:val="0"/>
      <w:marRight w:val="0"/>
      <w:marTop w:val="0"/>
      <w:marBottom w:val="0"/>
      <w:divBdr>
        <w:top w:val="none" w:sz="0" w:space="0" w:color="auto"/>
        <w:left w:val="none" w:sz="0" w:space="0" w:color="auto"/>
        <w:bottom w:val="none" w:sz="0" w:space="0" w:color="auto"/>
        <w:right w:val="none" w:sz="0" w:space="0" w:color="auto"/>
      </w:divBdr>
    </w:div>
    <w:div w:id="924805966">
      <w:bodyDiv w:val="1"/>
      <w:marLeft w:val="0"/>
      <w:marRight w:val="0"/>
      <w:marTop w:val="0"/>
      <w:marBottom w:val="0"/>
      <w:divBdr>
        <w:top w:val="none" w:sz="0" w:space="0" w:color="auto"/>
        <w:left w:val="none" w:sz="0" w:space="0" w:color="auto"/>
        <w:bottom w:val="none" w:sz="0" w:space="0" w:color="auto"/>
        <w:right w:val="none" w:sz="0" w:space="0" w:color="auto"/>
      </w:divBdr>
    </w:div>
    <w:div w:id="994912814">
      <w:bodyDiv w:val="1"/>
      <w:marLeft w:val="0"/>
      <w:marRight w:val="0"/>
      <w:marTop w:val="0"/>
      <w:marBottom w:val="0"/>
      <w:divBdr>
        <w:top w:val="none" w:sz="0" w:space="0" w:color="auto"/>
        <w:left w:val="none" w:sz="0" w:space="0" w:color="auto"/>
        <w:bottom w:val="none" w:sz="0" w:space="0" w:color="auto"/>
        <w:right w:val="none" w:sz="0" w:space="0" w:color="auto"/>
      </w:divBdr>
    </w:div>
    <w:div w:id="999385734">
      <w:bodyDiv w:val="1"/>
      <w:marLeft w:val="0"/>
      <w:marRight w:val="0"/>
      <w:marTop w:val="0"/>
      <w:marBottom w:val="0"/>
      <w:divBdr>
        <w:top w:val="none" w:sz="0" w:space="0" w:color="auto"/>
        <w:left w:val="none" w:sz="0" w:space="0" w:color="auto"/>
        <w:bottom w:val="none" w:sz="0" w:space="0" w:color="auto"/>
        <w:right w:val="none" w:sz="0" w:space="0" w:color="auto"/>
      </w:divBdr>
    </w:div>
    <w:div w:id="1016886058">
      <w:bodyDiv w:val="1"/>
      <w:marLeft w:val="0"/>
      <w:marRight w:val="0"/>
      <w:marTop w:val="0"/>
      <w:marBottom w:val="0"/>
      <w:divBdr>
        <w:top w:val="none" w:sz="0" w:space="0" w:color="auto"/>
        <w:left w:val="none" w:sz="0" w:space="0" w:color="auto"/>
        <w:bottom w:val="none" w:sz="0" w:space="0" w:color="auto"/>
        <w:right w:val="none" w:sz="0" w:space="0" w:color="auto"/>
      </w:divBdr>
    </w:div>
    <w:div w:id="1071541972">
      <w:bodyDiv w:val="1"/>
      <w:marLeft w:val="0"/>
      <w:marRight w:val="0"/>
      <w:marTop w:val="0"/>
      <w:marBottom w:val="0"/>
      <w:divBdr>
        <w:top w:val="none" w:sz="0" w:space="0" w:color="auto"/>
        <w:left w:val="none" w:sz="0" w:space="0" w:color="auto"/>
        <w:bottom w:val="none" w:sz="0" w:space="0" w:color="auto"/>
        <w:right w:val="none" w:sz="0" w:space="0" w:color="auto"/>
      </w:divBdr>
    </w:div>
    <w:div w:id="1072238778">
      <w:bodyDiv w:val="1"/>
      <w:marLeft w:val="0"/>
      <w:marRight w:val="0"/>
      <w:marTop w:val="0"/>
      <w:marBottom w:val="0"/>
      <w:divBdr>
        <w:top w:val="none" w:sz="0" w:space="0" w:color="auto"/>
        <w:left w:val="none" w:sz="0" w:space="0" w:color="auto"/>
        <w:bottom w:val="none" w:sz="0" w:space="0" w:color="auto"/>
        <w:right w:val="none" w:sz="0" w:space="0" w:color="auto"/>
      </w:divBdr>
    </w:div>
    <w:div w:id="1115060712">
      <w:bodyDiv w:val="1"/>
      <w:marLeft w:val="0"/>
      <w:marRight w:val="0"/>
      <w:marTop w:val="0"/>
      <w:marBottom w:val="0"/>
      <w:divBdr>
        <w:top w:val="none" w:sz="0" w:space="0" w:color="auto"/>
        <w:left w:val="none" w:sz="0" w:space="0" w:color="auto"/>
        <w:bottom w:val="none" w:sz="0" w:space="0" w:color="auto"/>
        <w:right w:val="none" w:sz="0" w:space="0" w:color="auto"/>
      </w:divBdr>
    </w:div>
    <w:div w:id="1122766474">
      <w:bodyDiv w:val="1"/>
      <w:marLeft w:val="0"/>
      <w:marRight w:val="0"/>
      <w:marTop w:val="0"/>
      <w:marBottom w:val="0"/>
      <w:divBdr>
        <w:top w:val="none" w:sz="0" w:space="0" w:color="auto"/>
        <w:left w:val="none" w:sz="0" w:space="0" w:color="auto"/>
        <w:bottom w:val="none" w:sz="0" w:space="0" w:color="auto"/>
        <w:right w:val="none" w:sz="0" w:space="0" w:color="auto"/>
      </w:divBdr>
    </w:div>
    <w:div w:id="1134368930">
      <w:bodyDiv w:val="1"/>
      <w:marLeft w:val="0"/>
      <w:marRight w:val="0"/>
      <w:marTop w:val="0"/>
      <w:marBottom w:val="0"/>
      <w:divBdr>
        <w:top w:val="none" w:sz="0" w:space="0" w:color="auto"/>
        <w:left w:val="none" w:sz="0" w:space="0" w:color="auto"/>
        <w:bottom w:val="none" w:sz="0" w:space="0" w:color="auto"/>
        <w:right w:val="none" w:sz="0" w:space="0" w:color="auto"/>
      </w:divBdr>
    </w:div>
    <w:div w:id="1138304208">
      <w:bodyDiv w:val="1"/>
      <w:marLeft w:val="0"/>
      <w:marRight w:val="0"/>
      <w:marTop w:val="0"/>
      <w:marBottom w:val="0"/>
      <w:divBdr>
        <w:top w:val="none" w:sz="0" w:space="0" w:color="auto"/>
        <w:left w:val="none" w:sz="0" w:space="0" w:color="auto"/>
        <w:bottom w:val="none" w:sz="0" w:space="0" w:color="auto"/>
        <w:right w:val="none" w:sz="0" w:space="0" w:color="auto"/>
      </w:divBdr>
    </w:div>
    <w:div w:id="1147628493">
      <w:bodyDiv w:val="1"/>
      <w:marLeft w:val="0"/>
      <w:marRight w:val="0"/>
      <w:marTop w:val="0"/>
      <w:marBottom w:val="0"/>
      <w:divBdr>
        <w:top w:val="none" w:sz="0" w:space="0" w:color="auto"/>
        <w:left w:val="none" w:sz="0" w:space="0" w:color="auto"/>
        <w:bottom w:val="none" w:sz="0" w:space="0" w:color="auto"/>
        <w:right w:val="none" w:sz="0" w:space="0" w:color="auto"/>
      </w:divBdr>
    </w:div>
    <w:div w:id="1250382125">
      <w:bodyDiv w:val="1"/>
      <w:marLeft w:val="0"/>
      <w:marRight w:val="0"/>
      <w:marTop w:val="0"/>
      <w:marBottom w:val="0"/>
      <w:divBdr>
        <w:top w:val="none" w:sz="0" w:space="0" w:color="auto"/>
        <w:left w:val="none" w:sz="0" w:space="0" w:color="auto"/>
        <w:bottom w:val="none" w:sz="0" w:space="0" w:color="auto"/>
        <w:right w:val="none" w:sz="0" w:space="0" w:color="auto"/>
      </w:divBdr>
    </w:div>
    <w:div w:id="1257396886">
      <w:bodyDiv w:val="1"/>
      <w:marLeft w:val="0"/>
      <w:marRight w:val="0"/>
      <w:marTop w:val="0"/>
      <w:marBottom w:val="0"/>
      <w:divBdr>
        <w:top w:val="none" w:sz="0" w:space="0" w:color="auto"/>
        <w:left w:val="none" w:sz="0" w:space="0" w:color="auto"/>
        <w:bottom w:val="none" w:sz="0" w:space="0" w:color="auto"/>
        <w:right w:val="none" w:sz="0" w:space="0" w:color="auto"/>
      </w:divBdr>
    </w:div>
    <w:div w:id="1282150642">
      <w:bodyDiv w:val="1"/>
      <w:marLeft w:val="0"/>
      <w:marRight w:val="0"/>
      <w:marTop w:val="0"/>
      <w:marBottom w:val="0"/>
      <w:divBdr>
        <w:top w:val="none" w:sz="0" w:space="0" w:color="auto"/>
        <w:left w:val="none" w:sz="0" w:space="0" w:color="auto"/>
        <w:bottom w:val="none" w:sz="0" w:space="0" w:color="auto"/>
        <w:right w:val="none" w:sz="0" w:space="0" w:color="auto"/>
      </w:divBdr>
    </w:div>
    <w:div w:id="1402871535">
      <w:bodyDiv w:val="1"/>
      <w:marLeft w:val="0"/>
      <w:marRight w:val="0"/>
      <w:marTop w:val="0"/>
      <w:marBottom w:val="0"/>
      <w:divBdr>
        <w:top w:val="none" w:sz="0" w:space="0" w:color="auto"/>
        <w:left w:val="none" w:sz="0" w:space="0" w:color="auto"/>
        <w:bottom w:val="none" w:sz="0" w:space="0" w:color="auto"/>
        <w:right w:val="none" w:sz="0" w:space="0" w:color="auto"/>
      </w:divBdr>
    </w:div>
    <w:div w:id="1407844912">
      <w:bodyDiv w:val="1"/>
      <w:marLeft w:val="0"/>
      <w:marRight w:val="0"/>
      <w:marTop w:val="0"/>
      <w:marBottom w:val="0"/>
      <w:divBdr>
        <w:top w:val="none" w:sz="0" w:space="0" w:color="auto"/>
        <w:left w:val="none" w:sz="0" w:space="0" w:color="auto"/>
        <w:bottom w:val="none" w:sz="0" w:space="0" w:color="auto"/>
        <w:right w:val="none" w:sz="0" w:space="0" w:color="auto"/>
      </w:divBdr>
    </w:div>
    <w:div w:id="1414549165">
      <w:bodyDiv w:val="1"/>
      <w:marLeft w:val="0"/>
      <w:marRight w:val="0"/>
      <w:marTop w:val="0"/>
      <w:marBottom w:val="0"/>
      <w:divBdr>
        <w:top w:val="none" w:sz="0" w:space="0" w:color="auto"/>
        <w:left w:val="none" w:sz="0" w:space="0" w:color="auto"/>
        <w:bottom w:val="none" w:sz="0" w:space="0" w:color="auto"/>
        <w:right w:val="none" w:sz="0" w:space="0" w:color="auto"/>
      </w:divBdr>
    </w:div>
    <w:div w:id="1436897383">
      <w:bodyDiv w:val="1"/>
      <w:marLeft w:val="0"/>
      <w:marRight w:val="0"/>
      <w:marTop w:val="0"/>
      <w:marBottom w:val="0"/>
      <w:divBdr>
        <w:top w:val="none" w:sz="0" w:space="0" w:color="auto"/>
        <w:left w:val="none" w:sz="0" w:space="0" w:color="auto"/>
        <w:bottom w:val="none" w:sz="0" w:space="0" w:color="auto"/>
        <w:right w:val="none" w:sz="0" w:space="0" w:color="auto"/>
      </w:divBdr>
    </w:div>
    <w:div w:id="1456875237">
      <w:bodyDiv w:val="1"/>
      <w:marLeft w:val="0"/>
      <w:marRight w:val="0"/>
      <w:marTop w:val="0"/>
      <w:marBottom w:val="0"/>
      <w:divBdr>
        <w:top w:val="none" w:sz="0" w:space="0" w:color="auto"/>
        <w:left w:val="none" w:sz="0" w:space="0" w:color="auto"/>
        <w:bottom w:val="none" w:sz="0" w:space="0" w:color="auto"/>
        <w:right w:val="none" w:sz="0" w:space="0" w:color="auto"/>
      </w:divBdr>
    </w:div>
    <w:div w:id="1458714527">
      <w:bodyDiv w:val="1"/>
      <w:marLeft w:val="0"/>
      <w:marRight w:val="0"/>
      <w:marTop w:val="0"/>
      <w:marBottom w:val="0"/>
      <w:divBdr>
        <w:top w:val="none" w:sz="0" w:space="0" w:color="auto"/>
        <w:left w:val="none" w:sz="0" w:space="0" w:color="auto"/>
        <w:bottom w:val="none" w:sz="0" w:space="0" w:color="auto"/>
        <w:right w:val="none" w:sz="0" w:space="0" w:color="auto"/>
      </w:divBdr>
    </w:div>
    <w:div w:id="1505778227">
      <w:bodyDiv w:val="1"/>
      <w:marLeft w:val="0"/>
      <w:marRight w:val="0"/>
      <w:marTop w:val="0"/>
      <w:marBottom w:val="0"/>
      <w:divBdr>
        <w:top w:val="none" w:sz="0" w:space="0" w:color="auto"/>
        <w:left w:val="none" w:sz="0" w:space="0" w:color="auto"/>
        <w:bottom w:val="none" w:sz="0" w:space="0" w:color="auto"/>
        <w:right w:val="none" w:sz="0" w:space="0" w:color="auto"/>
      </w:divBdr>
    </w:div>
    <w:div w:id="1521896579">
      <w:bodyDiv w:val="1"/>
      <w:marLeft w:val="0"/>
      <w:marRight w:val="0"/>
      <w:marTop w:val="0"/>
      <w:marBottom w:val="0"/>
      <w:divBdr>
        <w:top w:val="none" w:sz="0" w:space="0" w:color="auto"/>
        <w:left w:val="none" w:sz="0" w:space="0" w:color="auto"/>
        <w:bottom w:val="none" w:sz="0" w:space="0" w:color="auto"/>
        <w:right w:val="none" w:sz="0" w:space="0" w:color="auto"/>
      </w:divBdr>
    </w:div>
    <w:div w:id="1553225757">
      <w:bodyDiv w:val="1"/>
      <w:marLeft w:val="0"/>
      <w:marRight w:val="0"/>
      <w:marTop w:val="0"/>
      <w:marBottom w:val="0"/>
      <w:divBdr>
        <w:top w:val="none" w:sz="0" w:space="0" w:color="auto"/>
        <w:left w:val="none" w:sz="0" w:space="0" w:color="auto"/>
        <w:bottom w:val="none" w:sz="0" w:space="0" w:color="auto"/>
        <w:right w:val="none" w:sz="0" w:space="0" w:color="auto"/>
      </w:divBdr>
    </w:div>
    <w:div w:id="1567184460">
      <w:bodyDiv w:val="1"/>
      <w:marLeft w:val="0"/>
      <w:marRight w:val="0"/>
      <w:marTop w:val="0"/>
      <w:marBottom w:val="0"/>
      <w:divBdr>
        <w:top w:val="none" w:sz="0" w:space="0" w:color="auto"/>
        <w:left w:val="none" w:sz="0" w:space="0" w:color="auto"/>
        <w:bottom w:val="none" w:sz="0" w:space="0" w:color="auto"/>
        <w:right w:val="none" w:sz="0" w:space="0" w:color="auto"/>
      </w:divBdr>
    </w:div>
    <w:div w:id="1570386062">
      <w:bodyDiv w:val="1"/>
      <w:marLeft w:val="0"/>
      <w:marRight w:val="0"/>
      <w:marTop w:val="0"/>
      <w:marBottom w:val="0"/>
      <w:divBdr>
        <w:top w:val="none" w:sz="0" w:space="0" w:color="auto"/>
        <w:left w:val="none" w:sz="0" w:space="0" w:color="auto"/>
        <w:bottom w:val="none" w:sz="0" w:space="0" w:color="auto"/>
        <w:right w:val="none" w:sz="0" w:space="0" w:color="auto"/>
      </w:divBdr>
    </w:div>
    <w:div w:id="1600869527">
      <w:bodyDiv w:val="1"/>
      <w:marLeft w:val="0"/>
      <w:marRight w:val="0"/>
      <w:marTop w:val="0"/>
      <w:marBottom w:val="0"/>
      <w:divBdr>
        <w:top w:val="none" w:sz="0" w:space="0" w:color="auto"/>
        <w:left w:val="none" w:sz="0" w:space="0" w:color="auto"/>
        <w:bottom w:val="none" w:sz="0" w:space="0" w:color="auto"/>
        <w:right w:val="none" w:sz="0" w:space="0" w:color="auto"/>
      </w:divBdr>
    </w:div>
    <w:div w:id="1646467860">
      <w:bodyDiv w:val="1"/>
      <w:marLeft w:val="0"/>
      <w:marRight w:val="0"/>
      <w:marTop w:val="0"/>
      <w:marBottom w:val="0"/>
      <w:divBdr>
        <w:top w:val="none" w:sz="0" w:space="0" w:color="auto"/>
        <w:left w:val="none" w:sz="0" w:space="0" w:color="auto"/>
        <w:bottom w:val="none" w:sz="0" w:space="0" w:color="auto"/>
        <w:right w:val="none" w:sz="0" w:space="0" w:color="auto"/>
      </w:divBdr>
    </w:div>
    <w:div w:id="1695383434">
      <w:bodyDiv w:val="1"/>
      <w:marLeft w:val="0"/>
      <w:marRight w:val="0"/>
      <w:marTop w:val="0"/>
      <w:marBottom w:val="0"/>
      <w:divBdr>
        <w:top w:val="none" w:sz="0" w:space="0" w:color="auto"/>
        <w:left w:val="none" w:sz="0" w:space="0" w:color="auto"/>
        <w:bottom w:val="none" w:sz="0" w:space="0" w:color="auto"/>
        <w:right w:val="none" w:sz="0" w:space="0" w:color="auto"/>
      </w:divBdr>
    </w:div>
    <w:div w:id="1767069037">
      <w:bodyDiv w:val="1"/>
      <w:marLeft w:val="0"/>
      <w:marRight w:val="0"/>
      <w:marTop w:val="0"/>
      <w:marBottom w:val="0"/>
      <w:divBdr>
        <w:top w:val="none" w:sz="0" w:space="0" w:color="auto"/>
        <w:left w:val="none" w:sz="0" w:space="0" w:color="auto"/>
        <w:bottom w:val="none" w:sz="0" w:space="0" w:color="auto"/>
        <w:right w:val="none" w:sz="0" w:space="0" w:color="auto"/>
      </w:divBdr>
    </w:div>
    <w:div w:id="1771854280">
      <w:bodyDiv w:val="1"/>
      <w:marLeft w:val="0"/>
      <w:marRight w:val="0"/>
      <w:marTop w:val="0"/>
      <w:marBottom w:val="0"/>
      <w:divBdr>
        <w:top w:val="none" w:sz="0" w:space="0" w:color="auto"/>
        <w:left w:val="none" w:sz="0" w:space="0" w:color="auto"/>
        <w:bottom w:val="none" w:sz="0" w:space="0" w:color="auto"/>
        <w:right w:val="none" w:sz="0" w:space="0" w:color="auto"/>
      </w:divBdr>
    </w:div>
    <w:div w:id="1842353502">
      <w:bodyDiv w:val="1"/>
      <w:marLeft w:val="0"/>
      <w:marRight w:val="0"/>
      <w:marTop w:val="0"/>
      <w:marBottom w:val="0"/>
      <w:divBdr>
        <w:top w:val="none" w:sz="0" w:space="0" w:color="auto"/>
        <w:left w:val="none" w:sz="0" w:space="0" w:color="auto"/>
        <w:bottom w:val="none" w:sz="0" w:space="0" w:color="auto"/>
        <w:right w:val="none" w:sz="0" w:space="0" w:color="auto"/>
      </w:divBdr>
    </w:div>
    <w:div w:id="1870146456">
      <w:bodyDiv w:val="1"/>
      <w:marLeft w:val="0"/>
      <w:marRight w:val="0"/>
      <w:marTop w:val="0"/>
      <w:marBottom w:val="0"/>
      <w:divBdr>
        <w:top w:val="none" w:sz="0" w:space="0" w:color="auto"/>
        <w:left w:val="none" w:sz="0" w:space="0" w:color="auto"/>
        <w:bottom w:val="none" w:sz="0" w:space="0" w:color="auto"/>
        <w:right w:val="none" w:sz="0" w:space="0" w:color="auto"/>
      </w:divBdr>
    </w:div>
    <w:div w:id="1910338843">
      <w:bodyDiv w:val="1"/>
      <w:marLeft w:val="0"/>
      <w:marRight w:val="0"/>
      <w:marTop w:val="0"/>
      <w:marBottom w:val="0"/>
      <w:divBdr>
        <w:top w:val="none" w:sz="0" w:space="0" w:color="auto"/>
        <w:left w:val="none" w:sz="0" w:space="0" w:color="auto"/>
        <w:bottom w:val="none" w:sz="0" w:space="0" w:color="auto"/>
        <w:right w:val="none" w:sz="0" w:space="0" w:color="auto"/>
      </w:divBdr>
    </w:div>
    <w:div w:id="1913268168">
      <w:bodyDiv w:val="1"/>
      <w:marLeft w:val="0"/>
      <w:marRight w:val="0"/>
      <w:marTop w:val="0"/>
      <w:marBottom w:val="0"/>
      <w:divBdr>
        <w:top w:val="none" w:sz="0" w:space="0" w:color="auto"/>
        <w:left w:val="none" w:sz="0" w:space="0" w:color="auto"/>
        <w:bottom w:val="none" w:sz="0" w:space="0" w:color="auto"/>
        <w:right w:val="none" w:sz="0" w:space="0" w:color="auto"/>
      </w:divBdr>
    </w:div>
    <w:div w:id="1938252127">
      <w:bodyDiv w:val="1"/>
      <w:marLeft w:val="0"/>
      <w:marRight w:val="0"/>
      <w:marTop w:val="0"/>
      <w:marBottom w:val="0"/>
      <w:divBdr>
        <w:top w:val="none" w:sz="0" w:space="0" w:color="auto"/>
        <w:left w:val="none" w:sz="0" w:space="0" w:color="auto"/>
        <w:bottom w:val="none" w:sz="0" w:space="0" w:color="auto"/>
        <w:right w:val="none" w:sz="0" w:space="0" w:color="auto"/>
      </w:divBdr>
    </w:div>
    <w:div w:id="1944917732">
      <w:bodyDiv w:val="1"/>
      <w:marLeft w:val="0"/>
      <w:marRight w:val="0"/>
      <w:marTop w:val="0"/>
      <w:marBottom w:val="0"/>
      <w:divBdr>
        <w:top w:val="none" w:sz="0" w:space="0" w:color="auto"/>
        <w:left w:val="none" w:sz="0" w:space="0" w:color="auto"/>
        <w:bottom w:val="none" w:sz="0" w:space="0" w:color="auto"/>
        <w:right w:val="none" w:sz="0" w:space="0" w:color="auto"/>
      </w:divBdr>
    </w:div>
    <w:div w:id="1981616948">
      <w:bodyDiv w:val="1"/>
      <w:marLeft w:val="0"/>
      <w:marRight w:val="0"/>
      <w:marTop w:val="0"/>
      <w:marBottom w:val="0"/>
      <w:divBdr>
        <w:top w:val="none" w:sz="0" w:space="0" w:color="auto"/>
        <w:left w:val="none" w:sz="0" w:space="0" w:color="auto"/>
        <w:bottom w:val="none" w:sz="0" w:space="0" w:color="auto"/>
        <w:right w:val="none" w:sz="0" w:space="0" w:color="auto"/>
      </w:divBdr>
    </w:div>
    <w:div w:id="1996686948">
      <w:bodyDiv w:val="1"/>
      <w:marLeft w:val="0"/>
      <w:marRight w:val="0"/>
      <w:marTop w:val="0"/>
      <w:marBottom w:val="0"/>
      <w:divBdr>
        <w:top w:val="none" w:sz="0" w:space="0" w:color="auto"/>
        <w:left w:val="none" w:sz="0" w:space="0" w:color="auto"/>
        <w:bottom w:val="none" w:sz="0" w:space="0" w:color="auto"/>
        <w:right w:val="none" w:sz="0" w:space="0" w:color="auto"/>
      </w:divBdr>
    </w:div>
    <w:div w:id="2042440679">
      <w:bodyDiv w:val="1"/>
      <w:marLeft w:val="0"/>
      <w:marRight w:val="0"/>
      <w:marTop w:val="0"/>
      <w:marBottom w:val="0"/>
      <w:divBdr>
        <w:top w:val="none" w:sz="0" w:space="0" w:color="auto"/>
        <w:left w:val="none" w:sz="0" w:space="0" w:color="auto"/>
        <w:bottom w:val="none" w:sz="0" w:space="0" w:color="auto"/>
        <w:right w:val="none" w:sz="0" w:space="0" w:color="auto"/>
      </w:divBdr>
    </w:div>
    <w:div w:id="2058161828">
      <w:bodyDiv w:val="1"/>
      <w:marLeft w:val="0"/>
      <w:marRight w:val="0"/>
      <w:marTop w:val="0"/>
      <w:marBottom w:val="0"/>
      <w:divBdr>
        <w:top w:val="none" w:sz="0" w:space="0" w:color="auto"/>
        <w:left w:val="none" w:sz="0" w:space="0" w:color="auto"/>
        <w:bottom w:val="none" w:sz="0" w:space="0" w:color="auto"/>
        <w:right w:val="none" w:sz="0" w:space="0" w:color="auto"/>
      </w:divBdr>
    </w:div>
    <w:div w:id="2060081594">
      <w:bodyDiv w:val="1"/>
      <w:marLeft w:val="0"/>
      <w:marRight w:val="0"/>
      <w:marTop w:val="0"/>
      <w:marBottom w:val="0"/>
      <w:divBdr>
        <w:top w:val="none" w:sz="0" w:space="0" w:color="auto"/>
        <w:left w:val="none" w:sz="0" w:space="0" w:color="auto"/>
        <w:bottom w:val="none" w:sz="0" w:space="0" w:color="auto"/>
        <w:right w:val="none" w:sz="0" w:space="0" w:color="auto"/>
      </w:divBdr>
    </w:div>
    <w:div w:id="2102867500">
      <w:bodyDiv w:val="1"/>
      <w:marLeft w:val="0"/>
      <w:marRight w:val="0"/>
      <w:marTop w:val="0"/>
      <w:marBottom w:val="0"/>
      <w:divBdr>
        <w:top w:val="none" w:sz="0" w:space="0" w:color="auto"/>
        <w:left w:val="none" w:sz="0" w:space="0" w:color="auto"/>
        <w:bottom w:val="none" w:sz="0" w:space="0" w:color="auto"/>
        <w:right w:val="none" w:sz="0" w:space="0" w:color="auto"/>
      </w:divBdr>
    </w:div>
    <w:div w:id="2142720385">
      <w:bodyDiv w:val="1"/>
      <w:marLeft w:val="0"/>
      <w:marRight w:val="0"/>
      <w:marTop w:val="0"/>
      <w:marBottom w:val="0"/>
      <w:divBdr>
        <w:top w:val="none" w:sz="0" w:space="0" w:color="auto"/>
        <w:left w:val="none" w:sz="0" w:space="0" w:color="auto"/>
        <w:bottom w:val="none" w:sz="0" w:space="0" w:color="auto"/>
        <w:right w:val="none" w:sz="0" w:space="0" w:color="auto"/>
      </w:divBdr>
    </w:div>
    <w:div w:id="21446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B2FF-DB8F-2D46-B33D-24944F1A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26527</Words>
  <Characters>151204</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Cozens K.</dc:creator>
  <cp:keywords/>
  <dc:description/>
  <cp:lastModifiedBy>Jonathan Weir-Mccall</cp:lastModifiedBy>
  <cp:revision>3</cp:revision>
  <cp:lastPrinted>2019-10-16T11:01:00Z</cp:lastPrinted>
  <dcterms:created xsi:type="dcterms:W3CDTF">2021-09-30T10:52:00Z</dcterms:created>
  <dcterms:modified xsi:type="dcterms:W3CDTF">2021-09-30T10:52:00Z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http://www.zotero.org/styles/american-heart-association</vt:lpwstr>
  </property>
  <property fmtid="{D5CDD505-2E9C-101B-9397-08002B2CF9AE}" pid="3" name="Mendeley Recent Style Name 0_1">
    <vt:lpwstr>American Heart Association</vt:lpwstr>
  </property>
  <property fmtid="{D5CDD505-2E9C-101B-9397-08002B2CF9AE}" pid="4" name="Mendeley Recent Style Id 1_1">
    <vt:lpwstr>http://www.zotero.org/styles/circulation</vt:lpwstr>
  </property>
  <property fmtid="{D5CDD505-2E9C-101B-9397-08002B2CF9AE}" pid="5" name="Mendeley Recent Style Name 1_1">
    <vt:lpwstr>Circulation</vt:lpwstr>
  </property>
  <property fmtid="{D5CDD505-2E9C-101B-9397-08002B2CF9AE}" pid="6" name="Mendeley Recent Style Id 2_1">
    <vt:lpwstr>http://www.zotero.org/styles/european-journal-of-nuclear-medicine-and-molecular-imaging</vt:lpwstr>
  </property>
  <property fmtid="{D5CDD505-2E9C-101B-9397-08002B2CF9AE}" pid="7" name="Mendeley Recent Style Name 2_1">
    <vt:lpwstr>European Journal of Nuclear Medicine and Molecular Imaging</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http://www.zotero.org/styles/journal-of-cardiovascular-computed-tomography</vt:lpwstr>
  </property>
  <property fmtid="{D5CDD505-2E9C-101B-9397-08002B2CF9AE}" pid="11" name="Mendeley Recent Style Name 4_1">
    <vt:lpwstr>Journal of Cardiovascular Computed Tomography</vt:lpwstr>
  </property>
  <property fmtid="{D5CDD505-2E9C-101B-9397-08002B2CF9AE}" pid="12" name="Mendeley Recent Style Id 5_1">
    <vt:lpwstr>http://www.zotero.org/styles/journal-of-the-american-heart-association</vt:lpwstr>
  </property>
  <property fmtid="{D5CDD505-2E9C-101B-9397-08002B2CF9AE}" pid="13" name="Mendeley Recent Style Name 5_1">
    <vt:lpwstr>Journal of the American Heart Association</vt:lpwstr>
  </property>
  <property fmtid="{D5CDD505-2E9C-101B-9397-08002B2CF9AE}" pid="14" name="Mendeley Recent Style Id 6_1">
    <vt:lpwstr>http://www.zotero.org/styles/radiology</vt:lpwstr>
  </property>
  <property fmtid="{D5CDD505-2E9C-101B-9397-08002B2CF9AE}" pid="15" name="Mendeley Recent Style Name 6_1">
    <vt:lpwstr>Radiology</vt:lpwstr>
  </property>
  <property fmtid="{D5CDD505-2E9C-101B-9397-08002B2CF9AE}" pid="16" name="Mendeley Recent Style Id 7_1">
    <vt:lpwstr>http://www.zotero.org/styles/the-lancet</vt:lpwstr>
  </property>
  <property fmtid="{D5CDD505-2E9C-101B-9397-08002B2CF9AE}" pid="17" name="Mendeley Recent Style Name 7_1">
    <vt:lpwstr>The Lancet</vt:lpwstr>
  </property>
  <property fmtid="{D5CDD505-2E9C-101B-9397-08002B2CF9AE}" pid="18" name="Mendeley Recent Style Id 8_1">
    <vt:lpwstr>http://www.zotero.org/styles/the-new-england-journal-of-medicine</vt:lpwstr>
  </property>
  <property fmtid="{D5CDD505-2E9C-101B-9397-08002B2CF9AE}" pid="19" name="Mendeley Recent Style Name 8_1">
    <vt:lpwstr>The New England Journal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0d5da936-576a-357b-b284-7dbbb111a506</vt:lpwstr>
  </property>
  <property fmtid="{D5CDD505-2E9C-101B-9397-08002B2CF9AE}" pid="24" name="Mendeley Citation Style_1">
    <vt:lpwstr>http://www.zotero.org/styles/the-lancet</vt:lpwstr>
  </property>
</Properties>
</file>