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A6C88" w14:textId="22AE36BE" w:rsidR="006237C8" w:rsidRDefault="006237C8" w:rsidP="007415CD">
      <w:pPr>
        <w:jc w:val="center"/>
        <w:rPr>
          <w:b/>
        </w:rPr>
      </w:pPr>
      <w:r>
        <w:rPr>
          <w:b/>
        </w:rPr>
        <w:tab/>
      </w:r>
      <w:r>
        <w:rPr>
          <w:b/>
        </w:rPr>
        <w:tab/>
      </w:r>
      <w:r>
        <w:rPr>
          <w:b/>
        </w:rPr>
        <w:tab/>
      </w:r>
      <w:r w:rsidR="00275848">
        <w:rPr>
          <w:b/>
        </w:rPr>
        <w:tab/>
      </w:r>
      <w:r w:rsidR="00275848">
        <w:rPr>
          <w:b/>
        </w:rPr>
        <w:tab/>
      </w:r>
      <w:r w:rsidR="00275848">
        <w:rPr>
          <w:b/>
        </w:rPr>
        <w:tab/>
      </w:r>
      <w:r>
        <w:rPr>
          <w:b/>
        </w:rPr>
        <w:t>Word Count:</w:t>
      </w:r>
      <w:r w:rsidR="00275848">
        <w:rPr>
          <w:b/>
        </w:rPr>
        <w:t xml:space="preserve"> </w:t>
      </w:r>
      <w:r w:rsidR="00784E6E">
        <w:rPr>
          <w:b/>
        </w:rPr>
        <w:t>2320</w:t>
      </w:r>
    </w:p>
    <w:p w14:paraId="452B5F6C" w14:textId="77777777" w:rsidR="006237C8" w:rsidRDefault="006237C8" w:rsidP="007415CD">
      <w:pPr>
        <w:jc w:val="center"/>
        <w:rPr>
          <w:b/>
        </w:rPr>
      </w:pPr>
    </w:p>
    <w:p w14:paraId="6B4833CA" w14:textId="72359955" w:rsidR="003D7CBF" w:rsidRDefault="009430F6" w:rsidP="009430F6">
      <w:pPr>
        <w:spacing w:line="480" w:lineRule="auto"/>
        <w:jc w:val="center"/>
        <w:rPr>
          <w:b/>
        </w:rPr>
      </w:pPr>
      <w:r>
        <w:rPr>
          <w:b/>
        </w:rPr>
        <w:t>Neurobiology of Subtypes of Trichotillomania and Skin Picking Disorder</w:t>
      </w:r>
    </w:p>
    <w:p w14:paraId="58B8842E" w14:textId="55DB4000" w:rsidR="00E11680" w:rsidRDefault="00ED4ABE" w:rsidP="00E11680">
      <w:pPr>
        <w:ind w:left="720" w:hanging="720"/>
        <w:jc w:val="center"/>
        <w:rPr>
          <w:vertAlign w:val="superscript"/>
        </w:rPr>
      </w:pPr>
      <w:r>
        <w:t xml:space="preserve">Jon E. Grant, M.D., </w:t>
      </w:r>
      <w:r w:rsidR="001F39A2">
        <w:t>J</w:t>
      </w:r>
      <w:r>
        <w:t>.D., M.P.H.,</w:t>
      </w:r>
      <w:r w:rsidR="00B506EC">
        <w:rPr>
          <w:vertAlign w:val="superscript"/>
        </w:rPr>
        <w:t>1</w:t>
      </w:r>
      <w:r>
        <w:t xml:space="preserve">* </w:t>
      </w:r>
      <w:r w:rsidR="00E11680">
        <w:t>Richard A.I. Bethlehem, Ph.D.</w:t>
      </w:r>
      <w:r w:rsidR="00B506EC">
        <w:rPr>
          <w:vertAlign w:val="superscript"/>
        </w:rPr>
        <w:t>2</w:t>
      </w:r>
      <w:r w:rsidR="00E11680">
        <w:rPr>
          <w:vertAlign w:val="superscript"/>
        </w:rPr>
        <w:t xml:space="preserve"> </w:t>
      </w:r>
    </w:p>
    <w:p w14:paraId="1499037C" w14:textId="5FA3D111" w:rsidR="00E11680" w:rsidRDefault="00E11680" w:rsidP="00E11680">
      <w:pPr>
        <w:ind w:left="720" w:hanging="720"/>
        <w:jc w:val="center"/>
      </w:pPr>
      <w:r>
        <w:t xml:space="preserve">Samuel R. </w:t>
      </w:r>
      <w:r w:rsidRPr="006B6F22">
        <w:t>Chamberlain</w:t>
      </w:r>
      <w:r>
        <w:t xml:space="preserve">, </w:t>
      </w:r>
      <w:r w:rsidR="00985FA2">
        <w:t xml:space="preserve">M.B./B.Chir., </w:t>
      </w:r>
      <w:r>
        <w:t>Ph.D,</w:t>
      </w:r>
      <w:r w:rsidR="00985FA2">
        <w:t xml:space="preserve"> M.R.C.Psych.</w:t>
      </w:r>
      <w:r w:rsidR="00B506EC">
        <w:rPr>
          <w:vertAlign w:val="superscript"/>
        </w:rPr>
        <w:t>3</w:t>
      </w:r>
      <w:r>
        <w:t xml:space="preserve"> </w:t>
      </w:r>
    </w:p>
    <w:p w14:paraId="39596EE9" w14:textId="401E7921" w:rsidR="00ED4ABE" w:rsidRDefault="00ED4ABE" w:rsidP="00ED4ABE">
      <w:pPr>
        <w:ind w:left="720" w:hanging="720"/>
        <w:jc w:val="center"/>
      </w:pPr>
      <w:r>
        <w:t>Tara S. Peris, Ph.D.,</w:t>
      </w:r>
      <w:r w:rsidR="00B506EC">
        <w:rPr>
          <w:vertAlign w:val="superscript"/>
        </w:rPr>
        <w:t>4</w:t>
      </w:r>
      <w:r>
        <w:t xml:space="preserve"> Emily J. Ricketts, Ph.D.,</w:t>
      </w:r>
      <w:r w:rsidR="00B506EC">
        <w:rPr>
          <w:vertAlign w:val="superscript"/>
        </w:rPr>
        <w:t>4</w:t>
      </w:r>
      <w:r>
        <w:t xml:space="preserve"> </w:t>
      </w:r>
    </w:p>
    <w:p w14:paraId="7775374E" w14:textId="4EEF04CA" w:rsidR="004C5170" w:rsidRDefault="000325AE" w:rsidP="00ED4ABE">
      <w:pPr>
        <w:ind w:left="720" w:hanging="720"/>
        <w:jc w:val="center"/>
      </w:pPr>
      <w:r>
        <w:t>Joseph O’Neill, PhD</w:t>
      </w:r>
      <w:r w:rsidR="00B506EC">
        <w:rPr>
          <w:vertAlign w:val="superscript"/>
        </w:rPr>
        <w:t>4</w:t>
      </w:r>
      <w:r>
        <w:t xml:space="preserve">, </w:t>
      </w:r>
      <w:r w:rsidR="00ED4ABE">
        <w:t>Darin D. Dougherty, M.D.,</w:t>
      </w:r>
      <w:r w:rsidR="00B506EC">
        <w:rPr>
          <w:vertAlign w:val="superscript"/>
        </w:rPr>
        <w:t>5</w:t>
      </w:r>
      <w:r w:rsidR="008C67E3">
        <w:t xml:space="preserve"> </w:t>
      </w:r>
    </w:p>
    <w:p w14:paraId="39510317" w14:textId="2C1B9C49" w:rsidR="00ED4ABE" w:rsidRDefault="00C87850" w:rsidP="00ED4ABE">
      <w:pPr>
        <w:ind w:left="720" w:hanging="720"/>
        <w:jc w:val="center"/>
      </w:pPr>
      <w:r>
        <w:t>Dan Stein,</w:t>
      </w:r>
      <w:r w:rsidR="004C5170">
        <w:t xml:space="preserve"> M.D., Ph.D.,</w:t>
      </w:r>
      <w:r w:rsidR="00B506EC">
        <w:rPr>
          <w:vertAlign w:val="superscript"/>
        </w:rPr>
        <w:t>6</w:t>
      </w:r>
      <w:r>
        <w:t xml:space="preserve"> Christine Lochner,</w:t>
      </w:r>
      <w:r w:rsidR="004C5170">
        <w:t xml:space="preserve"> PhD.,</w:t>
      </w:r>
      <w:r w:rsidR="00B506EC">
        <w:rPr>
          <w:vertAlign w:val="superscript"/>
        </w:rPr>
        <w:t>7</w:t>
      </w:r>
      <w:r w:rsidR="00B506EC">
        <w:t xml:space="preserve"> </w:t>
      </w:r>
      <w:r w:rsidR="00ED4ABE">
        <w:t>Douglas W. Woods, Ph.D.,</w:t>
      </w:r>
      <w:r w:rsidR="00B506EC">
        <w:rPr>
          <w:vertAlign w:val="superscript"/>
        </w:rPr>
        <w:t>8</w:t>
      </w:r>
      <w:r w:rsidR="008C67E3">
        <w:t xml:space="preserve"> </w:t>
      </w:r>
      <w:r w:rsidR="00ED4ABE">
        <w:t>John Piacentini, Ph.D.,</w:t>
      </w:r>
      <w:r w:rsidR="00B506EC">
        <w:rPr>
          <w:vertAlign w:val="superscript"/>
        </w:rPr>
        <w:t>4</w:t>
      </w:r>
      <w:r w:rsidR="00ED4ABE">
        <w:t xml:space="preserve"> and Nancy J. Keuthen, Ph.D.</w:t>
      </w:r>
      <w:r w:rsidR="00B506EC">
        <w:rPr>
          <w:vertAlign w:val="superscript"/>
        </w:rPr>
        <w:t>5</w:t>
      </w:r>
    </w:p>
    <w:p w14:paraId="73F05F98" w14:textId="77777777" w:rsidR="00ED4ABE" w:rsidRDefault="00ED4ABE" w:rsidP="00ED4ABE">
      <w:pPr>
        <w:ind w:left="720" w:hanging="720"/>
      </w:pPr>
    </w:p>
    <w:p w14:paraId="67904D0B" w14:textId="77777777" w:rsidR="00ED4ABE" w:rsidRDefault="00ED4ABE" w:rsidP="00ED4ABE">
      <w:pPr>
        <w:ind w:left="720" w:hanging="720"/>
      </w:pPr>
    </w:p>
    <w:p w14:paraId="25E87E88" w14:textId="6066D22E" w:rsidR="00ED4ABE" w:rsidRDefault="00B506EC" w:rsidP="00ED4ABE">
      <w:pPr>
        <w:ind w:left="720" w:hanging="720"/>
      </w:pPr>
      <w:r>
        <w:rPr>
          <w:vertAlign w:val="superscript"/>
        </w:rPr>
        <w:t>1</w:t>
      </w:r>
      <w:r w:rsidR="00ED4ABE">
        <w:t>Department of Psychiatry &amp; Behavioral Neuroscience University of Chicago, Chicago,</w:t>
      </w:r>
    </w:p>
    <w:p w14:paraId="634AF195" w14:textId="77777777" w:rsidR="00ED4ABE" w:rsidRDefault="00ED4ABE" w:rsidP="00ED4ABE">
      <w:pPr>
        <w:ind w:left="720" w:hanging="720"/>
      </w:pPr>
      <w:r>
        <w:t>IL, USA</w:t>
      </w:r>
    </w:p>
    <w:p w14:paraId="346FAFA8" w14:textId="45F3BD03" w:rsidR="00B506EC" w:rsidRDefault="00B506EC" w:rsidP="00B506EC">
      <w:pPr>
        <w:ind w:left="720" w:hanging="720"/>
      </w:pPr>
      <w:r>
        <w:rPr>
          <w:vertAlign w:val="superscript"/>
        </w:rPr>
        <w:t>2</w:t>
      </w:r>
      <w:r>
        <w:t>Department of Psychiatry, University of Cambridge, UK</w:t>
      </w:r>
    </w:p>
    <w:p w14:paraId="3BB28B1C" w14:textId="4894AFE3" w:rsidR="00B506EC" w:rsidRDefault="00B506EC" w:rsidP="00B506EC">
      <w:pPr>
        <w:ind w:left="720" w:hanging="720"/>
      </w:pPr>
      <w:r>
        <w:rPr>
          <w:vertAlign w:val="superscript"/>
        </w:rPr>
        <w:t>3</w:t>
      </w:r>
      <w:r>
        <w:t>Department of Psychiatry, Faculty of Medicine, University of Southampton, UK; and</w:t>
      </w:r>
    </w:p>
    <w:p w14:paraId="4B8F8B29" w14:textId="77777777" w:rsidR="00B506EC" w:rsidRDefault="00B506EC" w:rsidP="00B506EC">
      <w:pPr>
        <w:ind w:left="720" w:hanging="720"/>
      </w:pPr>
      <w:r>
        <w:t xml:space="preserve">Southern Health NHS Foundation Trust, UK. </w:t>
      </w:r>
    </w:p>
    <w:p w14:paraId="4D22DA96" w14:textId="40828BD9" w:rsidR="00ED4ABE" w:rsidRDefault="00B506EC" w:rsidP="00ED4ABE">
      <w:pPr>
        <w:ind w:left="720" w:hanging="720"/>
      </w:pPr>
      <w:r>
        <w:rPr>
          <w:vertAlign w:val="superscript"/>
        </w:rPr>
        <w:t>4</w:t>
      </w:r>
      <w:r w:rsidR="00ED4ABE">
        <w:t xml:space="preserve">Department of Psychiatry and Biobehavioral Sciences, University of California, Los </w:t>
      </w:r>
    </w:p>
    <w:p w14:paraId="4D289731" w14:textId="764B219D" w:rsidR="00ED4ABE" w:rsidRDefault="00ED4ABE" w:rsidP="00ED4ABE">
      <w:pPr>
        <w:ind w:left="720" w:hanging="720"/>
      </w:pPr>
      <w:r>
        <w:t>Angeles, CA, USA</w:t>
      </w:r>
    </w:p>
    <w:p w14:paraId="2420D803" w14:textId="726084E7" w:rsidR="00ED4ABE" w:rsidRDefault="00B506EC" w:rsidP="00ED4ABE">
      <w:pPr>
        <w:ind w:left="720" w:hanging="720"/>
      </w:pPr>
      <w:r>
        <w:rPr>
          <w:vertAlign w:val="superscript"/>
        </w:rPr>
        <w:t>5</w:t>
      </w:r>
      <w:r w:rsidR="008C67E3">
        <w:t xml:space="preserve">Department </w:t>
      </w:r>
      <w:r w:rsidR="00ED4ABE">
        <w:t xml:space="preserve">of Psychiatry, Massachusetts General Hospital and Harvard Medical School, </w:t>
      </w:r>
    </w:p>
    <w:p w14:paraId="1B0BC0E3" w14:textId="77777777" w:rsidR="00ED4ABE" w:rsidRDefault="00ED4ABE" w:rsidP="00ED4ABE">
      <w:pPr>
        <w:ind w:left="720" w:hanging="720"/>
      </w:pPr>
      <w:r>
        <w:t>Boston, USA</w:t>
      </w:r>
    </w:p>
    <w:p w14:paraId="7BD7962A" w14:textId="09FD3B07" w:rsidR="00B506EC" w:rsidRDefault="00B506EC" w:rsidP="00ED4ABE">
      <w:pPr>
        <w:ind w:left="720" w:hanging="720"/>
      </w:pPr>
      <w:r>
        <w:rPr>
          <w:vertAlign w:val="superscript"/>
        </w:rPr>
        <w:t>6</w:t>
      </w:r>
      <w:r>
        <w:t>Department of psychiatry, University of Cape Town, South Africa</w:t>
      </w:r>
    </w:p>
    <w:p w14:paraId="52CE4439" w14:textId="34371F28" w:rsidR="00B506EC" w:rsidRPr="00B506EC" w:rsidRDefault="00B506EC" w:rsidP="00ED4ABE">
      <w:pPr>
        <w:ind w:left="720" w:hanging="720"/>
      </w:pPr>
      <w:r>
        <w:rPr>
          <w:vertAlign w:val="superscript"/>
        </w:rPr>
        <w:t>7</w:t>
      </w:r>
      <w:r>
        <w:t>Department of Psychiatry, Stellenbosch University, South Africa</w:t>
      </w:r>
    </w:p>
    <w:p w14:paraId="2CF3771E" w14:textId="0F30BD0F" w:rsidR="00ED4ABE" w:rsidRDefault="00B506EC" w:rsidP="00ED4ABE">
      <w:pPr>
        <w:ind w:left="720" w:hanging="720"/>
      </w:pPr>
      <w:r>
        <w:rPr>
          <w:vertAlign w:val="superscript"/>
        </w:rPr>
        <w:t>8</w:t>
      </w:r>
      <w:r w:rsidR="008C67E3">
        <w:t xml:space="preserve">Department </w:t>
      </w:r>
      <w:r w:rsidR="00ED4ABE">
        <w:t>of Psychology, Marquette University, Milwaukee, WI, USA</w:t>
      </w:r>
    </w:p>
    <w:p w14:paraId="132D8BA6" w14:textId="77777777" w:rsidR="00ED4ABE" w:rsidRDefault="00ED4ABE" w:rsidP="00ED4ABE">
      <w:pPr>
        <w:ind w:left="720" w:hanging="720"/>
      </w:pPr>
    </w:p>
    <w:p w14:paraId="5553194C" w14:textId="77777777" w:rsidR="00ED4ABE" w:rsidRDefault="00ED4ABE" w:rsidP="00ED4ABE">
      <w:pPr>
        <w:ind w:left="720" w:hanging="720"/>
      </w:pPr>
      <w:r>
        <w:t xml:space="preserve">*Address correspondence to: </w:t>
      </w:r>
    </w:p>
    <w:p w14:paraId="6FFE6913" w14:textId="77777777" w:rsidR="00ED4ABE" w:rsidRDefault="00ED4ABE" w:rsidP="00ED4ABE">
      <w:pPr>
        <w:ind w:left="720" w:hanging="720"/>
      </w:pPr>
      <w:r>
        <w:t>Jon E. Grant, JD, MD, MPH</w:t>
      </w:r>
    </w:p>
    <w:p w14:paraId="0E11F065" w14:textId="77777777" w:rsidR="00ED4ABE" w:rsidRDefault="00ED4ABE" w:rsidP="00ED4ABE">
      <w:pPr>
        <w:ind w:left="720" w:hanging="720"/>
      </w:pPr>
      <w:r>
        <w:t>Professor, Department of Psychiatry &amp; Behavioral Neuroscience</w:t>
      </w:r>
    </w:p>
    <w:p w14:paraId="61401B25" w14:textId="77777777" w:rsidR="00ED4ABE" w:rsidRDefault="00ED4ABE" w:rsidP="00ED4ABE">
      <w:pPr>
        <w:ind w:left="720" w:hanging="720"/>
      </w:pPr>
      <w:r>
        <w:t>University of Chicago, 5841 S. Maryland Avenue, MC 3077, Chicago, IL 60637</w:t>
      </w:r>
    </w:p>
    <w:p w14:paraId="735E4D14" w14:textId="77777777" w:rsidR="00ED4ABE" w:rsidRDefault="00ED4ABE" w:rsidP="00ED4ABE">
      <w:pPr>
        <w:ind w:left="720" w:hanging="720"/>
      </w:pPr>
      <w:r>
        <w:t>Phone: 773-834-1325; Fax: 773-834-6761; Email: jongrant@uchicago.edu</w:t>
      </w:r>
    </w:p>
    <w:p w14:paraId="03BFF506" w14:textId="77777777" w:rsidR="00ED4ABE" w:rsidRDefault="00ED4ABE" w:rsidP="00ED4ABE">
      <w:pPr>
        <w:ind w:left="720" w:hanging="720"/>
      </w:pPr>
    </w:p>
    <w:p w14:paraId="6AE313FE" w14:textId="77777777" w:rsidR="00ED4ABE" w:rsidRDefault="00ED4ABE" w:rsidP="00ED4ABE">
      <w:pPr>
        <w:ind w:left="720" w:hanging="720"/>
      </w:pPr>
    </w:p>
    <w:p w14:paraId="2482D682" w14:textId="77777777" w:rsidR="00ED4ABE" w:rsidRDefault="00ED4ABE" w:rsidP="00ED4ABE">
      <w:pPr>
        <w:ind w:left="720" w:hanging="720"/>
      </w:pPr>
    </w:p>
    <w:p w14:paraId="4A6C0DF8" w14:textId="77777777" w:rsidR="00ED4ABE" w:rsidRDefault="00ED4ABE" w:rsidP="00ED4ABE">
      <w:pPr>
        <w:rPr>
          <w:b/>
        </w:rPr>
      </w:pPr>
    </w:p>
    <w:p w14:paraId="2E60CDA5" w14:textId="6308903E" w:rsidR="00ED4ABE" w:rsidRDefault="00ED4ABE" w:rsidP="00ED4ABE">
      <w:r w:rsidRPr="00C00554">
        <w:rPr>
          <w:b/>
        </w:rPr>
        <w:t xml:space="preserve">Running title: </w:t>
      </w:r>
      <w:r w:rsidR="009430F6" w:rsidRPr="009430F6">
        <w:t xml:space="preserve">Neurobiology of </w:t>
      </w:r>
      <w:r w:rsidR="00C87850">
        <w:t xml:space="preserve">BFRB </w:t>
      </w:r>
      <w:r w:rsidR="009430F6" w:rsidRPr="009430F6">
        <w:t xml:space="preserve">subtypes </w:t>
      </w:r>
    </w:p>
    <w:p w14:paraId="4C2CF2D5" w14:textId="77777777" w:rsidR="00FA1119" w:rsidRDefault="00FA1119" w:rsidP="00FA1119">
      <w:pPr>
        <w:pStyle w:val="CommentText"/>
        <w:rPr>
          <w:b/>
          <w:sz w:val="24"/>
          <w:szCs w:val="24"/>
        </w:rPr>
      </w:pPr>
    </w:p>
    <w:p w14:paraId="79C54BA2" w14:textId="2BA9832B" w:rsidR="00FA1119" w:rsidRPr="003A272B" w:rsidRDefault="00FA1119" w:rsidP="00FA1119">
      <w:pPr>
        <w:pStyle w:val="CommentText"/>
        <w:rPr>
          <w:sz w:val="24"/>
          <w:szCs w:val="24"/>
        </w:rPr>
      </w:pPr>
      <w:r w:rsidRPr="003A272B">
        <w:rPr>
          <w:b/>
          <w:sz w:val="24"/>
          <w:szCs w:val="24"/>
        </w:rPr>
        <w:t>Keywords</w:t>
      </w:r>
      <w:r w:rsidRPr="003A272B">
        <w:rPr>
          <w:sz w:val="24"/>
          <w:szCs w:val="24"/>
        </w:rPr>
        <w:t>: trichotillomania</w:t>
      </w:r>
      <w:r>
        <w:rPr>
          <w:sz w:val="24"/>
          <w:szCs w:val="24"/>
        </w:rPr>
        <w:t>;</w:t>
      </w:r>
      <w:r w:rsidRPr="003A272B">
        <w:rPr>
          <w:sz w:val="24"/>
          <w:szCs w:val="24"/>
        </w:rPr>
        <w:t xml:space="preserve"> skin picking disorder</w:t>
      </w:r>
      <w:r>
        <w:rPr>
          <w:sz w:val="24"/>
          <w:szCs w:val="24"/>
        </w:rPr>
        <w:t>;</w:t>
      </w:r>
      <w:r w:rsidRPr="003A272B">
        <w:rPr>
          <w:sz w:val="24"/>
          <w:szCs w:val="24"/>
        </w:rPr>
        <w:t xml:space="preserve"> </w:t>
      </w:r>
      <w:r>
        <w:rPr>
          <w:sz w:val="24"/>
          <w:szCs w:val="24"/>
        </w:rPr>
        <w:t xml:space="preserve">imaging; </w:t>
      </w:r>
      <w:r w:rsidR="009430F6">
        <w:rPr>
          <w:sz w:val="24"/>
          <w:szCs w:val="24"/>
        </w:rPr>
        <w:t xml:space="preserve">subtypes; </w:t>
      </w:r>
      <w:r>
        <w:rPr>
          <w:sz w:val="24"/>
          <w:szCs w:val="24"/>
        </w:rPr>
        <w:t>neurobiology</w:t>
      </w:r>
    </w:p>
    <w:p w14:paraId="7884090F" w14:textId="77777777" w:rsidR="002C25B3" w:rsidRDefault="002C25B3" w:rsidP="0058599D">
      <w:pPr>
        <w:spacing w:line="480" w:lineRule="auto"/>
        <w:ind w:firstLine="720"/>
        <w:rPr>
          <w:shd w:val="clear" w:color="auto" w:fill="FFFFFF"/>
        </w:rPr>
      </w:pPr>
    </w:p>
    <w:p w14:paraId="2E3E5672" w14:textId="77777777" w:rsidR="002C25B3" w:rsidRDefault="002C25B3" w:rsidP="0058599D">
      <w:pPr>
        <w:spacing w:line="480" w:lineRule="auto"/>
        <w:ind w:firstLine="720"/>
        <w:rPr>
          <w:shd w:val="clear" w:color="auto" w:fill="FFFFFF"/>
        </w:rPr>
      </w:pPr>
    </w:p>
    <w:p w14:paraId="16038F9F" w14:textId="77777777" w:rsidR="002C25B3" w:rsidRDefault="002C25B3" w:rsidP="0058599D">
      <w:pPr>
        <w:spacing w:line="480" w:lineRule="auto"/>
        <w:ind w:firstLine="720"/>
        <w:rPr>
          <w:shd w:val="clear" w:color="auto" w:fill="FFFFFF"/>
        </w:rPr>
      </w:pPr>
    </w:p>
    <w:p w14:paraId="09C418C7" w14:textId="77777777" w:rsidR="002C25B3" w:rsidRDefault="002C25B3" w:rsidP="0058599D">
      <w:pPr>
        <w:spacing w:line="480" w:lineRule="auto"/>
        <w:ind w:firstLine="720"/>
        <w:rPr>
          <w:shd w:val="clear" w:color="auto" w:fill="FFFFFF"/>
        </w:rPr>
      </w:pPr>
    </w:p>
    <w:p w14:paraId="52F5C48C" w14:textId="77777777" w:rsidR="002C25B3" w:rsidRDefault="002C25B3" w:rsidP="0058599D">
      <w:pPr>
        <w:spacing w:line="480" w:lineRule="auto"/>
        <w:ind w:firstLine="720"/>
        <w:rPr>
          <w:shd w:val="clear" w:color="auto" w:fill="FFFFFF"/>
        </w:rPr>
      </w:pPr>
    </w:p>
    <w:p w14:paraId="6B5089A3" w14:textId="77777777" w:rsidR="002C25B3" w:rsidRDefault="002C25B3" w:rsidP="0058599D">
      <w:pPr>
        <w:spacing w:line="480" w:lineRule="auto"/>
        <w:ind w:firstLine="720"/>
        <w:rPr>
          <w:shd w:val="clear" w:color="auto" w:fill="FFFFFF"/>
        </w:rPr>
      </w:pPr>
    </w:p>
    <w:p w14:paraId="67828BCE" w14:textId="32B3FD3D" w:rsidR="00D11269" w:rsidRDefault="00D11269" w:rsidP="00D11269">
      <w:pPr>
        <w:rPr>
          <w:b/>
        </w:rPr>
      </w:pPr>
      <w:r>
        <w:rPr>
          <w:b/>
        </w:rPr>
        <w:t>ABSTRACT</w:t>
      </w:r>
    </w:p>
    <w:p w14:paraId="163A5AE5" w14:textId="77777777" w:rsidR="00D11269" w:rsidRDefault="00D11269" w:rsidP="00D11269"/>
    <w:p w14:paraId="2C7A9E62" w14:textId="77777777" w:rsidR="00FE74AE" w:rsidRDefault="00FE74AE" w:rsidP="001065A5">
      <w:pPr>
        <w:spacing w:line="480" w:lineRule="auto"/>
        <w:rPr>
          <w:shd w:val="clear" w:color="auto" w:fill="FFFFFF"/>
        </w:rPr>
      </w:pPr>
      <w:r>
        <w:rPr>
          <w:shd w:val="clear" w:color="auto" w:fill="FFFFFF"/>
        </w:rPr>
        <w:t xml:space="preserve">Objective: </w:t>
      </w:r>
      <w:r w:rsidR="00D11269" w:rsidRPr="00913A25">
        <w:rPr>
          <w:shd w:val="clear" w:color="auto" w:fill="FFFFFF"/>
        </w:rPr>
        <w:t xml:space="preserve">Trichotillomania and </w:t>
      </w:r>
      <w:r w:rsidR="00570849">
        <w:rPr>
          <w:shd w:val="clear" w:color="auto" w:fill="FFFFFF"/>
        </w:rPr>
        <w:t>s</w:t>
      </w:r>
      <w:r w:rsidR="00D11269" w:rsidRPr="00913A25">
        <w:rPr>
          <w:shd w:val="clear" w:color="auto" w:fill="FFFFFF"/>
        </w:rPr>
        <w:t xml:space="preserve">kin </w:t>
      </w:r>
      <w:r w:rsidR="00570849">
        <w:rPr>
          <w:shd w:val="clear" w:color="auto" w:fill="FFFFFF"/>
        </w:rPr>
        <w:t>p</w:t>
      </w:r>
      <w:r w:rsidR="00D11269" w:rsidRPr="00913A25">
        <w:rPr>
          <w:shd w:val="clear" w:color="auto" w:fill="FFFFFF"/>
        </w:rPr>
        <w:t xml:space="preserve">icking </w:t>
      </w:r>
      <w:r w:rsidR="00570849">
        <w:rPr>
          <w:shd w:val="clear" w:color="auto" w:fill="FFFFFF"/>
        </w:rPr>
        <w:t>d</w:t>
      </w:r>
      <w:r w:rsidR="00D11269" w:rsidRPr="00913A25">
        <w:rPr>
          <w:shd w:val="clear" w:color="auto" w:fill="FFFFFF"/>
        </w:rPr>
        <w:t xml:space="preserve">isorder are </w:t>
      </w:r>
      <w:r w:rsidR="00570849">
        <w:rPr>
          <w:shd w:val="clear" w:color="auto" w:fill="FFFFFF"/>
        </w:rPr>
        <w:t>common and often debilitating mental health conditions, grouped under the umbrella term of body focused repetitive behaviors (BFRBs)</w:t>
      </w:r>
      <w:r w:rsidR="00D11269" w:rsidRPr="00913A25">
        <w:rPr>
          <w:shd w:val="clear" w:color="auto" w:fill="FFFFFF"/>
        </w:rPr>
        <w:t xml:space="preserve">. </w:t>
      </w:r>
      <w:r w:rsidR="00570849">
        <w:rPr>
          <w:shd w:val="clear" w:color="auto" w:fill="FFFFFF"/>
        </w:rPr>
        <w:t xml:space="preserve"> </w:t>
      </w:r>
      <w:r w:rsidR="009430F6">
        <w:rPr>
          <w:shd w:val="clear" w:color="auto" w:fill="FFFFFF"/>
        </w:rPr>
        <w:t>Recent clinical subtyping found that there were three distinct subtypes of trichotillomania and two of skin picking disorder. W</w:t>
      </w:r>
      <w:r w:rsidR="00087CB8">
        <w:rPr>
          <w:shd w:val="clear" w:color="auto" w:fill="FFFFFF"/>
        </w:rPr>
        <w:t>h</w:t>
      </w:r>
      <w:r w:rsidR="009430F6">
        <w:rPr>
          <w:shd w:val="clear" w:color="auto" w:fill="FFFFFF"/>
        </w:rPr>
        <w:t xml:space="preserve">ether these clinical subtypes </w:t>
      </w:r>
      <w:r w:rsidR="00502E6E">
        <w:rPr>
          <w:shd w:val="clear" w:color="auto" w:fill="FFFFFF"/>
        </w:rPr>
        <w:t>map on to</w:t>
      </w:r>
      <w:r w:rsidR="009430F6">
        <w:rPr>
          <w:shd w:val="clear" w:color="auto" w:fill="FFFFFF"/>
        </w:rPr>
        <w:t xml:space="preserve"> any unique neurobiological underpinnings however remains unknown. </w:t>
      </w:r>
    </w:p>
    <w:p w14:paraId="71F423AD" w14:textId="60DFDEF7" w:rsidR="00FE74AE" w:rsidRDefault="00FE74AE" w:rsidP="001065A5">
      <w:pPr>
        <w:spacing w:line="480" w:lineRule="auto"/>
        <w:rPr>
          <w:color w:val="000000"/>
        </w:rPr>
      </w:pPr>
      <w:r>
        <w:rPr>
          <w:shd w:val="clear" w:color="auto" w:fill="FFFFFF"/>
        </w:rPr>
        <w:t>Method</w:t>
      </w:r>
      <w:r w:rsidR="001D3D95">
        <w:rPr>
          <w:shd w:val="clear" w:color="auto" w:fill="FFFFFF"/>
        </w:rPr>
        <w:t>s</w:t>
      </w:r>
      <w:bookmarkStart w:id="0" w:name="_GoBack"/>
      <w:bookmarkEnd w:id="0"/>
      <w:r>
        <w:rPr>
          <w:shd w:val="clear" w:color="auto" w:fill="FFFFFF"/>
        </w:rPr>
        <w:t xml:space="preserve">: </w:t>
      </w:r>
      <w:r w:rsidR="00502E6E">
        <w:rPr>
          <w:shd w:val="clear" w:color="auto" w:fill="FFFFFF"/>
        </w:rPr>
        <w:t>25</w:t>
      </w:r>
      <w:r w:rsidR="003248C6">
        <w:rPr>
          <w:shd w:val="clear" w:color="auto" w:fill="FFFFFF"/>
        </w:rPr>
        <w:t>1</w:t>
      </w:r>
      <w:r w:rsidR="00D11269" w:rsidRPr="00393C2F">
        <w:t xml:space="preserve"> adults </w:t>
      </w:r>
      <w:r w:rsidR="00570849" w:rsidRPr="003D7CBF">
        <w:t>(</w:t>
      </w:r>
      <w:r w:rsidR="003248C6">
        <w:t>193</w:t>
      </w:r>
      <w:r w:rsidR="00570849" w:rsidRPr="003D7CBF">
        <w:t xml:space="preserve"> with a BFRB </w:t>
      </w:r>
      <w:r w:rsidR="00FA1119">
        <w:t>[</w:t>
      </w:r>
      <w:r w:rsidR="003248C6">
        <w:t>85.5</w:t>
      </w:r>
      <w:r w:rsidR="009430F6">
        <w:t>% (n=</w:t>
      </w:r>
      <w:r w:rsidR="003248C6">
        <w:t>165</w:t>
      </w:r>
      <w:r w:rsidR="00FA1119" w:rsidRPr="003D7CBF">
        <w:t>) female</w:t>
      </w:r>
      <w:r w:rsidR="00FA1119">
        <w:t>] and</w:t>
      </w:r>
      <w:r w:rsidR="00FA1119" w:rsidRPr="003D7CBF">
        <w:t xml:space="preserve"> </w:t>
      </w:r>
      <w:r w:rsidR="003248C6">
        <w:t>58</w:t>
      </w:r>
      <w:r w:rsidR="009430F6">
        <w:t xml:space="preserve"> </w:t>
      </w:r>
      <w:r w:rsidR="00FA1119" w:rsidRPr="003D7CBF">
        <w:t>healthy controls</w:t>
      </w:r>
      <w:r w:rsidR="00FA1119">
        <w:t xml:space="preserve"> [</w:t>
      </w:r>
      <w:r w:rsidR="003248C6">
        <w:t>77.6</w:t>
      </w:r>
      <w:r w:rsidR="009430F6">
        <w:t>% (n=</w:t>
      </w:r>
      <w:r w:rsidR="003248C6">
        <w:t>45</w:t>
      </w:r>
      <w:r w:rsidR="00FA1119" w:rsidRPr="003D7CBF">
        <w:t>) female</w:t>
      </w:r>
      <w:r w:rsidR="00FA1119">
        <w:t>]</w:t>
      </w:r>
      <w:r w:rsidR="00570849" w:rsidRPr="003D7CBF">
        <w:t xml:space="preserve">) </w:t>
      </w:r>
      <w:r w:rsidR="00D11269">
        <w:t xml:space="preserve">were </w:t>
      </w:r>
      <w:r w:rsidR="00D11269" w:rsidRPr="00393C2F">
        <w:t xml:space="preserve">recruited from the community </w:t>
      </w:r>
      <w:r w:rsidR="00D11269" w:rsidRPr="00913A25">
        <w:t>for a</w:t>
      </w:r>
      <w:r w:rsidR="00D11269" w:rsidRPr="00913A25">
        <w:rPr>
          <w:bCs/>
          <w:color w:val="212121"/>
        </w:rPr>
        <w:t xml:space="preserve"> multi-center </w:t>
      </w:r>
      <w:r w:rsidR="00D11269" w:rsidRPr="00913A25">
        <w:t>b</w:t>
      </w:r>
      <w:r w:rsidR="00D11269" w:rsidRPr="00913A25">
        <w:rPr>
          <w:color w:val="212121"/>
        </w:rPr>
        <w:t xml:space="preserve">etween-group comparison using </w:t>
      </w:r>
      <w:r w:rsidR="009430F6">
        <w:rPr>
          <w:color w:val="212121"/>
        </w:rPr>
        <w:t>structural</w:t>
      </w:r>
      <w:r w:rsidR="001C1085">
        <w:rPr>
          <w:color w:val="212121"/>
        </w:rPr>
        <w:t xml:space="preserve"> </w:t>
      </w:r>
      <w:r w:rsidR="00620D8B">
        <w:rPr>
          <w:color w:val="212121"/>
        </w:rPr>
        <w:t>neuro</w:t>
      </w:r>
      <w:r w:rsidR="001C1085">
        <w:rPr>
          <w:color w:val="212121"/>
        </w:rPr>
        <w:t>imaging</w:t>
      </w:r>
      <w:r w:rsidR="00D11269">
        <w:rPr>
          <w:color w:val="000000"/>
        </w:rPr>
        <w:t xml:space="preserve">. </w:t>
      </w:r>
      <w:r w:rsidR="001C1085">
        <w:rPr>
          <w:color w:val="000000"/>
        </w:rPr>
        <w:t xml:space="preserve">Differences in </w:t>
      </w:r>
      <w:r w:rsidR="009430F6">
        <w:rPr>
          <w:color w:val="000000"/>
        </w:rPr>
        <w:t>whole brain structure</w:t>
      </w:r>
      <w:r w:rsidR="001C1085">
        <w:rPr>
          <w:color w:val="000000"/>
        </w:rPr>
        <w:t xml:space="preserve"> were compared </w:t>
      </w:r>
      <w:r w:rsidR="009430F6">
        <w:rPr>
          <w:color w:val="000000"/>
        </w:rPr>
        <w:t>across the subtypes of BFRBs</w:t>
      </w:r>
      <w:r w:rsidR="001065A5">
        <w:rPr>
          <w:color w:val="000000"/>
        </w:rPr>
        <w:t xml:space="preserve">, </w:t>
      </w:r>
      <w:r w:rsidR="001C1085">
        <w:rPr>
          <w:color w:val="000000"/>
        </w:rPr>
        <w:t>controll</w:t>
      </w:r>
      <w:r w:rsidR="001065A5">
        <w:rPr>
          <w:color w:val="000000"/>
        </w:rPr>
        <w:t>ing</w:t>
      </w:r>
      <w:r w:rsidR="001C1085">
        <w:rPr>
          <w:color w:val="000000"/>
        </w:rPr>
        <w:t xml:space="preserve"> for</w:t>
      </w:r>
      <w:r w:rsidR="001C1085" w:rsidRPr="00850D59">
        <w:rPr>
          <w:color w:val="000000"/>
        </w:rPr>
        <w:t xml:space="preserve"> </w:t>
      </w:r>
      <w:r w:rsidR="00E12E2B" w:rsidRPr="00850D59">
        <w:rPr>
          <w:color w:val="000000"/>
        </w:rPr>
        <w:t>age, sex</w:t>
      </w:r>
      <w:r w:rsidR="007D77D8">
        <w:rPr>
          <w:color w:val="000000"/>
        </w:rPr>
        <w:t>,</w:t>
      </w:r>
      <w:r w:rsidR="00E12E2B" w:rsidRPr="00850D59">
        <w:rPr>
          <w:color w:val="000000"/>
        </w:rPr>
        <w:t xml:space="preserve"> scanning site</w:t>
      </w:r>
      <w:r w:rsidR="007D77D8">
        <w:rPr>
          <w:color w:val="000000"/>
        </w:rPr>
        <w:t xml:space="preserve"> and intracranial volume</w:t>
      </w:r>
      <w:r w:rsidR="00E12E2B" w:rsidRPr="00850D59">
        <w:rPr>
          <w:color w:val="000000"/>
        </w:rPr>
        <w:t xml:space="preserve">. </w:t>
      </w:r>
      <w:r w:rsidR="007C31FB">
        <w:rPr>
          <w:color w:val="000000"/>
        </w:rPr>
        <w:t xml:space="preserve"> </w:t>
      </w:r>
    </w:p>
    <w:p w14:paraId="7E0C201B" w14:textId="77777777" w:rsidR="00FE74AE" w:rsidRDefault="00FE74AE" w:rsidP="001065A5">
      <w:pPr>
        <w:spacing w:line="480" w:lineRule="auto"/>
      </w:pPr>
      <w:r>
        <w:rPr>
          <w:color w:val="000000"/>
        </w:rPr>
        <w:t xml:space="preserve">Results: </w:t>
      </w:r>
      <w:r w:rsidR="009430F6">
        <w:t xml:space="preserve">When the subtypes of TTM were compared, </w:t>
      </w:r>
      <w:r w:rsidR="00974006">
        <w:t xml:space="preserve">low awareness </w:t>
      </w:r>
      <w:r w:rsidR="00620D8B">
        <w:t xml:space="preserve">hair </w:t>
      </w:r>
      <w:r w:rsidR="00974006">
        <w:t>pullers demonstrated</w:t>
      </w:r>
      <w:r w:rsidR="00974006" w:rsidRPr="00166820">
        <w:t xml:space="preserve"> increased cortical volume in the lateral occipital lobe relative to </w:t>
      </w:r>
      <w:r w:rsidR="00974006">
        <w:t xml:space="preserve">controls </w:t>
      </w:r>
      <w:r w:rsidR="00974006" w:rsidRPr="00166820">
        <w:t xml:space="preserve">and </w:t>
      </w:r>
      <w:r w:rsidR="00974006">
        <w:t>sensory sensitive pullers</w:t>
      </w:r>
      <w:r w:rsidR="00974006" w:rsidRPr="00166820">
        <w:t xml:space="preserve">. In addition, </w:t>
      </w:r>
      <w:r w:rsidR="00974006">
        <w:t xml:space="preserve">impulsive/perfectionist </w:t>
      </w:r>
      <w:r w:rsidR="00620D8B">
        <w:t xml:space="preserve">hair </w:t>
      </w:r>
      <w:r w:rsidR="00974006">
        <w:t xml:space="preserve">pullers </w:t>
      </w:r>
      <w:r w:rsidR="00974006" w:rsidRPr="00166820">
        <w:t>show</w:t>
      </w:r>
      <w:r w:rsidR="00974006">
        <w:t>ed</w:t>
      </w:r>
      <w:r w:rsidR="00974006" w:rsidRPr="00166820">
        <w:t xml:space="preserve"> relative decreased volume near the lingual gyrus of the inferior occipital-parietal lobe</w:t>
      </w:r>
      <w:r w:rsidR="00974006">
        <w:t xml:space="preserve"> compared to controls</w:t>
      </w:r>
      <w:r w:rsidR="00974006" w:rsidRPr="00166820">
        <w:t>. </w:t>
      </w:r>
      <w:r w:rsidR="00620D8B">
        <w:t xml:space="preserve"> </w:t>
      </w:r>
    </w:p>
    <w:p w14:paraId="3AD57604" w14:textId="65368A90" w:rsidR="00974006" w:rsidRPr="00166820" w:rsidRDefault="00FE74AE" w:rsidP="001065A5">
      <w:pPr>
        <w:spacing w:line="480" w:lineRule="auto"/>
      </w:pPr>
      <w:r>
        <w:t xml:space="preserve">Conclusions: </w:t>
      </w:r>
      <w:r w:rsidR="00620D8B">
        <w:t xml:space="preserve">These data indicate that the anatomical substrates of particular forms of BFRBs are dissociable, which may have implications for understanding clinical presentations and treatment response. </w:t>
      </w:r>
    </w:p>
    <w:p w14:paraId="3191B33D" w14:textId="77777777" w:rsidR="00974006" w:rsidRDefault="00974006" w:rsidP="00974006">
      <w:pPr>
        <w:spacing w:line="480" w:lineRule="auto"/>
        <w:ind w:firstLine="720"/>
      </w:pPr>
    </w:p>
    <w:p w14:paraId="61ADC55D" w14:textId="2F023A6C" w:rsidR="00D11269" w:rsidRPr="00913A25" w:rsidRDefault="00D11269" w:rsidP="00B67AB6">
      <w:pPr>
        <w:spacing w:line="480" w:lineRule="auto"/>
      </w:pPr>
      <w:r w:rsidRPr="00913A25">
        <w:t xml:space="preserve"> </w:t>
      </w:r>
    </w:p>
    <w:p w14:paraId="62796231" w14:textId="77777777" w:rsidR="00D11269" w:rsidRPr="00913A25" w:rsidRDefault="00D11269" w:rsidP="00D11269">
      <w:pPr>
        <w:pStyle w:val="CommentText"/>
        <w:rPr>
          <w:b/>
          <w:sz w:val="24"/>
          <w:szCs w:val="24"/>
        </w:rPr>
      </w:pPr>
    </w:p>
    <w:p w14:paraId="7315684E" w14:textId="77777777" w:rsidR="00FA1119" w:rsidRDefault="00FA1119" w:rsidP="006237C8">
      <w:pPr>
        <w:spacing w:line="480" w:lineRule="auto"/>
        <w:rPr>
          <w:b/>
          <w:shd w:val="clear" w:color="auto" w:fill="FFFFFF"/>
        </w:rPr>
      </w:pPr>
    </w:p>
    <w:p w14:paraId="74053B3D" w14:textId="375CAA8C" w:rsidR="006237C8" w:rsidRPr="006237C8" w:rsidRDefault="006237C8" w:rsidP="006237C8">
      <w:pPr>
        <w:spacing w:line="480" w:lineRule="auto"/>
        <w:rPr>
          <w:b/>
          <w:shd w:val="clear" w:color="auto" w:fill="FFFFFF"/>
        </w:rPr>
      </w:pPr>
      <w:r w:rsidRPr="006237C8">
        <w:rPr>
          <w:b/>
          <w:shd w:val="clear" w:color="auto" w:fill="FFFFFF"/>
        </w:rPr>
        <w:t>Introduction</w:t>
      </w:r>
    </w:p>
    <w:p w14:paraId="2A40B05C" w14:textId="2D779A8E" w:rsidR="00F96098" w:rsidRPr="00422BEF" w:rsidRDefault="004B54F8" w:rsidP="00422BEF">
      <w:pPr>
        <w:spacing w:line="480" w:lineRule="auto"/>
        <w:ind w:firstLine="720"/>
        <w:rPr>
          <w:shd w:val="clear" w:color="auto" w:fill="FFFFFF"/>
        </w:rPr>
      </w:pPr>
      <w:r w:rsidRPr="00422BEF">
        <w:rPr>
          <w:shd w:val="clear" w:color="auto" w:fill="FFFFFF"/>
        </w:rPr>
        <w:t>Trichotillomania</w:t>
      </w:r>
      <w:r w:rsidR="00901F70" w:rsidRPr="00422BEF">
        <w:rPr>
          <w:shd w:val="clear" w:color="auto" w:fill="FFFFFF"/>
        </w:rPr>
        <w:t xml:space="preserve"> </w:t>
      </w:r>
      <w:r w:rsidR="00390FFF" w:rsidRPr="00422BEF">
        <w:rPr>
          <w:shd w:val="clear" w:color="auto" w:fill="FFFFFF"/>
        </w:rPr>
        <w:t>(</w:t>
      </w:r>
      <w:r w:rsidR="00901F70" w:rsidRPr="00422BEF">
        <w:rPr>
          <w:shd w:val="clear" w:color="auto" w:fill="FFFFFF"/>
        </w:rPr>
        <w:t>TTM</w:t>
      </w:r>
      <w:r w:rsidR="00390FFF" w:rsidRPr="00422BEF">
        <w:rPr>
          <w:shd w:val="clear" w:color="auto" w:fill="FFFFFF"/>
        </w:rPr>
        <w:t xml:space="preserve">) </w:t>
      </w:r>
      <w:r w:rsidR="004628C8" w:rsidRPr="00422BEF">
        <w:rPr>
          <w:shd w:val="clear" w:color="auto" w:fill="FFFFFF"/>
        </w:rPr>
        <w:t>and Skin Picking Disorder</w:t>
      </w:r>
      <w:r w:rsidR="00390FFF" w:rsidRPr="00422BEF">
        <w:rPr>
          <w:shd w:val="clear" w:color="auto" w:fill="FFFFFF"/>
        </w:rPr>
        <w:t xml:space="preserve"> (SPD)</w:t>
      </w:r>
      <w:r w:rsidR="004628C8" w:rsidRPr="00422BEF">
        <w:rPr>
          <w:shd w:val="clear" w:color="auto" w:fill="FFFFFF"/>
        </w:rPr>
        <w:t>, are characterized by repeated pulling out of hair resulting in hair loss</w:t>
      </w:r>
      <w:r w:rsidR="007A21D7" w:rsidRPr="00422BEF">
        <w:rPr>
          <w:shd w:val="clear" w:color="auto" w:fill="FFFFFF"/>
        </w:rPr>
        <w:t xml:space="preserve"> or</w:t>
      </w:r>
      <w:r w:rsidR="004628C8" w:rsidRPr="00422BEF">
        <w:rPr>
          <w:shd w:val="clear" w:color="auto" w:fill="FFFFFF"/>
        </w:rPr>
        <w:t xml:space="preserve"> picking at skin resulting in tissue damage, respectively</w:t>
      </w:r>
      <w:r w:rsidR="000446F7" w:rsidRPr="00422BEF">
        <w:rPr>
          <w:shd w:val="clear" w:color="auto" w:fill="FFFFFF"/>
        </w:rPr>
        <w:t>.  These disorders</w:t>
      </w:r>
      <w:r w:rsidR="00A156FE" w:rsidRPr="00422BEF">
        <w:rPr>
          <w:shd w:val="clear" w:color="auto" w:fill="FFFFFF"/>
        </w:rPr>
        <w:t xml:space="preserve"> have been conceptualized </w:t>
      </w:r>
      <w:r w:rsidR="000446F7" w:rsidRPr="00422BEF">
        <w:rPr>
          <w:shd w:val="clear" w:color="auto" w:fill="FFFFFF"/>
        </w:rPr>
        <w:t>under the larger umbrella</w:t>
      </w:r>
      <w:r w:rsidR="00620D8B">
        <w:rPr>
          <w:shd w:val="clear" w:color="auto" w:fill="FFFFFF"/>
        </w:rPr>
        <w:t xml:space="preserve"> concept</w:t>
      </w:r>
      <w:r w:rsidR="000446F7" w:rsidRPr="00422BEF">
        <w:rPr>
          <w:shd w:val="clear" w:color="auto" w:fill="FFFFFF"/>
        </w:rPr>
        <w:t xml:space="preserve"> of</w:t>
      </w:r>
      <w:r w:rsidR="00A156FE" w:rsidRPr="00422BEF">
        <w:rPr>
          <w:shd w:val="clear" w:color="auto" w:fill="FFFFFF"/>
        </w:rPr>
        <w:t xml:space="preserve"> body focused repetitive behavior disorders (BFRBs)</w:t>
      </w:r>
      <w:r w:rsidR="00EA54AF" w:rsidRPr="00422BEF">
        <w:rPr>
          <w:shd w:val="clear" w:color="auto" w:fill="FFFFFF"/>
        </w:rPr>
        <w:t xml:space="preserve">. </w:t>
      </w:r>
      <w:r w:rsidR="00502E6E" w:rsidRPr="00422BEF">
        <w:rPr>
          <w:shd w:val="clear" w:color="auto" w:fill="FFFFFF"/>
        </w:rPr>
        <w:t xml:space="preserve"> Despite decades of research, effective treatments for BFRBs remain elusive</w:t>
      </w:r>
      <w:r w:rsidR="00FE74AE">
        <w:rPr>
          <w:shd w:val="clear" w:color="auto" w:fill="FFFFFF"/>
        </w:rPr>
        <w:t>.</w:t>
      </w:r>
      <w:r w:rsidR="00FE74AE">
        <w:rPr>
          <w:shd w:val="clear" w:color="auto" w:fill="FFFFFF"/>
          <w:vertAlign w:val="superscript"/>
        </w:rPr>
        <w:t>1-2</w:t>
      </w:r>
      <w:r w:rsidR="00A156FE" w:rsidRPr="00422BEF">
        <w:rPr>
          <w:shd w:val="clear" w:color="auto" w:fill="FFFFFF"/>
        </w:rPr>
        <w:t xml:space="preserve"> </w:t>
      </w:r>
      <w:r w:rsidR="00970800" w:rsidRPr="00422BEF">
        <w:rPr>
          <w:shd w:val="clear" w:color="auto" w:fill="FFFFFF"/>
        </w:rPr>
        <w:t xml:space="preserve">One issue that has </w:t>
      </w:r>
      <w:r w:rsidR="00833A14" w:rsidRPr="00422BEF">
        <w:rPr>
          <w:shd w:val="clear" w:color="auto" w:fill="FFFFFF"/>
        </w:rPr>
        <w:t>thwarted</w:t>
      </w:r>
      <w:r w:rsidR="00970800" w:rsidRPr="00422BEF">
        <w:rPr>
          <w:shd w:val="clear" w:color="auto" w:fill="FFFFFF"/>
        </w:rPr>
        <w:t xml:space="preserve"> treatment development</w:t>
      </w:r>
      <w:r w:rsidR="001065A5">
        <w:rPr>
          <w:shd w:val="clear" w:color="auto" w:fill="FFFFFF"/>
        </w:rPr>
        <w:t xml:space="preserve"> for BFRBs</w:t>
      </w:r>
      <w:r w:rsidR="00970800" w:rsidRPr="00422BEF">
        <w:rPr>
          <w:shd w:val="clear" w:color="auto" w:fill="FFFFFF"/>
        </w:rPr>
        <w:t xml:space="preserve"> is </w:t>
      </w:r>
      <w:r w:rsidR="00502E6E" w:rsidRPr="00422BEF">
        <w:rPr>
          <w:shd w:val="clear" w:color="auto" w:fill="FFFFFF"/>
        </w:rPr>
        <w:t>the lack of any clear pathophysiological targets</w:t>
      </w:r>
      <w:r w:rsidR="00091186">
        <w:rPr>
          <w:shd w:val="clear" w:color="auto" w:fill="FFFFFF"/>
        </w:rPr>
        <w:t xml:space="preserve"> (multiple brain areas and circuits have been examined in small studies and oftentimes conflicting studies</w:t>
      </w:r>
      <w:r w:rsidR="00FE74AE">
        <w:rPr>
          <w:shd w:val="clear" w:color="auto" w:fill="FFFFFF"/>
          <w:vertAlign w:val="superscript"/>
        </w:rPr>
        <w:t>3-18</w:t>
      </w:r>
      <w:r w:rsidR="00091186">
        <w:rPr>
          <w:shd w:val="clear" w:color="auto" w:fill="FFFFFF"/>
        </w:rPr>
        <w:t>)</w:t>
      </w:r>
      <w:r w:rsidR="00502E6E" w:rsidRPr="00422BEF">
        <w:rPr>
          <w:shd w:val="clear" w:color="auto" w:fill="FFFFFF"/>
        </w:rPr>
        <w:t>.</w:t>
      </w:r>
      <w:r w:rsidR="00970800" w:rsidRPr="00422BEF">
        <w:rPr>
          <w:shd w:val="clear" w:color="auto" w:fill="FFFFFF"/>
        </w:rPr>
        <w:t xml:space="preserve"> </w:t>
      </w:r>
    </w:p>
    <w:p w14:paraId="6748DAD8" w14:textId="67CABC70" w:rsidR="005E0F96" w:rsidRPr="00422BEF" w:rsidRDefault="005E0F96" w:rsidP="00422BEF">
      <w:pPr>
        <w:pStyle w:val="NormalWeb"/>
        <w:spacing w:before="0" w:beforeAutospacing="0" w:after="0" w:afterAutospacing="0" w:line="480" w:lineRule="auto"/>
        <w:ind w:firstLine="720"/>
        <w:rPr>
          <w:rFonts w:ascii="Times New Roman" w:hAnsi="Times New Roman"/>
          <w:sz w:val="24"/>
          <w:szCs w:val="24"/>
          <w:shd w:val="clear" w:color="auto" w:fill="FFFFFF"/>
        </w:rPr>
      </w:pPr>
      <w:r w:rsidRPr="00422BEF">
        <w:rPr>
          <w:rFonts w:ascii="Times New Roman" w:hAnsi="Times New Roman"/>
          <w:sz w:val="24"/>
          <w:szCs w:val="24"/>
          <w:shd w:val="clear" w:color="auto" w:fill="FFFFFF"/>
        </w:rPr>
        <w:t>In the related area of obsessive compulsive disorder (OCD), recent research suggests that subtypes of OCD may in fact have</w:t>
      </w:r>
      <w:r w:rsidR="00620D8B">
        <w:rPr>
          <w:rFonts w:ascii="Times New Roman" w:hAnsi="Times New Roman"/>
          <w:sz w:val="24"/>
          <w:szCs w:val="24"/>
          <w:shd w:val="clear" w:color="auto" w:fill="FFFFFF"/>
        </w:rPr>
        <w:t xml:space="preserve"> partially</w:t>
      </w:r>
      <w:r w:rsidRPr="00422BEF">
        <w:rPr>
          <w:rFonts w:ascii="Times New Roman" w:hAnsi="Times New Roman"/>
          <w:sz w:val="24"/>
          <w:szCs w:val="24"/>
          <w:shd w:val="clear" w:color="auto" w:fill="FFFFFF"/>
        </w:rPr>
        <w:t xml:space="preserve"> distinct biological </w:t>
      </w:r>
      <w:r w:rsidR="00620D8B">
        <w:rPr>
          <w:rFonts w:ascii="Times New Roman" w:hAnsi="Times New Roman"/>
          <w:sz w:val="24"/>
          <w:szCs w:val="24"/>
          <w:shd w:val="clear" w:color="auto" w:fill="FFFFFF"/>
        </w:rPr>
        <w:t>underpinnings</w:t>
      </w:r>
      <w:r w:rsidRPr="00422BEF">
        <w:rPr>
          <w:rFonts w:ascii="Times New Roman" w:hAnsi="Times New Roman"/>
          <w:sz w:val="24"/>
          <w:szCs w:val="24"/>
          <w:shd w:val="clear" w:color="auto" w:fill="FFFFFF"/>
        </w:rPr>
        <w:t>.</w:t>
      </w:r>
      <w:r w:rsidRPr="00422BEF">
        <w:rPr>
          <w:rFonts w:ascii="Times New Roman" w:hAnsi="Times New Roman"/>
          <w:color w:val="auto"/>
          <w:sz w:val="24"/>
          <w:szCs w:val="24"/>
        </w:rPr>
        <w:t xml:space="preserve"> Using magnetic resonance imaging (MRI) in 37 OCD patients and 37 matched controls, Okada and colleagues found significant </w:t>
      </w:r>
      <w:r w:rsidRPr="005E0F96">
        <w:rPr>
          <w:rFonts w:ascii="Times New Roman" w:hAnsi="Times New Roman"/>
          <w:sz w:val="24"/>
          <w:szCs w:val="24"/>
        </w:rPr>
        <w:t>negative correlations between symptomatic dimension scores and regional GM volumes</w:t>
      </w:r>
      <w:r w:rsidRPr="00422BEF">
        <w:rPr>
          <w:rFonts w:ascii="Times New Roman" w:hAnsi="Times New Roman"/>
          <w:sz w:val="24"/>
          <w:szCs w:val="24"/>
        </w:rPr>
        <w:t xml:space="preserve"> such as </w:t>
      </w:r>
      <w:r w:rsidRPr="005E0F96">
        <w:rPr>
          <w:rFonts w:ascii="Times New Roman" w:hAnsi="Times New Roman"/>
          <w:sz w:val="24"/>
          <w:szCs w:val="24"/>
        </w:rPr>
        <w:t>decreased right cerebellum in 'aggression/checking' and decreased right insula in 'contamination/washing'</w:t>
      </w:r>
      <w:r w:rsidR="00FE74AE">
        <w:rPr>
          <w:rFonts w:ascii="Times New Roman" w:hAnsi="Times New Roman"/>
          <w:sz w:val="24"/>
          <w:szCs w:val="24"/>
        </w:rPr>
        <w:t>.</w:t>
      </w:r>
      <w:r w:rsidR="00FE74AE">
        <w:rPr>
          <w:rFonts w:ascii="Times New Roman" w:hAnsi="Times New Roman"/>
          <w:sz w:val="24"/>
          <w:szCs w:val="24"/>
          <w:vertAlign w:val="superscript"/>
        </w:rPr>
        <w:t>19</w:t>
      </w:r>
      <w:r w:rsidRPr="005E0F96">
        <w:rPr>
          <w:rFonts w:ascii="Times New Roman" w:hAnsi="Times New Roman"/>
          <w:sz w:val="24"/>
          <w:szCs w:val="24"/>
        </w:rPr>
        <w:t xml:space="preserve"> </w:t>
      </w:r>
      <w:r w:rsidRPr="00422BEF">
        <w:rPr>
          <w:rFonts w:ascii="Times New Roman" w:hAnsi="Times New Roman"/>
          <w:sz w:val="24"/>
          <w:szCs w:val="24"/>
        </w:rPr>
        <w:t>In another study, this time using a different approach to subtyping in OCD, Subira and colleagues</w:t>
      </w:r>
      <w:r w:rsidR="00FE74AE">
        <w:rPr>
          <w:rFonts w:ascii="Times New Roman" w:hAnsi="Times New Roman"/>
          <w:sz w:val="24"/>
          <w:szCs w:val="24"/>
          <w:vertAlign w:val="superscript"/>
        </w:rPr>
        <w:t>20</w:t>
      </w:r>
      <w:r w:rsidR="001065A5">
        <w:rPr>
          <w:rFonts w:ascii="Times New Roman" w:hAnsi="Times New Roman"/>
          <w:sz w:val="24"/>
          <w:szCs w:val="24"/>
        </w:rPr>
        <w:t xml:space="preserve"> </w:t>
      </w:r>
      <w:r w:rsidRPr="00422BEF">
        <w:rPr>
          <w:rFonts w:ascii="Times New Roman" w:hAnsi="Times New Roman"/>
          <w:sz w:val="24"/>
          <w:szCs w:val="24"/>
        </w:rPr>
        <w:t>examine</w:t>
      </w:r>
      <w:r w:rsidR="003248C6">
        <w:rPr>
          <w:rFonts w:ascii="Times New Roman" w:hAnsi="Times New Roman"/>
          <w:sz w:val="24"/>
          <w:szCs w:val="24"/>
        </w:rPr>
        <w:t>d</w:t>
      </w:r>
      <w:r w:rsidRPr="00422BEF">
        <w:rPr>
          <w:rFonts w:ascii="Times New Roman" w:hAnsi="Times New Roman"/>
          <w:sz w:val="24"/>
          <w:szCs w:val="24"/>
        </w:rPr>
        <w:t xml:space="preserve"> the structural biology using a two-group classification of OCD, </w:t>
      </w:r>
      <w:r w:rsidR="001065A5">
        <w:rPr>
          <w:rFonts w:ascii="Times New Roman" w:hAnsi="Times New Roman"/>
          <w:sz w:val="24"/>
          <w:szCs w:val="24"/>
        </w:rPr>
        <w:t xml:space="preserve">in </w:t>
      </w:r>
      <w:r w:rsidRPr="00422BEF">
        <w:rPr>
          <w:rFonts w:ascii="Times New Roman" w:hAnsi="Times New Roman"/>
          <w:sz w:val="24"/>
          <w:szCs w:val="24"/>
        </w:rPr>
        <w:t xml:space="preserve">95 people </w:t>
      </w:r>
      <w:r w:rsidR="001065A5">
        <w:rPr>
          <w:rFonts w:ascii="Times New Roman" w:hAnsi="Times New Roman"/>
          <w:sz w:val="24"/>
          <w:szCs w:val="24"/>
        </w:rPr>
        <w:t>wi</w:t>
      </w:r>
      <w:r w:rsidRPr="00422BEF">
        <w:rPr>
          <w:rFonts w:ascii="Times New Roman" w:hAnsi="Times New Roman"/>
          <w:sz w:val="24"/>
          <w:szCs w:val="24"/>
        </w:rPr>
        <w:t>th OCD and 95 controls</w:t>
      </w:r>
      <w:r w:rsidR="001065A5">
        <w:rPr>
          <w:rFonts w:ascii="Times New Roman" w:hAnsi="Times New Roman"/>
          <w:sz w:val="24"/>
          <w:szCs w:val="24"/>
        </w:rPr>
        <w:t>.  T</w:t>
      </w:r>
      <w:r w:rsidRPr="00422BEF">
        <w:rPr>
          <w:rFonts w:ascii="Times New Roman" w:hAnsi="Times New Roman"/>
          <w:sz w:val="24"/>
          <w:szCs w:val="24"/>
        </w:rPr>
        <w:t xml:space="preserve">hey found that in comparison to the autogenous group, reactive patients showed larger gray matter volumes in the right </w:t>
      </w:r>
      <w:r w:rsidR="001065A5">
        <w:rPr>
          <w:rFonts w:ascii="Times New Roman" w:hAnsi="Times New Roman"/>
          <w:sz w:val="24"/>
          <w:szCs w:val="24"/>
        </w:rPr>
        <w:t>r</w:t>
      </w:r>
      <w:r w:rsidRPr="00422BEF">
        <w:rPr>
          <w:rFonts w:ascii="Times New Roman" w:hAnsi="Times New Roman"/>
          <w:sz w:val="24"/>
          <w:szCs w:val="24"/>
        </w:rPr>
        <w:t xml:space="preserve">olandic operculum. When compared to healthy controls, reactive patients showed larger volumes in the putamen (bilaterally), while autogenous patients showed a smaller left anterior temporal lobe.  What becomes clear from this limited research is that </w:t>
      </w:r>
      <w:r w:rsidRPr="00422BEF">
        <w:rPr>
          <w:rFonts w:ascii="Times New Roman" w:hAnsi="Times New Roman"/>
          <w:sz w:val="24"/>
          <w:szCs w:val="24"/>
        </w:rPr>
        <w:lastRenderedPageBreak/>
        <w:t>if one is to find meaningful biological differences in subtypes of a disorder, that those subtypes should be well established.</w:t>
      </w:r>
    </w:p>
    <w:p w14:paraId="1D821298" w14:textId="712FC993" w:rsidR="00970800" w:rsidRDefault="00970800" w:rsidP="00422BEF">
      <w:pPr>
        <w:spacing w:line="480" w:lineRule="auto"/>
        <w:ind w:firstLine="720"/>
      </w:pPr>
      <w:r w:rsidRPr="00422BEF">
        <w:rPr>
          <w:shd w:val="clear" w:color="auto" w:fill="FFFFFF"/>
        </w:rPr>
        <w:t>To</w:t>
      </w:r>
      <w:r w:rsidR="00422BEF" w:rsidRPr="00422BEF">
        <w:rPr>
          <w:shd w:val="clear" w:color="auto" w:fill="FFFFFF"/>
        </w:rPr>
        <w:t>ward that end</w:t>
      </w:r>
      <w:r>
        <w:rPr>
          <w:shd w:val="clear" w:color="auto" w:fill="FFFFFF"/>
        </w:rPr>
        <w:t>, we recently completed the largest and most comprehensive multi-site phenomenological study of BFRBs</w:t>
      </w:r>
      <w:r w:rsidR="00FE74AE">
        <w:rPr>
          <w:shd w:val="clear" w:color="auto" w:fill="FFFFFF"/>
        </w:rPr>
        <w:t>.</w:t>
      </w:r>
      <w:r w:rsidR="00FE74AE">
        <w:rPr>
          <w:shd w:val="clear" w:color="auto" w:fill="FFFFFF"/>
          <w:vertAlign w:val="superscript"/>
        </w:rPr>
        <w:t>21</w:t>
      </w:r>
      <w:r>
        <w:rPr>
          <w:shd w:val="clear" w:color="auto" w:fill="FFFFFF"/>
        </w:rPr>
        <w:t xml:space="preserve"> Using multiple clinical and cognitive measures and advanced statistical </w:t>
      </w:r>
      <w:r w:rsidR="00502E6E">
        <w:rPr>
          <w:shd w:val="clear" w:color="auto" w:fill="FFFFFF"/>
        </w:rPr>
        <w:t>methodology,</w:t>
      </w:r>
      <w:r>
        <w:rPr>
          <w:shd w:val="clear" w:color="auto" w:fill="FFFFFF"/>
        </w:rPr>
        <w:t xml:space="preserve"> we found evidence for </w:t>
      </w:r>
      <w:r w:rsidRPr="004B2B6E">
        <w:rPr>
          <w:lang w:val="en-GB"/>
        </w:rPr>
        <w:t>t</w:t>
      </w:r>
      <w:r>
        <w:rPr>
          <w:lang w:val="en-GB"/>
        </w:rPr>
        <w:t>hree</w:t>
      </w:r>
      <w:r w:rsidRPr="004B2B6E">
        <w:rPr>
          <w:lang w:val="en-GB"/>
        </w:rPr>
        <w:t xml:space="preserve"> sub</w:t>
      </w:r>
      <w:r>
        <w:rPr>
          <w:lang w:val="en-GB"/>
        </w:rPr>
        <w:t>types</w:t>
      </w:r>
      <w:r w:rsidRPr="004B2B6E">
        <w:rPr>
          <w:lang w:val="en-GB"/>
        </w:rPr>
        <w:t xml:space="preserve"> </w:t>
      </w:r>
      <w:r>
        <w:rPr>
          <w:lang w:val="en-GB"/>
        </w:rPr>
        <w:t xml:space="preserve">of TTM </w:t>
      </w:r>
      <w:r w:rsidRPr="004B2B6E">
        <w:rPr>
          <w:lang w:val="en-GB"/>
        </w:rPr>
        <w:t>with unique clinical presentations</w:t>
      </w:r>
      <w:r>
        <w:rPr>
          <w:lang w:val="en-GB"/>
        </w:rPr>
        <w:t>: one s</w:t>
      </w:r>
      <w:r>
        <w:t xml:space="preserve">ubtype referred to as “sensory sensitive pullers” characterized by highly focused pulling, but infrequent and low intensity urges to pull; another referred to as “low awareness pullers” characterized by automatic pulling and pulling due to emotional triggers; and a final subtype </w:t>
      </w:r>
      <w:r w:rsidR="008153FE">
        <w:t>of</w:t>
      </w:r>
      <w:r>
        <w:t xml:space="preserve"> “impulsive/perfectionist pullers” who pull to control unpleasant feelings and feel unable to resist their pulling.  In terms of SPD, we identified </w:t>
      </w:r>
      <w:r w:rsidR="00833A14">
        <w:t xml:space="preserve">two </w:t>
      </w:r>
      <w:r>
        <w:t>potential</w:t>
      </w:r>
      <w:r w:rsidR="00833A14">
        <w:t xml:space="preserve"> </w:t>
      </w:r>
      <w:r>
        <w:t xml:space="preserve">subtypes: </w:t>
      </w:r>
      <w:r w:rsidR="008153FE">
        <w:t>“em</w:t>
      </w:r>
      <w:r>
        <w:rPr>
          <w:lang w:val="en-GB"/>
        </w:rPr>
        <w:t xml:space="preserve">otional/reward pickers” </w:t>
      </w:r>
      <w:r w:rsidR="00833A14">
        <w:rPr>
          <w:lang w:val="en-GB"/>
        </w:rPr>
        <w:t>with</w:t>
      </w:r>
      <w:r>
        <w:t xml:space="preserve"> strong and frequent urges to pick, picking from negative emotions as well as automatic picking, and reporting little control</w:t>
      </w:r>
      <w:r w:rsidR="00833A14">
        <w:t>;</w:t>
      </w:r>
      <w:r>
        <w:t xml:space="preserve"> and a second subtype </w:t>
      </w:r>
      <w:r w:rsidR="00833A14">
        <w:t xml:space="preserve">of </w:t>
      </w:r>
      <w:r>
        <w:t xml:space="preserve">“functional pickers” </w:t>
      </w:r>
      <w:r w:rsidR="00833A14">
        <w:t xml:space="preserve">who have </w:t>
      </w:r>
      <w:r>
        <w:t>fairly mild SPD, lower urges to pick, and overall little distress or impact from the picking</w:t>
      </w:r>
      <w:r w:rsidR="00AE5F1B">
        <w:t>.</w:t>
      </w:r>
      <w:r w:rsidR="00AE5F1B">
        <w:rPr>
          <w:vertAlign w:val="superscript"/>
        </w:rPr>
        <w:t>21</w:t>
      </w:r>
      <w:r>
        <w:t xml:space="preserve"> </w:t>
      </w:r>
    </w:p>
    <w:p w14:paraId="460CFB38" w14:textId="3B9E19AE" w:rsidR="00AA1516" w:rsidRPr="00E840C9" w:rsidRDefault="00833A14" w:rsidP="00634403">
      <w:pPr>
        <w:spacing w:line="480" w:lineRule="auto"/>
        <w:ind w:firstLine="720"/>
      </w:pPr>
      <w:r>
        <w:rPr>
          <w:shd w:val="clear" w:color="auto" w:fill="FFFFFF"/>
        </w:rPr>
        <w:t xml:space="preserve">Although </w:t>
      </w:r>
      <w:r w:rsidR="00A62140">
        <w:rPr>
          <w:shd w:val="clear" w:color="auto" w:fill="FFFFFF"/>
        </w:rPr>
        <w:t>our</w:t>
      </w:r>
      <w:r>
        <w:rPr>
          <w:shd w:val="clear" w:color="auto" w:fill="FFFFFF"/>
        </w:rPr>
        <w:t xml:space="preserve"> recent research allows for greater understanding of the clinical heterogeneity of these disorders, a similar</w:t>
      </w:r>
      <w:r w:rsidR="00B80661" w:rsidRPr="00B80661">
        <w:rPr>
          <w:shd w:val="clear" w:color="auto" w:fill="FFFFFF"/>
        </w:rPr>
        <w:t xml:space="preserve"> understanding of the </w:t>
      </w:r>
      <w:r w:rsidR="005B39FC">
        <w:rPr>
          <w:shd w:val="clear" w:color="auto" w:fill="FFFFFF"/>
        </w:rPr>
        <w:t xml:space="preserve">neurobiology </w:t>
      </w:r>
      <w:r w:rsidR="00B80661" w:rsidRPr="00B80661">
        <w:rPr>
          <w:shd w:val="clear" w:color="auto" w:fill="FFFFFF"/>
        </w:rPr>
        <w:t>of BFRBs remains limited</w:t>
      </w:r>
      <w:r w:rsidR="00B80661">
        <w:rPr>
          <w:shd w:val="clear" w:color="auto" w:fill="FFFFFF"/>
        </w:rPr>
        <w:t xml:space="preserve">.  </w:t>
      </w:r>
      <w:r w:rsidR="00970800">
        <w:rPr>
          <w:shd w:val="clear" w:color="auto" w:fill="FFFFFF"/>
        </w:rPr>
        <w:t>Therefore, if the clinical subtypes are potentially meaningful it would require that there be an identifiable neurobiology of the subtyp</w:t>
      </w:r>
      <w:r w:rsidR="004F0395">
        <w:rPr>
          <w:shd w:val="clear" w:color="auto" w:fill="FFFFFF"/>
        </w:rPr>
        <w:t>e</w:t>
      </w:r>
      <w:r w:rsidR="00970800">
        <w:rPr>
          <w:shd w:val="clear" w:color="auto" w:fill="FFFFFF"/>
        </w:rPr>
        <w:t xml:space="preserve">s. </w:t>
      </w:r>
      <w:r w:rsidR="00634403">
        <w:rPr>
          <w:shd w:val="clear" w:color="auto" w:fill="FFFFFF"/>
        </w:rPr>
        <w:t xml:space="preserve">Thus, the objective of this study </w:t>
      </w:r>
      <w:r w:rsidR="00634403">
        <w:t>wa</w:t>
      </w:r>
      <w:r w:rsidR="00AA1516" w:rsidRPr="00E840C9">
        <w:t xml:space="preserve">s to </w:t>
      </w:r>
      <w:r w:rsidR="001C46EC">
        <w:t xml:space="preserve">examine </w:t>
      </w:r>
      <w:r w:rsidR="004F0395">
        <w:t>brain structure across the subtypes of TTM and SPD to determine if the clinical subtyping reflected unique biological underpinnings</w:t>
      </w:r>
      <w:r w:rsidR="005D6B51">
        <w:t>.</w:t>
      </w:r>
    </w:p>
    <w:p w14:paraId="7DAEDC4B" w14:textId="77777777" w:rsidR="00182A11" w:rsidRPr="00E840C9" w:rsidRDefault="00182A11" w:rsidP="00C137FF">
      <w:pPr>
        <w:tabs>
          <w:tab w:val="num" w:pos="0"/>
        </w:tabs>
        <w:spacing w:line="480" w:lineRule="auto"/>
      </w:pPr>
    </w:p>
    <w:p w14:paraId="59280E0B" w14:textId="50F45097" w:rsidR="00B072B9" w:rsidRPr="00E840C9" w:rsidRDefault="007C31FB" w:rsidP="007C31FB">
      <w:pPr>
        <w:spacing w:line="480" w:lineRule="auto"/>
        <w:rPr>
          <w:b/>
        </w:rPr>
      </w:pPr>
      <w:r>
        <w:rPr>
          <w:b/>
        </w:rPr>
        <w:t xml:space="preserve">Methods </w:t>
      </w:r>
    </w:p>
    <w:p w14:paraId="7EC22EE3" w14:textId="36FFCE76" w:rsidR="004F0395" w:rsidRDefault="004F0395" w:rsidP="004F0395">
      <w:pPr>
        <w:spacing w:line="480" w:lineRule="auto"/>
        <w:ind w:firstLine="720"/>
      </w:pPr>
      <w:r w:rsidRPr="00E840C9">
        <w:lastRenderedPageBreak/>
        <w:t>Participants include</w:t>
      </w:r>
      <w:r>
        <w:t>d</w:t>
      </w:r>
      <w:r w:rsidRPr="00E840C9">
        <w:t xml:space="preserve"> </w:t>
      </w:r>
      <w:r>
        <w:t>2</w:t>
      </w:r>
      <w:r w:rsidR="00087CB8">
        <w:t>5</w:t>
      </w:r>
      <w:r w:rsidR="003248C6">
        <w:t>1</w:t>
      </w:r>
      <w:r w:rsidRPr="00E840C9">
        <w:t xml:space="preserve"> adults recruited </w:t>
      </w:r>
      <w:r>
        <w:t>from the community and identified as having either a BFRB (meeting DSM-5 criteria for TTM, SPD, or both as their primary psychiatric problem</w:t>
      </w:r>
      <w:r w:rsidR="008D2425">
        <w:t>)</w:t>
      </w:r>
      <w:r>
        <w:t xml:space="preserve"> or being a healthy control.  </w:t>
      </w:r>
      <w:r w:rsidR="00C87850">
        <w:t>Four</w:t>
      </w:r>
      <w:r w:rsidRPr="001664C1">
        <w:t xml:space="preserve"> sites were involved in recruitment: University of Chicago, University of California, Los Angeles, </w:t>
      </w:r>
      <w:r w:rsidR="00FE310B">
        <w:t xml:space="preserve">and </w:t>
      </w:r>
      <w:r w:rsidRPr="001664C1">
        <w:t>Massachusetts General Hospital/Harvard</w:t>
      </w:r>
      <w:r>
        <w:t xml:space="preserve"> Medical School</w:t>
      </w:r>
      <w:r w:rsidR="00C87850">
        <w:t>, and Stellenbosch University, South Africa</w:t>
      </w:r>
      <w:r w:rsidRPr="001664C1">
        <w:t>.  Recruitment started in October 2017 and ended in March 2019.</w:t>
      </w:r>
      <w:r>
        <w:t xml:space="preserve"> </w:t>
      </w:r>
    </w:p>
    <w:p w14:paraId="7A8DB1BF" w14:textId="10DE12BC" w:rsidR="004F0395" w:rsidRDefault="004F0395" w:rsidP="004F0395">
      <w:pPr>
        <w:spacing w:line="480" w:lineRule="auto"/>
        <w:ind w:firstLine="720"/>
      </w:pPr>
      <w:r>
        <w:t>Inclusion criteria for the clinical sample were: a) DSM-5 diagnosis of TTM and/or SPD; b) aged 18 to 65 years; c) fluency in English; and d) capable of providing informed consent. Inclusion criteria for the healthy controls were the same except they could have no current or lifetime history of any DSM-5 psychiatric disorder</w:t>
      </w:r>
      <w:r w:rsidR="00891B83">
        <w:t xml:space="preserve"> based on screening (see below)</w:t>
      </w:r>
      <w:r>
        <w:t xml:space="preserve">. </w:t>
      </w:r>
    </w:p>
    <w:p w14:paraId="28E8F32F" w14:textId="4BEC46EA" w:rsidR="004F0395" w:rsidRPr="00E840C9" w:rsidRDefault="004F0395" w:rsidP="004F0395">
      <w:pPr>
        <w:spacing w:line="480" w:lineRule="auto"/>
        <w:ind w:firstLine="720"/>
      </w:pPr>
      <w:r>
        <w:t>Exclusion criteria for the clinical sample and healthy controls were: (a) current or lifetime diagnosis of any serious medical or psychiatric illness that would preclude successful study participation</w:t>
      </w:r>
      <w:r w:rsidR="00891B83">
        <w:t>, based on screening</w:t>
      </w:r>
      <w:r>
        <w:t xml:space="preserve">; (b) neurological conditions that would preclude completion of neurocognitive tasks; (c) use of psychotropic medications unless the dose had been </w:t>
      </w:r>
      <w:r w:rsidRPr="00E2611F">
        <w:t xml:space="preserve">stable </w:t>
      </w:r>
      <w:r>
        <w:t xml:space="preserve">for at least the past 3 months; (d) </w:t>
      </w:r>
      <w:r w:rsidR="00FE74AE">
        <w:t xml:space="preserve">change in frequency or type of psychotherapy for at least the past 3 months; (e) </w:t>
      </w:r>
      <w:r>
        <w:t>body metal other than dental fillings (assessed using a neuroimaging screening form); (</w:t>
      </w:r>
      <w:r w:rsidR="00FE74AE">
        <w:t>f</w:t>
      </w:r>
      <w:r>
        <w:t>) positive pregnancy test for females of childbearing age; and (</w:t>
      </w:r>
      <w:r w:rsidR="00FE74AE">
        <w:t>g</w:t>
      </w:r>
      <w:r>
        <w:t>) medical condition or other factor that would interfere in the subject’s ability to participate in the study.</w:t>
      </w:r>
      <w:r w:rsidRPr="002D3A97">
        <w:t xml:space="preserve"> </w:t>
      </w:r>
    </w:p>
    <w:p w14:paraId="0BC6233A" w14:textId="77777777" w:rsidR="004F0395" w:rsidRDefault="004F0395" w:rsidP="004F0395">
      <w:pPr>
        <w:spacing w:line="480" w:lineRule="auto"/>
        <w:rPr>
          <w:b/>
        </w:rPr>
      </w:pPr>
    </w:p>
    <w:p w14:paraId="4B4210AE" w14:textId="77777777" w:rsidR="004F0395" w:rsidRPr="003A272B" w:rsidRDefault="004F0395" w:rsidP="004F0395">
      <w:pPr>
        <w:spacing w:line="480" w:lineRule="auto"/>
        <w:rPr>
          <w:b/>
          <w:i/>
        </w:rPr>
      </w:pPr>
      <w:r w:rsidRPr="003A272B">
        <w:rPr>
          <w:b/>
          <w:i/>
        </w:rPr>
        <w:t>Procedures</w:t>
      </w:r>
    </w:p>
    <w:p w14:paraId="0EA48FA7" w14:textId="1574A40D" w:rsidR="004F0395" w:rsidRPr="00FE310B" w:rsidRDefault="004F0395" w:rsidP="00FE310B">
      <w:pPr>
        <w:pStyle w:val="CommentText"/>
        <w:spacing w:line="480" w:lineRule="auto"/>
        <w:ind w:firstLine="720"/>
        <w:rPr>
          <w:color w:val="000000"/>
          <w:sz w:val="24"/>
          <w:szCs w:val="24"/>
        </w:rPr>
      </w:pPr>
      <w:r w:rsidRPr="00FE310B">
        <w:rPr>
          <w:color w:val="000000"/>
          <w:sz w:val="24"/>
          <w:szCs w:val="24"/>
        </w:rPr>
        <w:lastRenderedPageBreak/>
        <w:t xml:space="preserve">Potential participants were screened by the study site coordinator, who then scheduled an interview date.  After receiving a complete description of the study, participants provided written informed consent. Participants received </w:t>
      </w:r>
      <w:r w:rsidRPr="00FE310B">
        <w:rPr>
          <w:sz w:val="24"/>
          <w:szCs w:val="24"/>
        </w:rPr>
        <w:t>a cash incentive for participation to reimburse them for their time and transport costs.</w:t>
      </w:r>
      <w:r w:rsidRPr="00FE310B">
        <w:rPr>
          <w:color w:val="000000"/>
          <w:sz w:val="24"/>
          <w:szCs w:val="24"/>
        </w:rPr>
        <w:t xml:space="preserve"> The authors assert that all procedures contributing to this work compl</w:t>
      </w:r>
      <w:r w:rsidR="00891B83">
        <w:rPr>
          <w:color w:val="000000"/>
          <w:sz w:val="24"/>
          <w:szCs w:val="24"/>
        </w:rPr>
        <w:t xml:space="preserve">ied </w:t>
      </w:r>
      <w:r w:rsidRPr="00FE310B">
        <w:rPr>
          <w:color w:val="000000"/>
          <w:sz w:val="24"/>
          <w:szCs w:val="24"/>
        </w:rPr>
        <w:t xml:space="preserve">with the ethical standards of the relevant national and institutional committees on human experimentation and with the Helsinki Declaration of 1975, as revised in 2008.  All procedures involving human subjects were approved by the Institutional Review Boards at each of the participating universities. Data sharing agreements were arranged across all sites.  </w:t>
      </w:r>
    </w:p>
    <w:p w14:paraId="5A27B7EF" w14:textId="77777777" w:rsidR="004F0395" w:rsidRDefault="004F0395" w:rsidP="004F0395">
      <w:pPr>
        <w:spacing w:line="480" w:lineRule="auto"/>
        <w:rPr>
          <w:color w:val="000000"/>
        </w:rPr>
      </w:pPr>
    </w:p>
    <w:p w14:paraId="40C8237E" w14:textId="77777777" w:rsidR="004F0395" w:rsidRPr="009C785D" w:rsidRDefault="004F0395" w:rsidP="004F0395">
      <w:pPr>
        <w:spacing w:line="480" w:lineRule="auto"/>
        <w:rPr>
          <w:b/>
          <w:i/>
          <w:color w:val="000000"/>
        </w:rPr>
      </w:pPr>
      <w:r w:rsidRPr="009C785D">
        <w:rPr>
          <w:b/>
          <w:i/>
          <w:color w:val="000000"/>
        </w:rPr>
        <w:t>Assessments</w:t>
      </w:r>
    </w:p>
    <w:p w14:paraId="5906602E" w14:textId="3212F6CA" w:rsidR="004F0395" w:rsidRDefault="004F0395" w:rsidP="004F0395">
      <w:pPr>
        <w:spacing w:line="480" w:lineRule="auto"/>
        <w:ind w:firstLine="720"/>
        <w:rPr>
          <w:color w:val="000000"/>
        </w:rPr>
      </w:pPr>
      <w:r w:rsidRPr="00827BA9">
        <w:rPr>
          <w:color w:val="000000"/>
        </w:rPr>
        <w:t xml:space="preserve">All participants </w:t>
      </w:r>
      <w:r>
        <w:rPr>
          <w:color w:val="000000"/>
        </w:rPr>
        <w:t>completed a comprehensive</w:t>
      </w:r>
      <w:r w:rsidRPr="00827BA9">
        <w:rPr>
          <w:color w:val="000000"/>
        </w:rPr>
        <w:t xml:space="preserve"> diagnostic interview (Mini International Neuropsychiatric Interview 7.0 (MINI 7.0</w:t>
      </w:r>
      <w:r>
        <w:rPr>
          <w:color w:val="000000"/>
        </w:rPr>
        <w:t>)</w:t>
      </w:r>
      <w:r w:rsidR="00AE5F1B">
        <w:rPr>
          <w:color w:val="000000"/>
          <w:vertAlign w:val="superscript"/>
        </w:rPr>
        <w:t>22</w:t>
      </w:r>
      <w:r w:rsidRPr="00827BA9">
        <w:rPr>
          <w:color w:val="000000"/>
        </w:rPr>
        <w:t>; BFRB diagnostic modules and symptom severity scales</w:t>
      </w:r>
      <w:r w:rsidR="00FE310B">
        <w:rPr>
          <w:color w:val="000000"/>
        </w:rPr>
        <w:t>;</w:t>
      </w:r>
      <w:r w:rsidRPr="00827BA9">
        <w:rPr>
          <w:color w:val="000000"/>
        </w:rPr>
        <w:t xml:space="preserve"> </w:t>
      </w:r>
      <w:r w:rsidR="008D2425">
        <w:rPr>
          <w:color w:val="000000"/>
        </w:rPr>
        <w:t xml:space="preserve">and </w:t>
      </w:r>
      <w:r w:rsidRPr="00827BA9">
        <w:rPr>
          <w:color w:val="000000"/>
        </w:rPr>
        <w:t>self-report questionnaires regarding BFRB symptoms, general psychopathology, quality of life, and family environment</w:t>
      </w:r>
      <w:r w:rsidR="008D2425">
        <w:rPr>
          <w:color w:val="000000"/>
        </w:rPr>
        <w:t xml:space="preserve">. </w:t>
      </w:r>
      <w:r w:rsidRPr="00827BA9">
        <w:rPr>
          <w:color w:val="000000"/>
        </w:rPr>
        <w:t xml:space="preserve"> </w:t>
      </w:r>
      <w:r>
        <w:rPr>
          <w:color w:val="000000"/>
        </w:rPr>
        <w:t>A</w:t>
      </w:r>
      <w:r w:rsidRPr="00E840C9">
        <w:rPr>
          <w:color w:val="000000"/>
        </w:rPr>
        <w:t xml:space="preserve"> detailed list of the assessments</w:t>
      </w:r>
      <w:r>
        <w:rPr>
          <w:color w:val="000000"/>
        </w:rPr>
        <w:t xml:space="preserve"> is provided in </w:t>
      </w:r>
      <w:r w:rsidR="008F762F">
        <w:rPr>
          <w:color w:val="000000"/>
        </w:rPr>
        <w:t>an earlier publication</w:t>
      </w:r>
      <w:r w:rsidR="00AE5F1B">
        <w:rPr>
          <w:color w:val="000000"/>
        </w:rPr>
        <w:t>.</w:t>
      </w:r>
      <w:r w:rsidR="00AE5F1B">
        <w:rPr>
          <w:color w:val="000000"/>
          <w:vertAlign w:val="superscript"/>
        </w:rPr>
        <w:t>21</w:t>
      </w:r>
      <w:r w:rsidR="008F762F">
        <w:rPr>
          <w:color w:val="000000"/>
        </w:rPr>
        <w:t xml:space="preserve">  </w:t>
      </w:r>
    </w:p>
    <w:p w14:paraId="64A4A285" w14:textId="77777777" w:rsidR="004F0395" w:rsidRDefault="004F0395" w:rsidP="004F0395">
      <w:pPr>
        <w:tabs>
          <w:tab w:val="left" w:pos="360"/>
        </w:tabs>
        <w:autoSpaceDE w:val="0"/>
        <w:autoSpaceDN w:val="0"/>
        <w:adjustRightInd w:val="0"/>
        <w:spacing w:line="480" w:lineRule="auto"/>
        <w:rPr>
          <w:color w:val="000000"/>
        </w:rPr>
      </w:pPr>
      <w:r>
        <w:rPr>
          <w:color w:val="000000"/>
        </w:rPr>
        <w:tab/>
      </w:r>
      <w:r>
        <w:rPr>
          <w:color w:val="000000"/>
        </w:rPr>
        <w:tab/>
      </w:r>
    </w:p>
    <w:p w14:paraId="3CCCE996" w14:textId="77777777" w:rsidR="00F55983" w:rsidRPr="00474A70" w:rsidRDefault="00F55983" w:rsidP="00F55983">
      <w:pPr>
        <w:tabs>
          <w:tab w:val="left" w:pos="360"/>
        </w:tabs>
        <w:autoSpaceDE w:val="0"/>
        <w:autoSpaceDN w:val="0"/>
        <w:adjustRightInd w:val="0"/>
        <w:spacing w:line="480" w:lineRule="auto"/>
        <w:rPr>
          <w:b/>
          <w:i/>
          <w:color w:val="000000"/>
        </w:rPr>
      </w:pPr>
      <w:bookmarkStart w:id="1" w:name="_Toc100650609"/>
      <w:r w:rsidRPr="00474A70">
        <w:rPr>
          <w:b/>
          <w:i/>
          <w:color w:val="000000"/>
        </w:rPr>
        <w:t>MRI Neuroimaging</w:t>
      </w:r>
    </w:p>
    <w:p w14:paraId="1D22F356" w14:textId="42694AB0" w:rsidR="00F55983" w:rsidRPr="00673D01" w:rsidRDefault="00FE310B" w:rsidP="00673D01">
      <w:pPr>
        <w:spacing w:line="480" w:lineRule="auto"/>
        <w:ind w:firstLine="720"/>
        <w:rPr>
          <w:color w:val="000000"/>
        </w:rPr>
      </w:pPr>
      <w:r w:rsidRPr="00E840C9">
        <w:rPr>
          <w:color w:val="000000"/>
        </w:rPr>
        <w:t xml:space="preserve">All participants </w:t>
      </w:r>
      <w:r>
        <w:rPr>
          <w:color w:val="000000"/>
        </w:rPr>
        <w:t>were</w:t>
      </w:r>
      <w:r w:rsidRPr="00F55983">
        <w:rPr>
          <w:color w:val="000000"/>
        </w:rPr>
        <w:t xml:space="preserve"> asked </w:t>
      </w:r>
      <w:r>
        <w:rPr>
          <w:color w:val="000000"/>
        </w:rPr>
        <w:t>t</w:t>
      </w:r>
      <w:r w:rsidRPr="00F55983">
        <w:rPr>
          <w:color w:val="000000"/>
        </w:rPr>
        <w:t xml:space="preserve">o </w:t>
      </w:r>
      <w:r>
        <w:rPr>
          <w:color w:val="000000"/>
        </w:rPr>
        <w:t>complete</w:t>
      </w:r>
      <w:r w:rsidRPr="00F55983">
        <w:rPr>
          <w:color w:val="000000"/>
        </w:rPr>
        <w:t xml:space="preserve"> an “MR Screening Form” to rule out any conditions that preclude MR scanning.</w:t>
      </w:r>
      <w:r w:rsidR="008F762F">
        <w:rPr>
          <w:color w:val="000000"/>
        </w:rPr>
        <w:t xml:space="preserve">  </w:t>
      </w:r>
      <w:r w:rsidR="00F55983" w:rsidRPr="00F55983">
        <w:rPr>
          <w:color w:val="000000"/>
        </w:rPr>
        <w:t xml:space="preserve">We </w:t>
      </w:r>
      <w:r w:rsidR="00474A70">
        <w:rPr>
          <w:color w:val="000000"/>
        </w:rPr>
        <w:t>used</w:t>
      </w:r>
      <w:r w:rsidR="00F55983" w:rsidRPr="00F55983">
        <w:rPr>
          <w:color w:val="000000"/>
        </w:rPr>
        <w:t xml:space="preserve"> a multi-site neuroimaging design involving participants across </w:t>
      </w:r>
      <w:r w:rsidR="00C87850">
        <w:rPr>
          <w:color w:val="000000"/>
        </w:rPr>
        <w:t>four</w:t>
      </w:r>
      <w:r w:rsidR="00F55983" w:rsidRPr="00F55983">
        <w:rPr>
          <w:color w:val="000000"/>
        </w:rPr>
        <w:t xml:space="preserve"> sites: (1) </w:t>
      </w:r>
      <w:r w:rsidR="00C87850">
        <w:t>MRI Research Center at t</w:t>
      </w:r>
      <w:r w:rsidR="00C87850" w:rsidRPr="00F55983">
        <w:rPr>
          <w:color w:val="000000"/>
        </w:rPr>
        <w:t>he University of Chicago</w:t>
      </w:r>
      <w:r w:rsidR="00C87850">
        <w:rPr>
          <w:color w:val="000000"/>
        </w:rPr>
        <w:t>; (2)</w:t>
      </w:r>
      <w:r w:rsidR="00F55983" w:rsidRPr="00F55983">
        <w:rPr>
          <w:color w:val="000000"/>
        </w:rPr>
        <w:t xml:space="preserve"> Massachusetts General Hospital Martinos Center for Biomedical Imaging</w:t>
      </w:r>
      <w:r w:rsidR="00C87850">
        <w:rPr>
          <w:color w:val="000000"/>
        </w:rPr>
        <w:t>;</w:t>
      </w:r>
      <w:r w:rsidR="00F55983" w:rsidRPr="00F55983">
        <w:rPr>
          <w:color w:val="000000"/>
        </w:rPr>
        <w:t xml:space="preserve"> (</w:t>
      </w:r>
      <w:r w:rsidR="00C87850">
        <w:rPr>
          <w:color w:val="000000"/>
        </w:rPr>
        <w:t>3</w:t>
      </w:r>
      <w:r w:rsidR="00F55983" w:rsidRPr="00F55983">
        <w:rPr>
          <w:color w:val="000000"/>
        </w:rPr>
        <w:t xml:space="preserve">) Staglin Center for Cognitive Neuroscience at the UCLA Semel Institute for </w:t>
      </w:r>
      <w:r w:rsidR="00F55983" w:rsidRPr="00F55983">
        <w:rPr>
          <w:color w:val="000000"/>
        </w:rPr>
        <w:lastRenderedPageBreak/>
        <w:t>Neuroscience and Human Behavior, and (</w:t>
      </w:r>
      <w:r w:rsidR="00C87850">
        <w:rPr>
          <w:color w:val="000000"/>
        </w:rPr>
        <w:t>4</w:t>
      </w:r>
      <w:r w:rsidR="00F55983" w:rsidRPr="00F55983">
        <w:rPr>
          <w:color w:val="000000"/>
        </w:rPr>
        <w:t>)</w:t>
      </w:r>
      <w:r w:rsidR="004C5170">
        <w:rPr>
          <w:color w:val="000000"/>
        </w:rPr>
        <w:t xml:space="preserve">The </w:t>
      </w:r>
      <w:r w:rsidR="004C5170">
        <w:rPr>
          <w:color w:val="000000"/>
          <w:shd w:val="clear" w:color="auto" w:fill="FFFFFF"/>
        </w:rPr>
        <w:t>Cape Universities Body Imaging Centre, Cape Town</w:t>
      </w:r>
      <w:r w:rsidR="004C5170">
        <w:rPr>
          <w:color w:val="000000"/>
        </w:rPr>
        <w:t>.</w:t>
      </w:r>
      <w:r w:rsidR="00C87850">
        <w:rPr>
          <w:color w:val="000000"/>
        </w:rPr>
        <w:t xml:space="preserve">. </w:t>
      </w:r>
      <w:r w:rsidR="00F55983" w:rsidRPr="00F55983">
        <w:rPr>
          <w:color w:val="000000"/>
        </w:rPr>
        <w:t>As described above, participants w</w:t>
      </w:r>
      <w:r w:rsidR="00474A70">
        <w:rPr>
          <w:color w:val="000000"/>
        </w:rPr>
        <w:t>ere</w:t>
      </w:r>
      <w:r w:rsidR="00F55983" w:rsidRPr="00F55983">
        <w:rPr>
          <w:color w:val="000000"/>
        </w:rPr>
        <w:t xml:space="preserve"> screened for scanner compatibility at the outset, and we scan</w:t>
      </w:r>
      <w:r w:rsidR="00474A70">
        <w:rPr>
          <w:color w:val="000000"/>
        </w:rPr>
        <w:t>ned</w:t>
      </w:r>
      <w:r w:rsidR="00F55983" w:rsidRPr="00F55983">
        <w:rPr>
          <w:color w:val="000000"/>
        </w:rPr>
        <w:t xml:space="preserve"> eligible participants sequentially. Imaging w</w:t>
      </w:r>
      <w:r w:rsidR="00474A70">
        <w:rPr>
          <w:color w:val="000000"/>
        </w:rPr>
        <w:t>as</w:t>
      </w:r>
      <w:r w:rsidR="00F55983" w:rsidRPr="00F55983">
        <w:rPr>
          <w:color w:val="000000"/>
        </w:rPr>
        <w:t xml:space="preserve"> performed on a 3-Tesla MRI scanner at all three sites</w:t>
      </w:r>
      <w:r w:rsidR="007E3BFA">
        <w:rPr>
          <w:color w:val="000000"/>
        </w:rPr>
        <w:t xml:space="preserve"> with all scanners </w:t>
      </w:r>
      <w:r w:rsidR="007E3BFA" w:rsidRPr="004C5170">
        <w:rPr>
          <w:color w:val="000000"/>
        </w:rPr>
        <w:t>synchronized</w:t>
      </w:r>
      <w:r w:rsidR="004C5170" w:rsidRPr="00FE74AE">
        <w:t xml:space="preserve"> via </w:t>
      </w:r>
      <w:r w:rsidR="004C5170" w:rsidRPr="00FE74AE">
        <w:rPr>
          <w:lang w:val="de-DE"/>
        </w:rPr>
        <w:t xml:space="preserve">TTL pulse. In addition, </w:t>
      </w:r>
      <w:r w:rsidR="004C5170" w:rsidRPr="00FE74AE">
        <w:t>a set of parameters compatible with all scanners, particularly those directly affecting image contrast or signal-to-noise, were devised and held constant across sites. Another quality control procedure which was implemented at each site was using a phantom scan to provide information about geometric distortions and signal uniformity related to hardware differences in radiofrequency coils and gradient systems, image contrast and temporal stability.</w:t>
      </w:r>
      <w:r w:rsidR="004C5170">
        <w:rPr>
          <w:b/>
        </w:rPr>
        <w:t xml:space="preserve">  </w:t>
      </w:r>
      <w:r w:rsidR="00F55983" w:rsidRPr="00F55983">
        <w:rPr>
          <w:color w:val="000000"/>
        </w:rPr>
        <w:t xml:space="preserve">Each MRI scanning session </w:t>
      </w:r>
      <w:r w:rsidR="00474A70">
        <w:rPr>
          <w:color w:val="000000"/>
        </w:rPr>
        <w:t>las</w:t>
      </w:r>
      <w:r w:rsidR="00D67DA3">
        <w:rPr>
          <w:color w:val="000000"/>
        </w:rPr>
        <w:t>t</w:t>
      </w:r>
      <w:r w:rsidR="00474A70">
        <w:rPr>
          <w:color w:val="000000"/>
        </w:rPr>
        <w:t>ed</w:t>
      </w:r>
      <w:r w:rsidR="00F55983" w:rsidRPr="00F55983">
        <w:rPr>
          <w:color w:val="000000"/>
        </w:rPr>
        <w:t xml:space="preserve"> no more than </w:t>
      </w:r>
      <w:r w:rsidR="00850D59">
        <w:rPr>
          <w:color w:val="000000"/>
        </w:rPr>
        <w:t>75</w:t>
      </w:r>
      <w:r w:rsidR="00F55983" w:rsidRPr="00F55983">
        <w:rPr>
          <w:color w:val="000000"/>
        </w:rPr>
        <w:t xml:space="preserve"> minutes. We first acquire</w:t>
      </w:r>
      <w:r w:rsidR="00474A70">
        <w:rPr>
          <w:color w:val="000000"/>
        </w:rPr>
        <w:t>d</w:t>
      </w:r>
      <w:r w:rsidR="00F55983" w:rsidRPr="00F55983">
        <w:rPr>
          <w:color w:val="000000"/>
        </w:rPr>
        <w:t xml:space="preserve"> high resolution, anatomical images, typically about 15 </w:t>
      </w:r>
      <w:r w:rsidR="00F55983" w:rsidRPr="00673D01">
        <w:rPr>
          <w:color w:val="000000"/>
        </w:rPr>
        <w:t>minutes</w:t>
      </w:r>
      <w:r w:rsidR="00ED1237" w:rsidRPr="00673D01">
        <w:rPr>
          <w:color w:val="000000"/>
        </w:rPr>
        <w:t xml:space="preserve">. </w:t>
      </w:r>
      <w:r w:rsidR="00F55983" w:rsidRPr="00673D01">
        <w:rPr>
          <w:color w:val="000000"/>
        </w:rPr>
        <w:t xml:space="preserve"> </w:t>
      </w:r>
    </w:p>
    <w:p w14:paraId="1CD05DD4" w14:textId="79186DB3" w:rsidR="00D542FC" w:rsidRPr="00673D01" w:rsidRDefault="00D542FC" w:rsidP="00AE5F1B">
      <w:pPr>
        <w:spacing w:line="480" w:lineRule="auto"/>
        <w:ind w:firstLine="720"/>
      </w:pPr>
      <w:r w:rsidRPr="00673D01">
        <w:rPr>
          <w:color w:val="000000"/>
        </w:rPr>
        <w:t>Structural T1-weighted MPRAGE data for 25</w:t>
      </w:r>
      <w:r w:rsidR="007D77D8">
        <w:rPr>
          <w:color w:val="000000"/>
        </w:rPr>
        <w:t>1</w:t>
      </w:r>
      <w:r w:rsidRPr="00673D01">
        <w:rPr>
          <w:color w:val="000000"/>
        </w:rPr>
        <w:t xml:space="preserve"> adult subjects was preprocessed with Freesurfer (v6.0.1)</w:t>
      </w:r>
      <w:r w:rsidR="00AE5F1B">
        <w:rPr>
          <w:color w:val="000000"/>
        </w:rPr>
        <w:t>.</w:t>
      </w:r>
      <w:r w:rsidR="00AE5F1B">
        <w:rPr>
          <w:color w:val="000000"/>
          <w:vertAlign w:val="superscript"/>
        </w:rPr>
        <w:t>23</w:t>
      </w:r>
      <w:r w:rsidRPr="00673D01">
        <w:rPr>
          <w:color w:val="000000"/>
        </w:rPr>
        <w:t>Recon-all reconstruction</w:t>
      </w:r>
      <w:r w:rsidRPr="00673D01">
        <w:rPr>
          <w:color w:val="222222"/>
          <w:shd w:val="clear" w:color="auto" w:fill="FFFFFF"/>
        </w:rPr>
        <w:t xml:space="preserve"> included bias field correction, registration to stereotaxic space, intensity normalization, skull-stripping, and white matter segmentation. Freesurfers qcache option </w:t>
      </w:r>
      <w:r w:rsidR="007D77D8">
        <w:rPr>
          <w:color w:val="222222"/>
          <w:shd w:val="clear" w:color="auto" w:fill="FFFFFF"/>
        </w:rPr>
        <w:t xml:space="preserve">was </w:t>
      </w:r>
      <w:r w:rsidRPr="00673D01">
        <w:rPr>
          <w:color w:val="222222"/>
          <w:shd w:val="clear" w:color="auto" w:fill="FFFFFF"/>
        </w:rPr>
        <w:t xml:space="preserve">used to obtain fsaverage maps at different </w:t>
      </w:r>
      <w:r w:rsidRPr="00673D01">
        <w:rPr>
          <w:color w:val="000000"/>
        </w:rPr>
        <w:t>full width at half maximum (FWHM) Gaussian smoothing kernels for post-processing and statistical analyses. Quality control to explore potential group differences in quality or known confounders included the extraction of the Euler index</w:t>
      </w:r>
      <w:r w:rsidR="00AE5F1B">
        <w:rPr>
          <w:color w:val="000000"/>
          <w:vertAlign w:val="superscript"/>
        </w:rPr>
        <w:t>24</w:t>
      </w:r>
      <w:r w:rsidRPr="00673D01">
        <w:rPr>
          <w:color w:val="222222"/>
          <w:shd w:val="clear" w:color="auto" w:fill="FFFFFF"/>
        </w:rPr>
        <w:t xml:space="preserve">, a proxy for the quality of the image reconstruction, and an assessment of potential group differences in total intracranial volume (Fig 1). Quality control revealed no systematic differences in reconstruction quality (Fig 2), and small but significant systematic group differences in </w:t>
      </w:r>
      <w:r w:rsidRPr="00673D01">
        <w:rPr>
          <w:color w:val="222222"/>
          <w:shd w:val="clear" w:color="auto" w:fill="FFFFFF"/>
        </w:rPr>
        <w:lastRenderedPageBreak/>
        <w:t xml:space="preserve">the female clinical groups for total brain volume. Thus, any subsequent analyses included total intracranial volume as a </w:t>
      </w:r>
      <w:r w:rsidR="008F60E8">
        <w:rPr>
          <w:color w:val="222222"/>
          <w:shd w:val="clear" w:color="auto" w:fill="FFFFFF"/>
        </w:rPr>
        <w:t>covariate</w:t>
      </w:r>
      <w:r w:rsidRPr="00673D01">
        <w:rPr>
          <w:color w:val="222222"/>
          <w:shd w:val="clear" w:color="auto" w:fill="FFFFFF"/>
        </w:rPr>
        <w:t>.</w:t>
      </w:r>
    </w:p>
    <w:p w14:paraId="3C8ED7D6" w14:textId="7E0EE24A" w:rsidR="00D542FC" w:rsidRDefault="00D542FC" w:rsidP="00D542FC">
      <w:pPr>
        <w:spacing w:line="480" w:lineRule="auto"/>
        <w:jc w:val="both"/>
        <w:rPr>
          <w:rFonts w:ascii="Arial" w:hAnsi="Arial" w:cs="Arial"/>
          <w:noProof/>
          <w:color w:val="222222"/>
          <w:sz w:val="22"/>
          <w:szCs w:val="22"/>
          <w:shd w:val="clear" w:color="auto" w:fill="FFFFFF"/>
        </w:rPr>
      </w:pPr>
    </w:p>
    <w:p w14:paraId="1C0C2AA5" w14:textId="7045368C" w:rsidR="00D542FC" w:rsidRDefault="00D542FC" w:rsidP="00D542FC">
      <w:pPr>
        <w:spacing w:line="480" w:lineRule="auto"/>
        <w:jc w:val="both"/>
        <w:rPr>
          <w:rFonts w:ascii="Arial" w:hAnsi="Arial" w:cs="Arial"/>
          <w:noProof/>
          <w:color w:val="222222"/>
          <w:sz w:val="22"/>
          <w:szCs w:val="22"/>
          <w:shd w:val="clear" w:color="auto" w:fill="FFFFFF"/>
        </w:rPr>
      </w:pPr>
    </w:p>
    <w:p w14:paraId="2A4A99D0" w14:textId="78B48EF0" w:rsidR="00D542FC" w:rsidRDefault="00D542FC" w:rsidP="00D542FC">
      <w:pPr>
        <w:spacing w:line="480" w:lineRule="auto"/>
        <w:jc w:val="both"/>
        <w:rPr>
          <w:rFonts w:ascii="Arial" w:hAnsi="Arial" w:cs="Arial"/>
          <w:noProof/>
          <w:color w:val="222222"/>
          <w:sz w:val="22"/>
          <w:szCs w:val="22"/>
          <w:shd w:val="clear" w:color="auto" w:fill="FFFFFF"/>
        </w:rPr>
      </w:pPr>
      <w:r>
        <w:rPr>
          <w:rFonts w:ascii="Arial" w:hAnsi="Arial" w:cs="Arial"/>
          <w:noProof/>
          <w:color w:val="222222"/>
          <w:sz w:val="22"/>
          <w:szCs w:val="22"/>
          <w:shd w:val="clear" w:color="auto" w:fill="FFFFFF"/>
        </w:rPr>
        <w:t xml:space="preserve">Figure 1. </w:t>
      </w:r>
    </w:p>
    <w:p w14:paraId="41DC7902" w14:textId="2ED27A15" w:rsidR="00D542FC" w:rsidRDefault="00D542FC" w:rsidP="00D542FC">
      <w:pPr>
        <w:spacing w:line="480" w:lineRule="auto"/>
        <w:jc w:val="both"/>
        <w:rPr>
          <w:rFonts w:ascii="Arial" w:hAnsi="Arial" w:cs="Arial"/>
          <w:noProof/>
          <w:color w:val="222222"/>
          <w:sz w:val="22"/>
          <w:szCs w:val="22"/>
          <w:shd w:val="clear" w:color="auto" w:fill="FFFFFF"/>
        </w:rPr>
      </w:pPr>
      <w:r>
        <w:rPr>
          <w:rFonts w:ascii="Arial" w:hAnsi="Arial" w:cs="Arial"/>
          <w:noProof/>
          <w:color w:val="222222"/>
          <w:sz w:val="22"/>
          <w:szCs w:val="22"/>
          <w:shd w:val="clear" w:color="auto" w:fill="FFFFFF"/>
        </w:rPr>
        <w:drawing>
          <wp:inline distT="0" distB="0" distL="0" distR="0" wp14:anchorId="79AFBBAB" wp14:editId="3E15AB2D">
            <wp:extent cx="5486400" cy="1828800"/>
            <wp:effectExtent l="0" t="0" r="0" b="0"/>
            <wp:docPr id="4" name="Picture 4" descr="https://lh6.googleusercontent.com/gEusuzqnIDPxpwmzvJ-xQyhEn5u4FtO_qucfJJFoLAv7g9RlsFUXly7JzZgHJIKhN1SfrT0am-q5paiIBR-sw_nU36LrE1sQC6Y8gVje4fmK_ouo01CsjiyW-C2MOmKq8aEkYX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EusuzqnIDPxpwmzvJ-xQyhEn5u4FtO_qucfJJFoLAv7g9RlsFUXly7JzZgHJIKhN1SfrT0am-q5paiIBR-sw_nU36LrE1sQC6Y8gVje4fmK_ouo01CsjiyW-C2MOmKq8aEkYXV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5BA23FEF" w14:textId="23D70419" w:rsidR="00D542FC" w:rsidRDefault="00D542FC" w:rsidP="00D542FC">
      <w:pPr>
        <w:spacing w:line="480" w:lineRule="auto"/>
        <w:jc w:val="both"/>
        <w:rPr>
          <w:rFonts w:ascii="Arial" w:hAnsi="Arial" w:cs="Arial"/>
          <w:noProof/>
          <w:color w:val="222222"/>
          <w:sz w:val="22"/>
          <w:szCs w:val="22"/>
          <w:shd w:val="clear" w:color="auto" w:fill="FFFFFF"/>
        </w:rPr>
      </w:pPr>
    </w:p>
    <w:p w14:paraId="0AC4E716" w14:textId="74CD7E42" w:rsidR="00D542FC" w:rsidRDefault="00D542FC" w:rsidP="00D542FC">
      <w:pPr>
        <w:spacing w:line="480" w:lineRule="auto"/>
        <w:jc w:val="both"/>
        <w:rPr>
          <w:rFonts w:ascii="Arial" w:hAnsi="Arial" w:cs="Arial"/>
          <w:noProof/>
          <w:color w:val="222222"/>
          <w:sz w:val="22"/>
          <w:szCs w:val="22"/>
          <w:shd w:val="clear" w:color="auto" w:fill="FFFFFF"/>
        </w:rPr>
      </w:pPr>
      <w:r>
        <w:rPr>
          <w:rFonts w:ascii="Arial" w:hAnsi="Arial" w:cs="Arial"/>
          <w:noProof/>
          <w:color w:val="222222"/>
          <w:sz w:val="22"/>
          <w:szCs w:val="22"/>
          <w:shd w:val="clear" w:color="auto" w:fill="FFFFFF"/>
        </w:rPr>
        <w:t>Figure 2.</w:t>
      </w:r>
    </w:p>
    <w:p w14:paraId="0A71A1CA" w14:textId="2C10F35B" w:rsidR="00D542FC" w:rsidRPr="00D542FC" w:rsidRDefault="00D542FC" w:rsidP="00D542FC">
      <w:pPr>
        <w:spacing w:line="480" w:lineRule="auto"/>
        <w:jc w:val="both"/>
        <w:rPr>
          <w:rFonts w:ascii="Arial" w:hAnsi="Arial" w:cs="Arial"/>
          <w:noProof/>
          <w:color w:val="222222"/>
          <w:sz w:val="22"/>
          <w:szCs w:val="22"/>
          <w:shd w:val="clear" w:color="auto" w:fill="FFFFFF"/>
        </w:rPr>
      </w:pPr>
      <w:r>
        <w:rPr>
          <w:rFonts w:ascii="Arial" w:hAnsi="Arial" w:cs="Arial"/>
          <w:b/>
          <w:bCs/>
          <w:noProof/>
          <w:color w:val="222222"/>
          <w:sz w:val="18"/>
          <w:szCs w:val="18"/>
          <w:shd w:val="clear" w:color="auto" w:fill="FFFFFF"/>
        </w:rPr>
        <w:drawing>
          <wp:inline distT="0" distB="0" distL="0" distR="0" wp14:anchorId="2154AC4C" wp14:editId="4930C63D">
            <wp:extent cx="5486400" cy="1828800"/>
            <wp:effectExtent l="0" t="0" r="0" b="0"/>
            <wp:docPr id="6" name="Picture 6" descr="https://lh4.googleusercontent.com/vdvkM8xBH56Ey6ikT8Cte-WDGnh1NTFQZM7Ck2uUlFbFJaGnT8H9w0h6G_2WdT_lJBuB_1LAt7MVwZv7gtOBFoL863jcscKBEa9tH5zHWCwS8P_cix24C1_rRp0GcBvkdfQLF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dvkM8xBH56Ey6ikT8Cte-WDGnh1NTFQZM7Ck2uUlFbFJaGnT8H9w0h6G_2WdT_lJBuB_1LAt7MVwZv7gtOBFoL863jcscKBEa9tH5zHWCwS8P_cix24C1_rRp0GcBvkdfQLFW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20AB1702" w14:textId="77777777" w:rsidR="0073131B" w:rsidRDefault="0073131B" w:rsidP="0073131B">
      <w:pPr>
        <w:spacing w:line="480" w:lineRule="auto"/>
        <w:ind w:firstLine="720"/>
        <w:jc w:val="both"/>
        <w:rPr>
          <w:color w:val="000000"/>
        </w:rPr>
      </w:pPr>
    </w:p>
    <w:p w14:paraId="7DD7D988" w14:textId="66C5CDE1" w:rsidR="00D542FC" w:rsidRPr="00673D01" w:rsidRDefault="00D542FC" w:rsidP="000D2D95">
      <w:pPr>
        <w:spacing w:line="480" w:lineRule="auto"/>
        <w:ind w:firstLine="720"/>
      </w:pPr>
      <w:r w:rsidRPr="00673D01">
        <w:rPr>
          <w:color w:val="000000"/>
        </w:rPr>
        <w:t xml:space="preserve">Subject morphometric maps for volume, thickness and surface area were all registered to fsaverage space using the mris_preproc method implemented in Freesurfer for the 3 different smoothing kernels (5, 10 and 15 mm). </w:t>
      </w:r>
      <w:r w:rsidR="000D2D95">
        <w:rPr>
          <w:color w:val="000000"/>
        </w:rPr>
        <w:t xml:space="preserve"> P</w:t>
      </w:r>
      <w:r w:rsidR="000D2D95" w:rsidRPr="00673D01">
        <w:rPr>
          <w:color w:val="000000"/>
        </w:rPr>
        <w:t>reviously reported subtypes on two dimensions, pickers and pullers</w:t>
      </w:r>
      <w:r w:rsidR="000D2D95">
        <w:rPr>
          <w:color w:val="000000"/>
        </w:rPr>
        <w:t xml:space="preserve">, </w:t>
      </w:r>
      <w:r w:rsidRPr="00673D01">
        <w:rPr>
          <w:color w:val="000000"/>
        </w:rPr>
        <w:t>were analy</w:t>
      </w:r>
      <w:r w:rsidR="000D2D95">
        <w:rPr>
          <w:color w:val="000000"/>
        </w:rPr>
        <w:t>z</w:t>
      </w:r>
      <w:r w:rsidRPr="00673D01">
        <w:rPr>
          <w:color w:val="000000"/>
        </w:rPr>
        <w:t xml:space="preserve">ed using the general linear model framework implemented in Freesurfer accounting for sex, age, site and estimated </w:t>
      </w:r>
      <w:r w:rsidRPr="00673D01">
        <w:rPr>
          <w:color w:val="000000"/>
        </w:rPr>
        <w:lastRenderedPageBreak/>
        <w:t xml:space="preserve">intracranial volume.  </w:t>
      </w:r>
      <w:r w:rsidR="000D2D95">
        <w:rPr>
          <w:color w:val="000000"/>
        </w:rPr>
        <w:t>Subtype comparisons</w:t>
      </w:r>
      <w:r w:rsidRPr="00673D01">
        <w:rPr>
          <w:color w:val="000000"/>
        </w:rPr>
        <w:t xml:space="preserve"> within each morphological feature were corrected for multiple comparisons using a cluster threshold of p &lt; 0.001 as recommended by Greve &amp; Fischl</w:t>
      </w:r>
      <w:r w:rsidR="00AE5F1B">
        <w:rPr>
          <w:color w:val="000000"/>
          <w:vertAlign w:val="superscript"/>
        </w:rPr>
        <w:t>25</w:t>
      </w:r>
      <w:r w:rsidRPr="00673D01">
        <w:rPr>
          <w:color w:val="000000"/>
        </w:rPr>
        <w:t xml:space="preserve"> to avoid false positives. Only results that showed consistent effects across all three levels of smoothness were considered significant, but all results across smoothness kernels are included in the supplementary materials.</w:t>
      </w:r>
    </w:p>
    <w:p w14:paraId="481D2D79" w14:textId="6D09AFF6" w:rsidR="008F762F" w:rsidRPr="00673D01" w:rsidRDefault="00474A70" w:rsidP="00673D01">
      <w:pPr>
        <w:tabs>
          <w:tab w:val="left" w:pos="360"/>
        </w:tabs>
        <w:autoSpaceDE w:val="0"/>
        <w:autoSpaceDN w:val="0"/>
        <w:adjustRightInd w:val="0"/>
        <w:spacing w:line="480" w:lineRule="auto"/>
        <w:rPr>
          <w:b/>
          <w:i/>
        </w:rPr>
      </w:pPr>
      <w:r w:rsidRPr="00673D01">
        <w:rPr>
          <w:color w:val="000000"/>
        </w:rPr>
        <w:tab/>
      </w:r>
      <w:r w:rsidR="00BF3F9E" w:rsidRPr="00673D01">
        <w:rPr>
          <w:color w:val="000000"/>
        </w:rPr>
        <w:tab/>
      </w:r>
      <w:bookmarkEnd w:id="1"/>
    </w:p>
    <w:p w14:paraId="15744F8A" w14:textId="1204B9B6" w:rsidR="00B53B8D" w:rsidRPr="003D7CBF" w:rsidRDefault="00B53B8D" w:rsidP="003D7CBF">
      <w:pPr>
        <w:spacing w:line="480" w:lineRule="auto"/>
        <w:rPr>
          <w:b/>
        </w:rPr>
      </w:pPr>
      <w:r w:rsidRPr="003D7CBF">
        <w:rPr>
          <w:b/>
        </w:rPr>
        <w:t>Results</w:t>
      </w:r>
    </w:p>
    <w:p w14:paraId="6A8DC0C4" w14:textId="77777777" w:rsidR="00FC2B8E" w:rsidRPr="003D7CBF" w:rsidRDefault="00FC2B8E" w:rsidP="003D7CBF">
      <w:pPr>
        <w:spacing w:line="480" w:lineRule="auto"/>
        <w:rPr>
          <w:b/>
          <w:i/>
        </w:rPr>
      </w:pPr>
      <w:r w:rsidRPr="003D7CBF">
        <w:rPr>
          <w:b/>
          <w:i/>
        </w:rPr>
        <w:t>Sample Characteristics</w:t>
      </w:r>
    </w:p>
    <w:p w14:paraId="1C3089C5" w14:textId="79C4AFA6" w:rsidR="003D7CBF" w:rsidRPr="000D2D95" w:rsidRDefault="00FC2B8E" w:rsidP="003D7CBF">
      <w:pPr>
        <w:pStyle w:val="NormalWeb"/>
        <w:spacing w:before="0" w:beforeAutospacing="0" w:after="0" w:afterAutospacing="0" w:line="480" w:lineRule="auto"/>
        <w:ind w:firstLine="720"/>
        <w:rPr>
          <w:rFonts w:ascii="Times New Roman" w:hAnsi="Times New Roman"/>
          <w:color w:val="auto"/>
          <w:sz w:val="24"/>
          <w:szCs w:val="24"/>
        </w:rPr>
      </w:pPr>
      <w:r w:rsidRPr="000D2D95">
        <w:rPr>
          <w:rFonts w:ascii="Times New Roman" w:hAnsi="Times New Roman"/>
          <w:sz w:val="24"/>
          <w:szCs w:val="24"/>
        </w:rPr>
        <w:t xml:space="preserve">The sample included </w:t>
      </w:r>
      <w:r w:rsidR="000D2D95" w:rsidRPr="000D2D95">
        <w:rPr>
          <w:rFonts w:ascii="Times New Roman" w:hAnsi="Times New Roman"/>
          <w:sz w:val="24"/>
          <w:szCs w:val="24"/>
          <w:shd w:val="clear" w:color="auto" w:fill="FFFFFF"/>
        </w:rPr>
        <w:t>251</w:t>
      </w:r>
      <w:r w:rsidR="000D2D95" w:rsidRPr="000D2D95">
        <w:rPr>
          <w:rFonts w:ascii="Times New Roman" w:hAnsi="Times New Roman"/>
          <w:sz w:val="24"/>
          <w:szCs w:val="24"/>
        </w:rPr>
        <w:t xml:space="preserve"> adults (193 with a BFRB [85.5% (n=165) female] and 58 healthy controls [77.6% (n=45) female])</w:t>
      </w:r>
      <w:r w:rsidR="000D2D95">
        <w:rPr>
          <w:rFonts w:ascii="Times New Roman" w:hAnsi="Times New Roman"/>
          <w:sz w:val="24"/>
          <w:szCs w:val="24"/>
        </w:rPr>
        <w:t xml:space="preserve">.  </w:t>
      </w:r>
      <w:r w:rsidR="000D2D95" w:rsidRPr="000D2D95">
        <w:rPr>
          <w:rFonts w:ascii="Times New Roman" w:hAnsi="Times New Roman"/>
          <w:sz w:val="24"/>
          <w:szCs w:val="24"/>
        </w:rPr>
        <w:t xml:space="preserve"> </w:t>
      </w:r>
      <w:r w:rsidR="00673D01" w:rsidRPr="000D2D95">
        <w:rPr>
          <w:rFonts w:ascii="Times New Roman" w:hAnsi="Times New Roman"/>
          <w:sz w:val="24"/>
          <w:szCs w:val="24"/>
        </w:rPr>
        <w:t xml:space="preserve">Based on </w:t>
      </w:r>
      <w:r w:rsidR="004468F2">
        <w:rPr>
          <w:rFonts w:ascii="Times New Roman" w:hAnsi="Times New Roman"/>
          <w:sz w:val="24"/>
          <w:szCs w:val="24"/>
        </w:rPr>
        <w:t>previously conducted</w:t>
      </w:r>
      <w:r w:rsidR="00673D01" w:rsidRPr="000D2D95">
        <w:rPr>
          <w:rFonts w:ascii="Times New Roman" w:hAnsi="Times New Roman"/>
          <w:sz w:val="24"/>
          <w:szCs w:val="24"/>
        </w:rPr>
        <w:t xml:space="preserve"> mixture modeling analysis</w:t>
      </w:r>
      <w:r w:rsidR="004468F2">
        <w:rPr>
          <w:rFonts w:ascii="Times New Roman" w:hAnsi="Times New Roman"/>
          <w:sz w:val="24"/>
          <w:szCs w:val="24"/>
        </w:rPr>
        <w:t>, individuals were</w:t>
      </w:r>
      <w:r w:rsidR="00673D01" w:rsidRPr="000D2D95">
        <w:rPr>
          <w:rFonts w:ascii="Times New Roman" w:hAnsi="Times New Roman"/>
          <w:sz w:val="24"/>
          <w:szCs w:val="24"/>
        </w:rPr>
        <w:t xml:space="preserve"> categorized as belong</w:t>
      </w:r>
      <w:r w:rsidR="007D77D8">
        <w:rPr>
          <w:rFonts w:ascii="Times New Roman" w:hAnsi="Times New Roman"/>
          <w:sz w:val="24"/>
          <w:szCs w:val="24"/>
        </w:rPr>
        <w:t>ing</w:t>
      </w:r>
      <w:r w:rsidR="00673D01" w:rsidRPr="000D2D95">
        <w:rPr>
          <w:rFonts w:ascii="Times New Roman" w:hAnsi="Times New Roman"/>
          <w:sz w:val="24"/>
          <w:szCs w:val="24"/>
        </w:rPr>
        <w:t xml:space="preserve"> to various subtypes of pulling or picking (Table 1).</w:t>
      </w:r>
    </w:p>
    <w:p w14:paraId="3F9F058C" w14:textId="77777777" w:rsidR="0073131B" w:rsidRDefault="0073131B" w:rsidP="0073131B"/>
    <w:p w14:paraId="776A0319" w14:textId="77777777" w:rsidR="00673D01" w:rsidRDefault="00673D01">
      <w:r>
        <w:br w:type="page"/>
      </w:r>
    </w:p>
    <w:p w14:paraId="382534B0" w14:textId="5B057CFB" w:rsidR="00673D01" w:rsidRDefault="00673D01" w:rsidP="0073131B">
      <w:r>
        <w:lastRenderedPageBreak/>
        <w:t xml:space="preserve">Table 1. </w:t>
      </w:r>
      <w:r w:rsidR="008D2425">
        <w:t>Clinical s</w:t>
      </w:r>
      <w:r>
        <w:t xml:space="preserve">ubtypes of pulling and picking </w:t>
      </w:r>
      <w:r w:rsidR="008D2425">
        <w:t xml:space="preserve">participants </w:t>
      </w:r>
      <w:r>
        <w:t>based on mixture modeling (Grant et al., 2020)</w:t>
      </w:r>
    </w:p>
    <w:p w14:paraId="0663123E" w14:textId="77777777" w:rsidR="00673D01" w:rsidRPr="00C66056" w:rsidRDefault="00673D01" w:rsidP="0073131B"/>
    <w:tbl>
      <w:tblPr>
        <w:tblW w:w="0" w:type="auto"/>
        <w:tblInd w:w="20" w:type="dxa"/>
        <w:tblLayout w:type="fixed"/>
        <w:tblCellMar>
          <w:top w:w="15" w:type="dxa"/>
          <w:left w:w="15" w:type="dxa"/>
          <w:bottom w:w="15" w:type="dxa"/>
          <w:right w:w="15" w:type="dxa"/>
        </w:tblCellMar>
        <w:tblLook w:val="04A0" w:firstRow="1" w:lastRow="0" w:firstColumn="1" w:lastColumn="0" w:noHBand="0" w:noVBand="1"/>
      </w:tblPr>
      <w:tblGrid>
        <w:gridCol w:w="1710"/>
        <w:gridCol w:w="810"/>
        <w:gridCol w:w="720"/>
        <w:gridCol w:w="900"/>
        <w:gridCol w:w="900"/>
        <w:gridCol w:w="1080"/>
        <w:gridCol w:w="880"/>
      </w:tblGrid>
      <w:tr w:rsidR="0073131B" w:rsidRPr="00C66056" w14:paraId="1309D219" w14:textId="77777777" w:rsidTr="002254F4">
        <w:trPr>
          <w:trHeight w:val="144"/>
        </w:trPr>
        <w:tc>
          <w:tcPr>
            <w:tcW w:w="1710" w:type="dxa"/>
            <w:tcBorders>
              <w:bottom w:val="single" w:sz="8" w:space="0" w:color="000000"/>
              <w:right w:val="single" w:sz="6" w:space="0" w:color="000000"/>
            </w:tcBorders>
            <w:tcMar>
              <w:top w:w="20" w:type="dxa"/>
              <w:left w:w="20" w:type="dxa"/>
              <w:bottom w:w="100" w:type="dxa"/>
              <w:right w:w="20" w:type="dxa"/>
            </w:tcMar>
            <w:vAlign w:val="bottom"/>
            <w:hideMark/>
          </w:tcPr>
          <w:p w14:paraId="52A4AF70" w14:textId="10A2583B" w:rsidR="0073131B" w:rsidRPr="00C66056" w:rsidRDefault="0073131B" w:rsidP="00F03253">
            <w:r w:rsidRPr="00C66056">
              <w:rPr>
                <w:color w:val="000000"/>
              </w:rPr>
              <w:t>Puller</w:t>
            </w:r>
            <w:r w:rsidR="00673D01">
              <w:rPr>
                <w:color w:val="000000"/>
              </w:rPr>
              <w:t xml:space="preserve"> </w:t>
            </w:r>
            <w:r w:rsidRPr="00C66056">
              <w:rPr>
                <w:color w:val="000000"/>
              </w:rPr>
              <w:t>Type</w:t>
            </w:r>
          </w:p>
        </w:tc>
        <w:tc>
          <w:tcPr>
            <w:tcW w:w="810" w:type="dxa"/>
            <w:tcBorders>
              <w:left w:val="single" w:sz="6" w:space="0" w:color="000000"/>
              <w:bottom w:val="single" w:sz="8" w:space="0" w:color="000000"/>
            </w:tcBorders>
            <w:tcMar>
              <w:top w:w="20" w:type="dxa"/>
              <w:left w:w="20" w:type="dxa"/>
              <w:bottom w:w="100" w:type="dxa"/>
              <w:right w:w="20" w:type="dxa"/>
            </w:tcMar>
            <w:vAlign w:val="bottom"/>
            <w:hideMark/>
          </w:tcPr>
          <w:p w14:paraId="12EB44E4" w14:textId="77777777" w:rsidR="0073131B" w:rsidRPr="00C66056" w:rsidRDefault="0073131B" w:rsidP="00F03253">
            <w:r w:rsidRPr="00C66056">
              <w:rPr>
                <w:color w:val="000000"/>
              </w:rPr>
              <w:t>Sex</w:t>
            </w:r>
          </w:p>
        </w:tc>
        <w:tc>
          <w:tcPr>
            <w:tcW w:w="720" w:type="dxa"/>
            <w:tcBorders>
              <w:bottom w:val="single" w:sz="8" w:space="0" w:color="000000"/>
            </w:tcBorders>
            <w:tcMar>
              <w:top w:w="20" w:type="dxa"/>
              <w:left w:w="20" w:type="dxa"/>
              <w:bottom w:w="100" w:type="dxa"/>
              <w:right w:w="20" w:type="dxa"/>
            </w:tcMar>
            <w:vAlign w:val="bottom"/>
            <w:hideMark/>
          </w:tcPr>
          <w:p w14:paraId="66BE9333" w14:textId="77777777" w:rsidR="0073131B" w:rsidRPr="00C66056" w:rsidRDefault="0073131B" w:rsidP="00F03253">
            <w:r w:rsidRPr="00C66056">
              <w:rPr>
                <w:color w:val="000000"/>
              </w:rPr>
              <w:t>N</w:t>
            </w:r>
          </w:p>
        </w:tc>
        <w:tc>
          <w:tcPr>
            <w:tcW w:w="900" w:type="dxa"/>
            <w:tcBorders>
              <w:bottom w:val="single" w:sz="8" w:space="0" w:color="000000"/>
            </w:tcBorders>
            <w:tcMar>
              <w:top w:w="20" w:type="dxa"/>
              <w:left w:w="20" w:type="dxa"/>
              <w:bottom w:w="100" w:type="dxa"/>
              <w:right w:w="20" w:type="dxa"/>
            </w:tcMar>
            <w:vAlign w:val="bottom"/>
            <w:hideMark/>
          </w:tcPr>
          <w:p w14:paraId="38220A75" w14:textId="77777777" w:rsidR="0073131B" w:rsidRPr="00C66056" w:rsidRDefault="0073131B" w:rsidP="00F03253">
            <w:r w:rsidRPr="00C66056">
              <w:rPr>
                <w:color w:val="000000"/>
              </w:rPr>
              <w:t>age</w:t>
            </w:r>
          </w:p>
        </w:tc>
        <w:tc>
          <w:tcPr>
            <w:tcW w:w="900" w:type="dxa"/>
            <w:tcBorders>
              <w:bottom w:val="single" w:sz="8" w:space="0" w:color="000000"/>
            </w:tcBorders>
            <w:tcMar>
              <w:top w:w="20" w:type="dxa"/>
              <w:left w:w="20" w:type="dxa"/>
              <w:bottom w:w="100" w:type="dxa"/>
              <w:right w:w="20" w:type="dxa"/>
            </w:tcMar>
            <w:vAlign w:val="bottom"/>
            <w:hideMark/>
          </w:tcPr>
          <w:p w14:paraId="0CF7F8CF" w14:textId="77777777" w:rsidR="0073131B" w:rsidRPr="00C66056" w:rsidRDefault="0073131B" w:rsidP="00F03253">
            <w:r w:rsidRPr="00C66056">
              <w:rPr>
                <w:color w:val="000000"/>
              </w:rPr>
              <w:t>min_age</w:t>
            </w:r>
          </w:p>
        </w:tc>
        <w:tc>
          <w:tcPr>
            <w:tcW w:w="1080" w:type="dxa"/>
            <w:tcBorders>
              <w:bottom w:val="single" w:sz="8" w:space="0" w:color="000000"/>
            </w:tcBorders>
            <w:tcMar>
              <w:top w:w="20" w:type="dxa"/>
              <w:left w:w="20" w:type="dxa"/>
              <w:bottom w:w="100" w:type="dxa"/>
              <w:right w:w="20" w:type="dxa"/>
            </w:tcMar>
            <w:vAlign w:val="bottom"/>
            <w:hideMark/>
          </w:tcPr>
          <w:p w14:paraId="2010C98F" w14:textId="77777777" w:rsidR="0073131B" w:rsidRPr="00C66056" w:rsidRDefault="0073131B" w:rsidP="00F03253">
            <w:r w:rsidRPr="00C66056">
              <w:rPr>
                <w:color w:val="000000"/>
              </w:rPr>
              <w:t>max_age</w:t>
            </w:r>
          </w:p>
        </w:tc>
        <w:tc>
          <w:tcPr>
            <w:tcW w:w="880" w:type="dxa"/>
            <w:tcBorders>
              <w:bottom w:val="single" w:sz="8" w:space="0" w:color="000000"/>
            </w:tcBorders>
            <w:tcMar>
              <w:top w:w="20" w:type="dxa"/>
              <w:left w:w="20" w:type="dxa"/>
              <w:bottom w:w="100" w:type="dxa"/>
              <w:right w:w="20" w:type="dxa"/>
            </w:tcMar>
            <w:vAlign w:val="bottom"/>
            <w:hideMark/>
          </w:tcPr>
          <w:p w14:paraId="3F113ACE" w14:textId="77777777" w:rsidR="0073131B" w:rsidRPr="00C66056" w:rsidRDefault="0073131B" w:rsidP="00F03253">
            <w:r w:rsidRPr="00C66056">
              <w:rPr>
                <w:color w:val="000000"/>
              </w:rPr>
              <w:t>sexRatio</w:t>
            </w:r>
          </w:p>
        </w:tc>
      </w:tr>
      <w:tr w:rsidR="0073131B" w:rsidRPr="00C66056" w14:paraId="7F471135" w14:textId="77777777" w:rsidTr="002254F4">
        <w:trPr>
          <w:trHeight w:val="144"/>
        </w:trPr>
        <w:tc>
          <w:tcPr>
            <w:tcW w:w="1710" w:type="dxa"/>
            <w:tcBorders>
              <w:top w:val="single" w:sz="8" w:space="0" w:color="000000"/>
              <w:right w:val="single" w:sz="6" w:space="0" w:color="000000"/>
            </w:tcBorders>
            <w:tcMar>
              <w:top w:w="20" w:type="dxa"/>
              <w:left w:w="20" w:type="dxa"/>
              <w:bottom w:w="100" w:type="dxa"/>
              <w:right w:w="20" w:type="dxa"/>
            </w:tcMar>
            <w:vAlign w:val="bottom"/>
            <w:hideMark/>
          </w:tcPr>
          <w:p w14:paraId="7ACDB3B7" w14:textId="71129B3C" w:rsidR="0073131B" w:rsidRPr="00C66056" w:rsidRDefault="00166820" w:rsidP="00673D01">
            <w:r>
              <w:rPr>
                <w:color w:val="000000"/>
              </w:rPr>
              <w:t xml:space="preserve">Controls </w:t>
            </w:r>
          </w:p>
        </w:tc>
        <w:tc>
          <w:tcPr>
            <w:tcW w:w="810" w:type="dxa"/>
            <w:tcBorders>
              <w:top w:val="single" w:sz="8" w:space="0" w:color="000000"/>
              <w:left w:val="single" w:sz="6" w:space="0" w:color="000000"/>
            </w:tcBorders>
            <w:tcMar>
              <w:top w:w="20" w:type="dxa"/>
              <w:left w:w="20" w:type="dxa"/>
              <w:bottom w:w="100" w:type="dxa"/>
              <w:right w:w="20" w:type="dxa"/>
            </w:tcMar>
            <w:vAlign w:val="bottom"/>
            <w:hideMark/>
          </w:tcPr>
          <w:p w14:paraId="40745AE2" w14:textId="77777777" w:rsidR="0073131B" w:rsidRPr="00C66056" w:rsidRDefault="0073131B" w:rsidP="00F03253">
            <w:r w:rsidRPr="00C66056">
              <w:rPr>
                <w:color w:val="000000"/>
              </w:rPr>
              <w:t>Female</w:t>
            </w:r>
          </w:p>
        </w:tc>
        <w:tc>
          <w:tcPr>
            <w:tcW w:w="720" w:type="dxa"/>
            <w:tcBorders>
              <w:top w:val="single" w:sz="8" w:space="0" w:color="000000"/>
            </w:tcBorders>
            <w:tcMar>
              <w:top w:w="20" w:type="dxa"/>
              <w:left w:w="20" w:type="dxa"/>
              <w:bottom w:w="100" w:type="dxa"/>
              <w:right w:w="20" w:type="dxa"/>
            </w:tcMar>
            <w:vAlign w:val="bottom"/>
            <w:hideMark/>
          </w:tcPr>
          <w:p w14:paraId="4ACF5D0D" w14:textId="77777777" w:rsidR="0073131B" w:rsidRPr="00C66056" w:rsidRDefault="0073131B" w:rsidP="00F03253">
            <w:r w:rsidRPr="00C66056">
              <w:rPr>
                <w:color w:val="000000"/>
              </w:rPr>
              <w:t>93</w:t>
            </w:r>
          </w:p>
        </w:tc>
        <w:tc>
          <w:tcPr>
            <w:tcW w:w="900" w:type="dxa"/>
            <w:tcBorders>
              <w:top w:val="single" w:sz="8" w:space="0" w:color="000000"/>
            </w:tcBorders>
            <w:tcMar>
              <w:top w:w="20" w:type="dxa"/>
              <w:left w:w="20" w:type="dxa"/>
              <w:bottom w:w="100" w:type="dxa"/>
              <w:right w:w="20" w:type="dxa"/>
            </w:tcMar>
            <w:vAlign w:val="bottom"/>
            <w:hideMark/>
          </w:tcPr>
          <w:p w14:paraId="1031AA78" w14:textId="77777777" w:rsidR="0073131B" w:rsidRPr="00C66056" w:rsidRDefault="0073131B" w:rsidP="00F03253">
            <w:r w:rsidRPr="00C66056">
              <w:rPr>
                <w:color w:val="000000"/>
              </w:rPr>
              <w:t>31</w:t>
            </w:r>
          </w:p>
        </w:tc>
        <w:tc>
          <w:tcPr>
            <w:tcW w:w="900" w:type="dxa"/>
            <w:tcBorders>
              <w:top w:val="single" w:sz="8" w:space="0" w:color="000000"/>
            </w:tcBorders>
            <w:tcMar>
              <w:top w:w="20" w:type="dxa"/>
              <w:left w:w="20" w:type="dxa"/>
              <w:bottom w:w="100" w:type="dxa"/>
              <w:right w:w="20" w:type="dxa"/>
            </w:tcMar>
            <w:vAlign w:val="bottom"/>
            <w:hideMark/>
          </w:tcPr>
          <w:p w14:paraId="5C6582E7" w14:textId="77777777" w:rsidR="0073131B" w:rsidRPr="00C66056" w:rsidRDefault="0073131B" w:rsidP="00F03253">
            <w:r w:rsidRPr="00C66056">
              <w:rPr>
                <w:color w:val="000000"/>
              </w:rPr>
              <w:t>18</w:t>
            </w:r>
          </w:p>
        </w:tc>
        <w:tc>
          <w:tcPr>
            <w:tcW w:w="1080" w:type="dxa"/>
            <w:tcBorders>
              <w:top w:val="single" w:sz="8" w:space="0" w:color="000000"/>
            </w:tcBorders>
            <w:tcMar>
              <w:top w:w="20" w:type="dxa"/>
              <w:left w:w="20" w:type="dxa"/>
              <w:bottom w:w="100" w:type="dxa"/>
              <w:right w:w="20" w:type="dxa"/>
            </w:tcMar>
            <w:vAlign w:val="bottom"/>
            <w:hideMark/>
          </w:tcPr>
          <w:p w14:paraId="3D5BB26F" w14:textId="77777777" w:rsidR="0073131B" w:rsidRPr="00C66056" w:rsidRDefault="0073131B" w:rsidP="00F03253">
            <w:r w:rsidRPr="00C66056">
              <w:rPr>
                <w:color w:val="000000"/>
              </w:rPr>
              <w:t>68</w:t>
            </w:r>
          </w:p>
        </w:tc>
        <w:tc>
          <w:tcPr>
            <w:tcW w:w="880" w:type="dxa"/>
            <w:tcBorders>
              <w:top w:val="single" w:sz="8" w:space="0" w:color="000000"/>
            </w:tcBorders>
            <w:tcMar>
              <w:top w:w="20" w:type="dxa"/>
              <w:left w:w="20" w:type="dxa"/>
              <w:bottom w:w="100" w:type="dxa"/>
              <w:right w:w="20" w:type="dxa"/>
            </w:tcMar>
            <w:vAlign w:val="bottom"/>
            <w:hideMark/>
          </w:tcPr>
          <w:p w14:paraId="01D90FFD" w14:textId="77777777" w:rsidR="0073131B" w:rsidRPr="00C66056" w:rsidRDefault="0073131B" w:rsidP="00F03253">
            <w:r w:rsidRPr="00C66056">
              <w:rPr>
                <w:color w:val="000000"/>
              </w:rPr>
              <w:t>84.55</w:t>
            </w:r>
          </w:p>
        </w:tc>
      </w:tr>
      <w:tr w:rsidR="0073131B" w:rsidRPr="00C66056" w14:paraId="44DAEA08" w14:textId="77777777" w:rsidTr="002254F4">
        <w:trPr>
          <w:trHeight w:val="144"/>
        </w:trPr>
        <w:tc>
          <w:tcPr>
            <w:tcW w:w="1710" w:type="dxa"/>
            <w:tcBorders>
              <w:right w:val="single" w:sz="6" w:space="0" w:color="000000"/>
            </w:tcBorders>
            <w:tcMar>
              <w:top w:w="20" w:type="dxa"/>
              <w:left w:w="20" w:type="dxa"/>
              <w:bottom w:w="100" w:type="dxa"/>
              <w:right w:w="20" w:type="dxa"/>
            </w:tcMar>
            <w:vAlign w:val="bottom"/>
            <w:hideMark/>
          </w:tcPr>
          <w:p w14:paraId="646C1637" w14:textId="3EC46905" w:rsidR="0073131B" w:rsidRPr="00C66056" w:rsidRDefault="002254F4" w:rsidP="00673D01">
            <w:r>
              <w:rPr>
                <w:color w:val="000000"/>
              </w:rPr>
              <w:t>(i.e. subtype 1)</w:t>
            </w:r>
          </w:p>
        </w:tc>
        <w:tc>
          <w:tcPr>
            <w:tcW w:w="810" w:type="dxa"/>
            <w:tcBorders>
              <w:left w:val="single" w:sz="6" w:space="0" w:color="000000"/>
            </w:tcBorders>
            <w:tcMar>
              <w:top w:w="20" w:type="dxa"/>
              <w:left w:w="20" w:type="dxa"/>
              <w:bottom w:w="100" w:type="dxa"/>
              <w:right w:w="20" w:type="dxa"/>
            </w:tcMar>
            <w:vAlign w:val="bottom"/>
            <w:hideMark/>
          </w:tcPr>
          <w:p w14:paraId="219D2568" w14:textId="77777777" w:rsidR="0073131B" w:rsidRPr="00C66056" w:rsidRDefault="0073131B" w:rsidP="00F03253">
            <w:r w:rsidRPr="00C66056">
              <w:rPr>
                <w:color w:val="000000"/>
              </w:rPr>
              <w:t>Male</w:t>
            </w:r>
          </w:p>
        </w:tc>
        <w:tc>
          <w:tcPr>
            <w:tcW w:w="720" w:type="dxa"/>
            <w:tcMar>
              <w:top w:w="20" w:type="dxa"/>
              <w:left w:w="20" w:type="dxa"/>
              <w:bottom w:w="100" w:type="dxa"/>
              <w:right w:w="20" w:type="dxa"/>
            </w:tcMar>
            <w:vAlign w:val="bottom"/>
            <w:hideMark/>
          </w:tcPr>
          <w:p w14:paraId="24B0D010" w14:textId="77777777" w:rsidR="0073131B" w:rsidRPr="00C66056" w:rsidRDefault="0073131B" w:rsidP="00F03253">
            <w:r w:rsidRPr="00C66056">
              <w:rPr>
                <w:color w:val="000000"/>
              </w:rPr>
              <w:t>17</w:t>
            </w:r>
          </w:p>
        </w:tc>
        <w:tc>
          <w:tcPr>
            <w:tcW w:w="900" w:type="dxa"/>
            <w:tcMar>
              <w:top w:w="20" w:type="dxa"/>
              <w:left w:w="20" w:type="dxa"/>
              <w:bottom w:w="100" w:type="dxa"/>
              <w:right w:w="20" w:type="dxa"/>
            </w:tcMar>
            <w:vAlign w:val="bottom"/>
            <w:hideMark/>
          </w:tcPr>
          <w:p w14:paraId="2E2AC204" w14:textId="77777777" w:rsidR="0073131B" w:rsidRPr="00C66056" w:rsidRDefault="0073131B" w:rsidP="00F03253">
            <w:r w:rsidRPr="00C66056">
              <w:rPr>
                <w:color w:val="000000"/>
              </w:rPr>
              <w:t>27.7</w:t>
            </w:r>
          </w:p>
        </w:tc>
        <w:tc>
          <w:tcPr>
            <w:tcW w:w="900" w:type="dxa"/>
            <w:tcMar>
              <w:top w:w="20" w:type="dxa"/>
              <w:left w:w="20" w:type="dxa"/>
              <w:bottom w:w="100" w:type="dxa"/>
              <w:right w:w="20" w:type="dxa"/>
            </w:tcMar>
            <w:vAlign w:val="bottom"/>
            <w:hideMark/>
          </w:tcPr>
          <w:p w14:paraId="3961E2E1" w14:textId="77777777" w:rsidR="0073131B" w:rsidRPr="00C66056" w:rsidRDefault="0073131B" w:rsidP="00F03253">
            <w:r w:rsidRPr="00C66056">
              <w:rPr>
                <w:color w:val="000000"/>
              </w:rPr>
              <w:t>21</w:t>
            </w:r>
          </w:p>
        </w:tc>
        <w:tc>
          <w:tcPr>
            <w:tcW w:w="1080" w:type="dxa"/>
            <w:tcMar>
              <w:top w:w="20" w:type="dxa"/>
              <w:left w:w="20" w:type="dxa"/>
              <w:bottom w:w="100" w:type="dxa"/>
              <w:right w:w="20" w:type="dxa"/>
            </w:tcMar>
            <w:vAlign w:val="bottom"/>
            <w:hideMark/>
          </w:tcPr>
          <w:p w14:paraId="7B4999E4" w14:textId="77777777" w:rsidR="0073131B" w:rsidRPr="00C66056" w:rsidRDefault="0073131B" w:rsidP="00F03253">
            <w:r w:rsidRPr="00C66056">
              <w:rPr>
                <w:color w:val="000000"/>
              </w:rPr>
              <w:t>36</w:t>
            </w:r>
          </w:p>
        </w:tc>
        <w:tc>
          <w:tcPr>
            <w:tcW w:w="880" w:type="dxa"/>
            <w:tcMar>
              <w:top w:w="20" w:type="dxa"/>
              <w:left w:w="20" w:type="dxa"/>
              <w:bottom w:w="100" w:type="dxa"/>
              <w:right w:w="20" w:type="dxa"/>
            </w:tcMar>
            <w:vAlign w:val="bottom"/>
            <w:hideMark/>
          </w:tcPr>
          <w:p w14:paraId="51A1BCF5" w14:textId="77777777" w:rsidR="0073131B" w:rsidRPr="00C66056" w:rsidRDefault="0073131B" w:rsidP="00F03253">
            <w:r w:rsidRPr="00C66056">
              <w:rPr>
                <w:color w:val="000000"/>
              </w:rPr>
              <w:t>15.45</w:t>
            </w:r>
          </w:p>
        </w:tc>
      </w:tr>
      <w:tr w:rsidR="0073131B" w:rsidRPr="00C66056" w14:paraId="14FBE4B0" w14:textId="77777777" w:rsidTr="002254F4">
        <w:trPr>
          <w:trHeight w:val="144"/>
        </w:trPr>
        <w:tc>
          <w:tcPr>
            <w:tcW w:w="1710" w:type="dxa"/>
            <w:tcBorders>
              <w:right w:val="single" w:sz="6" w:space="0" w:color="000000"/>
            </w:tcBorders>
            <w:tcMar>
              <w:top w:w="20" w:type="dxa"/>
              <w:left w:w="20" w:type="dxa"/>
              <w:bottom w:w="100" w:type="dxa"/>
              <w:right w:w="20" w:type="dxa"/>
            </w:tcMar>
            <w:vAlign w:val="bottom"/>
            <w:hideMark/>
          </w:tcPr>
          <w:p w14:paraId="1D510562" w14:textId="5FC78320" w:rsidR="0073131B" w:rsidRPr="00C66056" w:rsidRDefault="00673D01" w:rsidP="002254F4">
            <w:r>
              <w:rPr>
                <w:color w:val="000000"/>
              </w:rPr>
              <w:t>S</w:t>
            </w:r>
            <w:r w:rsidR="00166820">
              <w:rPr>
                <w:color w:val="000000"/>
              </w:rPr>
              <w:t xml:space="preserve">ubtype </w:t>
            </w:r>
            <w:r w:rsidR="002254F4">
              <w:rPr>
                <w:color w:val="000000"/>
              </w:rPr>
              <w:t>2</w:t>
            </w:r>
          </w:p>
        </w:tc>
        <w:tc>
          <w:tcPr>
            <w:tcW w:w="810" w:type="dxa"/>
            <w:tcBorders>
              <w:left w:val="single" w:sz="6" w:space="0" w:color="000000"/>
            </w:tcBorders>
            <w:tcMar>
              <w:top w:w="20" w:type="dxa"/>
              <w:left w:w="20" w:type="dxa"/>
              <w:bottom w:w="100" w:type="dxa"/>
              <w:right w:w="20" w:type="dxa"/>
            </w:tcMar>
            <w:vAlign w:val="bottom"/>
            <w:hideMark/>
          </w:tcPr>
          <w:p w14:paraId="48483739" w14:textId="77777777" w:rsidR="0073131B" w:rsidRPr="00C66056" w:rsidRDefault="0073131B" w:rsidP="00F03253">
            <w:r w:rsidRPr="00C66056">
              <w:rPr>
                <w:color w:val="000000"/>
              </w:rPr>
              <w:t>Female</w:t>
            </w:r>
          </w:p>
        </w:tc>
        <w:tc>
          <w:tcPr>
            <w:tcW w:w="720" w:type="dxa"/>
            <w:tcMar>
              <w:top w:w="20" w:type="dxa"/>
              <w:left w:w="20" w:type="dxa"/>
              <w:bottom w:w="100" w:type="dxa"/>
              <w:right w:w="20" w:type="dxa"/>
            </w:tcMar>
            <w:vAlign w:val="bottom"/>
            <w:hideMark/>
          </w:tcPr>
          <w:p w14:paraId="157B6F82" w14:textId="77777777" w:rsidR="0073131B" w:rsidRPr="00C66056" w:rsidRDefault="0073131B" w:rsidP="00F03253">
            <w:r w:rsidRPr="00C66056">
              <w:rPr>
                <w:color w:val="000000"/>
              </w:rPr>
              <w:t>18</w:t>
            </w:r>
          </w:p>
        </w:tc>
        <w:tc>
          <w:tcPr>
            <w:tcW w:w="900" w:type="dxa"/>
            <w:tcMar>
              <w:top w:w="20" w:type="dxa"/>
              <w:left w:w="20" w:type="dxa"/>
              <w:bottom w:w="100" w:type="dxa"/>
              <w:right w:w="20" w:type="dxa"/>
            </w:tcMar>
            <w:vAlign w:val="bottom"/>
            <w:hideMark/>
          </w:tcPr>
          <w:p w14:paraId="3B7193FC" w14:textId="77777777" w:rsidR="0073131B" w:rsidRPr="00C66056" w:rsidRDefault="0073131B" w:rsidP="00F03253">
            <w:r w:rsidRPr="00C66056">
              <w:rPr>
                <w:color w:val="000000"/>
              </w:rPr>
              <w:t>34.6</w:t>
            </w:r>
          </w:p>
        </w:tc>
        <w:tc>
          <w:tcPr>
            <w:tcW w:w="900" w:type="dxa"/>
            <w:tcMar>
              <w:top w:w="20" w:type="dxa"/>
              <w:left w:w="20" w:type="dxa"/>
              <w:bottom w:w="100" w:type="dxa"/>
              <w:right w:w="20" w:type="dxa"/>
            </w:tcMar>
            <w:vAlign w:val="bottom"/>
            <w:hideMark/>
          </w:tcPr>
          <w:p w14:paraId="0F470883" w14:textId="77777777" w:rsidR="0073131B" w:rsidRPr="00C66056" w:rsidRDefault="0073131B" w:rsidP="00F03253">
            <w:r w:rsidRPr="00C66056">
              <w:rPr>
                <w:color w:val="000000"/>
              </w:rPr>
              <w:t>18</w:t>
            </w:r>
          </w:p>
        </w:tc>
        <w:tc>
          <w:tcPr>
            <w:tcW w:w="1080" w:type="dxa"/>
            <w:tcMar>
              <w:top w:w="20" w:type="dxa"/>
              <w:left w:w="20" w:type="dxa"/>
              <w:bottom w:w="100" w:type="dxa"/>
              <w:right w:w="20" w:type="dxa"/>
            </w:tcMar>
            <w:vAlign w:val="bottom"/>
            <w:hideMark/>
          </w:tcPr>
          <w:p w14:paraId="331E3486" w14:textId="77777777" w:rsidR="0073131B" w:rsidRPr="00C66056" w:rsidRDefault="0073131B" w:rsidP="00F03253">
            <w:r w:rsidRPr="00C66056">
              <w:rPr>
                <w:color w:val="000000"/>
              </w:rPr>
              <w:t>57</w:t>
            </w:r>
          </w:p>
        </w:tc>
        <w:tc>
          <w:tcPr>
            <w:tcW w:w="880" w:type="dxa"/>
            <w:tcMar>
              <w:top w:w="20" w:type="dxa"/>
              <w:left w:w="20" w:type="dxa"/>
              <w:bottom w:w="100" w:type="dxa"/>
              <w:right w:w="20" w:type="dxa"/>
            </w:tcMar>
            <w:vAlign w:val="bottom"/>
            <w:hideMark/>
          </w:tcPr>
          <w:p w14:paraId="28D1D598" w14:textId="77777777" w:rsidR="0073131B" w:rsidRPr="00C66056" w:rsidRDefault="0073131B" w:rsidP="00F03253">
            <w:r w:rsidRPr="00C66056">
              <w:rPr>
                <w:color w:val="000000"/>
              </w:rPr>
              <w:t>78.26</w:t>
            </w:r>
          </w:p>
        </w:tc>
      </w:tr>
      <w:tr w:rsidR="0073131B" w:rsidRPr="00C66056" w14:paraId="7F88274F" w14:textId="77777777" w:rsidTr="002254F4">
        <w:trPr>
          <w:trHeight w:val="144"/>
        </w:trPr>
        <w:tc>
          <w:tcPr>
            <w:tcW w:w="1710" w:type="dxa"/>
            <w:tcBorders>
              <w:right w:val="single" w:sz="6" w:space="0" w:color="000000"/>
            </w:tcBorders>
            <w:tcMar>
              <w:top w:w="20" w:type="dxa"/>
              <w:left w:w="20" w:type="dxa"/>
              <w:bottom w:w="100" w:type="dxa"/>
              <w:right w:w="20" w:type="dxa"/>
            </w:tcMar>
            <w:vAlign w:val="bottom"/>
            <w:hideMark/>
          </w:tcPr>
          <w:p w14:paraId="1E80FDD2" w14:textId="1788FD3B" w:rsidR="0073131B" w:rsidRPr="00C66056" w:rsidRDefault="0073131B" w:rsidP="00F03253"/>
        </w:tc>
        <w:tc>
          <w:tcPr>
            <w:tcW w:w="810" w:type="dxa"/>
            <w:tcBorders>
              <w:left w:val="single" w:sz="6" w:space="0" w:color="000000"/>
            </w:tcBorders>
            <w:tcMar>
              <w:top w:w="20" w:type="dxa"/>
              <w:left w:w="20" w:type="dxa"/>
              <w:bottom w:w="100" w:type="dxa"/>
              <w:right w:w="20" w:type="dxa"/>
            </w:tcMar>
            <w:vAlign w:val="bottom"/>
            <w:hideMark/>
          </w:tcPr>
          <w:p w14:paraId="55961883" w14:textId="77777777" w:rsidR="0073131B" w:rsidRPr="00C66056" w:rsidRDefault="0073131B" w:rsidP="00F03253">
            <w:r w:rsidRPr="00C66056">
              <w:rPr>
                <w:color w:val="000000"/>
              </w:rPr>
              <w:t>Male</w:t>
            </w:r>
          </w:p>
        </w:tc>
        <w:tc>
          <w:tcPr>
            <w:tcW w:w="720" w:type="dxa"/>
            <w:tcMar>
              <w:top w:w="20" w:type="dxa"/>
              <w:left w:w="20" w:type="dxa"/>
              <w:bottom w:w="100" w:type="dxa"/>
              <w:right w:w="20" w:type="dxa"/>
            </w:tcMar>
            <w:vAlign w:val="bottom"/>
            <w:hideMark/>
          </w:tcPr>
          <w:p w14:paraId="7A372E68" w14:textId="77777777" w:rsidR="0073131B" w:rsidRPr="00C66056" w:rsidRDefault="0073131B" w:rsidP="00F03253">
            <w:r w:rsidRPr="00C66056">
              <w:rPr>
                <w:color w:val="000000"/>
              </w:rPr>
              <w:t>5</w:t>
            </w:r>
          </w:p>
        </w:tc>
        <w:tc>
          <w:tcPr>
            <w:tcW w:w="900" w:type="dxa"/>
            <w:tcMar>
              <w:top w:w="20" w:type="dxa"/>
              <w:left w:w="20" w:type="dxa"/>
              <w:bottom w:w="100" w:type="dxa"/>
              <w:right w:w="20" w:type="dxa"/>
            </w:tcMar>
            <w:vAlign w:val="bottom"/>
            <w:hideMark/>
          </w:tcPr>
          <w:p w14:paraId="31FC3D4C" w14:textId="77777777" w:rsidR="0073131B" w:rsidRPr="00C66056" w:rsidRDefault="0073131B" w:rsidP="00F03253">
            <w:r w:rsidRPr="00C66056">
              <w:rPr>
                <w:color w:val="000000"/>
              </w:rPr>
              <w:t>29.4</w:t>
            </w:r>
          </w:p>
        </w:tc>
        <w:tc>
          <w:tcPr>
            <w:tcW w:w="900" w:type="dxa"/>
            <w:tcMar>
              <w:top w:w="20" w:type="dxa"/>
              <w:left w:w="20" w:type="dxa"/>
              <w:bottom w:w="100" w:type="dxa"/>
              <w:right w:w="20" w:type="dxa"/>
            </w:tcMar>
            <w:vAlign w:val="bottom"/>
            <w:hideMark/>
          </w:tcPr>
          <w:p w14:paraId="34C86DA4" w14:textId="77777777" w:rsidR="0073131B" w:rsidRPr="00C66056" w:rsidRDefault="0073131B" w:rsidP="00F03253">
            <w:r w:rsidRPr="00C66056">
              <w:rPr>
                <w:color w:val="000000"/>
              </w:rPr>
              <w:t>18</w:t>
            </w:r>
          </w:p>
        </w:tc>
        <w:tc>
          <w:tcPr>
            <w:tcW w:w="1080" w:type="dxa"/>
            <w:tcMar>
              <w:top w:w="20" w:type="dxa"/>
              <w:left w:w="20" w:type="dxa"/>
              <w:bottom w:w="100" w:type="dxa"/>
              <w:right w:w="20" w:type="dxa"/>
            </w:tcMar>
            <w:vAlign w:val="bottom"/>
            <w:hideMark/>
          </w:tcPr>
          <w:p w14:paraId="08230F0A" w14:textId="77777777" w:rsidR="0073131B" w:rsidRPr="00C66056" w:rsidRDefault="0073131B" w:rsidP="00F03253">
            <w:r w:rsidRPr="00C66056">
              <w:rPr>
                <w:color w:val="000000"/>
              </w:rPr>
              <w:t>36</w:t>
            </w:r>
          </w:p>
        </w:tc>
        <w:tc>
          <w:tcPr>
            <w:tcW w:w="880" w:type="dxa"/>
            <w:tcMar>
              <w:top w:w="20" w:type="dxa"/>
              <w:left w:w="20" w:type="dxa"/>
              <w:bottom w:w="100" w:type="dxa"/>
              <w:right w:w="20" w:type="dxa"/>
            </w:tcMar>
            <w:vAlign w:val="bottom"/>
            <w:hideMark/>
          </w:tcPr>
          <w:p w14:paraId="440499AC" w14:textId="77777777" w:rsidR="0073131B" w:rsidRPr="00C66056" w:rsidRDefault="0073131B" w:rsidP="00F03253">
            <w:r w:rsidRPr="00C66056">
              <w:rPr>
                <w:color w:val="000000"/>
              </w:rPr>
              <w:t>21.74</w:t>
            </w:r>
          </w:p>
        </w:tc>
      </w:tr>
      <w:tr w:rsidR="0073131B" w:rsidRPr="00C66056" w14:paraId="55C63995" w14:textId="77777777" w:rsidTr="002254F4">
        <w:trPr>
          <w:trHeight w:val="144"/>
        </w:trPr>
        <w:tc>
          <w:tcPr>
            <w:tcW w:w="1710" w:type="dxa"/>
            <w:tcBorders>
              <w:right w:val="single" w:sz="6" w:space="0" w:color="000000"/>
            </w:tcBorders>
            <w:tcMar>
              <w:top w:w="20" w:type="dxa"/>
              <w:left w:w="20" w:type="dxa"/>
              <w:bottom w:w="100" w:type="dxa"/>
              <w:right w:w="20" w:type="dxa"/>
            </w:tcMar>
            <w:vAlign w:val="bottom"/>
            <w:hideMark/>
          </w:tcPr>
          <w:p w14:paraId="2558FB03" w14:textId="4E1A139B" w:rsidR="0073131B" w:rsidRPr="00C66056" w:rsidRDefault="00673D01" w:rsidP="002254F4">
            <w:r>
              <w:rPr>
                <w:color w:val="000000"/>
              </w:rPr>
              <w:t>S</w:t>
            </w:r>
            <w:r w:rsidR="00166820">
              <w:rPr>
                <w:color w:val="000000"/>
              </w:rPr>
              <w:t xml:space="preserve">ubtype </w:t>
            </w:r>
            <w:r w:rsidR="002254F4">
              <w:rPr>
                <w:color w:val="000000"/>
              </w:rPr>
              <w:t>3</w:t>
            </w:r>
          </w:p>
        </w:tc>
        <w:tc>
          <w:tcPr>
            <w:tcW w:w="810" w:type="dxa"/>
            <w:tcBorders>
              <w:left w:val="single" w:sz="6" w:space="0" w:color="000000"/>
            </w:tcBorders>
            <w:tcMar>
              <w:top w:w="20" w:type="dxa"/>
              <w:left w:w="20" w:type="dxa"/>
              <w:bottom w:w="100" w:type="dxa"/>
              <w:right w:w="20" w:type="dxa"/>
            </w:tcMar>
            <w:vAlign w:val="bottom"/>
            <w:hideMark/>
          </w:tcPr>
          <w:p w14:paraId="61A25890" w14:textId="77777777" w:rsidR="0073131B" w:rsidRPr="00C66056" w:rsidRDefault="0073131B" w:rsidP="00F03253">
            <w:r w:rsidRPr="00C66056">
              <w:rPr>
                <w:color w:val="000000"/>
              </w:rPr>
              <w:t>Female</w:t>
            </w:r>
          </w:p>
        </w:tc>
        <w:tc>
          <w:tcPr>
            <w:tcW w:w="720" w:type="dxa"/>
            <w:tcMar>
              <w:top w:w="20" w:type="dxa"/>
              <w:left w:w="20" w:type="dxa"/>
              <w:bottom w:w="100" w:type="dxa"/>
              <w:right w:w="20" w:type="dxa"/>
            </w:tcMar>
            <w:vAlign w:val="bottom"/>
            <w:hideMark/>
          </w:tcPr>
          <w:p w14:paraId="2C2C682D" w14:textId="77777777" w:rsidR="0073131B" w:rsidRPr="00C66056" w:rsidRDefault="0073131B" w:rsidP="00F03253">
            <w:r w:rsidRPr="00C66056">
              <w:rPr>
                <w:color w:val="000000"/>
              </w:rPr>
              <w:t>58</w:t>
            </w:r>
          </w:p>
        </w:tc>
        <w:tc>
          <w:tcPr>
            <w:tcW w:w="900" w:type="dxa"/>
            <w:tcMar>
              <w:top w:w="20" w:type="dxa"/>
              <w:left w:w="20" w:type="dxa"/>
              <w:bottom w:w="100" w:type="dxa"/>
              <w:right w:w="20" w:type="dxa"/>
            </w:tcMar>
            <w:vAlign w:val="bottom"/>
            <w:hideMark/>
          </w:tcPr>
          <w:p w14:paraId="3EA55459" w14:textId="77777777" w:rsidR="0073131B" w:rsidRPr="00C66056" w:rsidRDefault="0073131B" w:rsidP="00F03253">
            <w:r w:rsidRPr="00C66056">
              <w:rPr>
                <w:color w:val="000000"/>
              </w:rPr>
              <w:t>28.1</w:t>
            </w:r>
          </w:p>
        </w:tc>
        <w:tc>
          <w:tcPr>
            <w:tcW w:w="900" w:type="dxa"/>
            <w:tcMar>
              <w:top w:w="20" w:type="dxa"/>
              <w:left w:w="20" w:type="dxa"/>
              <w:bottom w:w="100" w:type="dxa"/>
              <w:right w:w="20" w:type="dxa"/>
            </w:tcMar>
            <w:vAlign w:val="bottom"/>
            <w:hideMark/>
          </w:tcPr>
          <w:p w14:paraId="67A1B78A" w14:textId="77777777" w:rsidR="0073131B" w:rsidRPr="00C66056" w:rsidRDefault="0073131B" w:rsidP="00F03253">
            <w:r w:rsidRPr="00C66056">
              <w:rPr>
                <w:color w:val="000000"/>
              </w:rPr>
              <w:t>19</w:t>
            </w:r>
          </w:p>
        </w:tc>
        <w:tc>
          <w:tcPr>
            <w:tcW w:w="1080" w:type="dxa"/>
            <w:tcMar>
              <w:top w:w="20" w:type="dxa"/>
              <w:left w:w="20" w:type="dxa"/>
              <w:bottom w:w="100" w:type="dxa"/>
              <w:right w:w="20" w:type="dxa"/>
            </w:tcMar>
            <w:vAlign w:val="bottom"/>
            <w:hideMark/>
          </w:tcPr>
          <w:p w14:paraId="420B27D6" w14:textId="77777777" w:rsidR="0073131B" w:rsidRPr="00C66056" w:rsidRDefault="0073131B" w:rsidP="00F03253">
            <w:r w:rsidRPr="00C66056">
              <w:rPr>
                <w:color w:val="000000"/>
              </w:rPr>
              <w:t>56</w:t>
            </w:r>
          </w:p>
        </w:tc>
        <w:tc>
          <w:tcPr>
            <w:tcW w:w="880" w:type="dxa"/>
            <w:tcMar>
              <w:top w:w="20" w:type="dxa"/>
              <w:left w:w="20" w:type="dxa"/>
              <w:bottom w:w="100" w:type="dxa"/>
              <w:right w:w="20" w:type="dxa"/>
            </w:tcMar>
            <w:vAlign w:val="bottom"/>
            <w:hideMark/>
          </w:tcPr>
          <w:p w14:paraId="41041C80" w14:textId="77777777" w:rsidR="0073131B" w:rsidRPr="00C66056" w:rsidRDefault="0073131B" w:rsidP="00F03253">
            <w:r w:rsidRPr="00C66056">
              <w:rPr>
                <w:color w:val="000000"/>
              </w:rPr>
              <w:t>86.57</w:t>
            </w:r>
          </w:p>
        </w:tc>
      </w:tr>
      <w:tr w:rsidR="0073131B" w:rsidRPr="00C66056" w14:paraId="03CD3D32" w14:textId="77777777" w:rsidTr="002254F4">
        <w:trPr>
          <w:trHeight w:val="144"/>
        </w:trPr>
        <w:tc>
          <w:tcPr>
            <w:tcW w:w="1710" w:type="dxa"/>
            <w:tcBorders>
              <w:right w:val="single" w:sz="6" w:space="0" w:color="000000"/>
            </w:tcBorders>
            <w:tcMar>
              <w:top w:w="20" w:type="dxa"/>
              <w:left w:w="20" w:type="dxa"/>
              <w:bottom w:w="100" w:type="dxa"/>
              <w:right w:w="20" w:type="dxa"/>
            </w:tcMar>
            <w:vAlign w:val="bottom"/>
            <w:hideMark/>
          </w:tcPr>
          <w:p w14:paraId="309BF63A" w14:textId="7DA8480D" w:rsidR="0073131B" w:rsidRPr="00C66056" w:rsidRDefault="0073131B" w:rsidP="00F03253"/>
        </w:tc>
        <w:tc>
          <w:tcPr>
            <w:tcW w:w="810" w:type="dxa"/>
            <w:tcBorders>
              <w:left w:val="single" w:sz="6" w:space="0" w:color="000000"/>
            </w:tcBorders>
            <w:tcMar>
              <w:top w:w="20" w:type="dxa"/>
              <w:left w:w="20" w:type="dxa"/>
              <w:bottom w:w="100" w:type="dxa"/>
              <w:right w:w="20" w:type="dxa"/>
            </w:tcMar>
            <w:vAlign w:val="bottom"/>
            <w:hideMark/>
          </w:tcPr>
          <w:p w14:paraId="6A41D487" w14:textId="77777777" w:rsidR="0073131B" w:rsidRPr="00C66056" w:rsidRDefault="0073131B" w:rsidP="00F03253">
            <w:r w:rsidRPr="00C66056">
              <w:rPr>
                <w:color w:val="000000"/>
              </w:rPr>
              <w:t>Male</w:t>
            </w:r>
          </w:p>
        </w:tc>
        <w:tc>
          <w:tcPr>
            <w:tcW w:w="720" w:type="dxa"/>
            <w:tcMar>
              <w:top w:w="20" w:type="dxa"/>
              <w:left w:w="20" w:type="dxa"/>
              <w:bottom w:w="100" w:type="dxa"/>
              <w:right w:w="20" w:type="dxa"/>
            </w:tcMar>
            <w:vAlign w:val="bottom"/>
            <w:hideMark/>
          </w:tcPr>
          <w:p w14:paraId="7A83277D" w14:textId="77777777" w:rsidR="0073131B" w:rsidRPr="00C66056" w:rsidRDefault="0073131B" w:rsidP="00F03253">
            <w:r w:rsidRPr="00C66056">
              <w:rPr>
                <w:color w:val="000000"/>
              </w:rPr>
              <w:t>9</w:t>
            </w:r>
          </w:p>
        </w:tc>
        <w:tc>
          <w:tcPr>
            <w:tcW w:w="900" w:type="dxa"/>
            <w:tcMar>
              <w:top w:w="20" w:type="dxa"/>
              <w:left w:w="20" w:type="dxa"/>
              <w:bottom w:w="100" w:type="dxa"/>
              <w:right w:w="20" w:type="dxa"/>
            </w:tcMar>
            <w:vAlign w:val="bottom"/>
            <w:hideMark/>
          </w:tcPr>
          <w:p w14:paraId="148EEE8F" w14:textId="77777777" w:rsidR="0073131B" w:rsidRPr="00C66056" w:rsidRDefault="0073131B" w:rsidP="00F03253">
            <w:r w:rsidRPr="00C66056">
              <w:rPr>
                <w:color w:val="000000"/>
              </w:rPr>
              <w:t>27</w:t>
            </w:r>
          </w:p>
        </w:tc>
        <w:tc>
          <w:tcPr>
            <w:tcW w:w="900" w:type="dxa"/>
            <w:tcMar>
              <w:top w:w="20" w:type="dxa"/>
              <w:left w:w="20" w:type="dxa"/>
              <w:bottom w:w="100" w:type="dxa"/>
              <w:right w:w="20" w:type="dxa"/>
            </w:tcMar>
            <w:vAlign w:val="bottom"/>
            <w:hideMark/>
          </w:tcPr>
          <w:p w14:paraId="4A629913" w14:textId="77777777" w:rsidR="0073131B" w:rsidRPr="00C66056" w:rsidRDefault="0073131B" w:rsidP="00F03253">
            <w:r w:rsidRPr="00C66056">
              <w:rPr>
                <w:color w:val="000000"/>
              </w:rPr>
              <w:t>18</w:t>
            </w:r>
          </w:p>
        </w:tc>
        <w:tc>
          <w:tcPr>
            <w:tcW w:w="1080" w:type="dxa"/>
            <w:tcMar>
              <w:top w:w="20" w:type="dxa"/>
              <w:left w:w="20" w:type="dxa"/>
              <w:bottom w:w="100" w:type="dxa"/>
              <w:right w:w="20" w:type="dxa"/>
            </w:tcMar>
            <w:vAlign w:val="bottom"/>
            <w:hideMark/>
          </w:tcPr>
          <w:p w14:paraId="43973F6D" w14:textId="77777777" w:rsidR="0073131B" w:rsidRPr="00C66056" w:rsidRDefault="0073131B" w:rsidP="00F03253">
            <w:r w:rsidRPr="00C66056">
              <w:rPr>
                <w:color w:val="000000"/>
              </w:rPr>
              <w:t>41</w:t>
            </w:r>
          </w:p>
        </w:tc>
        <w:tc>
          <w:tcPr>
            <w:tcW w:w="880" w:type="dxa"/>
            <w:tcMar>
              <w:top w:w="20" w:type="dxa"/>
              <w:left w:w="20" w:type="dxa"/>
              <w:bottom w:w="100" w:type="dxa"/>
              <w:right w:w="20" w:type="dxa"/>
            </w:tcMar>
            <w:vAlign w:val="bottom"/>
            <w:hideMark/>
          </w:tcPr>
          <w:p w14:paraId="1C69040E" w14:textId="77777777" w:rsidR="0073131B" w:rsidRPr="00C66056" w:rsidRDefault="0073131B" w:rsidP="00F03253">
            <w:r w:rsidRPr="00C66056">
              <w:rPr>
                <w:color w:val="000000"/>
              </w:rPr>
              <w:t>13.43</w:t>
            </w:r>
          </w:p>
        </w:tc>
      </w:tr>
      <w:tr w:rsidR="0073131B" w:rsidRPr="00C66056" w14:paraId="7D83253B" w14:textId="77777777" w:rsidTr="002254F4">
        <w:trPr>
          <w:trHeight w:val="144"/>
        </w:trPr>
        <w:tc>
          <w:tcPr>
            <w:tcW w:w="1710" w:type="dxa"/>
            <w:tcBorders>
              <w:right w:val="single" w:sz="6" w:space="0" w:color="000000"/>
            </w:tcBorders>
            <w:tcMar>
              <w:top w:w="20" w:type="dxa"/>
              <w:left w:w="20" w:type="dxa"/>
              <w:bottom w:w="100" w:type="dxa"/>
              <w:right w:w="20" w:type="dxa"/>
            </w:tcMar>
            <w:vAlign w:val="bottom"/>
            <w:hideMark/>
          </w:tcPr>
          <w:p w14:paraId="73B14BCD" w14:textId="119A32FF" w:rsidR="0073131B" w:rsidRPr="00C66056" w:rsidRDefault="00673D01" w:rsidP="002254F4">
            <w:r>
              <w:rPr>
                <w:color w:val="000000"/>
              </w:rPr>
              <w:t>S</w:t>
            </w:r>
            <w:r w:rsidR="00166820">
              <w:rPr>
                <w:color w:val="000000"/>
              </w:rPr>
              <w:t xml:space="preserve">ubtype </w:t>
            </w:r>
            <w:r w:rsidR="002254F4">
              <w:rPr>
                <w:color w:val="000000"/>
              </w:rPr>
              <w:t>4</w:t>
            </w:r>
          </w:p>
        </w:tc>
        <w:tc>
          <w:tcPr>
            <w:tcW w:w="810" w:type="dxa"/>
            <w:tcBorders>
              <w:left w:val="single" w:sz="6" w:space="0" w:color="000000"/>
            </w:tcBorders>
            <w:tcMar>
              <w:top w:w="20" w:type="dxa"/>
              <w:left w:w="20" w:type="dxa"/>
              <w:bottom w:w="100" w:type="dxa"/>
              <w:right w:w="20" w:type="dxa"/>
            </w:tcMar>
            <w:vAlign w:val="bottom"/>
            <w:hideMark/>
          </w:tcPr>
          <w:p w14:paraId="73B5F0DB" w14:textId="77777777" w:rsidR="0073131B" w:rsidRPr="00C66056" w:rsidRDefault="0073131B" w:rsidP="00F03253">
            <w:r w:rsidRPr="00C66056">
              <w:rPr>
                <w:color w:val="000000"/>
              </w:rPr>
              <w:t>Female</w:t>
            </w:r>
          </w:p>
        </w:tc>
        <w:tc>
          <w:tcPr>
            <w:tcW w:w="720" w:type="dxa"/>
            <w:tcMar>
              <w:top w:w="20" w:type="dxa"/>
              <w:left w:w="20" w:type="dxa"/>
              <w:bottom w:w="100" w:type="dxa"/>
              <w:right w:w="20" w:type="dxa"/>
            </w:tcMar>
            <w:vAlign w:val="bottom"/>
            <w:hideMark/>
          </w:tcPr>
          <w:p w14:paraId="25E5E54A" w14:textId="77777777" w:rsidR="0073131B" w:rsidRPr="00C66056" w:rsidRDefault="0073131B" w:rsidP="00F03253">
            <w:r w:rsidRPr="00C66056">
              <w:rPr>
                <w:color w:val="000000"/>
              </w:rPr>
              <w:t>31</w:t>
            </w:r>
          </w:p>
        </w:tc>
        <w:tc>
          <w:tcPr>
            <w:tcW w:w="900" w:type="dxa"/>
            <w:tcMar>
              <w:top w:w="20" w:type="dxa"/>
              <w:left w:w="20" w:type="dxa"/>
              <w:bottom w:w="100" w:type="dxa"/>
              <w:right w:w="20" w:type="dxa"/>
            </w:tcMar>
            <w:vAlign w:val="bottom"/>
            <w:hideMark/>
          </w:tcPr>
          <w:p w14:paraId="7F9A18BA" w14:textId="77777777" w:rsidR="0073131B" w:rsidRPr="00C66056" w:rsidRDefault="0073131B" w:rsidP="00F03253">
            <w:r w:rsidRPr="00C66056">
              <w:rPr>
                <w:color w:val="000000"/>
              </w:rPr>
              <w:t>29.5</w:t>
            </w:r>
          </w:p>
        </w:tc>
        <w:tc>
          <w:tcPr>
            <w:tcW w:w="900" w:type="dxa"/>
            <w:tcMar>
              <w:top w:w="20" w:type="dxa"/>
              <w:left w:w="20" w:type="dxa"/>
              <w:bottom w:w="100" w:type="dxa"/>
              <w:right w:w="20" w:type="dxa"/>
            </w:tcMar>
            <w:vAlign w:val="bottom"/>
            <w:hideMark/>
          </w:tcPr>
          <w:p w14:paraId="55B39766" w14:textId="77777777" w:rsidR="0073131B" w:rsidRPr="00C66056" w:rsidRDefault="0073131B" w:rsidP="00F03253">
            <w:r w:rsidRPr="00C66056">
              <w:rPr>
                <w:color w:val="000000"/>
              </w:rPr>
              <w:t>20</w:t>
            </w:r>
          </w:p>
        </w:tc>
        <w:tc>
          <w:tcPr>
            <w:tcW w:w="1080" w:type="dxa"/>
            <w:tcMar>
              <w:top w:w="20" w:type="dxa"/>
              <w:left w:w="20" w:type="dxa"/>
              <w:bottom w:w="100" w:type="dxa"/>
              <w:right w:w="20" w:type="dxa"/>
            </w:tcMar>
            <w:vAlign w:val="bottom"/>
            <w:hideMark/>
          </w:tcPr>
          <w:p w14:paraId="65C3F965" w14:textId="77777777" w:rsidR="0073131B" w:rsidRPr="00C66056" w:rsidRDefault="0073131B" w:rsidP="00F03253">
            <w:r w:rsidRPr="00C66056">
              <w:rPr>
                <w:color w:val="000000"/>
              </w:rPr>
              <w:t>56</w:t>
            </w:r>
          </w:p>
        </w:tc>
        <w:tc>
          <w:tcPr>
            <w:tcW w:w="880" w:type="dxa"/>
            <w:tcMar>
              <w:top w:w="20" w:type="dxa"/>
              <w:left w:w="20" w:type="dxa"/>
              <w:bottom w:w="100" w:type="dxa"/>
              <w:right w:w="20" w:type="dxa"/>
            </w:tcMar>
            <w:vAlign w:val="bottom"/>
            <w:hideMark/>
          </w:tcPr>
          <w:p w14:paraId="2A4393A0" w14:textId="77777777" w:rsidR="0073131B" w:rsidRPr="00C66056" w:rsidRDefault="0073131B" w:rsidP="00F03253">
            <w:r w:rsidRPr="00C66056">
              <w:rPr>
                <w:color w:val="000000"/>
              </w:rPr>
              <w:t>77.5</w:t>
            </w:r>
          </w:p>
        </w:tc>
      </w:tr>
      <w:tr w:rsidR="0073131B" w:rsidRPr="00C66056" w14:paraId="66F5F064" w14:textId="77777777" w:rsidTr="002254F4">
        <w:trPr>
          <w:trHeight w:val="144"/>
        </w:trPr>
        <w:tc>
          <w:tcPr>
            <w:tcW w:w="1710" w:type="dxa"/>
            <w:tcBorders>
              <w:right w:val="single" w:sz="6" w:space="0" w:color="000000"/>
            </w:tcBorders>
            <w:tcMar>
              <w:top w:w="20" w:type="dxa"/>
              <w:left w:w="20" w:type="dxa"/>
              <w:bottom w:w="100" w:type="dxa"/>
              <w:right w:w="20" w:type="dxa"/>
            </w:tcMar>
            <w:vAlign w:val="bottom"/>
            <w:hideMark/>
          </w:tcPr>
          <w:p w14:paraId="2B384CE9" w14:textId="4AC025F5" w:rsidR="0073131B" w:rsidRPr="00C66056" w:rsidRDefault="0073131B" w:rsidP="00F03253"/>
        </w:tc>
        <w:tc>
          <w:tcPr>
            <w:tcW w:w="810" w:type="dxa"/>
            <w:tcBorders>
              <w:left w:val="single" w:sz="6" w:space="0" w:color="000000"/>
            </w:tcBorders>
            <w:tcMar>
              <w:top w:w="20" w:type="dxa"/>
              <w:left w:w="20" w:type="dxa"/>
              <w:bottom w:w="100" w:type="dxa"/>
              <w:right w:w="20" w:type="dxa"/>
            </w:tcMar>
            <w:vAlign w:val="bottom"/>
            <w:hideMark/>
          </w:tcPr>
          <w:p w14:paraId="29EB3F84" w14:textId="77777777" w:rsidR="0073131B" w:rsidRPr="00C66056" w:rsidRDefault="0073131B" w:rsidP="00F03253">
            <w:r w:rsidRPr="00C66056">
              <w:rPr>
                <w:color w:val="000000"/>
              </w:rPr>
              <w:t>Male</w:t>
            </w:r>
          </w:p>
        </w:tc>
        <w:tc>
          <w:tcPr>
            <w:tcW w:w="720" w:type="dxa"/>
            <w:tcMar>
              <w:top w:w="20" w:type="dxa"/>
              <w:left w:w="20" w:type="dxa"/>
              <w:bottom w:w="100" w:type="dxa"/>
              <w:right w:w="20" w:type="dxa"/>
            </w:tcMar>
            <w:vAlign w:val="bottom"/>
            <w:hideMark/>
          </w:tcPr>
          <w:p w14:paraId="40F07F9F" w14:textId="77777777" w:rsidR="0073131B" w:rsidRPr="00C66056" w:rsidRDefault="0073131B" w:rsidP="00F03253">
            <w:r w:rsidRPr="00C66056">
              <w:rPr>
                <w:color w:val="000000"/>
              </w:rPr>
              <w:t>9</w:t>
            </w:r>
          </w:p>
        </w:tc>
        <w:tc>
          <w:tcPr>
            <w:tcW w:w="900" w:type="dxa"/>
            <w:tcMar>
              <w:top w:w="20" w:type="dxa"/>
              <w:left w:w="20" w:type="dxa"/>
              <w:bottom w:w="100" w:type="dxa"/>
              <w:right w:w="20" w:type="dxa"/>
            </w:tcMar>
            <w:vAlign w:val="bottom"/>
            <w:hideMark/>
          </w:tcPr>
          <w:p w14:paraId="655CDA57" w14:textId="77777777" w:rsidR="0073131B" w:rsidRPr="00C66056" w:rsidRDefault="0073131B" w:rsidP="00F03253">
            <w:r w:rsidRPr="00C66056">
              <w:rPr>
                <w:color w:val="000000"/>
              </w:rPr>
              <w:t>27.2</w:t>
            </w:r>
          </w:p>
        </w:tc>
        <w:tc>
          <w:tcPr>
            <w:tcW w:w="900" w:type="dxa"/>
            <w:tcMar>
              <w:top w:w="20" w:type="dxa"/>
              <w:left w:w="20" w:type="dxa"/>
              <w:bottom w:w="100" w:type="dxa"/>
              <w:right w:w="20" w:type="dxa"/>
            </w:tcMar>
            <w:vAlign w:val="bottom"/>
            <w:hideMark/>
          </w:tcPr>
          <w:p w14:paraId="363124CE" w14:textId="77777777" w:rsidR="0073131B" w:rsidRPr="00C66056" w:rsidRDefault="0073131B" w:rsidP="00F03253">
            <w:r w:rsidRPr="00C66056">
              <w:rPr>
                <w:color w:val="000000"/>
              </w:rPr>
              <w:t>19</w:t>
            </w:r>
          </w:p>
        </w:tc>
        <w:tc>
          <w:tcPr>
            <w:tcW w:w="1080" w:type="dxa"/>
            <w:tcMar>
              <w:top w:w="20" w:type="dxa"/>
              <w:left w:w="20" w:type="dxa"/>
              <w:bottom w:w="100" w:type="dxa"/>
              <w:right w:w="20" w:type="dxa"/>
            </w:tcMar>
            <w:vAlign w:val="bottom"/>
            <w:hideMark/>
          </w:tcPr>
          <w:p w14:paraId="165DCD94" w14:textId="77777777" w:rsidR="0073131B" w:rsidRPr="00C66056" w:rsidRDefault="0073131B" w:rsidP="00F03253">
            <w:r w:rsidRPr="00C66056">
              <w:rPr>
                <w:color w:val="000000"/>
              </w:rPr>
              <w:t>36</w:t>
            </w:r>
          </w:p>
        </w:tc>
        <w:tc>
          <w:tcPr>
            <w:tcW w:w="880" w:type="dxa"/>
            <w:tcMar>
              <w:top w:w="20" w:type="dxa"/>
              <w:left w:w="20" w:type="dxa"/>
              <w:bottom w:w="100" w:type="dxa"/>
              <w:right w:w="20" w:type="dxa"/>
            </w:tcMar>
            <w:vAlign w:val="bottom"/>
            <w:hideMark/>
          </w:tcPr>
          <w:p w14:paraId="27A458F8" w14:textId="77777777" w:rsidR="0073131B" w:rsidRPr="00C66056" w:rsidRDefault="0073131B" w:rsidP="00F03253">
            <w:r w:rsidRPr="00C66056">
              <w:rPr>
                <w:color w:val="000000"/>
              </w:rPr>
              <w:t>22.5</w:t>
            </w:r>
          </w:p>
        </w:tc>
      </w:tr>
    </w:tbl>
    <w:p w14:paraId="0414256B" w14:textId="77777777" w:rsidR="0073131B" w:rsidRPr="00C66056" w:rsidRDefault="0073131B" w:rsidP="0073131B">
      <w:pPr>
        <w:spacing w:after="24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30"/>
        <w:gridCol w:w="810"/>
        <w:gridCol w:w="720"/>
        <w:gridCol w:w="900"/>
        <w:gridCol w:w="900"/>
        <w:gridCol w:w="1080"/>
        <w:gridCol w:w="900"/>
      </w:tblGrid>
      <w:tr w:rsidR="0073131B" w:rsidRPr="00C66056" w14:paraId="6D1C3F29" w14:textId="77777777" w:rsidTr="002254F4">
        <w:trPr>
          <w:trHeight w:val="144"/>
        </w:trPr>
        <w:tc>
          <w:tcPr>
            <w:tcW w:w="1730" w:type="dxa"/>
            <w:tcBorders>
              <w:bottom w:val="single" w:sz="8" w:space="0" w:color="000000"/>
              <w:right w:val="single" w:sz="6" w:space="0" w:color="000000"/>
            </w:tcBorders>
            <w:tcMar>
              <w:top w:w="20" w:type="dxa"/>
              <w:left w:w="20" w:type="dxa"/>
              <w:bottom w:w="100" w:type="dxa"/>
              <w:right w:w="20" w:type="dxa"/>
            </w:tcMar>
            <w:vAlign w:val="bottom"/>
            <w:hideMark/>
          </w:tcPr>
          <w:p w14:paraId="13EC1B5E" w14:textId="3F1F9BF0" w:rsidR="0073131B" w:rsidRPr="00C66056" w:rsidRDefault="0073131B" w:rsidP="00F03253">
            <w:r w:rsidRPr="00C66056">
              <w:rPr>
                <w:color w:val="000000"/>
              </w:rPr>
              <w:t>Picker</w:t>
            </w:r>
            <w:r w:rsidR="00673D01">
              <w:rPr>
                <w:color w:val="000000"/>
              </w:rPr>
              <w:t xml:space="preserve"> </w:t>
            </w:r>
            <w:r w:rsidRPr="00C66056">
              <w:rPr>
                <w:color w:val="000000"/>
              </w:rPr>
              <w:t>Type</w:t>
            </w:r>
          </w:p>
        </w:tc>
        <w:tc>
          <w:tcPr>
            <w:tcW w:w="810" w:type="dxa"/>
            <w:tcBorders>
              <w:left w:val="single" w:sz="6" w:space="0" w:color="000000"/>
              <w:bottom w:val="single" w:sz="8" w:space="0" w:color="000000"/>
            </w:tcBorders>
            <w:tcMar>
              <w:top w:w="20" w:type="dxa"/>
              <w:left w:w="20" w:type="dxa"/>
              <w:bottom w:w="100" w:type="dxa"/>
              <w:right w:w="20" w:type="dxa"/>
            </w:tcMar>
            <w:vAlign w:val="bottom"/>
            <w:hideMark/>
          </w:tcPr>
          <w:p w14:paraId="63E2A00A" w14:textId="77777777" w:rsidR="0073131B" w:rsidRPr="00C66056" w:rsidRDefault="0073131B" w:rsidP="00F03253">
            <w:r w:rsidRPr="00C66056">
              <w:rPr>
                <w:color w:val="000000"/>
              </w:rPr>
              <w:t>Sex</w:t>
            </w:r>
          </w:p>
        </w:tc>
        <w:tc>
          <w:tcPr>
            <w:tcW w:w="720" w:type="dxa"/>
            <w:tcBorders>
              <w:bottom w:val="single" w:sz="8" w:space="0" w:color="000000"/>
            </w:tcBorders>
            <w:tcMar>
              <w:top w:w="20" w:type="dxa"/>
              <w:left w:w="20" w:type="dxa"/>
              <w:bottom w:w="100" w:type="dxa"/>
              <w:right w:w="20" w:type="dxa"/>
            </w:tcMar>
            <w:vAlign w:val="bottom"/>
            <w:hideMark/>
          </w:tcPr>
          <w:p w14:paraId="082296FF" w14:textId="77777777" w:rsidR="0073131B" w:rsidRPr="00C66056" w:rsidRDefault="0073131B" w:rsidP="00F03253">
            <w:r w:rsidRPr="00C66056">
              <w:rPr>
                <w:color w:val="000000"/>
              </w:rPr>
              <w:t>N</w:t>
            </w:r>
          </w:p>
        </w:tc>
        <w:tc>
          <w:tcPr>
            <w:tcW w:w="900" w:type="dxa"/>
            <w:tcBorders>
              <w:bottom w:val="single" w:sz="8" w:space="0" w:color="000000"/>
            </w:tcBorders>
            <w:tcMar>
              <w:top w:w="20" w:type="dxa"/>
              <w:left w:w="20" w:type="dxa"/>
              <w:bottom w:w="100" w:type="dxa"/>
              <w:right w:w="20" w:type="dxa"/>
            </w:tcMar>
            <w:vAlign w:val="bottom"/>
            <w:hideMark/>
          </w:tcPr>
          <w:p w14:paraId="320775AD" w14:textId="77777777" w:rsidR="0073131B" w:rsidRPr="00C66056" w:rsidRDefault="0073131B" w:rsidP="00F03253">
            <w:r w:rsidRPr="00C66056">
              <w:rPr>
                <w:color w:val="000000"/>
              </w:rPr>
              <w:t>age</w:t>
            </w:r>
          </w:p>
        </w:tc>
        <w:tc>
          <w:tcPr>
            <w:tcW w:w="900" w:type="dxa"/>
            <w:tcBorders>
              <w:bottom w:val="single" w:sz="8" w:space="0" w:color="000000"/>
            </w:tcBorders>
            <w:tcMar>
              <w:top w:w="20" w:type="dxa"/>
              <w:left w:w="20" w:type="dxa"/>
              <w:bottom w:w="100" w:type="dxa"/>
              <w:right w:w="20" w:type="dxa"/>
            </w:tcMar>
            <w:vAlign w:val="bottom"/>
            <w:hideMark/>
          </w:tcPr>
          <w:p w14:paraId="633A3ACC" w14:textId="77777777" w:rsidR="0073131B" w:rsidRPr="00C66056" w:rsidRDefault="0073131B" w:rsidP="00F03253">
            <w:r w:rsidRPr="00C66056">
              <w:rPr>
                <w:color w:val="000000"/>
              </w:rPr>
              <w:t>min_age</w:t>
            </w:r>
          </w:p>
        </w:tc>
        <w:tc>
          <w:tcPr>
            <w:tcW w:w="1080" w:type="dxa"/>
            <w:tcBorders>
              <w:bottom w:val="single" w:sz="8" w:space="0" w:color="000000"/>
            </w:tcBorders>
            <w:tcMar>
              <w:top w:w="20" w:type="dxa"/>
              <w:left w:w="20" w:type="dxa"/>
              <w:bottom w:w="100" w:type="dxa"/>
              <w:right w:w="20" w:type="dxa"/>
            </w:tcMar>
            <w:vAlign w:val="bottom"/>
            <w:hideMark/>
          </w:tcPr>
          <w:p w14:paraId="4BEE92DA" w14:textId="77777777" w:rsidR="0073131B" w:rsidRPr="00C66056" w:rsidRDefault="0073131B" w:rsidP="00F03253">
            <w:r w:rsidRPr="00C66056">
              <w:rPr>
                <w:color w:val="000000"/>
              </w:rPr>
              <w:t>max_age</w:t>
            </w:r>
          </w:p>
        </w:tc>
        <w:tc>
          <w:tcPr>
            <w:tcW w:w="900" w:type="dxa"/>
            <w:tcBorders>
              <w:bottom w:val="single" w:sz="8" w:space="0" w:color="000000"/>
            </w:tcBorders>
            <w:tcMar>
              <w:top w:w="20" w:type="dxa"/>
              <w:left w:w="20" w:type="dxa"/>
              <w:bottom w:w="100" w:type="dxa"/>
              <w:right w:w="20" w:type="dxa"/>
            </w:tcMar>
            <w:vAlign w:val="bottom"/>
            <w:hideMark/>
          </w:tcPr>
          <w:p w14:paraId="1A84A0DF" w14:textId="77777777" w:rsidR="0073131B" w:rsidRPr="00C66056" w:rsidRDefault="0073131B" w:rsidP="00F03253">
            <w:r w:rsidRPr="00C66056">
              <w:rPr>
                <w:color w:val="000000"/>
              </w:rPr>
              <w:t>sexRatio</w:t>
            </w:r>
          </w:p>
        </w:tc>
      </w:tr>
      <w:tr w:rsidR="0073131B" w:rsidRPr="00C66056" w14:paraId="128FDFE9" w14:textId="77777777" w:rsidTr="002254F4">
        <w:trPr>
          <w:trHeight w:val="144"/>
        </w:trPr>
        <w:tc>
          <w:tcPr>
            <w:tcW w:w="1730" w:type="dxa"/>
            <w:tcBorders>
              <w:top w:val="single" w:sz="8" w:space="0" w:color="000000"/>
              <w:right w:val="single" w:sz="6" w:space="0" w:color="000000"/>
            </w:tcBorders>
            <w:tcMar>
              <w:top w:w="20" w:type="dxa"/>
              <w:left w:w="20" w:type="dxa"/>
              <w:bottom w:w="100" w:type="dxa"/>
              <w:right w:w="20" w:type="dxa"/>
            </w:tcMar>
            <w:vAlign w:val="bottom"/>
            <w:hideMark/>
          </w:tcPr>
          <w:p w14:paraId="6FAFF1EA" w14:textId="60AEB1BF" w:rsidR="0073131B" w:rsidRPr="00C66056" w:rsidRDefault="00673D01" w:rsidP="00673D01">
            <w:r>
              <w:rPr>
                <w:color w:val="000000"/>
              </w:rPr>
              <w:t>Controls</w:t>
            </w:r>
          </w:p>
        </w:tc>
        <w:tc>
          <w:tcPr>
            <w:tcW w:w="810" w:type="dxa"/>
            <w:tcBorders>
              <w:top w:val="single" w:sz="8" w:space="0" w:color="000000"/>
              <w:left w:val="single" w:sz="6" w:space="0" w:color="000000"/>
            </w:tcBorders>
            <w:tcMar>
              <w:top w:w="20" w:type="dxa"/>
              <w:left w:w="20" w:type="dxa"/>
              <w:bottom w:w="100" w:type="dxa"/>
              <w:right w:w="20" w:type="dxa"/>
            </w:tcMar>
            <w:vAlign w:val="bottom"/>
            <w:hideMark/>
          </w:tcPr>
          <w:p w14:paraId="4BE09F1C" w14:textId="77777777" w:rsidR="0073131B" w:rsidRPr="00C66056" w:rsidRDefault="0073131B" w:rsidP="00F03253">
            <w:r w:rsidRPr="00C66056">
              <w:rPr>
                <w:color w:val="000000"/>
              </w:rPr>
              <w:t>Female</w:t>
            </w:r>
          </w:p>
        </w:tc>
        <w:tc>
          <w:tcPr>
            <w:tcW w:w="720" w:type="dxa"/>
            <w:tcBorders>
              <w:top w:val="single" w:sz="8" w:space="0" w:color="000000"/>
            </w:tcBorders>
            <w:tcMar>
              <w:top w:w="20" w:type="dxa"/>
              <w:left w:w="20" w:type="dxa"/>
              <w:bottom w:w="100" w:type="dxa"/>
              <w:right w:w="20" w:type="dxa"/>
            </w:tcMar>
            <w:vAlign w:val="bottom"/>
            <w:hideMark/>
          </w:tcPr>
          <w:p w14:paraId="0344CDD1" w14:textId="77777777" w:rsidR="0073131B" w:rsidRPr="00C66056" w:rsidRDefault="0073131B" w:rsidP="00F03253">
            <w:r w:rsidRPr="00C66056">
              <w:rPr>
                <w:color w:val="000000"/>
              </w:rPr>
              <w:t>92</w:t>
            </w:r>
          </w:p>
        </w:tc>
        <w:tc>
          <w:tcPr>
            <w:tcW w:w="900" w:type="dxa"/>
            <w:tcBorders>
              <w:top w:val="single" w:sz="8" w:space="0" w:color="000000"/>
            </w:tcBorders>
            <w:tcMar>
              <w:top w:w="20" w:type="dxa"/>
              <w:left w:w="20" w:type="dxa"/>
              <w:bottom w:w="100" w:type="dxa"/>
              <w:right w:w="20" w:type="dxa"/>
            </w:tcMar>
            <w:vAlign w:val="bottom"/>
            <w:hideMark/>
          </w:tcPr>
          <w:p w14:paraId="019879D6" w14:textId="77777777" w:rsidR="0073131B" w:rsidRPr="00C66056" w:rsidRDefault="0073131B" w:rsidP="00F03253">
            <w:r w:rsidRPr="00C66056">
              <w:rPr>
                <w:color w:val="000000"/>
              </w:rPr>
              <w:t>30.4</w:t>
            </w:r>
          </w:p>
        </w:tc>
        <w:tc>
          <w:tcPr>
            <w:tcW w:w="900" w:type="dxa"/>
            <w:tcBorders>
              <w:top w:val="single" w:sz="8" w:space="0" w:color="000000"/>
            </w:tcBorders>
            <w:tcMar>
              <w:top w:w="20" w:type="dxa"/>
              <w:left w:w="20" w:type="dxa"/>
              <w:bottom w:w="100" w:type="dxa"/>
              <w:right w:w="20" w:type="dxa"/>
            </w:tcMar>
            <w:vAlign w:val="bottom"/>
            <w:hideMark/>
          </w:tcPr>
          <w:p w14:paraId="5186AEFB" w14:textId="77777777" w:rsidR="0073131B" w:rsidRPr="00C66056" w:rsidRDefault="0073131B" w:rsidP="00F03253">
            <w:r w:rsidRPr="00C66056">
              <w:rPr>
                <w:color w:val="000000"/>
              </w:rPr>
              <w:t>19</w:t>
            </w:r>
          </w:p>
        </w:tc>
        <w:tc>
          <w:tcPr>
            <w:tcW w:w="1080" w:type="dxa"/>
            <w:tcBorders>
              <w:top w:val="single" w:sz="8" w:space="0" w:color="000000"/>
            </w:tcBorders>
            <w:tcMar>
              <w:top w:w="20" w:type="dxa"/>
              <w:left w:w="20" w:type="dxa"/>
              <w:bottom w:w="100" w:type="dxa"/>
              <w:right w:w="20" w:type="dxa"/>
            </w:tcMar>
            <w:vAlign w:val="bottom"/>
            <w:hideMark/>
          </w:tcPr>
          <w:p w14:paraId="36F3B26A" w14:textId="77777777" w:rsidR="0073131B" w:rsidRPr="00C66056" w:rsidRDefault="0073131B" w:rsidP="00F03253">
            <w:r w:rsidRPr="00C66056">
              <w:rPr>
                <w:color w:val="000000"/>
              </w:rPr>
              <w:t>63</w:t>
            </w:r>
          </w:p>
        </w:tc>
        <w:tc>
          <w:tcPr>
            <w:tcW w:w="900" w:type="dxa"/>
            <w:tcBorders>
              <w:top w:val="single" w:sz="8" w:space="0" w:color="000000"/>
            </w:tcBorders>
            <w:tcMar>
              <w:top w:w="20" w:type="dxa"/>
              <w:left w:w="20" w:type="dxa"/>
              <w:bottom w:w="100" w:type="dxa"/>
              <w:right w:w="20" w:type="dxa"/>
            </w:tcMar>
            <w:vAlign w:val="bottom"/>
            <w:hideMark/>
          </w:tcPr>
          <w:p w14:paraId="3E104E12" w14:textId="77777777" w:rsidR="0073131B" w:rsidRPr="00C66056" w:rsidRDefault="0073131B" w:rsidP="00F03253">
            <w:r w:rsidRPr="00C66056">
              <w:rPr>
                <w:color w:val="000000"/>
              </w:rPr>
              <w:t>87.62</w:t>
            </w:r>
          </w:p>
        </w:tc>
      </w:tr>
      <w:tr w:rsidR="0073131B" w:rsidRPr="00C66056" w14:paraId="50495C2D" w14:textId="77777777" w:rsidTr="002254F4">
        <w:trPr>
          <w:trHeight w:val="144"/>
        </w:trPr>
        <w:tc>
          <w:tcPr>
            <w:tcW w:w="1730" w:type="dxa"/>
            <w:tcBorders>
              <w:right w:val="single" w:sz="6" w:space="0" w:color="000000"/>
            </w:tcBorders>
            <w:tcMar>
              <w:top w:w="20" w:type="dxa"/>
              <w:left w:w="20" w:type="dxa"/>
              <w:bottom w:w="100" w:type="dxa"/>
              <w:right w:w="20" w:type="dxa"/>
            </w:tcMar>
            <w:vAlign w:val="bottom"/>
            <w:hideMark/>
          </w:tcPr>
          <w:p w14:paraId="348D992E" w14:textId="44458F5D" w:rsidR="0073131B" w:rsidRPr="00C66056" w:rsidRDefault="002254F4" w:rsidP="002254F4">
            <w:r>
              <w:t>(i.e. subtype 1)</w:t>
            </w:r>
          </w:p>
        </w:tc>
        <w:tc>
          <w:tcPr>
            <w:tcW w:w="810" w:type="dxa"/>
            <w:tcBorders>
              <w:left w:val="single" w:sz="6" w:space="0" w:color="000000"/>
            </w:tcBorders>
            <w:tcMar>
              <w:top w:w="20" w:type="dxa"/>
              <w:left w:w="20" w:type="dxa"/>
              <w:bottom w:w="100" w:type="dxa"/>
              <w:right w:w="20" w:type="dxa"/>
            </w:tcMar>
            <w:vAlign w:val="bottom"/>
            <w:hideMark/>
          </w:tcPr>
          <w:p w14:paraId="373A41A5" w14:textId="77777777" w:rsidR="0073131B" w:rsidRPr="00C66056" w:rsidRDefault="0073131B" w:rsidP="00F03253">
            <w:r w:rsidRPr="00C66056">
              <w:rPr>
                <w:color w:val="000000"/>
              </w:rPr>
              <w:t>Male</w:t>
            </w:r>
          </w:p>
        </w:tc>
        <w:tc>
          <w:tcPr>
            <w:tcW w:w="720" w:type="dxa"/>
            <w:tcMar>
              <w:top w:w="20" w:type="dxa"/>
              <w:left w:w="20" w:type="dxa"/>
              <w:bottom w:w="100" w:type="dxa"/>
              <w:right w:w="20" w:type="dxa"/>
            </w:tcMar>
            <w:vAlign w:val="bottom"/>
            <w:hideMark/>
          </w:tcPr>
          <w:p w14:paraId="50F518CD" w14:textId="77777777" w:rsidR="0073131B" w:rsidRPr="00C66056" w:rsidRDefault="0073131B" w:rsidP="00F03253">
            <w:r w:rsidRPr="00C66056">
              <w:rPr>
                <w:color w:val="000000"/>
              </w:rPr>
              <w:t>13</w:t>
            </w:r>
          </w:p>
        </w:tc>
        <w:tc>
          <w:tcPr>
            <w:tcW w:w="900" w:type="dxa"/>
            <w:tcMar>
              <w:top w:w="20" w:type="dxa"/>
              <w:left w:w="20" w:type="dxa"/>
              <w:bottom w:w="100" w:type="dxa"/>
              <w:right w:w="20" w:type="dxa"/>
            </w:tcMar>
            <w:vAlign w:val="bottom"/>
            <w:hideMark/>
          </w:tcPr>
          <w:p w14:paraId="65C563B6" w14:textId="77777777" w:rsidR="0073131B" w:rsidRPr="00C66056" w:rsidRDefault="0073131B" w:rsidP="00F03253">
            <w:r w:rsidRPr="00C66056">
              <w:rPr>
                <w:color w:val="000000"/>
              </w:rPr>
              <w:t>27.4</w:t>
            </w:r>
          </w:p>
        </w:tc>
        <w:tc>
          <w:tcPr>
            <w:tcW w:w="900" w:type="dxa"/>
            <w:tcMar>
              <w:top w:w="20" w:type="dxa"/>
              <w:left w:w="20" w:type="dxa"/>
              <w:bottom w:w="100" w:type="dxa"/>
              <w:right w:w="20" w:type="dxa"/>
            </w:tcMar>
            <w:vAlign w:val="bottom"/>
            <w:hideMark/>
          </w:tcPr>
          <w:p w14:paraId="608F24E4" w14:textId="77777777" w:rsidR="0073131B" w:rsidRPr="00C66056" w:rsidRDefault="0073131B" w:rsidP="00F03253">
            <w:r w:rsidRPr="00C66056">
              <w:rPr>
                <w:color w:val="000000"/>
              </w:rPr>
              <w:t>18</w:t>
            </w:r>
          </w:p>
        </w:tc>
        <w:tc>
          <w:tcPr>
            <w:tcW w:w="1080" w:type="dxa"/>
            <w:tcMar>
              <w:top w:w="20" w:type="dxa"/>
              <w:left w:w="20" w:type="dxa"/>
              <w:bottom w:w="100" w:type="dxa"/>
              <w:right w:w="20" w:type="dxa"/>
            </w:tcMar>
            <w:vAlign w:val="bottom"/>
            <w:hideMark/>
          </w:tcPr>
          <w:p w14:paraId="6E872E9E" w14:textId="77777777" w:rsidR="0073131B" w:rsidRPr="00C66056" w:rsidRDefault="0073131B" w:rsidP="00F03253">
            <w:r w:rsidRPr="00C66056">
              <w:rPr>
                <w:color w:val="000000"/>
              </w:rPr>
              <w:t>38</w:t>
            </w:r>
          </w:p>
        </w:tc>
        <w:tc>
          <w:tcPr>
            <w:tcW w:w="900" w:type="dxa"/>
            <w:tcMar>
              <w:top w:w="20" w:type="dxa"/>
              <w:left w:w="20" w:type="dxa"/>
              <w:bottom w:w="100" w:type="dxa"/>
              <w:right w:w="20" w:type="dxa"/>
            </w:tcMar>
            <w:vAlign w:val="bottom"/>
            <w:hideMark/>
          </w:tcPr>
          <w:p w14:paraId="531463E6" w14:textId="77777777" w:rsidR="0073131B" w:rsidRPr="00C66056" w:rsidRDefault="0073131B" w:rsidP="00F03253">
            <w:r w:rsidRPr="00C66056">
              <w:rPr>
                <w:color w:val="000000"/>
              </w:rPr>
              <w:t>12.38</w:t>
            </w:r>
          </w:p>
        </w:tc>
      </w:tr>
      <w:tr w:rsidR="00673D01" w:rsidRPr="00C66056" w14:paraId="61F7A231" w14:textId="77777777" w:rsidTr="002254F4">
        <w:trPr>
          <w:trHeight w:val="144"/>
        </w:trPr>
        <w:tc>
          <w:tcPr>
            <w:tcW w:w="1730" w:type="dxa"/>
            <w:tcBorders>
              <w:right w:val="single" w:sz="6" w:space="0" w:color="000000"/>
            </w:tcBorders>
            <w:tcMar>
              <w:top w:w="20" w:type="dxa"/>
              <w:left w:w="20" w:type="dxa"/>
              <w:bottom w:w="100" w:type="dxa"/>
              <w:right w:w="20" w:type="dxa"/>
            </w:tcMar>
            <w:vAlign w:val="bottom"/>
          </w:tcPr>
          <w:p w14:paraId="20A0D632" w14:textId="04AE9289" w:rsidR="00673D01" w:rsidRPr="00C66056" w:rsidRDefault="00673D01" w:rsidP="002254F4">
            <w:pPr>
              <w:rPr>
                <w:color w:val="000000"/>
              </w:rPr>
            </w:pPr>
            <w:r>
              <w:rPr>
                <w:color w:val="000000"/>
              </w:rPr>
              <w:t xml:space="preserve">Subtype </w:t>
            </w:r>
            <w:r w:rsidR="002254F4">
              <w:rPr>
                <w:color w:val="000000"/>
              </w:rPr>
              <w:t>2</w:t>
            </w:r>
          </w:p>
        </w:tc>
        <w:tc>
          <w:tcPr>
            <w:tcW w:w="810" w:type="dxa"/>
            <w:tcBorders>
              <w:left w:val="single" w:sz="6" w:space="0" w:color="000000"/>
            </w:tcBorders>
            <w:tcMar>
              <w:top w:w="20" w:type="dxa"/>
              <w:left w:w="20" w:type="dxa"/>
              <w:bottom w:w="100" w:type="dxa"/>
              <w:right w:w="20" w:type="dxa"/>
            </w:tcMar>
            <w:vAlign w:val="bottom"/>
          </w:tcPr>
          <w:p w14:paraId="55460B36" w14:textId="0D58506D" w:rsidR="00673D01" w:rsidRPr="00C66056" w:rsidRDefault="00673D01" w:rsidP="00F03253">
            <w:pPr>
              <w:rPr>
                <w:color w:val="000000"/>
              </w:rPr>
            </w:pPr>
            <w:r>
              <w:rPr>
                <w:color w:val="000000"/>
              </w:rPr>
              <w:t xml:space="preserve">Female </w:t>
            </w:r>
          </w:p>
        </w:tc>
        <w:tc>
          <w:tcPr>
            <w:tcW w:w="720" w:type="dxa"/>
            <w:tcMar>
              <w:top w:w="20" w:type="dxa"/>
              <w:left w:w="20" w:type="dxa"/>
              <w:bottom w:w="100" w:type="dxa"/>
              <w:right w:w="20" w:type="dxa"/>
            </w:tcMar>
            <w:vAlign w:val="bottom"/>
          </w:tcPr>
          <w:p w14:paraId="7B2908A8" w14:textId="5B588909" w:rsidR="00673D01" w:rsidRPr="00C66056" w:rsidRDefault="00673D01" w:rsidP="00F03253">
            <w:pPr>
              <w:rPr>
                <w:color w:val="000000"/>
              </w:rPr>
            </w:pPr>
            <w:r w:rsidRPr="00C66056">
              <w:rPr>
                <w:color w:val="000000"/>
              </w:rPr>
              <w:t>80</w:t>
            </w:r>
          </w:p>
        </w:tc>
        <w:tc>
          <w:tcPr>
            <w:tcW w:w="900" w:type="dxa"/>
            <w:tcMar>
              <w:top w:w="20" w:type="dxa"/>
              <w:left w:w="20" w:type="dxa"/>
              <w:bottom w:w="100" w:type="dxa"/>
              <w:right w:w="20" w:type="dxa"/>
            </w:tcMar>
            <w:vAlign w:val="bottom"/>
          </w:tcPr>
          <w:p w14:paraId="703E0067" w14:textId="6E8DF58F" w:rsidR="00673D01" w:rsidRPr="00C66056" w:rsidRDefault="00673D01" w:rsidP="00F03253">
            <w:pPr>
              <w:rPr>
                <w:color w:val="000000"/>
              </w:rPr>
            </w:pPr>
            <w:r w:rsidRPr="00C66056">
              <w:rPr>
                <w:color w:val="000000"/>
              </w:rPr>
              <w:t>29.6</w:t>
            </w:r>
          </w:p>
        </w:tc>
        <w:tc>
          <w:tcPr>
            <w:tcW w:w="900" w:type="dxa"/>
            <w:tcMar>
              <w:top w:w="20" w:type="dxa"/>
              <w:left w:w="20" w:type="dxa"/>
              <w:bottom w:w="100" w:type="dxa"/>
              <w:right w:w="20" w:type="dxa"/>
            </w:tcMar>
            <w:vAlign w:val="bottom"/>
          </w:tcPr>
          <w:p w14:paraId="15A25480" w14:textId="5712603D" w:rsidR="00673D01" w:rsidRPr="00C66056" w:rsidRDefault="00673D01" w:rsidP="00F03253">
            <w:pPr>
              <w:rPr>
                <w:color w:val="000000"/>
              </w:rPr>
            </w:pPr>
            <w:r w:rsidRPr="00C66056">
              <w:rPr>
                <w:color w:val="000000"/>
              </w:rPr>
              <w:t>18</w:t>
            </w:r>
          </w:p>
        </w:tc>
        <w:tc>
          <w:tcPr>
            <w:tcW w:w="1080" w:type="dxa"/>
            <w:tcMar>
              <w:top w:w="20" w:type="dxa"/>
              <w:left w:w="20" w:type="dxa"/>
              <w:bottom w:w="100" w:type="dxa"/>
              <w:right w:w="20" w:type="dxa"/>
            </w:tcMar>
            <w:vAlign w:val="bottom"/>
          </w:tcPr>
          <w:p w14:paraId="0F906754" w14:textId="7702F693" w:rsidR="00673D01" w:rsidRPr="00C66056" w:rsidRDefault="00673D01" w:rsidP="00F03253">
            <w:pPr>
              <w:rPr>
                <w:color w:val="000000"/>
              </w:rPr>
            </w:pPr>
            <w:r w:rsidRPr="00C66056">
              <w:rPr>
                <w:color w:val="000000"/>
              </w:rPr>
              <w:t>59</w:t>
            </w:r>
          </w:p>
        </w:tc>
        <w:tc>
          <w:tcPr>
            <w:tcW w:w="900" w:type="dxa"/>
            <w:tcMar>
              <w:top w:w="20" w:type="dxa"/>
              <w:left w:w="20" w:type="dxa"/>
              <w:bottom w:w="100" w:type="dxa"/>
              <w:right w:w="20" w:type="dxa"/>
            </w:tcMar>
            <w:vAlign w:val="bottom"/>
          </w:tcPr>
          <w:p w14:paraId="31D8B72A" w14:textId="47BA4D41" w:rsidR="00673D01" w:rsidRPr="00C66056" w:rsidRDefault="00673D01" w:rsidP="00F03253">
            <w:pPr>
              <w:rPr>
                <w:color w:val="000000"/>
              </w:rPr>
            </w:pPr>
            <w:r w:rsidRPr="00C66056">
              <w:rPr>
                <w:color w:val="000000"/>
              </w:rPr>
              <w:t>80.81</w:t>
            </w:r>
          </w:p>
        </w:tc>
      </w:tr>
      <w:tr w:rsidR="00673D01" w:rsidRPr="00C66056" w14:paraId="0B095B84" w14:textId="77777777" w:rsidTr="002254F4">
        <w:trPr>
          <w:trHeight w:val="144"/>
        </w:trPr>
        <w:tc>
          <w:tcPr>
            <w:tcW w:w="1730" w:type="dxa"/>
            <w:tcBorders>
              <w:right w:val="single" w:sz="6" w:space="0" w:color="000000"/>
            </w:tcBorders>
            <w:tcMar>
              <w:top w:w="20" w:type="dxa"/>
              <w:left w:w="20" w:type="dxa"/>
              <w:bottom w:w="100" w:type="dxa"/>
              <w:right w:w="20" w:type="dxa"/>
            </w:tcMar>
            <w:vAlign w:val="bottom"/>
          </w:tcPr>
          <w:p w14:paraId="6660A7A5" w14:textId="77777777" w:rsidR="00673D01" w:rsidRPr="00C66056" w:rsidRDefault="00673D01" w:rsidP="00F03253">
            <w:pPr>
              <w:rPr>
                <w:color w:val="000000"/>
              </w:rPr>
            </w:pPr>
          </w:p>
        </w:tc>
        <w:tc>
          <w:tcPr>
            <w:tcW w:w="810" w:type="dxa"/>
            <w:tcBorders>
              <w:left w:val="single" w:sz="6" w:space="0" w:color="000000"/>
            </w:tcBorders>
            <w:tcMar>
              <w:top w:w="20" w:type="dxa"/>
              <w:left w:w="20" w:type="dxa"/>
              <w:bottom w:w="100" w:type="dxa"/>
              <w:right w:w="20" w:type="dxa"/>
            </w:tcMar>
            <w:vAlign w:val="bottom"/>
          </w:tcPr>
          <w:p w14:paraId="250C56E9" w14:textId="10121076" w:rsidR="00673D01" w:rsidRPr="00C66056" w:rsidRDefault="00673D01" w:rsidP="00F03253">
            <w:pPr>
              <w:rPr>
                <w:color w:val="000000"/>
              </w:rPr>
            </w:pPr>
            <w:r>
              <w:rPr>
                <w:color w:val="000000"/>
              </w:rPr>
              <w:t>Male</w:t>
            </w:r>
          </w:p>
        </w:tc>
        <w:tc>
          <w:tcPr>
            <w:tcW w:w="720" w:type="dxa"/>
            <w:tcMar>
              <w:top w:w="20" w:type="dxa"/>
              <w:left w:w="20" w:type="dxa"/>
              <w:bottom w:w="100" w:type="dxa"/>
              <w:right w:w="20" w:type="dxa"/>
            </w:tcMar>
            <w:vAlign w:val="bottom"/>
          </w:tcPr>
          <w:p w14:paraId="656EE6AF" w14:textId="51328729" w:rsidR="00673D01" w:rsidRPr="00C66056" w:rsidRDefault="00673D01" w:rsidP="00F03253">
            <w:pPr>
              <w:rPr>
                <w:color w:val="000000"/>
              </w:rPr>
            </w:pPr>
            <w:r w:rsidRPr="00C66056">
              <w:rPr>
                <w:color w:val="000000"/>
              </w:rPr>
              <w:t>19</w:t>
            </w:r>
          </w:p>
        </w:tc>
        <w:tc>
          <w:tcPr>
            <w:tcW w:w="900" w:type="dxa"/>
            <w:tcMar>
              <w:top w:w="20" w:type="dxa"/>
              <w:left w:w="20" w:type="dxa"/>
              <w:bottom w:w="100" w:type="dxa"/>
              <w:right w:w="20" w:type="dxa"/>
            </w:tcMar>
            <w:vAlign w:val="bottom"/>
          </w:tcPr>
          <w:p w14:paraId="6A94B0B2" w14:textId="1A7813DA" w:rsidR="00673D01" w:rsidRPr="00C66056" w:rsidRDefault="00673D01" w:rsidP="00F03253">
            <w:pPr>
              <w:rPr>
                <w:color w:val="000000"/>
              </w:rPr>
            </w:pPr>
            <w:r w:rsidRPr="00C66056">
              <w:rPr>
                <w:color w:val="000000"/>
              </w:rPr>
              <w:t>27.4</w:t>
            </w:r>
          </w:p>
        </w:tc>
        <w:tc>
          <w:tcPr>
            <w:tcW w:w="900" w:type="dxa"/>
            <w:tcMar>
              <w:top w:w="20" w:type="dxa"/>
              <w:left w:w="20" w:type="dxa"/>
              <w:bottom w:w="100" w:type="dxa"/>
              <w:right w:w="20" w:type="dxa"/>
            </w:tcMar>
            <w:vAlign w:val="bottom"/>
          </w:tcPr>
          <w:p w14:paraId="654B96CC" w14:textId="0B9E5183" w:rsidR="00673D01" w:rsidRPr="00C66056" w:rsidRDefault="00673D01" w:rsidP="00F03253">
            <w:pPr>
              <w:rPr>
                <w:color w:val="000000"/>
              </w:rPr>
            </w:pPr>
            <w:r w:rsidRPr="00C66056">
              <w:rPr>
                <w:color w:val="000000"/>
              </w:rPr>
              <w:t>20</w:t>
            </w:r>
          </w:p>
        </w:tc>
        <w:tc>
          <w:tcPr>
            <w:tcW w:w="1080" w:type="dxa"/>
            <w:tcMar>
              <w:top w:w="20" w:type="dxa"/>
              <w:left w:w="20" w:type="dxa"/>
              <w:bottom w:w="100" w:type="dxa"/>
              <w:right w:w="20" w:type="dxa"/>
            </w:tcMar>
            <w:vAlign w:val="bottom"/>
          </w:tcPr>
          <w:p w14:paraId="1FE4ECCC" w14:textId="53A9D4B9" w:rsidR="00673D01" w:rsidRPr="00C66056" w:rsidRDefault="00673D01" w:rsidP="00F03253">
            <w:pPr>
              <w:rPr>
                <w:color w:val="000000"/>
              </w:rPr>
            </w:pPr>
            <w:r w:rsidRPr="00C66056">
              <w:rPr>
                <w:color w:val="000000"/>
              </w:rPr>
              <w:t>36</w:t>
            </w:r>
          </w:p>
        </w:tc>
        <w:tc>
          <w:tcPr>
            <w:tcW w:w="900" w:type="dxa"/>
            <w:tcMar>
              <w:top w:w="20" w:type="dxa"/>
              <w:left w:w="20" w:type="dxa"/>
              <w:bottom w:w="100" w:type="dxa"/>
              <w:right w:w="20" w:type="dxa"/>
            </w:tcMar>
            <w:vAlign w:val="bottom"/>
          </w:tcPr>
          <w:p w14:paraId="2C5D1C09" w14:textId="355297A5" w:rsidR="00673D01" w:rsidRPr="00C66056" w:rsidRDefault="00673D01" w:rsidP="00F03253">
            <w:pPr>
              <w:rPr>
                <w:color w:val="000000"/>
              </w:rPr>
            </w:pPr>
            <w:r w:rsidRPr="00C66056">
              <w:rPr>
                <w:color w:val="000000"/>
              </w:rPr>
              <w:t>19.19</w:t>
            </w:r>
          </w:p>
        </w:tc>
      </w:tr>
      <w:tr w:rsidR="0073131B" w:rsidRPr="00C66056" w14:paraId="4A6CCEC6" w14:textId="77777777" w:rsidTr="002254F4">
        <w:trPr>
          <w:trHeight w:val="144"/>
        </w:trPr>
        <w:tc>
          <w:tcPr>
            <w:tcW w:w="1730" w:type="dxa"/>
            <w:tcBorders>
              <w:right w:val="single" w:sz="6" w:space="0" w:color="000000"/>
            </w:tcBorders>
            <w:tcMar>
              <w:top w:w="20" w:type="dxa"/>
              <w:left w:w="20" w:type="dxa"/>
              <w:bottom w:w="100" w:type="dxa"/>
              <w:right w:w="20" w:type="dxa"/>
            </w:tcMar>
            <w:vAlign w:val="bottom"/>
            <w:hideMark/>
          </w:tcPr>
          <w:p w14:paraId="2961FA39" w14:textId="61C5538F" w:rsidR="0073131B" w:rsidRPr="00C66056" w:rsidRDefault="00673D01" w:rsidP="002254F4">
            <w:r>
              <w:rPr>
                <w:color w:val="000000"/>
              </w:rPr>
              <w:t xml:space="preserve">Subtype </w:t>
            </w:r>
            <w:r w:rsidR="002254F4">
              <w:rPr>
                <w:color w:val="000000"/>
              </w:rPr>
              <w:t>3</w:t>
            </w:r>
          </w:p>
        </w:tc>
        <w:tc>
          <w:tcPr>
            <w:tcW w:w="810" w:type="dxa"/>
            <w:tcBorders>
              <w:left w:val="single" w:sz="6" w:space="0" w:color="000000"/>
            </w:tcBorders>
            <w:tcMar>
              <w:top w:w="20" w:type="dxa"/>
              <w:left w:w="20" w:type="dxa"/>
              <w:bottom w:w="100" w:type="dxa"/>
              <w:right w:w="20" w:type="dxa"/>
            </w:tcMar>
            <w:vAlign w:val="bottom"/>
            <w:hideMark/>
          </w:tcPr>
          <w:p w14:paraId="2EC92850" w14:textId="77777777" w:rsidR="0073131B" w:rsidRPr="00C66056" w:rsidRDefault="0073131B" w:rsidP="00F03253">
            <w:r w:rsidRPr="00C66056">
              <w:rPr>
                <w:color w:val="000000"/>
              </w:rPr>
              <w:t>Female</w:t>
            </w:r>
          </w:p>
        </w:tc>
        <w:tc>
          <w:tcPr>
            <w:tcW w:w="720" w:type="dxa"/>
            <w:tcMar>
              <w:top w:w="20" w:type="dxa"/>
              <w:left w:w="20" w:type="dxa"/>
              <w:bottom w:w="100" w:type="dxa"/>
              <w:right w:w="20" w:type="dxa"/>
            </w:tcMar>
            <w:vAlign w:val="bottom"/>
            <w:hideMark/>
          </w:tcPr>
          <w:p w14:paraId="761C431A" w14:textId="77777777" w:rsidR="0073131B" w:rsidRPr="00C66056" w:rsidRDefault="0073131B" w:rsidP="00F03253">
            <w:r w:rsidRPr="00C66056">
              <w:rPr>
                <w:color w:val="000000"/>
              </w:rPr>
              <w:t>34</w:t>
            </w:r>
          </w:p>
        </w:tc>
        <w:tc>
          <w:tcPr>
            <w:tcW w:w="900" w:type="dxa"/>
            <w:tcMar>
              <w:top w:w="20" w:type="dxa"/>
              <w:left w:w="20" w:type="dxa"/>
              <w:bottom w:w="100" w:type="dxa"/>
              <w:right w:w="20" w:type="dxa"/>
            </w:tcMar>
            <w:vAlign w:val="bottom"/>
            <w:hideMark/>
          </w:tcPr>
          <w:p w14:paraId="35472592" w14:textId="77777777" w:rsidR="0073131B" w:rsidRPr="00C66056" w:rsidRDefault="0073131B" w:rsidP="00F03253">
            <w:r w:rsidRPr="00C66056">
              <w:rPr>
                <w:color w:val="000000"/>
              </w:rPr>
              <w:t>31.7</w:t>
            </w:r>
          </w:p>
        </w:tc>
        <w:tc>
          <w:tcPr>
            <w:tcW w:w="900" w:type="dxa"/>
            <w:tcMar>
              <w:top w:w="20" w:type="dxa"/>
              <w:left w:w="20" w:type="dxa"/>
              <w:bottom w:w="100" w:type="dxa"/>
              <w:right w:w="20" w:type="dxa"/>
            </w:tcMar>
            <w:vAlign w:val="bottom"/>
            <w:hideMark/>
          </w:tcPr>
          <w:p w14:paraId="057925E3" w14:textId="77777777" w:rsidR="0073131B" w:rsidRPr="00C66056" w:rsidRDefault="0073131B" w:rsidP="00F03253">
            <w:r w:rsidRPr="00C66056">
              <w:rPr>
                <w:color w:val="000000"/>
              </w:rPr>
              <w:t>19</w:t>
            </w:r>
          </w:p>
        </w:tc>
        <w:tc>
          <w:tcPr>
            <w:tcW w:w="1080" w:type="dxa"/>
            <w:tcMar>
              <w:top w:w="20" w:type="dxa"/>
              <w:left w:w="20" w:type="dxa"/>
              <w:bottom w:w="100" w:type="dxa"/>
              <w:right w:w="20" w:type="dxa"/>
            </w:tcMar>
            <w:vAlign w:val="bottom"/>
            <w:hideMark/>
          </w:tcPr>
          <w:p w14:paraId="13AF32C2" w14:textId="77777777" w:rsidR="0073131B" w:rsidRPr="00C66056" w:rsidRDefault="0073131B" w:rsidP="00F03253">
            <w:r w:rsidRPr="00C66056">
              <w:rPr>
                <w:color w:val="000000"/>
              </w:rPr>
              <w:t>68</w:t>
            </w:r>
          </w:p>
        </w:tc>
        <w:tc>
          <w:tcPr>
            <w:tcW w:w="900" w:type="dxa"/>
            <w:tcMar>
              <w:top w:w="20" w:type="dxa"/>
              <w:left w:w="20" w:type="dxa"/>
              <w:bottom w:w="100" w:type="dxa"/>
              <w:right w:w="20" w:type="dxa"/>
            </w:tcMar>
            <w:vAlign w:val="bottom"/>
            <w:hideMark/>
          </w:tcPr>
          <w:p w14:paraId="433B0648" w14:textId="77777777" w:rsidR="0073131B" w:rsidRPr="00C66056" w:rsidRDefault="0073131B" w:rsidP="00F03253">
            <w:r w:rsidRPr="00C66056">
              <w:rPr>
                <w:color w:val="000000"/>
              </w:rPr>
              <w:t>80.95</w:t>
            </w:r>
          </w:p>
        </w:tc>
      </w:tr>
      <w:tr w:rsidR="0073131B" w:rsidRPr="00C66056" w14:paraId="58BC244E" w14:textId="77777777" w:rsidTr="002254F4">
        <w:trPr>
          <w:trHeight w:val="144"/>
        </w:trPr>
        <w:tc>
          <w:tcPr>
            <w:tcW w:w="1730" w:type="dxa"/>
            <w:tcBorders>
              <w:right w:val="single" w:sz="6" w:space="0" w:color="000000"/>
            </w:tcBorders>
            <w:tcMar>
              <w:top w:w="20" w:type="dxa"/>
              <w:left w:w="20" w:type="dxa"/>
              <w:bottom w:w="100" w:type="dxa"/>
              <w:right w:w="20" w:type="dxa"/>
            </w:tcMar>
            <w:vAlign w:val="bottom"/>
            <w:hideMark/>
          </w:tcPr>
          <w:p w14:paraId="4B455ADF" w14:textId="05E179C6" w:rsidR="0073131B" w:rsidRPr="00C66056" w:rsidRDefault="0073131B" w:rsidP="00F03253"/>
        </w:tc>
        <w:tc>
          <w:tcPr>
            <w:tcW w:w="810" w:type="dxa"/>
            <w:tcBorders>
              <w:left w:val="single" w:sz="6" w:space="0" w:color="000000"/>
            </w:tcBorders>
            <w:tcMar>
              <w:top w:w="20" w:type="dxa"/>
              <w:left w:w="20" w:type="dxa"/>
              <w:bottom w:w="100" w:type="dxa"/>
              <w:right w:w="20" w:type="dxa"/>
            </w:tcMar>
            <w:vAlign w:val="bottom"/>
            <w:hideMark/>
          </w:tcPr>
          <w:p w14:paraId="3EBBE7CA" w14:textId="77777777" w:rsidR="0073131B" w:rsidRPr="00C66056" w:rsidRDefault="0073131B" w:rsidP="00F03253">
            <w:r w:rsidRPr="00C66056">
              <w:rPr>
                <w:color w:val="000000"/>
              </w:rPr>
              <w:t>Male</w:t>
            </w:r>
          </w:p>
        </w:tc>
        <w:tc>
          <w:tcPr>
            <w:tcW w:w="720" w:type="dxa"/>
            <w:tcMar>
              <w:top w:w="20" w:type="dxa"/>
              <w:left w:w="20" w:type="dxa"/>
              <w:bottom w:w="100" w:type="dxa"/>
              <w:right w:w="20" w:type="dxa"/>
            </w:tcMar>
            <w:vAlign w:val="bottom"/>
            <w:hideMark/>
          </w:tcPr>
          <w:p w14:paraId="49B814DD" w14:textId="77777777" w:rsidR="0073131B" w:rsidRPr="00C66056" w:rsidRDefault="0073131B" w:rsidP="00F03253">
            <w:r w:rsidRPr="00C66056">
              <w:rPr>
                <w:color w:val="000000"/>
              </w:rPr>
              <w:t>8</w:t>
            </w:r>
          </w:p>
        </w:tc>
        <w:tc>
          <w:tcPr>
            <w:tcW w:w="900" w:type="dxa"/>
            <w:tcMar>
              <w:top w:w="20" w:type="dxa"/>
              <w:left w:w="20" w:type="dxa"/>
              <w:bottom w:w="100" w:type="dxa"/>
              <w:right w:w="20" w:type="dxa"/>
            </w:tcMar>
            <w:vAlign w:val="bottom"/>
            <w:hideMark/>
          </w:tcPr>
          <w:p w14:paraId="36052C04" w14:textId="77777777" w:rsidR="0073131B" w:rsidRPr="00C66056" w:rsidRDefault="0073131B" w:rsidP="00F03253">
            <w:r w:rsidRPr="00C66056">
              <w:rPr>
                <w:color w:val="000000"/>
              </w:rPr>
              <w:t>28.6</w:t>
            </w:r>
          </w:p>
        </w:tc>
        <w:tc>
          <w:tcPr>
            <w:tcW w:w="900" w:type="dxa"/>
            <w:tcMar>
              <w:top w:w="20" w:type="dxa"/>
              <w:left w:w="20" w:type="dxa"/>
              <w:bottom w:w="100" w:type="dxa"/>
              <w:right w:w="20" w:type="dxa"/>
            </w:tcMar>
            <w:vAlign w:val="bottom"/>
            <w:hideMark/>
          </w:tcPr>
          <w:p w14:paraId="7F766519" w14:textId="77777777" w:rsidR="0073131B" w:rsidRPr="00C66056" w:rsidRDefault="0073131B" w:rsidP="00F03253">
            <w:r w:rsidRPr="00C66056">
              <w:rPr>
                <w:color w:val="000000"/>
              </w:rPr>
              <w:t>18</w:t>
            </w:r>
          </w:p>
        </w:tc>
        <w:tc>
          <w:tcPr>
            <w:tcW w:w="1080" w:type="dxa"/>
            <w:tcMar>
              <w:top w:w="20" w:type="dxa"/>
              <w:left w:w="20" w:type="dxa"/>
              <w:bottom w:w="100" w:type="dxa"/>
              <w:right w:w="20" w:type="dxa"/>
            </w:tcMar>
            <w:vAlign w:val="bottom"/>
            <w:hideMark/>
          </w:tcPr>
          <w:p w14:paraId="7C117381" w14:textId="77777777" w:rsidR="0073131B" w:rsidRPr="00C66056" w:rsidRDefault="0073131B" w:rsidP="00F03253">
            <w:r w:rsidRPr="00C66056">
              <w:rPr>
                <w:color w:val="000000"/>
              </w:rPr>
              <w:t>41</w:t>
            </w:r>
          </w:p>
        </w:tc>
        <w:tc>
          <w:tcPr>
            <w:tcW w:w="900" w:type="dxa"/>
            <w:tcMar>
              <w:top w:w="20" w:type="dxa"/>
              <w:left w:w="20" w:type="dxa"/>
              <w:bottom w:w="100" w:type="dxa"/>
              <w:right w:w="20" w:type="dxa"/>
            </w:tcMar>
            <w:vAlign w:val="bottom"/>
            <w:hideMark/>
          </w:tcPr>
          <w:p w14:paraId="44890CC8" w14:textId="77777777" w:rsidR="0073131B" w:rsidRPr="00C66056" w:rsidRDefault="0073131B" w:rsidP="00F03253">
            <w:r w:rsidRPr="00C66056">
              <w:rPr>
                <w:color w:val="000000"/>
              </w:rPr>
              <w:t>19.05</w:t>
            </w:r>
          </w:p>
        </w:tc>
      </w:tr>
    </w:tbl>
    <w:p w14:paraId="36094C64" w14:textId="77777777" w:rsidR="00673D01" w:rsidRDefault="00673D01" w:rsidP="00673D01">
      <w:pPr>
        <w:spacing w:line="480" w:lineRule="auto"/>
      </w:pPr>
    </w:p>
    <w:p w14:paraId="1DC4594B" w14:textId="78B2B676" w:rsidR="00673D01" w:rsidRDefault="00673D01" w:rsidP="002254F4">
      <w:r>
        <w:t xml:space="preserve">Puller subtypes: Subtype </w:t>
      </w:r>
      <w:r w:rsidR="002254F4">
        <w:t>2</w:t>
      </w:r>
      <w:r>
        <w:t xml:space="preserve">: Sensory sensitive pullers; Subtype </w:t>
      </w:r>
      <w:r w:rsidR="002254F4">
        <w:t>3</w:t>
      </w:r>
      <w:r>
        <w:t xml:space="preserve">: Low awareness pullers; Subtype </w:t>
      </w:r>
      <w:r w:rsidR="002254F4">
        <w:t>4</w:t>
      </w:r>
      <w:r>
        <w:t>: Impulsive/Perfectionist pullers</w:t>
      </w:r>
    </w:p>
    <w:p w14:paraId="69A13654" w14:textId="0352327D" w:rsidR="00673D01" w:rsidRDefault="00673D01" w:rsidP="002254F4">
      <w:r>
        <w:t xml:space="preserve">Picker subtypes: Subtype </w:t>
      </w:r>
      <w:r w:rsidR="002254F4">
        <w:t>2</w:t>
      </w:r>
      <w:r>
        <w:t xml:space="preserve">: </w:t>
      </w:r>
      <w:r w:rsidR="005E02B2">
        <w:t xml:space="preserve">Emotional/reward pickers; Subtype </w:t>
      </w:r>
      <w:r w:rsidR="002254F4">
        <w:t>3</w:t>
      </w:r>
      <w:r w:rsidR="005E02B2">
        <w:t>: Functional pickers</w:t>
      </w:r>
    </w:p>
    <w:p w14:paraId="610D0108" w14:textId="109A50DB" w:rsidR="00CC067C" w:rsidRDefault="00CC067C" w:rsidP="003D7CBF">
      <w:pPr>
        <w:spacing w:line="480" w:lineRule="auto"/>
        <w:rPr>
          <w:b/>
        </w:rPr>
      </w:pPr>
    </w:p>
    <w:p w14:paraId="41C0B91E" w14:textId="083CCAC5" w:rsidR="001210D8" w:rsidRPr="00166820" w:rsidRDefault="001210D8" w:rsidP="00166820">
      <w:pPr>
        <w:spacing w:line="480" w:lineRule="auto"/>
        <w:jc w:val="both"/>
        <w:outlineLvl w:val="3"/>
        <w:rPr>
          <w:b/>
          <w:bCs/>
          <w:i/>
        </w:rPr>
      </w:pPr>
      <w:r w:rsidRPr="00166820">
        <w:rPr>
          <w:b/>
          <w:i/>
        </w:rPr>
        <w:t>Puller subtypes</w:t>
      </w:r>
      <w:r w:rsidRPr="00166820">
        <w:rPr>
          <w:b/>
          <w:i/>
          <w:shd w:val="clear" w:color="auto" w:fill="FFFFFF"/>
        </w:rPr>
        <w:t> </w:t>
      </w:r>
    </w:p>
    <w:p w14:paraId="198A9263" w14:textId="770867E3" w:rsidR="001210D8" w:rsidRDefault="001210D8" w:rsidP="00166820">
      <w:pPr>
        <w:spacing w:line="480" w:lineRule="auto"/>
        <w:ind w:firstLine="720"/>
      </w:pPr>
      <w:r w:rsidRPr="00166820">
        <w:t xml:space="preserve">Puller subtype 3 </w:t>
      </w:r>
      <w:r w:rsidR="00227F05">
        <w:t xml:space="preserve">(low awareness pullers) </w:t>
      </w:r>
      <w:r w:rsidRPr="00166820">
        <w:t>show</w:t>
      </w:r>
      <w:r w:rsidR="00E216A2">
        <w:t>ed</w:t>
      </w:r>
      <w:r w:rsidRPr="00166820">
        <w:t xml:space="preserve"> increased cortical volume in the lateral occipital lobe relative to both subtype 1 </w:t>
      </w:r>
      <w:r w:rsidR="00227F05">
        <w:t xml:space="preserve">(controls) </w:t>
      </w:r>
      <w:r w:rsidRPr="00166820">
        <w:t>and 2</w:t>
      </w:r>
      <w:r w:rsidR="00227F05" w:rsidRPr="00227F05">
        <w:t xml:space="preserve"> </w:t>
      </w:r>
      <w:r w:rsidR="00227F05">
        <w:t>(sensory sensitive pullers)</w:t>
      </w:r>
      <w:r w:rsidRPr="00166820">
        <w:t xml:space="preserve">. In addition, subtype 4 </w:t>
      </w:r>
      <w:r w:rsidR="00227F05">
        <w:t xml:space="preserve">(impulsive/perfectionist pullers) </w:t>
      </w:r>
      <w:r w:rsidRPr="00166820">
        <w:t>show</w:t>
      </w:r>
      <w:r w:rsidR="00E216A2">
        <w:t>ed</w:t>
      </w:r>
      <w:r w:rsidRPr="00166820">
        <w:t xml:space="preserve"> relative</w:t>
      </w:r>
      <w:r w:rsidR="00E216A2">
        <w:t>ly</w:t>
      </w:r>
      <w:r w:rsidRPr="00166820">
        <w:t xml:space="preserve"> decreased volume near the lingual gyrus of the inferior occipital-parietal lobe</w:t>
      </w:r>
      <w:r w:rsidR="00334416">
        <w:t xml:space="preserve"> compared to controls</w:t>
      </w:r>
      <w:r w:rsidRPr="00166820">
        <w:t>. </w:t>
      </w:r>
    </w:p>
    <w:p w14:paraId="3B99B2BC" w14:textId="77777777" w:rsidR="002254F4" w:rsidRDefault="002254F4" w:rsidP="002254F4">
      <w:pPr>
        <w:spacing w:line="480" w:lineRule="auto"/>
      </w:pPr>
    </w:p>
    <w:p w14:paraId="126AA8DF" w14:textId="6AACDCC1" w:rsidR="002254F4" w:rsidRPr="00166820" w:rsidRDefault="002254F4" w:rsidP="002254F4">
      <w:pPr>
        <w:spacing w:line="480" w:lineRule="auto"/>
      </w:pPr>
      <w:r>
        <w:t>Figure 3. Cortical volume differences across hair pulling subtypes</w:t>
      </w:r>
    </w:p>
    <w:p w14:paraId="7D1EC942" w14:textId="02532F56" w:rsidR="001210D8" w:rsidRDefault="00166820" w:rsidP="00B7256B">
      <w:pPr>
        <w:spacing w:line="480" w:lineRule="auto"/>
        <w:rPr>
          <w:b/>
        </w:rPr>
      </w:pPr>
      <w:r>
        <w:rPr>
          <w:rFonts w:ascii="Arial" w:hAnsi="Arial" w:cs="Arial"/>
          <w:noProof/>
          <w:color w:val="000000"/>
          <w:sz w:val="22"/>
          <w:szCs w:val="22"/>
        </w:rPr>
        <w:drawing>
          <wp:inline distT="0" distB="0" distL="0" distR="0" wp14:anchorId="4C4B9689" wp14:editId="098AD097">
            <wp:extent cx="2600325" cy="2190750"/>
            <wp:effectExtent l="0" t="0" r="9525" b="0"/>
            <wp:docPr id="1" name="Picture 1" descr="https://lh6.googleusercontent.com/RQopiCLFbvU_9sPI8CUz2357eLbPo7queNwZ3X3NFAmEE1msjSzUR8j2J1nIpaWxH52M3oVaBpLflkoIwbFCqiokMMoEPV3pglp2-6waSAJy6AITyrZihrjPrb5tp20CbX-UF5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QopiCLFbvU_9sPI8CUz2357eLbPo7queNwZ3X3NFAmEE1msjSzUR8j2J1nIpaWxH52M3oVaBpLflkoIwbFCqiokMMoEPV3pglp2-6waSAJy6AITyrZihrjPrb5tp20CbX-UF58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2190750"/>
                    </a:xfrm>
                    <a:prstGeom prst="rect">
                      <a:avLst/>
                    </a:prstGeom>
                    <a:noFill/>
                    <a:ln>
                      <a:noFill/>
                    </a:ln>
                  </pic:spPr>
                </pic:pic>
              </a:graphicData>
            </a:graphic>
          </wp:inline>
        </w:drawing>
      </w:r>
      <w:r w:rsidR="001210D8">
        <w:rPr>
          <w:rFonts w:ascii="Arial" w:hAnsi="Arial" w:cs="Arial"/>
          <w:noProof/>
          <w:color w:val="000000"/>
          <w:sz w:val="22"/>
          <w:szCs w:val="22"/>
        </w:rPr>
        <w:drawing>
          <wp:inline distT="0" distB="0" distL="0" distR="0" wp14:anchorId="42D46DC7" wp14:editId="1502C977">
            <wp:extent cx="2837061" cy="2157348"/>
            <wp:effectExtent l="0" t="0" r="0" b="1905"/>
            <wp:docPr id="2" name="Picture 2" descr="https://lh3.googleusercontent.com/DpfMyNNYtwu_uUb5dZv16arErRbNtOhCKSt24ebux9QzrOKUjrvc0WPpTkRPhLxWcdHBf4VsZBB7d4WgXzTQJJkj0Kx_vD7zo4z_WItcmzJTBuPknKtYGvLwN7lJbeadwH1xG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pfMyNNYtwu_uUb5dZv16arErRbNtOhCKSt24ebux9QzrOKUjrvc0WPpTkRPhLxWcdHBf4VsZBB7d4WgXzTQJJkj0Kx_vD7zo4z_WItcmzJTBuPknKtYGvLwN7lJbeadwH1xGM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075" cy="2162682"/>
                    </a:xfrm>
                    <a:prstGeom prst="rect">
                      <a:avLst/>
                    </a:prstGeom>
                    <a:noFill/>
                    <a:ln>
                      <a:noFill/>
                    </a:ln>
                  </pic:spPr>
                </pic:pic>
              </a:graphicData>
            </a:graphic>
          </wp:inline>
        </w:drawing>
      </w:r>
      <w:r w:rsidR="001210D8" w:rsidRPr="001210D8">
        <w:rPr>
          <w:rFonts w:ascii="Arial" w:hAnsi="Arial" w:cs="Arial"/>
          <w:noProof/>
          <w:color w:val="000000"/>
          <w:sz w:val="22"/>
          <w:szCs w:val="22"/>
        </w:rPr>
        <w:t xml:space="preserve"> </w:t>
      </w:r>
      <w:r w:rsidR="001210D8">
        <w:rPr>
          <w:rFonts w:ascii="Arial" w:hAnsi="Arial" w:cs="Arial"/>
          <w:noProof/>
          <w:color w:val="000000"/>
          <w:sz w:val="22"/>
          <w:szCs w:val="22"/>
        </w:rPr>
        <w:drawing>
          <wp:inline distT="0" distB="0" distL="0" distR="0" wp14:anchorId="01077D07" wp14:editId="64E5A590">
            <wp:extent cx="2476500" cy="2000250"/>
            <wp:effectExtent l="0" t="0" r="0" b="0"/>
            <wp:docPr id="3" name="Picture 3" descr="https://lh5.googleusercontent.com/fGW2XrkIeLiq2hvW6WuHnwgQbRhcV_ydVI6iQtAxXJAgDXfLgvQ2X5f_PodRUFZzTOppxGO-fBZOp3ZUSUp_Ul89rT6kEE3EnD3uyNYPTLtf7QniRJfPiIwy8QMbG_zhhfIz45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fGW2XrkIeLiq2hvW6WuHnwgQbRhcV_ydVI6iQtAxXJAgDXfLgvQ2X5f_PodRUFZzTOppxGO-fBZOp3ZUSUp_Ul89rT6kEE3EnD3uyNYPTLtf7QniRJfPiIwy8QMbG_zhhfIz45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2000250"/>
                    </a:xfrm>
                    <a:prstGeom prst="rect">
                      <a:avLst/>
                    </a:prstGeom>
                    <a:noFill/>
                    <a:ln>
                      <a:noFill/>
                    </a:ln>
                  </pic:spPr>
                </pic:pic>
              </a:graphicData>
            </a:graphic>
          </wp:inline>
        </w:drawing>
      </w:r>
    </w:p>
    <w:p w14:paraId="6F5E7D8A" w14:textId="77777777" w:rsidR="001210D8" w:rsidRPr="001210D8" w:rsidRDefault="001210D8" w:rsidP="001210D8"/>
    <w:tbl>
      <w:tblPr>
        <w:tblW w:w="9360" w:type="dxa"/>
        <w:tblCellMar>
          <w:top w:w="15" w:type="dxa"/>
          <w:left w:w="15" w:type="dxa"/>
          <w:bottom w:w="15" w:type="dxa"/>
          <w:right w:w="15" w:type="dxa"/>
        </w:tblCellMar>
        <w:tblLook w:val="04A0" w:firstRow="1" w:lastRow="0" w:firstColumn="1" w:lastColumn="0" w:noHBand="0" w:noVBand="1"/>
      </w:tblPr>
      <w:tblGrid>
        <w:gridCol w:w="1364"/>
        <w:gridCol w:w="1380"/>
        <w:gridCol w:w="1647"/>
        <w:gridCol w:w="927"/>
        <w:gridCol w:w="927"/>
        <w:gridCol w:w="766"/>
        <w:gridCol w:w="2349"/>
      </w:tblGrid>
      <w:tr w:rsidR="001210D8" w:rsidRPr="001210D8" w14:paraId="1EE31388" w14:textId="77777777" w:rsidTr="001210D8">
        <w:tc>
          <w:tcPr>
            <w:tcW w:w="0" w:type="auto"/>
            <w:tcBorders>
              <w:top w:val="single" w:sz="8" w:space="0" w:color="FFFFFF"/>
              <w:left w:val="single" w:sz="8" w:space="0" w:color="FFFFFF"/>
              <w:bottom w:val="single" w:sz="18" w:space="0" w:color="000000"/>
              <w:right w:val="single" w:sz="12" w:space="0" w:color="000000"/>
            </w:tcBorders>
            <w:tcMar>
              <w:top w:w="100" w:type="dxa"/>
              <w:left w:w="100" w:type="dxa"/>
              <w:bottom w:w="100" w:type="dxa"/>
              <w:right w:w="100" w:type="dxa"/>
            </w:tcMar>
            <w:hideMark/>
          </w:tcPr>
          <w:p w14:paraId="1703135E" w14:textId="77777777" w:rsidR="001210D8" w:rsidRPr="001210D8" w:rsidRDefault="001210D8" w:rsidP="001210D8">
            <w:r w:rsidRPr="001210D8">
              <w:rPr>
                <w:rFonts w:ascii="Arial" w:hAnsi="Arial" w:cs="Arial"/>
                <w:color w:val="000000"/>
                <w:sz w:val="22"/>
                <w:szCs w:val="22"/>
              </w:rPr>
              <w:t>Contrast</w:t>
            </w:r>
          </w:p>
        </w:tc>
        <w:tc>
          <w:tcPr>
            <w:tcW w:w="0" w:type="auto"/>
            <w:tcBorders>
              <w:top w:val="single" w:sz="8" w:space="0" w:color="FFFFFF"/>
              <w:left w:val="single" w:sz="12" w:space="0" w:color="000000"/>
              <w:bottom w:val="single" w:sz="18" w:space="0" w:color="000000"/>
              <w:right w:val="single" w:sz="8" w:space="0" w:color="FFFFFF"/>
            </w:tcBorders>
            <w:tcMar>
              <w:top w:w="100" w:type="dxa"/>
              <w:left w:w="100" w:type="dxa"/>
              <w:bottom w:w="100" w:type="dxa"/>
              <w:right w:w="100" w:type="dxa"/>
            </w:tcMar>
            <w:hideMark/>
          </w:tcPr>
          <w:p w14:paraId="6C0AB6EA" w14:textId="77777777" w:rsidR="001210D8" w:rsidRPr="001210D8" w:rsidRDefault="001210D8" w:rsidP="001210D8">
            <w:pPr>
              <w:jc w:val="center"/>
            </w:pPr>
            <w:r w:rsidRPr="001210D8">
              <w:rPr>
                <w:rFonts w:ascii="Arial" w:hAnsi="Arial" w:cs="Arial"/>
                <w:color w:val="000000"/>
                <w:sz w:val="22"/>
                <w:szCs w:val="22"/>
              </w:rPr>
              <w:t>Peak (T)</w:t>
            </w:r>
          </w:p>
        </w:tc>
        <w:tc>
          <w:tcPr>
            <w:tcW w:w="0" w:type="auto"/>
            <w:tcBorders>
              <w:top w:val="single" w:sz="8" w:space="0" w:color="FFFFFF"/>
              <w:left w:val="single" w:sz="8" w:space="0" w:color="FFFFFF"/>
              <w:bottom w:val="single" w:sz="18" w:space="0" w:color="000000"/>
              <w:right w:val="single" w:sz="8" w:space="0" w:color="FFFFFF"/>
            </w:tcBorders>
            <w:tcMar>
              <w:top w:w="100" w:type="dxa"/>
              <w:left w:w="100" w:type="dxa"/>
              <w:bottom w:w="100" w:type="dxa"/>
              <w:right w:w="100" w:type="dxa"/>
            </w:tcMar>
            <w:hideMark/>
          </w:tcPr>
          <w:p w14:paraId="721830EE" w14:textId="77777777" w:rsidR="001210D8" w:rsidRPr="001210D8" w:rsidRDefault="001210D8" w:rsidP="001210D8">
            <w:pPr>
              <w:jc w:val="center"/>
            </w:pPr>
            <w:r w:rsidRPr="001210D8">
              <w:rPr>
                <w:rFonts w:ascii="Arial" w:hAnsi="Arial" w:cs="Arial"/>
                <w:color w:val="000000"/>
                <w:sz w:val="22"/>
                <w:szCs w:val="22"/>
              </w:rPr>
              <w:t>Size (mm</w:t>
            </w:r>
            <w:r w:rsidRPr="001210D8">
              <w:rPr>
                <w:rFonts w:ascii="Arial" w:hAnsi="Arial" w:cs="Arial"/>
                <w:color w:val="000000"/>
                <w:sz w:val="13"/>
                <w:szCs w:val="13"/>
                <w:vertAlign w:val="superscript"/>
              </w:rPr>
              <w:t>2</w:t>
            </w:r>
            <w:r w:rsidRPr="001210D8">
              <w:rPr>
                <w:rFonts w:ascii="Arial" w:hAnsi="Arial" w:cs="Arial"/>
                <w:color w:val="000000"/>
                <w:sz w:val="22"/>
                <w:szCs w:val="22"/>
              </w:rPr>
              <w:t>)</w:t>
            </w:r>
          </w:p>
        </w:tc>
        <w:tc>
          <w:tcPr>
            <w:tcW w:w="0" w:type="auto"/>
            <w:tcBorders>
              <w:top w:val="single" w:sz="8" w:space="0" w:color="FFFFFF"/>
              <w:left w:val="single" w:sz="8" w:space="0" w:color="FFFFFF"/>
              <w:bottom w:val="single" w:sz="18" w:space="0" w:color="000000"/>
              <w:right w:val="single" w:sz="8" w:space="0" w:color="FFFFFF"/>
            </w:tcBorders>
            <w:tcMar>
              <w:top w:w="100" w:type="dxa"/>
              <w:left w:w="100" w:type="dxa"/>
              <w:bottom w:w="100" w:type="dxa"/>
              <w:right w:w="100" w:type="dxa"/>
            </w:tcMar>
            <w:hideMark/>
          </w:tcPr>
          <w:p w14:paraId="251A1977" w14:textId="77777777" w:rsidR="001210D8" w:rsidRPr="001210D8" w:rsidRDefault="001210D8" w:rsidP="001210D8">
            <w:pPr>
              <w:jc w:val="center"/>
            </w:pPr>
            <w:r w:rsidRPr="001210D8">
              <w:rPr>
                <w:rFonts w:ascii="Arial" w:hAnsi="Arial" w:cs="Arial"/>
                <w:color w:val="000000"/>
                <w:sz w:val="22"/>
                <w:szCs w:val="22"/>
              </w:rPr>
              <w:t>x</w:t>
            </w:r>
          </w:p>
        </w:tc>
        <w:tc>
          <w:tcPr>
            <w:tcW w:w="0" w:type="auto"/>
            <w:tcBorders>
              <w:top w:val="single" w:sz="8" w:space="0" w:color="FFFFFF"/>
              <w:left w:val="single" w:sz="8" w:space="0" w:color="FFFFFF"/>
              <w:bottom w:val="single" w:sz="18" w:space="0" w:color="000000"/>
              <w:right w:val="single" w:sz="8" w:space="0" w:color="FFFFFF"/>
            </w:tcBorders>
            <w:tcMar>
              <w:top w:w="100" w:type="dxa"/>
              <w:left w:w="100" w:type="dxa"/>
              <w:bottom w:w="100" w:type="dxa"/>
              <w:right w:w="100" w:type="dxa"/>
            </w:tcMar>
            <w:hideMark/>
          </w:tcPr>
          <w:p w14:paraId="754FBF92" w14:textId="4369E18F" w:rsidR="001210D8" w:rsidRPr="001210D8" w:rsidRDefault="00227F05" w:rsidP="001210D8">
            <w:pPr>
              <w:jc w:val="center"/>
            </w:pPr>
            <w:r w:rsidRPr="001210D8">
              <w:rPr>
                <w:rFonts w:ascii="Arial" w:hAnsi="Arial" w:cs="Arial"/>
                <w:color w:val="000000"/>
                <w:sz w:val="22"/>
                <w:szCs w:val="22"/>
              </w:rPr>
              <w:t>Y</w:t>
            </w:r>
          </w:p>
        </w:tc>
        <w:tc>
          <w:tcPr>
            <w:tcW w:w="0" w:type="auto"/>
            <w:tcBorders>
              <w:top w:val="single" w:sz="8" w:space="0" w:color="FFFFFF"/>
              <w:left w:val="single" w:sz="8" w:space="0" w:color="FFFFFF"/>
              <w:bottom w:val="single" w:sz="18" w:space="0" w:color="000000"/>
              <w:right w:val="single" w:sz="8" w:space="0" w:color="FFFFFF"/>
            </w:tcBorders>
            <w:tcMar>
              <w:top w:w="100" w:type="dxa"/>
              <w:left w:w="100" w:type="dxa"/>
              <w:bottom w:w="100" w:type="dxa"/>
              <w:right w:w="100" w:type="dxa"/>
            </w:tcMar>
            <w:hideMark/>
          </w:tcPr>
          <w:p w14:paraId="0F753FF9" w14:textId="77777777" w:rsidR="001210D8" w:rsidRPr="001210D8" w:rsidRDefault="001210D8" w:rsidP="001210D8">
            <w:pPr>
              <w:jc w:val="center"/>
            </w:pPr>
            <w:r w:rsidRPr="001210D8">
              <w:rPr>
                <w:rFonts w:ascii="Arial" w:hAnsi="Arial" w:cs="Arial"/>
                <w:color w:val="000000"/>
                <w:sz w:val="22"/>
                <w:szCs w:val="22"/>
              </w:rPr>
              <w:t>z</w:t>
            </w:r>
          </w:p>
        </w:tc>
        <w:tc>
          <w:tcPr>
            <w:tcW w:w="0" w:type="auto"/>
            <w:tcBorders>
              <w:top w:val="single" w:sz="8" w:space="0" w:color="FFFFFF"/>
              <w:left w:val="single" w:sz="8" w:space="0" w:color="FFFFFF"/>
              <w:bottom w:val="single" w:sz="18" w:space="0" w:color="000000"/>
              <w:right w:val="single" w:sz="8" w:space="0" w:color="FFFFFF"/>
            </w:tcBorders>
            <w:tcMar>
              <w:top w:w="100" w:type="dxa"/>
              <w:left w:w="100" w:type="dxa"/>
              <w:bottom w:w="100" w:type="dxa"/>
              <w:right w:w="100" w:type="dxa"/>
            </w:tcMar>
            <w:hideMark/>
          </w:tcPr>
          <w:p w14:paraId="2023F7B8" w14:textId="77777777" w:rsidR="001210D8" w:rsidRPr="001210D8" w:rsidRDefault="001210D8" w:rsidP="001210D8">
            <w:pPr>
              <w:jc w:val="center"/>
            </w:pPr>
            <w:r w:rsidRPr="001210D8">
              <w:rPr>
                <w:rFonts w:ascii="Arial" w:hAnsi="Arial" w:cs="Arial"/>
                <w:color w:val="000000"/>
                <w:sz w:val="22"/>
                <w:szCs w:val="22"/>
              </w:rPr>
              <w:t>Label</w:t>
            </w:r>
          </w:p>
        </w:tc>
      </w:tr>
      <w:tr w:rsidR="001210D8" w:rsidRPr="001210D8" w14:paraId="4AC9952B" w14:textId="77777777" w:rsidTr="001210D8">
        <w:tc>
          <w:tcPr>
            <w:tcW w:w="0" w:type="auto"/>
            <w:tcBorders>
              <w:top w:val="single" w:sz="18" w:space="0" w:color="000000"/>
              <w:left w:val="single" w:sz="8" w:space="0" w:color="FFFFFF"/>
              <w:bottom w:val="single" w:sz="8" w:space="0" w:color="FFFFFF"/>
              <w:right w:val="single" w:sz="12" w:space="0" w:color="000000"/>
            </w:tcBorders>
            <w:tcMar>
              <w:top w:w="100" w:type="dxa"/>
              <w:left w:w="100" w:type="dxa"/>
              <w:bottom w:w="100" w:type="dxa"/>
              <w:right w:w="100" w:type="dxa"/>
            </w:tcMar>
            <w:hideMark/>
          </w:tcPr>
          <w:p w14:paraId="0870F90A" w14:textId="77777777" w:rsidR="001210D8" w:rsidRPr="001210D8" w:rsidRDefault="001210D8" w:rsidP="001210D8">
            <w:r w:rsidRPr="001210D8">
              <w:rPr>
                <w:rFonts w:ascii="Arial" w:hAnsi="Arial" w:cs="Arial"/>
                <w:color w:val="000000"/>
                <w:sz w:val="22"/>
                <w:szCs w:val="22"/>
              </w:rPr>
              <w:t>G1-G3</w:t>
            </w:r>
          </w:p>
        </w:tc>
        <w:tc>
          <w:tcPr>
            <w:tcW w:w="0" w:type="auto"/>
            <w:tcBorders>
              <w:top w:val="single" w:sz="18" w:space="0" w:color="000000"/>
              <w:left w:val="single" w:sz="12" w:space="0" w:color="000000"/>
              <w:bottom w:val="single" w:sz="8" w:space="0" w:color="FFFFFF"/>
              <w:right w:val="single" w:sz="8" w:space="0" w:color="FFFFFF"/>
            </w:tcBorders>
            <w:tcMar>
              <w:top w:w="100" w:type="dxa"/>
              <w:left w:w="100" w:type="dxa"/>
              <w:bottom w:w="100" w:type="dxa"/>
              <w:right w:w="100" w:type="dxa"/>
            </w:tcMar>
            <w:hideMark/>
          </w:tcPr>
          <w:p w14:paraId="710EA3AF" w14:textId="77777777" w:rsidR="001210D8" w:rsidRPr="001210D8" w:rsidRDefault="001210D8" w:rsidP="001210D8">
            <w:pPr>
              <w:jc w:val="center"/>
            </w:pPr>
            <w:r w:rsidRPr="001210D8">
              <w:rPr>
                <w:rFonts w:ascii="Arial" w:hAnsi="Arial" w:cs="Arial"/>
                <w:color w:val="000000"/>
                <w:sz w:val="22"/>
                <w:szCs w:val="22"/>
              </w:rPr>
              <w:t>-5.615</w:t>
            </w:r>
          </w:p>
        </w:tc>
        <w:tc>
          <w:tcPr>
            <w:tcW w:w="0" w:type="auto"/>
            <w:tcBorders>
              <w:top w:val="single" w:sz="1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59AA7379" w14:textId="77777777" w:rsidR="001210D8" w:rsidRPr="001210D8" w:rsidRDefault="001210D8" w:rsidP="001210D8">
            <w:pPr>
              <w:jc w:val="center"/>
            </w:pPr>
            <w:r w:rsidRPr="001210D8">
              <w:rPr>
                <w:rFonts w:ascii="Arial" w:hAnsi="Arial" w:cs="Arial"/>
                <w:color w:val="000000"/>
                <w:sz w:val="22"/>
                <w:szCs w:val="22"/>
              </w:rPr>
              <w:t>164.71</w:t>
            </w:r>
          </w:p>
        </w:tc>
        <w:tc>
          <w:tcPr>
            <w:tcW w:w="0" w:type="auto"/>
            <w:tcBorders>
              <w:top w:val="single" w:sz="1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7B1CCF61" w14:textId="77777777" w:rsidR="001210D8" w:rsidRPr="001210D8" w:rsidRDefault="001210D8" w:rsidP="001210D8">
            <w:pPr>
              <w:jc w:val="center"/>
            </w:pPr>
            <w:r w:rsidRPr="001210D8">
              <w:rPr>
                <w:rFonts w:ascii="Arial" w:hAnsi="Arial" w:cs="Arial"/>
                <w:color w:val="000000"/>
                <w:sz w:val="22"/>
                <w:szCs w:val="22"/>
              </w:rPr>
              <w:t>-38.8</w:t>
            </w:r>
          </w:p>
        </w:tc>
        <w:tc>
          <w:tcPr>
            <w:tcW w:w="0" w:type="auto"/>
            <w:tcBorders>
              <w:top w:val="single" w:sz="1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1B4CC80F" w14:textId="77777777" w:rsidR="001210D8" w:rsidRPr="001210D8" w:rsidRDefault="001210D8" w:rsidP="001210D8">
            <w:pPr>
              <w:jc w:val="center"/>
            </w:pPr>
            <w:r w:rsidRPr="001210D8">
              <w:rPr>
                <w:rFonts w:ascii="Arial" w:hAnsi="Arial" w:cs="Arial"/>
                <w:color w:val="000000"/>
                <w:sz w:val="22"/>
                <w:szCs w:val="22"/>
              </w:rPr>
              <w:t>-80.7</w:t>
            </w:r>
          </w:p>
        </w:tc>
        <w:tc>
          <w:tcPr>
            <w:tcW w:w="0" w:type="auto"/>
            <w:tcBorders>
              <w:top w:val="single" w:sz="1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6BA398D3" w14:textId="77777777" w:rsidR="001210D8" w:rsidRPr="001210D8" w:rsidRDefault="001210D8" w:rsidP="001210D8">
            <w:pPr>
              <w:jc w:val="center"/>
            </w:pPr>
            <w:r w:rsidRPr="001210D8">
              <w:rPr>
                <w:rFonts w:ascii="Arial" w:hAnsi="Arial" w:cs="Arial"/>
                <w:color w:val="000000"/>
                <w:sz w:val="22"/>
                <w:szCs w:val="22"/>
              </w:rPr>
              <w:t>5.1</w:t>
            </w:r>
          </w:p>
        </w:tc>
        <w:tc>
          <w:tcPr>
            <w:tcW w:w="0" w:type="auto"/>
            <w:tcBorders>
              <w:top w:val="single" w:sz="1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7E2ACB63" w14:textId="77777777" w:rsidR="001210D8" w:rsidRPr="001210D8" w:rsidRDefault="001210D8" w:rsidP="001210D8">
            <w:pPr>
              <w:jc w:val="center"/>
            </w:pPr>
            <w:r w:rsidRPr="001210D8">
              <w:rPr>
                <w:rFonts w:ascii="Arial" w:hAnsi="Arial" w:cs="Arial"/>
                <w:color w:val="000000"/>
                <w:sz w:val="22"/>
                <w:szCs w:val="22"/>
              </w:rPr>
              <w:t>Lateral Occipital</w:t>
            </w:r>
          </w:p>
        </w:tc>
      </w:tr>
      <w:tr w:rsidR="001210D8" w:rsidRPr="001210D8" w14:paraId="5D379782" w14:textId="77777777" w:rsidTr="001210D8">
        <w:tc>
          <w:tcPr>
            <w:tcW w:w="0" w:type="auto"/>
            <w:tcBorders>
              <w:top w:val="single" w:sz="8" w:space="0" w:color="FFFFFF"/>
              <w:left w:val="single" w:sz="8" w:space="0" w:color="FFFFFF"/>
              <w:bottom w:val="single" w:sz="8" w:space="0" w:color="FFFFFF"/>
              <w:right w:val="single" w:sz="12" w:space="0" w:color="000000"/>
            </w:tcBorders>
            <w:tcMar>
              <w:top w:w="100" w:type="dxa"/>
              <w:left w:w="100" w:type="dxa"/>
              <w:bottom w:w="100" w:type="dxa"/>
              <w:right w:w="100" w:type="dxa"/>
            </w:tcMar>
            <w:hideMark/>
          </w:tcPr>
          <w:p w14:paraId="326C645E" w14:textId="77777777" w:rsidR="001210D8" w:rsidRPr="001210D8" w:rsidRDefault="001210D8" w:rsidP="001210D8">
            <w:r w:rsidRPr="001210D8">
              <w:rPr>
                <w:rFonts w:ascii="Arial" w:hAnsi="Arial" w:cs="Arial"/>
                <w:color w:val="000000"/>
                <w:sz w:val="22"/>
                <w:szCs w:val="22"/>
              </w:rPr>
              <w:t>G1-G4</w:t>
            </w:r>
          </w:p>
        </w:tc>
        <w:tc>
          <w:tcPr>
            <w:tcW w:w="0" w:type="auto"/>
            <w:tcBorders>
              <w:top w:val="single" w:sz="8" w:space="0" w:color="FFFFFF"/>
              <w:left w:val="single" w:sz="12" w:space="0" w:color="000000"/>
              <w:bottom w:val="single" w:sz="8" w:space="0" w:color="FFFFFF"/>
              <w:right w:val="single" w:sz="8" w:space="0" w:color="FFFFFF"/>
            </w:tcBorders>
            <w:tcMar>
              <w:top w:w="100" w:type="dxa"/>
              <w:left w:w="100" w:type="dxa"/>
              <w:bottom w:w="100" w:type="dxa"/>
              <w:right w:w="100" w:type="dxa"/>
            </w:tcMar>
            <w:hideMark/>
          </w:tcPr>
          <w:p w14:paraId="03534A83" w14:textId="77777777" w:rsidR="001210D8" w:rsidRPr="001210D8" w:rsidRDefault="001210D8" w:rsidP="001210D8">
            <w:pPr>
              <w:jc w:val="center"/>
            </w:pPr>
            <w:r w:rsidRPr="001210D8">
              <w:rPr>
                <w:rFonts w:ascii="Arial" w:hAnsi="Arial" w:cs="Arial"/>
                <w:color w:val="000000"/>
                <w:sz w:val="22"/>
                <w:szCs w:val="22"/>
              </w:rPr>
              <w:t>6.745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D5E2755" w14:textId="77777777" w:rsidR="001210D8" w:rsidRPr="001210D8" w:rsidRDefault="001210D8" w:rsidP="001210D8">
            <w:pPr>
              <w:jc w:val="center"/>
            </w:pPr>
            <w:r w:rsidRPr="001210D8">
              <w:rPr>
                <w:rFonts w:ascii="Arial" w:hAnsi="Arial" w:cs="Arial"/>
                <w:color w:val="000000"/>
                <w:sz w:val="22"/>
                <w:szCs w:val="22"/>
              </w:rPr>
              <w:t>337.56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017B403" w14:textId="77777777" w:rsidR="001210D8" w:rsidRPr="001210D8" w:rsidRDefault="001210D8" w:rsidP="001210D8">
            <w:pPr>
              <w:jc w:val="center"/>
            </w:pPr>
            <w:r w:rsidRPr="001210D8">
              <w:rPr>
                <w:rFonts w:ascii="Arial" w:hAnsi="Arial" w:cs="Arial"/>
                <w:color w:val="000000"/>
                <w:sz w:val="22"/>
                <w:szCs w:val="22"/>
              </w:rPr>
              <w:t>30.2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861902F" w14:textId="77777777" w:rsidR="001210D8" w:rsidRPr="001210D8" w:rsidRDefault="001210D8" w:rsidP="001210D8">
            <w:pPr>
              <w:jc w:val="center"/>
            </w:pPr>
            <w:r w:rsidRPr="001210D8">
              <w:rPr>
                <w:rFonts w:ascii="Arial" w:hAnsi="Arial" w:cs="Arial"/>
                <w:color w:val="000000"/>
                <w:sz w:val="22"/>
                <w:szCs w:val="22"/>
              </w:rPr>
              <w:t>-56.0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E544A6" w14:textId="77777777" w:rsidR="001210D8" w:rsidRPr="001210D8" w:rsidRDefault="001210D8" w:rsidP="001210D8">
            <w:pPr>
              <w:jc w:val="center"/>
            </w:pPr>
            <w:r w:rsidRPr="001210D8">
              <w:rPr>
                <w:rFonts w:ascii="Arial" w:hAnsi="Arial" w:cs="Arial"/>
                <w:color w:val="000000"/>
                <w:sz w:val="22"/>
                <w:szCs w:val="22"/>
              </w:rPr>
              <w:t>-5.2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3876B98" w14:textId="77777777" w:rsidR="001210D8" w:rsidRPr="001210D8" w:rsidRDefault="001210D8" w:rsidP="001210D8">
            <w:pPr>
              <w:jc w:val="center"/>
            </w:pPr>
            <w:r w:rsidRPr="001210D8">
              <w:rPr>
                <w:rFonts w:ascii="Arial" w:hAnsi="Arial" w:cs="Arial"/>
                <w:color w:val="000000"/>
                <w:sz w:val="22"/>
                <w:szCs w:val="22"/>
              </w:rPr>
              <w:t>Lingual</w:t>
            </w:r>
          </w:p>
        </w:tc>
      </w:tr>
      <w:tr w:rsidR="001210D8" w:rsidRPr="001210D8" w14:paraId="01CAEC95" w14:textId="77777777" w:rsidTr="001210D8">
        <w:tc>
          <w:tcPr>
            <w:tcW w:w="0" w:type="auto"/>
            <w:tcBorders>
              <w:top w:val="single" w:sz="8" w:space="0" w:color="FFFFFF"/>
              <w:left w:val="single" w:sz="8" w:space="0" w:color="FFFFFF"/>
              <w:bottom w:val="single" w:sz="8" w:space="0" w:color="FFFFFF"/>
              <w:right w:val="single" w:sz="12" w:space="0" w:color="000000"/>
            </w:tcBorders>
            <w:tcMar>
              <w:top w:w="100" w:type="dxa"/>
              <w:left w:w="100" w:type="dxa"/>
              <w:bottom w:w="100" w:type="dxa"/>
              <w:right w:w="100" w:type="dxa"/>
            </w:tcMar>
            <w:hideMark/>
          </w:tcPr>
          <w:p w14:paraId="38BC48A5" w14:textId="77777777" w:rsidR="001210D8" w:rsidRPr="001210D8" w:rsidRDefault="001210D8" w:rsidP="001210D8">
            <w:r w:rsidRPr="001210D8">
              <w:rPr>
                <w:rFonts w:ascii="Arial" w:hAnsi="Arial" w:cs="Arial"/>
                <w:color w:val="000000"/>
                <w:sz w:val="22"/>
                <w:szCs w:val="22"/>
              </w:rPr>
              <w:t>G2-G3</w:t>
            </w:r>
          </w:p>
        </w:tc>
        <w:tc>
          <w:tcPr>
            <w:tcW w:w="0" w:type="auto"/>
            <w:tcBorders>
              <w:top w:val="single" w:sz="8" w:space="0" w:color="FFFFFF"/>
              <w:left w:val="single" w:sz="12" w:space="0" w:color="000000"/>
              <w:bottom w:val="single" w:sz="8" w:space="0" w:color="FFFFFF"/>
              <w:right w:val="single" w:sz="8" w:space="0" w:color="FFFFFF"/>
            </w:tcBorders>
            <w:tcMar>
              <w:top w:w="100" w:type="dxa"/>
              <w:left w:w="100" w:type="dxa"/>
              <w:bottom w:w="100" w:type="dxa"/>
              <w:right w:w="100" w:type="dxa"/>
            </w:tcMar>
            <w:hideMark/>
          </w:tcPr>
          <w:p w14:paraId="2A3BA36E" w14:textId="77777777" w:rsidR="001210D8" w:rsidRPr="001210D8" w:rsidRDefault="001210D8" w:rsidP="001210D8">
            <w:pPr>
              <w:jc w:val="center"/>
            </w:pPr>
            <w:r w:rsidRPr="001210D8">
              <w:rPr>
                <w:rFonts w:ascii="Arial" w:hAnsi="Arial" w:cs="Arial"/>
                <w:color w:val="000000"/>
                <w:sz w:val="22"/>
                <w:szCs w:val="22"/>
              </w:rPr>
              <w:t>-5.984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CF9835C" w14:textId="77777777" w:rsidR="001210D8" w:rsidRPr="001210D8" w:rsidRDefault="001210D8" w:rsidP="001210D8">
            <w:pPr>
              <w:jc w:val="center"/>
            </w:pPr>
            <w:r w:rsidRPr="001210D8">
              <w:rPr>
                <w:rFonts w:ascii="Arial" w:hAnsi="Arial" w:cs="Arial"/>
                <w:color w:val="000000"/>
                <w:sz w:val="22"/>
                <w:szCs w:val="22"/>
              </w:rPr>
              <w:t>285.47</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B313671" w14:textId="77777777" w:rsidR="001210D8" w:rsidRPr="001210D8" w:rsidRDefault="001210D8" w:rsidP="001210D8">
            <w:pPr>
              <w:jc w:val="center"/>
            </w:pPr>
            <w:r w:rsidRPr="001210D8">
              <w:rPr>
                <w:rFonts w:ascii="Arial" w:hAnsi="Arial" w:cs="Arial"/>
                <w:color w:val="000000"/>
                <w:sz w:val="22"/>
                <w:szCs w:val="22"/>
              </w:rPr>
              <w:t>-37.2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A02549B" w14:textId="77777777" w:rsidR="001210D8" w:rsidRPr="001210D8" w:rsidRDefault="001210D8" w:rsidP="001210D8">
            <w:pPr>
              <w:jc w:val="center"/>
            </w:pPr>
            <w:r w:rsidRPr="001210D8">
              <w:rPr>
                <w:rFonts w:ascii="Arial" w:hAnsi="Arial" w:cs="Arial"/>
                <w:color w:val="000000"/>
                <w:sz w:val="22"/>
                <w:szCs w:val="22"/>
              </w:rPr>
              <w:t>-82.4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674AA0E" w14:textId="77777777" w:rsidR="001210D8" w:rsidRPr="001210D8" w:rsidRDefault="001210D8" w:rsidP="001210D8">
            <w:pPr>
              <w:jc w:val="center"/>
            </w:pPr>
            <w:r w:rsidRPr="001210D8">
              <w:rPr>
                <w:rFonts w:ascii="Arial" w:hAnsi="Arial" w:cs="Arial"/>
                <w:color w:val="000000"/>
                <w:sz w:val="22"/>
                <w:szCs w:val="22"/>
              </w:rPr>
              <w:t>3.2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4ACBC91" w14:textId="77777777" w:rsidR="001210D8" w:rsidRPr="001210D8" w:rsidRDefault="001210D8" w:rsidP="001210D8">
            <w:pPr>
              <w:jc w:val="center"/>
            </w:pPr>
            <w:r w:rsidRPr="001210D8">
              <w:rPr>
                <w:rFonts w:ascii="Arial" w:hAnsi="Arial" w:cs="Arial"/>
                <w:color w:val="000000"/>
                <w:sz w:val="22"/>
                <w:szCs w:val="22"/>
              </w:rPr>
              <w:t>Lateral Occipital</w:t>
            </w:r>
          </w:p>
        </w:tc>
      </w:tr>
    </w:tbl>
    <w:p w14:paraId="4690E31F" w14:textId="77777777" w:rsidR="001210D8" w:rsidRDefault="001210D8" w:rsidP="00B7256B">
      <w:pPr>
        <w:spacing w:line="480" w:lineRule="auto"/>
        <w:rPr>
          <w:b/>
        </w:rPr>
      </w:pPr>
    </w:p>
    <w:p w14:paraId="388AEFE5" w14:textId="77777777" w:rsidR="001210D8" w:rsidRPr="00166820" w:rsidRDefault="001210D8" w:rsidP="00166820">
      <w:pPr>
        <w:spacing w:line="480" w:lineRule="auto"/>
        <w:jc w:val="both"/>
        <w:outlineLvl w:val="3"/>
        <w:rPr>
          <w:b/>
          <w:bCs/>
          <w:i/>
        </w:rPr>
      </w:pPr>
      <w:r w:rsidRPr="00166820">
        <w:rPr>
          <w:b/>
          <w:i/>
        </w:rPr>
        <w:t>Picker subtypes</w:t>
      </w:r>
    </w:p>
    <w:p w14:paraId="4521EC59" w14:textId="76D037CD" w:rsidR="001210D8" w:rsidRPr="00166820" w:rsidRDefault="001210D8" w:rsidP="00166820">
      <w:pPr>
        <w:spacing w:line="480" w:lineRule="auto"/>
        <w:ind w:firstLine="720"/>
        <w:jc w:val="both"/>
      </w:pPr>
      <w:r w:rsidRPr="00166820">
        <w:t xml:space="preserve">No regions showed </w:t>
      </w:r>
      <w:r w:rsidR="00FD3BC1">
        <w:t xml:space="preserve">robust </w:t>
      </w:r>
      <w:r w:rsidRPr="00166820">
        <w:t xml:space="preserve">significant </w:t>
      </w:r>
      <w:r w:rsidR="00FD3BC1">
        <w:t xml:space="preserve">group </w:t>
      </w:r>
      <w:r w:rsidRPr="00166820">
        <w:t>differences</w:t>
      </w:r>
      <w:r w:rsidR="00FD3BC1">
        <w:t xml:space="preserve"> at the rigorous criteria thresholds</w:t>
      </w:r>
      <w:r w:rsidRPr="00166820">
        <w:t xml:space="preserve">. Some regions showed small volumetric differences between group 1 </w:t>
      </w:r>
      <w:r w:rsidR="00227F05">
        <w:lastRenderedPageBreak/>
        <w:t xml:space="preserve">(controls) </w:t>
      </w:r>
      <w:r w:rsidRPr="00166820">
        <w:t xml:space="preserve">and group 3 </w:t>
      </w:r>
      <w:r w:rsidR="00227F05">
        <w:t xml:space="preserve">(emotional/reward pickers) </w:t>
      </w:r>
      <w:r w:rsidRPr="00166820">
        <w:t>but these</w:t>
      </w:r>
      <w:r w:rsidR="00FD3BC1">
        <w:t xml:space="preserve"> did not retain significance</w:t>
      </w:r>
      <w:r w:rsidRPr="00166820">
        <w:t xml:space="preserve"> at the coarse smoothness level of 15 mm FWMH (see supplementary material).</w:t>
      </w:r>
    </w:p>
    <w:p w14:paraId="53AA3FC2" w14:textId="77777777" w:rsidR="001210D8" w:rsidRPr="00166820" w:rsidRDefault="001210D8" w:rsidP="00166820">
      <w:pPr>
        <w:spacing w:line="480" w:lineRule="auto"/>
        <w:rPr>
          <w:b/>
        </w:rPr>
      </w:pPr>
    </w:p>
    <w:p w14:paraId="722C57E4" w14:textId="430BB032" w:rsidR="00CC067C" w:rsidRDefault="00CC067C" w:rsidP="00C805F9">
      <w:pPr>
        <w:spacing w:line="480" w:lineRule="auto"/>
        <w:rPr>
          <w:b/>
          <w:lang w:val="en-GB"/>
        </w:rPr>
      </w:pPr>
      <w:r w:rsidRPr="00CC067C">
        <w:rPr>
          <w:b/>
          <w:lang w:val="en-GB"/>
        </w:rPr>
        <w:t>Discussion</w:t>
      </w:r>
    </w:p>
    <w:p w14:paraId="2D53DBE2" w14:textId="073DCD02" w:rsidR="00334416" w:rsidRDefault="00334416" w:rsidP="004A6AEB">
      <w:pPr>
        <w:spacing w:line="480" w:lineRule="auto"/>
        <w:ind w:firstLine="720"/>
      </w:pPr>
      <w:r>
        <w:rPr>
          <w:lang w:val="en-GB"/>
        </w:rPr>
        <w:t xml:space="preserve">This study is the first in the area of BFRBs to examine whether the clinical subtypes of pulling and picking have distinct neurobiological </w:t>
      </w:r>
      <w:r w:rsidR="000617E5">
        <w:rPr>
          <w:lang w:val="en-GB"/>
        </w:rPr>
        <w:t>profiles</w:t>
      </w:r>
      <w:r>
        <w:rPr>
          <w:lang w:val="en-GB"/>
        </w:rPr>
        <w:t xml:space="preserve">. Partially supportive of our hypotheses, we found that two subtypes of people with TTM had distinct </w:t>
      </w:r>
      <w:r w:rsidR="00461C4E">
        <w:rPr>
          <w:lang w:val="en-GB"/>
        </w:rPr>
        <w:t>structural</w:t>
      </w:r>
      <w:r>
        <w:rPr>
          <w:lang w:val="en-GB"/>
        </w:rPr>
        <w:t xml:space="preserve"> findings on MRI. First, </w:t>
      </w:r>
      <w:r>
        <w:t xml:space="preserve">low awareness </w:t>
      </w:r>
      <w:r w:rsidR="000617E5">
        <w:t xml:space="preserve">hair </w:t>
      </w:r>
      <w:r>
        <w:t>pullers demonstrated</w:t>
      </w:r>
      <w:r w:rsidRPr="00166820">
        <w:t xml:space="preserve"> increased cortical volume in the lateral occipital lobe</w:t>
      </w:r>
      <w:r>
        <w:t xml:space="preserve">. Low awareness </w:t>
      </w:r>
      <w:r w:rsidR="000617E5">
        <w:t xml:space="preserve">hair </w:t>
      </w:r>
      <w:r>
        <w:t>pullers appear to be the most common subtype of TTM and are best characterized as having more automatic</w:t>
      </w:r>
      <w:r w:rsidR="003A2A4B">
        <w:t xml:space="preserve"> hair</w:t>
      </w:r>
      <w:r>
        <w:t xml:space="preserve"> pulling, and more pulling due to emotional triggers.</w:t>
      </w:r>
      <w:r w:rsidR="004A6AEB" w:rsidRPr="004A6AEB">
        <w:t xml:space="preserve"> </w:t>
      </w:r>
      <w:r w:rsidR="00461C4E">
        <w:t xml:space="preserve">In addition to </w:t>
      </w:r>
      <w:r w:rsidR="004A6AEB" w:rsidRPr="004A6AEB">
        <w:t xml:space="preserve">visual perception, the lateral occipital cortex </w:t>
      </w:r>
      <w:r w:rsidR="008D2425">
        <w:t xml:space="preserve">is involved in </w:t>
      </w:r>
      <w:r w:rsidR="00461C4E">
        <w:t>touch</w:t>
      </w:r>
      <w:r w:rsidR="008D2425">
        <w:t>-</w:t>
      </w:r>
      <w:r w:rsidR="00461C4E">
        <w:t xml:space="preserve"> and proprioception-</w:t>
      </w:r>
      <w:r w:rsidR="004A6AEB" w:rsidRPr="004A6AEB">
        <w:t xml:space="preserve">related sensory activation. </w:t>
      </w:r>
    </w:p>
    <w:p w14:paraId="7C2330DE" w14:textId="32AC4C61" w:rsidR="004856DA" w:rsidRDefault="002302AC" w:rsidP="00461C4E">
      <w:pPr>
        <w:spacing w:line="480" w:lineRule="auto"/>
        <w:ind w:firstLine="720"/>
      </w:pPr>
      <w:r>
        <w:t>The other key finding was that</w:t>
      </w:r>
      <w:r w:rsidRPr="002302AC">
        <w:t xml:space="preserve"> </w:t>
      </w:r>
      <w:r>
        <w:t xml:space="preserve">our data demonstrate that impulsive/perfectionist </w:t>
      </w:r>
      <w:r w:rsidR="009C54C3">
        <w:t xml:space="preserve">hair </w:t>
      </w:r>
      <w:r>
        <w:t xml:space="preserve">pullers </w:t>
      </w:r>
      <w:r w:rsidRPr="00166820">
        <w:t>show</w:t>
      </w:r>
      <w:r>
        <w:t>ed</w:t>
      </w:r>
      <w:r w:rsidRPr="00166820">
        <w:t xml:space="preserve"> relative</w:t>
      </w:r>
      <w:r>
        <w:t>ly</w:t>
      </w:r>
      <w:r w:rsidRPr="00166820">
        <w:t xml:space="preserve"> decreased volume near the lingual gyrus of the inferior occipital-parietal lobe</w:t>
      </w:r>
      <w:r>
        <w:t xml:space="preserve"> compared to controls</w:t>
      </w:r>
      <w:r w:rsidRPr="00461C4E">
        <w:t xml:space="preserve"> </w:t>
      </w:r>
      <w:r>
        <w:t xml:space="preserve">and </w:t>
      </w:r>
      <w:r w:rsidRPr="00166820">
        <w:t xml:space="preserve">relative to </w:t>
      </w:r>
      <w:r>
        <w:t>sensory sensitive pullers</w:t>
      </w:r>
      <w:r w:rsidRPr="00166820">
        <w:t>.</w:t>
      </w:r>
      <w:r>
        <w:t xml:space="preserve"> </w:t>
      </w:r>
      <w:r w:rsidRPr="004856DA">
        <w:t xml:space="preserve"> </w:t>
      </w:r>
      <w:r w:rsidR="00461C4E">
        <w:t>Re</w:t>
      </w:r>
      <w:r w:rsidR="004856DA">
        <w:t>search consistently shows that the lingual gyrus is associated with visual memory and motion imagery</w:t>
      </w:r>
      <w:r>
        <w:t>.  Additionally, there is some indication that the lingual gyrus plays a role in response inhibition in the context of negative emotions</w:t>
      </w:r>
      <w:r w:rsidR="00AE5F1B">
        <w:rPr>
          <w:vertAlign w:val="superscript"/>
        </w:rPr>
        <w:t>26</w:t>
      </w:r>
      <w:r>
        <w:t xml:space="preserve"> and in reward processing</w:t>
      </w:r>
      <w:r w:rsidR="00AE5F1B">
        <w:t>.</w:t>
      </w:r>
      <w:r w:rsidR="00AE5F1B">
        <w:rPr>
          <w:vertAlign w:val="superscript"/>
        </w:rPr>
        <w:t>27</w:t>
      </w:r>
      <w:r>
        <w:t xml:space="preserve">  Adults with TTM have demonstrated deficits in response inhibition</w:t>
      </w:r>
      <w:r w:rsidR="00AE5F1B">
        <w:rPr>
          <w:vertAlign w:val="superscript"/>
        </w:rPr>
        <w:t>28</w:t>
      </w:r>
      <w:r w:rsidR="009C54C3">
        <w:t xml:space="preserve"> compared to individuals with no family history of BFRBs,</w:t>
      </w:r>
      <w:r>
        <w:t xml:space="preserve"> and have exhibited dysfunctional reward processing as well</w:t>
      </w:r>
      <w:r w:rsidR="00AE5F1B">
        <w:t>.</w:t>
      </w:r>
      <w:r w:rsidR="00AE5F1B">
        <w:rPr>
          <w:vertAlign w:val="superscript"/>
        </w:rPr>
        <w:t>29</w:t>
      </w:r>
      <w:r>
        <w:t xml:space="preserve">  The fact that certain findings such as response inhibition have been somewhat mixed in TTM</w:t>
      </w:r>
      <w:r w:rsidR="00AE5F1B">
        <w:rPr>
          <w:vertAlign w:val="superscript"/>
        </w:rPr>
        <w:t>30</w:t>
      </w:r>
      <w:r>
        <w:t xml:space="preserve"> may speak to the fact that earlier studies were unaware of </w:t>
      </w:r>
      <w:r>
        <w:lastRenderedPageBreak/>
        <w:t>subtypes and that</w:t>
      </w:r>
      <w:r w:rsidR="008E2C7D">
        <w:t xml:space="preserve"> the impulsive/perfectionist subtype may be more likely to demonstrate these deficits.</w:t>
      </w:r>
      <w:r w:rsidR="009C54C3">
        <w:t xml:space="preserve"> </w:t>
      </w:r>
    </w:p>
    <w:p w14:paraId="15F7D1A2" w14:textId="6D34351B" w:rsidR="009C687C" w:rsidRDefault="009C687C" w:rsidP="009C687C">
      <w:pPr>
        <w:spacing w:line="480" w:lineRule="auto"/>
        <w:ind w:firstLine="720"/>
        <w:rPr>
          <w:lang w:val="en-GB"/>
        </w:rPr>
      </w:pPr>
      <w:r>
        <w:t xml:space="preserve">Taken together, what do we make of these findings?  These data are important because they show, albeit in small ways, that the clinical heterogeneity </w:t>
      </w:r>
      <w:r w:rsidR="009C54C3">
        <w:t>previously</w:t>
      </w:r>
      <w:r>
        <w:t xml:space="preserve"> found in TTM may have</w:t>
      </w:r>
      <w:r w:rsidR="009C54C3">
        <w:t xml:space="preserve"> partially</w:t>
      </w:r>
      <w:r>
        <w:t xml:space="preserve"> distinct biological underpinnings. These particular volumetric differences may however only be part of the larger picture as it is doubtful that size of any single area tells the complete picture.  In fact, we have yet to examine other factors such as white matter integrity and functional connectivity and so this is likely the first finding of a yet to be determined complex understanding of the clinical heterogeneity of TTM.</w:t>
      </w:r>
      <w:r w:rsidRPr="009C687C">
        <w:rPr>
          <w:lang w:val="en-GB"/>
        </w:rPr>
        <w:t xml:space="preserve"> </w:t>
      </w:r>
      <w:r>
        <w:rPr>
          <w:lang w:val="en-GB"/>
        </w:rPr>
        <w:t xml:space="preserve"> </w:t>
      </w:r>
    </w:p>
    <w:p w14:paraId="60837E51" w14:textId="71CFC1BA" w:rsidR="009C687C" w:rsidRDefault="009C687C" w:rsidP="009C687C">
      <w:pPr>
        <w:spacing w:line="480" w:lineRule="auto"/>
        <w:ind w:firstLine="720"/>
      </w:pPr>
      <w:r>
        <w:rPr>
          <w:lang w:val="en-GB"/>
        </w:rPr>
        <w:t xml:space="preserve">It is also important to note </w:t>
      </w:r>
      <w:r w:rsidR="009C54C3">
        <w:rPr>
          <w:lang w:val="en-GB"/>
        </w:rPr>
        <w:t>non-significant results herein. W</w:t>
      </w:r>
      <w:r>
        <w:rPr>
          <w:lang w:val="en-GB"/>
        </w:rPr>
        <w:t>e did not find</w:t>
      </w:r>
      <w:r w:rsidR="009C54C3">
        <w:rPr>
          <w:lang w:val="en-GB"/>
        </w:rPr>
        <w:t xml:space="preserve"> </w:t>
      </w:r>
      <w:r>
        <w:rPr>
          <w:lang w:val="en-GB"/>
        </w:rPr>
        <w:t>that one s</w:t>
      </w:r>
      <w:r>
        <w:t xml:space="preserve">ubtype referred to as “sensory sensitive pullers,” </w:t>
      </w:r>
      <w:r w:rsidR="009C54C3">
        <w:t>differed from the other clinical subtypes</w:t>
      </w:r>
      <w:r>
        <w:t xml:space="preserve"> or controls in any structural manner. Similarly, the clinical phenotyping of skin picking disorder did not </w:t>
      </w:r>
      <w:r w:rsidR="009C54C3">
        <w:t>show significant</w:t>
      </w:r>
      <w:r>
        <w:t xml:space="preserve"> differences </w:t>
      </w:r>
      <w:r w:rsidR="009C54C3">
        <w:t xml:space="preserve">in brain structure </w:t>
      </w:r>
      <w:r>
        <w:t>in those subtypes either. Th</w:t>
      </w:r>
      <w:r w:rsidR="005E7F48">
        <w:t>e lack of structural differences in these other subtypes</w:t>
      </w:r>
      <w:r>
        <w:t xml:space="preserve"> leads to several possible explanations: perhaps these subtypes are less meaningful biologically. In fact, there was some suggestion based on the clinical phenotyping data that perhaps the subtypes of skin picking were actually reflective of symptom severity differences</w:t>
      </w:r>
      <w:r w:rsidR="00AE5F1B">
        <w:t>.</w:t>
      </w:r>
      <w:r w:rsidR="00AE5F1B">
        <w:rPr>
          <w:vertAlign w:val="superscript"/>
        </w:rPr>
        <w:t>21</w:t>
      </w:r>
      <w:r>
        <w:t xml:space="preserve"> If so, then neuroimaging of structural biology may be </w:t>
      </w:r>
      <w:r w:rsidR="005E7F48">
        <w:t xml:space="preserve">less </w:t>
      </w:r>
      <w:r>
        <w:t xml:space="preserve">useful in understanding the picking subtypes. Another explanation is that certain subtypes may </w:t>
      </w:r>
      <w:r w:rsidR="005E7F48">
        <w:t xml:space="preserve">have </w:t>
      </w:r>
      <w:r>
        <w:t>more</w:t>
      </w:r>
      <w:r w:rsidR="005E7F48">
        <w:t xml:space="preserve"> </w:t>
      </w:r>
      <w:r>
        <w:t xml:space="preserve">subtle </w:t>
      </w:r>
      <w:r w:rsidR="005E7F48">
        <w:t>biological differences</w:t>
      </w:r>
      <w:r>
        <w:t xml:space="preserve"> and thereby require </w:t>
      </w:r>
      <w:r w:rsidR="005E7F48">
        <w:t xml:space="preserve">a larger sample or a different imaging modality. </w:t>
      </w:r>
    </w:p>
    <w:p w14:paraId="5684D827" w14:textId="4AE429BF" w:rsidR="009710D8" w:rsidRPr="0049368F" w:rsidRDefault="008F4661" w:rsidP="009710D8">
      <w:pPr>
        <w:autoSpaceDE w:val="0"/>
        <w:autoSpaceDN w:val="0"/>
        <w:adjustRightInd w:val="0"/>
        <w:spacing w:line="480" w:lineRule="auto"/>
        <w:rPr>
          <w:color w:val="000000"/>
        </w:rPr>
      </w:pPr>
      <w:r>
        <w:rPr>
          <w:lang w:val="en-GB"/>
        </w:rPr>
        <w:tab/>
      </w:r>
      <w:r w:rsidR="00675C0C" w:rsidRPr="0049368F">
        <w:rPr>
          <w:lang w:val="en"/>
        </w:rPr>
        <w:t xml:space="preserve">Several limitations should be considered in relation to the current study. </w:t>
      </w:r>
      <w:r w:rsidR="00F31C7A">
        <w:rPr>
          <w:lang w:val="en"/>
        </w:rPr>
        <w:t>A</w:t>
      </w:r>
      <w:r w:rsidR="009710D8" w:rsidRPr="0049368F">
        <w:rPr>
          <w:lang w:val="en"/>
        </w:rPr>
        <w:t xml:space="preserve">lthough the total size of the study was fairly large, the number of participants with individual </w:t>
      </w:r>
      <w:r w:rsidR="009710D8" w:rsidRPr="0049368F">
        <w:rPr>
          <w:lang w:val="en"/>
        </w:rPr>
        <w:lastRenderedPageBreak/>
        <w:t>BFRBs may have been too small to detect differences between th</w:t>
      </w:r>
      <w:r w:rsidR="009710D8">
        <w:rPr>
          <w:lang w:val="en"/>
        </w:rPr>
        <w:t>e subtypes</w:t>
      </w:r>
      <w:r w:rsidR="009710D8" w:rsidRPr="0049368F">
        <w:rPr>
          <w:lang w:val="en"/>
        </w:rPr>
        <w:t>.</w:t>
      </w:r>
      <w:r w:rsidR="009710D8" w:rsidRPr="0049368F">
        <w:rPr>
          <w:color w:val="222222"/>
          <w:shd w:val="clear" w:color="auto" w:fill="FFFFFF"/>
        </w:rPr>
        <w:t xml:space="preserve"> </w:t>
      </w:r>
      <w:r w:rsidR="00AE5F1B">
        <w:rPr>
          <w:color w:val="222222"/>
          <w:shd w:val="clear" w:color="auto" w:fill="FFFFFF"/>
        </w:rPr>
        <w:t>In addition, the sample was not large enough to examine the role of comorbidities. Finally, t</w:t>
      </w:r>
      <w:r w:rsidR="009710D8" w:rsidRPr="0049368F">
        <w:rPr>
          <w:color w:val="222222"/>
          <w:shd w:val="clear" w:color="auto" w:fill="FFFFFF"/>
        </w:rPr>
        <w:t>he current research was undertaken in a cohort</w:t>
      </w:r>
      <w:r w:rsidR="009710D8">
        <w:rPr>
          <w:color w:val="222222"/>
          <w:shd w:val="clear" w:color="auto" w:fill="FFFFFF"/>
        </w:rPr>
        <w:t xml:space="preserve"> that was largely female and of white racial-ethnic type and thus may not be</w:t>
      </w:r>
      <w:r w:rsidR="009710D8" w:rsidRPr="0049368F">
        <w:rPr>
          <w:color w:val="222222"/>
          <w:shd w:val="clear" w:color="auto" w:fill="FFFFFF"/>
        </w:rPr>
        <w:t xml:space="preserve"> representative of the </w:t>
      </w:r>
      <w:r w:rsidR="009710D8">
        <w:rPr>
          <w:color w:val="222222"/>
          <w:shd w:val="clear" w:color="auto" w:fill="FFFFFF"/>
        </w:rPr>
        <w:t>larger</w:t>
      </w:r>
      <w:r w:rsidR="009710D8" w:rsidRPr="0049368F">
        <w:rPr>
          <w:color w:val="222222"/>
          <w:shd w:val="clear" w:color="auto" w:fill="FFFFFF"/>
        </w:rPr>
        <w:t xml:space="preserve"> population</w:t>
      </w:r>
      <w:r w:rsidR="009710D8">
        <w:rPr>
          <w:color w:val="222222"/>
          <w:shd w:val="clear" w:color="auto" w:fill="FFFFFF"/>
        </w:rPr>
        <w:t xml:space="preserve"> of people with BFRBs</w:t>
      </w:r>
      <w:r w:rsidR="009710D8" w:rsidRPr="0049368F">
        <w:rPr>
          <w:color w:val="222222"/>
          <w:shd w:val="clear" w:color="auto" w:fill="FFFFFF"/>
        </w:rPr>
        <w:t>.</w:t>
      </w:r>
    </w:p>
    <w:p w14:paraId="4165268F" w14:textId="250C592C" w:rsidR="009710D8" w:rsidRDefault="009710D8" w:rsidP="009710D8">
      <w:pPr>
        <w:spacing w:line="480" w:lineRule="auto"/>
        <w:ind w:firstLine="720"/>
        <w:rPr>
          <w:shd w:val="clear" w:color="auto" w:fill="FFFFFF"/>
        </w:rPr>
      </w:pPr>
      <w:r>
        <w:rPr>
          <w:color w:val="2E2E2E"/>
        </w:rPr>
        <w:t xml:space="preserve">In summary, </w:t>
      </w:r>
      <w:r w:rsidR="00501D41">
        <w:rPr>
          <w:color w:val="2E2E2E"/>
        </w:rPr>
        <w:t xml:space="preserve">this is the first neuroimaging study to explore data-driven subtypes of BFRBs. We found evidence of some volumetric brain differences between specific hair pulling subtypes, which were robust with stringent statistical correction. Future work should further explore neurobiological underpinnings of BFRB subtypes using a range of imaging modalities, and explore whether the subtypes show differential response to treatments – both in terms of changes in symptoms and brain structure/function. </w:t>
      </w:r>
    </w:p>
    <w:p w14:paraId="0F33C1D9" w14:textId="1C03BD60" w:rsidR="002C25B3" w:rsidRDefault="002C25B3" w:rsidP="009710D8">
      <w:pPr>
        <w:autoSpaceDE w:val="0"/>
        <w:autoSpaceDN w:val="0"/>
        <w:adjustRightInd w:val="0"/>
        <w:spacing w:line="480" w:lineRule="auto"/>
        <w:rPr>
          <w:shd w:val="clear" w:color="auto" w:fill="FFFFFF"/>
        </w:rPr>
      </w:pPr>
      <w:r>
        <w:rPr>
          <w:shd w:val="clear" w:color="auto" w:fill="FFFFFF"/>
        </w:rPr>
        <w:br w:type="page"/>
      </w:r>
    </w:p>
    <w:p w14:paraId="02A11F87" w14:textId="77777777" w:rsidR="002C25B3" w:rsidRPr="001A7F4A" w:rsidRDefault="002C25B3" w:rsidP="002C25B3">
      <w:pPr>
        <w:pStyle w:val="CommentText"/>
        <w:ind w:left="720"/>
        <w:rPr>
          <w:sz w:val="24"/>
          <w:szCs w:val="24"/>
        </w:rPr>
      </w:pPr>
    </w:p>
    <w:p w14:paraId="793E09ED" w14:textId="77777777" w:rsidR="00FA1119" w:rsidRDefault="00FA1119" w:rsidP="00FA1119">
      <w:pPr>
        <w:ind w:left="720" w:hanging="720"/>
      </w:pPr>
      <w:r>
        <w:rPr>
          <w:b/>
          <w:i/>
        </w:rPr>
        <w:t>Acknowledgements</w:t>
      </w:r>
      <w:r w:rsidRPr="003A612C">
        <w:t>: This study was funded by the Body</w:t>
      </w:r>
      <w:r>
        <w:t>-</w:t>
      </w:r>
      <w:r w:rsidRPr="003A612C">
        <w:t xml:space="preserve">Focused Precision Medicine </w:t>
      </w:r>
    </w:p>
    <w:p w14:paraId="5C0FBDB0" w14:textId="77777777" w:rsidR="00FA1119" w:rsidRDefault="00FA1119" w:rsidP="00FA1119">
      <w:pPr>
        <w:ind w:left="720" w:hanging="720"/>
      </w:pPr>
      <w:r>
        <w:t>I</w:t>
      </w:r>
      <w:r w:rsidRPr="003A612C">
        <w:t xml:space="preserve">nitiative granted by </w:t>
      </w:r>
      <w:r>
        <w:t>T</w:t>
      </w:r>
      <w:r w:rsidRPr="003A612C">
        <w:t>he TLC Foundation for Body</w:t>
      </w:r>
      <w:r>
        <w:t>-</w:t>
      </w:r>
      <w:r w:rsidRPr="003A612C">
        <w:t xml:space="preserve">Focused Repetitive Behaviors to </w:t>
      </w:r>
    </w:p>
    <w:p w14:paraId="62ECEBC4" w14:textId="77777777" w:rsidR="00FA1119" w:rsidRDefault="00FA1119" w:rsidP="00FA1119">
      <w:pPr>
        <w:ind w:left="720" w:hanging="720"/>
      </w:pPr>
      <w:r w:rsidRPr="003A612C">
        <w:t>University of Chicago (Dr. Grant</w:t>
      </w:r>
      <w:r>
        <w:t xml:space="preserve">), Massachusetts General Hospital (MGH)/Harvard (Dr. </w:t>
      </w:r>
    </w:p>
    <w:p w14:paraId="361DAE72" w14:textId="77777777" w:rsidR="00FA1119" w:rsidRDefault="00FA1119" w:rsidP="00FA1119">
      <w:pPr>
        <w:ind w:left="720" w:hanging="720"/>
      </w:pPr>
      <w:r>
        <w:t xml:space="preserve">Keuthen), and University of California, Los Angeles (UCLA) (Dr. Piacentini). Dr. </w:t>
      </w:r>
    </w:p>
    <w:p w14:paraId="2BBA2900" w14:textId="77777777" w:rsidR="00FA1119" w:rsidRDefault="00FA1119" w:rsidP="00FA1119">
      <w:pPr>
        <w:ind w:left="720" w:hanging="720"/>
      </w:pPr>
      <w:r>
        <w:t xml:space="preserve">Chamberlain’s involvement in this study was funded by a Wellcome Trust Clinical </w:t>
      </w:r>
    </w:p>
    <w:p w14:paraId="1FC3B9D2" w14:textId="77777777" w:rsidR="00FA1119" w:rsidRDefault="00FA1119" w:rsidP="00FA1119">
      <w:pPr>
        <w:ind w:left="720" w:hanging="720"/>
      </w:pPr>
      <w:r>
        <w:t>Fellowship (refs.</w:t>
      </w:r>
      <w:r w:rsidRPr="00776AE1">
        <w:t xml:space="preserve"> 110049/Z/15/Z</w:t>
      </w:r>
      <w:r>
        <w:t xml:space="preserve"> &amp; </w:t>
      </w:r>
      <w:r w:rsidRPr="00776AE1">
        <w:t>110049/Z/15/</w:t>
      </w:r>
      <w:r>
        <w:t>A). The TLC Foundation for Body-</w:t>
      </w:r>
    </w:p>
    <w:p w14:paraId="32BC7871" w14:textId="77777777" w:rsidR="00FA1119" w:rsidRDefault="00FA1119" w:rsidP="00FA1119">
      <w:pPr>
        <w:ind w:left="720" w:hanging="720"/>
      </w:pPr>
      <w:r>
        <w:t xml:space="preserve">Focused Repetitive Behaviors had no role in the design and conduct of the study; </w:t>
      </w:r>
    </w:p>
    <w:p w14:paraId="03656803" w14:textId="77777777" w:rsidR="00FA1119" w:rsidRDefault="00FA1119" w:rsidP="00FA1119">
      <w:pPr>
        <w:ind w:left="720" w:hanging="720"/>
      </w:pPr>
      <w:r>
        <w:t xml:space="preserve">collection, management, analysis, and interpretation of the data; preparation, review, or </w:t>
      </w:r>
    </w:p>
    <w:p w14:paraId="6453F036" w14:textId="77777777" w:rsidR="00FA1119" w:rsidRDefault="00FA1119" w:rsidP="00FA1119">
      <w:pPr>
        <w:ind w:left="720" w:hanging="720"/>
      </w:pPr>
      <w:r>
        <w:t xml:space="preserve">approval of the manuscript; and decision to submit the manuscript for publication. This </w:t>
      </w:r>
    </w:p>
    <w:p w14:paraId="03333F82" w14:textId="77777777" w:rsidR="00FA1119" w:rsidRDefault="00FA1119" w:rsidP="00FA1119">
      <w:pPr>
        <w:ind w:left="720" w:hanging="720"/>
      </w:pPr>
      <w:r>
        <w:t xml:space="preserve">study was completed with support from the REDCap project at the University of </w:t>
      </w:r>
    </w:p>
    <w:p w14:paraId="60180350" w14:textId="77777777" w:rsidR="00FA1119" w:rsidRDefault="00FA1119" w:rsidP="00FA1119">
      <w:pPr>
        <w:ind w:left="720" w:hanging="720"/>
      </w:pPr>
      <w:r>
        <w:t xml:space="preserve">Chicago, which is hosted and managed by the Center for Research Informatics and </w:t>
      </w:r>
    </w:p>
    <w:p w14:paraId="144410E6" w14:textId="77777777" w:rsidR="00FA1119" w:rsidRDefault="00FA1119" w:rsidP="00FA1119">
      <w:pPr>
        <w:ind w:left="720" w:hanging="720"/>
      </w:pPr>
      <w:r>
        <w:t xml:space="preserve">funded by the Biological Sciences Division and by the Institute for Translational </w:t>
      </w:r>
    </w:p>
    <w:p w14:paraId="12490333" w14:textId="77777777" w:rsidR="00FA1119" w:rsidRDefault="00FA1119" w:rsidP="00FA1119">
      <w:pPr>
        <w:ind w:left="720" w:hanging="720"/>
      </w:pPr>
      <w:r>
        <w:t xml:space="preserve">Medicine, CTSA grant number UL1 TR000430 from the National Institutes of Health. </w:t>
      </w:r>
    </w:p>
    <w:p w14:paraId="160C857C" w14:textId="77777777" w:rsidR="00FA1119" w:rsidRDefault="00FA1119" w:rsidP="00FA1119">
      <w:pPr>
        <w:pStyle w:val="CommentText"/>
        <w:rPr>
          <w:b/>
          <w:i/>
          <w:sz w:val="24"/>
          <w:szCs w:val="24"/>
        </w:rPr>
      </w:pPr>
    </w:p>
    <w:p w14:paraId="7969A43C" w14:textId="37CA3A8E" w:rsidR="00FA1119" w:rsidRPr="001A7F4A" w:rsidRDefault="00FA1119" w:rsidP="00FA1119">
      <w:pPr>
        <w:pStyle w:val="CommentText"/>
        <w:rPr>
          <w:sz w:val="24"/>
          <w:szCs w:val="24"/>
        </w:rPr>
      </w:pPr>
      <w:r w:rsidRPr="001A7F4A">
        <w:rPr>
          <w:b/>
          <w:i/>
          <w:sz w:val="24"/>
          <w:szCs w:val="24"/>
        </w:rPr>
        <w:t>Disclosures</w:t>
      </w:r>
      <w:r w:rsidRPr="001A7F4A">
        <w:rPr>
          <w:sz w:val="24"/>
          <w:szCs w:val="24"/>
        </w:rPr>
        <w:t xml:space="preserve">: Dr. Grant has received research grants from Biohaven, Promentis, and Otsuka Pharmaceuticals.  Dr. Grant receives yearly compensation from Springer Publishing for acting as Editor-in-Chief of the Journal of Gambling Studies and has received royalties from Oxford University Press, American Psychiatric Publishing, Inc., Norton Press, and McGraw Hill. Dr. Chamberlain </w:t>
      </w:r>
      <w:r w:rsidR="000260C0">
        <w:rPr>
          <w:sz w:val="24"/>
          <w:szCs w:val="24"/>
        </w:rPr>
        <w:t>previously consulted</w:t>
      </w:r>
      <w:r w:rsidRPr="001A7F4A">
        <w:rPr>
          <w:sz w:val="24"/>
          <w:szCs w:val="24"/>
        </w:rPr>
        <w:t xml:space="preserve"> for Promentis</w:t>
      </w:r>
      <w:r w:rsidR="000260C0">
        <w:rPr>
          <w:sz w:val="24"/>
          <w:szCs w:val="24"/>
        </w:rPr>
        <w:t xml:space="preserve"> (in the past 3 years)</w:t>
      </w:r>
      <w:r w:rsidRPr="001A7F4A">
        <w:rPr>
          <w:sz w:val="24"/>
          <w:szCs w:val="24"/>
        </w:rPr>
        <w:t>; and receives stipends from Elsevier for editorial journal work</w:t>
      </w:r>
      <w:r w:rsidR="000260C0">
        <w:rPr>
          <w:sz w:val="24"/>
          <w:szCs w:val="24"/>
        </w:rPr>
        <w:t xml:space="preserve"> (Comprehensive Psychiatry; and Neuroscience &amp; Biobehavioral Reviews journals)</w:t>
      </w:r>
      <w:r w:rsidRPr="001A7F4A">
        <w:rPr>
          <w:sz w:val="24"/>
          <w:szCs w:val="24"/>
        </w:rPr>
        <w:t>. The other authors report no conflicts. Dr. Dougherty receives research support and honoraria from Medtronic, Inc. Dr. Woods has received royalties from Oxford University Press and Springer Press. Dr. Piacentini has received research grants from NIMH, the Tourette Association of America, and Pfizer.  He receives travel support and honoraria from the Tourette Association of America and the International OCD Foundation and book royalties from Guilford Publications and Oxford University Press. Dr Keuthen has received prior research grants from The TLC Foundation for Body-Focused Repetitive Behaviors and royalties from New Harbinger, Inc.</w:t>
      </w:r>
      <w:r w:rsidRPr="003D2983">
        <w:rPr>
          <w:sz w:val="24"/>
          <w:szCs w:val="24"/>
        </w:rPr>
        <w:t xml:space="preserve"> </w:t>
      </w:r>
      <w:r>
        <w:rPr>
          <w:sz w:val="24"/>
          <w:szCs w:val="24"/>
        </w:rPr>
        <w:t>T</w:t>
      </w:r>
      <w:r w:rsidRPr="003D2983">
        <w:rPr>
          <w:sz w:val="24"/>
          <w:szCs w:val="24"/>
        </w:rPr>
        <w:t>he remaining authors have nothing to disclose.</w:t>
      </w:r>
    </w:p>
    <w:p w14:paraId="7A433BB5" w14:textId="77777777" w:rsidR="002C25B3" w:rsidRPr="003A612C" w:rsidRDefault="002C25B3" w:rsidP="002C25B3">
      <w:pPr>
        <w:ind w:left="720" w:hanging="720"/>
      </w:pPr>
    </w:p>
    <w:p w14:paraId="2A9D785F" w14:textId="77777777" w:rsidR="007C31FB" w:rsidRDefault="007C31FB" w:rsidP="007C31FB">
      <w:pPr>
        <w:ind w:left="720" w:hanging="720"/>
      </w:pPr>
      <w:r w:rsidRPr="00657E51">
        <w:rPr>
          <w:b/>
          <w:i/>
        </w:rPr>
        <w:t>Author Contributions</w:t>
      </w:r>
      <w:r>
        <w:t xml:space="preserve">: </w:t>
      </w:r>
      <w:r w:rsidRPr="00321910">
        <w:t xml:space="preserve">Jon E. Grant, Tara Peris, Emily Rickets, </w:t>
      </w:r>
      <w:r>
        <w:t>Richard Bethlehem,</w:t>
      </w:r>
    </w:p>
    <w:p w14:paraId="701B981B" w14:textId="77777777" w:rsidR="006646F5" w:rsidRDefault="007C31FB" w:rsidP="007C31FB">
      <w:pPr>
        <w:ind w:left="720" w:hanging="720"/>
      </w:pPr>
      <w:r>
        <w:t xml:space="preserve">Samuel R. </w:t>
      </w:r>
      <w:r w:rsidRPr="006B6F22">
        <w:t>Chamberlain</w:t>
      </w:r>
      <w:r>
        <w:t xml:space="preserve">, Joseph O’Neill, Darin D. Dougherty, Doug Woods, </w:t>
      </w:r>
      <w:r w:rsidRPr="00321910">
        <w:t xml:space="preserve">John </w:t>
      </w:r>
    </w:p>
    <w:p w14:paraId="11ECC3BE" w14:textId="77777777" w:rsidR="00FE74AE" w:rsidRDefault="007C31FB" w:rsidP="007C31FB">
      <w:pPr>
        <w:ind w:left="720" w:hanging="720"/>
      </w:pPr>
      <w:r w:rsidRPr="00321910">
        <w:t>Piacentini, Nancy J. Keuthen</w:t>
      </w:r>
      <w:r>
        <w:rPr>
          <w:b/>
        </w:rPr>
        <w:t xml:space="preserve"> </w:t>
      </w:r>
      <w:r w:rsidR="004C5170">
        <w:t>Dan J. Stein and Christine Lochner</w:t>
      </w:r>
      <w:r w:rsidR="004C5170">
        <w:rPr>
          <w:b/>
        </w:rPr>
        <w:t xml:space="preserve"> </w:t>
      </w:r>
      <w:r>
        <w:t xml:space="preserve">all made </w:t>
      </w:r>
      <w:r w:rsidR="00FE74AE">
        <w:t>s</w:t>
      </w:r>
      <w:r w:rsidRPr="00321910">
        <w:t>ubstantial</w:t>
      </w:r>
      <w:r w:rsidR="00FE74AE">
        <w:t xml:space="preserve"> </w:t>
      </w:r>
    </w:p>
    <w:p w14:paraId="76646A91" w14:textId="77777777" w:rsidR="00FE74AE" w:rsidRDefault="007C31FB" w:rsidP="007C31FB">
      <w:pPr>
        <w:ind w:left="720" w:hanging="720"/>
      </w:pPr>
      <w:r w:rsidRPr="00321910">
        <w:t>contributions to the</w:t>
      </w:r>
      <w:r>
        <w:t xml:space="preserve"> </w:t>
      </w:r>
      <w:r w:rsidRPr="00321910">
        <w:t>conception or design</w:t>
      </w:r>
      <w:r>
        <w:t xml:space="preserve"> </w:t>
      </w:r>
      <w:r w:rsidRPr="00321910">
        <w:t>of the work</w:t>
      </w:r>
      <w:r>
        <w:t xml:space="preserve"> as well as</w:t>
      </w:r>
      <w:r w:rsidRPr="00321910">
        <w:t xml:space="preserve"> the acquisition, analysis, </w:t>
      </w:r>
    </w:p>
    <w:p w14:paraId="18462A30" w14:textId="77777777" w:rsidR="00FE74AE" w:rsidRDefault="007C31FB" w:rsidP="007C31FB">
      <w:pPr>
        <w:ind w:left="720" w:hanging="720"/>
      </w:pPr>
      <w:r w:rsidRPr="00321910">
        <w:t>or interpretation</w:t>
      </w:r>
      <w:r>
        <w:t xml:space="preserve"> </w:t>
      </w:r>
      <w:r w:rsidRPr="00321910">
        <w:t xml:space="preserve">of data; </w:t>
      </w:r>
      <w:r>
        <w:t>they all aided in drafting the work, gave f</w:t>
      </w:r>
      <w:r w:rsidRPr="00321910">
        <w:t xml:space="preserve">inal </w:t>
      </w:r>
      <w:r w:rsidRPr="003A612C">
        <w:t xml:space="preserve">approval of the </w:t>
      </w:r>
    </w:p>
    <w:p w14:paraId="7309EA7C" w14:textId="77777777" w:rsidR="00FE74AE" w:rsidRDefault="007C31FB" w:rsidP="007C31FB">
      <w:pPr>
        <w:ind w:left="720" w:hanging="720"/>
      </w:pPr>
      <w:r w:rsidRPr="003A612C">
        <w:t xml:space="preserve">version to be published; and agree to be accountable for all aspects of the work in </w:t>
      </w:r>
    </w:p>
    <w:p w14:paraId="7B8A5E72" w14:textId="77777777" w:rsidR="00FE74AE" w:rsidRDefault="007C31FB" w:rsidP="007C31FB">
      <w:pPr>
        <w:ind w:left="720" w:hanging="720"/>
      </w:pPr>
      <w:r w:rsidRPr="003A612C">
        <w:t xml:space="preserve">ensuring that questions related to the accuracy or integrity of any part of the work are </w:t>
      </w:r>
    </w:p>
    <w:p w14:paraId="6CADF68A" w14:textId="0656254B" w:rsidR="007C31FB" w:rsidRPr="003A612C" w:rsidRDefault="007C31FB" w:rsidP="007C31FB">
      <w:pPr>
        <w:ind w:left="720" w:hanging="720"/>
      </w:pPr>
      <w:r w:rsidRPr="003A612C">
        <w:t>appropriately investigated and resolved.</w:t>
      </w:r>
    </w:p>
    <w:p w14:paraId="6A0E034B" w14:textId="77777777" w:rsidR="002C25B3" w:rsidRDefault="002C25B3" w:rsidP="002C25B3">
      <w:pPr>
        <w:ind w:left="720" w:hanging="720"/>
        <w:rPr>
          <w:b/>
          <w:i/>
        </w:rPr>
      </w:pPr>
    </w:p>
    <w:p w14:paraId="35042721" w14:textId="57283F4B" w:rsidR="00FA1119" w:rsidRDefault="00FA1119">
      <w:pPr>
        <w:rPr>
          <w:b/>
        </w:rPr>
      </w:pPr>
      <w:r>
        <w:rPr>
          <w:b/>
        </w:rPr>
        <w:br w:type="page"/>
      </w:r>
    </w:p>
    <w:p w14:paraId="6FCEC5A9" w14:textId="77777777" w:rsidR="00127C09" w:rsidRPr="00C32123" w:rsidRDefault="00127C09" w:rsidP="00127C09">
      <w:pPr>
        <w:ind w:left="720" w:hanging="720"/>
        <w:jc w:val="center"/>
        <w:rPr>
          <w:b/>
        </w:rPr>
      </w:pPr>
      <w:r w:rsidRPr="00C32123">
        <w:rPr>
          <w:b/>
        </w:rPr>
        <w:lastRenderedPageBreak/>
        <w:t>References</w:t>
      </w:r>
    </w:p>
    <w:p w14:paraId="6A81CEB7" w14:textId="77777777" w:rsidR="00127C09" w:rsidRPr="00091186" w:rsidRDefault="00127C09" w:rsidP="00A62140">
      <w:pPr>
        <w:spacing w:line="480" w:lineRule="auto"/>
        <w:ind w:hanging="720"/>
        <w:contextualSpacing/>
        <w:jc w:val="center"/>
      </w:pPr>
    </w:p>
    <w:p w14:paraId="40B3673E" w14:textId="7B770EAA" w:rsidR="00091186" w:rsidRPr="00091186" w:rsidRDefault="00091186" w:rsidP="00A62140">
      <w:pPr>
        <w:pStyle w:val="ListParagraph"/>
        <w:numPr>
          <w:ilvl w:val="0"/>
          <w:numId w:val="18"/>
        </w:numPr>
        <w:tabs>
          <w:tab w:val="left" w:pos="360"/>
        </w:tabs>
        <w:spacing w:after="0" w:line="480" w:lineRule="auto"/>
        <w:ind w:left="0"/>
        <w:rPr>
          <w:rFonts w:ascii="Times New Roman" w:hAnsi="Times New Roman"/>
          <w:sz w:val="24"/>
          <w:szCs w:val="24"/>
        </w:rPr>
      </w:pPr>
      <w:r w:rsidRPr="00091186">
        <w:rPr>
          <w:rFonts w:ascii="Times New Roman" w:hAnsi="Times New Roman"/>
          <w:sz w:val="24"/>
          <w:szCs w:val="24"/>
        </w:rPr>
        <w:t xml:space="preserve">Rothbart R, Amos T, Siegfried N, </w:t>
      </w:r>
      <w:r w:rsidR="001D3D95">
        <w:rPr>
          <w:rFonts w:ascii="Times New Roman" w:hAnsi="Times New Roman"/>
          <w:sz w:val="24"/>
          <w:szCs w:val="24"/>
        </w:rPr>
        <w:t xml:space="preserve">et al. </w:t>
      </w:r>
      <w:r w:rsidRPr="00091186">
        <w:rPr>
          <w:rFonts w:ascii="Times New Roman" w:hAnsi="Times New Roman"/>
          <w:sz w:val="24"/>
          <w:szCs w:val="24"/>
        </w:rPr>
        <w:t xml:space="preserve">Pharmacotherapy for trichotillomania. Cochrane Database Syst Rev. 2013;(11):CD007662. </w:t>
      </w:r>
    </w:p>
    <w:p w14:paraId="5AA065EA" w14:textId="2A195CAA" w:rsidR="00091186" w:rsidRPr="00091186" w:rsidRDefault="00091186" w:rsidP="00A62140">
      <w:pPr>
        <w:pStyle w:val="ListParagraph"/>
        <w:numPr>
          <w:ilvl w:val="0"/>
          <w:numId w:val="18"/>
        </w:numPr>
        <w:tabs>
          <w:tab w:val="left" w:pos="360"/>
        </w:tabs>
        <w:spacing w:after="0" w:line="480" w:lineRule="auto"/>
        <w:ind w:left="0"/>
        <w:rPr>
          <w:rFonts w:ascii="Times New Roman" w:hAnsi="Times New Roman"/>
          <w:sz w:val="24"/>
          <w:szCs w:val="24"/>
        </w:rPr>
      </w:pPr>
      <w:r w:rsidRPr="00091186">
        <w:rPr>
          <w:rFonts w:ascii="Times New Roman" w:hAnsi="Times New Roman"/>
          <w:sz w:val="24"/>
          <w:szCs w:val="24"/>
        </w:rPr>
        <w:t xml:space="preserve">Snorrason I, Berlin GS, Lee HJ. Optimizing psychological interventions for trichotillomania (hair-pulling disorder): an update on current empirical status. Psychol Res Behav Manag. 2015;8:105-13. </w:t>
      </w:r>
    </w:p>
    <w:p w14:paraId="5C250060" w14:textId="2A04BE06" w:rsidR="006C7EFA" w:rsidRPr="00091186" w:rsidRDefault="00091186" w:rsidP="00A62140">
      <w:pPr>
        <w:pStyle w:val="ListParagraph"/>
        <w:numPr>
          <w:ilvl w:val="0"/>
          <w:numId w:val="18"/>
        </w:numPr>
        <w:tabs>
          <w:tab w:val="left" w:pos="360"/>
        </w:tabs>
        <w:spacing w:after="0" w:line="480" w:lineRule="auto"/>
        <w:ind w:left="0"/>
        <w:rPr>
          <w:rFonts w:ascii="Times New Roman" w:eastAsia="+mn-ea" w:hAnsi="Times New Roman"/>
          <w:color w:val="000000"/>
          <w:kern w:val="24"/>
          <w:sz w:val="24"/>
          <w:szCs w:val="24"/>
        </w:rPr>
      </w:pPr>
      <w:r w:rsidRPr="00091186">
        <w:rPr>
          <w:rFonts w:ascii="Times New Roman" w:eastAsia="+mn-ea" w:hAnsi="Times New Roman"/>
          <w:color w:val="000000"/>
          <w:kern w:val="24"/>
          <w:sz w:val="24"/>
          <w:szCs w:val="24"/>
        </w:rPr>
        <w:t xml:space="preserve"> </w:t>
      </w:r>
      <w:r w:rsidR="006C7EFA" w:rsidRPr="00091186">
        <w:rPr>
          <w:rFonts w:ascii="Times New Roman" w:eastAsia="+mn-ea" w:hAnsi="Times New Roman"/>
          <w:color w:val="000000"/>
          <w:kern w:val="24"/>
          <w:sz w:val="24"/>
          <w:szCs w:val="24"/>
        </w:rPr>
        <w:t>Swedo SE, Rapoport JL, Leonard HL</w:t>
      </w:r>
      <w:r w:rsidR="00734D43" w:rsidRPr="00091186">
        <w:rPr>
          <w:rFonts w:ascii="Times New Roman" w:eastAsia="+mn-ea" w:hAnsi="Times New Roman"/>
          <w:color w:val="000000"/>
          <w:kern w:val="24"/>
          <w:sz w:val="24"/>
          <w:szCs w:val="24"/>
        </w:rPr>
        <w:t>,</w:t>
      </w:r>
      <w:r w:rsidR="00734D43" w:rsidRPr="00091186">
        <w:rPr>
          <w:rFonts w:ascii="Times New Roman" w:hAnsi="Times New Roman"/>
          <w:sz w:val="24"/>
          <w:szCs w:val="24"/>
        </w:rPr>
        <w:t xml:space="preserve"> </w:t>
      </w:r>
      <w:r w:rsidR="00734D43" w:rsidRPr="00091186">
        <w:rPr>
          <w:rStyle w:val="docsum-authors"/>
          <w:rFonts w:ascii="Times New Roman" w:hAnsi="Times New Roman"/>
          <w:sz w:val="24"/>
          <w:szCs w:val="24"/>
        </w:rPr>
        <w:t>Schapiro MB, Rapoport SI, Grady CL</w:t>
      </w:r>
      <w:r w:rsidR="00A74D18" w:rsidRPr="00091186">
        <w:rPr>
          <w:rFonts w:ascii="Times New Roman" w:eastAsia="+mn-ea" w:hAnsi="Times New Roman"/>
          <w:color w:val="000000"/>
          <w:kern w:val="24"/>
          <w:sz w:val="24"/>
          <w:szCs w:val="24"/>
        </w:rPr>
        <w:t xml:space="preserve">. </w:t>
      </w:r>
      <w:r w:rsidR="006C7EFA" w:rsidRPr="00091186">
        <w:rPr>
          <w:rFonts w:ascii="Times New Roman" w:eastAsia="+mn-ea" w:hAnsi="Times New Roman"/>
          <w:color w:val="000000"/>
          <w:kern w:val="24"/>
          <w:sz w:val="24"/>
          <w:szCs w:val="24"/>
        </w:rPr>
        <w:t>Regional cerebral glucose metabolism of women with trichotillomania. Arch Gen Psychiatry</w:t>
      </w:r>
      <w:r w:rsidR="00653EA8" w:rsidRPr="00091186">
        <w:rPr>
          <w:rFonts w:ascii="Times New Roman" w:eastAsia="+mn-ea" w:hAnsi="Times New Roman"/>
          <w:color w:val="000000"/>
          <w:kern w:val="24"/>
          <w:sz w:val="24"/>
          <w:szCs w:val="24"/>
        </w:rPr>
        <w:t xml:space="preserve"> 1991;</w:t>
      </w:r>
      <w:r w:rsidR="006C7EFA" w:rsidRPr="00091186">
        <w:rPr>
          <w:rFonts w:ascii="Times New Roman" w:eastAsia="+mn-ea" w:hAnsi="Times New Roman"/>
          <w:color w:val="000000"/>
          <w:kern w:val="24"/>
          <w:sz w:val="24"/>
          <w:szCs w:val="24"/>
        </w:rPr>
        <w:t xml:space="preserve"> 48(9):828–833. </w:t>
      </w:r>
    </w:p>
    <w:p w14:paraId="31226588" w14:textId="004281F9" w:rsidR="006C7EFA" w:rsidRPr="00091186"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091186">
        <w:rPr>
          <w:rFonts w:ascii="Times New Roman" w:hAnsi="Times New Roman"/>
          <w:color w:val="000000"/>
          <w:sz w:val="24"/>
          <w:szCs w:val="24"/>
          <w:shd w:val="clear" w:color="auto" w:fill="FFFFFF"/>
        </w:rPr>
        <w:t xml:space="preserve">Grachev ID. MRI-based morphometric topographic parcellation of human neocortex in trichotillomania. Psychiatry Clin Neurosci. 1997;51(5):315–321. </w:t>
      </w:r>
    </w:p>
    <w:p w14:paraId="50E01394" w14:textId="25EA17B4" w:rsidR="006C7EFA" w:rsidRPr="00091186" w:rsidRDefault="006C7EFA" w:rsidP="00A62140">
      <w:pPr>
        <w:pStyle w:val="ListParagraph"/>
        <w:numPr>
          <w:ilvl w:val="0"/>
          <w:numId w:val="18"/>
        </w:numPr>
        <w:tabs>
          <w:tab w:val="left" w:pos="360"/>
        </w:tabs>
        <w:spacing w:after="0" w:line="480" w:lineRule="auto"/>
        <w:ind w:left="0"/>
        <w:rPr>
          <w:rFonts w:ascii="Times New Roman" w:hAnsi="Times New Roman"/>
          <w:sz w:val="24"/>
          <w:szCs w:val="24"/>
        </w:rPr>
      </w:pPr>
      <w:r w:rsidRPr="00091186">
        <w:rPr>
          <w:rFonts w:ascii="Times New Roman" w:hAnsi="Times New Roman"/>
          <w:sz w:val="24"/>
          <w:szCs w:val="24"/>
        </w:rPr>
        <w:t xml:space="preserve">O'Sullivan RL, Rauch SL, Breiter HC, </w:t>
      </w:r>
      <w:r w:rsidR="001D3D95">
        <w:rPr>
          <w:rFonts w:ascii="Times New Roman" w:hAnsi="Times New Roman"/>
          <w:sz w:val="24"/>
          <w:szCs w:val="24"/>
        </w:rPr>
        <w:t>et</w:t>
      </w:r>
      <w:r w:rsidRPr="00091186">
        <w:rPr>
          <w:rFonts w:ascii="Times New Roman" w:hAnsi="Times New Roman"/>
          <w:sz w:val="24"/>
          <w:szCs w:val="24"/>
        </w:rPr>
        <w:t xml:space="preserve"> al. Reduced basal ganglia volumes in trichotillomania measured via morphometric magnetic resonance imaging. Biol Psychiatry. </w:t>
      </w:r>
      <w:r w:rsidR="00653EA8" w:rsidRPr="00091186">
        <w:rPr>
          <w:rFonts w:ascii="Times New Roman" w:hAnsi="Times New Roman"/>
          <w:sz w:val="24"/>
          <w:szCs w:val="24"/>
        </w:rPr>
        <w:t xml:space="preserve">1997; </w:t>
      </w:r>
      <w:r w:rsidRPr="00091186">
        <w:rPr>
          <w:rFonts w:ascii="Times New Roman" w:hAnsi="Times New Roman"/>
          <w:sz w:val="24"/>
          <w:szCs w:val="24"/>
        </w:rPr>
        <w:t xml:space="preserve">42(1):39–45. </w:t>
      </w:r>
    </w:p>
    <w:p w14:paraId="0C03BB24" w14:textId="526C8B7C" w:rsidR="006C7EFA" w:rsidRPr="00091186" w:rsidRDefault="006C7EFA" w:rsidP="00A62140">
      <w:pPr>
        <w:pStyle w:val="ListParagraph"/>
        <w:numPr>
          <w:ilvl w:val="0"/>
          <w:numId w:val="18"/>
        </w:numPr>
        <w:tabs>
          <w:tab w:val="left" w:pos="360"/>
        </w:tabs>
        <w:spacing w:after="0" w:line="480" w:lineRule="auto"/>
        <w:ind w:left="0"/>
        <w:rPr>
          <w:rFonts w:ascii="Times New Roman" w:hAnsi="Times New Roman"/>
          <w:sz w:val="24"/>
          <w:szCs w:val="24"/>
        </w:rPr>
      </w:pPr>
      <w:r w:rsidRPr="00091186">
        <w:rPr>
          <w:rFonts w:ascii="Times New Roman" w:hAnsi="Times New Roman"/>
          <w:sz w:val="24"/>
          <w:szCs w:val="24"/>
        </w:rPr>
        <w:t xml:space="preserve">Stein DJ, Coetzer R, Lee M, </w:t>
      </w:r>
      <w:r w:rsidR="00734D43" w:rsidRPr="00091186">
        <w:rPr>
          <w:rStyle w:val="docsum-authors"/>
          <w:rFonts w:ascii="Times New Roman" w:hAnsi="Times New Roman"/>
          <w:sz w:val="24"/>
          <w:szCs w:val="24"/>
        </w:rPr>
        <w:t>Davids B, Bouwer C.</w:t>
      </w:r>
      <w:r w:rsidR="00734D43" w:rsidRPr="00091186">
        <w:rPr>
          <w:rFonts w:ascii="Times New Roman" w:hAnsi="Times New Roman"/>
          <w:sz w:val="24"/>
          <w:szCs w:val="24"/>
        </w:rPr>
        <w:t xml:space="preserve"> </w:t>
      </w:r>
      <w:r w:rsidRPr="00091186">
        <w:rPr>
          <w:rFonts w:ascii="Times New Roman" w:hAnsi="Times New Roman"/>
          <w:sz w:val="24"/>
          <w:szCs w:val="24"/>
        </w:rPr>
        <w:t xml:space="preserve">Magnetic resonance brain imaging in women with obsessive-compulsive disorder and trichotillomania. Psychiatry Res. </w:t>
      </w:r>
      <w:r w:rsidR="00653EA8" w:rsidRPr="00091186">
        <w:rPr>
          <w:rFonts w:ascii="Times New Roman" w:hAnsi="Times New Roman"/>
          <w:sz w:val="24"/>
          <w:szCs w:val="24"/>
        </w:rPr>
        <w:t xml:space="preserve">1997; </w:t>
      </w:r>
      <w:r w:rsidRPr="00091186">
        <w:rPr>
          <w:rFonts w:ascii="Times New Roman" w:hAnsi="Times New Roman"/>
          <w:sz w:val="24"/>
          <w:szCs w:val="24"/>
        </w:rPr>
        <w:t xml:space="preserve">74(3):177–182. </w:t>
      </w:r>
    </w:p>
    <w:p w14:paraId="4295C239" w14:textId="7C72425A" w:rsidR="00A62140"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091186">
        <w:rPr>
          <w:rFonts w:ascii="Times New Roman" w:hAnsi="Times New Roman"/>
          <w:color w:val="000000"/>
          <w:sz w:val="24"/>
          <w:szCs w:val="24"/>
          <w:shd w:val="clear" w:color="auto" w:fill="FFFFFF"/>
        </w:rPr>
        <w:t xml:space="preserve">Rauch SL, Wright CI, Savage CR, </w:t>
      </w:r>
      <w:r w:rsidR="001D3D95">
        <w:rPr>
          <w:rFonts w:ascii="Times New Roman" w:hAnsi="Times New Roman"/>
          <w:color w:val="000000"/>
          <w:sz w:val="24"/>
          <w:szCs w:val="24"/>
          <w:shd w:val="clear" w:color="auto" w:fill="FFFFFF"/>
        </w:rPr>
        <w:t xml:space="preserve">et al. </w:t>
      </w:r>
      <w:r w:rsidRPr="00091186">
        <w:rPr>
          <w:rFonts w:ascii="Times New Roman" w:hAnsi="Times New Roman"/>
          <w:color w:val="000000"/>
          <w:sz w:val="24"/>
          <w:szCs w:val="24"/>
          <w:shd w:val="clear" w:color="auto" w:fill="FFFFFF"/>
        </w:rPr>
        <w:t xml:space="preserve">Brain activation during implicit sequence learning in individuals with trichotillomania. Psychiatry Res. </w:t>
      </w:r>
      <w:r w:rsidR="00653EA8" w:rsidRPr="00091186">
        <w:rPr>
          <w:rFonts w:ascii="Times New Roman" w:hAnsi="Times New Roman"/>
          <w:color w:val="000000"/>
          <w:sz w:val="24"/>
          <w:szCs w:val="24"/>
          <w:shd w:val="clear" w:color="auto" w:fill="FFFFFF"/>
        </w:rPr>
        <w:t xml:space="preserve">2007; </w:t>
      </w:r>
      <w:r w:rsidRPr="00091186">
        <w:rPr>
          <w:rFonts w:ascii="Times New Roman" w:hAnsi="Times New Roman"/>
          <w:color w:val="000000"/>
          <w:sz w:val="24"/>
          <w:szCs w:val="24"/>
          <w:shd w:val="clear" w:color="auto" w:fill="FFFFFF"/>
        </w:rPr>
        <w:t>154(3):233–240.</w:t>
      </w:r>
      <w:r w:rsidR="00A74D18" w:rsidRPr="00091186">
        <w:rPr>
          <w:rFonts w:ascii="Times New Roman" w:hAnsi="Times New Roman"/>
          <w:color w:val="000000"/>
          <w:sz w:val="24"/>
          <w:szCs w:val="24"/>
          <w:shd w:val="clear" w:color="auto" w:fill="FFFFFF"/>
        </w:rPr>
        <w:t xml:space="preserve"> </w:t>
      </w:r>
    </w:p>
    <w:p w14:paraId="103061D8" w14:textId="230E23AD" w:rsidR="00A62140"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A62140">
        <w:rPr>
          <w:rFonts w:ascii="Times New Roman" w:hAnsi="Times New Roman"/>
          <w:sz w:val="24"/>
          <w:szCs w:val="24"/>
        </w:rPr>
        <w:t xml:space="preserve">Keuthen NJ, Makris N, Schlerf JE, </w:t>
      </w:r>
      <w:r w:rsidR="001D3D95">
        <w:rPr>
          <w:rFonts w:ascii="Times New Roman" w:hAnsi="Times New Roman"/>
          <w:sz w:val="24"/>
          <w:szCs w:val="24"/>
        </w:rPr>
        <w:t xml:space="preserve">etal. </w:t>
      </w:r>
      <w:r w:rsidRPr="00A62140">
        <w:rPr>
          <w:rFonts w:ascii="Times New Roman" w:hAnsi="Times New Roman"/>
          <w:sz w:val="24"/>
          <w:szCs w:val="24"/>
        </w:rPr>
        <w:t xml:space="preserve"> Evidence for reduced cerebellar volumes in trichotillomania. Biol Psychiatry. </w:t>
      </w:r>
      <w:r w:rsidR="00653EA8" w:rsidRPr="00A62140">
        <w:rPr>
          <w:rFonts w:ascii="Times New Roman" w:hAnsi="Times New Roman"/>
          <w:sz w:val="24"/>
          <w:szCs w:val="24"/>
        </w:rPr>
        <w:t xml:space="preserve">2007; </w:t>
      </w:r>
      <w:r w:rsidRPr="00A62140">
        <w:rPr>
          <w:rFonts w:ascii="Times New Roman" w:hAnsi="Times New Roman"/>
          <w:sz w:val="24"/>
          <w:szCs w:val="24"/>
        </w:rPr>
        <w:t xml:space="preserve">61(3):374–381. </w:t>
      </w:r>
    </w:p>
    <w:p w14:paraId="09121FD6" w14:textId="18376B9C" w:rsidR="00A62140"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A62140">
        <w:rPr>
          <w:rFonts w:ascii="Times New Roman" w:hAnsi="Times New Roman"/>
          <w:sz w:val="24"/>
          <w:szCs w:val="24"/>
        </w:rPr>
        <w:lastRenderedPageBreak/>
        <w:t>Chamberlain SR, Menzies LA, Fineberg NA,</w:t>
      </w:r>
      <w:r w:rsidR="00734D43" w:rsidRPr="00A62140">
        <w:rPr>
          <w:rFonts w:ascii="Times New Roman" w:hAnsi="Times New Roman"/>
          <w:sz w:val="24"/>
          <w:szCs w:val="24"/>
        </w:rPr>
        <w:t xml:space="preserve"> </w:t>
      </w:r>
      <w:r w:rsidR="001D3D95">
        <w:rPr>
          <w:rFonts w:ascii="Times New Roman" w:hAnsi="Times New Roman"/>
          <w:sz w:val="24"/>
          <w:szCs w:val="24"/>
        </w:rPr>
        <w:t xml:space="preserve">et al. </w:t>
      </w:r>
      <w:r w:rsidRPr="00A62140">
        <w:rPr>
          <w:rFonts w:ascii="Times New Roman" w:hAnsi="Times New Roman"/>
          <w:sz w:val="24"/>
          <w:szCs w:val="24"/>
        </w:rPr>
        <w:t xml:space="preserve">Grey matter abnormalities in trichotillomania: morphometric magnetic resonance imaging study. Br J </w:t>
      </w:r>
      <w:r w:rsidR="00A74D18" w:rsidRPr="00A62140">
        <w:rPr>
          <w:rFonts w:ascii="Times New Roman" w:hAnsi="Times New Roman"/>
          <w:sz w:val="24"/>
          <w:szCs w:val="24"/>
        </w:rPr>
        <w:t>P</w:t>
      </w:r>
      <w:r w:rsidRPr="00A62140">
        <w:rPr>
          <w:rFonts w:ascii="Times New Roman" w:hAnsi="Times New Roman"/>
          <w:sz w:val="24"/>
          <w:szCs w:val="24"/>
        </w:rPr>
        <w:t>sychiatry</w:t>
      </w:r>
      <w:r w:rsidR="00734D43" w:rsidRPr="00A62140">
        <w:rPr>
          <w:rFonts w:ascii="Times New Roman" w:hAnsi="Times New Roman"/>
          <w:sz w:val="24"/>
          <w:szCs w:val="24"/>
        </w:rPr>
        <w:t xml:space="preserve"> </w:t>
      </w:r>
      <w:r w:rsidR="00653EA8" w:rsidRPr="00A62140">
        <w:rPr>
          <w:rFonts w:ascii="Times New Roman" w:hAnsi="Times New Roman"/>
          <w:sz w:val="24"/>
          <w:szCs w:val="24"/>
        </w:rPr>
        <w:t xml:space="preserve">2008; </w:t>
      </w:r>
      <w:r w:rsidRPr="00A62140">
        <w:rPr>
          <w:rFonts w:ascii="Times New Roman" w:hAnsi="Times New Roman"/>
          <w:sz w:val="24"/>
          <w:szCs w:val="24"/>
        </w:rPr>
        <w:t>193(3):</w:t>
      </w:r>
      <w:r w:rsidR="00734D43" w:rsidRPr="00A62140">
        <w:rPr>
          <w:rFonts w:ascii="Times New Roman" w:hAnsi="Times New Roman"/>
          <w:sz w:val="24"/>
          <w:szCs w:val="24"/>
        </w:rPr>
        <w:t xml:space="preserve"> </w:t>
      </w:r>
      <w:r w:rsidRPr="00A62140">
        <w:rPr>
          <w:rFonts w:ascii="Times New Roman" w:hAnsi="Times New Roman"/>
          <w:sz w:val="24"/>
          <w:szCs w:val="24"/>
        </w:rPr>
        <w:t xml:space="preserve">216–221. </w:t>
      </w:r>
    </w:p>
    <w:p w14:paraId="517A1CB9" w14:textId="2461959B" w:rsidR="006C7EFA" w:rsidRPr="00A62140"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A62140">
        <w:rPr>
          <w:rFonts w:ascii="Times New Roman" w:hAnsi="Times New Roman"/>
          <w:sz w:val="24"/>
          <w:szCs w:val="24"/>
        </w:rPr>
        <w:t xml:space="preserve">Chamberlain SR, Hampshire A, Menzies LA, </w:t>
      </w:r>
      <w:r w:rsidR="001D3D95">
        <w:rPr>
          <w:rFonts w:ascii="Times New Roman" w:hAnsi="Times New Roman"/>
          <w:sz w:val="24"/>
          <w:szCs w:val="24"/>
        </w:rPr>
        <w:t xml:space="preserve">et al. </w:t>
      </w:r>
      <w:r w:rsidRPr="00A62140">
        <w:rPr>
          <w:rFonts w:ascii="Times New Roman" w:hAnsi="Times New Roman"/>
          <w:sz w:val="24"/>
          <w:szCs w:val="24"/>
        </w:rPr>
        <w:t>Reduced brain white matter integrity in trichotillomania: a diffusion tensor imaging study. Arch Gen Psychiatry.</w:t>
      </w:r>
      <w:r w:rsidR="005532DB" w:rsidRPr="00A62140">
        <w:rPr>
          <w:rFonts w:ascii="Times New Roman" w:hAnsi="Times New Roman"/>
          <w:sz w:val="24"/>
          <w:szCs w:val="24"/>
        </w:rPr>
        <w:t xml:space="preserve"> </w:t>
      </w:r>
      <w:r w:rsidR="00764DF2" w:rsidRPr="00A62140">
        <w:rPr>
          <w:rFonts w:ascii="Times New Roman" w:hAnsi="Times New Roman"/>
          <w:sz w:val="24"/>
          <w:szCs w:val="24"/>
        </w:rPr>
        <w:t xml:space="preserve">2010; </w:t>
      </w:r>
      <w:r w:rsidRPr="00A62140">
        <w:rPr>
          <w:rFonts w:ascii="Times New Roman" w:hAnsi="Times New Roman"/>
          <w:sz w:val="24"/>
          <w:szCs w:val="24"/>
        </w:rPr>
        <w:t xml:space="preserve">67(9):965–971. </w:t>
      </w:r>
    </w:p>
    <w:p w14:paraId="1C04B70A" w14:textId="5DF2B2A6" w:rsidR="00B5672A" w:rsidRPr="00091186"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091186">
        <w:rPr>
          <w:rFonts w:ascii="Times New Roman" w:hAnsi="Times New Roman"/>
          <w:color w:val="000000"/>
          <w:sz w:val="24"/>
          <w:szCs w:val="24"/>
          <w:shd w:val="clear" w:color="auto" w:fill="FFFFFF"/>
        </w:rPr>
        <w:t xml:space="preserve">Lee JA, Kim CK, Jahng GH, </w:t>
      </w:r>
      <w:r w:rsidR="001D3D95">
        <w:rPr>
          <w:rFonts w:ascii="Times New Roman" w:hAnsi="Times New Roman"/>
          <w:color w:val="000000"/>
          <w:sz w:val="24"/>
          <w:szCs w:val="24"/>
          <w:shd w:val="clear" w:color="auto" w:fill="FFFFFF"/>
        </w:rPr>
        <w:t>e</w:t>
      </w:r>
      <w:r w:rsidRPr="00091186">
        <w:rPr>
          <w:rFonts w:ascii="Times New Roman" w:hAnsi="Times New Roman"/>
          <w:color w:val="000000"/>
          <w:sz w:val="24"/>
          <w:szCs w:val="24"/>
          <w:shd w:val="clear" w:color="auto" w:fill="FFFFFF"/>
        </w:rPr>
        <w:t>t al. A pilot study of brain activation in children with trichotillomania during a visual-tactile symptom provocation task: a functional magnetic resonance imaging study. Prog Neuropsycho</w:t>
      </w:r>
      <w:r w:rsidR="005532DB" w:rsidRPr="00091186">
        <w:rPr>
          <w:rFonts w:ascii="Times New Roman" w:hAnsi="Times New Roman"/>
          <w:color w:val="000000"/>
          <w:sz w:val="24"/>
          <w:szCs w:val="24"/>
          <w:shd w:val="clear" w:color="auto" w:fill="FFFFFF"/>
        </w:rPr>
        <w:t xml:space="preserve">pharmacol Biol Psychiatry. </w:t>
      </w:r>
      <w:r w:rsidR="00764DF2" w:rsidRPr="00091186">
        <w:rPr>
          <w:rFonts w:ascii="Times New Roman" w:hAnsi="Times New Roman"/>
          <w:color w:val="000000"/>
          <w:sz w:val="24"/>
          <w:szCs w:val="24"/>
          <w:shd w:val="clear" w:color="auto" w:fill="FFFFFF"/>
        </w:rPr>
        <w:t xml:space="preserve">2010; </w:t>
      </w:r>
      <w:r w:rsidRPr="00091186">
        <w:rPr>
          <w:rFonts w:ascii="Times New Roman" w:hAnsi="Times New Roman"/>
          <w:color w:val="000000"/>
          <w:sz w:val="24"/>
          <w:szCs w:val="24"/>
          <w:shd w:val="clear" w:color="auto" w:fill="FFFFFF"/>
        </w:rPr>
        <w:t xml:space="preserve">34(7):1250–1258.  </w:t>
      </w:r>
    </w:p>
    <w:p w14:paraId="3753F35F" w14:textId="10A049E1" w:rsidR="006C7EFA" w:rsidRPr="00091186"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091186">
        <w:rPr>
          <w:rFonts w:ascii="Times New Roman" w:hAnsi="Times New Roman"/>
          <w:sz w:val="24"/>
          <w:szCs w:val="24"/>
        </w:rPr>
        <w:t xml:space="preserve">Grant JE, Odlaug BL, Hampshire A, </w:t>
      </w:r>
      <w:r w:rsidR="00E11D38" w:rsidRPr="00091186">
        <w:rPr>
          <w:rStyle w:val="docsum-authors"/>
          <w:rFonts w:ascii="Times New Roman" w:hAnsi="Times New Roman"/>
          <w:sz w:val="24"/>
          <w:szCs w:val="24"/>
        </w:rPr>
        <w:t>Schreiber LR, Chamberlain SR.</w:t>
      </w:r>
      <w:r w:rsidR="00E11D38" w:rsidRPr="00091186">
        <w:rPr>
          <w:rFonts w:ascii="Times New Roman" w:hAnsi="Times New Roman"/>
          <w:sz w:val="24"/>
          <w:szCs w:val="24"/>
        </w:rPr>
        <w:t xml:space="preserve"> </w:t>
      </w:r>
      <w:r w:rsidRPr="00091186">
        <w:rPr>
          <w:rFonts w:ascii="Times New Roman" w:hAnsi="Times New Roman"/>
          <w:sz w:val="24"/>
          <w:szCs w:val="24"/>
        </w:rPr>
        <w:t>White matter abnormalities in skin picking disorder: a diffusion tensor imaging study. Neuropsychopharmacology.</w:t>
      </w:r>
      <w:r w:rsidR="00E11D38" w:rsidRPr="00091186">
        <w:rPr>
          <w:rFonts w:ascii="Times New Roman" w:hAnsi="Times New Roman"/>
          <w:sz w:val="24"/>
          <w:szCs w:val="24"/>
        </w:rPr>
        <w:t xml:space="preserve"> </w:t>
      </w:r>
      <w:r w:rsidR="00764DF2" w:rsidRPr="00091186">
        <w:rPr>
          <w:rFonts w:ascii="Times New Roman" w:hAnsi="Times New Roman"/>
          <w:sz w:val="24"/>
          <w:szCs w:val="24"/>
        </w:rPr>
        <w:t xml:space="preserve">2013; </w:t>
      </w:r>
      <w:r w:rsidRPr="00091186">
        <w:rPr>
          <w:rFonts w:ascii="Times New Roman" w:hAnsi="Times New Roman"/>
          <w:sz w:val="24"/>
          <w:szCs w:val="24"/>
        </w:rPr>
        <w:t xml:space="preserve">38(5):763–769. </w:t>
      </w:r>
    </w:p>
    <w:p w14:paraId="7CE1CB9D" w14:textId="1CC05691" w:rsidR="006C7EFA" w:rsidRPr="00091186"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091186">
        <w:rPr>
          <w:rFonts w:ascii="Times New Roman" w:hAnsi="Times New Roman"/>
          <w:color w:val="000000"/>
          <w:sz w:val="24"/>
          <w:szCs w:val="24"/>
          <w:shd w:val="clear" w:color="auto" w:fill="FFFFFF"/>
        </w:rPr>
        <w:t>Roos A, Grant JE, Fouche JP, Stein DJ, Lochner C.</w:t>
      </w:r>
      <w:r w:rsidR="00E11D38" w:rsidRPr="00091186">
        <w:rPr>
          <w:rFonts w:ascii="Times New Roman" w:hAnsi="Times New Roman"/>
          <w:color w:val="000000"/>
          <w:sz w:val="24"/>
          <w:szCs w:val="24"/>
          <w:shd w:val="clear" w:color="auto" w:fill="FFFFFF"/>
        </w:rPr>
        <w:t xml:space="preserve"> </w:t>
      </w:r>
      <w:r w:rsidRPr="00091186">
        <w:rPr>
          <w:rFonts w:ascii="Times New Roman" w:hAnsi="Times New Roman"/>
          <w:color w:val="000000"/>
          <w:sz w:val="24"/>
          <w:szCs w:val="24"/>
          <w:shd w:val="clear" w:color="auto" w:fill="FFFFFF"/>
        </w:rPr>
        <w:t xml:space="preserve">A comparison of brain volume and cortical thickness in excoriation (skin picking) disorder and trichotillomania (hair pulling disorder) in women. Behav Brain Res. </w:t>
      </w:r>
      <w:r w:rsidR="00764DF2" w:rsidRPr="00091186">
        <w:rPr>
          <w:rFonts w:ascii="Times New Roman" w:hAnsi="Times New Roman"/>
          <w:color w:val="000000"/>
          <w:sz w:val="24"/>
          <w:szCs w:val="24"/>
          <w:shd w:val="clear" w:color="auto" w:fill="FFFFFF"/>
        </w:rPr>
        <w:t xml:space="preserve">2015; </w:t>
      </w:r>
      <w:r w:rsidRPr="00091186">
        <w:rPr>
          <w:rFonts w:ascii="Times New Roman" w:hAnsi="Times New Roman"/>
          <w:color w:val="000000"/>
          <w:sz w:val="24"/>
          <w:szCs w:val="24"/>
          <w:shd w:val="clear" w:color="auto" w:fill="FFFFFF"/>
        </w:rPr>
        <w:t xml:space="preserve">279:255–258. </w:t>
      </w:r>
    </w:p>
    <w:p w14:paraId="0C4411D8" w14:textId="7B5FA1BA" w:rsidR="006C7EFA" w:rsidRPr="00091186" w:rsidRDefault="006C7EFA" w:rsidP="00A62140">
      <w:pPr>
        <w:pStyle w:val="ListParagraph"/>
        <w:numPr>
          <w:ilvl w:val="0"/>
          <w:numId w:val="18"/>
        </w:numPr>
        <w:tabs>
          <w:tab w:val="left" w:pos="360"/>
        </w:tabs>
        <w:spacing w:after="0" w:line="480" w:lineRule="auto"/>
        <w:ind w:left="0"/>
        <w:rPr>
          <w:rFonts w:ascii="Times New Roman" w:hAnsi="Times New Roman"/>
          <w:sz w:val="24"/>
          <w:szCs w:val="24"/>
        </w:rPr>
      </w:pPr>
      <w:r w:rsidRPr="00091186">
        <w:rPr>
          <w:rFonts w:ascii="Times New Roman" w:hAnsi="Times New Roman"/>
          <w:sz w:val="24"/>
          <w:szCs w:val="24"/>
        </w:rPr>
        <w:t xml:space="preserve">Odlaug BL, Hampshire A, Chamberlain SR, Grant JE. Abnormal brain activation in excoriation (skin-picking) disorder: evidence from an executive planning fMRI study. Br J Psychiatry. </w:t>
      </w:r>
      <w:r w:rsidR="00764DF2" w:rsidRPr="00091186">
        <w:rPr>
          <w:rFonts w:ascii="Times New Roman" w:hAnsi="Times New Roman"/>
          <w:sz w:val="24"/>
          <w:szCs w:val="24"/>
        </w:rPr>
        <w:t xml:space="preserve">2016; </w:t>
      </w:r>
      <w:r w:rsidRPr="00091186">
        <w:rPr>
          <w:rFonts w:ascii="Times New Roman" w:hAnsi="Times New Roman"/>
          <w:sz w:val="24"/>
          <w:szCs w:val="24"/>
        </w:rPr>
        <w:t xml:space="preserve">208(2):168–174. </w:t>
      </w:r>
    </w:p>
    <w:p w14:paraId="3B2D5A11" w14:textId="2FC0CFD5" w:rsidR="006C7EFA" w:rsidRPr="00091186" w:rsidRDefault="006C7EFA" w:rsidP="00A62140">
      <w:pPr>
        <w:pStyle w:val="ListParagraph"/>
        <w:numPr>
          <w:ilvl w:val="0"/>
          <w:numId w:val="18"/>
        </w:numPr>
        <w:spacing w:after="0" w:line="480" w:lineRule="auto"/>
        <w:ind w:left="0"/>
        <w:rPr>
          <w:rFonts w:ascii="Times New Roman" w:hAnsi="Times New Roman"/>
          <w:color w:val="000000"/>
          <w:sz w:val="24"/>
          <w:szCs w:val="24"/>
          <w:shd w:val="clear" w:color="auto" w:fill="FFFFFF"/>
        </w:rPr>
      </w:pPr>
      <w:r w:rsidRPr="00091186">
        <w:rPr>
          <w:rFonts w:ascii="Times New Roman" w:hAnsi="Times New Roman"/>
          <w:color w:val="000000"/>
          <w:sz w:val="24"/>
          <w:szCs w:val="24"/>
          <w:shd w:val="clear" w:color="auto" w:fill="FFFFFF"/>
        </w:rPr>
        <w:t xml:space="preserve">Schienle A, Übel S, Wabnegger A. Visual symptom provocation in skin picking disorder: an fMRI study. Brain Imaging Behav. </w:t>
      </w:r>
      <w:r w:rsidR="00764DF2" w:rsidRPr="00091186">
        <w:rPr>
          <w:rFonts w:ascii="Times New Roman" w:hAnsi="Times New Roman"/>
          <w:color w:val="000000"/>
          <w:sz w:val="24"/>
          <w:szCs w:val="24"/>
          <w:shd w:val="clear" w:color="auto" w:fill="FFFFFF"/>
        </w:rPr>
        <w:t xml:space="preserve">2018; </w:t>
      </w:r>
      <w:r w:rsidRPr="00091186">
        <w:rPr>
          <w:rFonts w:ascii="Times New Roman" w:hAnsi="Times New Roman"/>
          <w:color w:val="000000"/>
          <w:sz w:val="24"/>
          <w:szCs w:val="24"/>
          <w:shd w:val="clear" w:color="auto" w:fill="FFFFFF"/>
        </w:rPr>
        <w:t xml:space="preserve">12(5):1504–1512. </w:t>
      </w:r>
    </w:p>
    <w:p w14:paraId="4AC6C7BD" w14:textId="2AD6186E" w:rsidR="006C7EFA" w:rsidRPr="00091186" w:rsidRDefault="006C7EFA" w:rsidP="00A62140">
      <w:pPr>
        <w:pStyle w:val="ListParagraph"/>
        <w:numPr>
          <w:ilvl w:val="0"/>
          <w:numId w:val="18"/>
        </w:numPr>
        <w:spacing w:after="0" w:line="480" w:lineRule="auto"/>
        <w:ind w:left="0"/>
        <w:rPr>
          <w:rFonts w:ascii="Times New Roman" w:hAnsi="Times New Roman"/>
          <w:sz w:val="24"/>
          <w:szCs w:val="24"/>
        </w:rPr>
      </w:pPr>
      <w:r w:rsidRPr="00091186">
        <w:rPr>
          <w:rFonts w:ascii="Times New Roman" w:hAnsi="Times New Roman"/>
          <w:color w:val="212121"/>
          <w:sz w:val="24"/>
          <w:szCs w:val="24"/>
          <w:shd w:val="clear" w:color="auto" w:fill="FFFFFF"/>
        </w:rPr>
        <w:lastRenderedPageBreak/>
        <w:t xml:space="preserve">Chamberlain SR, Harries M, Redden SA, </w:t>
      </w:r>
      <w:r w:rsidR="001D3D95">
        <w:rPr>
          <w:rFonts w:ascii="Times New Roman" w:hAnsi="Times New Roman"/>
          <w:color w:val="212121"/>
          <w:sz w:val="24"/>
          <w:szCs w:val="24"/>
          <w:shd w:val="clear" w:color="auto" w:fill="FFFFFF"/>
        </w:rPr>
        <w:t xml:space="preserve">et al. </w:t>
      </w:r>
      <w:r w:rsidRPr="00091186">
        <w:rPr>
          <w:rFonts w:ascii="Times New Roman" w:hAnsi="Times New Roman"/>
          <w:color w:val="212121"/>
          <w:sz w:val="24"/>
          <w:szCs w:val="24"/>
          <w:shd w:val="clear" w:color="auto" w:fill="FFFFFF"/>
        </w:rPr>
        <w:t xml:space="preserve">Cortical thickness abnormalities in trichotillomania: international multi-site analysis. Brain Imaging Behav. </w:t>
      </w:r>
      <w:r w:rsidR="00764DF2" w:rsidRPr="00091186">
        <w:rPr>
          <w:rFonts w:ascii="Times New Roman" w:hAnsi="Times New Roman"/>
          <w:color w:val="212121"/>
          <w:sz w:val="24"/>
          <w:szCs w:val="24"/>
          <w:shd w:val="clear" w:color="auto" w:fill="FFFFFF"/>
        </w:rPr>
        <w:t xml:space="preserve">2018; </w:t>
      </w:r>
      <w:r w:rsidRPr="00091186">
        <w:rPr>
          <w:rFonts w:ascii="Times New Roman" w:hAnsi="Times New Roman"/>
          <w:color w:val="212121"/>
          <w:sz w:val="24"/>
          <w:szCs w:val="24"/>
          <w:shd w:val="clear" w:color="auto" w:fill="FFFFFF"/>
        </w:rPr>
        <w:t xml:space="preserve">12(3):823-828.. </w:t>
      </w:r>
    </w:p>
    <w:p w14:paraId="2FE30D11" w14:textId="3350347A" w:rsidR="006C7EFA" w:rsidRPr="00091186" w:rsidRDefault="006C7EFA" w:rsidP="00A62140">
      <w:pPr>
        <w:pStyle w:val="ListParagraph"/>
        <w:numPr>
          <w:ilvl w:val="0"/>
          <w:numId w:val="18"/>
        </w:numPr>
        <w:spacing w:after="0" w:line="480" w:lineRule="auto"/>
        <w:ind w:left="0"/>
        <w:rPr>
          <w:rFonts w:ascii="Times New Roman" w:hAnsi="Times New Roman"/>
          <w:color w:val="212121"/>
          <w:sz w:val="24"/>
          <w:szCs w:val="24"/>
          <w:shd w:val="clear" w:color="auto" w:fill="FFFFFF"/>
        </w:rPr>
      </w:pPr>
      <w:r w:rsidRPr="00091186">
        <w:rPr>
          <w:rFonts w:ascii="Times New Roman" w:hAnsi="Times New Roman"/>
          <w:color w:val="212121"/>
          <w:sz w:val="24"/>
          <w:szCs w:val="24"/>
          <w:shd w:val="clear" w:color="auto" w:fill="FFFFFF"/>
        </w:rPr>
        <w:t xml:space="preserve">Isobe M, Redden SA, Keuthen NJ, </w:t>
      </w:r>
      <w:r w:rsidR="001D3D95">
        <w:rPr>
          <w:rFonts w:ascii="Times New Roman" w:hAnsi="Times New Roman"/>
          <w:color w:val="212121"/>
          <w:sz w:val="24"/>
          <w:szCs w:val="24"/>
          <w:shd w:val="clear" w:color="auto" w:fill="FFFFFF"/>
        </w:rPr>
        <w:t xml:space="preserve">et al. </w:t>
      </w:r>
      <w:r w:rsidR="00B5672A" w:rsidRPr="00091186">
        <w:rPr>
          <w:rFonts w:ascii="Times New Roman" w:hAnsi="Times New Roman"/>
          <w:color w:val="212121"/>
          <w:sz w:val="24"/>
          <w:szCs w:val="24"/>
          <w:shd w:val="clear" w:color="auto" w:fill="FFFFFF"/>
        </w:rPr>
        <w:t>S</w:t>
      </w:r>
      <w:r w:rsidRPr="00091186">
        <w:rPr>
          <w:rFonts w:ascii="Times New Roman" w:hAnsi="Times New Roman"/>
          <w:color w:val="212121"/>
          <w:sz w:val="24"/>
          <w:szCs w:val="24"/>
          <w:shd w:val="clear" w:color="auto" w:fill="FFFFFF"/>
        </w:rPr>
        <w:t xml:space="preserve">triatal abnormalities in trichotillomania: a multi-site MRI analysis. Neuroimage Clin. </w:t>
      </w:r>
      <w:r w:rsidR="00764DF2" w:rsidRPr="00091186">
        <w:rPr>
          <w:rFonts w:ascii="Times New Roman" w:hAnsi="Times New Roman"/>
          <w:color w:val="212121"/>
          <w:sz w:val="24"/>
          <w:szCs w:val="24"/>
          <w:shd w:val="clear" w:color="auto" w:fill="FFFFFF"/>
        </w:rPr>
        <w:t xml:space="preserve">2018; </w:t>
      </w:r>
      <w:r w:rsidRPr="00091186">
        <w:rPr>
          <w:rFonts w:ascii="Times New Roman" w:hAnsi="Times New Roman"/>
          <w:color w:val="212121"/>
          <w:sz w:val="24"/>
          <w:szCs w:val="24"/>
          <w:shd w:val="clear" w:color="auto" w:fill="FFFFFF"/>
        </w:rPr>
        <w:t xml:space="preserve">17:893-898. </w:t>
      </w:r>
    </w:p>
    <w:p w14:paraId="522F46E5" w14:textId="78483490" w:rsidR="006C7EFA" w:rsidRPr="00091186" w:rsidRDefault="006C7EFA" w:rsidP="00A62140">
      <w:pPr>
        <w:pStyle w:val="ListParagraph"/>
        <w:numPr>
          <w:ilvl w:val="0"/>
          <w:numId w:val="18"/>
        </w:numPr>
        <w:spacing w:after="0" w:line="480" w:lineRule="auto"/>
        <w:ind w:left="0"/>
        <w:rPr>
          <w:rFonts w:ascii="Times New Roman" w:hAnsi="Times New Roman"/>
          <w:sz w:val="24"/>
          <w:szCs w:val="24"/>
        </w:rPr>
      </w:pPr>
      <w:r w:rsidRPr="00091186">
        <w:rPr>
          <w:rFonts w:ascii="Times New Roman" w:hAnsi="Times New Roman"/>
          <w:sz w:val="24"/>
          <w:szCs w:val="24"/>
        </w:rPr>
        <w:t xml:space="preserve">Wabnegger A, Schienle A. The Role of the Cerebellum in Skin-Picking Disorder. </w:t>
      </w:r>
    </w:p>
    <w:p w14:paraId="3F9325E7" w14:textId="738E2E08" w:rsidR="00091186" w:rsidRPr="00091186" w:rsidRDefault="006C7EFA" w:rsidP="00A62140">
      <w:pPr>
        <w:spacing w:line="480" w:lineRule="auto"/>
        <w:contextualSpacing/>
      </w:pPr>
      <w:r w:rsidRPr="00091186">
        <w:t xml:space="preserve">Cerebellum. </w:t>
      </w:r>
      <w:r w:rsidR="00764DF2" w:rsidRPr="00091186">
        <w:t xml:space="preserve">2019; </w:t>
      </w:r>
      <w:r w:rsidRPr="00091186">
        <w:t xml:space="preserve">18(1):91–98. </w:t>
      </w:r>
    </w:p>
    <w:p w14:paraId="70453E62" w14:textId="74AD95ED" w:rsidR="00091186" w:rsidRPr="00091186" w:rsidRDefault="00091186" w:rsidP="00A62140">
      <w:pPr>
        <w:pStyle w:val="ListParagraph"/>
        <w:numPr>
          <w:ilvl w:val="0"/>
          <w:numId w:val="18"/>
        </w:numPr>
        <w:spacing w:after="0" w:line="480" w:lineRule="auto"/>
        <w:ind w:left="0"/>
        <w:rPr>
          <w:rFonts w:ascii="Times New Roman" w:hAnsi="Times New Roman"/>
          <w:sz w:val="24"/>
          <w:szCs w:val="24"/>
        </w:rPr>
      </w:pPr>
      <w:r w:rsidRPr="00091186">
        <w:rPr>
          <w:rFonts w:ascii="Times New Roman" w:hAnsi="Times New Roman"/>
          <w:sz w:val="24"/>
          <w:szCs w:val="24"/>
        </w:rPr>
        <w:t xml:space="preserve">Okada K, Nakao T, Sanematsu H, </w:t>
      </w:r>
      <w:r w:rsidR="001D3D95">
        <w:rPr>
          <w:rFonts w:ascii="Times New Roman" w:hAnsi="Times New Roman"/>
          <w:sz w:val="24"/>
          <w:szCs w:val="24"/>
        </w:rPr>
        <w:t xml:space="preserve">et al. </w:t>
      </w:r>
      <w:r w:rsidRPr="00091186">
        <w:rPr>
          <w:rFonts w:ascii="Times New Roman" w:hAnsi="Times New Roman"/>
          <w:sz w:val="24"/>
          <w:szCs w:val="24"/>
        </w:rPr>
        <w:t>Biological heterogeneity of obsessive-compulsive disorder: A voxel-based morphometric study based on dimensional assessment. Psychiatry Clin Neurosci. 2015</w:t>
      </w:r>
      <w:r w:rsidR="00B506EC">
        <w:rPr>
          <w:rFonts w:ascii="Times New Roman" w:hAnsi="Times New Roman"/>
          <w:sz w:val="24"/>
          <w:szCs w:val="24"/>
        </w:rPr>
        <w:t>;</w:t>
      </w:r>
      <w:r w:rsidRPr="00091186">
        <w:rPr>
          <w:rFonts w:ascii="Times New Roman" w:hAnsi="Times New Roman"/>
          <w:sz w:val="24"/>
          <w:szCs w:val="24"/>
        </w:rPr>
        <w:t xml:space="preserve"> 69(7):411-21.</w:t>
      </w:r>
    </w:p>
    <w:p w14:paraId="130061CC" w14:textId="5986101B" w:rsidR="00A62140" w:rsidRDefault="00091186" w:rsidP="00A62140">
      <w:pPr>
        <w:pStyle w:val="ListParagraph"/>
        <w:numPr>
          <w:ilvl w:val="0"/>
          <w:numId w:val="18"/>
        </w:numPr>
        <w:spacing w:after="0" w:line="480" w:lineRule="auto"/>
        <w:ind w:left="0"/>
        <w:rPr>
          <w:rFonts w:ascii="Times New Roman" w:hAnsi="Times New Roman"/>
          <w:sz w:val="24"/>
          <w:szCs w:val="24"/>
        </w:rPr>
      </w:pPr>
      <w:r w:rsidRPr="00091186">
        <w:rPr>
          <w:rFonts w:ascii="Times New Roman" w:hAnsi="Times New Roman"/>
          <w:sz w:val="24"/>
          <w:szCs w:val="24"/>
        </w:rPr>
        <w:t xml:space="preserve">Subirà M, Alonso P, Segalàs C, </w:t>
      </w:r>
      <w:r w:rsidR="001D3D95">
        <w:rPr>
          <w:rFonts w:ascii="Times New Roman" w:hAnsi="Times New Roman"/>
          <w:sz w:val="24"/>
          <w:szCs w:val="24"/>
        </w:rPr>
        <w:t xml:space="preserve">et al. </w:t>
      </w:r>
      <w:r w:rsidRPr="00091186">
        <w:rPr>
          <w:rFonts w:ascii="Times New Roman" w:hAnsi="Times New Roman"/>
          <w:sz w:val="24"/>
          <w:szCs w:val="24"/>
        </w:rPr>
        <w:t xml:space="preserve">Brain structural alterations in obsessive-compulsive disorder patients with autogenous and reactive obsessions. PLoS One. 2013;8(9):e75273. </w:t>
      </w:r>
    </w:p>
    <w:p w14:paraId="4FAD2700" w14:textId="76BB9342" w:rsidR="00A62140" w:rsidRDefault="00091186" w:rsidP="00A62140">
      <w:pPr>
        <w:pStyle w:val="ListParagraph"/>
        <w:numPr>
          <w:ilvl w:val="0"/>
          <w:numId w:val="18"/>
        </w:numPr>
        <w:spacing w:after="0" w:line="480" w:lineRule="auto"/>
        <w:ind w:left="0"/>
        <w:rPr>
          <w:rFonts w:ascii="Times New Roman" w:hAnsi="Times New Roman"/>
          <w:sz w:val="24"/>
          <w:szCs w:val="24"/>
        </w:rPr>
      </w:pPr>
      <w:r w:rsidRPr="00A62140">
        <w:rPr>
          <w:rFonts w:ascii="Times New Roman" w:hAnsi="Times New Roman"/>
          <w:sz w:val="24"/>
          <w:szCs w:val="24"/>
        </w:rPr>
        <w:t xml:space="preserve">Grant JE, Peris TS, Ricketts EJ, </w:t>
      </w:r>
      <w:r w:rsidR="001D3D95">
        <w:rPr>
          <w:rFonts w:ascii="Times New Roman" w:hAnsi="Times New Roman"/>
          <w:sz w:val="24"/>
          <w:szCs w:val="24"/>
        </w:rPr>
        <w:t xml:space="preserve">et al. </w:t>
      </w:r>
      <w:r w:rsidRPr="00A62140">
        <w:rPr>
          <w:rFonts w:ascii="Times New Roman" w:hAnsi="Times New Roman"/>
          <w:sz w:val="24"/>
          <w:szCs w:val="24"/>
        </w:rPr>
        <w:t xml:space="preserve">Identifying subtypes of trichotillomania (hair pulling disorder) and excoriation (skin picking) disorder using mixture modeling in a multicenter sample. </w:t>
      </w:r>
      <w:r w:rsidRPr="00B506EC">
        <w:rPr>
          <w:rFonts w:ascii="Times New Roman" w:hAnsi="Times New Roman"/>
          <w:sz w:val="24"/>
          <w:szCs w:val="24"/>
        </w:rPr>
        <w:t xml:space="preserve">J Psychiatr Res. </w:t>
      </w:r>
      <w:r w:rsidR="00B506EC" w:rsidRPr="00B506EC">
        <w:rPr>
          <w:rStyle w:val="docsum-journal-citation"/>
          <w:rFonts w:ascii="Times New Roman" w:hAnsi="Times New Roman"/>
          <w:sz w:val="24"/>
          <w:szCs w:val="24"/>
        </w:rPr>
        <w:t>2021 May;137:603-612.</w:t>
      </w:r>
      <w:r w:rsidRPr="00A62140">
        <w:rPr>
          <w:rFonts w:ascii="Times New Roman" w:hAnsi="Times New Roman"/>
          <w:sz w:val="24"/>
          <w:szCs w:val="24"/>
        </w:rPr>
        <w:t xml:space="preserve"> </w:t>
      </w:r>
    </w:p>
    <w:p w14:paraId="56D5A2C7" w14:textId="377179EE" w:rsidR="00A62140" w:rsidRDefault="00A62140" w:rsidP="00A62140">
      <w:pPr>
        <w:pStyle w:val="ListParagraph"/>
        <w:numPr>
          <w:ilvl w:val="0"/>
          <w:numId w:val="18"/>
        </w:numPr>
        <w:spacing w:after="0" w:line="480" w:lineRule="auto"/>
        <w:ind w:left="0"/>
        <w:rPr>
          <w:rFonts w:ascii="Times New Roman" w:hAnsi="Times New Roman"/>
          <w:sz w:val="24"/>
          <w:szCs w:val="24"/>
        </w:rPr>
      </w:pPr>
      <w:r w:rsidRPr="00B506EC">
        <w:rPr>
          <w:rFonts w:ascii="Times New Roman" w:hAnsi="Times New Roman"/>
          <w:sz w:val="24"/>
          <w:szCs w:val="24"/>
          <w:shd w:val="clear" w:color="auto" w:fill="FFFFFF"/>
        </w:rPr>
        <w:t>Sheehan DV, Lecrubier Y, Sheehan KH, et al. The Mini-International Neuropsychiatric Interview (M.I.N.I.): the</w:t>
      </w:r>
      <w:r w:rsidRPr="00A62140">
        <w:rPr>
          <w:rFonts w:ascii="Times New Roman" w:hAnsi="Times New Roman"/>
          <w:sz w:val="24"/>
          <w:szCs w:val="24"/>
          <w:shd w:val="clear" w:color="auto" w:fill="FFFFFF"/>
        </w:rPr>
        <w:t xml:space="preserve"> development and validation of a structured diagnostic psychiatric interview for DSM-IV and ICD-10. </w:t>
      </w:r>
      <w:r w:rsidRPr="00A62140">
        <w:rPr>
          <w:rFonts w:ascii="Times New Roman" w:hAnsi="Times New Roman"/>
          <w:i/>
          <w:iCs/>
          <w:sz w:val="24"/>
          <w:szCs w:val="24"/>
          <w:shd w:val="clear" w:color="auto" w:fill="FFFFFF"/>
        </w:rPr>
        <w:t>J Clin Psychiatry</w:t>
      </w:r>
      <w:r w:rsidRPr="00A62140">
        <w:rPr>
          <w:rFonts w:ascii="Times New Roman" w:hAnsi="Times New Roman"/>
          <w:sz w:val="24"/>
          <w:szCs w:val="24"/>
          <w:shd w:val="clear" w:color="auto" w:fill="FFFFFF"/>
        </w:rPr>
        <w:t>.1998; 59:Suppl 20:22–57.</w:t>
      </w:r>
      <w:r w:rsidRPr="00A62140">
        <w:rPr>
          <w:rFonts w:ascii="Times New Roman" w:hAnsi="Times New Roman"/>
          <w:sz w:val="24"/>
          <w:szCs w:val="24"/>
        </w:rPr>
        <w:t xml:space="preserve"> </w:t>
      </w:r>
    </w:p>
    <w:p w14:paraId="7B7E33CA" w14:textId="6BA246DD" w:rsidR="00B506EC" w:rsidRPr="00B506EC" w:rsidRDefault="00B506EC" w:rsidP="00A62140">
      <w:pPr>
        <w:pStyle w:val="ListParagraph"/>
        <w:numPr>
          <w:ilvl w:val="0"/>
          <w:numId w:val="18"/>
        </w:numPr>
        <w:spacing w:after="0" w:line="480" w:lineRule="auto"/>
        <w:ind w:left="0"/>
        <w:rPr>
          <w:rFonts w:ascii="Times New Roman" w:hAnsi="Times New Roman"/>
          <w:sz w:val="24"/>
          <w:szCs w:val="24"/>
        </w:rPr>
      </w:pPr>
      <w:r w:rsidRPr="00B506EC">
        <w:rPr>
          <w:rFonts w:ascii="Times New Roman" w:hAnsi="Times New Roman"/>
          <w:sz w:val="24"/>
          <w:szCs w:val="24"/>
        </w:rPr>
        <w:t xml:space="preserve">Fischl B, van der Kouwe A, Destrieux C, </w:t>
      </w:r>
      <w:r w:rsidR="001D3D95">
        <w:rPr>
          <w:rFonts w:ascii="Times New Roman" w:hAnsi="Times New Roman"/>
          <w:sz w:val="24"/>
          <w:szCs w:val="24"/>
        </w:rPr>
        <w:t xml:space="preserve">et al. </w:t>
      </w:r>
      <w:r w:rsidRPr="00B506EC">
        <w:rPr>
          <w:rFonts w:ascii="Times New Roman" w:hAnsi="Times New Roman"/>
          <w:sz w:val="24"/>
          <w:szCs w:val="24"/>
        </w:rPr>
        <w:t>Automatically parcellating the human cerebral cortex. Cereb Cortex. 2004;14(1):11-22.</w:t>
      </w:r>
    </w:p>
    <w:p w14:paraId="745C798A" w14:textId="49A57C20" w:rsidR="006601A0" w:rsidRPr="006601A0" w:rsidRDefault="00B506EC" w:rsidP="00A62140">
      <w:pPr>
        <w:pStyle w:val="ListParagraph"/>
        <w:numPr>
          <w:ilvl w:val="0"/>
          <w:numId w:val="18"/>
        </w:numPr>
        <w:spacing w:after="0" w:line="480" w:lineRule="auto"/>
        <w:ind w:left="0"/>
        <w:rPr>
          <w:rFonts w:ascii="Times New Roman" w:hAnsi="Times New Roman"/>
          <w:sz w:val="24"/>
          <w:szCs w:val="24"/>
        </w:rPr>
      </w:pPr>
      <w:r w:rsidRPr="006601A0">
        <w:rPr>
          <w:rFonts w:ascii="Times New Roman" w:hAnsi="Times New Roman"/>
          <w:sz w:val="24"/>
          <w:szCs w:val="24"/>
        </w:rPr>
        <w:t xml:space="preserve">Rosen AFG, Roalf DR, Ruparel K, </w:t>
      </w:r>
      <w:r w:rsidR="001D3D95">
        <w:rPr>
          <w:rFonts w:ascii="Times New Roman" w:hAnsi="Times New Roman"/>
          <w:sz w:val="24"/>
          <w:szCs w:val="24"/>
        </w:rPr>
        <w:t xml:space="preserve">et al. </w:t>
      </w:r>
      <w:r w:rsidRPr="006601A0">
        <w:rPr>
          <w:rFonts w:ascii="Times New Roman" w:hAnsi="Times New Roman"/>
          <w:sz w:val="24"/>
          <w:szCs w:val="24"/>
        </w:rPr>
        <w:t>Quantitative assessment of structural image quality. Neuroimage. 2018 Apr 1;169:407-418.</w:t>
      </w:r>
    </w:p>
    <w:p w14:paraId="14C8254B" w14:textId="77777777" w:rsidR="006601A0" w:rsidRPr="006601A0" w:rsidRDefault="006601A0" w:rsidP="00A62140">
      <w:pPr>
        <w:pStyle w:val="ListParagraph"/>
        <w:numPr>
          <w:ilvl w:val="0"/>
          <w:numId w:val="18"/>
        </w:numPr>
        <w:spacing w:after="0" w:line="480" w:lineRule="auto"/>
        <w:ind w:left="0"/>
        <w:rPr>
          <w:rFonts w:ascii="Times New Roman" w:hAnsi="Times New Roman"/>
          <w:sz w:val="24"/>
          <w:szCs w:val="24"/>
        </w:rPr>
      </w:pPr>
      <w:r w:rsidRPr="006601A0">
        <w:rPr>
          <w:rFonts w:ascii="Times New Roman" w:hAnsi="Times New Roman"/>
          <w:sz w:val="24"/>
          <w:szCs w:val="24"/>
        </w:rPr>
        <w:lastRenderedPageBreak/>
        <w:t xml:space="preserve">Greve DN, Fischl B. False positive rates in surface-based anatomical analysis. Neuroimage. 2018 May 1;171:6-14. </w:t>
      </w:r>
    </w:p>
    <w:p w14:paraId="72B78AED" w14:textId="14F3DF63" w:rsidR="00A62140" w:rsidRPr="006601A0" w:rsidRDefault="00A62140" w:rsidP="00A62140">
      <w:pPr>
        <w:pStyle w:val="ListParagraph"/>
        <w:numPr>
          <w:ilvl w:val="0"/>
          <w:numId w:val="18"/>
        </w:numPr>
        <w:spacing w:after="0" w:line="480" w:lineRule="auto"/>
        <w:ind w:left="0"/>
        <w:rPr>
          <w:rFonts w:ascii="Times New Roman" w:hAnsi="Times New Roman"/>
          <w:sz w:val="24"/>
          <w:szCs w:val="24"/>
        </w:rPr>
      </w:pPr>
      <w:r w:rsidRPr="006601A0">
        <w:rPr>
          <w:rFonts w:ascii="Times New Roman" w:hAnsi="Times New Roman"/>
          <w:sz w:val="24"/>
          <w:szCs w:val="24"/>
        </w:rPr>
        <w:t xml:space="preserve">Ding J, Wang Y, Wang C, </w:t>
      </w:r>
      <w:r w:rsidR="001D3D95">
        <w:rPr>
          <w:rFonts w:ascii="Times New Roman" w:hAnsi="Times New Roman"/>
          <w:sz w:val="24"/>
          <w:szCs w:val="24"/>
        </w:rPr>
        <w:t xml:space="preserve">et al. </w:t>
      </w:r>
      <w:r w:rsidRPr="006601A0">
        <w:rPr>
          <w:rFonts w:ascii="Times New Roman" w:hAnsi="Times New Roman"/>
          <w:sz w:val="24"/>
          <w:szCs w:val="24"/>
        </w:rPr>
        <w:t xml:space="preserve">Negative Impact of Sadness on Response Inhibition in Females: An Explicit Emotional Stop Signal Task fMRI Study. Front Behav Neurosci. 2020;14:119. </w:t>
      </w:r>
    </w:p>
    <w:p w14:paraId="360BFCC5" w14:textId="307E84A4" w:rsidR="00A62140" w:rsidRPr="006601A0" w:rsidRDefault="00A62140" w:rsidP="00A62140">
      <w:pPr>
        <w:pStyle w:val="ListParagraph"/>
        <w:numPr>
          <w:ilvl w:val="0"/>
          <w:numId w:val="18"/>
        </w:numPr>
        <w:spacing w:after="0" w:line="480" w:lineRule="auto"/>
        <w:ind w:left="0"/>
        <w:rPr>
          <w:rFonts w:ascii="Times New Roman" w:hAnsi="Times New Roman"/>
          <w:sz w:val="24"/>
          <w:szCs w:val="24"/>
        </w:rPr>
      </w:pPr>
      <w:r w:rsidRPr="006601A0">
        <w:rPr>
          <w:rFonts w:ascii="Times New Roman" w:hAnsi="Times New Roman"/>
          <w:sz w:val="24"/>
          <w:szCs w:val="24"/>
        </w:rPr>
        <w:t xml:space="preserve">Chikara RK, Chang EC, Lu YC, Lin DS, Lin CT, Ko LW. Monetary Reward and Punishment to Response Inhibition Modulate Activation and Synchronization Within the Inhibitory Brain Network. Front Hum Neurosci. 2018;12:27. </w:t>
      </w:r>
    </w:p>
    <w:p w14:paraId="28D3B861" w14:textId="51C08BEE" w:rsidR="004F7B0E" w:rsidRPr="006601A0" w:rsidRDefault="003C62FB" w:rsidP="004F7B0E">
      <w:pPr>
        <w:pStyle w:val="ListParagraph"/>
        <w:numPr>
          <w:ilvl w:val="0"/>
          <w:numId w:val="18"/>
        </w:numPr>
        <w:spacing w:after="0" w:line="480" w:lineRule="auto"/>
        <w:ind w:left="0"/>
        <w:rPr>
          <w:rFonts w:ascii="Times New Roman" w:hAnsi="Times New Roman"/>
          <w:sz w:val="24"/>
          <w:szCs w:val="24"/>
        </w:rPr>
      </w:pPr>
      <w:r w:rsidRPr="006601A0">
        <w:rPr>
          <w:rFonts w:ascii="Times New Roman" w:hAnsi="Times New Roman"/>
          <w:sz w:val="24"/>
          <w:szCs w:val="24"/>
        </w:rPr>
        <w:t xml:space="preserve">Chamberlain SR, Fineberg NA, Blackwell AD, Robbins TW, Sahakian BJ. Motor inhibition and cognitive flexibility in obsessive-compulsive disorder and trichotillomania. Am J Psychiatry. 2006;163(7):1282-4. </w:t>
      </w:r>
    </w:p>
    <w:p w14:paraId="75F6C507" w14:textId="62E0BC39" w:rsidR="004F7B0E" w:rsidRPr="004F7B0E" w:rsidRDefault="004F7B0E" w:rsidP="004F7B0E">
      <w:pPr>
        <w:pStyle w:val="ListParagraph"/>
        <w:numPr>
          <w:ilvl w:val="0"/>
          <w:numId w:val="18"/>
        </w:numPr>
        <w:spacing w:after="0" w:line="480" w:lineRule="auto"/>
        <w:ind w:left="0"/>
        <w:rPr>
          <w:rFonts w:ascii="Times New Roman" w:hAnsi="Times New Roman"/>
          <w:sz w:val="24"/>
          <w:szCs w:val="24"/>
        </w:rPr>
      </w:pPr>
      <w:r w:rsidRPr="006601A0">
        <w:rPr>
          <w:rFonts w:ascii="Times New Roman" w:hAnsi="Times New Roman"/>
          <w:color w:val="212121"/>
          <w:sz w:val="24"/>
          <w:szCs w:val="24"/>
          <w:shd w:val="clear" w:color="auto" w:fill="FFFFFF"/>
        </w:rPr>
        <w:t xml:space="preserve">White MP, Shirer WR, Molfino MJ, </w:t>
      </w:r>
      <w:r w:rsidRPr="006601A0">
        <w:rPr>
          <w:rStyle w:val="docsum-authors"/>
          <w:rFonts w:ascii="Times New Roman" w:hAnsi="Times New Roman"/>
          <w:sz w:val="24"/>
          <w:szCs w:val="24"/>
        </w:rPr>
        <w:t>Tenison C, Damoiseaux JS, Greicius MD.</w:t>
      </w:r>
      <w:r w:rsidRPr="004F7B0E">
        <w:rPr>
          <w:rStyle w:val="docsum-authors"/>
          <w:rFonts w:ascii="Times New Roman" w:hAnsi="Times New Roman"/>
          <w:sz w:val="24"/>
          <w:szCs w:val="24"/>
        </w:rPr>
        <w:t xml:space="preserve"> </w:t>
      </w:r>
      <w:r w:rsidRPr="004F7B0E">
        <w:rPr>
          <w:rFonts w:ascii="Times New Roman" w:hAnsi="Times New Roman"/>
          <w:color w:val="212121"/>
          <w:sz w:val="24"/>
          <w:szCs w:val="24"/>
          <w:shd w:val="clear" w:color="auto" w:fill="FFFFFF"/>
        </w:rPr>
        <w:t xml:space="preserve">Disordered reward processing and functional connectivity in trichotillomania: a pilot study. J Psychiatr Res. 2013; 47(9):1264-72. </w:t>
      </w:r>
    </w:p>
    <w:p w14:paraId="31BC5DB8" w14:textId="6A695E88" w:rsidR="001210D8" w:rsidRPr="006601A0" w:rsidRDefault="000B3EE9" w:rsidP="006646F5">
      <w:pPr>
        <w:pStyle w:val="ListParagraph"/>
        <w:numPr>
          <w:ilvl w:val="0"/>
          <w:numId w:val="18"/>
        </w:numPr>
        <w:spacing w:after="0" w:line="480" w:lineRule="auto"/>
        <w:ind w:left="0" w:hanging="720"/>
        <w:rPr>
          <w:color w:val="212121"/>
          <w:shd w:val="clear" w:color="auto" w:fill="FFFFFF"/>
        </w:rPr>
      </w:pPr>
      <w:r w:rsidRPr="006601A0">
        <w:rPr>
          <w:rFonts w:ascii="Times New Roman" w:hAnsi="Times New Roman"/>
          <w:color w:val="212121"/>
          <w:sz w:val="24"/>
          <w:szCs w:val="24"/>
          <w:shd w:val="clear" w:color="auto" w:fill="FFFFFF"/>
        </w:rPr>
        <w:t>Odlaug BL, Chamberlain SR, Derbyshire KL,</w:t>
      </w:r>
      <w:r w:rsidR="00B31857" w:rsidRPr="006601A0">
        <w:rPr>
          <w:rFonts w:ascii="Times New Roman" w:hAnsi="Times New Roman"/>
          <w:color w:val="212121"/>
          <w:sz w:val="24"/>
          <w:szCs w:val="24"/>
          <w:shd w:val="clear" w:color="auto" w:fill="FFFFFF"/>
        </w:rPr>
        <w:t xml:space="preserve"> Leppink EW, Grant J</w:t>
      </w:r>
      <w:r w:rsidR="001D3D95">
        <w:rPr>
          <w:rFonts w:ascii="Times New Roman" w:hAnsi="Times New Roman"/>
          <w:color w:val="212121"/>
          <w:sz w:val="24"/>
          <w:szCs w:val="24"/>
          <w:shd w:val="clear" w:color="auto" w:fill="FFFFFF"/>
        </w:rPr>
        <w:t>E</w:t>
      </w:r>
      <w:r w:rsidR="00B31857" w:rsidRPr="006601A0">
        <w:rPr>
          <w:rFonts w:ascii="Times New Roman" w:hAnsi="Times New Roman"/>
          <w:color w:val="212121"/>
          <w:sz w:val="24"/>
          <w:szCs w:val="24"/>
          <w:shd w:val="clear" w:color="auto" w:fill="FFFFFF"/>
        </w:rPr>
        <w:t>.</w:t>
      </w:r>
      <w:r w:rsidRPr="006601A0">
        <w:rPr>
          <w:rFonts w:ascii="Times New Roman" w:hAnsi="Times New Roman"/>
          <w:color w:val="212121"/>
          <w:sz w:val="24"/>
          <w:szCs w:val="24"/>
          <w:shd w:val="clear" w:color="auto" w:fill="FFFFFF"/>
        </w:rPr>
        <w:t xml:space="preserve"> Impaired response inhibition and excess cortical thickness as candidate endophenotypes for trichotillomania. J Psychiatr Res. </w:t>
      </w:r>
      <w:r w:rsidR="00764DF2" w:rsidRPr="006601A0">
        <w:rPr>
          <w:rFonts w:ascii="Times New Roman" w:hAnsi="Times New Roman"/>
          <w:color w:val="212121"/>
          <w:sz w:val="24"/>
          <w:szCs w:val="24"/>
          <w:shd w:val="clear" w:color="auto" w:fill="FFFFFF"/>
        </w:rPr>
        <w:t xml:space="preserve">2014; </w:t>
      </w:r>
      <w:r w:rsidRPr="006601A0">
        <w:rPr>
          <w:rFonts w:ascii="Times New Roman" w:hAnsi="Times New Roman"/>
          <w:color w:val="212121"/>
          <w:sz w:val="24"/>
          <w:szCs w:val="24"/>
          <w:shd w:val="clear" w:color="auto" w:fill="FFFFFF"/>
        </w:rPr>
        <w:t xml:space="preserve">59:167-73. </w:t>
      </w:r>
    </w:p>
    <w:p w14:paraId="3A974487" w14:textId="110C5D5E" w:rsidR="001210D8" w:rsidRDefault="001210D8" w:rsidP="006646F5">
      <w:pPr>
        <w:spacing w:line="480" w:lineRule="auto"/>
        <w:ind w:hanging="720"/>
        <w:rPr>
          <w:color w:val="212121"/>
          <w:shd w:val="clear" w:color="auto" w:fill="FFFFFF"/>
        </w:rPr>
      </w:pPr>
    </w:p>
    <w:p w14:paraId="6B1D75D7" w14:textId="77777777" w:rsidR="001210D8" w:rsidRPr="001210D8" w:rsidRDefault="001210D8" w:rsidP="001210D8">
      <w:pPr>
        <w:spacing w:after="220" w:line="480" w:lineRule="auto"/>
        <w:ind w:hanging="440"/>
      </w:pPr>
    </w:p>
    <w:p w14:paraId="7D7C3568" w14:textId="28C54F7F" w:rsidR="004F2934" w:rsidRDefault="004F2934" w:rsidP="002302AC"/>
    <w:sectPr w:rsidR="004F2934" w:rsidSect="00A87D73">
      <w:footerReference w:type="default" r:id="rId13"/>
      <w:pgSz w:w="12240" w:h="15840" w:code="1"/>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574729" w15:done="0"/>
  <w15:commentEx w15:paraId="3F136036" w15:done="0"/>
  <w15:commentEx w15:paraId="318A3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508D" w14:textId="77777777" w:rsidR="00037073" w:rsidRDefault="00037073">
      <w:r>
        <w:separator/>
      </w:r>
    </w:p>
  </w:endnote>
  <w:endnote w:type="continuationSeparator" w:id="0">
    <w:p w14:paraId="236B8329" w14:textId="77777777" w:rsidR="00037073" w:rsidRDefault="0003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77713"/>
      <w:docPartObj>
        <w:docPartGallery w:val="Page Numbers (Bottom of Page)"/>
        <w:docPartUnique/>
      </w:docPartObj>
    </w:sdtPr>
    <w:sdtEndPr>
      <w:rPr>
        <w:noProof/>
      </w:rPr>
    </w:sdtEndPr>
    <w:sdtContent>
      <w:p w14:paraId="0D0DF3E4" w14:textId="0AA9FBDC" w:rsidR="00CD5E71" w:rsidRDefault="00CD5E71">
        <w:pPr>
          <w:pStyle w:val="Footer"/>
          <w:jc w:val="center"/>
        </w:pPr>
        <w:r>
          <w:fldChar w:fldCharType="begin"/>
        </w:r>
        <w:r>
          <w:instrText xml:space="preserve"> PAGE   \* MERGEFORMAT </w:instrText>
        </w:r>
        <w:r>
          <w:fldChar w:fldCharType="separate"/>
        </w:r>
        <w:r w:rsidR="001D3D95">
          <w:rPr>
            <w:noProof/>
          </w:rPr>
          <w:t>2</w:t>
        </w:r>
        <w:r>
          <w:rPr>
            <w:noProof/>
          </w:rPr>
          <w:fldChar w:fldCharType="end"/>
        </w:r>
      </w:p>
    </w:sdtContent>
  </w:sdt>
  <w:p w14:paraId="73A8CC1C" w14:textId="599D929A" w:rsidR="00CD5E71" w:rsidRPr="00E75B52" w:rsidRDefault="00CD5E71" w:rsidP="0058599D">
    <w:pPr>
      <w:pStyle w:val="Footer"/>
      <w:ind w:right="360"/>
      <w:rPr>
        <w:rStyle w:val="textcontro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A4A19" w14:textId="77777777" w:rsidR="00037073" w:rsidRDefault="00037073">
      <w:r>
        <w:separator/>
      </w:r>
    </w:p>
  </w:footnote>
  <w:footnote w:type="continuationSeparator" w:id="0">
    <w:p w14:paraId="4ECC7818" w14:textId="77777777" w:rsidR="00037073" w:rsidRDefault="00037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618"/>
    <w:multiLevelType w:val="hybridMultilevel"/>
    <w:tmpl w:val="6CDCAB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B1B05"/>
    <w:multiLevelType w:val="hybridMultilevel"/>
    <w:tmpl w:val="2F8C5A6A"/>
    <w:lvl w:ilvl="0" w:tplc="9FC00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B1323"/>
    <w:multiLevelType w:val="hybridMultilevel"/>
    <w:tmpl w:val="ECA87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D6EDE"/>
    <w:multiLevelType w:val="hybridMultilevel"/>
    <w:tmpl w:val="5C942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C264A"/>
    <w:multiLevelType w:val="multilevel"/>
    <w:tmpl w:val="26D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E45D5"/>
    <w:multiLevelType w:val="hybridMultilevel"/>
    <w:tmpl w:val="A0D6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C3A8B"/>
    <w:multiLevelType w:val="hybridMultilevel"/>
    <w:tmpl w:val="78085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C3433"/>
    <w:multiLevelType w:val="hybridMultilevel"/>
    <w:tmpl w:val="F328D0E0"/>
    <w:lvl w:ilvl="0" w:tplc="AB58D96C">
      <w:start w:val="1"/>
      <w:numFmt w:val="bullet"/>
      <w:lvlText w:val=""/>
      <w:lvlJc w:val="left"/>
      <w:pPr>
        <w:tabs>
          <w:tab w:val="num" w:pos="216"/>
        </w:tabs>
        <w:ind w:left="216" w:hanging="216"/>
      </w:pPr>
      <w:rPr>
        <w:rFonts w:ascii="Symbol" w:hAnsi="Symbol" w:hint="default"/>
        <w:sz w:val="20"/>
      </w:rPr>
    </w:lvl>
    <w:lvl w:ilvl="1" w:tplc="7B060D0C">
      <w:start w:val="1"/>
      <w:numFmt w:val="bullet"/>
      <w:lvlText w:val=""/>
      <w:lvlJc w:val="left"/>
      <w:pPr>
        <w:tabs>
          <w:tab w:val="num" w:pos="936"/>
        </w:tabs>
        <w:ind w:left="936" w:hanging="216"/>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D5649D"/>
    <w:multiLevelType w:val="hybridMultilevel"/>
    <w:tmpl w:val="68A4C53A"/>
    <w:lvl w:ilvl="0" w:tplc="7B060D0C">
      <w:start w:val="1"/>
      <w:numFmt w:val="bullet"/>
      <w:lvlText w:val=""/>
      <w:lvlJc w:val="left"/>
      <w:pPr>
        <w:tabs>
          <w:tab w:val="num" w:pos="216"/>
        </w:tabs>
        <w:ind w:left="216" w:hanging="216"/>
      </w:pPr>
      <w:rPr>
        <w:rFonts w:ascii="Symbol" w:hAnsi="Symbol" w:hint="default"/>
        <w:b w:val="0"/>
        <w:i w:val="0"/>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6D3A77"/>
    <w:multiLevelType w:val="multilevel"/>
    <w:tmpl w:val="5FE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42BE2"/>
    <w:multiLevelType w:val="hybridMultilevel"/>
    <w:tmpl w:val="2F1E09DC"/>
    <w:lvl w:ilvl="0" w:tplc="675ED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06FF2"/>
    <w:multiLevelType w:val="hybridMultilevel"/>
    <w:tmpl w:val="877E793E"/>
    <w:lvl w:ilvl="0" w:tplc="0B983862">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A3848"/>
    <w:multiLevelType w:val="hybridMultilevel"/>
    <w:tmpl w:val="B8AAD5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E26BFA"/>
    <w:multiLevelType w:val="hybridMultilevel"/>
    <w:tmpl w:val="60309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B174E"/>
    <w:multiLevelType w:val="multilevel"/>
    <w:tmpl w:val="6036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87F0E"/>
    <w:multiLevelType w:val="multilevel"/>
    <w:tmpl w:val="12D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D2BB6"/>
    <w:multiLevelType w:val="hybridMultilevel"/>
    <w:tmpl w:val="E36EA4E2"/>
    <w:lvl w:ilvl="0" w:tplc="9D049DAE">
      <w:start w:val="1"/>
      <w:numFmt w:val="lowerLetter"/>
      <w:lvlText w:val="%1."/>
      <w:lvlJc w:val="left"/>
      <w:pPr>
        <w:tabs>
          <w:tab w:val="num" w:pos="720"/>
        </w:tabs>
        <w:ind w:left="720" w:hanging="360"/>
      </w:pPr>
      <w:rPr>
        <w:rFonts w:ascii="Times New Roman" w:eastAsia="Times New Roman" w:hAnsi="Times New Roman"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8423EB5"/>
    <w:multiLevelType w:val="hybridMultilevel"/>
    <w:tmpl w:val="DAA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6"/>
  </w:num>
  <w:num w:numId="5">
    <w:abstractNumId w:val="12"/>
  </w:num>
  <w:num w:numId="6">
    <w:abstractNumId w:val="3"/>
  </w:num>
  <w:num w:numId="7">
    <w:abstractNumId w:val="13"/>
  </w:num>
  <w:num w:numId="8">
    <w:abstractNumId w:val="2"/>
  </w:num>
  <w:num w:numId="9">
    <w:abstractNumId w:val="5"/>
  </w:num>
  <w:num w:numId="10">
    <w:abstractNumId w:val="15"/>
  </w:num>
  <w:num w:numId="11">
    <w:abstractNumId w:val="11"/>
  </w:num>
  <w:num w:numId="12">
    <w:abstractNumId w:val="10"/>
  </w:num>
  <w:num w:numId="13">
    <w:abstractNumId w:val="1"/>
  </w:num>
  <w:num w:numId="14">
    <w:abstractNumId w:val="9"/>
  </w:num>
  <w:num w:numId="15">
    <w:abstractNumId w:val="4"/>
  </w:num>
  <w:num w:numId="16">
    <w:abstractNumId w:val="14"/>
  </w:num>
  <w:num w:numId="17">
    <w:abstractNumId w:val="17"/>
  </w:num>
  <w:num w:numId="1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C">
    <w15:presenceInfo w15:providerId="None" w15:userId="SRC"/>
  </w15:person>
  <w15:person w15:author="Richard Bethlehem">
    <w15:presenceInfo w15:providerId="AD" w15:userId="S::rb643@medschl.cam.ac.uk::8565b38b-a8ad-4cd3-ab46-e2c42510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5A"/>
    <w:rsid w:val="00000558"/>
    <w:rsid w:val="00003309"/>
    <w:rsid w:val="00004E2A"/>
    <w:rsid w:val="00013308"/>
    <w:rsid w:val="00013311"/>
    <w:rsid w:val="000135BF"/>
    <w:rsid w:val="00015ABA"/>
    <w:rsid w:val="000203D8"/>
    <w:rsid w:val="00021DB0"/>
    <w:rsid w:val="00023841"/>
    <w:rsid w:val="000260C0"/>
    <w:rsid w:val="000264D2"/>
    <w:rsid w:val="000325AE"/>
    <w:rsid w:val="00037073"/>
    <w:rsid w:val="00037CEA"/>
    <w:rsid w:val="000415AF"/>
    <w:rsid w:val="0004226A"/>
    <w:rsid w:val="0004415F"/>
    <w:rsid w:val="000442FB"/>
    <w:rsid w:val="000446F7"/>
    <w:rsid w:val="000501DF"/>
    <w:rsid w:val="00052295"/>
    <w:rsid w:val="00052317"/>
    <w:rsid w:val="00060856"/>
    <w:rsid w:val="000617E5"/>
    <w:rsid w:val="0007754A"/>
    <w:rsid w:val="00077DDB"/>
    <w:rsid w:val="00080B1F"/>
    <w:rsid w:val="0008175F"/>
    <w:rsid w:val="000842C3"/>
    <w:rsid w:val="000848D6"/>
    <w:rsid w:val="00084C29"/>
    <w:rsid w:val="00084EB5"/>
    <w:rsid w:val="00085C5A"/>
    <w:rsid w:val="000868A4"/>
    <w:rsid w:val="00087CB8"/>
    <w:rsid w:val="00091186"/>
    <w:rsid w:val="00091C6C"/>
    <w:rsid w:val="000971AE"/>
    <w:rsid w:val="000A3814"/>
    <w:rsid w:val="000A53BD"/>
    <w:rsid w:val="000B023B"/>
    <w:rsid w:val="000B1F44"/>
    <w:rsid w:val="000B3EE9"/>
    <w:rsid w:val="000B594A"/>
    <w:rsid w:val="000B7171"/>
    <w:rsid w:val="000C04BE"/>
    <w:rsid w:val="000C2015"/>
    <w:rsid w:val="000C2ED3"/>
    <w:rsid w:val="000C332E"/>
    <w:rsid w:val="000C4349"/>
    <w:rsid w:val="000C5C11"/>
    <w:rsid w:val="000C6F48"/>
    <w:rsid w:val="000D0E20"/>
    <w:rsid w:val="000D27DD"/>
    <w:rsid w:val="000D2D95"/>
    <w:rsid w:val="000E5295"/>
    <w:rsid w:val="000E7404"/>
    <w:rsid w:val="000F30C0"/>
    <w:rsid w:val="000F46E0"/>
    <w:rsid w:val="000F4D47"/>
    <w:rsid w:val="000F4D9B"/>
    <w:rsid w:val="000F56C4"/>
    <w:rsid w:val="000F6389"/>
    <w:rsid w:val="00101A4D"/>
    <w:rsid w:val="001065A5"/>
    <w:rsid w:val="00106851"/>
    <w:rsid w:val="00111DA0"/>
    <w:rsid w:val="00117E11"/>
    <w:rsid w:val="001210D8"/>
    <w:rsid w:val="001214FA"/>
    <w:rsid w:val="00123B29"/>
    <w:rsid w:val="0012571C"/>
    <w:rsid w:val="00127C09"/>
    <w:rsid w:val="00136AA5"/>
    <w:rsid w:val="00141727"/>
    <w:rsid w:val="00142B3C"/>
    <w:rsid w:val="00143901"/>
    <w:rsid w:val="00144998"/>
    <w:rsid w:val="00144A31"/>
    <w:rsid w:val="00151D4A"/>
    <w:rsid w:val="00151F14"/>
    <w:rsid w:val="00152217"/>
    <w:rsid w:val="001533A2"/>
    <w:rsid w:val="001535C1"/>
    <w:rsid w:val="00154684"/>
    <w:rsid w:val="001623CD"/>
    <w:rsid w:val="00162D44"/>
    <w:rsid w:val="00166820"/>
    <w:rsid w:val="001711D0"/>
    <w:rsid w:val="00171E25"/>
    <w:rsid w:val="00173DFC"/>
    <w:rsid w:val="0018049C"/>
    <w:rsid w:val="00180B86"/>
    <w:rsid w:val="001820F0"/>
    <w:rsid w:val="00182A11"/>
    <w:rsid w:val="001848FA"/>
    <w:rsid w:val="00185CE6"/>
    <w:rsid w:val="001873F6"/>
    <w:rsid w:val="00190A89"/>
    <w:rsid w:val="001925EE"/>
    <w:rsid w:val="0019387D"/>
    <w:rsid w:val="001A53E8"/>
    <w:rsid w:val="001A6B68"/>
    <w:rsid w:val="001B0BB8"/>
    <w:rsid w:val="001B445C"/>
    <w:rsid w:val="001C04D4"/>
    <w:rsid w:val="001C1085"/>
    <w:rsid w:val="001C14CB"/>
    <w:rsid w:val="001C2575"/>
    <w:rsid w:val="001C46EC"/>
    <w:rsid w:val="001C4831"/>
    <w:rsid w:val="001C562A"/>
    <w:rsid w:val="001D013A"/>
    <w:rsid w:val="001D3D95"/>
    <w:rsid w:val="001D552D"/>
    <w:rsid w:val="001D6B61"/>
    <w:rsid w:val="001E4FFD"/>
    <w:rsid w:val="001F2D36"/>
    <w:rsid w:val="001F39A2"/>
    <w:rsid w:val="001F7BD6"/>
    <w:rsid w:val="00201895"/>
    <w:rsid w:val="002029F4"/>
    <w:rsid w:val="002064AA"/>
    <w:rsid w:val="00212B2B"/>
    <w:rsid w:val="00215C0A"/>
    <w:rsid w:val="0022415B"/>
    <w:rsid w:val="002254F4"/>
    <w:rsid w:val="00226BF9"/>
    <w:rsid w:val="00227F05"/>
    <w:rsid w:val="002302AC"/>
    <w:rsid w:val="00230EDA"/>
    <w:rsid w:val="00231A68"/>
    <w:rsid w:val="002320AD"/>
    <w:rsid w:val="00235D37"/>
    <w:rsid w:val="00235FE3"/>
    <w:rsid w:val="00245B37"/>
    <w:rsid w:val="00246818"/>
    <w:rsid w:val="0024743E"/>
    <w:rsid w:val="00251AC7"/>
    <w:rsid w:val="00254757"/>
    <w:rsid w:val="00254E17"/>
    <w:rsid w:val="002578E4"/>
    <w:rsid w:val="002601E4"/>
    <w:rsid w:val="0026051A"/>
    <w:rsid w:val="00265580"/>
    <w:rsid w:val="00265829"/>
    <w:rsid w:val="00273667"/>
    <w:rsid w:val="00273CD5"/>
    <w:rsid w:val="0027465B"/>
    <w:rsid w:val="00275848"/>
    <w:rsid w:val="0027615B"/>
    <w:rsid w:val="0028423E"/>
    <w:rsid w:val="00284443"/>
    <w:rsid w:val="0028607A"/>
    <w:rsid w:val="00292D04"/>
    <w:rsid w:val="002A0A66"/>
    <w:rsid w:val="002A4A3D"/>
    <w:rsid w:val="002A56E1"/>
    <w:rsid w:val="002B30BD"/>
    <w:rsid w:val="002C0B79"/>
    <w:rsid w:val="002C25B3"/>
    <w:rsid w:val="002C2AD6"/>
    <w:rsid w:val="002C2EBB"/>
    <w:rsid w:val="002C4B08"/>
    <w:rsid w:val="002D5428"/>
    <w:rsid w:val="002D6C42"/>
    <w:rsid w:val="002D70A6"/>
    <w:rsid w:val="002D7BF8"/>
    <w:rsid w:val="002E2E9A"/>
    <w:rsid w:val="002E49D7"/>
    <w:rsid w:val="002E58F4"/>
    <w:rsid w:val="002E5F55"/>
    <w:rsid w:val="002E68BF"/>
    <w:rsid w:val="002E6BB8"/>
    <w:rsid w:val="002E78EE"/>
    <w:rsid w:val="002F3669"/>
    <w:rsid w:val="002F7710"/>
    <w:rsid w:val="00302BBA"/>
    <w:rsid w:val="003145E3"/>
    <w:rsid w:val="00315C0A"/>
    <w:rsid w:val="00321C51"/>
    <w:rsid w:val="00323517"/>
    <w:rsid w:val="003248C6"/>
    <w:rsid w:val="00324DC3"/>
    <w:rsid w:val="00330358"/>
    <w:rsid w:val="003315F8"/>
    <w:rsid w:val="00334416"/>
    <w:rsid w:val="00335D23"/>
    <w:rsid w:val="003369FE"/>
    <w:rsid w:val="0033706F"/>
    <w:rsid w:val="003458C7"/>
    <w:rsid w:val="00350157"/>
    <w:rsid w:val="0035367D"/>
    <w:rsid w:val="00355A31"/>
    <w:rsid w:val="00355FF1"/>
    <w:rsid w:val="003613D5"/>
    <w:rsid w:val="003622E6"/>
    <w:rsid w:val="00362EEC"/>
    <w:rsid w:val="003643CB"/>
    <w:rsid w:val="00364898"/>
    <w:rsid w:val="0036588D"/>
    <w:rsid w:val="00365EF4"/>
    <w:rsid w:val="00367DC9"/>
    <w:rsid w:val="00373422"/>
    <w:rsid w:val="00376B88"/>
    <w:rsid w:val="00383BB2"/>
    <w:rsid w:val="003878C3"/>
    <w:rsid w:val="00390FFF"/>
    <w:rsid w:val="00393C2F"/>
    <w:rsid w:val="0039435A"/>
    <w:rsid w:val="00394510"/>
    <w:rsid w:val="003A22A6"/>
    <w:rsid w:val="003A2A4B"/>
    <w:rsid w:val="003A40B1"/>
    <w:rsid w:val="003A666D"/>
    <w:rsid w:val="003B4521"/>
    <w:rsid w:val="003B4813"/>
    <w:rsid w:val="003B6BAE"/>
    <w:rsid w:val="003C11FA"/>
    <w:rsid w:val="003C1F9B"/>
    <w:rsid w:val="003C2640"/>
    <w:rsid w:val="003C441E"/>
    <w:rsid w:val="003C5506"/>
    <w:rsid w:val="003C62FB"/>
    <w:rsid w:val="003D2BD7"/>
    <w:rsid w:val="003D613A"/>
    <w:rsid w:val="003D6671"/>
    <w:rsid w:val="003D7CBF"/>
    <w:rsid w:val="003D7F22"/>
    <w:rsid w:val="003E0AE2"/>
    <w:rsid w:val="003E1E93"/>
    <w:rsid w:val="003E23F6"/>
    <w:rsid w:val="003E403A"/>
    <w:rsid w:val="003F065A"/>
    <w:rsid w:val="00401808"/>
    <w:rsid w:val="004055B6"/>
    <w:rsid w:val="00406F18"/>
    <w:rsid w:val="00410E77"/>
    <w:rsid w:val="004125F8"/>
    <w:rsid w:val="004159ED"/>
    <w:rsid w:val="0041678F"/>
    <w:rsid w:val="00417C1C"/>
    <w:rsid w:val="00421646"/>
    <w:rsid w:val="00422BEF"/>
    <w:rsid w:val="00423417"/>
    <w:rsid w:val="00430F90"/>
    <w:rsid w:val="004318E6"/>
    <w:rsid w:val="00436A7C"/>
    <w:rsid w:val="00436D38"/>
    <w:rsid w:val="00440BA1"/>
    <w:rsid w:val="00441B2D"/>
    <w:rsid w:val="00442EA2"/>
    <w:rsid w:val="00443E6A"/>
    <w:rsid w:val="004468F2"/>
    <w:rsid w:val="00447A22"/>
    <w:rsid w:val="004555AD"/>
    <w:rsid w:val="00457836"/>
    <w:rsid w:val="00461C4E"/>
    <w:rsid w:val="004628C8"/>
    <w:rsid w:val="00464930"/>
    <w:rsid w:val="00474A70"/>
    <w:rsid w:val="0047743D"/>
    <w:rsid w:val="00477760"/>
    <w:rsid w:val="0048104B"/>
    <w:rsid w:val="0048204D"/>
    <w:rsid w:val="00482BE2"/>
    <w:rsid w:val="00483682"/>
    <w:rsid w:val="004856DA"/>
    <w:rsid w:val="00487C2E"/>
    <w:rsid w:val="0049368F"/>
    <w:rsid w:val="0049378A"/>
    <w:rsid w:val="0049390D"/>
    <w:rsid w:val="00493EEF"/>
    <w:rsid w:val="00496EAE"/>
    <w:rsid w:val="00497900"/>
    <w:rsid w:val="004A1930"/>
    <w:rsid w:val="004A52BB"/>
    <w:rsid w:val="004A5758"/>
    <w:rsid w:val="004A693C"/>
    <w:rsid w:val="004A6AEB"/>
    <w:rsid w:val="004B0FB7"/>
    <w:rsid w:val="004B1356"/>
    <w:rsid w:val="004B54F8"/>
    <w:rsid w:val="004B5FA7"/>
    <w:rsid w:val="004B7199"/>
    <w:rsid w:val="004C5170"/>
    <w:rsid w:val="004C6BCB"/>
    <w:rsid w:val="004D1A4E"/>
    <w:rsid w:val="004D417A"/>
    <w:rsid w:val="004D4F79"/>
    <w:rsid w:val="004D6386"/>
    <w:rsid w:val="004D667F"/>
    <w:rsid w:val="004D722B"/>
    <w:rsid w:val="004E1D9C"/>
    <w:rsid w:val="004E4042"/>
    <w:rsid w:val="004F0395"/>
    <w:rsid w:val="004F2934"/>
    <w:rsid w:val="004F6416"/>
    <w:rsid w:val="004F699B"/>
    <w:rsid w:val="004F7B0E"/>
    <w:rsid w:val="004F7CAC"/>
    <w:rsid w:val="00500650"/>
    <w:rsid w:val="00501D41"/>
    <w:rsid w:val="005025E6"/>
    <w:rsid w:val="00502E6E"/>
    <w:rsid w:val="00503A98"/>
    <w:rsid w:val="00510105"/>
    <w:rsid w:val="00510430"/>
    <w:rsid w:val="00512428"/>
    <w:rsid w:val="005157B4"/>
    <w:rsid w:val="005204B0"/>
    <w:rsid w:val="00521211"/>
    <w:rsid w:val="0052664B"/>
    <w:rsid w:val="00527730"/>
    <w:rsid w:val="00531084"/>
    <w:rsid w:val="0053151A"/>
    <w:rsid w:val="0053760D"/>
    <w:rsid w:val="00540D34"/>
    <w:rsid w:val="0054245F"/>
    <w:rsid w:val="005427AD"/>
    <w:rsid w:val="0054465A"/>
    <w:rsid w:val="0054676F"/>
    <w:rsid w:val="005532DB"/>
    <w:rsid w:val="00554440"/>
    <w:rsid w:val="005575B0"/>
    <w:rsid w:val="005602D0"/>
    <w:rsid w:val="00560F0F"/>
    <w:rsid w:val="00564F36"/>
    <w:rsid w:val="00565E4A"/>
    <w:rsid w:val="00567262"/>
    <w:rsid w:val="005707C8"/>
    <w:rsid w:val="00570849"/>
    <w:rsid w:val="00577F17"/>
    <w:rsid w:val="005818BE"/>
    <w:rsid w:val="0058599D"/>
    <w:rsid w:val="00586640"/>
    <w:rsid w:val="00586BBF"/>
    <w:rsid w:val="00591FBB"/>
    <w:rsid w:val="00596082"/>
    <w:rsid w:val="005A4D52"/>
    <w:rsid w:val="005A5C2F"/>
    <w:rsid w:val="005A61A5"/>
    <w:rsid w:val="005A65DA"/>
    <w:rsid w:val="005B14A2"/>
    <w:rsid w:val="005B220F"/>
    <w:rsid w:val="005B39FC"/>
    <w:rsid w:val="005C34B3"/>
    <w:rsid w:val="005C576E"/>
    <w:rsid w:val="005C5C51"/>
    <w:rsid w:val="005D27FD"/>
    <w:rsid w:val="005D2CA6"/>
    <w:rsid w:val="005D527C"/>
    <w:rsid w:val="005D6B51"/>
    <w:rsid w:val="005E02B2"/>
    <w:rsid w:val="005E0F96"/>
    <w:rsid w:val="005E2BA4"/>
    <w:rsid w:val="005E45EB"/>
    <w:rsid w:val="005E5153"/>
    <w:rsid w:val="005E7F48"/>
    <w:rsid w:val="005F2D31"/>
    <w:rsid w:val="005F2FED"/>
    <w:rsid w:val="0060332A"/>
    <w:rsid w:val="0060641D"/>
    <w:rsid w:val="00615F3E"/>
    <w:rsid w:val="00620D8B"/>
    <w:rsid w:val="00622A87"/>
    <w:rsid w:val="006237C8"/>
    <w:rsid w:val="00623FCC"/>
    <w:rsid w:val="00634403"/>
    <w:rsid w:val="00634642"/>
    <w:rsid w:val="0063670D"/>
    <w:rsid w:val="00641D78"/>
    <w:rsid w:val="00643E10"/>
    <w:rsid w:val="006465E0"/>
    <w:rsid w:val="00647F3B"/>
    <w:rsid w:val="006520AE"/>
    <w:rsid w:val="00652AC9"/>
    <w:rsid w:val="00652FD1"/>
    <w:rsid w:val="00653EA8"/>
    <w:rsid w:val="00655129"/>
    <w:rsid w:val="0065639F"/>
    <w:rsid w:val="00657AEA"/>
    <w:rsid w:val="006601A0"/>
    <w:rsid w:val="00660ABC"/>
    <w:rsid w:val="006631B8"/>
    <w:rsid w:val="0066333F"/>
    <w:rsid w:val="00663572"/>
    <w:rsid w:val="006646F5"/>
    <w:rsid w:val="00673D01"/>
    <w:rsid w:val="0067442F"/>
    <w:rsid w:val="00675C0C"/>
    <w:rsid w:val="006761B2"/>
    <w:rsid w:val="0067770F"/>
    <w:rsid w:val="00683420"/>
    <w:rsid w:val="00685E15"/>
    <w:rsid w:val="00694002"/>
    <w:rsid w:val="006945E5"/>
    <w:rsid w:val="00696063"/>
    <w:rsid w:val="006965D4"/>
    <w:rsid w:val="00697F8B"/>
    <w:rsid w:val="006A2BA0"/>
    <w:rsid w:val="006B00A5"/>
    <w:rsid w:val="006B0C34"/>
    <w:rsid w:val="006B50EB"/>
    <w:rsid w:val="006C6D51"/>
    <w:rsid w:val="006C7EFA"/>
    <w:rsid w:val="006D0DC0"/>
    <w:rsid w:val="006D18C4"/>
    <w:rsid w:val="006D24B5"/>
    <w:rsid w:val="006D7C20"/>
    <w:rsid w:val="006E2BFC"/>
    <w:rsid w:val="006E332B"/>
    <w:rsid w:val="006E471F"/>
    <w:rsid w:val="00704648"/>
    <w:rsid w:val="00715C77"/>
    <w:rsid w:val="00717593"/>
    <w:rsid w:val="00717FBC"/>
    <w:rsid w:val="007209A1"/>
    <w:rsid w:val="00723D29"/>
    <w:rsid w:val="0073131B"/>
    <w:rsid w:val="00732966"/>
    <w:rsid w:val="00733175"/>
    <w:rsid w:val="00734D43"/>
    <w:rsid w:val="00735289"/>
    <w:rsid w:val="007352D8"/>
    <w:rsid w:val="00735F73"/>
    <w:rsid w:val="007415CD"/>
    <w:rsid w:val="00742F05"/>
    <w:rsid w:val="00747D7B"/>
    <w:rsid w:val="00751177"/>
    <w:rsid w:val="00751484"/>
    <w:rsid w:val="00751B42"/>
    <w:rsid w:val="007566AE"/>
    <w:rsid w:val="00760548"/>
    <w:rsid w:val="00760E88"/>
    <w:rsid w:val="00761038"/>
    <w:rsid w:val="00763315"/>
    <w:rsid w:val="00764DF2"/>
    <w:rsid w:val="00767B8C"/>
    <w:rsid w:val="00773A4B"/>
    <w:rsid w:val="00774ED6"/>
    <w:rsid w:val="007758D9"/>
    <w:rsid w:val="00775BA6"/>
    <w:rsid w:val="00776AE1"/>
    <w:rsid w:val="007817E2"/>
    <w:rsid w:val="00781A59"/>
    <w:rsid w:val="0078229D"/>
    <w:rsid w:val="00784E6E"/>
    <w:rsid w:val="00791A4C"/>
    <w:rsid w:val="00792895"/>
    <w:rsid w:val="00793D84"/>
    <w:rsid w:val="007943C7"/>
    <w:rsid w:val="00794DEB"/>
    <w:rsid w:val="007A085D"/>
    <w:rsid w:val="007A1618"/>
    <w:rsid w:val="007A1729"/>
    <w:rsid w:val="007A21D7"/>
    <w:rsid w:val="007A25CA"/>
    <w:rsid w:val="007A2696"/>
    <w:rsid w:val="007B1138"/>
    <w:rsid w:val="007B3F91"/>
    <w:rsid w:val="007B4F4F"/>
    <w:rsid w:val="007B6074"/>
    <w:rsid w:val="007B676C"/>
    <w:rsid w:val="007B6FA7"/>
    <w:rsid w:val="007B7304"/>
    <w:rsid w:val="007C31FB"/>
    <w:rsid w:val="007C5024"/>
    <w:rsid w:val="007C537B"/>
    <w:rsid w:val="007C7439"/>
    <w:rsid w:val="007D331F"/>
    <w:rsid w:val="007D4092"/>
    <w:rsid w:val="007D4AC7"/>
    <w:rsid w:val="007D4D15"/>
    <w:rsid w:val="007D77D8"/>
    <w:rsid w:val="007E2C61"/>
    <w:rsid w:val="007E3BFA"/>
    <w:rsid w:val="007E3C65"/>
    <w:rsid w:val="007F69A1"/>
    <w:rsid w:val="00803980"/>
    <w:rsid w:val="008053ED"/>
    <w:rsid w:val="00805BA7"/>
    <w:rsid w:val="00807CB1"/>
    <w:rsid w:val="008102FB"/>
    <w:rsid w:val="008138BC"/>
    <w:rsid w:val="008153FE"/>
    <w:rsid w:val="00815E13"/>
    <w:rsid w:val="008237F3"/>
    <w:rsid w:val="00823CD2"/>
    <w:rsid w:val="00825709"/>
    <w:rsid w:val="00831F80"/>
    <w:rsid w:val="008329F2"/>
    <w:rsid w:val="00833A14"/>
    <w:rsid w:val="00834EBA"/>
    <w:rsid w:val="008375C9"/>
    <w:rsid w:val="00837918"/>
    <w:rsid w:val="00850D59"/>
    <w:rsid w:val="00851D65"/>
    <w:rsid w:val="0085425D"/>
    <w:rsid w:val="00854B9D"/>
    <w:rsid w:val="00857604"/>
    <w:rsid w:val="00862F30"/>
    <w:rsid w:val="00870255"/>
    <w:rsid w:val="00870CF4"/>
    <w:rsid w:val="00873861"/>
    <w:rsid w:val="00874957"/>
    <w:rsid w:val="00877E29"/>
    <w:rsid w:val="00880BA4"/>
    <w:rsid w:val="00882834"/>
    <w:rsid w:val="00885CFF"/>
    <w:rsid w:val="00887AB3"/>
    <w:rsid w:val="00890CA6"/>
    <w:rsid w:val="00890F66"/>
    <w:rsid w:val="00891228"/>
    <w:rsid w:val="00891B83"/>
    <w:rsid w:val="00895DA7"/>
    <w:rsid w:val="008A2B4D"/>
    <w:rsid w:val="008A53C4"/>
    <w:rsid w:val="008C07E6"/>
    <w:rsid w:val="008C07F8"/>
    <w:rsid w:val="008C32E3"/>
    <w:rsid w:val="008C45B6"/>
    <w:rsid w:val="008C477F"/>
    <w:rsid w:val="008C67E3"/>
    <w:rsid w:val="008D2425"/>
    <w:rsid w:val="008D395A"/>
    <w:rsid w:val="008D4587"/>
    <w:rsid w:val="008D5A90"/>
    <w:rsid w:val="008E141C"/>
    <w:rsid w:val="008E160A"/>
    <w:rsid w:val="008E2C7D"/>
    <w:rsid w:val="008E36B8"/>
    <w:rsid w:val="008E41C4"/>
    <w:rsid w:val="008E5F78"/>
    <w:rsid w:val="008E6A22"/>
    <w:rsid w:val="008F3D02"/>
    <w:rsid w:val="008F4661"/>
    <w:rsid w:val="008F4BC1"/>
    <w:rsid w:val="008F60E8"/>
    <w:rsid w:val="008F7134"/>
    <w:rsid w:val="008F762F"/>
    <w:rsid w:val="009003D9"/>
    <w:rsid w:val="00900ED0"/>
    <w:rsid w:val="00901F70"/>
    <w:rsid w:val="00905747"/>
    <w:rsid w:val="009062A8"/>
    <w:rsid w:val="00907965"/>
    <w:rsid w:val="009135DB"/>
    <w:rsid w:val="009146BD"/>
    <w:rsid w:val="00915CD6"/>
    <w:rsid w:val="00927E43"/>
    <w:rsid w:val="00933E25"/>
    <w:rsid w:val="00935EF2"/>
    <w:rsid w:val="009370D9"/>
    <w:rsid w:val="00940D8B"/>
    <w:rsid w:val="009416B6"/>
    <w:rsid w:val="009430F6"/>
    <w:rsid w:val="00950F0B"/>
    <w:rsid w:val="0095442B"/>
    <w:rsid w:val="009544B3"/>
    <w:rsid w:val="00962B02"/>
    <w:rsid w:val="009650E1"/>
    <w:rsid w:val="00965D0E"/>
    <w:rsid w:val="00970800"/>
    <w:rsid w:val="009710D8"/>
    <w:rsid w:val="009722A7"/>
    <w:rsid w:val="00974006"/>
    <w:rsid w:val="009759B1"/>
    <w:rsid w:val="009763B7"/>
    <w:rsid w:val="00976416"/>
    <w:rsid w:val="00980481"/>
    <w:rsid w:val="00983487"/>
    <w:rsid w:val="00985092"/>
    <w:rsid w:val="00985FA2"/>
    <w:rsid w:val="00992E56"/>
    <w:rsid w:val="00994118"/>
    <w:rsid w:val="009954B6"/>
    <w:rsid w:val="00995C40"/>
    <w:rsid w:val="00996857"/>
    <w:rsid w:val="009A33DE"/>
    <w:rsid w:val="009A47C0"/>
    <w:rsid w:val="009A4A74"/>
    <w:rsid w:val="009A4F9A"/>
    <w:rsid w:val="009B05DC"/>
    <w:rsid w:val="009B0806"/>
    <w:rsid w:val="009B0AC6"/>
    <w:rsid w:val="009B2694"/>
    <w:rsid w:val="009B4654"/>
    <w:rsid w:val="009B5FD9"/>
    <w:rsid w:val="009B6784"/>
    <w:rsid w:val="009C0B6A"/>
    <w:rsid w:val="009C136B"/>
    <w:rsid w:val="009C314D"/>
    <w:rsid w:val="009C54C3"/>
    <w:rsid w:val="009C648F"/>
    <w:rsid w:val="009C687C"/>
    <w:rsid w:val="009C7BA4"/>
    <w:rsid w:val="009C7E9C"/>
    <w:rsid w:val="009D130B"/>
    <w:rsid w:val="009D7A56"/>
    <w:rsid w:val="009E295C"/>
    <w:rsid w:val="009E6C13"/>
    <w:rsid w:val="009E71E0"/>
    <w:rsid w:val="009F23A4"/>
    <w:rsid w:val="009F5A01"/>
    <w:rsid w:val="00A02740"/>
    <w:rsid w:val="00A02873"/>
    <w:rsid w:val="00A02CAF"/>
    <w:rsid w:val="00A0499C"/>
    <w:rsid w:val="00A04B50"/>
    <w:rsid w:val="00A07575"/>
    <w:rsid w:val="00A1456E"/>
    <w:rsid w:val="00A156FE"/>
    <w:rsid w:val="00A245C0"/>
    <w:rsid w:val="00A257D6"/>
    <w:rsid w:val="00A26276"/>
    <w:rsid w:val="00A26FC9"/>
    <w:rsid w:val="00A30EAA"/>
    <w:rsid w:val="00A329B1"/>
    <w:rsid w:val="00A33D91"/>
    <w:rsid w:val="00A42DF6"/>
    <w:rsid w:val="00A43887"/>
    <w:rsid w:val="00A452B6"/>
    <w:rsid w:val="00A50866"/>
    <w:rsid w:val="00A51643"/>
    <w:rsid w:val="00A5217D"/>
    <w:rsid w:val="00A54993"/>
    <w:rsid w:val="00A55259"/>
    <w:rsid w:val="00A55774"/>
    <w:rsid w:val="00A607A8"/>
    <w:rsid w:val="00A61038"/>
    <w:rsid w:val="00A62140"/>
    <w:rsid w:val="00A632C4"/>
    <w:rsid w:val="00A70B44"/>
    <w:rsid w:val="00A74D18"/>
    <w:rsid w:val="00A805CA"/>
    <w:rsid w:val="00A82688"/>
    <w:rsid w:val="00A8309D"/>
    <w:rsid w:val="00A83848"/>
    <w:rsid w:val="00A869FE"/>
    <w:rsid w:val="00A87D73"/>
    <w:rsid w:val="00A90E9B"/>
    <w:rsid w:val="00A90FAE"/>
    <w:rsid w:val="00A943B9"/>
    <w:rsid w:val="00A96950"/>
    <w:rsid w:val="00AA1516"/>
    <w:rsid w:val="00AA2868"/>
    <w:rsid w:val="00AA2B75"/>
    <w:rsid w:val="00AB28EF"/>
    <w:rsid w:val="00AB4830"/>
    <w:rsid w:val="00AB7C2F"/>
    <w:rsid w:val="00AC3B2C"/>
    <w:rsid w:val="00AC7F8D"/>
    <w:rsid w:val="00AD1E4C"/>
    <w:rsid w:val="00AD3753"/>
    <w:rsid w:val="00AD3ED0"/>
    <w:rsid w:val="00AD4C57"/>
    <w:rsid w:val="00AD6801"/>
    <w:rsid w:val="00AD6976"/>
    <w:rsid w:val="00AE20EB"/>
    <w:rsid w:val="00AE2E91"/>
    <w:rsid w:val="00AE4387"/>
    <w:rsid w:val="00AE43E4"/>
    <w:rsid w:val="00AE5F1B"/>
    <w:rsid w:val="00AE5F99"/>
    <w:rsid w:val="00AF1FBC"/>
    <w:rsid w:val="00AF5304"/>
    <w:rsid w:val="00B054AB"/>
    <w:rsid w:val="00B072B9"/>
    <w:rsid w:val="00B075AF"/>
    <w:rsid w:val="00B110F2"/>
    <w:rsid w:val="00B11770"/>
    <w:rsid w:val="00B11EC7"/>
    <w:rsid w:val="00B1353B"/>
    <w:rsid w:val="00B141AA"/>
    <w:rsid w:val="00B22AEA"/>
    <w:rsid w:val="00B23E3E"/>
    <w:rsid w:val="00B252E1"/>
    <w:rsid w:val="00B26D5B"/>
    <w:rsid w:val="00B31857"/>
    <w:rsid w:val="00B33144"/>
    <w:rsid w:val="00B418FB"/>
    <w:rsid w:val="00B44469"/>
    <w:rsid w:val="00B44698"/>
    <w:rsid w:val="00B457EF"/>
    <w:rsid w:val="00B45D76"/>
    <w:rsid w:val="00B47F5F"/>
    <w:rsid w:val="00B506EC"/>
    <w:rsid w:val="00B531B1"/>
    <w:rsid w:val="00B53B8D"/>
    <w:rsid w:val="00B5672A"/>
    <w:rsid w:val="00B568D8"/>
    <w:rsid w:val="00B60887"/>
    <w:rsid w:val="00B615D0"/>
    <w:rsid w:val="00B6395C"/>
    <w:rsid w:val="00B67557"/>
    <w:rsid w:val="00B67A82"/>
    <w:rsid w:val="00B67AB6"/>
    <w:rsid w:val="00B7256B"/>
    <w:rsid w:val="00B73CC7"/>
    <w:rsid w:val="00B80661"/>
    <w:rsid w:val="00B81C54"/>
    <w:rsid w:val="00B852E0"/>
    <w:rsid w:val="00B90B18"/>
    <w:rsid w:val="00B95D64"/>
    <w:rsid w:val="00BA195F"/>
    <w:rsid w:val="00BB152A"/>
    <w:rsid w:val="00BB2C8B"/>
    <w:rsid w:val="00BB2C95"/>
    <w:rsid w:val="00BB6B77"/>
    <w:rsid w:val="00BB7FFB"/>
    <w:rsid w:val="00BC17C6"/>
    <w:rsid w:val="00BC290D"/>
    <w:rsid w:val="00BC2C2D"/>
    <w:rsid w:val="00BC2FA9"/>
    <w:rsid w:val="00BC31CE"/>
    <w:rsid w:val="00BC6745"/>
    <w:rsid w:val="00BC7386"/>
    <w:rsid w:val="00BD423C"/>
    <w:rsid w:val="00BD5E58"/>
    <w:rsid w:val="00BE54FE"/>
    <w:rsid w:val="00BE655F"/>
    <w:rsid w:val="00BE7146"/>
    <w:rsid w:val="00BF11DD"/>
    <w:rsid w:val="00BF21CE"/>
    <w:rsid w:val="00BF29B9"/>
    <w:rsid w:val="00BF33F5"/>
    <w:rsid w:val="00BF3F9E"/>
    <w:rsid w:val="00C00FC0"/>
    <w:rsid w:val="00C01851"/>
    <w:rsid w:val="00C06036"/>
    <w:rsid w:val="00C07365"/>
    <w:rsid w:val="00C10B07"/>
    <w:rsid w:val="00C10FA0"/>
    <w:rsid w:val="00C137FF"/>
    <w:rsid w:val="00C1393B"/>
    <w:rsid w:val="00C16284"/>
    <w:rsid w:val="00C17E6B"/>
    <w:rsid w:val="00C215FD"/>
    <w:rsid w:val="00C24342"/>
    <w:rsid w:val="00C24842"/>
    <w:rsid w:val="00C251D3"/>
    <w:rsid w:val="00C26857"/>
    <w:rsid w:val="00C353CA"/>
    <w:rsid w:val="00C46662"/>
    <w:rsid w:val="00C506D4"/>
    <w:rsid w:val="00C50C94"/>
    <w:rsid w:val="00C50CB6"/>
    <w:rsid w:val="00C52EBF"/>
    <w:rsid w:val="00C52FA6"/>
    <w:rsid w:val="00C63D81"/>
    <w:rsid w:val="00C65177"/>
    <w:rsid w:val="00C66056"/>
    <w:rsid w:val="00C67EA3"/>
    <w:rsid w:val="00C73302"/>
    <w:rsid w:val="00C765D0"/>
    <w:rsid w:val="00C805F9"/>
    <w:rsid w:val="00C82532"/>
    <w:rsid w:val="00C85431"/>
    <w:rsid w:val="00C870ED"/>
    <w:rsid w:val="00C87850"/>
    <w:rsid w:val="00C900FC"/>
    <w:rsid w:val="00C908B5"/>
    <w:rsid w:val="00C90B4D"/>
    <w:rsid w:val="00C912A3"/>
    <w:rsid w:val="00C918AC"/>
    <w:rsid w:val="00C93160"/>
    <w:rsid w:val="00C967BC"/>
    <w:rsid w:val="00CA319F"/>
    <w:rsid w:val="00CA3A49"/>
    <w:rsid w:val="00CA629D"/>
    <w:rsid w:val="00CB01A7"/>
    <w:rsid w:val="00CB10D0"/>
    <w:rsid w:val="00CB19D9"/>
    <w:rsid w:val="00CC059E"/>
    <w:rsid w:val="00CC067C"/>
    <w:rsid w:val="00CC34BB"/>
    <w:rsid w:val="00CC35D5"/>
    <w:rsid w:val="00CC3E40"/>
    <w:rsid w:val="00CC4675"/>
    <w:rsid w:val="00CC51BD"/>
    <w:rsid w:val="00CC6107"/>
    <w:rsid w:val="00CD14D6"/>
    <w:rsid w:val="00CD3D07"/>
    <w:rsid w:val="00CD5461"/>
    <w:rsid w:val="00CD5E71"/>
    <w:rsid w:val="00CE0BFF"/>
    <w:rsid w:val="00CE0F07"/>
    <w:rsid w:val="00CE339D"/>
    <w:rsid w:val="00CE644A"/>
    <w:rsid w:val="00CF0D0B"/>
    <w:rsid w:val="00CF439C"/>
    <w:rsid w:val="00CF4415"/>
    <w:rsid w:val="00CF5922"/>
    <w:rsid w:val="00CF6982"/>
    <w:rsid w:val="00CF75C8"/>
    <w:rsid w:val="00D0208D"/>
    <w:rsid w:val="00D07897"/>
    <w:rsid w:val="00D11269"/>
    <w:rsid w:val="00D12687"/>
    <w:rsid w:val="00D13183"/>
    <w:rsid w:val="00D22E12"/>
    <w:rsid w:val="00D24DAA"/>
    <w:rsid w:val="00D32A2F"/>
    <w:rsid w:val="00D37796"/>
    <w:rsid w:val="00D50401"/>
    <w:rsid w:val="00D50583"/>
    <w:rsid w:val="00D542FC"/>
    <w:rsid w:val="00D56DBC"/>
    <w:rsid w:val="00D641AB"/>
    <w:rsid w:val="00D658C6"/>
    <w:rsid w:val="00D67DA3"/>
    <w:rsid w:val="00D71E47"/>
    <w:rsid w:val="00D739B3"/>
    <w:rsid w:val="00D7504E"/>
    <w:rsid w:val="00D7706B"/>
    <w:rsid w:val="00D77A01"/>
    <w:rsid w:val="00D8043F"/>
    <w:rsid w:val="00D80C4B"/>
    <w:rsid w:val="00D92C7D"/>
    <w:rsid w:val="00D93F85"/>
    <w:rsid w:val="00DA65E7"/>
    <w:rsid w:val="00DB45F0"/>
    <w:rsid w:val="00DB70C2"/>
    <w:rsid w:val="00DC0123"/>
    <w:rsid w:val="00DC2392"/>
    <w:rsid w:val="00DD04C1"/>
    <w:rsid w:val="00DD24DC"/>
    <w:rsid w:val="00DD324D"/>
    <w:rsid w:val="00DE02FC"/>
    <w:rsid w:val="00DE3E39"/>
    <w:rsid w:val="00DF09F0"/>
    <w:rsid w:val="00DF5FFA"/>
    <w:rsid w:val="00DF7720"/>
    <w:rsid w:val="00DF7F08"/>
    <w:rsid w:val="00E06A51"/>
    <w:rsid w:val="00E07226"/>
    <w:rsid w:val="00E11680"/>
    <w:rsid w:val="00E11D38"/>
    <w:rsid w:val="00E12E2B"/>
    <w:rsid w:val="00E16E3D"/>
    <w:rsid w:val="00E216A2"/>
    <w:rsid w:val="00E22229"/>
    <w:rsid w:val="00E23C72"/>
    <w:rsid w:val="00E2611F"/>
    <w:rsid w:val="00E26B7A"/>
    <w:rsid w:val="00E27683"/>
    <w:rsid w:val="00E27CD7"/>
    <w:rsid w:val="00E27DDD"/>
    <w:rsid w:val="00E345E7"/>
    <w:rsid w:val="00E348A8"/>
    <w:rsid w:val="00E361FA"/>
    <w:rsid w:val="00E42C39"/>
    <w:rsid w:val="00E47677"/>
    <w:rsid w:val="00E50C40"/>
    <w:rsid w:val="00E51619"/>
    <w:rsid w:val="00E5287D"/>
    <w:rsid w:val="00E53397"/>
    <w:rsid w:val="00E53862"/>
    <w:rsid w:val="00E53F2D"/>
    <w:rsid w:val="00E54B53"/>
    <w:rsid w:val="00E54C2E"/>
    <w:rsid w:val="00E62595"/>
    <w:rsid w:val="00E70138"/>
    <w:rsid w:val="00E711A6"/>
    <w:rsid w:val="00E72602"/>
    <w:rsid w:val="00E747B1"/>
    <w:rsid w:val="00E74849"/>
    <w:rsid w:val="00E764E7"/>
    <w:rsid w:val="00E82EF7"/>
    <w:rsid w:val="00E840C9"/>
    <w:rsid w:val="00E84F33"/>
    <w:rsid w:val="00E84F89"/>
    <w:rsid w:val="00E9650A"/>
    <w:rsid w:val="00EA1B64"/>
    <w:rsid w:val="00EA54AF"/>
    <w:rsid w:val="00EA7F01"/>
    <w:rsid w:val="00EB0CA8"/>
    <w:rsid w:val="00EB1AFC"/>
    <w:rsid w:val="00EB2252"/>
    <w:rsid w:val="00EB227F"/>
    <w:rsid w:val="00EC073D"/>
    <w:rsid w:val="00EC1213"/>
    <w:rsid w:val="00EC12C1"/>
    <w:rsid w:val="00EC78E0"/>
    <w:rsid w:val="00EC7D04"/>
    <w:rsid w:val="00EC7E31"/>
    <w:rsid w:val="00ED1237"/>
    <w:rsid w:val="00ED28E9"/>
    <w:rsid w:val="00ED2BCD"/>
    <w:rsid w:val="00ED4286"/>
    <w:rsid w:val="00ED4ABE"/>
    <w:rsid w:val="00EE4A5A"/>
    <w:rsid w:val="00EE6C4B"/>
    <w:rsid w:val="00EE7C39"/>
    <w:rsid w:val="00EE7D56"/>
    <w:rsid w:val="00EF0F32"/>
    <w:rsid w:val="00EF1136"/>
    <w:rsid w:val="00EF26EA"/>
    <w:rsid w:val="00EF3279"/>
    <w:rsid w:val="00EF3AC1"/>
    <w:rsid w:val="00F00973"/>
    <w:rsid w:val="00F05372"/>
    <w:rsid w:val="00F10D5A"/>
    <w:rsid w:val="00F10FAD"/>
    <w:rsid w:val="00F1102E"/>
    <w:rsid w:val="00F11E01"/>
    <w:rsid w:val="00F15695"/>
    <w:rsid w:val="00F1734E"/>
    <w:rsid w:val="00F253A3"/>
    <w:rsid w:val="00F3120E"/>
    <w:rsid w:val="00F31C7A"/>
    <w:rsid w:val="00F3275C"/>
    <w:rsid w:val="00F3430C"/>
    <w:rsid w:val="00F355AD"/>
    <w:rsid w:val="00F42519"/>
    <w:rsid w:val="00F43D3B"/>
    <w:rsid w:val="00F46A2C"/>
    <w:rsid w:val="00F46E3A"/>
    <w:rsid w:val="00F47895"/>
    <w:rsid w:val="00F51999"/>
    <w:rsid w:val="00F52B57"/>
    <w:rsid w:val="00F53529"/>
    <w:rsid w:val="00F55757"/>
    <w:rsid w:val="00F55983"/>
    <w:rsid w:val="00F57FD2"/>
    <w:rsid w:val="00F6107E"/>
    <w:rsid w:val="00F610C5"/>
    <w:rsid w:val="00F6539B"/>
    <w:rsid w:val="00F80E78"/>
    <w:rsid w:val="00F81B31"/>
    <w:rsid w:val="00F83139"/>
    <w:rsid w:val="00F87FA7"/>
    <w:rsid w:val="00F9198A"/>
    <w:rsid w:val="00F96098"/>
    <w:rsid w:val="00FA1119"/>
    <w:rsid w:val="00FA5FCA"/>
    <w:rsid w:val="00FA6BC8"/>
    <w:rsid w:val="00FB5308"/>
    <w:rsid w:val="00FB65C0"/>
    <w:rsid w:val="00FB7B49"/>
    <w:rsid w:val="00FC2443"/>
    <w:rsid w:val="00FC2B8E"/>
    <w:rsid w:val="00FD3BC1"/>
    <w:rsid w:val="00FE310B"/>
    <w:rsid w:val="00FE74AE"/>
    <w:rsid w:val="00FF08CA"/>
    <w:rsid w:val="00FF29DD"/>
    <w:rsid w:val="00FF327B"/>
    <w:rsid w:val="00FF380C"/>
    <w:rsid w:val="00FF62C3"/>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7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B6"/>
    <w:rPr>
      <w:sz w:val="24"/>
      <w:szCs w:val="24"/>
    </w:rPr>
  </w:style>
  <w:style w:type="paragraph" w:styleId="Heading1">
    <w:name w:val="heading 1"/>
    <w:basedOn w:val="Normal"/>
    <w:next w:val="Normal"/>
    <w:link w:val="Heading1Char"/>
    <w:qFormat/>
    <w:rsid w:val="00A42D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651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6517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210D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1038"/>
    <w:pPr>
      <w:spacing w:before="100" w:beforeAutospacing="1" w:after="100" w:afterAutospacing="1"/>
    </w:pPr>
    <w:rPr>
      <w:rFonts w:ascii="Verdana" w:hAnsi="Verdana"/>
      <w:color w:val="000000"/>
      <w:sz w:val="17"/>
      <w:szCs w:val="17"/>
    </w:rPr>
  </w:style>
  <w:style w:type="paragraph" w:styleId="Footer">
    <w:name w:val="footer"/>
    <w:basedOn w:val="Normal"/>
    <w:link w:val="FooterChar"/>
    <w:uiPriority w:val="99"/>
    <w:rsid w:val="0067770F"/>
    <w:pPr>
      <w:tabs>
        <w:tab w:val="center" w:pos="4320"/>
        <w:tab w:val="right" w:pos="8640"/>
      </w:tabs>
    </w:pPr>
  </w:style>
  <w:style w:type="character" w:styleId="PageNumber">
    <w:name w:val="page number"/>
    <w:basedOn w:val="DefaultParagraphFont"/>
    <w:rsid w:val="0067770F"/>
  </w:style>
  <w:style w:type="character" w:customStyle="1" w:styleId="textcontrol">
    <w:name w:val="textcontrol"/>
    <w:basedOn w:val="DefaultParagraphFont"/>
    <w:rsid w:val="0067770F"/>
  </w:style>
  <w:style w:type="paragraph" w:styleId="Header">
    <w:name w:val="header"/>
    <w:basedOn w:val="Normal"/>
    <w:rsid w:val="0067770F"/>
    <w:pPr>
      <w:tabs>
        <w:tab w:val="center" w:pos="4320"/>
        <w:tab w:val="right" w:pos="8640"/>
      </w:tabs>
    </w:pPr>
  </w:style>
  <w:style w:type="paragraph" w:styleId="BalloonText">
    <w:name w:val="Balloon Text"/>
    <w:basedOn w:val="Normal"/>
    <w:semiHidden/>
    <w:rsid w:val="00A869FE"/>
    <w:rPr>
      <w:rFonts w:ascii="Tahoma" w:hAnsi="Tahoma" w:cs="Tahoma"/>
      <w:sz w:val="16"/>
      <w:szCs w:val="16"/>
    </w:rPr>
  </w:style>
  <w:style w:type="character" w:styleId="CommentReference">
    <w:name w:val="annotation reference"/>
    <w:uiPriority w:val="99"/>
    <w:rsid w:val="003C11FA"/>
    <w:rPr>
      <w:sz w:val="16"/>
      <w:szCs w:val="16"/>
    </w:rPr>
  </w:style>
  <w:style w:type="paragraph" w:styleId="CommentText">
    <w:name w:val="annotation text"/>
    <w:basedOn w:val="Normal"/>
    <w:link w:val="CommentTextChar"/>
    <w:uiPriority w:val="99"/>
    <w:rsid w:val="003C11FA"/>
    <w:rPr>
      <w:sz w:val="20"/>
      <w:szCs w:val="20"/>
    </w:rPr>
  </w:style>
  <w:style w:type="character" w:customStyle="1" w:styleId="CommentTextChar">
    <w:name w:val="Comment Text Char"/>
    <w:basedOn w:val="DefaultParagraphFont"/>
    <w:link w:val="CommentText"/>
    <w:uiPriority w:val="99"/>
    <w:rsid w:val="003C11FA"/>
  </w:style>
  <w:style w:type="paragraph" w:styleId="CommentSubject">
    <w:name w:val="annotation subject"/>
    <w:basedOn w:val="CommentText"/>
    <w:next w:val="CommentText"/>
    <w:link w:val="CommentSubjectChar"/>
    <w:rsid w:val="003C11FA"/>
    <w:rPr>
      <w:b/>
      <w:bCs/>
    </w:rPr>
  </w:style>
  <w:style w:type="character" w:customStyle="1" w:styleId="CommentSubjectChar">
    <w:name w:val="Comment Subject Char"/>
    <w:link w:val="CommentSubject"/>
    <w:rsid w:val="003C11FA"/>
    <w:rPr>
      <w:b/>
      <w:bCs/>
    </w:rPr>
  </w:style>
  <w:style w:type="character" w:styleId="Hyperlink">
    <w:name w:val="Hyperlink"/>
    <w:rsid w:val="00A26276"/>
    <w:rPr>
      <w:color w:val="0563C1"/>
      <w:u w:val="single"/>
    </w:rPr>
  </w:style>
  <w:style w:type="table" w:styleId="TableGrid">
    <w:name w:val="Table Grid"/>
    <w:basedOn w:val="TableNormal"/>
    <w:rsid w:val="00A0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73D"/>
    <w:pPr>
      <w:spacing w:after="160" w:line="259" w:lineRule="auto"/>
      <w:ind w:left="720"/>
      <w:contextualSpacing/>
    </w:pPr>
    <w:rPr>
      <w:rFonts w:ascii="Calibri" w:eastAsia="Calibri" w:hAnsi="Calibri"/>
      <w:sz w:val="22"/>
      <w:szCs w:val="22"/>
    </w:rPr>
  </w:style>
  <w:style w:type="paragraph" w:customStyle="1" w:styleId="Default">
    <w:name w:val="Default"/>
    <w:rsid w:val="008237F3"/>
    <w:pPr>
      <w:autoSpaceDE w:val="0"/>
      <w:autoSpaceDN w:val="0"/>
      <w:adjustRightInd w:val="0"/>
    </w:pPr>
    <w:rPr>
      <w:color w:val="000000"/>
      <w:sz w:val="24"/>
      <w:szCs w:val="24"/>
    </w:rPr>
  </w:style>
  <w:style w:type="character" w:customStyle="1" w:styleId="Heading1Char">
    <w:name w:val="Heading 1 Char"/>
    <w:link w:val="Heading1"/>
    <w:rsid w:val="00A42DF6"/>
    <w:rPr>
      <w:rFonts w:ascii="Cambria" w:eastAsia="Times New Roman" w:hAnsi="Cambria" w:cs="Times New Roman"/>
      <w:b/>
      <w:bCs/>
      <w:kern w:val="32"/>
      <w:sz w:val="32"/>
      <w:szCs w:val="32"/>
    </w:rPr>
  </w:style>
  <w:style w:type="character" w:customStyle="1" w:styleId="element-citation">
    <w:name w:val="element-citation"/>
    <w:rsid w:val="007B676C"/>
  </w:style>
  <w:style w:type="character" w:customStyle="1" w:styleId="apple-converted-space">
    <w:name w:val="apple-converted-space"/>
    <w:rsid w:val="007B676C"/>
  </w:style>
  <w:style w:type="character" w:customStyle="1" w:styleId="ref-journal">
    <w:name w:val="ref-journal"/>
    <w:rsid w:val="007B676C"/>
  </w:style>
  <w:style w:type="character" w:styleId="Emphasis">
    <w:name w:val="Emphasis"/>
    <w:uiPriority w:val="20"/>
    <w:qFormat/>
    <w:rsid w:val="007B676C"/>
    <w:rPr>
      <w:i/>
      <w:iCs/>
    </w:rPr>
  </w:style>
  <w:style w:type="character" w:customStyle="1" w:styleId="mixed-citation">
    <w:name w:val="mixed-citation"/>
    <w:rsid w:val="007B676C"/>
  </w:style>
  <w:style w:type="paragraph" w:styleId="BodyText">
    <w:name w:val="Body Text"/>
    <w:basedOn w:val="Normal"/>
    <w:link w:val="BodyTextChar"/>
    <w:rsid w:val="001C14CB"/>
    <w:pPr>
      <w:jc w:val="center"/>
    </w:pPr>
    <w:rPr>
      <w:b/>
      <w:sz w:val="36"/>
      <w:szCs w:val="20"/>
    </w:rPr>
  </w:style>
  <w:style w:type="character" w:customStyle="1" w:styleId="BodyTextChar">
    <w:name w:val="Body Text Char"/>
    <w:basedOn w:val="DefaultParagraphFont"/>
    <w:link w:val="BodyText"/>
    <w:rsid w:val="001C14CB"/>
    <w:rPr>
      <w:b/>
      <w:sz w:val="36"/>
    </w:rPr>
  </w:style>
  <w:style w:type="character" w:customStyle="1" w:styleId="Heading2Char">
    <w:name w:val="Heading 2 Char"/>
    <w:basedOn w:val="DefaultParagraphFont"/>
    <w:link w:val="Heading2"/>
    <w:semiHidden/>
    <w:rsid w:val="00C651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C65177"/>
    <w:rPr>
      <w:rFonts w:asciiTheme="majorHAnsi" w:eastAsiaTheme="majorEastAsia" w:hAnsiTheme="majorHAnsi" w:cstheme="majorBidi"/>
      <w:color w:val="1F4D78" w:themeColor="accent1" w:themeShade="7F"/>
      <w:sz w:val="24"/>
      <w:szCs w:val="24"/>
    </w:rPr>
  </w:style>
  <w:style w:type="paragraph" w:customStyle="1" w:styleId="CAMSText">
    <w:name w:val="CAMS Text"/>
    <w:basedOn w:val="Normal"/>
    <w:rsid w:val="00C65177"/>
    <w:pPr>
      <w:spacing w:after="120"/>
    </w:pPr>
    <w:rPr>
      <w:rFonts w:ascii="Arial" w:hAnsi="Arial" w:cs="Arial"/>
      <w:sz w:val="22"/>
      <w:szCs w:val="22"/>
    </w:rPr>
  </w:style>
  <w:style w:type="paragraph" w:styleId="PlainText">
    <w:name w:val="Plain Text"/>
    <w:basedOn w:val="Normal"/>
    <w:link w:val="PlainTextChar"/>
    <w:uiPriority w:val="99"/>
    <w:rsid w:val="00E840C9"/>
    <w:rPr>
      <w:rFonts w:ascii="Consolas" w:hAnsi="Consolas"/>
      <w:sz w:val="21"/>
      <w:szCs w:val="21"/>
    </w:rPr>
  </w:style>
  <w:style w:type="character" w:customStyle="1" w:styleId="PlainTextChar">
    <w:name w:val="Plain Text Char"/>
    <w:basedOn w:val="DefaultParagraphFont"/>
    <w:link w:val="PlainText"/>
    <w:uiPriority w:val="99"/>
    <w:rsid w:val="00E840C9"/>
    <w:rPr>
      <w:rFonts w:ascii="Consolas" w:hAnsi="Consolas"/>
      <w:sz w:val="21"/>
      <w:szCs w:val="21"/>
    </w:rPr>
  </w:style>
  <w:style w:type="character" w:customStyle="1" w:styleId="FooterChar">
    <w:name w:val="Footer Char"/>
    <w:basedOn w:val="DefaultParagraphFont"/>
    <w:link w:val="Footer"/>
    <w:uiPriority w:val="99"/>
    <w:rsid w:val="0067442F"/>
    <w:rPr>
      <w:sz w:val="24"/>
      <w:szCs w:val="24"/>
    </w:rPr>
  </w:style>
  <w:style w:type="table" w:customStyle="1" w:styleId="TableGrid1">
    <w:name w:val="Table Grid1"/>
    <w:basedOn w:val="TableNormal"/>
    <w:next w:val="TableGrid"/>
    <w:uiPriority w:val="39"/>
    <w:rsid w:val="002029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C2392"/>
    <w:pPr>
      <w:spacing w:before="100" w:beforeAutospacing="1" w:after="100" w:afterAutospacing="1"/>
    </w:pPr>
    <w:rPr>
      <w:rFonts w:eastAsiaTheme="minorHAnsi"/>
    </w:rPr>
  </w:style>
  <w:style w:type="character" w:customStyle="1" w:styleId="docsum-authors">
    <w:name w:val="docsum-authors"/>
    <w:basedOn w:val="DefaultParagraphFont"/>
    <w:rsid w:val="00734D43"/>
  </w:style>
  <w:style w:type="character" w:customStyle="1" w:styleId="docsum-journal-citation">
    <w:name w:val="docsum-journal-citation"/>
    <w:basedOn w:val="DefaultParagraphFont"/>
    <w:rsid w:val="00B31857"/>
  </w:style>
  <w:style w:type="character" w:customStyle="1" w:styleId="Heading4Char">
    <w:name w:val="Heading 4 Char"/>
    <w:basedOn w:val="DefaultParagraphFont"/>
    <w:link w:val="Heading4"/>
    <w:semiHidden/>
    <w:rsid w:val="001210D8"/>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B6"/>
    <w:rPr>
      <w:sz w:val="24"/>
      <w:szCs w:val="24"/>
    </w:rPr>
  </w:style>
  <w:style w:type="paragraph" w:styleId="Heading1">
    <w:name w:val="heading 1"/>
    <w:basedOn w:val="Normal"/>
    <w:next w:val="Normal"/>
    <w:link w:val="Heading1Char"/>
    <w:qFormat/>
    <w:rsid w:val="00A42D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651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6517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210D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1038"/>
    <w:pPr>
      <w:spacing w:before="100" w:beforeAutospacing="1" w:after="100" w:afterAutospacing="1"/>
    </w:pPr>
    <w:rPr>
      <w:rFonts w:ascii="Verdana" w:hAnsi="Verdana"/>
      <w:color w:val="000000"/>
      <w:sz w:val="17"/>
      <w:szCs w:val="17"/>
    </w:rPr>
  </w:style>
  <w:style w:type="paragraph" w:styleId="Footer">
    <w:name w:val="footer"/>
    <w:basedOn w:val="Normal"/>
    <w:link w:val="FooterChar"/>
    <w:uiPriority w:val="99"/>
    <w:rsid w:val="0067770F"/>
    <w:pPr>
      <w:tabs>
        <w:tab w:val="center" w:pos="4320"/>
        <w:tab w:val="right" w:pos="8640"/>
      </w:tabs>
    </w:pPr>
  </w:style>
  <w:style w:type="character" w:styleId="PageNumber">
    <w:name w:val="page number"/>
    <w:basedOn w:val="DefaultParagraphFont"/>
    <w:rsid w:val="0067770F"/>
  </w:style>
  <w:style w:type="character" w:customStyle="1" w:styleId="textcontrol">
    <w:name w:val="textcontrol"/>
    <w:basedOn w:val="DefaultParagraphFont"/>
    <w:rsid w:val="0067770F"/>
  </w:style>
  <w:style w:type="paragraph" w:styleId="Header">
    <w:name w:val="header"/>
    <w:basedOn w:val="Normal"/>
    <w:rsid w:val="0067770F"/>
    <w:pPr>
      <w:tabs>
        <w:tab w:val="center" w:pos="4320"/>
        <w:tab w:val="right" w:pos="8640"/>
      </w:tabs>
    </w:pPr>
  </w:style>
  <w:style w:type="paragraph" w:styleId="BalloonText">
    <w:name w:val="Balloon Text"/>
    <w:basedOn w:val="Normal"/>
    <w:semiHidden/>
    <w:rsid w:val="00A869FE"/>
    <w:rPr>
      <w:rFonts w:ascii="Tahoma" w:hAnsi="Tahoma" w:cs="Tahoma"/>
      <w:sz w:val="16"/>
      <w:szCs w:val="16"/>
    </w:rPr>
  </w:style>
  <w:style w:type="character" w:styleId="CommentReference">
    <w:name w:val="annotation reference"/>
    <w:uiPriority w:val="99"/>
    <w:rsid w:val="003C11FA"/>
    <w:rPr>
      <w:sz w:val="16"/>
      <w:szCs w:val="16"/>
    </w:rPr>
  </w:style>
  <w:style w:type="paragraph" w:styleId="CommentText">
    <w:name w:val="annotation text"/>
    <w:basedOn w:val="Normal"/>
    <w:link w:val="CommentTextChar"/>
    <w:uiPriority w:val="99"/>
    <w:rsid w:val="003C11FA"/>
    <w:rPr>
      <w:sz w:val="20"/>
      <w:szCs w:val="20"/>
    </w:rPr>
  </w:style>
  <w:style w:type="character" w:customStyle="1" w:styleId="CommentTextChar">
    <w:name w:val="Comment Text Char"/>
    <w:basedOn w:val="DefaultParagraphFont"/>
    <w:link w:val="CommentText"/>
    <w:uiPriority w:val="99"/>
    <w:rsid w:val="003C11FA"/>
  </w:style>
  <w:style w:type="paragraph" w:styleId="CommentSubject">
    <w:name w:val="annotation subject"/>
    <w:basedOn w:val="CommentText"/>
    <w:next w:val="CommentText"/>
    <w:link w:val="CommentSubjectChar"/>
    <w:rsid w:val="003C11FA"/>
    <w:rPr>
      <w:b/>
      <w:bCs/>
    </w:rPr>
  </w:style>
  <w:style w:type="character" w:customStyle="1" w:styleId="CommentSubjectChar">
    <w:name w:val="Comment Subject Char"/>
    <w:link w:val="CommentSubject"/>
    <w:rsid w:val="003C11FA"/>
    <w:rPr>
      <w:b/>
      <w:bCs/>
    </w:rPr>
  </w:style>
  <w:style w:type="character" w:styleId="Hyperlink">
    <w:name w:val="Hyperlink"/>
    <w:rsid w:val="00A26276"/>
    <w:rPr>
      <w:color w:val="0563C1"/>
      <w:u w:val="single"/>
    </w:rPr>
  </w:style>
  <w:style w:type="table" w:styleId="TableGrid">
    <w:name w:val="Table Grid"/>
    <w:basedOn w:val="TableNormal"/>
    <w:rsid w:val="00A0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73D"/>
    <w:pPr>
      <w:spacing w:after="160" w:line="259" w:lineRule="auto"/>
      <w:ind w:left="720"/>
      <w:contextualSpacing/>
    </w:pPr>
    <w:rPr>
      <w:rFonts w:ascii="Calibri" w:eastAsia="Calibri" w:hAnsi="Calibri"/>
      <w:sz w:val="22"/>
      <w:szCs w:val="22"/>
    </w:rPr>
  </w:style>
  <w:style w:type="paragraph" w:customStyle="1" w:styleId="Default">
    <w:name w:val="Default"/>
    <w:rsid w:val="008237F3"/>
    <w:pPr>
      <w:autoSpaceDE w:val="0"/>
      <w:autoSpaceDN w:val="0"/>
      <w:adjustRightInd w:val="0"/>
    </w:pPr>
    <w:rPr>
      <w:color w:val="000000"/>
      <w:sz w:val="24"/>
      <w:szCs w:val="24"/>
    </w:rPr>
  </w:style>
  <w:style w:type="character" w:customStyle="1" w:styleId="Heading1Char">
    <w:name w:val="Heading 1 Char"/>
    <w:link w:val="Heading1"/>
    <w:rsid w:val="00A42DF6"/>
    <w:rPr>
      <w:rFonts w:ascii="Cambria" w:eastAsia="Times New Roman" w:hAnsi="Cambria" w:cs="Times New Roman"/>
      <w:b/>
      <w:bCs/>
      <w:kern w:val="32"/>
      <w:sz w:val="32"/>
      <w:szCs w:val="32"/>
    </w:rPr>
  </w:style>
  <w:style w:type="character" w:customStyle="1" w:styleId="element-citation">
    <w:name w:val="element-citation"/>
    <w:rsid w:val="007B676C"/>
  </w:style>
  <w:style w:type="character" w:customStyle="1" w:styleId="apple-converted-space">
    <w:name w:val="apple-converted-space"/>
    <w:rsid w:val="007B676C"/>
  </w:style>
  <w:style w:type="character" w:customStyle="1" w:styleId="ref-journal">
    <w:name w:val="ref-journal"/>
    <w:rsid w:val="007B676C"/>
  </w:style>
  <w:style w:type="character" w:styleId="Emphasis">
    <w:name w:val="Emphasis"/>
    <w:uiPriority w:val="20"/>
    <w:qFormat/>
    <w:rsid w:val="007B676C"/>
    <w:rPr>
      <w:i/>
      <w:iCs/>
    </w:rPr>
  </w:style>
  <w:style w:type="character" w:customStyle="1" w:styleId="mixed-citation">
    <w:name w:val="mixed-citation"/>
    <w:rsid w:val="007B676C"/>
  </w:style>
  <w:style w:type="paragraph" w:styleId="BodyText">
    <w:name w:val="Body Text"/>
    <w:basedOn w:val="Normal"/>
    <w:link w:val="BodyTextChar"/>
    <w:rsid w:val="001C14CB"/>
    <w:pPr>
      <w:jc w:val="center"/>
    </w:pPr>
    <w:rPr>
      <w:b/>
      <w:sz w:val="36"/>
      <w:szCs w:val="20"/>
    </w:rPr>
  </w:style>
  <w:style w:type="character" w:customStyle="1" w:styleId="BodyTextChar">
    <w:name w:val="Body Text Char"/>
    <w:basedOn w:val="DefaultParagraphFont"/>
    <w:link w:val="BodyText"/>
    <w:rsid w:val="001C14CB"/>
    <w:rPr>
      <w:b/>
      <w:sz w:val="36"/>
    </w:rPr>
  </w:style>
  <w:style w:type="character" w:customStyle="1" w:styleId="Heading2Char">
    <w:name w:val="Heading 2 Char"/>
    <w:basedOn w:val="DefaultParagraphFont"/>
    <w:link w:val="Heading2"/>
    <w:semiHidden/>
    <w:rsid w:val="00C651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C65177"/>
    <w:rPr>
      <w:rFonts w:asciiTheme="majorHAnsi" w:eastAsiaTheme="majorEastAsia" w:hAnsiTheme="majorHAnsi" w:cstheme="majorBidi"/>
      <w:color w:val="1F4D78" w:themeColor="accent1" w:themeShade="7F"/>
      <w:sz w:val="24"/>
      <w:szCs w:val="24"/>
    </w:rPr>
  </w:style>
  <w:style w:type="paragraph" w:customStyle="1" w:styleId="CAMSText">
    <w:name w:val="CAMS Text"/>
    <w:basedOn w:val="Normal"/>
    <w:rsid w:val="00C65177"/>
    <w:pPr>
      <w:spacing w:after="120"/>
    </w:pPr>
    <w:rPr>
      <w:rFonts w:ascii="Arial" w:hAnsi="Arial" w:cs="Arial"/>
      <w:sz w:val="22"/>
      <w:szCs w:val="22"/>
    </w:rPr>
  </w:style>
  <w:style w:type="paragraph" w:styleId="PlainText">
    <w:name w:val="Plain Text"/>
    <w:basedOn w:val="Normal"/>
    <w:link w:val="PlainTextChar"/>
    <w:uiPriority w:val="99"/>
    <w:rsid w:val="00E840C9"/>
    <w:rPr>
      <w:rFonts w:ascii="Consolas" w:hAnsi="Consolas"/>
      <w:sz w:val="21"/>
      <w:szCs w:val="21"/>
    </w:rPr>
  </w:style>
  <w:style w:type="character" w:customStyle="1" w:styleId="PlainTextChar">
    <w:name w:val="Plain Text Char"/>
    <w:basedOn w:val="DefaultParagraphFont"/>
    <w:link w:val="PlainText"/>
    <w:uiPriority w:val="99"/>
    <w:rsid w:val="00E840C9"/>
    <w:rPr>
      <w:rFonts w:ascii="Consolas" w:hAnsi="Consolas"/>
      <w:sz w:val="21"/>
      <w:szCs w:val="21"/>
    </w:rPr>
  </w:style>
  <w:style w:type="character" w:customStyle="1" w:styleId="FooterChar">
    <w:name w:val="Footer Char"/>
    <w:basedOn w:val="DefaultParagraphFont"/>
    <w:link w:val="Footer"/>
    <w:uiPriority w:val="99"/>
    <w:rsid w:val="0067442F"/>
    <w:rPr>
      <w:sz w:val="24"/>
      <w:szCs w:val="24"/>
    </w:rPr>
  </w:style>
  <w:style w:type="table" w:customStyle="1" w:styleId="TableGrid1">
    <w:name w:val="Table Grid1"/>
    <w:basedOn w:val="TableNormal"/>
    <w:next w:val="TableGrid"/>
    <w:uiPriority w:val="39"/>
    <w:rsid w:val="002029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C2392"/>
    <w:pPr>
      <w:spacing w:before="100" w:beforeAutospacing="1" w:after="100" w:afterAutospacing="1"/>
    </w:pPr>
    <w:rPr>
      <w:rFonts w:eastAsiaTheme="minorHAnsi"/>
    </w:rPr>
  </w:style>
  <w:style w:type="character" w:customStyle="1" w:styleId="docsum-authors">
    <w:name w:val="docsum-authors"/>
    <w:basedOn w:val="DefaultParagraphFont"/>
    <w:rsid w:val="00734D43"/>
  </w:style>
  <w:style w:type="character" w:customStyle="1" w:styleId="docsum-journal-citation">
    <w:name w:val="docsum-journal-citation"/>
    <w:basedOn w:val="DefaultParagraphFont"/>
    <w:rsid w:val="00B31857"/>
  </w:style>
  <w:style w:type="character" w:customStyle="1" w:styleId="Heading4Char">
    <w:name w:val="Heading 4 Char"/>
    <w:basedOn w:val="DefaultParagraphFont"/>
    <w:link w:val="Heading4"/>
    <w:semiHidden/>
    <w:rsid w:val="001210D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112">
      <w:bodyDiv w:val="1"/>
      <w:marLeft w:val="0"/>
      <w:marRight w:val="0"/>
      <w:marTop w:val="0"/>
      <w:marBottom w:val="0"/>
      <w:divBdr>
        <w:top w:val="none" w:sz="0" w:space="0" w:color="auto"/>
        <w:left w:val="none" w:sz="0" w:space="0" w:color="auto"/>
        <w:bottom w:val="none" w:sz="0" w:space="0" w:color="auto"/>
        <w:right w:val="none" w:sz="0" w:space="0" w:color="auto"/>
      </w:divBdr>
    </w:div>
    <w:div w:id="52505022">
      <w:bodyDiv w:val="1"/>
      <w:marLeft w:val="0"/>
      <w:marRight w:val="0"/>
      <w:marTop w:val="0"/>
      <w:marBottom w:val="0"/>
      <w:divBdr>
        <w:top w:val="none" w:sz="0" w:space="0" w:color="auto"/>
        <w:left w:val="none" w:sz="0" w:space="0" w:color="auto"/>
        <w:bottom w:val="none" w:sz="0" w:space="0" w:color="auto"/>
        <w:right w:val="none" w:sz="0" w:space="0" w:color="auto"/>
      </w:divBdr>
    </w:div>
    <w:div w:id="77479457">
      <w:bodyDiv w:val="1"/>
      <w:marLeft w:val="0"/>
      <w:marRight w:val="0"/>
      <w:marTop w:val="0"/>
      <w:marBottom w:val="0"/>
      <w:divBdr>
        <w:top w:val="none" w:sz="0" w:space="0" w:color="auto"/>
        <w:left w:val="none" w:sz="0" w:space="0" w:color="auto"/>
        <w:bottom w:val="none" w:sz="0" w:space="0" w:color="auto"/>
        <w:right w:val="none" w:sz="0" w:space="0" w:color="auto"/>
      </w:divBdr>
    </w:div>
    <w:div w:id="220867299">
      <w:bodyDiv w:val="1"/>
      <w:marLeft w:val="0"/>
      <w:marRight w:val="0"/>
      <w:marTop w:val="0"/>
      <w:marBottom w:val="0"/>
      <w:divBdr>
        <w:top w:val="none" w:sz="0" w:space="0" w:color="auto"/>
        <w:left w:val="none" w:sz="0" w:space="0" w:color="auto"/>
        <w:bottom w:val="none" w:sz="0" w:space="0" w:color="auto"/>
        <w:right w:val="none" w:sz="0" w:space="0" w:color="auto"/>
      </w:divBdr>
    </w:div>
    <w:div w:id="229268036">
      <w:bodyDiv w:val="1"/>
      <w:marLeft w:val="0"/>
      <w:marRight w:val="0"/>
      <w:marTop w:val="0"/>
      <w:marBottom w:val="0"/>
      <w:divBdr>
        <w:top w:val="none" w:sz="0" w:space="0" w:color="auto"/>
        <w:left w:val="none" w:sz="0" w:space="0" w:color="auto"/>
        <w:bottom w:val="none" w:sz="0" w:space="0" w:color="auto"/>
        <w:right w:val="none" w:sz="0" w:space="0" w:color="auto"/>
      </w:divBdr>
    </w:div>
    <w:div w:id="246500110">
      <w:bodyDiv w:val="1"/>
      <w:marLeft w:val="0"/>
      <w:marRight w:val="0"/>
      <w:marTop w:val="0"/>
      <w:marBottom w:val="0"/>
      <w:divBdr>
        <w:top w:val="none" w:sz="0" w:space="0" w:color="auto"/>
        <w:left w:val="none" w:sz="0" w:space="0" w:color="auto"/>
        <w:bottom w:val="none" w:sz="0" w:space="0" w:color="auto"/>
        <w:right w:val="none" w:sz="0" w:space="0" w:color="auto"/>
      </w:divBdr>
    </w:div>
    <w:div w:id="296880238">
      <w:bodyDiv w:val="1"/>
      <w:marLeft w:val="0"/>
      <w:marRight w:val="0"/>
      <w:marTop w:val="0"/>
      <w:marBottom w:val="0"/>
      <w:divBdr>
        <w:top w:val="none" w:sz="0" w:space="0" w:color="auto"/>
        <w:left w:val="none" w:sz="0" w:space="0" w:color="auto"/>
        <w:bottom w:val="none" w:sz="0" w:space="0" w:color="auto"/>
        <w:right w:val="none" w:sz="0" w:space="0" w:color="auto"/>
      </w:divBdr>
      <w:divsChild>
        <w:div w:id="824510168">
          <w:marLeft w:val="0"/>
          <w:marRight w:val="0"/>
          <w:marTop w:val="0"/>
          <w:marBottom w:val="0"/>
          <w:divBdr>
            <w:top w:val="none" w:sz="0" w:space="0" w:color="auto"/>
            <w:left w:val="none" w:sz="0" w:space="0" w:color="auto"/>
            <w:bottom w:val="none" w:sz="0" w:space="0" w:color="auto"/>
            <w:right w:val="none" w:sz="0" w:space="0" w:color="auto"/>
          </w:divBdr>
        </w:div>
      </w:divsChild>
    </w:div>
    <w:div w:id="322977044">
      <w:bodyDiv w:val="1"/>
      <w:marLeft w:val="0"/>
      <w:marRight w:val="0"/>
      <w:marTop w:val="0"/>
      <w:marBottom w:val="0"/>
      <w:divBdr>
        <w:top w:val="none" w:sz="0" w:space="0" w:color="auto"/>
        <w:left w:val="none" w:sz="0" w:space="0" w:color="auto"/>
        <w:bottom w:val="none" w:sz="0" w:space="0" w:color="auto"/>
        <w:right w:val="none" w:sz="0" w:space="0" w:color="auto"/>
      </w:divBdr>
      <w:divsChild>
        <w:div w:id="1337539322">
          <w:marLeft w:val="0"/>
          <w:marRight w:val="0"/>
          <w:marTop w:val="0"/>
          <w:marBottom w:val="0"/>
          <w:divBdr>
            <w:top w:val="none" w:sz="0" w:space="0" w:color="auto"/>
            <w:left w:val="none" w:sz="0" w:space="0" w:color="auto"/>
            <w:bottom w:val="none" w:sz="0" w:space="0" w:color="auto"/>
            <w:right w:val="none" w:sz="0" w:space="0" w:color="auto"/>
          </w:divBdr>
        </w:div>
      </w:divsChild>
    </w:div>
    <w:div w:id="333917755">
      <w:bodyDiv w:val="1"/>
      <w:marLeft w:val="0"/>
      <w:marRight w:val="0"/>
      <w:marTop w:val="0"/>
      <w:marBottom w:val="0"/>
      <w:divBdr>
        <w:top w:val="none" w:sz="0" w:space="0" w:color="auto"/>
        <w:left w:val="none" w:sz="0" w:space="0" w:color="auto"/>
        <w:bottom w:val="none" w:sz="0" w:space="0" w:color="auto"/>
        <w:right w:val="none" w:sz="0" w:space="0" w:color="auto"/>
      </w:divBdr>
    </w:div>
    <w:div w:id="414134368">
      <w:bodyDiv w:val="1"/>
      <w:marLeft w:val="0"/>
      <w:marRight w:val="0"/>
      <w:marTop w:val="0"/>
      <w:marBottom w:val="0"/>
      <w:divBdr>
        <w:top w:val="none" w:sz="0" w:space="0" w:color="auto"/>
        <w:left w:val="none" w:sz="0" w:space="0" w:color="auto"/>
        <w:bottom w:val="none" w:sz="0" w:space="0" w:color="auto"/>
        <w:right w:val="none" w:sz="0" w:space="0" w:color="auto"/>
      </w:divBdr>
    </w:div>
    <w:div w:id="471560111">
      <w:bodyDiv w:val="1"/>
      <w:marLeft w:val="0"/>
      <w:marRight w:val="0"/>
      <w:marTop w:val="0"/>
      <w:marBottom w:val="0"/>
      <w:divBdr>
        <w:top w:val="none" w:sz="0" w:space="0" w:color="auto"/>
        <w:left w:val="none" w:sz="0" w:space="0" w:color="auto"/>
        <w:bottom w:val="none" w:sz="0" w:space="0" w:color="auto"/>
        <w:right w:val="none" w:sz="0" w:space="0" w:color="auto"/>
      </w:divBdr>
    </w:div>
    <w:div w:id="544558576">
      <w:bodyDiv w:val="1"/>
      <w:marLeft w:val="0"/>
      <w:marRight w:val="0"/>
      <w:marTop w:val="0"/>
      <w:marBottom w:val="0"/>
      <w:divBdr>
        <w:top w:val="none" w:sz="0" w:space="0" w:color="auto"/>
        <w:left w:val="none" w:sz="0" w:space="0" w:color="auto"/>
        <w:bottom w:val="none" w:sz="0" w:space="0" w:color="auto"/>
        <w:right w:val="none" w:sz="0" w:space="0" w:color="auto"/>
      </w:divBdr>
    </w:div>
    <w:div w:id="578054069">
      <w:bodyDiv w:val="1"/>
      <w:marLeft w:val="0"/>
      <w:marRight w:val="0"/>
      <w:marTop w:val="0"/>
      <w:marBottom w:val="0"/>
      <w:divBdr>
        <w:top w:val="none" w:sz="0" w:space="0" w:color="auto"/>
        <w:left w:val="none" w:sz="0" w:space="0" w:color="auto"/>
        <w:bottom w:val="none" w:sz="0" w:space="0" w:color="auto"/>
        <w:right w:val="none" w:sz="0" w:space="0" w:color="auto"/>
      </w:divBdr>
    </w:div>
    <w:div w:id="615867468">
      <w:bodyDiv w:val="1"/>
      <w:marLeft w:val="0"/>
      <w:marRight w:val="0"/>
      <w:marTop w:val="0"/>
      <w:marBottom w:val="0"/>
      <w:divBdr>
        <w:top w:val="none" w:sz="0" w:space="0" w:color="auto"/>
        <w:left w:val="none" w:sz="0" w:space="0" w:color="auto"/>
        <w:bottom w:val="none" w:sz="0" w:space="0" w:color="auto"/>
        <w:right w:val="none" w:sz="0" w:space="0" w:color="auto"/>
      </w:divBdr>
    </w:div>
    <w:div w:id="616332516">
      <w:bodyDiv w:val="1"/>
      <w:marLeft w:val="0"/>
      <w:marRight w:val="0"/>
      <w:marTop w:val="0"/>
      <w:marBottom w:val="0"/>
      <w:divBdr>
        <w:top w:val="none" w:sz="0" w:space="0" w:color="auto"/>
        <w:left w:val="none" w:sz="0" w:space="0" w:color="auto"/>
        <w:bottom w:val="none" w:sz="0" w:space="0" w:color="auto"/>
        <w:right w:val="none" w:sz="0" w:space="0" w:color="auto"/>
      </w:divBdr>
    </w:div>
    <w:div w:id="631443886">
      <w:bodyDiv w:val="1"/>
      <w:marLeft w:val="0"/>
      <w:marRight w:val="0"/>
      <w:marTop w:val="0"/>
      <w:marBottom w:val="0"/>
      <w:divBdr>
        <w:top w:val="none" w:sz="0" w:space="0" w:color="auto"/>
        <w:left w:val="none" w:sz="0" w:space="0" w:color="auto"/>
        <w:bottom w:val="none" w:sz="0" w:space="0" w:color="auto"/>
        <w:right w:val="none" w:sz="0" w:space="0" w:color="auto"/>
      </w:divBdr>
    </w:div>
    <w:div w:id="757990554">
      <w:bodyDiv w:val="1"/>
      <w:marLeft w:val="0"/>
      <w:marRight w:val="0"/>
      <w:marTop w:val="0"/>
      <w:marBottom w:val="0"/>
      <w:divBdr>
        <w:top w:val="none" w:sz="0" w:space="0" w:color="auto"/>
        <w:left w:val="none" w:sz="0" w:space="0" w:color="auto"/>
        <w:bottom w:val="none" w:sz="0" w:space="0" w:color="auto"/>
        <w:right w:val="none" w:sz="0" w:space="0" w:color="auto"/>
      </w:divBdr>
    </w:div>
    <w:div w:id="781925179">
      <w:bodyDiv w:val="1"/>
      <w:marLeft w:val="0"/>
      <w:marRight w:val="0"/>
      <w:marTop w:val="0"/>
      <w:marBottom w:val="0"/>
      <w:divBdr>
        <w:top w:val="none" w:sz="0" w:space="0" w:color="auto"/>
        <w:left w:val="none" w:sz="0" w:space="0" w:color="auto"/>
        <w:bottom w:val="none" w:sz="0" w:space="0" w:color="auto"/>
        <w:right w:val="none" w:sz="0" w:space="0" w:color="auto"/>
      </w:divBdr>
    </w:div>
    <w:div w:id="862861433">
      <w:bodyDiv w:val="1"/>
      <w:marLeft w:val="0"/>
      <w:marRight w:val="0"/>
      <w:marTop w:val="0"/>
      <w:marBottom w:val="0"/>
      <w:divBdr>
        <w:top w:val="none" w:sz="0" w:space="0" w:color="auto"/>
        <w:left w:val="none" w:sz="0" w:space="0" w:color="auto"/>
        <w:bottom w:val="none" w:sz="0" w:space="0" w:color="auto"/>
        <w:right w:val="none" w:sz="0" w:space="0" w:color="auto"/>
      </w:divBdr>
      <w:divsChild>
        <w:div w:id="136343672">
          <w:marLeft w:val="0"/>
          <w:marRight w:val="0"/>
          <w:marTop w:val="0"/>
          <w:marBottom w:val="0"/>
          <w:divBdr>
            <w:top w:val="none" w:sz="0" w:space="0" w:color="auto"/>
            <w:left w:val="none" w:sz="0" w:space="0" w:color="auto"/>
            <w:bottom w:val="none" w:sz="0" w:space="0" w:color="auto"/>
            <w:right w:val="none" w:sz="0" w:space="0" w:color="auto"/>
          </w:divBdr>
          <w:divsChild>
            <w:div w:id="1153327878">
              <w:marLeft w:val="0"/>
              <w:marRight w:val="0"/>
              <w:marTop w:val="0"/>
              <w:marBottom w:val="0"/>
              <w:divBdr>
                <w:top w:val="none" w:sz="0" w:space="0" w:color="auto"/>
                <w:left w:val="none" w:sz="0" w:space="0" w:color="auto"/>
                <w:bottom w:val="none" w:sz="0" w:space="0" w:color="auto"/>
                <w:right w:val="none" w:sz="0" w:space="0" w:color="auto"/>
              </w:divBdr>
            </w:div>
          </w:divsChild>
        </w:div>
        <w:div w:id="695623209">
          <w:marLeft w:val="0"/>
          <w:marRight w:val="0"/>
          <w:marTop w:val="0"/>
          <w:marBottom w:val="0"/>
          <w:divBdr>
            <w:top w:val="none" w:sz="0" w:space="0" w:color="auto"/>
            <w:left w:val="none" w:sz="0" w:space="0" w:color="auto"/>
            <w:bottom w:val="none" w:sz="0" w:space="0" w:color="auto"/>
            <w:right w:val="none" w:sz="0" w:space="0" w:color="auto"/>
          </w:divBdr>
          <w:divsChild>
            <w:div w:id="903881368">
              <w:marLeft w:val="0"/>
              <w:marRight w:val="0"/>
              <w:marTop w:val="0"/>
              <w:marBottom w:val="0"/>
              <w:divBdr>
                <w:top w:val="none" w:sz="0" w:space="0" w:color="auto"/>
                <w:left w:val="none" w:sz="0" w:space="0" w:color="auto"/>
                <w:bottom w:val="none" w:sz="0" w:space="0" w:color="auto"/>
                <w:right w:val="none" w:sz="0" w:space="0" w:color="auto"/>
              </w:divBdr>
            </w:div>
          </w:divsChild>
        </w:div>
        <w:div w:id="1024744031">
          <w:marLeft w:val="0"/>
          <w:marRight w:val="0"/>
          <w:marTop w:val="0"/>
          <w:marBottom w:val="0"/>
          <w:divBdr>
            <w:top w:val="none" w:sz="0" w:space="0" w:color="auto"/>
            <w:left w:val="none" w:sz="0" w:space="0" w:color="auto"/>
            <w:bottom w:val="none" w:sz="0" w:space="0" w:color="auto"/>
            <w:right w:val="none" w:sz="0" w:space="0" w:color="auto"/>
          </w:divBdr>
          <w:divsChild>
            <w:div w:id="372848575">
              <w:marLeft w:val="0"/>
              <w:marRight w:val="0"/>
              <w:marTop w:val="0"/>
              <w:marBottom w:val="0"/>
              <w:divBdr>
                <w:top w:val="none" w:sz="0" w:space="0" w:color="auto"/>
                <w:left w:val="none" w:sz="0" w:space="0" w:color="auto"/>
                <w:bottom w:val="none" w:sz="0" w:space="0" w:color="auto"/>
                <w:right w:val="none" w:sz="0" w:space="0" w:color="auto"/>
              </w:divBdr>
            </w:div>
          </w:divsChild>
        </w:div>
        <w:div w:id="1679113735">
          <w:marLeft w:val="0"/>
          <w:marRight w:val="0"/>
          <w:marTop w:val="0"/>
          <w:marBottom w:val="0"/>
          <w:divBdr>
            <w:top w:val="none" w:sz="0" w:space="0" w:color="auto"/>
            <w:left w:val="none" w:sz="0" w:space="0" w:color="auto"/>
            <w:bottom w:val="none" w:sz="0" w:space="0" w:color="auto"/>
            <w:right w:val="none" w:sz="0" w:space="0" w:color="auto"/>
          </w:divBdr>
        </w:div>
      </w:divsChild>
    </w:div>
    <w:div w:id="866942213">
      <w:bodyDiv w:val="1"/>
      <w:marLeft w:val="0"/>
      <w:marRight w:val="0"/>
      <w:marTop w:val="0"/>
      <w:marBottom w:val="0"/>
      <w:divBdr>
        <w:top w:val="none" w:sz="0" w:space="0" w:color="auto"/>
        <w:left w:val="none" w:sz="0" w:space="0" w:color="auto"/>
        <w:bottom w:val="none" w:sz="0" w:space="0" w:color="auto"/>
        <w:right w:val="none" w:sz="0" w:space="0" w:color="auto"/>
      </w:divBdr>
      <w:divsChild>
        <w:div w:id="1914775820">
          <w:marLeft w:val="0"/>
          <w:marRight w:val="0"/>
          <w:marTop w:val="0"/>
          <w:marBottom w:val="0"/>
          <w:divBdr>
            <w:top w:val="none" w:sz="0" w:space="0" w:color="auto"/>
            <w:left w:val="none" w:sz="0" w:space="0" w:color="auto"/>
            <w:bottom w:val="none" w:sz="0" w:space="0" w:color="auto"/>
            <w:right w:val="none" w:sz="0" w:space="0" w:color="auto"/>
          </w:divBdr>
        </w:div>
      </w:divsChild>
    </w:div>
    <w:div w:id="912472452">
      <w:bodyDiv w:val="1"/>
      <w:marLeft w:val="0"/>
      <w:marRight w:val="0"/>
      <w:marTop w:val="0"/>
      <w:marBottom w:val="0"/>
      <w:divBdr>
        <w:top w:val="none" w:sz="0" w:space="0" w:color="auto"/>
        <w:left w:val="none" w:sz="0" w:space="0" w:color="auto"/>
        <w:bottom w:val="none" w:sz="0" w:space="0" w:color="auto"/>
        <w:right w:val="none" w:sz="0" w:space="0" w:color="auto"/>
      </w:divBdr>
    </w:div>
    <w:div w:id="969165189">
      <w:bodyDiv w:val="1"/>
      <w:marLeft w:val="0"/>
      <w:marRight w:val="0"/>
      <w:marTop w:val="0"/>
      <w:marBottom w:val="0"/>
      <w:divBdr>
        <w:top w:val="none" w:sz="0" w:space="0" w:color="auto"/>
        <w:left w:val="none" w:sz="0" w:space="0" w:color="auto"/>
        <w:bottom w:val="none" w:sz="0" w:space="0" w:color="auto"/>
        <w:right w:val="none" w:sz="0" w:space="0" w:color="auto"/>
      </w:divBdr>
      <w:divsChild>
        <w:div w:id="264927405">
          <w:marLeft w:val="0"/>
          <w:marRight w:val="0"/>
          <w:marTop w:val="0"/>
          <w:marBottom w:val="0"/>
          <w:divBdr>
            <w:top w:val="none" w:sz="0" w:space="0" w:color="auto"/>
            <w:left w:val="none" w:sz="0" w:space="0" w:color="auto"/>
            <w:bottom w:val="none" w:sz="0" w:space="0" w:color="auto"/>
            <w:right w:val="none" w:sz="0" w:space="0" w:color="auto"/>
          </w:divBdr>
        </w:div>
      </w:divsChild>
    </w:div>
    <w:div w:id="1159659804">
      <w:bodyDiv w:val="1"/>
      <w:marLeft w:val="0"/>
      <w:marRight w:val="0"/>
      <w:marTop w:val="0"/>
      <w:marBottom w:val="0"/>
      <w:divBdr>
        <w:top w:val="none" w:sz="0" w:space="0" w:color="auto"/>
        <w:left w:val="none" w:sz="0" w:space="0" w:color="auto"/>
        <w:bottom w:val="none" w:sz="0" w:space="0" w:color="auto"/>
        <w:right w:val="none" w:sz="0" w:space="0" w:color="auto"/>
      </w:divBdr>
      <w:divsChild>
        <w:div w:id="569539254">
          <w:marLeft w:val="0"/>
          <w:marRight w:val="0"/>
          <w:marTop w:val="0"/>
          <w:marBottom w:val="0"/>
          <w:divBdr>
            <w:top w:val="none" w:sz="0" w:space="0" w:color="auto"/>
            <w:left w:val="none" w:sz="0" w:space="0" w:color="auto"/>
            <w:bottom w:val="none" w:sz="0" w:space="0" w:color="auto"/>
            <w:right w:val="none" w:sz="0" w:space="0" w:color="auto"/>
          </w:divBdr>
        </w:div>
      </w:divsChild>
    </w:div>
    <w:div w:id="1235049258">
      <w:bodyDiv w:val="1"/>
      <w:marLeft w:val="0"/>
      <w:marRight w:val="0"/>
      <w:marTop w:val="0"/>
      <w:marBottom w:val="0"/>
      <w:divBdr>
        <w:top w:val="none" w:sz="0" w:space="0" w:color="auto"/>
        <w:left w:val="none" w:sz="0" w:space="0" w:color="auto"/>
        <w:bottom w:val="none" w:sz="0" w:space="0" w:color="auto"/>
        <w:right w:val="none" w:sz="0" w:space="0" w:color="auto"/>
      </w:divBdr>
    </w:div>
    <w:div w:id="1462266815">
      <w:bodyDiv w:val="1"/>
      <w:marLeft w:val="0"/>
      <w:marRight w:val="0"/>
      <w:marTop w:val="0"/>
      <w:marBottom w:val="0"/>
      <w:divBdr>
        <w:top w:val="none" w:sz="0" w:space="0" w:color="auto"/>
        <w:left w:val="none" w:sz="0" w:space="0" w:color="auto"/>
        <w:bottom w:val="none" w:sz="0" w:space="0" w:color="auto"/>
        <w:right w:val="none" w:sz="0" w:space="0" w:color="auto"/>
      </w:divBdr>
    </w:div>
    <w:div w:id="1518420830">
      <w:bodyDiv w:val="1"/>
      <w:marLeft w:val="0"/>
      <w:marRight w:val="0"/>
      <w:marTop w:val="0"/>
      <w:marBottom w:val="0"/>
      <w:divBdr>
        <w:top w:val="none" w:sz="0" w:space="0" w:color="auto"/>
        <w:left w:val="none" w:sz="0" w:space="0" w:color="auto"/>
        <w:bottom w:val="none" w:sz="0" w:space="0" w:color="auto"/>
        <w:right w:val="none" w:sz="0" w:space="0" w:color="auto"/>
      </w:divBdr>
    </w:div>
    <w:div w:id="1685547196">
      <w:bodyDiv w:val="1"/>
      <w:marLeft w:val="0"/>
      <w:marRight w:val="0"/>
      <w:marTop w:val="0"/>
      <w:marBottom w:val="0"/>
      <w:divBdr>
        <w:top w:val="none" w:sz="0" w:space="0" w:color="auto"/>
        <w:left w:val="none" w:sz="0" w:space="0" w:color="auto"/>
        <w:bottom w:val="none" w:sz="0" w:space="0" w:color="auto"/>
        <w:right w:val="none" w:sz="0" w:space="0" w:color="auto"/>
      </w:divBdr>
    </w:div>
    <w:div w:id="1703089885">
      <w:bodyDiv w:val="1"/>
      <w:marLeft w:val="0"/>
      <w:marRight w:val="0"/>
      <w:marTop w:val="0"/>
      <w:marBottom w:val="0"/>
      <w:divBdr>
        <w:top w:val="none" w:sz="0" w:space="0" w:color="auto"/>
        <w:left w:val="none" w:sz="0" w:space="0" w:color="auto"/>
        <w:bottom w:val="none" w:sz="0" w:space="0" w:color="auto"/>
        <w:right w:val="none" w:sz="0" w:space="0" w:color="auto"/>
      </w:divBdr>
      <w:divsChild>
        <w:div w:id="1289314900">
          <w:marLeft w:val="0"/>
          <w:marRight w:val="0"/>
          <w:marTop w:val="0"/>
          <w:marBottom w:val="0"/>
          <w:divBdr>
            <w:top w:val="none" w:sz="0" w:space="0" w:color="auto"/>
            <w:left w:val="none" w:sz="0" w:space="0" w:color="auto"/>
            <w:bottom w:val="none" w:sz="0" w:space="0" w:color="auto"/>
            <w:right w:val="none" w:sz="0" w:space="0" w:color="auto"/>
          </w:divBdr>
        </w:div>
      </w:divsChild>
    </w:div>
    <w:div w:id="1750807528">
      <w:bodyDiv w:val="1"/>
      <w:marLeft w:val="0"/>
      <w:marRight w:val="0"/>
      <w:marTop w:val="0"/>
      <w:marBottom w:val="0"/>
      <w:divBdr>
        <w:top w:val="none" w:sz="0" w:space="0" w:color="auto"/>
        <w:left w:val="none" w:sz="0" w:space="0" w:color="auto"/>
        <w:bottom w:val="none" w:sz="0" w:space="0" w:color="auto"/>
        <w:right w:val="none" w:sz="0" w:space="0" w:color="auto"/>
      </w:divBdr>
    </w:div>
    <w:div w:id="1781335776">
      <w:bodyDiv w:val="1"/>
      <w:marLeft w:val="0"/>
      <w:marRight w:val="0"/>
      <w:marTop w:val="0"/>
      <w:marBottom w:val="0"/>
      <w:divBdr>
        <w:top w:val="none" w:sz="0" w:space="0" w:color="auto"/>
        <w:left w:val="none" w:sz="0" w:space="0" w:color="auto"/>
        <w:bottom w:val="none" w:sz="0" w:space="0" w:color="auto"/>
        <w:right w:val="none" w:sz="0" w:space="0" w:color="auto"/>
      </w:divBdr>
    </w:div>
    <w:div w:id="1783307593">
      <w:bodyDiv w:val="1"/>
      <w:marLeft w:val="0"/>
      <w:marRight w:val="0"/>
      <w:marTop w:val="0"/>
      <w:marBottom w:val="0"/>
      <w:divBdr>
        <w:top w:val="none" w:sz="0" w:space="0" w:color="auto"/>
        <w:left w:val="none" w:sz="0" w:space="0" w:color="auto"/>
        <w:bottom w:val="none" w:sz="0" w:space="0" w:color="auto"/>
        <w:right w:val="none" w:sz="0" w:space="0" w:color="auto"/>
      </w:divBdr>
    </w:div>
    <w:div w:id="1986620119">
      <w:bodyDiv w:val="1"/>
      <w:marLeft w:val="0"/>
      <w:marRight w:val="0"/>
      <w:marTop w:val="0"/>
      <w:marBottom w:val="0"/>
      <w:divBdr>
        <w:top w:val="none" w:sz="0" w:space="0" w:color="auto"/>
        <w:left w:val="none" w:sz="0" w:space="0" w:color="auto"/>
        <w:bottom w:val="none" w:sz="0" w:space="0" w:color="auto"/>
        <w:right w:val="none" w:sz="0" w:space="0" w:color="auto"/>
      </w:divBdr>
    </w:div>
    <w:div w:id="2037920891">
      <w:bodyDiv w:val="1"/>
      <w:marLeft w:val="0"/>
      <w:marRight w:val="0"/>
      <w:marTop w:val="0"/>
      <w:marBottom w:val="0"/>
      <w:divBdr>
        <w:top w:val="none" w:sz="0" w:space="0" w:color="auto"/>
        <w:left w:val="none" w:sz="0" w:space="0" w:color="auto"/>
        <w:bottom w:val="none" w:sz="0" w:space="0" w:color="auto"/>
        <w:right w:val="none" w:sz="0" w:space="0" w:color="auto"/>
      </w:divBdr>
    </w:div>
    <w:div w:id="2126002846">
      <w:bodyDiv w:val="1"/>
      <w:marLeft w:val="0"/>
      <w:marRight w:val="0"/>
      <w:marTop w:val="0"/>
      <w:marBottom w:val="0"/>
      <w:divBdr>
        <w:top w:val="none" w:sz="0" w:space="0" w:color="auto"/>
        <w:left w:val="none" w:sz="0" w:space="0" w:color="auto"/>
        <w:bottom w:val="none" w:sz="0" w:space="0" w:color="auto"/>
        <w:right w:val="none" w:sz="0" w:space="0" w:color="auto"/>
      </w:divBdr>
    </w:div>
    <w:div w:id="2135439928">
      <w:bodyDiv w:val="1"/>
      <w:marLeft w:val="0"/>
      <w:marRight w:val="0"/>
      <w:marTop w:val="0"/>
      <w:marBottom w:val="0"/>
      <w:divBdr>
        <w:top w:val="none" w:sz="0" w:space="0" w:color="auto"/>
        <w:left w:val="none" w:sz="0" w:space="0" w:color="auto"/>
        <w:bottom w:val="none" w:sz="0" w:space="0" w:color="auto"/>
        <w:right w:val="none" w:sz="0" w:space="0" w:color="auto"/>
      </w:divBdr>
    </w:div>
    <w:div w:id="21421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vt:lpstr>
    </vt:vector>
  </TitlesOfParts>
  <Company>Strong Health</Company>
  <LinksUpToDate>false</LinksUpToDate>
  <CharactersWithSpaces>27191</CharactersWithSpaces>
  <SharedDoc>false</SharedDoc>
  <HLinks>
    <vt:vector size="6" baseType="variant">
      <vt:variant>
        <vt:i4>5636125</vt:i4>
      </vt:variant>
      <vt:variant>
        <vt:i4>0</vt:i4>
      </vt:variant>
      <vt:variant>
        <vt:i4>0</vt:i4>
      </vt:variant>
      <vt:variant>
        <vt:i4>5</vt:i4>
      </vt:variant>
      <vt:variant>
        <vt:lpwstr>http://www.trich.org/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sjee</dc:creator>
  <cp:lastModifiedBy>Grant, Jon [BSD] - PSY</cp:lastModifiedBy>
  <cp:revision>2</cp:revision>
  <cp:lastPrinted>2020-10-25T08:04:00Z</cp:lastPrinted>
  <dcterms:created xsi:type="dcterms:W3CDTF">2021-07-19T19:20:00Z</dcterms:created>
  <dcterms:modified xsi:type="dcterms:W3CDTF">2021-07-19T19:20:00Z</dcterms:modified>
</cp:coreProperties>
</file>