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AA4A7" w14:textId="6ECBB125" w:rsidR="00CC62C1" w:rsidRDefault="00CC62C1">
      <w:pPr>
        <w:jc w:val="center"/>
      </w:pPr>
      <w:r>
        <w:rPr>
          <w:rFonts w:ascii="Calibri" w:hAnsi="Calibri"/>
          <w:b/>
        </w:rPr>
        <w:t>Appendix 6</w:t>
      </w:r>
      <w:r w:rsidRPr="009E3A78">
        <w:rPr>
          <w:rFonts w:ascii="Calibri" w:hAnsi="Calibri"/>
          <w:b/>
        </w:rPr>
        <w:t>. Association of variables facial dimensions, gender and ethnicity with RPE fit</w:t>
      </w:r>
    </w:p>
    <w:p w14:paraId="74BB7CAC" w14:textId="77777777" w:rsidR="00CC62C1" w:rsidRDefault="00CC62C1">
      <w:pPr>
        <w:jc w:val="center"/>
      </w:pPr>
    </w:p>
    <w:tbl>
      <w:tblPr>
        <w:tblStyle w:val="TableGrid"/>
        <w:tblW w:w="16380" w:type="dxa"/>
        <w:jc w:val="center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09"/>
        <w:gridCol w:w="234"/>
        <w:gridCol w:w="1579"/>
        <w:gridCol w:w="234"/>
        <w:gridCol w:w="3006"/>
        <w:gridCol w:w="235"/>
        <w:gridCol w:w="3004"/>
        <w:gridCol w:w="233"/>
        <w:gridCol w:w="1867"/>
        <w:gridCol w:w="233"/>
        <w:gridCol w:w="1864"/>
        <w:gridCol w:w="2582"/>
      </w:tblGrid>
      <w:tr w:rsidR="002B3CD1" w:rsidRPr="009E3A78" w14:paraId="05EBBED5" w14:textId="37CEC781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323D818B" w14:textId="47F0F7E0" w:rsidR="002B3CD1" w:rsidRPr="009E3A78" w:rsidRDefault="002B3CD1" w:rsidP="00AB7D56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E3A78">
              <w:rPr>
                <w:rFonts w:ascii="Calibri" w:hAnsi="Calibri"/>
                <w:b/>
                <w:i/>
                <w:sz w:val="20"/>
                <w:szCs w:val="20"/>
              </w:rPr>
              <w:t>Studies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55AEB1FD" w14:textId="77777777" w:rsidR="002B3CD1" w:rsidRPr="009E3A78" w:rsidRDefault="002B3CD1" w:rsidP="00687DDA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6B4DF4BA" w14:textId="77777777" w:rsidR="002B3CD1" w:rsidRDefault="002B3CD1" w:rsidP="00695A99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E3A78">
              <w:rPr>
                <w:rFonts w:ascii="Calibri" w:hAnsi="Calibri"/>
                <w:b/>
                <w:i/>
                <w:sz w:val="20"/>
                <w:szCs w:val="20"/>
              </w:rPr>
              <w:t>Pass rates (PR)</w:t>
            </w:r>
          </w:p>
          <w:p w14:paraId="4E439314" w14:textId="3D47EDC6" w:rsidR="00695A99" w:rsidRPr="009E3A78" w:rsidRDefault="00695A99" w:rsidP="00695A99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Users/RPE groups*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1496C758" w14:textId="77777777" w:rsidR="002B3CD1" w:rsidRPr="009E3A78" w:rsidRDefault="002B3CD1" w:rsidP="00AB7D56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3C265DA5" w14:textId="0B7988E5" w:rsidR="002B3CD1" w:rsidRPr="009E3A78" w:rsidRDefault="002B3CD1" w:rsidP="008E0F55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E3A78">
              <w:rPr>
                <w:rFonts w:ascii="Calibri" w:hAnsi="Calibri"/>
                <w:b/>
                <w:i/>
                <w:sz w:val="20"/>
                <w:szCs w:val="20"/>
              </w:rPr>
              <w:t>Association between facial dimensions (FD) and fit*</w:t>
            </w:r>
            <w:r w:rsidR="00695A99"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1F1F17ED" w14:textId="04C691FB" w:rsidR="002B3CD1" w:rsidRPr="009E3A78" w:rsidRDefault="002B3CD1" w:rsidP="00AB7D56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2673DF86" w14:textId="50856300" w:rsidR="002B3CD1" w:rsidRPr="009E3A78" w:rsidRDefault="002B3CD1" w:rsidP="00AB7D56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E3A78">
              <w:rPr>
                <w:rFonts w:ascii="Calibri" w:hAnsi="Calibri"/>
                <w:b/>
                <w:i/>
                <w:sz w:val="20"/>
                <w:szCs w:val="20"/>
              </w:rPr>
              <w:t>Association between gender and fit*</w:t>
            </w:r>
            <w:r w:rsidR="00695A99"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17755C25" w14:textId="77777777" w:rsidR="002B3CD1" w:rsidRPr="009E3A78" w:rsidRDefault="002B3CD1" w:rsidP="00AB7D56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4652ECF3" w14:textId="2833DE7A" w:rsidR="002B3CD1" w:rsidRPr="009E3A78" w:rsidRDefault="002B3CD1" w:rsidP="00AB7D56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E3A78">
              <w:rPr>
                <w:rFonts w:ascii="Calibri" w:hAnsi="Calibri"/>
                <w:b/>
                <w:i/>
                <w:sz w:val="20"/>
                <w:szCs w:val="20"/>
              </w:rPr>
              <w:t>Association between ethnicity and fit*</w:t>
            </w:r>
            <w:r w:rsidR="00695A99"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4314FCB0" w14:textId="77777777" w:rsidR="002B3CD1" w:rsidRPr="009E3A78" w:rsidRDefault="002B3CD1" w:rsidP="00AB7D56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7658F4E0" w14:textId="35230F13" w:rsidR="002B3CD1" w:rsidRPr="009E3A78" w:rsidRDefault="005D1FA4" w:rsidP="005D1FA4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Association of m</w:t>
            </w:r>
            <w:r w:rsidR="002B3CD1" w:rsidRPr="009E3A78">
              <w:rPr>
                <w:rFonts w:ascii="Calibri" w:hAnsi="Calibri"/>
                <w:b/>
                <w:i/>
                <w:sz w:val="20"/>
                <w:szCs w:val="20"/>
              </w:rPr>
              <w:t>ask factors</w:t>
            </w:r>
            <w:r w:rsidR="00695A99">
              <w:rPr>
                <w:rFonts w:ascii="Calibri" w:hAnsi="Calibri"/>
                <w:b/>
                <w:i/>
                <w:sz w:val="20"/>
                <w:szCs w:val="20"/>
              </w:rPr>
              <w:t>***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12C88099" w14:textId="5D09F758" w:rsidR="002B3CD1" w:rsidRPr="009E3A78" w:rsidRDefault="002B3CD1" w:rsidP="00DB534D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9E3A78">
              <w:rPr>
                <w:rFonts w:ascii="Calibri" w:hAnsi="Calibri"/>
                <w:b/>
                <w:i/>
                <w:sz w:val="20"/>
                <w:szCs w:val="20"/>
              </w:rPr>
              <w:t>Recommendations or conclusions made by authors</w:t>
            </w:r>
          </w:p>
        </w:tc>
      </w:tr>
      <w:tr w:rsidR="00A26663" w:rsidRPr="009E3A78" w14:paraId="5A19E855" w14:textId="30FA342A" w:rsidTr="0075652A">
        <w:trPr>
          <w:jc w:val="center"/>
        </w:trPr>
        <w:tc>
          <w:tcPr>
            <w:tcW w:w="1309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B7D6BF6" w14:textId="140F752E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Liau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br/>
              <w:t xml:space="preserve">(1982)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48</w:t>
            </w:r>
          </w:p>
          <w:p w14:paraId="10550C8C" w14:textId="05A385BA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18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54623BE9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C258E6C" w14:textId="29EF176B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4" w:type="dxa"/>
            <w:tcBorders>
              <w:top w:val="single" w:sz="18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18725F0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B649FC" w14:textId="44BA6E9A" w:rsidR="00A26663" w:rsidRPr="009E3A78" w:rsidRDefault="00A26663" w:rsidP="00E3455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low correlation coefficients</w:t>
            </w:r>
            <w:r w:rsidRPr="009E3A78">
              <w:rPr>
                <w:rFonts w:ascii="Calibri" w:eastAsia="Times New Roman" w:hAnsi="Calibri"/>
                <w:bCs/>
                <w:sz w:val="20"/>
                <w:szCs w:val="20"/>
              </w:rPr>
              <w:t xml:space="preserve"> but greatest for FW and LW</w:t>
            </w:r>
          </w:p>
        </w:tc>
        <w:tc>
          <w:tcPr>
            <w:tcW w:w="235" w:type="dxa"/>
            <w:tcBorders>
              <w:top w:val="single" w:sz="18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484B16A" w14:textId="7CCC07DB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A1C819E" w14:textId="06E5AF5A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5D49062F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2A56404" w14:textId="0C5CC046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7829D7AD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DFAAA38" w14:textId="172EC435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18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09B00D26" w14:textId="2D0C2447" w:rsidR="00A26663" w:rsidRPr="009E3A78" w:rsidRDefault="00A26663" w:rsidP="00E34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 xml:space="preserve">No FD recommendation </w:t>
            </w:r>
          </w:p>
        </w:tc>
      </w:tr>
      <w:tr w:rsidR="00A26663" w:rsidRPr="009E3A78" w14:paraId="469725F9" w14:textId="41F50EC5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F329D8A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Gross and Horstman </w:t>
            </w:r>
          </w:p>
          <w:p w14:paraId="33D2A61A" w14:textId="46E9E9FB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(1990)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49</w:t>
            </w:r>
          </w:p>
          <w:p w14:paraId="0608DFB6" w14:textId="333B0DA9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60B67165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99D8991" w14:textId="71E89388" w:rsidR="00456ABD" w:rsidRPr="00724DAA" w:rsidRDefault="00A26663" w:rsidP="00724DA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95%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83-85%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71-89%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  <w:t>(RPE dependent)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0DDE27FF" w14:textId="77777777" w:rsidR="00A26663" w:rsidRPr="009E3A78" w:rsidRDefault="00A26663" w:rsidP="003A3A9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CA2ACC3" w14:textId="07B5D419" w:rsidR="00A26663" w:rsidRPr="009E3A78" w:rsidRDefault="00A26663" w:rsidP="00C553D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Nose and lip measurements were relevant but no significant correlation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78CD3E55" w14:textId="1D3A41B6" w:rsidR="00A26663" w:rsidRPr="009E3A78" w:rsidRDefault="00A26663" w:rsidP="003A3A9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7AEC496" w14:textId="3F31DCBE" w:rsidR="00A26663" w:rsidRPr="009E3A78" w:rsidRDefault="00A26663" w:rsidP="008C34FF">
            <w:pPr>
              <w:jc w:val="center"/>
              <w:rPr>
                <w:rFonts w:ascii="Calibri" w:eastAsia="MS Mincho" w:hAnsi="Calibri" w:cs="MS Mincho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PR for 2/3 RPE models: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</w:p>
          <w:p w14:paraId="40625D6D" w14:textId="168289E9" w:rsidR="00A26663" w:rsidRPr="009E3A78" w:rsidRDefault="00A26663" w:rsidP="00FB454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Comparable PR between genders with &gt;1 RPE models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092A73FB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8A6F298" w14:textId="557F2139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665CFC3A" w14:textId="77777777" w:rsidR="00A26663" w:rsidRPr="009E3A78" w:rsidRDefault="00A26663" w:rsidP="003437C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7B57C72" w14:textId="7844116A" w:rsidR="00A26663" w:rsidRPr="009E3A78" w:rsidRDefault="00A26663" w:rsidP="003437C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variability of FF based on brand for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71447C99" w14:textId="75B4AA66" w:rsidR="00A26663" w:rsidRPr="009E3A78" w:rsidRDefault="00A26663" w:rsidP="00E34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 xml:space="preserve">No FD recommendation. Need to offer variety in RPE model and size. </w:t>
            </w:r>
          </w:p>
        </w:tc>
      </w:tr>
      <w:tr w:rsidR="00A26663" w:rsidRPr="009E3A78" w14:paraId="40189E64" w14:textId="6B6CDC09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5D7F1A5" w14:textId="79B366A5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Oestenstad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(1990)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 xml:space="preserve"> 50</w:t>
            </w:r>
          </w:p>
          <w:p w14:paraId="13E8517F" w14:textId="685E1730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0E08B96E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886E541" w14:textId="52291B4A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 N/A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0B0DC50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7A6A46" w14:textId="0B370B21" w:rsidR="00A26663" w:rsidRPr="009E3A78" w:rsidRDefault="00A26663" w:rsidP="00F55E8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High prevalence of nose leaks. Significant correlation for NRB, BIOC, LFL to FF.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63D6F73E" w14:textId="5DB1DBDC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EFFD648" w14:textId="02149717" w:rsidR="00A26663" w:rsidRPr="009E3A78" w:rsidRDefault="00A26663" w:rsidP="004D0CB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Association of facial dimension and leak sites attributed to gender</w:t>
            </w:r>
            <w:r w:rsidR="004D0CB6">
              <w:rPr>
                <w:rFonts w:ascii="Calibri" w:eastAsia="Times New Roman" w:hAnsi="Calibri"/>
                <w:sz w:val="20"/>
                <w:szCs w:val="20"/>
              </w:rPr>
              <w:t xml:space="preserve">. </w:t>
            </w:r>
            <w:r w:rsidR="004D0CB6" w:rsidRPr="009E3A78">
              <w:rPr>
                <w:rFonts w:ascii="Calibri" w:eastAsia="Times New Roman" w:hAnsi="Calibri"/>
                <w:sz w:val="20"/>
                <w:szCs w:val="20"/>
              </w:rPr>
              <w:t>Greater predictability with gender specific models</w:t>
            </w:r>
            <w:r w:rsidR="001B457E">
              <w:rPr>
                <w:rFonts w:ascii="Calibri" w:eastAsia="Times New Roman" w:hAnsi="Calibri"/>
                <w:sz w:val="20"/>
                <w:szCs w:val="20"/>
              </w:rPr>
              <w:t>.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4D3D40E6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7CC624C" w14:textId="3CB029B8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 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0C89512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6E3C4CB" w14:textId="18452C7E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 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4A42392F" w14:textId="64ED3B9B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Consideration for inclusion of nasal dimensions</w:t>
            </w:r>
          </w:p>
        </w:tc>
      </w:tr>
      <w:tr w:rsidR="00A26663" w:rsidRPr="009E3A78" w14:paraId="55A0BF3B" w14:textId="699899E9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FF2FFE6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Oestenstad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and Perkins </w:t>
            </w:r>
          </w:p>
          <w:p w14:paraId="285005A1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(1992) 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27</w:t>
            </w:r>
          </w:p>
          <w:p w14:paraId="3EE9E8FC" w14:textId="20F4BAB2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492AEB50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5412791" w14:textId="4B295DAA" w:rsidR="00456ABD" w:rsidRPr="009E3A78" w:rsidRDefault="00A26663" w:rsidP="00724DA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80.9%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95756E7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1A31CD5" w14:textId="1EA582E3" w:rsidR="00A26663" w:rsidRPr="009E3A78" w:rsidRDefault="00A26663" w:rsidP="002C086F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FDs predict fit.</w:t>
            </w:r>
          </w:p>
          <w:p w14:paraId="158AACDF" w14:textId="216B447C" w:rsidR="00A26663" w:rsidRPr="009E3A78" w:rsidRDefault="003158C4" w:rsidP="00F55E8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LFL</w:t>
            </w:r>
            <w:r w:rsidR="00A26663" w:rsidRPr="009E3A78">
              <w:rPr>
                <w:rFonts w:ascii="Calibri" w:eastAsia="Times New Roman" w:hAnsi="Calibri"/>
                <w:sz w:val="20"/>
                <w:szCs w:val="20"/>
              </w:rPr>
              <w:t xml:space="preserve"> alone is a good predictor. FL and NRB are also relevant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1D4D3CB3" w14:textId="0F3F66F3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CAEF551" w14:textId="722B624D" w:rsidR="00A26663" w:rsidRPr="009E3A78" w:rsidRDefault="00A26663" w:rsidP="00F55E8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Gender based differences in fit predicted by differences in FD.</w:t>
            </w:r>
          </w:p>
          <w:p w14:paraId="38FE3DA8" w14:textId="5F061830" w:rsidR="00A26663" w:rsidRPr="009E3A78" w:rsidRDefault="00A26663" w:rsidP="002379F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Greater predictability with race/gender specific models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1F3C3AC5" w14:textId="77777777" w:rsidR="00A26663" w:rsidRPr="009E3A78" w:rsidRDefault="00A26663" w:rsidP="001F684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C9016D9" w14:textId="0423ECFF" w:rsidR="00A26663" w:rsidRPr="009E3A78" w:rsidRDefault="00A26663" w:rsidP="001F684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Race specific models improve predictive ability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4D51F08C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EC93AE2" w14:textId="1A0BAF54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1E5577AF" w14:textId="5DD9F732" w:rsidR="00A26663" w:rsidRPr="009E3A78" w:rsidRDefault="00A26663" w:rsidP="00E9132F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Other FDs (</w:t>
            </w:r>
            <w:proofErr w:type="gramStart"/>
            <w:r w:rsidRPr="009E3A78">
              <w:rPr>
                <w:rFonts w:ascii="Calibri" w:hAnsi="Calibri"/>
                <w:sz w:val="20"/>
                <w:szCs w:val="20"/>
              </w:rPr>
              <w:t>i.e.</w:t>
            </w:r>
            <w:proofErr w:type="gramEnd"/>
            <w:r w:rsidRPr="009E3A78">
              <w:rPr>
                <w:rFonts w:ascii="Calibri" w:hAnsi="Calibri"/>
                <w:sz w:val="20"/>
                <w:szCs w:val="20"/>
              </w:rPr>
              <w:t xml:space="preserve"> LFL) may be more appropriate</w:t>
            </w:r>
          </w:p>
        </w:tc>
      </w:tr>
      <w:tr w:rsidR="00A26663" w:rsidRPr="009E3A78" w14:paraId="107E9A3F" w14:textId="4FDD279A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6C1621A" w14:textId="2288FD42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Brazile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br/>
              <w:t xml:space="preserve">(1998)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51</w:t>
            </w:r>
          </w:p>
          <w:p w14:paraId="2CF2A1B1" w14:textId="63DD473A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1978789C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93F57C9" w14:textId="1F2D3ED6" w:rsidR="00456ABD" w:rsidRPr="009E3A78" w:rsidRDefault="00A26663" w:rsidP="00724DA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91.9%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91.2%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92.6%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1CB0585D" w14:textId="32676A2A" w:rsidR="00A26663" w:rsidRPr="00D92EF0" w:rsidRDefault="00A26663" w:rsidP="00083129">
            <w:pPr>
              <w:jc w:val="center"/>
              <w:rPr>
                <w:rFonts w:ascii="Calibri" w:eastAsia="Times New Roman" w:hAnsi="Calibri"/>
                <w:color w:val="FF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64BA39" w14:textId="3296FE0D" w:rsidR="00A26663" w:rsidRPr="009E3A78" w:rsidRDefault="00A26663" w:rsidP="00F55E8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NW and NP were associated with FF but account for small percentage of FF variation and were not good predictors of fit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246F0C96" w14:textId="29F69F2C" w:rsidR="00A26663" w:rsidRPr="009E3A78" w:rsidRDefault="00A26663" w:rsidP="0008312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5B017D2" w14:textId="329F8E50" w:rsidR="00A26663" w:rsidRPr="009E3A78" w:rsidRDefault="00A26663" w:rsidP="006153C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No significant association</w:t>
            </w:r>
          </w:p>
          <w:p w14:paraId="410255C7" w14:textId="771301AA" w:rsidR="00A26663" w:rsidRPr="009E3A78" w:rsidRDefault="00A26663" w:rsidP="0008312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Comparable FF and PR between genders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03E4F4EB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12F111B" w14:textId="2057C89E" w:rsidR="00A26663" w:rsidRPr="009E3A78" w:rsidRDefault="00A26663" w:rsidP="006153C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Black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: 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  <w:t>lowest PR</w:t>
            </w:r>
          </w:p>
          <w:p w14:paraId="11A17A41" w14:textId="6A621E3E" w:rsidR="00A26663" w:rsidRPr="009E3A78" w:rsidRDefault="00A26663" w:rsidP="00B8518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No effect on FF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408E8BC4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ADBC39C" w14:textId="5B860C31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72450D2B" w14:textId="4BCC315F" w:rsidR="00A26663" w:rsidRPr="009E3A78" w:rsidRDefault="00A26663" w:rsidP="002B3CD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Fit is associated with individual FD rather than FD associated with gender or ethnicity</w:t>
            </w:r>
          </w:p>
        </w:tc>
      </w:tr>
      <w:tr w:rsidR="00A26663" w:rsidRPr="009E3A78" w14:paraId="5A391AF8" w14:textId="5E171CBC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3B7DC8A" w14:textId="56FCA223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Han (2000)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52</w:t>
            </w:r>
          </w:p>
          <w:p w14:paraId="58292057" w14:textId="1F948129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South Korea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4E0E548A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73F3862" w14:textId="77777777" w:rsidR="00600024" w:rsidRDefault="00600024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RPE groups: </w:t>
            </w:r>
          </w:p>
          <w:p w14:paraId="66F54E98" w14:textId="2EDD3125" w:rsidR="00456ABD" w:rsidRPr="009E3A78" w:rsidRDefault="00600024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30.9 - 77.2% 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4A6B4818" w14:textId="77777777" w:rsidR="00A26663" w:rsidRPr="009E3A78" w:rsidRDefault="00A26663" w:rsidP="00DF2A4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4C31FA" w14:textId="68835BED" w:rsidR="00A26663" w:rsidRPr="009E3A78" w:rsidRDefault="00A26663" w:rsidP="00DF2A4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Significant FF variation between facial size categories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B6BB87D" w14:textId="77849CCD" w:rsidR="00A26663" w:rsidRPr="009E3A78" w:rsidRDefault="00A26663" w:rsidP="00DF2A4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DD7ED0D" w14:textId="2B47E8F8" w:rsidR="00A26663" w:rsidRPr="009E3A78" w:rsidRDefault="00A26663" w:rsidP="00F46E2B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Difference in FF scores: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AF10FBD" w14:textId="77777777" w:rsidR="00A26663" w:rsidRPr="009E3A78" w:rsidRDefault="00A26663" w:rsidP="001F684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FADC950" w14:textId="14062487" w:rsidR="00A26663" w:rsidRPr="009E3A78" w:rsidRDefault="00A26663" w:rsidP="00D5599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Low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/moderate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Korean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users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60CF7F5F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910E7BD" w14:textId="6470A747" w:rsidR="00A26663" w:rsidRPr="009E3A78" w:rsidRDefault="00A26663" w:rsidP="002B738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Significant difference in FF and PR between brands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37B64AB7" w14:textId="7FE0A1B6" w:rsidR="00A26663" w:rsidRPr="009E3A78" w:rsidRDefault="00A26663" w:rsidP="00E9132F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 xml:space="preserve">Respirators designed for males may not fit females. FL and LW alone are not good criteria </w:t>
            </w:r>
          </w:p>
        </w:tc>
      </w:tr>
      <w:tr w:rsidR="00A26663" w:rsidRPr="009E3A78" w14:paraId="7338A3C6" w14:textId="675D0FF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F323D22" w14:textId="7F63056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Han and Choi (2003) 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29</w:t>
            </w:r>
          </w:p>
          <w:p w14:paraId="407D79F3" w14:textId="75602B26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South Korea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7B8B4BA8" w14:textId="77777777" w:rsidR="00A26663" w:rsidRPr="009E3A78" w:rsidRDefault="00A26663" w:rsidP="00D13339">
            <w:pPr>
              <w:jc w:val="center"/>
              <w:rPr>
                <w:rFonts w:ascii="Calibri" w:eastAsia="MS Mincho" w:hAnsi="Calibri" w:cs="MS Mincho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AFBE60B" w14:textId="16CE186A" w:rsidR="00A26663" w:rsidRPr="009E3A78" w:rsidRDefault="00A26663" w:rsidP="00D1333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58 - 78.6%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34.2 - 50%</w:t>
            </w:r>
          </w:p>
          <w:p w14:paraId="69580F98" w14:textId="57A077D7" w:rsidR="00456ABD" w:rsidRPr="00066A6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(RPE dependent)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B5432A8" w14:textId="77777777" w:rsidR="00A26663" w:rsidRPr="009E3A78" w:rsidRDefault="00A26663" w:rsidP="00FB493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1816FE" w14:textId="46622DBB" w:rsidR="00A26663" w:rsidRPr="009E3A78" w:rsidRDefault="00A26663" w:rsidP="00F55E8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FW, NP and BTMA arc are good predictors of fit. No common FD variable across all RPE/gender subgroups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1CBFBA6C" w14:textId="1769EC34" w:rsidR="00A26663" w:rsidRPr="009E3A78" w:rsidRDefault="00A26663" w:rsidP="00FB493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B537FA0" w14:textId="302C6806" w:rsidR="00A26663" w:rsidRPr="009E3A78" w:rsidRDefault="00A26663" w:rsidP="006153C7">
            <w:pPr>
              <w:jc w:val="center"/>
              <w:rPr>
                <w:rFonts w:ascii="Calibri" w:eastAsia="MS Mincho" w:hAnsi="Calibri" w:cs="MS Mincho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Difference in PR for 2/3 RPE models: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br/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Gender-specific models</w:t>
            </w:r>
          </w:p>
          <w:p w14:paraId="19D4CFBE" w14:textId="5E9F0DBE" w:rsidR="00A26663" w:rsidRPr="009E3A78" w:rsidRDefault="00A26663" w:rsidP="000906BB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account for most variation in fit factor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0414C43D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4325D7B" w14:textId="09EED583" w:rsidR="00A26663" w:rsidRPr="009E3A78" w:rsidRDefault="00A26663" w:rsidP="00D5599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Low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/moderate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Korean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users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707DE55C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B38E6A9" w14:textId="5790E2D0" w:rsidR="00A26663" w:rsidRPr="009E3A78" w:rsidRDefault="00A26663" w:rsidP="00D66724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Significance difference in FF and PR between brands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783A6D7D" w14:textId="3707C240" w:rsidR="00A26663" w:rsidRPr="009E3A78" w:rsidRDefault="00A26663" w:rsidP="000906BB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The 3 FD predictive of fit should be considered in designing RPE for Koreans</w:t>
            </w:r>
          </w:p>
        </w:tc>
      </w:tr>
      <w:tr w:rsidR="00A26663" w:rsidRPr="009E3A78" w14:paraId="0D153459" w14:textId="748750CA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1822E21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Kim et al. </w:t>
            </w:r>
          </w:p>
          <w:p w14:paraId="2A30A69E" w14:textId="462E1DB1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(2003)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53</w:t>
            </w:r>
          </w:p>
          <w:p w14:paraId="5552E350" w14:textId="2774D457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South Korea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6F450132" w14:textId="77777777" w:rsidR="00A26663" w:rsidRPr="009E3A78" w:rsidRDefault="00A26663" w:rsidP="001162C8">
            <w:pPr>
              <w:jc w:val="center"/>
              <w:rPr>
                <w:rFonts w:ascii="Calibri" w:eastAsia="MS Mincho" w:hAnsi="Calibri" w:cs="MS Mincho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D154BAA" w14:textId="29E2723B" w:rsidR="00A26663" w:rsidRPr="009E3A78" w:rsidRDefault="00A26663" w:rsidP="001162C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41.4 - 87%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10.3 - 60%</w:t>
            </w:r>
          </w:p>
          <w:p w14:paraId="2F3F2588" w14:textId="533C8E34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(RPE dependent)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80776C6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DA1BB1" w14:textId="4355B4E6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: 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No correlation for FD and FF</w:t>
            </w:r>
          </w:p>
          <w:p w14:paraId="5B0957F3" w14:textId="7519C104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>: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5 FD correlate with FF (BTSA, BECTO, BTMA, JW, LFL)</w:t>
            </w:r>
          </w:p>
          <w:p w14:paraId="67397269" w14:textId="261BF895" w:rsidR="00A26663" w:rsidRPr="009E3A78" w:rsidRDefault="00A26663" w:rsidP="002B3CD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FW, LFL, BIOC, BECTO, NL, LW, BTSA predict PR/fit (gender/RPE dependent)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768899D" w14:textId="282DBCB9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A33E8D3" w14:textId="00C1438C" w:rsidR="00A26663" w:rsidRPr="009E3A78" w:rsidRDefault="00A26663" w:rsidP="006153C7">
            <w:pPr>
              <w:jc w:val="center"/>
              <w:rPr>
                <w:rFonts w:ascii="Calibri" w:eastAsia="MS Mincho" w:hAnsi="Calibri" w:cs="MS Mincho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Difference in FF and PR: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</w:p>
          <w:p w14:paraId="2B2C2C9C" w14:textId="1E5A7364" w:rsidR="00A26663" w:rsidRPr="009E3A78" w:rsidRDefault="00A26663" w:rsidP="000971F0">
            <w:pPr>
              <w:jc w:val="center"/>
              <w:rPr>
                <w:rFonts w:ascii="Calibri" w:eastAsia="MS Mincho" w:hAnsi="Calibri" w:cs="MS Mincho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Greater predictability with gender specific models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73625082" w14:textId="77777777" w:rsidR="00A26663" w:rsidRPr="009E3A78" w:rsidRDefault="00A26663" w:rsidP="001F684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8B830AA" w14:textId="4CCDEBE0" w:rsidR="00A26663" w:rsidRPr="009E3A78" w:rsidRDefault="00A26663" w:rsidP="00D5599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Low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/moderate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Korean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users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0E01597A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D2FDB5A" w14:textId="1CAB3F72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Significance difference in FF and PR between brands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0633434E" w14:textId="0DAC739F" w:rsidR="00A26663" w:rsidRPr="009E3A78" w:rsidRDefault="00A26663" w:rsidP="00B35CF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Consideration of alternative FD in design of quarter mask respirators for Koreans</w:t>
            </w:r>
          </w:p>
        </w:tc>
      </w:tr>
      <w:tr w:rsidR="00A26663" w:rsidRPr="009E3A78" w14:paraId="48239A65" w14:textId="77A9CCCB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0340C15" w14:textId="6F3147BB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Zhuang et al. (2005)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54</w:t>
            </w:r>
          </w:p>
          <w:p w14:paraId="33A3BA8D" w14:textId="57C04B5B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lastRenderedPageBreak/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07BBB30A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3B66241" w14:textId="454BCB1B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FB0F824" w14:textId="77777777" w:rsidR="00A26663" w:rsidRPr="009E3A78" w:rsidRDefault="00A26663" w:rsidP="001F7F0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ABA208" w14:textId="2D543E89" w:rsidR="00A26663" w:rsidRPr="009E3A78" w:rsidRDefault="00A26663" w:rsidP="00D34E9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16/33 models of RPE model/size combinations show association of 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lastRenderedPageBreak/>
              <w:t xml:space="preserve">FD and FF. JW, FW, FL, NP were frequently relevant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2EE458D5" w14:textId="11474D10" w:rsidR="00A26663" w:rsidRPr="009E3A78" w:rsidRDefault="00A26663" w:rsidP="001F7F0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78E7BD6" w14:textId="2F33C966" w:rsidR="00A26663" w:rsidRPr="009E3A78" w:rsidRDefault="00A26663" w:rsidP="00A24E6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Comparable FF between genders for 16/18 RPE models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224DB0AA" w14:textId="77777777" w:rsidR="00A26663" w:rsidRPr="009E3A78" w:rsidRDefault="00A26663" w:rsidP="007B37C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031C345" w14:textId="1DB7769A" w:rsidR="00A26663" w:rsidRPr="009E3A78" w:rsidRDefault="00A26663" w:rsidP="007B37C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N/A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766C3182" w14:textId="42225F3A" w:rsidR="00A26663" w:rsidRPr="00FC0933" w:rsidRDefault="00A26663">
            <w:pPr>
              <w:jc w:val="center"/>
              <w:rPr>
                <w:rFonts w:ascii="Calibri" w:eastAsia="Times New Roman" w:hAnsi="Calibri"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01CF1BB" w14:textId="5B96B9A0" w:rsidR="00A26663" w:rsidRPr="009E3A78" w:rsidRDefault="00A26663" w:rsidP="00D34E9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FF associated with number of sizes per 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lastRenderedPageBreak/>
              <w:t>model. No effect of RPE design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48227032" w14:textId="5ECA7971" w:rsidR="00A26663" w:rsidRPr="009E3A78" w:rsidRDefault="00A26663" w:rsidP="00E9132F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lastRenderedPageBreak/>
              <w:t>FL and FW are recommended for defining the panel</w:t>
            </w:r>
          </w:p>
        </w:tc>
      </w:tr>
      <w:tr w:rsidR="00A26663" w:rsidRPr="009E3A78" w14:paraId="13EB972F" w14:textId="6C371018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8C9079A" w14:textId="03C2BB05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Oestenstad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(2007)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55</w:t>
            </w:r>
          </w:p>
          <w:p w14:paraId="3212C14C" w14:textId="1335695A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B60CC38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93358DE" w14:textId="46D02D25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55DE94C0" w14:textId="77777777" w:rsidR="00A26663" w:rsidRPr="009E3A78" w:rsidRDefault="00A26663" w:rsidP="001F7F0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E5DE15" w14:textId="4DC15264" w:rsidR="00A26663" w:rsidRPr="009E3A78" w:rsidRDefault="00A26663" w:rsidP="00E55EA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Association between FD and FF varied among gender and RPE brands</w:t>
            </w:r>
          </w:p>
          <w:p w14:paraId="2A48607C" w14:textId="60B27041" w:rsidR="00A26663" w:rsidRPr="009E3A78" w:rsidRDefault="00A26663" w:rsidP="00E55EA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JW, BECTO, FW, FL, LW were associated with FF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2C95ED80" w14:textId="5501B3D9" w:rsidR="00A26663" w:rsidRPr="009E3A78" w:rsidRDefault="00A26663" w:rsidP="001F7F0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C0AFC03" w14:textId="2B4D3653" w:rsidR="00A26663" w:rsidRPr="009E3A78" w:rsidRDefault="00A26663" w:rsidP="001E0C9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No gender difference in FF after controlling for FD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CC23645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C72C6CC" w14:textId="197F1E83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F8B3578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A41536F" w14:textId="2FB43613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Significant difference between brands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17715212" w14:textId="66AF8948" w:rsidR="00A26663" w:rsidRPr="009E3A78" w:rsidRDefault="00A26663" w:rsidP="00E23D0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 xml:space="preserve">Consideration of FD associated with FF than other than FL and LW for RPE design and test groups </w:t>
            </w:r>
          </w:p>
        </w:tc>
      </w:tr>
      <w:tr w:rsidR="00A26663" w:rsidRPr="009E3A78" w14:paraId="6FF517BA" w14:textId="7777777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91B6D1B" w14:textId="4D6A325B" w:rsidR="00A26663" w:rsidRPr="009E3A78" w:rsidRDefault="00A26663" w:rsidP="00AB7D56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McMahon et al. (2008)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56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br/>
              <w:t>Canada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7C3569F7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C154252" w14:textId="2C5E8C29" w:rsidR="00A26663" w:rsidRPr="009E3A78" w:rsidRDefault="00A26663" w:rsidP="00E61DE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: </w:t>
            </w:r>
            <w:r w:rsidRPr="009E3A78">
              <w:rPr>
                <w:rFonts w:ascii="Calibri" w:eastAsia="Times New Roman" w:hAnsi="Calibri" w:cstheme="minorBidi"/>
                <w:sz w:val="20"/>
                <w:szCs w:val="20"/>
                <w:lang w:eastAsia="en-US"/>
              </w:rPr>
              <w:t>85.4%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95.1%</w:t>
            </w:r>
          </w:p>
          <w:p w14:paraId="0D209E71" w14:textId="77777777" w:rsidR="00A26663" w:rsidRPr="009E3A78" w:rsidRDefault="00A26663" w:rsidP="00E61DEC">
            <w:pPr>
              <w:jc w:val="center"/>
              <w:rPr>
                <w:rFonts w:ascii="Calibri" w:eastAsia="Times New Roman" w:hAnsi="Calibri" w:cstheme="minorBidi"/>
                <w:sz w:val="20"/>
                <w:szCs w:val="20"/>
                <w:lang w:eastAsia="en-US"/>
              </w:rPr>
            </w:pPr>
            <w:r w:rsidRPr="009E3A78">
              <w:rPr>
                <w:rFonts w:ascii="Calibri" w:eastAsia="Times New Roman" w:hAnsi="Calibri" w:cstheme="minorBidi"/>
                <w:sz w:val="20"/>
                <w:szCs w:val="20"/>
                <w:lang w:eastAsia="en-US"/>
              </w:rPr>
              <w:t>(first choice RPE)</w:t>
            </w:r>
          </w:p>
          <w:p w14:paraId="448E4B50" w14:textId="77777777" w:rsidR="00A26663" w:rsidRDefault="00A26663" w:rsidP="006C61B2">
            <w:pPr>
              <w:jc w:val="center"/>
              <w:rPr>
                <w:rFonts w:ascii="Calibri" w:eastAsia="Times New Roman" w:hAnsi="Calibri" w:cstheme="minorBidi"/>
                <w:sz w:val="20"/>
                <w:szCs w:val="20"/>
                <w:lang w:eastAsia="en-US"/>
              </w:rPr>
            </w:pPr>
            <w:r w:rsidRPr="009E3A78">
              <w:rPr>
                <w:rFonts w:ascii="Calibri" w:eastAsia="Times New Roman" w:hAnsi="Calibri" w:cstheme="minorBidi"/>
                <w:sz w:val="20"/>
                <w:szCs w:val="20"/>
                <w:lang w:eastAsia="en-US"/>
              </w:rPr>
              <w:t xml:space="preserve">6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 w:cstheme="minorBidi"/>
                <w:sz w:val="20"/>
                <w:szCs w:val="20"/>
                <w:lang w:eastAsia="en-US"/>
              </w:rPr>
              <w:t>failed all RPE</w:t>
            </w:r>
          </w:p>
          <w:p w14:paraId="282F1BAC" w14:textId="0792AE38" w:rsidR="00456ABD" w:rsidRPr="009E3A78" w:rsidRDefault="00456ABD" w:rsidP="006C61B2">
            <w:pPr>
              <w:jc w:val="center"/>
              <w:rPr>
                <w:rFonts w:ascii="Calibri" w:eastAsia="Times New Roman" w:hAnsi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3245618A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BBAC9F" w14:textId="68E50ACB" w:rsidR="00A26663" w:rsidRPr="009E3A78" w:rsidRDefault="00A26663" w:rsidP="000763E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7CDA2028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7109AE9" w14:textId="454F0180" w:rsidR="00A26663" w:rsidRPr="009E3A78" w:rsidRDefault="00A26663" w:rsidP="00863CE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Difference in PR: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3313CA91" w14:textId="77777777" w:rsidR="00A26663" w:rsidRPr="009E3A78" w:rsidRDefault="00A26663" w:rsidP="00D465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94EE210" w14:textId="02F960B3" w:rsidR="00A26663" w:rsidRPr="009E3A78" w:rsidRDefault="00A26663" w:rsidP="00B8744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02433AEF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838A25C" w14:textId="33FF544C" w:rsidR="00A26663" w:rsidRPr="009E3A78" w:rsidRDefault="00A26663" w:rsidP="00875695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5FB9A4D3" w14:textId="1DB82836" w:rsidR="00A26663" w:rsidRPr="009E3A78" w:rsidRDefault="00A26663" w:rsidP="00863C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Females require a wider variety of respirator choices</w:t>
            </w:r>
          </w:p>
        </w:tc>
      </w:tr>
      <w:tr w:rsidR="00A26663" w:rsidRPr="009E3A78" w14:paraId="6260559D" w14:textId="7777777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2C792C9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Zhuang et al. </w:t>
            </w:r>
          </w:p>
          <w:p w14:paraId="4D5704A8" w14:textId="2732C875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(2008)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57</w:t>
            </w:r>
          </w:p>
          <w:p w14:paraId="4DF2C387" w14:textId="1E5A807E" w:rsidR="00A26663" w:rsidRPr="009E3A78" w:rsidRDefault="00A26663" w:rsidP="005C32B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7543FA57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7CBBD60" w14:textId="77777777" w:rsidR="00A26663" w:rsidRDefault="00600024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RPE groups:  </w:t>
            </w:r>
            <w:r>
              <w:rPr>
                <w:rFonts w:ascii="Calibri" w:eastAsia="Times New Roman" w:hAnsi="Calibri"/>
                <w:sz w:val="20"/>
                <w:szCs w:val="20"/>
              </w:rPr>
              <w:br/>
              <w:t>0 - 96%</w:t>
            </w:r>
          </w:p>
          <w:p w14:paraId="4BE7D5D0" w14:textId="1E2CD216" w:rsidR="00EE2F74" w:rsidRPr="009E3A78" w:rsidRDefault="00EE2F74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(panel dependent)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1802704B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9ABE05" w14:textId="6923FC3A" w:rsidR="00A26663" w:rsidRPr="009E3A78" w:rsidRDefault="00A26663" w:rsidP="00E55CB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Association of FD with FF and PR depends on RPE size. Highest FF and PR with matched facial size category and RPE size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B789850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C780E61" w14:textId="5F26EFEB" w:rsidR="00A26663" w:rsidRPr="009E3A78" w:rsidRDefault="00A26663" w:rsidP="001E0C9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44CC667F" w14:textId="77777777" w:rsidR="00A26663" w:rsidRPr="009E3A78" w:rsidRDefault="00A26663" w:rsidP="00D465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084E602" w14:textId="318CF882" w:rsidR="00A26663" w:rsidRPr="009E3A78" w:rsidRDefault="00A26663" w:rsidP="00B8744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578CCB2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65186C7" w14:textId="72FBE37F" w:rsidR="00A26663" w:rsidRPr="009E3A78" w:rsidRDefault="00A26663" w:rsidP="00BB2BA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RPE size significantly influences FF and PR within a given facial size category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30AC7063" w14:textId="36F52023" w:rsidR="00A26663" w:rsidRPr="009E3A78" w:rsidRDefault="00A26663" w:rsidP="00534BC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FL and FW are appropriate for developing bivariate RFTP</w:t>
            </w:r>
          </w:p>
        </w:tc>
      </w:tr>
      <w:tr w:rsidR="00A26663" w:rsidRPr="009E3A78" w14:paraId="0ECCB23E" w14:textId="7777777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D97AEC3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Winter et al. </w:t>
            </w:r>
          </w:p>
          <w:p w14:paraId="4F18592A" w14:textId="4E3FED59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(2010)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58</w:t>
            </w:r>
          </w:p>
          <w:p w14:paraId="60D897E1" w14:textId="7421706E" w:rsidR="00A26663" w:rsidRPr="009E3A78" w:rsidRDefault="00A26663" w:rsidP="00AB7D56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Australia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70478860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74FC5CD" w14:textId="2841578F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72%</w:t>
            </w:r>
          </w:p>
          <w:p w14:paraId="4820F7CE" w14:textId="77777777" w:rsidR="00A26663" w:rsidRDefault="00A26663" w:rsidP="00695A9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RPE groups: </w:t>
            </w:r>
          </w:p>
          <w:p w14:paraId="0347AB76" w14:textId="69F27AD6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16 - 34%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6F898696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FD1598" w14:textId="2C5D50D4" w:rsidR="00A26663" w:rsidRPr="009E3A78" w:rsidRDefault="00A26663" w:rsidP="000763E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HC not predicative of successful fit testing and comparable between passing and failing groups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4D321E64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6C4C8AF" w14:textId="246379DA" w:rsidR="00A26663" w:rsidRPr="009E3A78" w:rsidRDefault="00A26663" w:rsidP="001E0C9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Gender not predictive of successful fit testing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165399B3" w14:textId="77777777" w:rsidR="00A26663" w:rsidRPr="009E3A78" w:rsidRDefault="00A26663" w:rsidP="00D465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3C1D61" w14:textId="68B7D183" w:rsidR="00A26663" w:rsidRPr="009E3A78" w:rsidRDefault="00A26663" w:rsidP="00B8744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3D3FD24D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73B96D" w14:textId="6EED7C5B" w:rsidR="00A26663" w:rsidRPr="009E3A78" w:rsidRDefault="00A26663" w:rsidP="00875695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09ED5DFA" w14:textId="11700AAD" w:rsidR="00A26663" w:rsidRPr="009E3A78" w:rsidRDefault="00A26663" w:rsidP="00E561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A variety of masks (at least five types) should</w:t>
            </w:r>
          </w:p>
          <w:p w14:paraId="769D6230" w14:textId="61FF06D9" w:rsidR="00A26663" w:rsidRPr="009E3A78" w:rsidRDefault="00A26663" w:rsidP="00E561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be made available to HCWs</w:t>
            </w:r>
          </w:p>
        </w:tc>
      </w:tr>
      <w:tr w:rsidR="00A26663" w:rsidRPr="009E3A78" w14:paraId="57D30E22" w14:textId="71663EFF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F6D83AF" w14:textId="28E2FA1C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Wilkinson et al. (2010)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59</w:t>
            </w:r>
          </w:p>
          <w:p w14:paraId="33EBC28E" w14:textId="67619BCD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Australia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60260B1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C6E8D27" w14:textId="7E7DC762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89%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540A67B3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8367FFE" w14:textId="59B9FAF0" w:rsidR="00A26663" w:rsidRPr="009E3A78" w:rsidRDefault="00A26663" w:rsidP="000763E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Lower PR associated with extremes of NL and NRB and round face shape but small absolute differences. </w:t>
            </w:r>
          </w:p>
          <w:p w14:paraId="5CDB8319" w14:textId="0266E9B5" w:rsidR="00A26663" w:rsidRPr="009E3A78" w:rsidRDefault="00A26663" w:rsidP="000763E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NRB was predictive of fit but with small effect size.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BB996FC" w14:textId="436E4505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C6E0AF9" w14:textId="6302D38D" w:rsidR="00A26663" w:rsidRPr="009E3A78" w:rsidRDefault="00A26663" w:rsidP="001E0C9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Comparable PR between genders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45050138" w14:textId="77777777" w:rsidR="00A26663" w:rsidRPr="009E3A78" w:rsidRDefault="00A26663" w:rsidP="00D465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4A7990B" w14:textId="15F3A150" w:rsidR="00A26663" w:rsidRPr="009E3A78" w:rsidRDefault="00A26663" w:rsidP="00B8744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White: highest PR 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  <w:t xml:space="preserve">Asians: lowest PR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C76A7DB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CA729BD" w14:textId="72AB7016" w:rsidR="00A26663" w:rsidRPr="009E3A78" w:rsidRDefault="00A26663" w:rsidP="00875695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Brand differences based on face shape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7A8BC142" w14:textId="674DDA8D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Facial characteristics are important determinant of a successful RPE fit test</w:t>
            </w:r>
          </w:p>
        </w:tc>
      </w:tr>
      <w:tr w:rsidR="00A26663" w:rsidRPr="009E3A78" w14:paraId="793654C9" w14:textId="5E81EE4C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3C6F36C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Oestenstad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Bartolucci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</w:t>
            </w:r>
          </w:p>
          <w:p w14:paraId="12754822" w14:textId="1AEB6B9B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(2010)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60</w:t>
            </w:r>
          </w:p>
          <w:p w14:paraId="154052FC" w14:textId="385D0849" w:rsidR="00A26663" w:rsidRPr="009E3A78" w:rsidRDefault="00A26663" w:rsidP="00AB7D56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04BB1A1E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97A50CB" w14:textId="2E8378B9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601048EA" w14:textId="446091BE" w:rsidR="00A26663" w:rsidRPr="00D42952" w:rsidRDefault="00A26663" w:rsidP="00724DAA">
            <w:pPr>
              <w:rPr>
                <w:rFonts w:ascii="Calibri" w:eastAsia="Times New Roman" w:hAnsi="Calibri"/>
                <w:color w:val="FF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89F7DC" w14:textId="287F1D91" w:rsidR="00A26663" w:rsidRPr="009E3A78" w:rsidRDefault="00A26663" w:rsidP="00F4094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FD were significant different between groups with and without inward leakage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51C2FC54" w14:textId="46BC9E73" w:rsidR="00A26663" w:rsidRPr="009E3A78" w:rsidRDefault="00A26663" w:rsidP="00EF51F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10A3568" w14:textId="4F8463A1" w:rsidR="00A26663" w:rsidRPr="009E3A78" w:rsidRDefault="00A26663" w:rsidP="00A24E6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no gender effect on location and shape of leaks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B14926D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FAF9259" w14:textId="6C0C9DF4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589B7180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D8E49AF" w14:textId="5F123581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 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399FB40C" w14:textId="2C337F4A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Size and shape of an individual’s face may be an important determinant of leak sites</w:t>
            </w:r>
          </w:p>
        </w:tc>
      </w:tr>
      <w:tr w:rsidR="00A26663" w:rsidRPr="009E3A78" w14:paraId="534EC2FC" w14:textId="3ECB136A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F166E7A" w14:textId="4B843B9C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Spies et al. 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br/>
              <w:t xml:space="preserve">(2011)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61</w:t>
            </w:r>
          </w:p>
          <w:p w14:paraId="5325DFB7" w14:textId="7A992618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South Africa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3B5BBA02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A87644D" w14:textId="217A8F2D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13.8%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424A801E" w14:textId="47C4009D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7D7DCB" w14:textId="13374377" w:rsidR="00A26663" w:rsidRPr="009E3A78" w:rsidRDefault="00A26663" w:rsidP="00CE6EDF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Narrower FD amongst those who passed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6278539C" w14:textId="172DC23F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165DF5F" w14:textId="3C03BC92" w:rsidR="00A26663" w:rsidRPr="009E3A78" w:rsidRDefault="00A26663" w:rsidP="0083153F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Comparable FF between genders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4982DC4B" w14:textId="77777777" w:rsidR="00A26663" w:rsidRPr="009E3A78" w:rsidRDefault="00A26663" w:rsidP="00604BD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548D988" w14:textId="77777777" w:rsidR="00A26663" w:rsidRDefault="00A26663" w:rsidP="00EE2F74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N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on-significant ethnicity-based variation in FF</w:t>
            </w:r>
          </w:p>
          <w:p w14:paraId="2C36FEFA" w14:textId="66CE1C3B" w:rsidR="00EE2F74" w:rsidRPr="009E3A78" w:rsidRDefault="00EE2F74" w:rsidP="00D5599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South African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users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5B3D1294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4E090E4" w14:textId="5E5E1AF5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4EA6F59A" w14:textId="701EBFAE" w:rsidR="00A26663" w:rsidRPr="009E3A78" w:rsidRDefault="00A26663" w:rsidP="00E170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More than one</w:t>
            </w:r>
          </w:p>
          <w:p w14:paraId="0FB4A84C" w14:textId="7628E5DD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type and size respirator should be included</w:t>
            </w:r>
          </w:p>
        </w:tc>
      </w:tr>
      <w:tr w:rsidR="00A26663" w:rsidRPr="009E3A78" w14:paraId="124B2B8D" w14:textId="7777777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19EB9BB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Ciotti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</w:t>
            </w:r>
          </w:p>
          <w:p w14:paraId="1148021E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(2012) 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30</w:t>
            </w:r>
          </w:p>
          <w:p w14:paraId="40979C2F" w14:textId="128601CF" w:rsidR="00A26663" w:rsidRPr="009E3A78" w:rsidRDefault="00A26663" w:rsidP="005C32B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France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134F9EB4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F9A0333" w14:textId="0D479BEE" w:rsidR="00A26663" w:rsidRPr="009E3A78" w:rsidRDefault="00A26663" w:rsidP="00890AB5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63%</w:t>
            </w:r>
          </w:p>
          <w:p w14:paraId="7B7EBA69" w14:textId="794C429E" w:rsidR="00A26663" w:rsidRPr="009E3A78" w:rsidRDefault="00A26663" w:rsidP="00CC2B3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All fit tests: 26.8% </w:t>
            </w:r>
          </w:p>
          <w:p w14:paraId="167E9112" w14:textId="18B0A59F" w:rsidR="00A26663" w:rsidRPr="009E3A78" w:rsidRDefault="00A26663" w:rsidP="00CC2B3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3.3 - 57.5% </w:t>
            </w:r>
          </w:p>
          <w:p w14:paraId="70881AE2" w14:textId="4FF4ACB1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(RPE dependent)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307C327C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A9858E" w14:textId="4BCE8919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2D756F8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D437651" w14:textId="247124F2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 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701EBBB8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61467D2" w14:textId="5E3464B3" w:rsidR="00A26663" w:rsidRPr="009E3A78" w:rsidRDefault="00A26663" w:rsidP="00D5599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French users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7DFC55F" w14:textId="77777777" w:rsidR="00A26663" w:rsidRPr="009E3A78" w:rsidRDefault="00A26663" w:rsidP="003437C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EA39E70" w14:textId="329B6227" w:rsidR="00A26663" w:rsidRPr="009E3A78" w:rsidRDefault="00A26663" w:rsidP="003437C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Significant difference in FF and PR between models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0601E8C3" w14:textId="02150FFA" w:rsidR="00A26663" w:rsidRPr="009E3A78" w:rsidRDefault="00A26663" w:rsidP="00890AB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At least two types of RPE with various sizes and shape should be available for HCWs</w:t>
            </w:r>
          </w:p>
        </w:tc>
      </w:tr>
      <w:tr w:rsidR="00A26663" w:rsidRPr="009E3A78" w14:paraId="65DECE02" w14:textId="20A91678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EC850FB" w14:textId="5A9C6636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Earle-Richardson et al. (2014)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62</w:t>
            </w:r>
          </w:p>
          <w:p w14:paraId="128EDFB0" w14:textId="55D77377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78F62619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47733C8" w14:textId="11A2957B" w:rsidR="00456ABD" w:rsidRPr="009E3A78" w:rsidRDefault="00600024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="00A26663" w:rsidRPr="009E3A78">
              <w:rPr>
                <w:rFonts w:ascii="Calibri" w:eastAsia="Times New Roman" w:hAnsi="Calibri"/>
                <w:sz w:val="20"/>
                <w:szCs w:val="20"/>
              </w:rPr>
              <w:t>: 75%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0E9BF252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06EEEA" w14:textId="62D3C721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6E8283C5" w14:textId="78EF360D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922BCBD" w14:textId="3D2C7B49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7CD88682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4AF7B6C" w14:textId="479E5146" w:rsidR="00A26663" w:rsidRPr="009E3A78" w:rsidRDefault="00A26663" w:rsidP="004928E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RPE fitting American users are a good fit for only 41% of Latino farmworkers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50C01D82" w14:textId="77777777" w:rsidR="00A26663" w:rsidRPr="009E3A78" w:rsidRDefault="00A26663" w:rsidP="003437C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B1EB320" w14:textId="50FE8EFB" w:rsidR="00A26663" w:rsidRPr="009E3A78" w:rsidRDefault="00A26663" w:rsidP="003437C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11CFCF8A" w14:textId="1A075615" w:rsidR="00A26663" w:rsidRPr="009E3A78" w:rsidRDefault="00A26663" w:rsidP="003437C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A wide range of mask types should be made available for Latino farmworkers</w:t>
            </w:r>
          </w:p>
        </w:tc>
      </w:tr>
      <w:tr w:rsidR="00A26663" w:rsidRPr="009E3A78" w14:paraId="31C3E88D" w14:textId="6C59A1B8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86D091F" w14:textId="7F61601D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lastRenderedPageBreak/>
              <w:t xml:space="preserve">Yu et al. (2014)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63</w:t>
            </w:r>
          </w:p>
          <w:p w14:paraId="34EA9B6B" w14:textId="1A03C9CC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China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79FE5982" w14:textId="261482FE" w:rsidR="00A26663" w:rsidRPr="009E3A78" w:rsidRDefault="00A26663" w:rsidP="00A3455B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357977A" w14:textId="7E36E6EB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46%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  <w:t xml:space="preserve">RPE groups: 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  <w:t>0-44.7%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5243DCD2" w14:textId="455851AA" w:rsidR="00A26663" w:rsidRPr="0098757E" w:rsidRDefault="00A26663">
            <w:pPr>
              <w:jc w:val="center"/>
              <w:rPr>
                <w:rFonts w:ascii="Calibri" w:eastAsia="Times New Roman" w:hAnsi="Calibri"/>
                <w:color w:val="FF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9E6E60" w14:textId="692FC8EA" w:rsidR="00A26663" w:rsidRPr="009E3A78" w:rsidRDefault="00A26663" w:rsidP="00F2283F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Highest FF associated with medial FL and FW. 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  <w:t>Lower FF associated with extremes of FD: longer FL and narrower FW.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5BE40FD" w14:textId="7FF4A8F2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D71385B" w14:textId="0FEB09B3" w:rsidR="00A26663" w:rsidRPr="009E3A78" w:rsidRDefault="00A26663" w:rsidP="00470A5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Difference based on RPE </w:t>
            </w:r>
            <w:r w:rsidRPr="009E3A78">
              <w:rPr>
                <w:rFonts w:ascii="Calibri" w:hAnsi="Calibri"/>
                <w:sz w:val="22"/>
                <w:szCs w:val="22"/>
              </w:rPr>
              <w:t>†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</w:p>
          <w:p w14:paraId="5767753A" w14:textId="5E511BBF" w:rsidR="00A26663" w:rsidRPr="009E3A78" w:rsidRDefault="00A26663" w:rsidP="00470A5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Model D1 FF: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</w:p>
          <w:p w14:paraId="2CCFC694" w14:textId="1148EFFC" w:rsidR="00A26663" w:rsidRPr="009E3A78" w:rsidRDefault="00A26663" w:rsidP="008751A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Model D2 FF and PR: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22073F20" w14:textId="77777777" w:rsidR="00A26663" w:rsidRPr="009E3A78" w:rsidRDefault="00A26663" w:rsidP="00523CC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A01E13A" w14:textId="796F8ABC" w:rsidR="00A26663" w:rsidRPr="009E3A78" w:rsidRDefault="00A26663" w:rsidP="00D5599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Chinese users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0393488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52A3027" w14:textId="5C7F62C5" w:rsidR="00A26663" w:rsidRPr="009E3A78" w:rsidRDefault="00A26663" w:rsidP="004D0A1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Significant difference between models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459DFFB6" w14:textId="683C996A" w:rsidR="00A26663" w:rsidRPr="009E3A78" w:rsidRDefault="00A26663" w:rsidP="007C6A21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Consideration of Chinese FD in design of RPE for Chinese users</w:t>
            </w:r>
          </w:p>
        </w:tc>
      </w:tr>
      <w:tr w:rsidR="00A26663" w:rsidRPr="009E3A78" w14:paraId="07B8115A" w14:textId="7777777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8DE26FB" w14:textId="0A751A1B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Bergman et al. (2014)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64</w:t>
            </w:r>
          </w:p>
          <w:p w14:paraId="29A8814C" w14:textId="1D8A2F85" w:rsidR="00A26663" w:rsidRPr="009E3A78" w:rsidRDefault="00A26663" w:rsidP="005C32B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407504F2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4B8490" w14:textId="171B8663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4029818C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5BADA8" w14:textId="027D2C5C" w:rsidR="00A26663" w:rsidRPr="009E3A78" w:rsidRDefault="00A26663" w:rsidP="00433DD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Association of FD with FF depends on RPE size. Good fit performance of models in their respective facial size categories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3F21B8AF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B6E353" w14:textId="02D724E4" w:rsidR="00A26663" w:rsidRPr="009E3A78" w:rsidRDefault="00A26663" w:rsidP="00FF762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023BA127" w14:textId="77777777" w:rsidR="00A26663" w:rsidRPr="009E3A78" w:rsidRDefault="00A26663" w:rsidP="00D465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A1F8E9" w14:textId="12AEF767" w:rsidR="00A26663" w:rsidRPr="009E3A78" w:rsidRDefault="00A26663" w:rsidP="00FF762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14D6CEC7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FC76164" w14:textId="21C613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RPE model influences FF within facial size categories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6EEFFC89" w14:textId="4036F721" w:rsidR="00A26663" w:rsidRPr="009E3A78" w:rsidRDefault="00A26663" w:rsidP="00CD50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FL and FW are appropriate for developing bivariate RFTP</w:t>
            </w:r>
          </w:p>
        </w:tc>
      </w:tr>
      <w:tr w:rsidR="00A26663" w:rsidRPr="009E3A78" w14:paraId="4DDBD63C" w14:textId="7777777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8E375F8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Kim et al. </w:t>
            </w:r>
          </w:p>
          <w:p w14:paraId="69315A85" w14:textId="32B4964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(2015)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65</w:t>
            </w:r>
          </w:p>
          <w:p w14:paraId="3DD96145" w14:textId="256A9FB2" w:rsidR="00A26663" w:rsidRPr="009E3A78" w:rsidRDefault="00A26663" w:rsidP="005C32B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South Korea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5775777F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761E66" w14:textId="14B4AD34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73.5%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5E791209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B5BB15" w14:textId="0BBDA019" w:rsidR="00A26663" w:rsidRPr="009E3A78" w:rsidRDefault="00A26663" w:rsidP="00980DF5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07D71057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9A88CF" w14:textId="5EC9443C" w:rsidR="00A26663" w:rsidRPr="009E3A78" w:rsidRDefault="00A26663" w:rsidP="00FF762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237F57AD" w14:textId="77777777" w:rsidR="00A26663" w:rsidRPr="009E3A78" w:rsidRDefault="00A26663" w:rsidP="00D465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533F98" w14:textId="6A4BA662" w:rsidR="00A26663" w:rsidRPr="009E3A78" w:rsidRDefault="00A26663" w:rsidP="00FF762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7FBB8973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94FBCF" w14:textId="52B362A6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668D17ED" w14:textId="79479225" w:rsidR="00A26663" w:rsidRPr="009E3A78" w:rsidRDefault="00A26663" w:rsidP="008235A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FF has low correlation with SWPF. Different RPE sizes should be provided for HCWs</w:t>
            </w:r>
          </w:p>
        </w:tc>
      </w:tr>
      <w:tr w:rsidR="00A26663" w:rsidRPr="009E3A78" w14:paraId="64DD3743" w14:textId="7777777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E433981" w14:textId="3F19D060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Lin et al. (2017)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66</w:t>
            </w:r>
          </w:p>
          <w:p w14:paraId="3DF89C19" w14:textId="4401D3F8" w:rsidR="00A26663" w:rsidRPr="009E3A78" w:rsidRDefault="00A26663" w:rsidP="00AB7D56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Taiwan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058932F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B740271" w14:textId="562A5174" w:rsidR="00600024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RPE groups: </w:t>
            </w:r>
            <w:r>
              <w:rPr>
                <w:rFonts w:ascii="Calibri" w:eastAsia="Times New Roman" w:hAnsi="Calibri"/>
                <w:sz w:val="20"/>
                <w:szCs w:val="20"/>
              </w:rPr>
              <w:br/>
              <w:t xml:space="preserve">37.6 - </w:t>
            </w:r>
            <w:r w:rsidRPr="009C6D54">
              <w:rPr>
                <w:rFonts w:ascii="Calibri" w:eastAsia="Times New Roman" w:hAnsi="Calibri"/>
                <w:sz w:val="20"/>
                <w:szCs w:val="20"/>
              </w:rPr>
              <w:t>52.5</w:t>
            </w:r>
            <w:r>
              <w:rPr>
                <w:rFonts w:ascii="Calibri" w:eastAsia="Times New Roman" w:hAnsi="Calibri"/>
                <w:sz w:val="20"/>
                <w:szCs w:val="20"/>
              </w:rPr>
              <w:t>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C8EA06A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ACC39E" w14:textId="036C11D0" w:rsidR="00A26663" w:rsidRPr="009E3A78" w:rsidRDefault="00A26663" w:rsidP="00B911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R</w:t>
            </w:r>
            <w:r w:rsidRPr="00B911B9">
              <w:rPr>
                <w:rFonts w:ascii="Calibri" w:eastAsia="Times New Roman" w:hAnsi="Calibri"/>
                <w:sz w:val="20"/>
                <w:szCs w:val="20"/>
              </w:rPr>
              <w:t xml:space="preserve">espirator fit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dependent of facial size category. Fit </w:t>
            </w:r>
            <w:r w:rsidRPr="00B911B9">
              <w:rPr>
                <w:rFonts w:ascii="Calibri" w:eastAsia="Times New Roman" w:hAnsi="Calibri"/>
                <w:sz w:val="20"/>
                <w:szCs w:val="20"/>
              </w:rPr>
              <w:t xml:space="preserve">increased </w:t>
            </w:r>
            <w:r>
              <w:rPr>
                <w:rFonts w:ascii="Calibri" w:eastAsia="Times New Roman" w:hAnsi="Calibri"/>
                <w:sz w:val="20"/>
                <w:szCs w:val="20"/>
              </w:rPr>
              <w:t>with increasing FD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5CD97EAE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EDDC3D6" w14:textId="3E7A7617" w:rsidR="00A26663" w:rsidRPr="009E3A78" w:rsidRDefault="00A26663" w:rsidP="00FF762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3CAEAE6D" w14:textId="77777777" w:rsidR="00A26663" w:rsidRPr="009E3A78" w:rsidRDefault="00A26663" w:rsidP="00D465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4666298" w14:textId="0D9179B8" w:rsidR="00A26663" w:rsidRPr="009E3A78" w:rsidRDefault="00A26663" w:rsidP="00CC02A5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Taiwanese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users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6E11046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33A29F7" w14:textId="71C036E1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Significant difference between models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1968CF16" w14:textId="741513A7" w:rsidR="00A26663" w:rsidRPr="009E3A78" w:rsidRDefault="00A2666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Development of RFTP for smaller-medium FD</w:t>
            </w:r>
          </w:p>
        </w:tc>
      </w:tr>
      <w:tr w:rsidR="00A26663" w:rsidRPr="009E3A78" w14:paraId="355BBDBA" w14:textId="5967CA4C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1F55C2A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Manganyi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(2017) 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28</w:t>
            </w:r>
          </w:p>
          <w:p w14:paraId="244D9F5C" w14:textId="0CDD838A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South Africa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3D3C18D0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3003580" w14:textId="7B7FD52A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22%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6469F9E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226CFF" w14:textId="77777777" w:rsidR="00A26663" w:rsidRPr="009E3A78" w:rsidRDefault="00A26663" w:rsidP="00A3285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PR associated with FD. </w:t>
            </w:r>
          </w:p>
          <w:p w14:paraId="590E0B2D" w14:textId="35E06410" w:rsidR="00A26663" w:rsidRPr="009E3A78" w:rsidRDefault="00A26663" w:rsidP="00A3285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Overall: Face size and NRB associated with FF</w:t>
            </w:r>
          </w:p>
          <w:p w14:paraId="173EBCC8" w14:textId="2C19C175" w:rsidR="00A26663" w:rsidRPr="009E3A78" w:rsidRDefault="00A26663" w:rsidP="00A3285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: 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FL and NRB associated with FF</w:t>
            </w:r>
          </w:p>
          <w:p w14:paraId="2E86C88B" w14:textId="41FE8E07" w:rsidR="00A26663" w:rsidRPr="009E3A78" w:rsidRDefault="00A26663" w:rsidP="00A3285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FD explain small proportion of FF variability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58C8C0FD" w14:textId="39BC1D6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43103D1" w14:textId="6CEA5FC7" w:rsidR="00A26663" w:rsidRPr="009E3A78" w:rsidRDefault="00A26663" w:rsidP="00FF762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Difference in FF and PR: 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br/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(only clean-shaven men</w:t>
            </w:r>
            <w:r w:rsidRPr="009E3A78">
              <w:rPr>
                <w:rFonts w:ascii="Calibri" w:hAnsi="Calibri"/>
                <w:sz w:val="22"/>
                <w:szCs w:val="22"/>
              </w:rPr>
              <w:t>††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1E3F512D" w14:textId="77777777" w:rsidR="00A26663" w:rsidRPr="009E3A78" w:rsidRDefault="00A26663" w:rsidP="00D465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CE50F34" w14:textId="72253664" w:rsidR="00A26663" w:rsidRDefault="00A26663" w:rsidP="00D5599D">
            <w:pPr>
              <w:jc w:val="center"/>
              <w:rPr>
                <w:rFonts w:ascii="Calibri" w:hAnsi="Calibri" w:cstheme="minorBidi"/>
                <w:lang w:eastAsia="en-US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South African users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  <w:p w14:paraId="276C502E" w14:textId="192A0A97" w:rsidR="00A26663" w:rsidRPr="009E3A78" w:rsidRDefault="00A26663" w:rsidP="00FF762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Asian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lower PR and FF.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  <w:t>Race did not predict FF by logistic regression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8584FA6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14CB3BB" w14:textId="10BB0D24" w:rsidR="00A26663" w:rsidRPr="009E3A78" w:rsidRDefault="00A26663" w:rsidP="00792535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FF and PR affected by shape and brand. RPE </w:t>
            </w:r>
            <w:r w:rsidR="00792535">
              <w:rPr>
                <w:rFonts w:ascii="Calibri" w:eastAsia="Times New Roman" w:hAnsi="Calibri"/>
                <w:sz w:val="20"/>
                <w:szCs w:val="20"/>
              </w:rPr>
              <w:t>is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 a determinant </w:t>
            </w:r>
            <w:r w:rsidR="00792535">
              <w:rPr>
                <w:rFonts w:ascii="Calibri" w:eastAsia="Times New Roman" w:hAnsi="Calibri"/>
                <w:sz w:val="20"/>
                <w:szCs w:val="20"/>
              </w:rPr>
              <w:t>of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 fit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7DC8B600" w14:textId="17D00263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NRB may be useful in RPE selection</w:t>
            </w:r>
          </w:p>
        </w:tc>
      </w:tr>
      <w:tr w:rsidR="00A26663" w:rsidRPr="009E3A78" w14:paraId="79325652" w14:textId="7777777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AC9104B" w14:textId="2A56B4F9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Honarbakhsh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(2018)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67</w:t>
            </w:r>
          </w:p>
          <w:p w14:paraId="47871C3D" w14:textId="1E82E464" w:rsidR="00A26663" w:rsidRPr="009E3A78" w:rsidRDefault="00A26663" w:rsidP="00DA5326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Iran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2553323E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4BD45E2" w14:textId="77777777" w:rsidR="00A26663" w:rsidRDefault="00A26663" w:rsidP="00DA532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Users: </w:t>
            </w:r>
            <w:r w:rsidRPr="00DA5326">
              <w:rPr>
                <w:rFonts w:ascii="Calibri" w:eastAsia="Times New Roman" w:hAnsi="Calibri"/>
                <w:sz w:val="20"/>
                <w:szCs w:val="20"/>
              </w:rPr>
              <w:t>10.6%</w:t>
            </w:r>
          </w:p>
          <w:p w14:paraId="7B885342" w14:textId="77777777" w:rsidR="00A26663" w:rsidRDefault="00A26663" w:rsidP="00DA532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RPE group: </w:t>
            </w:r>
          </w:p>
          <w:p w14:paraId="03BB4573" w14:textId="415ABBE1" w:rsidR="00456ABD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0 – 20%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426406D9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6783E8" w14:textId="7A6FBC69" w:rsidR="00A26663" w:rsidRPr="009E3A78" w:rsidRDefault="00A26663" w:rsidP="005B729A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5B729A">
              <w:rPr>
                <w:rFonts w:ascii="Calibri" w:eastAsia="Times New Roman" w:hAnsi="Calibri"/>
                <w:sz w:val="20"/>
                <w:szCs w:val="20"/>
              </w:rPr>
              <w:t xml:space="preserve">no relationship between </w:t>
            </w:r>
            <w:r>
              <w:rPr>
                <w:rFonts w:ascii="Calibri" w:eastAsia="Times New Roman" w:hAnsi="Calibri"/>
                <w:sz w:val="20"/>
                <w:szCs w:val="20"/>
              </w:rPr>
              <w:t>fit and facial</w:t>
            </w:r>
            <w:r w:rsidRPr="005B729A">
              <w:rPr>
                <w:rFonts w:ascii="Calibri" w:eastAsia="Times New Roman" w:hAnsi="Calibri"/>
                <w:sz w:val="20"/>
                <w:szCs w:val="20"/>
              </w:rPr>
              <w:t xml:space="preserve"> size </w:t>
            </w:r>
            <w:r>
              <w:rPr>
                <w:rFonts w:ascii="Calibri" w:eastAsia="Times New Roman" w:hAnsi="Calibri"/>
                <w:sz w:val="20"/>
                <w:szCs w:val="20"/>
              </w:rPr>
              <w:t>categories</w:t>
            </w:r>
            <w:r w:rsidRPr="005B729A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83C234A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62296B7" w14:textId="5F2E3BDE" w:rsidR="00A26663" w:rsidRPr="009E3A78" w:rsidRDefault="00A26663" w:rsidP="00FF762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Difference in FF and PR: 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17FCB33D" w14:textId="77777777" w:rsidR="00A26663" w:rsidRPr="009E3A78" w:rsidRDefault="00A26663" w:rsidP="00D465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474ECF2" w14:textId="19A04B2F" w:rsidR="00A26663" w:rsidRPr="009E3A78" w:rsidRDefault="00A26663" w:rsidP="00D5599D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Iranian users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4B2EC30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F1BB2F8" w14:textId="1C3D2F52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Significant difference between models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64ADC383" w14:textId="0BF0CE79" w:rsidR="00A26663" w:rsidRPr="009E3A78" w:rsidRDefault="00A26663" w:rsidP="005B72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 xml:space="preserve">Consideration of </w:t>
            </w:r>
            <w:r>
              <w:rPr>
                <w:rFonts w:ascii="Calibri" w:hAnsi="Calibri"/>
                <w:sz w:val="20"/>
                <w:szCs w:val="20"/>
              </w:rPr>
              <w:t>Iranian</w:t>
            </w:r>
            <w:r w:rsidRPr="009E3A78">
              <w:rPr>
                <w:rFonts w:ascii="Calibri" w:hAnsi="Calibri"/>
                <w:sz w:val="20"/>
                <w:szCs w:val="20"/>
              </w:rPr>
              <w:t xml:space="preserve"> FD in RPE design</w:t>
            </w:r>
          </w:p>
        </w:tc>
      </w:tr>
      <w:tr w:rsidR="00A26663" w:rsidRPr="009E3A78" w14:paraId="78C1D71F" w14:textId="17FB0986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4BA5715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Huh et al. </w:t>
            </w:r>
          </w:p>
          <w:p w14:paraId="3BABA7BB" w14:textId="77F94C84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(2018)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68</w:t>
            </w:r>
          </w:p>
          <w:p w14:paraId="55488CAC" w14:textId="434E8860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South Korea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5B9C9726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9DCCCD0" w14:textId="0CF95218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 </w:t>
            </w: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69.2%</w:t>
            </w:r>
          </w:p>
          <w:p w14:paraId="1926DBA1" w14:textId="77777777" w:rsidR="00026895" w:rsidRDefault="00A26663" w:rsidP="002532A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RPE groups: </w:t>
            </w:r>
          </w:p>
          <w:p w14:paraId="3D3890DA" w14:textId="1B1C371D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18.8 – 46.0%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4B072FB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AE4091" w14:textId="7CCFEDFE" w:rsidR="00A26663" w:rsidRPr="009E3A78" w:rsidRDefault="00A26663" w:rsidP="0066581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Highest PR associated with larger face sizes for 1/4 RPE model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0DCCF12" w14:textId="018291D1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8F2BA4E" w14:textId="5D9B738A" w:rsidR="00A26663" w:rsidRPr="009E3A78" w:rsidRDefault="00A26663" w:rsidP="00E34552">
            <w:pPr>
              <w:jc w:val="center"/>
              <w:rPr>
                <w:rFonts w:ascii="Calibri" w:eastAsia="MS Mincho" w:hAnsi="Calibri" w:cs="MS Mincho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 Difference in FF for 3/4 RPE models: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</w:p>
          <w:p w14:paraId="7A424D44" w14:textId="0AB2F444" w:rsidR="00A26663" w:rsidRPr="009E3A78" w:rsidRDefault="00A26663" w:rsidP="006A33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Male gender was an independent predictor of FF for 3/4 models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4423D83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C9B148D" w14:textId="548B10F6" w:rsidR="00A26663" w:rsidRPr="009E3A78" w:rsidRDefault="00A26663" w:rsidP="00D5599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Korean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users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6E68A003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4703FF6" w14:textId="23AFC81A" w:rsidR="00A26663" w:rsidRPr="009E3A78" w:rsidRDefault="00A26663" w:rsidP="005A19FB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Significant difference between models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14A92656" w14:textId="56D5B67C" w:rsidR="00A26663" w:rsidRPr="009E3A78" w:rsidRDefault="00A26663" w:rsidP="00F712D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 xml:space="preserve">Consideration of Korean FD in RPE design </w:t>
            </w:r>
          </w:p>
        </w:tc>
      </w:tr>
      <w:tr w:rsidR="00A26663" w:rsidRPr="009E3A78" w14:paraId="420BE54D" w14:textId="77777777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9E073D5" w14:textId="7AD36503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Foereland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(2019)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69</w:t>
            </w:r>
          </w:p>
          <w:p w14:paraId="2234DAAE" w14:textId="42C89AFB" w:rsidR="00A26663" w:rsidRPr="009E3A78" w:rsidRDefault="00A26663" w:rsidP="00AB7D56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Norway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60B602BA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09514C1" w14:textId="20DD683D" w:rsidR="00A26663" w:rsidRPr="009E3A78" w:rsidRDefault="00600024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="00A26663" w:rsidRPr="009E3A78">
              <w:rPr>
                <w:rFonts w:ascii="Calibri" w:eastAsia="Times New Roman" w:hAnsi="Calibri"/>
                <w:sz w:val="20"/>
                <w:szCs w:val="20"/>
              </w:rPr>
              <w:t>: 96%</w:t>
            </w:r>
          </w:p>
          <w:p w14:paraId="41937848" w14:textId="63A08E29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RPE groups: 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br/>
              <w:t>19-100%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517A2C69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069235" w14:textId="6BF2D0D3" w:rsidR="00A26663" w:rsidRPr="009E3A78" w:rsidRDefault="00A26663" w:rsidP="00F7649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223E1D5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59B7568" w14:textId="400E9721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FF not predicted by gender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57F3E62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2D0678A" w14:textId="5D4222F1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5020F405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B3E4A52" w14:textId="6C8D38C2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RPE model strongly predicted fit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3FB5F1D9" w14:textId="0E3214D0" w:rsidR="00A26663" w:rsidRPr="009E3A78" w:rsidRDefault="00A26663" w:rsidP="00680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Provision of multiple (5-6) respirators in fit test program</w:t>
            </w:r>
          </w:p>
        </w:tc>
      </w:tr>
      <w:tr w:rsidR="00A26663" w:rsidRPr="009E3A78" w14:paraId="09B4BD00" w14:textId="38305DC0" w:rsidTr="0075652A">
        <w:trPr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6C7794D" w14:textId="5F29C5F9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Winski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br/>
              <w:t xml:space="preserve">(2019)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70</w:t>
            </w:r>
          </w:p>
          <w:p w14:paraId="2BEB9C92" w14:textId="0D8570A4" w:rsidR="00A26663" w:rsidRPr="009E3A78" w:rsidRDefault="00A26663" w:rsidP="00AB7D5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UK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68C2C22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D3FEC45" w14:textId="29EF7E1C" w:rsidR="00456ABD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94.7%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3D3E9824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CDBB63" w14:textId="093F18A5" w:rsidR="00A26663" w:rsidRPr="009E3A78" w:rsidRDefault="00A26663" w:rsidP="00F7649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Weak association for FW and JW with FF.</w:t>
            </w:r>
          </w:p>
          <w:p w14:paraId="4A2D511C" w14:textId="54A13321" w:rsidR="00A26663" w:rsidRPr="009E3A78" w:rsidRDefault="00A26663" w:rsidP="00F7649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No association of face size categories with FF. </w:t>
            </w:r>
          </w:p>
          <w:p w14:paraId="113183B5" w14:textId="1B50E3C7" w:rsidR="00A26663" w:rsidRPr="009E3A78" w:rsidRDefault="00A26663" w:rsidP="0051377E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No association of FD with PR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0F003D57" w14:textId="43807816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CA29F15" w14:textId="3F853AE8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0F244CD7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5BDD4AD" w14:textId="2E29A825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N/A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3B21C3B4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E94C7FD" w14:textId="3ECF8B5A" w:rsidR="00A26663" w:rsidRPr="009E3A78" w:rsidRDefault="00A26663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3289648B" w14:textId="2FC8E0EA" w:rsidR="00A26663" w:rsidRPr="009E3A78" w:rsidRDefault="00A26663" w:rsidP="0068009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 xml:space="preserve">Consideration of JW in RPE design if absolute FF scores are of value </w:t>
            </w:r>
          </w:p>
        </w:tc>
      </w:tr>
      <w:tr w:rsidR="00A26663" w:rsidRPr="009E3A78" w14:paraId="54426D5C" w14:textId="77777777" w:rsidTr="0075652A">
        <w:trPr>
          <w:trHeight w:val="989"/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4C0616B" w14:textId="24300B3F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Fakherpour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(2020)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71</w:t>
            </w:r>
          </w:p>
          <w:p w14:paraId="415821CA" w14:textId="53661824" w:rsidR="00A26663" w:rsidRPr="009E3A78" w:rsidRDefault="00A26663" w:rsidP="00D1333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Iran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6D151DF1" w14:textId="77777777" w:rsidR="00A26663" w:rsidRPr="009E3A78" w:rsidRDefault="00A26663" w:rsidP="00D37C56">
            <w:pPr>
              <w:jc w:val="center"/>
              <w:rPr>
                <w:rFonts w:ascii="Calibri" w:eastAsia="MS Mincho" w:hAnsi="Calibri" w:cs="MS Mincho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93468F" w14:textId="77777777" w:rsidR="00A26663" w:rsidRPr="009E3A78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All fit tests: 15.73%</w:t>
            </w:r>
          </w:p>
          <w:p w14:paraId="26709F0E" w14:textId="77777777" w:rsidR="00026895" w:rsidRDefault="00A26663" w:rsidP="009B4910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RPE group: </w:t>
            </w:r>
          </w:p>
          <w:p w14:paraId="5E2AA567" w14:textId="7178E1F1" w:rsidR="00456ABD" w:rsidRPr="00066A6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1.6-43.5%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25184E3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7C6540" w14:textId="7EF3BEB1" w:rsidR="00A26663" w:rsidRPr="009E3A78" w:rsidRDefault="00A26663" w:rsidP="003D55D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No association of face size and PR within RPE groups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F450B9D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6DB44D4" w14:textId="669CE64F" w:rsidR="00A26663" w:rsidRPr="009E3A78" w:rsidRDefault="00A26663" w:rsidP="009432BE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Difference in PR: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24EC34BC" w14:textId="77777777" w:rsidR="00A26663" w:rsidRPr="009E3A78" w:rsidRDefault="00A26663" w:rsidP="00604BD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4AFE139" w14:textId="7A30BE61" w:rsidR="00A26663" w:rsidRPr="009E3A78" w:rsidRDefault="00A26663" w:rsidP="00F712D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Iranian users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A6001C7" w14:textId="77777777" w:rsidR="00A26663" w:rsidRPr="009E3A78" w:rsidRDefault="00A26663" w:rsidP="003437CD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031005E" w14:textId="1055D4D6" w:rsidR="00A26663" w:rsidRPr="009E3A78" w:rsidRDefault="00A26663" w:rsidP="009B491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Significant difference in PR between models and shape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42E7DE28" w14:textId="1CB18006" w:rsidR="00A26663" w:rsidRPr="009E3A78" w:rsidRDefault="00A26663" w:rsidP="006873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Consideration of Iranian FD in panels and RPE design and provision of provide various sizes and shapes of RPE</w:t>
            </w:r>
          </w:p>
        </w:tc>
      </w:tr>
      <w:tr w:rsidR="00A26663" w:rsidRPr="009E3A78" w14:paraId="343FB9AB" w14:textId="5BE30182" w:rsidTr="0075652A">
        <w:trPr>
          <w:trHeight w:val="989"/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B6F09D0" w14:textId="548E5931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lastRenderedPageBreak/>
              <w:t xml:space="preserve">Zhang et al. 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br/>
              <w:t>(2020)</w:t>
            </w: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72</w:t>
            </w:r>
          </w:p>
          <w:p w14:paraId="6C2ACA1A" w14:textId="1DD865AE" w:rsidR="00A26663" w:rsidRPr="009E3A78" w:rsidRDefault="00A26663" w:rsidP="00D13339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China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621C8BCF" w14:textId="77777777" w:rsidR="00A26663" w:rsidRPr="009E3A78" w:rsidRDefault="00A26663" w:rsidP="00D37C56">
            <w:pPr>
              <w:jc w:val="center"/>
              <w:rPr>
                <w:rFonts w:ascii="Calibri" w:eastAsia="MS Mincho" w:hAnsi="Calibri" w:cs="MS Mincho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5021A2A" w14:textId="7BE1C972" w:rsidR="00456ABD" w:rsidRPr="00066A68" w:rsidRDefault="00A26663" w:rsidP="00066A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♂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: 54.8-61.3%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br/>
            </w:r>
            <w:r w:rsidRPr="009E3A78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: 31.5-64.8% (RPE dependent)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5B30DDBB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C4A3F8" w14:textId="681AB206" w:rsidR="00A26663" w:rsidRPr="009E3A78" w:rsidRDefault="00A26663" w:rsidP="006D0D9E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PR associated with FL, NL and diagonal NL.</w:t>
            </w:r>
          </w:p>
          <w:p w14:paraId="2CACC8A6" w14:textId="0A7B0F13" w:rsidR="00A26663" w:rsidRPr="009E3A78" w:rsidRDefault="00A26663" w:rsidP="00D34E9E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FF correlated with FL, NL and NW correlated (RPE dependent).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3D379F39" w14:textId="33A76CFE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5F993E0B" w14:textId="632C6CA4" w:rsidR="00A26663" w:rsidRPr="009E3A78" w:rsidRDefault="00A26663" w:rsidP="00CC50E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Comparable PR between genders across all user/mask tests </w:t>
            </w:r>
          </w:p>
          <w:p w14:paraId="4A68C2BD" w14:textId="1F0A0229" w:rsidR="00A26663" w:rsidRPr="009E3A78" w:rsidRDefault="00A26663" w:rsidP="00CC50E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Difference in PR for 1/4 RPE model: </w:t>
            </w:r>
            <w:r w:rsidRPr="009E3A78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♂</w:t>
            </w:r>
            <w:r w:rsidRPr="009E3A78">
              <w:rPr>
                <w:rFonts w:ascii="Calibri" w:eastAsia="MS Mincho" w:hAnsi="Calibri" w:cs="MS Mincho"/>
                <w:color w:val="000000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♀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09BB67C0" w14:textId="77777777" w:rsidR="00A26663" w:rsidRPr="009E3A78" w:rsidRDefault="00A26663" w:rsidP="00604BD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003A59A" w14:textId="4C5CD235" w:rsidR="00A26663" w:rsidRPr="009E3A78" w:rsidRDefault="002F2E09" w:rsidP="00604BD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Chinese users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6CBE877" w14:textId="77777777" w:rsidR="00A26663" w:rsidRPr="009E3A78" w:rsidRDefault="00A26663" w:rsidP="003437CD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6F4CFBA" w14:textId="4A2A0FCE" w:rsidR="00A26663" w:rsidRPr="009E3A78" w:rsidRDefault="00A26663" w:rsidP="005B56F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Significant difference between models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2EBDD057" w14:textId="023E2EDE" w:rsidR="00A26663" w:rsidRPr="009E3A78" w:rsidRDefault="00A26663" w:rsidP="00EE099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Anthropometric dimension of Chinese users should be considered for RPE design</w:t>
            </w:r>
          </w:p>
        </w:tc>
      </w:tr>
      <w:tr w:rsidR="00A26663" w:rsidRPr="009E3A78" w14:paraId="7080BE51" w14:textId="77777777" w:rsidTr="0075652A">
        <w:trPr>
          <w:trHeight w:val="989"/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58F72D1" w14:textId="77777777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De‐</w:t>
            </w: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Yñigo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‐</w:t>
            </w: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Mojado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</w:t>
            </w:r>
          </w:p>
          <w:p w14:paraId="2B349B50" w14:textId="20F0F715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(2021)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73</w:t>
            </w:r>
          </w:p>
          <w:p w14:paraId="23C4E6F6" w14:textId="1C37084F" w:rsidR="00A26663" w:rsidRPr="009E3A78" w:rsidRDefault="00A26663" w:rsidP="00A772B1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Spain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53DD4235" w14:textId="77777777" w:rsidR="00A26663" w:rsidRPr="009E3A78" w:rsidRDefault="00A26663" w:rsidP="00D37C56">
            <w:pPr>
              <w:jc w:val="center"/>
              <w:rPr>
                <w:rFonts w:ascii="Calibri" w:eastAsia="MS Mincho" w:hAnsi="Calibri" w:cs="MS Mincho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A41D919" w14:textId="5746A374" w:rsidR="00456ABD" w:rsidRPr="00026895" w:rsidRDefault="00A26663" w:rsidP="00066A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♂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: 2.7-21.6%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br/>
            </w:r>
            <w:r w:rsidRPr="009E3A78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♀</w:t>
            </w: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: 13.5-48.4%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7B3278DB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537586" w14:textId="366D52B2" w:rsidR="00A26663" w:rsidRPr="009E3A78" w:rsidRDefault="00A26663" w:rsidP="006D0D9E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4ED07B35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2F137ED1" w14:textId="34078754" w:rsidR="00A26663" w:rsidRPr="009E3A78" w:rsidRDefault="00A26663" w:rsidP="00CC50E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Difference in PR: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♀</w:t>
            </w:r>
            <w:r w:rsidRPr="009E3A78">
              <w:rPr>
                <w:rFonts w:ascii="Calibri" w:eastAsia="MS Mincho" w:hAnsi="Calibri" w:cs="MS Mincho"/>
                <w:sz w:val="20"/>
                <w:szCs w:val="20"/>
              </w:rPr>
              <w:t xml:space="preserve"> &gt; </w:t>
            </w:r>
            <w:r w:rsidRPr="009E3A78">
              <w:rPr>
                <w:rFonts w:ascii="MS Mincho" w:eastAsia="MS Mincho" w:hAnsi="MS Mincho" w:cs="MS Mincho"/>
                <w:sz w:val="20"/>
                <w:szCs w:val="20"/>
              </w:rPr>
              <w:t>♂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19F4D43F" w14:textId="77777777" w:rsidR="00A26663" w:rsidRPr="009E3A78" w:rsidRDefault="00A26663" w:rsidP="00604BD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07F30D4" w14:textId="563FFF82" w:rsidR="00A26663" w:rsidRPr="009E3A78" w:rsidRDefault="00A26663" w:rsidP="008E19B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Spanish users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0A811AD9" w14:textId="77777777" w:rsidR="00A26663" w:rsidRPr="009E3A78" w:rsidRDefault="00A26663" w:rsidP="003437CD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EFA48B" w14:textId="444BED9A" w:rsidR="00A26663" w:rsidRPr="009E3A78" w:rsidRDefault="00A26663" w:rsidP="005B56F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25881455" w14:textId="725AA745" w:rsidR="00A26663" w:rsidRPr="009E3A78" w:rsidRDefault="00A26663" w:rsidP="007021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Support for appropriate fit testing HCWs</w:t>
            </w:r>
          </w:p>
        </w:tc>
      </w:tr>
      <w:tr w:rsidR="00A26663" w:rsidRPr="009E3A78" w14:paraId="091EC102" w14:textId="77777777" w:rsidTr="0075652A">
        <w:trPr>
          <w:trHeight w:val="989"/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7D0776F" w14:textId="5A2D74AB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proofErr w:type="spellStart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Fakherpour</w:t>
            </w:r>
            <w:proofErr w:type="spellEnd"/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 et al. (2021)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74</w:t>
            </w:r>
          </w:p>
          <w:p w14:paraId="6239A8D6" w14:textId="7382B104" w:rsidR="00A26663" w:rsidRPr="009E3A78" w:rsidRDefault="00A26663" w:rsidP="00D1333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Iran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E86C64"/>
          </w:tcPr>
          <w:p w14:paraId="590F082F" w14:textId="77777777" w:rsidR="00A26663" w:rsidRPr="009E3A78" w:rsidRDefault="00A26663" w:rsidP="00D37C56">
            <w:pPr>
              <w:jc w:val="center"/>
              <w:rPr>
                <w:rFonts w:ascii="Calibri" w:eastAsia="MS Mincho" w:hAnsi="Calibri" w:cs="MS Mincho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B049270" w14:textId="77777777" w:rsidR="00A26663" w:rsidRDefault="00A26663" w:rsidP="00D37C56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RPE groups: </w:t>
            </w:r>
          </w:p>
          <w:p w14:paraId="30B9E93D" w14:textId="3E99D7E1" w:rsidR="00A26663" w:rsidRPr="009E3A7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0-43.2%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67358DCB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8D8D46" w14:textId="7A28F1DE" w:rsidR="00A26663" w:rsidRPr="009E3A78" w:rsidRDefault="00A26663" w:rsidP="006D0D9E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No association of face size and PR within RPE groups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2D7178D1" w14:textId="77777777" w:rsidR="00A26663" w:rsidRPr="009E3A78" w:rsidRDefault="00A2666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534C137" w14:textId="169F183E" w:rsidR="00A26663" w:rsidRPr="009E3A78" w:rsidRDefault="00A26663" w:rsidP="00236B7D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Comparable PR between genders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03E54C47" w14:textId="77777777" w:rsidR="00A26663" w:rsidRPr="009E3A78" w:rsidRDefault="00A26663" w:rsidP="00604BD3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EABE57C" w14:textId="4D86B4AD" w:rsidR="00A26663" w:rsidRPr="009E3A78" w:rsidRDefault="00A26663" w:rsidP="00DB0B9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Low PR amongst Iranian users </w:t>
            </w:r>
            <w:r w:rsidRPr="00207F08">
              <w:rPr>
                <w:rFonts w:ascii="Calibri" w:hAnsi="Calibri" w:cstheme="minorBidi"/>
                <w:lang w:eastAsia="en-US"/>
              </w:rPr>
              <w:t>‡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738F8788" w14:textId="77777777" w:rsidR="00A26663" w:rsidRPr="009E3A78" w:rsidRDefault="00A26663" w:rsidP="003437CD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4F632A" w14:textId="3D8F4903" w:rsidR="00A26663" w:rsidRPr="009E3A78" w:rsidRDefault="00A26663" w:rsidP="00B11887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Significant difference in PR between models and shape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549C3EB6" w14:textId="6269FE30" w:rsidR="00A26663" w:rsidRPr="009E3A78" w:rsidRDefault="00A26663" w:rsidP="00EE09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Provide various sizes and shapes of RPE and fit testing guided by FD</w:t>
            </w:r>
          </w:p>
        </w:tc>
      </w:tr>
      <w:tr w:rsidR="00A26663" w:rsidRPr="009E3A78" w14:paraId="30340DB0" w14:textId="77777777" w:rsidTr="0075652A">
        <w:trPr>
          <w:trHeight w:val="989"/>
          <w:jc w:val="center"/>
        </w:trPr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07873D1" w14:textId="2D3061DF" w:rsidR="00A26663" w:rsidRPr="00A438ED" w:rsidRDefault="00A26663" w:rsidP="0007508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Williams et al. (2021) </w:t>
            </w:r>
            <w:r w:rsidR="0075652A">
              <w:rPr>
                <w:rFonts w:ascii="Calibri" w:eastAsia="Times New Roman" w:hAnsi="Calibri"/>
                <w:b/>
                <w:bCs/>
                <w:sz w:val="20"/>
                <w:szCs w:val="20"/>
                <w:vertAlign w:val="superscript"/>
              </w:rPr>
              <w:t>75</w:t>
            </w:r>
          </w:p>
          <w:p w14:paraId="6C6799D0" w14:textId="17FFEEDF" w:rsidR="00A26663" w:rsidRPr="009E3A78" w:rsidRDefault="00A26663" w:rsidP="002244C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A438ED"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Australia 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5D84B839" w14:textId="77777777" w:rsidR="00A26663" w:rsidRPr="009E3A78" w:rsidRDefault="00A26663" w:rsidP="002244C2">
            <w:pPr>
              <w:jc w:val="center"/>
              <w:rPr>
                <w:rFonts w:ascii="Calibri" w:eastAsia="MS Mincho" w:hAnsi="Calibri" w:cs="MS Mincho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79C3FB1" w14:textId="7EA93AF6" w:rsidR="00A26663" w:rsidRPr="009E3A78" w:rsidRDefault="00A26663" w:rsidP="002244C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Users</w:t>
            </w:r>
            <w:r w:rsidRPr="009E3A78">
              <w:rPr>
                <w:rFonts w:ascii="Calibri" w:eastAsia="Times New Roman" w:hAnsi="Calibri"/>
                <w:sz w:val="20"/>
                <w:szCs w:val="20"/>
              </w:rPr>
              <w:t>: 92%</w:t>
            </w:r>
          </w:p>
          <w:p w14:paraId="50445319" w14:textId="77777777" w:rsidR="00A26663" w:rsidRPr="009E3A78" w:rsidRDefault="00A26663" w:rsidP="002244C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(100% using rescue mask)</w:t>
            </w:r>
          </w:p>
          <w:p w14:paraId="6834D234" w14:textId="77777777" w:rsidR="00A26663" w:rsidRPr="009E3A78" w:rsidRDefault="00A26663" w:rsidP="002244C2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 xml:space="preserve">RPE groups: </w:t>
            </w:r>
          </w:p>
          <w:p w14:paraId="4D70F2DA" w14:textId="05C57636" w:rsidR="00456ABD" w:rsidRPr="00066A68" w:rsidRDefault="00A26663" w:rsidP="00066A68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sz w:val="20"/>
                <w:szCs w:val="20"/>
              </w:rPr>
              <w:t>65 – 77%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0121667F" w14:textId="77777777" w:rsidR="00A26663" w:rsidRPr="009E3A78" w:rsidRDefault="00A26663" w:rsidP="002244C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65CCAE" w14:textId="77777777" w:rsidR="00A26663" w:rsidRPr="009E3A78" w:rsidRDefault="00A26663" w:rsidP="002244C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516A3868" w14:textId="77777777" w:rsidR="00A26663" w:rsidRPr="009E3A78" w:rsidRDefault="00A26663" w:rsidP="002244C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302C346" w14:textId="77777777" w:rsidR="00A26663" w:rsidRPr="009E3A78" w:rsidRDefault="00A26663" w:rsidP="002244C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No association of PR with gender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</w:tcPr>
          <w:p w14:paraId="4C0A37EF" w14:textId="77777777" w:rsidR="00A26663" w:rsidRPr="009E3A78" w:rsidRDefault="00A26663" w:rsidP="002244C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F10AE0E" w14:textId="6CE2B070" w:rsidR="00A26663" w:rsidRPr="009E3A78" w:rsidRDefault="00A26663" w:rsidP="002244C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>No association of PR with ethnicity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(underpowered)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</w:tcPr>
          <w:p w14:paraId="7DF22DF1" w14:textId="77777777" w:rsidR="00A26663" w:rsidRPr="009E3A78" w:rsidRDefault="00A26663" w:rsidP="002244C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D9751B" w14:textId="77777777" w:rsidR="00A26663" w:rsidRPr="009E3A78" w:rsidRDefault="00A26663" w:rsidP="002244C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E3A78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Comparable PR between models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000000"/>
              <w:right w:val="nil"/>
            </w:tcBorders>
            <w:vAlign w:val="center"/>
          </w:tcPr>
          <w:p w14:paraId="076E5EB6" w14:textId="77777777" w:rsidR="00A26663" w:rsidRPr="009E3A78" w:rsidRDefault="00A26663" w:rsidP="002244C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A78">
              <w:rPr>
                <w:rFonts w:ascii="Calibri" w:hAnsi="Calibri"/>
                <w:sz w:val="20"/>
                <w:szCs w:val="20"/>
              </w:rPr>
              <w:t>Support for implementation of fit test programme</w:t>
            </w:r>
          </w:p>
        </w:tc>
      </w:tr>
    </w:tbl>
    <w:p w14:paraId="7D17B9A9" w14:textId="1783181D" w:rsidR="00B87441" w:rsidRPr="009E3A78" w:rsidRDefault="00B87441" w:rsidP="00F55E81">
      <w:pPr>
        <w:outlineLvl w:val="0"/>
        <w:rPr>
          <w:rFonts w:ascii="Calibri" w:hAnsi="Calibri"/>
          <w:b/>
        </w:rPr>
      </w:pPr>
    </w:p>
    <w:p w14:paraId="359C1769" w14:textId="386986B1" w:rsidR="00CE49C9" w:rsidRPr="009E3A78" w:rsidRDefault="00440E68" w:rsidP="00B86A5B">
      <w:pPr>
        <w:rPr>
          <w:rFonts w:ascii="Calibri" w:hAnsi="Calibri"/>
        </w:rPr>
      </w:pPr>
      <w:r w:rsidRPr="009E3A78">
        <w:rPr>
          <w:rFonts w:ascii="Calibri" w:hAnsi="Calibri"/>
        </w:rPr>
        <w:t>Red bars indicate studies reporting low</w:t>
      </w:r>
      <w:r w:rsidR="00D5599D">
        <w:rPr>
          <w:rFonts w:ascii="Calibri" w:hAnsi="Calibri"/>
        </w:rPr>
        <w:t>/low-moderate</w:t>
      </w:r>
      <w:r w:rsidRPr="009E3A78">
        <w:rPr>
          <w:rFonts w:ascii="Calibri" w:hAnsi="Calibri"/>
        </w:rPr>
        <w:t xml:space="preserve"> pass rates for respective cohorts and RPE investigated. </w:t>
      </w:r>
      <w:r w:rsidR="00CE49C9" w:rsidRPr="009E3A78">
        <w:rPr>
          <w:rFonts w:ascii="Calibri" w:hAnsi="Calibri"/>
        </w:rPr>
        <w:t xml:space="preserve">Yellow bars indicate studies reporting mixed results for association of respective variable and RPE fit. </w:t>
      </w:r>
      <w:proofErr w:type="gramStart"/>
      <w:r w:rsidR="00CE49C9" w:rsidRPr="009E3A78">
        <w:rPr>
          <w:rFonts w:ascii="Calibri" w:hAnsi="Calibri"/>
        </w:rPr>
        <w:t>Greens</w:t>
      </w:r>
      <w:proofErr w:type="gramEnd"/>
      <w:r w:rsidR="00CE49C9" w:rsidRPr="009E3A78">
        <w:rPr>
          <w:rFonts w:ascii="Calibri" w:hAnsi="Calibri"/>
        </w:rPr>
        <w:t xml:space="preserve"> bar indicate studies reporting clear associations</w:t>
      </w:r>
      <w:r w:rsidR="00ED57B1" w:rsidRPr="009E3A78">
        <w:rPr>
          <w:rFonts w:ascii="Calibri" w:hAnsi="Calibri"/>
        </w:rPr>
        <w:t>.</w:t>
      </w:r>
    </w:p>
    <w:p w14:paraId="66C18C81" w14:textId="3CE25733" w:rsidR="00B42C0C" w:rsidRPr="009E3A78" w:rsidRDefault="00687DDA" w:rsidP="00F55E81">
      <w:pPr>
        <w:rPr>
          <w:rFonts w:ascii="Calibri" w:hAnsi="Calibri"/>
          <w:sz w:val="22"/>
          <w:szCs w:val="22"/>
        </w:rPr>
      </w:pPr>
      <w:r w:rsidRPr="009E3A78">
        <w:rPr>
          <w:rFonts w:ascii="Calibri" w:hAnsi="Calibri"/>
          <w:sz w:val="22"/>
          <w:szCs w:val="22"/>
        </w:rPr>
        <w:t>N/A = not available/</w:t>
      </w:r>
      <w:r w:rsidR="002B3CD1" w:rsidRPr="009E3A78">
        <w:rPr>
          <w:rFonts w:ascii="Calibri" w:hAnsi="Calibri"/>
          <w:sz w:val="22"/>
          <w:szCs w:val="22"/>
        </w:rPr>
        <w:t>assessed;</w:t>
      </w:r>
      <w:r w:rsidR="00C566AA" w:rsidRPr="009E3A78">
        <w:rPr>
          <w:rFonts w:ascii="Calibri" w:hAnsi="Calibri"/>
          <w:sz w:val="22"/>
          <w:szCs w:val="22"/>
        </w:rPr>
        <w:t xml:space="preserve"> </w:t>
      </w:r>
      <w:r w:rsidR="00C566AA" w:rsidRPr="009E3A78">
        <w:rPr>
          <w:rFonts w:ascii="MS Mincho" w:eastAsia="MS Mincho" w:hAnsi="MS Mincho" w:cs="MS Mincho"/>
          <w:color w:val="000000"/>
        </w:rPr>
        <w:t>♀</w:t>
      </w:r>
      <w:r w:rsidR="002B3CD1" w:rsidRPr="009E3A78">
        <w:rPr>
          <w:rFonts w:ascii="Calibri" w:hAnsi="Calibri"/>
          <w:sz w:val="22"/>
          <w:szCs w:val="22"/>
        </w:rPr>
        <w:t>= female;</w:t>
      </w:r>
      <w:r w:rsidR="00C566AA" w:rsidRPr="009E3A78">
        <w:rPr>
          <w:rFonts w:ascii="Calibri" w:hAnsi="Calibri"/>
          <w:sz w:val="22"/>
          <w:szCs w:val="22"/>
        </w:rPr>
        <w:t xml:space="preserve"> </w:t>
      </w:r>
      <w:r w:rsidR="00C566AA" w:rsidRPr="009E3A78">
        <w:rPr>
          <w:rFonts w:ascii="MS Mincho" w:eastAsia="MS Mincho" w:hAnsi="MS Mincho" w:cs="MS Mincho"/>
          <w:sz w:val="22"/>
          <w:szCs w:val="22"/>
        </w:rPr>
        <w:t>♂</w:t>
      </w:r>
      <w:r w:rsidR="00C566AA" w:rsidRPr="009E3A78">
        <w:rPr>
          <w:rFonts w:ascii="Calibri" w:hAnsi="Calibri"/>
          <w:sz w:val="22"/>
          <w:szCs w:val="22"/>
        </w:rPr>
        <w:t xml:space="preserve"> = male</w:t>
      </w:r>
      <w:r w:rsidR="002B3CD1" w:rsidRPr="009E3A78">
        <w:rPr>
          <w:rFonts w:ascii="Calibri" w:hAnsi="Calibri"/>
          <w:sz w:val="22"/>
          <w:szCs w:val="22"/>
        </w:rPr>
        <w:t xml:space="preserve">; FF = fit factor; PR = pass rates; </w:t>
      </w:r>
      <w:r w:rsidR="00B87441" w:rsidRPr="009E3A78">
        <w:rPr>
          <w:rFonts w:ascii="Calibri" w:hAnsi="Calibri"/>
          <w:sz w:val="22"/>
          <w:szCs w:val="22"/>
        </w:rPr>
        <w:t>FD = facial dimensions</w:t>
      </w:r>
      <w:r w:rsidR="002B3CD1" w:rsidRPr="009E3A78">
        <w:rPr>
          <w:rFonts w:ascii="Calibri" w:hAnsi="Calibri"/>
          <w:sz w:val="22"/>
          <w:szCs w:val="22"/>
        </w:rPr>
        <w:t xml:space="preserve">; </w:t>
      </w:r>
      <w:r w:rsidR="00F55E81" w:rsidRPr="009E3A78">
        <w:rPr>
          <w:rFonts w:ascii="Calibri" w:hAnsi="Calibri"/>
          <w:sz w:val="22"/>
          <w:szCs w:val="22"/>
        </w:rPr>
        <w:t xml:space="preserve">BECTO = </w:t>
      </w:r>
      <w:proofErr w:type="spellStart"/>
      <w:r w:rsidR="00F55E81" w:rsidRPr="009E3A78">
        <w:rPr>
          <w:rFonts w:ascii="Calibri" w:hAnsi="Calibri"/>
          <w:sz w:val="22"/>
          <w:szCs w:val="22"/>
        </w:rPr>
        <w:t>Biectoorbitale</w:t>
      </w:r>
      <w:proofErr w:type="spellEnd"/>
      <w:r w:rsidR="00F55E81" w:rsidRPr="009E3A78">
        <w:rPr>
          <w:rFonts w:ascii="Calibri" w:hAnsi="Calibri"/>
          <w:sz w:val="22"/>
          <w:szCs w:val="22"/>
        </w:rPr>
        <w:t xml:space="preserve"> breadth; FW = Face width/Bizygomatic breadth; JW = Jaw width/</w:t>
      </w:r>
      <w:proofErr w:type="spellStart"/>
      <w:r w:rsidR="00F55E81" w:rsidRPr="009E3A78">
        <w:rPr>
          <w:rFonts w:ascii="Calibri" w:hAnsi="Calibri"/>
          <w:sz w:val="22"/>
          <w:szCs w:val="22"/>
        </w:rPr>
        <w:t>Bigonial</w:t>
      </w:r>
      <w:proofErr w:type="spellEnd"/>
      <w:r w:rsidR="00F55E81" w:rsidRPr="009E3A78">
        <w:rPr>
          <w:rFonts w:ascii="Calibri" w:hAnsi="Calibri"/>
          <w:sz w:val="22"/>
          <w:szCs w:val="22"/>
        </w:rPr>
        <w:t xml:space="preserve"> breadth; FL = Face length/</w:t>
      </w:r>
      <w:proofErr w:type="spellStart"/>
      <w:r w:rsidR="00F55E81" w:rsidRPr="009E3A78">
        <w:rPr>
          <w:rFonts w:ascii="Calibri" w:hAnsi="Calibri"/>
          <w:sz w:val="22"/>
          <w:szCs w:val="22"/>
        </w:rPr>
        <w:t>Menton</w:t>
      </w:r>
      <w:proofErr w:type="spellEnd"/>
      <w:r w:rsidR="00F55E81" w:rsidRPr="009E3A78">
        <w:rPr>
          <w:rFonts w:ascii="Calibri" w:hAnsi="Calibri"/>
          <w:sz w:val="22"/>
          <w:szCs w:val="22"/>
        </w:rPr>
        <w:t xml:space="preserve">-nasion length; LFL = Lower face length = </w:t>
      </w:r>
      <w:proofErr w:type="spellStart"/>
      <w:r w:rsidR="00F55E81" w:rsidRPr="009E3A78">
        <w:rPr>
          <w:rFonts w:ascii="Calibri" w:hAnsi="Calibri"/>
          <w:sz w:val="22"/>
          <w:szCs w:val="22"/>
        </w:rPr>
        <w:t>Menton-subnasale</w:t>
      </w:r>
      <w:proofErr w:type="spellEnd"/>
      <w:r w:rsidR="00F55E81" w:rsidRPr="009E3A78">
        <w:rPr>
          <w:rFonts w:ascii="Calibri" w:hAnsi="Calibri"/>
          <w:sz w:val="22"/>
          <w:szCs w:val="22"/>
        </w:rPr>
        <w:t xml:space="preserve"> length; NL = Nose length/</w:t>
      </w:r>
      <w:proofErr w:type="spellStart"/>
      <w:r w:rsidR="00F55E81" w:rsidRPr="009E3A78">
        <w:rPr>
          <w:rFonts w:ascii="Calibri" w:hAnsi="Calibri"/>
          <w:sz w:val="22"/>
          <w:szCs w:val="22"/>
        </w:rPr>
        <w:t>Subnasale</w:t>
      </w:r>
      <w:proofErr w:type="spellEnd"/>
      <w:r w:rsidR="00F55E81" w:rsidRPr="009E3A78">
        <w:rPr>
          <w:rFonts w:ascii="Calibri" w:hAnsi="Calibri"/>
          <w:sz w:val="22"/>
          <w:szCs w:val="22"/>
        </w:rPr>
        <w:t xml:space="preserve">-nasion length; BIOC = </w:t>
      </w:r>
      <w:proofErr w:type="spellStart"/>
      <w:r w:rsidR="00F55E81" w:rsidRPr="009E3A78">
        <w:rPr>
          <w:rFonts w:ascii="Calibri" w:hAnsi="Calibri"/>
          <w:sz w:val="22"/>
          <w:szCs w:val="22"/>
        </w:rPr>
        <w:t>Biocular</w:t>
      </w:r>
      <w:proofErr w:type="spellEnd"/>
      <w:r w:rsidR="00F55E81" w:rsidRPr="009E3A78">
        <w:rPr>
          <w:rFonts w:ascii="Calibri" w:hAnsi="Calibri"/>
          <w:sz w:val="22"/>
          <w:szCs w:val="22"/>
        </w:rPr>
        <w:t xml:space="preserve"> breadth; NRB = Nasal root breadth; NW = Nose width; LW = Lip width; BTMA = </w:t>
      </w:r>
      <w:proofErr w:type="spellStart"/>
      <w:r w:rsidR="00F55E81" w:rsidRPr="009E3A78">
        <w:rPr>
          <w:rFonts w:ascii="Calibri" w:hAnsi="Calibri"/>
          <w:sz w:val="22"/>
          <w:szCs w:val="22"/>
        </w:rPr>
        <w:t>Bitragion-menton</w:t>
      </w:r>
      <w:proofErr w:type="spellEnd"/>
      <w:r w:rsidR="00F55E81" w:rsidRPr="009E3A78">
        <w:rPr>
          <w:rFonts w:ascii="Calibri" w:hAnsi="Calibri"/>
          <w:sz w:val="22"/>
          <w:szCs w:val="22"/>
        </w:rPr>
        <w:t xml:space="preserve"> arc; BTSA </w:t>
      </w:r>
      <w:proofErr w:type="spellStart"/>
      <w:r w:rsidR="00F55E81" w:rsidRPr="009E3A78">
        <w:rPr>
          <w:rFonts w:ascii="Calibri" w:hAnsi="Calibri"/>
          <w:sz w:val="22"/>
          <w:szCs w:val="22"/>
        </w:rPr>
        <w:t>Bitragion-subnasale</w:t>
      </w:r>
      <w:proofErr w:type="spellEnd"/>
      <w:r w:rsidR="00F55E81" w:rsidRPr="009E3A78">
        <w:rPr>
          <w:rFonts w:ascii="Calibri" w:hAnsi="Calibri"/>
          <w:sz w:val="22"/>
          <w:szCs w:val="22"/>
        </w:rPr>
        <w:t xml:space="preserve"> arc; NP = Nose protrusion</w:t>
      </w:r>
      <w:r w:rsidR="00760BFC" w:rsidRPr="009E3A78">
        <w:rPr>
          <w:rFonts w:ascii="Calibri" w:hAnsi="Calibri"/>
          <w:sz w:val="22"/>
          <w:szCs w:val="22"/>
        </w:rPr>
        <w:t xml:space="preserve">; HC = head circumference. </w:t>
      </w:r>
    </w:p>
    <w:p w14:paraId="5296E16E" w14:textId="77777777" w:rsidR="00B42C0C" w:rsidRPr="009E3A78" w:rsidRDefault="00B42C0C" w:rsidP="00B86A5B">
      <w:pPr>
        <w:rPr>
          <w:rFonts w:ascii="Calibri" w:hAnsi="Calibri"/>
          <w:sz w:val="22"/>
          <w:szCs w:val="22"/>
        </w:rPr>
      </w:pPr>
    </w:p>
    <w:p w14:paraId="7424DD96" w14:textId="646B12AA" w:rsidR="00695A99" w:rsidRDefault="00687DDA">
      <w:pPr>
        <w:rPr>
          <w:rFonts w:ascii="Calibri" w:hAnsi="Calibri"/>
          <w:sz w:val="22"/>
          <w:szCs w:val="22"/>
        </w:rPr>
      </w:pPr>
      <w:r w:rsidRPr="009E3A78">
        <w:rPr>
          <w:rFonts w:ascii="Calibri" w:hAnsi="Calibri"/>
          <w:sz w:val="22"/>
          <w:szCs w:val="22"/>
        </w:rPr>
        <w:t xml:space="preserve">* </w:t>
      </w:r>
      <w:r w:rsidR="00695A99">
        <w:rPr>
          <w:rFonts w:ascii="Calibri" w:hAnsi="Calibri"/>
          <w:sz w:val="22"/>
          <w:szCs w:val="22"/>
        </w:rPr>
        <w:t xml:space="preserve">PR are reported as either (1) PR of users, as a percentage of participants who passed fit-testing on at least one respirator or (2) PR for RPE groups, as a percentage of participants </w:t>
      </w:r>
      <w:r w:rsidR="005D1FA4">
        <w:rPr>
          <w:rFonts w:ascii="Calibri" w:hAnsi="Calibri"/>
          <w:sz w:val="22"/>
          <w:szCs w:val="22"/>
        </w:rPr>
        <w:t>who passed fit-testing for the respirator being tested</w:t>
      </w:r>
    </w:p>
    <w:p w14:paraId="683FB1E8" w14:textId="1A39E662" w:rsidR="00AB7D56" w:rsidRDefault="00695A9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 </w:t>
      </w:r>
      <w:r w:rsidR="00687DDA" w:rsidRPr="009E3A78">
        <w:rPr>
          <w:rFonts w:ascii="Calibri" w:hAnsi="Calibri"/>
          <w:sz w:val="22"/>
          <w:szCs w:val="22"/>
        </w:rPr>
        <w:t xml:space="preserve">RPE </w:t>
      </w:r>
      <w:r w:rsidR="001A71CA" w:rsidRPr="009E3A78">
        <w:rPr>
          <w:rFonts w:ascii="Calibri" w:hAnsi="Calibri"/>
          <w:sz w:val="22"/>
          <w:szCs w:val="22"/>
        </w:rPr>
        <w:t>fit</w:t>
      </w:r>
      <w:r w:rsidR="00687DDA" w:rsidRPr="009E3A78">
        <w:rPr>
          <w:rFonts w:ascii="Calibri" w:hAnsi="Calibri"/>
          <w:sz w:val="22"/>
          <w:szCs w:val="22"/>
        </w:rPr>
        <w:t xml:space="preserve"> as measured by respective studies, including fit/protection factor</w:t>
      </w:r>
      <w:r w:rsidR="00A24E60" w:rsidRPr="009E3A78">
        <w:rPr>
          <w:rFonts w:ascii="Calibri" w:hAnsi="Calibri"/>
          <w:sz w:val="22"/>
          <w:szCs w:val="22"/>
        </w:rPr>
        <w:t xml:space="preserve"> (FF)</w:t>
      </w:r>
      <w:r w:rsidR="00687DDA" w:rsidRPr="009E3A78">
        <w:rPr>
          <w:rFonts w:ascii="Calibri" w:hAnsi="Calibri"/>
          <w:sz w:val="22"/>
          <w:szCs w:val="22"/>
        </w:rPr>
        <w:t>, simulated workplace protection factor</w:t>
      </w:r>
      <w:r w:rsidR="00A24E60" w:rsidRPr="009E3A78">
        <w:rPr>
          <w:rFonts w:ascii="Calibri" w:hAnsi="Calibri"/>
          <w:sz w:val="22"/>
          <w:szCs w:val="22"/>
        </w:rPr>
        <w:t xml:space="preserve"> (SWPF)</w:t>
      </w:r>
      <w:r w:rsidR="00687DDA" w:rsidRPr="009E3A78">
        <w:rPr>
          <w:rFonts w:ascii="Calibri" w:hAnsi="Calibri"/>
          <w:sz w:val="22"/>
          <w:szCs w:val="22"/>
        </w:rPr>
        <w:t>, inward leakage</w:t>
      </w:r>
      <w:r w:rsidR="00A24E60" w:rsidRPr="009E3A78">
        <w:rPr>
          <w:rFonts w:ascii="Calibri" w:hAnsi="Calibri"/>
          <w:sz w:val="22"/>
          <w:szCs w:val="22"/>
        </w:rPr>
        <w:t xml:space="preserve"> (IL)</w:t>
      </w:r>
      <w:r w:rsidR="00687DDA" w:rsidRPr="009E3A78">
        <w:rPr>
          <w:rFonts w:ascii="Calibri" w:hAnsi="Calibri"/>
          <w:sz w:val="22"/>
          <w:szCs w:val="22"/>
        </w:rPr>
        <w:t>, fit-testing pass rates</w:t>
      </w:r>
      <w:r w:rsidR="00A24E60" w:rsidRPr="009E3A78">
        <w:rPr>
          <w:rFonts w:ascii="Calibri" w:hAnsi="Calibri"/>
          <w:sz w:val="22"/>
          <w:szCs w:val="22"/>
        </w:rPr>
        <w:t xml:space="preserve"> (PR)</w:t>
      </w:r>
    </w:p>
    <w:p w14:paraId="2F8C53AE" w14:textId="4174E14C" w:rsidR="00695A99" w:rsidRPr="009E3A78" w:rsidRDefault="00D559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***</w:t>
      </w:r>
      <w:r w:rsidR="005D1FA4">
        <w:rPr>
          <w:rFonts w:ascii="Calibri" w:hAnsi="Calibri"/>
          <w:sz w:val="22"/>
          <w:szCs w:val="22"/>
        </w:rPr>
        <w:t xml:space="preserve"> Mask factors are reported as any differences in FF or PR relating to mask factors such design, model, brand, shape or size</w:t>
      </w:r>
    </w:p>
    <w:p w14:paraId="4FD0D7B4" w14:textId="352F0599" w:rsidR="00AB7D56" w:rsidRPr="009E3A78" w:rsidRDefault="00D5599D" w:rsidP="00F55E81">
      <w:pPr>
        <w:outlineLvl w:val="0"/>
        <w:rPr>
          <w:rFonts w:ascii="Calibri" w:hAnsi="Calibri"/>
          <w:sz w:val="22"/>
          <w:szCs w:val="22"/>
        </w:rPr>
      </w:pPr>
      <w:r w:rsidRPr="009E3A78">
        <w:rPr>
          <w:rFonts w:ascii="Calibri" w:hAnsi="Calibri"/>
          <w:sz w:val="22"/>
          <w:szCs w:val="22"/>
        </w:rPr>
        <w:t>†</w:t>
      </w:r>
      <w:r w:rsidR="00470A59" w:rsidRPr="009E3A78">
        <w:rPr>
          <w:rFonts w:ascii="Calibri" w:hAnsi="Calibri"/>
          <w:sz w:val="22"/>
          <w:szCs w:val="22"/>
        </w:rPr>
        <w:t xml:space="preserve"> Model D1 and D2 yielded highest pass rates (42&amp; and 20%, respectively). Remaining 8 models yielded pass rates of 0-7.6%</w:t>
      </w:r>
    </w:p>
    <w:p w14:paraId="36AF6531" w14:textId="47FFCF5A" w:rsidR="00CF4A59" w:rsidRPr="009E3A78" w:rsidRDefault="00D5599D" w:rsidP="00CF4A59">
      <w:pPr>
        <w:rPr>
          <w:rFonts w:ascii="Calibri" w:hAnsi="Calibri"/>
          <w:sz w:val="22"/>
          <w:szCs w:val="22"/>
        </w:rPr>
      </w:pPr>
      <w:r w:rsidRPr="009E3A78">
        <w:rPr>
          <w:rFonts w:ascii="Calibri" w:hAnsi="Calibri"/>
          <w:sz w:val="22"/>
          <w:szCs w:val="22"/>
        </w:rPr>
        <w:t>††</w:t>
      </w:r>
      <w:r>
        <w:rPr>
          <w:rFonts w:ascii="Calibri" w:hAnsi="Calibri"/>
          <w:sz w:val="22"/>
          <w:szCs w:val="22"/>
        </w:rPr>
        <w:t xml:space="preserve"> </w:t>
      </w:r>
      <w:r w:rsidR="00A24E60" w:rsidRPr="009E3A78">
        <w:rPr>
          <w:rFonts w:ascii="Calibri" w:hAnsi="Calibri"/>
          <w:sz w:val="22"/>
          <w:szCs w:val="22"/>
        </w:rPr>
        <w:t xml:space="preserve">Analysis of all men (included those with facial hair/stubble) showed comparable pass rates. Analysis of only clean-shaven men shown here </w:t>
      </w:r>
      <w:r w:rsidR="00705D3C" w:rsidRPr="009E3A78">
        <w:rPr>
          <w:rFonts w:ascii="Calibri" w:hAnsi="Calibri"/>
          <w:sz w:val="22"/>
          <w:szCs w:val="22"/>
        </w:rPr>
        <w:t>as facial hair has been demonstrated in literate to worsen fit</w:t>
      </w:r>
      <w:r w:rsidR="00CF4A59" w:rsidRPr="009E3A78">
        <w:rPr>
          <w:rFonts w:ascii="Calibri" w:hAnsi="Calibri"/>
          <w:sz w:val="22"/>
          <w:szCs w:val="22"/>
        </w:rPr>
        <w:t>.</w:t>
      </w:r>
    </w:p>
    <w:p w14:paraId="2C153C68" w14:textId="7DA9B689" w:rsidR="00CF4A59" w:rsidRPr="009E3A78" w:rsidRDefault="00D5599D" w:rsidP="00CF4A59">
      <w:pPr>
        <w:rPr>
          <w:rFonts w:ascii="Calibri" w:hAnsi="Calibri"/>
          <w:sz w:val="22"/>
          <w:szCs w:val="22"/>
        </w:rPr>
      </w:pPr>
      <w:r w:rsidRPr="00207F08">
        <w:rPr>
          <w:rFonts w:ascii="Calibri" w:hAnsi="Calibri" w:cstheme="minorBidi"/>
          <w:lang w:eastAsia="en-US"/>
        </w:rPr>
        <w:t>‡</w:t>
      </w:r>
      <w:r w:rsidR="00CF4A59" w:rsidRPr="009E3A78">
        <w:rPr>
          <w:rFonts w:ascii="Calibri" w:hAnsi="Calibri"/>
          <w:sz w:val="22"/>
          <w:szCs w:val="22"/>
        </w:rPr>
        <w:t xml:space="preserve"> studies reporting on RPE protection for ethnic minority groups but without within study comparison between ethnic groups</w:t>
      </w:r>
    </w:p>
    <w:p w14:paraId="018337A5" w14:textId="52162FE3" w:rsidR="00F55E81" w:rsidRPr="009E3A78" w:rsidRDefault="00F55E81">
      <w:pPr>
        <w:rPr>
          <w:rFonts w:ascii="Calibri" w:hAnsi="Calibri"/>
          <w:sz w:val="22"/>
          <w:szCs w:val="22"/>
        </w:rPr>
      </w:pPr>
    </w:p>
    <w:sectPr w:rsidR="00F55E81" w:rsidRPr="009E3A78" w:rsidSect="00B87441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5B"/>
    <w:rsid w:val="00001B5C"/>
    <w:rsid w:val="00016809"/>
    <w:rsid w:val="000173B1"/>
    <w:rsid w:val="000173D4"/>
    <w:rsid w:val="000239D3"/>
    <w:rsid w:val="00026895"/>
    <w:rsid w:val="00041D31"/>
    <w:rsid w:val="00050106"/>
    <w:rsid w:val="0006185E"/>
    <w:rsid w:val="00063F77"/>
    <w:rsid w:val="000645AB"/>
    <w:rsid w:val="00066A68"/>
    <w:rsid w:val="0007058B"/>
    <w:rsid w:val="00073B93"/>
    <w:rsid w:val="000758BA"/>
    <w:rsid w:val="000763E1"/>
    <w:rsid w:val="000778F4"/>
    <w:rsid w:val="00083129"/>
    <w:rsid w:val="00083BBC"/>
    <w:rsid w:val="00086BB8"/>
    <w:rsid w:val="0009056B"/>
    <w:rsid w:val="000906BB"/>
    <w:rsid w:val="00090A00"/>
    <w:rsid w:val="000948AD"/>
    <w:rsid w:val="00095B72"/>
    <w:rsid w:val="000971F0"/>
    <w:rsid w:val="000A6F56"/>
    <w:rsid w:val="000B4707"/>
    <w:rsid w:val="000B69ED"/>
    <w:rsid w:val="000B7659"/>
    <w:rsid w:val="000C4451"/>
    <w:rsid w:val="000E1DE2"/>
    <w:rsid w:val="000F16EB"/>
    <w:rsid w:val="00111D15"/>
    <w:rsid w:val="0011336F"/>
    <w:rsid w:val="001162C8"/>
    <w:rsid w:val="00116DBD"/>
    <w:rsid w:val="00121E0C"/>
    <w:rsid w:val="00125444"/>
    <w:rsid w:val="00125D26"/>
    <w:rsid w:val="00144D83"/>
    <w:rsid w:val="00161B9E"/>
    <w:rsid w:val="00161D5E"/>
    <w:rsid w:val="00170486"/>
    <w:rsid w:val="00180E51"/>
    <w:rsid w:val="001A0A8F"/>
    <w:rsid w:val="001A3487"/>
    <w:rsid w:val="001A6BBA"/>
    <w:rsid w:val="001A71CA"/>
    <w:rsid w:val="001B0227"/>
    <w:rsid w:val="001B1815"/>
    <w:rsid w:val="001B457E"/>
    <w:rsid w:val="001B7A2B"/>
    <w:rsid w:val="001D4A83"/>
    <w:rsid w:val="001D5FE2"/>
    <w:rsid w:val="001E0C9A"/>
    <w:rsid w:val="001E2537"/>
    <w:rsid w:val="001E27AB"/>
    <w:rsid w:val="001E281D"/>
    <w:rsid w:val="001F4121"/>
    <w:rsid w:val="001F6847"/>
    <w:rsid w:val="001F7F0E"/>
    <w:rsid w:val="00204B6C"/>
    <w:rsid w:val="00210CA6"/>
    <w:rsid w:val="00213CA0"/>
    <w:rsid w:val="00216E5F"/>
    <w:rsid w:val="0022524C"/>
    <w:rsid w:val="00232EDA"/>
    <w:rsid w:val="0023512E"/>
    <w:rsid w:val="00235A5E"/>
    <w:rsid w:val="00236B7D"/>
    <w:rsid w:val="002379F7"/>
    <w:rsid w:val="00243422"/>
    <w:rsid w:val="002532AE"/>
    <w:rsid w:val="0026348C"/>
    <w:rsid w:val="00272C3B"/>
    <w:rsid w:val="002772F4"/>
    <w:rsid w:val="00280123"/>
    <w:rsid w:val="00282859"/>
    <w:rsid w:val="00293EE0"/>
    <w:rsid w:val="002A0AF9"/>
    <w:rsid w:val="002B3CD1"/>
    <w:rsid w:val="002B7389"/>
    <w:rsid w:val="002C086F"/>
    <w:rsid w:val="002C2F79"/>
    <w:rsid w:val="002E06E9"/>
    <w:rsid w:val="002E0C0A"/>
    <w:rsid w:val="002E1FEB"/>
    <w:rsid w:val="002F0640"/>
    <w:rsid w:val="002F2E09"/>
    <w:rsid w:val="002F49BA"/>
    <w:rsid w:val="002F6BBB"/>
    <w:rsid w:val="002F7004"/>
    <w:rsid w:val="00313166"/>
    <w:rsid w:val="003158C4"/>
    <w:rsid w:val="00337EF4"/>
    <w:rsid w:val="003437CD"/>
    <w:rsid w:val="00352005"/>
    <w:rsid w:val="00354339"/>
    <w:rsid w:val="00357801"/>
    <w:rsid w:val="00361737"/>
    <w:rsid w:val="0036209A"/>
    <w:rsid w:val="00362CDD"/>
    <w:rsid w:val="00362DDD"/>
    <w:rsid w:val="00374255"/>
    <w:rsid w:val="003805DF"/>
    <w:rsid w:val="00384B30"/>
    <w:rsid w:val="003924C2"/>
    <w:rsid w:val="003930EE"/>
    <w:rsid w:val="003A3A9A"/>
    <w:rsid w:val="003A7DCE"/>
    <w:rsid w:val="003B24D6"/>
    <w:rsid w:val="003B5895"/>
    <w:rsid w:val="003B7480"/>
    <w:rsid w:val="003C2121"/>
    <w:rsid w:val="003D1D6C"/>
    <w:rsid w:val="003D423B"/>
    <w:rsid w:val="003D55DF"/>
    <w:rsid w:val="003D5E5B"/>
    <w:rsid w:val="003E2EFE"/>
    <w:rsid w:val="003E6A96"/>
    <w:rsid w:val="003F0DA0"/>
    <w:rsid w:val="003F4BD7"/>
    <w:rsid w:val="0041612A"/>
    <w:rsid w:val="00431A7B"/>
    <w:rsid w:val="00433DD2"/>
    <w:rsid w:val="00434929"/>
    <w:rsid w:val="00440E68"/>
    <w:rsid w:val="00446DC3"/>
    <w:rsid w:val="00452636"/>
    <w:rsid w:val="00456ABD"/>
    <w:rsid w:val="00470A59"/>
    <w:rsid w:val="0048100D"/>
    <w:rsid w:val="00484346"/>
    <w:rsid w:val="0048750C"/>
    <w:rsid w:val="004928E9"/>
    <w:rsid w:val="004B0823"/>
    <w:rsid w:val="004B115C"/>
    <w:rsid w:val="004B137F"/>
    <w:rsid w:val="004D0A11"/>
    <w:rsid w:val="004D0CB6"/>
    <w:rsid w:val="004E2533"/>
    <w:rsid w:val="004E4DFB"/>
    <w:rsid w:val="004E7339"/>
    <w:rsid w:val="004F043F"/>
    <w:rsid w:val="004F17C0"/>
    <w:rsid w:val="004F4098"/>
    <w:rsid w:val="004F79AA"/>
    <w:rsid w:val="00500CDA"/>
    <w:rsid w:val="0051377E"/>
    <w:rsid w:val="00513FFA"/>
    <w:rsid w:val="00515903"/>
    <w:rsid w:val="00523CC6"/>
    <w:rsid w:val="00527B4B"/>
    <w:rsid w:val="00533C7C"/>
    <w:rsid w:val="00534BC7"/>
    <w:rsid w:val="00551650"/>
    <w:rsid w:val="0055375E"/>
    <w:rsid w:val="00553ECA"/>
    <w:rsid w:val="0056129A"/>
    <w:rsid w:val="00565909"/>
    <w:rsid w:val="005706C8"/>
    <w:rsid w:val="005905BD"/>
    <w:rsid w:val="005926BE"/>
    <w:rsid w:val="005A19FB"/>
    <w:rsid w:val="005A2072"/>
    <w:rsid w:val="005A23DA"/>
    <w:rsid w:val="005B0F78"/>
    <w:rsid w:val="005B56F8"/>
    <w:rsid w:val="005B729A"/>
    <w:rsid w:val="005C1555"/>
    <w:rsid w:val="005C2A73"/>
    <w:rsid w:val="005C32B8"/>
    <w:rsid w:val="005C4B07"/>
    <w:rsid w:val="005C7E6C"/>
    <w:rsid w:val="005D1FA4"/>
    <w:rsid w:val="005D38D0"/>
    <w:rsid w:val="005D4E23"/>
    <w:rsid w:val="005D70DF"/>
    <w:rsid w:val="005D7633"/>
    <w:rsid w:val="005F08FF"/>
    <w:rsid w:val="00600024"/>
    <w:rsid w:val="00604986"/>
    <w:rsid w:val="00604BD3"/>
    <w:rsid w:val="0060513F"/>
    <w:rsid w:val="00605A19"/>
    <w:rsid w:val="006062C0"/>
    <w:rsid w:val="0061221A"/>
    <w:rsid w:val="006153C7"/>
    <w:rsid w:val="00626CD8"/>
    <w:rsid w:val="00627C8E"/>
    <w:rsid w:val="006307C0"/>
    <w:rsid w:val="006336F8"/>
    <w:rsid w:val="0064129E"/>
    <w:rsid w:val="00641473"/>
    <w:rsid w:val="00644967"/>
    <w:rsid w:val="0066333D"/>
    <w:rsid w:val="0066581D"/>
    <w:rsid w:val="00672D6A"/>
    <w:rsid w:val="0067317A"/>
    <w:rsid w:val="00680090"/>
    <w:rsid w:val="00683D27"/>
    <w:rsid w:val="00687327"/>
    <w:rsid w:val="00687DDA"/>
    <w:rsid w:val="00691EF2"/>
    <w:rsid w:val="006931CC"/>
    <w:rsid w:val="00695A99"/>
    <w:rsid w:val="006A2AA2"/>
    <w:rsid w:val="006A33B9"/>
    <w:rsid w:val="006A3A90"/>
    <w:rsid w:val="006A5747"/>
    <w:rsid w:val="006B07C5"/>
    <w:rsid w:val="006B5531"/>
    <w:rsid w:val="006B6A55"/>
    <w:rsid w:val="006C41C5"/>
    <w:rsid w:val="006C61B2"/>
    <w:rsid w:val="006D0D9E"/>
    <w:rsid w:val="006D195C"/>
    <w:rsid w:val="006D51D8"/>
    <w:rsid w:val="006E2205"/>
    <w:rsid w:val="006E44F1"/>
    <w:rsid w:val="006E632E"/>
    <w:rsid w:val="006E6634"/>
    <w:rsid w:val="006F1284"/>
    <w:rsid w:val="007021C0"/>
    <w:rsid w:val="0070458E"/>
    <w:rsid w:val="007058C7"/>
    <w:rsid w:val="00705D3C"/>
    <w:rsid w:val="00711748"/>
    <w:rsid w:val="00722F9C"/>
    <w:rsid w:val="00724DAA"/>
    <w:rsid w:val="00726451"/>
    <w:rsid w:val="00733984"/>
    <w:rsid w:val="007539CF"/>
    <w:rsid w:val="0075652A"/>
    <w:rsid w:val="007605DE"/>
    <w:rsid w:val="00760BFC"/>
    <w:rsid w:val="00763DAD"/>
    <w:rsid w:val="0076416F"/>
    <w:rsid w:val="007716F6"/>
    <w:rsid w:val="00774045"/>
    <w:rsid w:val="00780FBF"/>
    <w:rsid w:val="00792535"/>
    <w:rsid w:val="00796BFA"/>
    <w:rsid w:val="00797111"/>
    <w:rsid w:val="007B37C7"/>
    <w:rsid w:val="007C4131"/>
    <w:rsid w:val="007C6A21"/>
    <w:rsid w:val="007D292D"/>
    <w:rsid w:val="007D4198"/>
    <w:rsid w:val="007E2F5E"/>
    <w:rsid w:val="007F2604"/>
    <w:rsid w:val="007F357E"/>
    <w:rsid w:val="007F569A"/>
    <w:rsid w:val="008068BB"/>
    <w:rsid w:val="008150CD"/>
    <w:rsid w:val="00816C5A"/>
    <w:rsid w:val="00821961"/>
    <w:rsid w:val="008235A5"/>
    <w:rsid w:val="0083153F"/>
    <w:rsid w:val="00842454"/>
    <w:rsid w:val="00861C18"/>
    <w:rsid w:val="00863CEC"/>
    <w:rsid w:val="008751A9"/>
    <w:rsid w:val="00875695"/>
    <w:rsid w:val="00880F39"/>
    <w:rsid w:val="00890AB5"/>
    <w:rsid w:val="008A33B2"/>
    <w:rsid w:val="008B2378"/>
    <w:rsid w:val="008B42CF"/>
    <w:rsid w:val="008B6660"/>
    <w:rsid w:val="008C34FF"/>
    <w:rsid w:val="008D532B"/>
    <w:rsid w:val="008E0F55"/>
    <w:rsid w:val="008E19B8"/>
    <w:rsid w:val="008E7F59"/>
    <w:rsid w:val="008F5BEC"/>
    <w:rsid w:val="009125F3"/>
    <w:rsid w:val="00912B3B"/>
    <w:rsid w:val="00913F40"/>
    <w:rsid w:val="0091667C"/>
    <w:rsid w:val="00922D52"/>
    <w:rsid w:val="00923572"/>
    <w:rsid w:val="00931F5C"/>
    <w:rsid w:val="00932ED3"/>
    <w:rsid w:val="00935756"/>
    <w:rsid w:val="009423A6"/>
    <w:rsid w:val="009432BE"/>
    <w:rsid w:val="00955960"/>
    <w:rsid w:val="009752CE"/>
    <w:rsid w:val="00975E24"/>
    <w:rsid w:val="00980DF5"/>
    <w:rsid w:val="0098757E"/>
    <w:rsid w:val="009A3B78"/>
    <w:rsid w:val="009B248A"/>
    <w:rsid w:val="009B4910"/>
    <w:rsid w:val="009B4925"/>
    <w:rsid w:val="009C138C"/>
    <w:rsid w:val="009C2617"/>
    <w:rsid w:val="009C654D"/>
    <w:rsid w:val="009C6D54"/>
    <w:rsid w:val="009C7021"/>
    <w:rsid w:val="009D1AC1"/>
    <w:rsid w:val="009D5594"/>
    <w:rsid w:val="009E3A78"/>
    <w:rsid w:val="009F1678"/>
    <w:rsid w:val="009F68D7"/>
    <w:rsid w:val="00A06277"/>
    <w:rsid w:val="00A10BE9"/>
    <w:rsid w:val="00A15F3F"/>
    <w:rsid w:val="00A2386E"/>
    <w:rsid w:val="00A24E60"/>
    <w:rsid w:val="00A26663"/>
    <w:rsid w:val="00A266EC"/>
    <w:rsid w:val="00A32857"/>
    <w:rsid w:val="00A3455B"/>
    <w:rsid w:val="00A3670F"/>
    <w:rsid w:val="00A433E5"/>
    <w:rsid w:val="00A4671C"/>
    <w:rsid w:val="00A47FDD"/>
    <w:rsid w:val="00A744C8"/>
    <w:rsid w:val="00A772B1"/>
    <w:rsid w:val="00A8539C"/>
    <w:rsid w:val="00A87C7F"/>
    <w:rsid w:val="00AA7266"/>
    <w:rsid w:val="00AB7D56"/>
    <w:rsid w:val="00AC0EB8"/>
    <w:rsid w:val="00AC346F"/>
    <w:rsid w:val="00AD14E9"/>
    <w:rsid w:val="00AD7A67"/>
    <w:rsid w:val="00AE678E"/>
    <w:rsid w:val="00AE67C1"/>
    <w:rsid w:val="00AE7FBD"/>
    <w:rsid w:val="00B03D0E"/>
    <w:rsid w:val="00B11887"/>
    <w:rsid w:val="00B120AF"/>
    <w:rsid w:val="00B125EE"/>
    <w:rsid w:val="00B162B0"/>
    <w:rsid w:val="00B21D08"/>
    <w:rsid w:val="00B23A91"/>
    <w:rsid w:val="00B3316E"/>
    <w:rsid w:val="00B3362D"/>
    <w:rsid w:val="00B35CF9"/>
    <w:rsid w:val="00B404CE"/>
    <w:rsid w:val="00B42C0C"/>
    <w:rsid w:val="00B614E7"/>
    <w:rsid w:val="00B8518E"/>
    <w:rsid w:val="00B86A5B"/>
    <w:rsid w:val="00B87441"/>
    <w:rsid w:val="00B911B9"/>
    <w:rsid w:val="00B91F83"/>
    <w:rsid w:val="00B9453F"/>
    <w:rsid w:val="00B97097"/>
    <w:rsid w:val="00BA2294"/>
    <w:rsid w:val="00BA446E"/>
    <w:rsid w:val="00BA61F3"/>
    <w:rsid w:val="00BA760B"/>
    <w:rsid w:val="00BB2BA2"/>
    <w:rsid w:val="00BB3FDD"/>
    <w:rsid w:val="00BB6354"/>
    <w:rsid w:val="00BB73C1"/>
    <w:rsid w:val="00BE0F39"/>
    <w:rsid w:val="00BF1311"/>
    <w:rsid w:val="00BF1CD7"/>
    <w:rsid w:val="00BF5E81"/>
    <w:rsid w:val="00C0013D"/>
    <w:rsid w:val="00C01D0D"/>
    <w:rsid w:val="00C31803"/>
    <w:rsid w:val="00C3350D"/>
    <w:rsid w:val="00C4549D"/>
    <w:rsid w:val="00C53D97"/>
    <w:rsid w:val="00C553D3"/>
    <w:rsid w:val="00C566AA"/>
    <w:rsid w:val="00C617E1"/>
    <w:rsid w:val="00C65EC5"/>
    <w:rsid w:val="00C72635"/>
    <w:rsid w:val="00C73C85"/>
    <w:rsid w:val="00C90004"/>
    <w:rsid w:val="00CA3C98"/>
    <w:rsid w:val="00CB26E5"/>
    <w:rsid w:val="00CC02A5"/>
    <w:rsid w:val="00CC2B3C"/>
    <w:rsid w:val="00CC4606"/>
    <w:rsid w:val="00CC50EF"/>
    <w:rsid w:val="00CC62C1"/>
    <w:rsid w:val="00CD1134"/>
    <w:rsid w:val="00CD21A3"/>
    <w:rsid w:val="00CD2263"/>
    <w:rsid w:val="00CD46B6"/>
    <w:rsid w:val="00CD50EA"/>
    <w:rsid w:val="00CE284C"/>
    <w:rsid w:val="00CE49C9"/>
    <w:rsid w:val="00CE4E0A"/>
    <w:rsid w:val="00CE6EDF"/>
    <w:rsid w:val="00CF366A"/>
    <w:rsid w:val="00CF4A59"/>
    <w:rsid w:val="00D03D5B"/>
    <w:rsid w:val="00D11B60"/>
    <w:rsid w:val="00D31F3F"/>
    <w:rsid w:val="00D34E9E"/>
    <w:rsid w:val="00D37C56"/>
    <w:rsid w:val="00D42952"/>
    <w:rsid w:val="00D42ABF"/>
    <w:rsid w:val="00D42EF8"/>
    <w:rsid w:val="00D46510"/>
    <w:rsid w:val="00D46A6F"/>
    <w:rsid w:val="00D52105"/>
    <w:rsid w:val="00D5599D"/>
    <w:rsid w:val="00D57FCD"/>
    <w:rsid w:val="00D60658"/>
    <w:rsid w:val="00D63B23"/>
    <w:rsid w:val="00D66724"/>
    <w:rsid w:val="00D722B3"/>
    <w:rsid w:val="00D7797D"/>
    <w:rsid w:val="00D80027"/>
    <w:rsid w:val="00D80F3D"/>
    <w:rsid w:val="00D9039A"/>
    <w:rsid w:val="00D92EF0"/>
    <w:rsid w:val="00D94424"/>
    <w:rsid w:val="00D97276"/>
    <w:rsid w:val="00DA5326"/>
    <w:rsid w:val="00DB0B91"/>
    <w:rsid w:val="00DB534D"/>
    <w:rsid w:val="00DB7482"/>
    <w:rsid w:val="00DC5443"/>
    <w:rsid w:val="00DD3AA2"/>
    <w:rsid w:val="00DD63FE"/>
    <w:rsid w:val="00DE2253"/>
    <w:rsid w:val="00DE4BE1"/>
    <w:rsid w:val="00DE4CB7"/>
    <w:rsid w:val="00DF079C"/>
    <w:rsid w:val="00DF2A4E"/>
    <w:rsid w:val="00E01469"/>
    <w:rsid w:val="00E03DD1"/>
    <w:rsid w:val="00E13969"/>
    <w:rsid w:val="00E15BD2"/>
    <w:rsid w:val="00E23D03"/>
    <w:rsid w:val="00E2460A"/>
    <w:rsid w:val="00E305AC"/>
    <w:rsid w:val="00E34552"/>
    <w:rsid w:val="00E3551C"/>
    <w:rsid w:val="00E365E3"/>
    <w:rsid w:val="00E50351"/>
    <w:rsid w:val="00E50680"/>
    <w:rsid w:val="00E549F8"/>
    <w:rsid w:val="00E55CBE"/>
    <w:rsid w:val="00E55EA9"/>
    <w:rsid w:val="00E56109"/>
    <w:rsid w:val="00E6068F"/>
    <w:rsid w:val="00E61DEC"/>
    <w:rsid w:val="00E86F3F"/>
    <w:rsid w:val="00E9132F"/>
    <w:rsid w:val="00E975F1"/>
    <w:rsid w:val="00EA1776"/>
    <w:rsid w:val="00EA3760"/>
    <w:rsid w:val="00EA67A0"/>
    <w:rsid w:val="00EB57BA"/>
    <w:rsid w:val="00ED43EC"/>
    <w:rsid w:val="00ED57B1"/>
    <w:rsid w:val="00EE0994"/>
    <w:rsid w:val="00EE2174"/>
    <w:rsid w:val="00EE2DC0"/>
    <w:rsid w:val="00EE2F74"/>
    <w:rsid w:val="00EF51F3"/>
    <w:rsid w:val="00EF67EC"/>
    <w:rsid w:val="00F00B52"/>
    <w:rsid w:val="00F07676"/>
    <w:rsid w:val="00F15661"/>
    <w:rsid w:val="00F17AB3"/>
    <w:rsid w:val="00F2283F"/>
    <w:rsid w:val="00F24B08"/>
    <w:rsid w:val="00F24BA0"/>
    <w:rsid w:val="00F32181"/>
    <w:rsid w:val="00F357CE"/>
    <w:rsid w:val="00F4094A"/>
    <w:rsid w:val="00F46E2B"/>
    <w:rsid w:val="00F5062B"/>
    <w:rsid w:val="00F55BD1"/>
    <w:rsid w:val="00F55E81"/>
    <w:rsid w:val="00F563D6"/>
    <w:rsid w:val="00F64E3F"/>
    <w:rsid w:val="00F70A61"/>
    <w:rsid w:val="00F712D0"/>
    <w:rsid w:val="00F71DA6"/>
    <w:rsid w:val="00F72486"/>
    <w:rsid w:val="00F76496"/>
    <w:rsid w:val="00F82851"/>
    <w:rsid w:val="00FA7659"/>
    <w:rsid w:val="00FB2D37"/>
    <w:rsid w:val="00FB4547"/>
    <w:rsid w:val="00FB4932"/>
    <w:rsid w:val="00FC0933"/>
    <w:rsid w:val="00FD1375"/>
    <w:rsid w:val="00FD1394"/>
    <w:rsid w:val="00FD422D"/>
    <w:rsid w:val="00FF04DD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2C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729A"/>
    <w:rPr>
      <w:rFonts w:ascii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DDA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E6E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712D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77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12BF7F49EED47B379973DBF70A045" ma:contentTypeVersion="8" ma:contentTypeDescription="Create a new document." ma:contentTypeScope="" ma:versionID="d5d3ffc301d308717678313628953359">
  <xsd:schema xmlns:xsd="http://www.w3.org/2001/XMLSchema" xmlns:xs="http://www.w3.org/2001/XMLSchema" xmlns:p="http://schemas.microsoft.com/office/2006/metadata/properties" xmlns:ns2="5af911ba-7f14-4c9c-bce6-382e597a883f" targetNamespace="http://schemas.microsoft.com/office/2006/metadata/properties" ma:root="true" ma:fieldsID="0e9eff20e2c50077995ca98707d06763" ns2:_="">
    <xsd:import namespace="5af911ba-7f14-4c9c-bce6-382e597a8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11ba-7f14-4c9c-bce6-382e597a8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FFADB-5BE0-44B6-BFC3-D936C41504D6}">
  <ds:schemaRefs>
    <ds:schemaRef ds:uri="http://schemas.microsoft.com/office/2006/documentManagement/types"/>
    <ds:schemaRef ds:uri="5af911ba-7f14-4c9c-bce6-382e597a883f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1CEE0DF-7C3A-4D48-901B-C5895D9C1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903C0-A76D-4052-9C7F-F238175E4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11ba-7f14-4c9c-bce6-382e597a8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1793</Words>
  <Characters>10224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Jagrati Chopra</dc:creator>
  <cp:keywords/>
  <dc:description/>
  <cp:lastModifiedBy>Karen Creed</cp:lastModifiedBy>
  <cp:revision>2</cp:revision>
  <dcterms:created xsi:type="dcterms:W3CDTF">2021-10-06T08:37:00Z</dcterms:created>
  <dcterms:modified xsi:type="dcterms:W3CDTF">2021-10-06T08:37:00Z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0x01010084B12BF7F49EED47B379973DBF70A045</vt:lpwstr>
  </property>
</Properties>
</file>