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BC14B" w14:textId="088CAAA9" w:rsidR="004A35EC" w:rsidRPr="004A35EC" w:rsidRDefault="00AF3551" w:rsidP="004A35EC">
      <w:pPr>
        <w:spacing w:before="0" w:line="240" w:lineRule="auto"/>
        <w:rPr>
          <w:b/>
          <w:bCs/>
          <w:sz w:val="36"/>
          <w:szCs w:val="36"/>
        </w:rPr>
      </w:pPr>
      <w:r>
        <w:rPr>
          <w:b/>
          <w:bCs/>
          <w:sz w:val="36"/>
          <w:szCs w:val="36"/>
        </w:rPr>
        <w:t>The i</w:t>
      </w:r>
      <w:r w:rsidR="004A35EC" w:rsidRPr="004A35EC">
        <w:rPr>
          <w:b/>
          <w:bCs/>
          <w:sz w:val="36"/>
          <w:szCs w:val="36"/>
        </w:rPr>
        <w:t xml:space="preserve">mpact of postoperative </w:t>
      </w:r>
      <w:r>
        <w:rPr>
          <w:b/>
          <w:bCs/>
          <w:sz w:val="36"/>
          <w:szCs w:val="36"/>
        </w:rPr>
        <w:t xml:space="preserve">chemotherapy </w:t>
      </w:r>
      <w:r w:rsidR="004A35EC" w:rsidRPr="004A35EC">
        <w:rPr>
          <w:b/>
          <w:bCs/>
          <w:sz w:val="36"/>
          <w:szCs w:val="36"/>
        </w:rPr>
        <w:t xml:space="preserve">on survival for </w:t>
      </w:r>
      <w:r w:rsidR="004C6085">
        <w:rPr>
          <w:b/>
          <w:bCs/>
          <w:sz w:val="36"/>
          <w:szCs w:val="36"/>
        </w:rPr>
        <w:t>o</w:t>
      </w:r>
      <w:r w:rsidR="004A35EC" w:rsidRPr="004A35EC">
        <w:rPr>
          <w:b/>
          <w:bCs/>
          <w:sz w:val="36"/>
          <w:szCs w:val="36"/>
        </w:rPr>
        <w:t>esophag</w:t>
      </w:r>
      <w:r w:rsidR="009F5AF4">
        <w:rPr>
          <w:b/>
          <w:bCs/>
          <w:sz w:val="36"/>
          <w:szCs w:val="36"/>
        </w:rPr>
        <w:t>ogastric</w:t>
      </w:r>
      <w:r w:rsidR="004A35EC" w:rsidRPr="004A35EC">
        <w:rPr>
          <w:b/>
          <w:bCs/>
          <w:sz w:val="36"/>
          <w:szCs w:val="36"/>
        </w:rPr>
        <w:t xml:space="preserve"> adenocarcinoma after </w:t>
      </w:r>
      <w:r w:rsidR="00BF255B">
        <w:rPr>
          <w:b/>
          <w:bCs/>
          <w:sz w:val="36"/>
          <w:szCs w:val="36"/>
        </w:rPr>
        <w:t>preoperative</w:t>
      </w:r>
      <w:r w:rsidR="00BF255B" w:rsidRPr="004A35EC">
        <w:rPr>
          <w:b/>
          <w:bCs/>
          <w:sz w:val="36"/>
          <w:szCs w:val="36"/>
        </w:rPr>
        <w:t xml:space="preserve"> </w:t>
      </w:r>
      <w:r w:rsidR="004A35EC" w:rsidRPr="004A35EC">
        <w:rPr>
          <w:b/>
          <w:bCs/>
          <w:sz w:val="36"/>
          <w:szCs w:val="36"/>
        </w:rPr>
        <w:t xml:space="preserve">chemotherapy and </w:t>
      </w:r>
      <w:r w:rsidR="009F5AF4">
        <w:rPr>
          <w:b/>
          <w:bCs/>
          <w:sz w:val="36"/>
          <w:szCs w:val="36"/>
        </w:rPr>
        <w:t>surgery</w:t>
      </w:r>
    </w:p>
    <w:p w14:paraId="6E033CD9" w14:textId="77777777" w:rsidR="004A35EC" w:rsidRPr="00A22CC3" w:rsidRDefault="004A35EC" w:rsidP="004A35EC">
      <w:pPr>
        <w:rPr>
          <w:rFonts w:cs="Calibri"/>
        </w:rPr>
      </w:pPr>
      <w:r w:rsidRPr="00A22CC3">
        <w:rPr>
          <w:rFonts w:cs="Calibri"/>
        </w:rPr>
        <w:t>First author: SA Rahman</w:t>
      </w:r>
      <w:r w:rsidRPr="00A22CC3">
        <w:rPr>
          <w:rFonts w:cs="Calibri"/>
          <w:vertAlign w:val="superscript"/>
        </w:rPr>
        <w:t>1,5</w:t>
      </w:r>
      <w:r w:rsidRPr="00A22CC3">
        <w:rPr>
          <w:rFonts w:cs="Calibri"/>
        </w:rPr>
        <w:t xml:space="preserve">, </w:t>
      </w:r>
    </w:p>
    <w:p w14:paraId="5B79011B" w14:textId="09C0252F" w:rsidR="00A92393" w:rsidRDefault="004A35EC" w:rsidP="004A35EC">
      <w:pPr>
        <w:rPr>
          <w:rFonts w:cs="Calibri"/>
        </w:rPr>
      </w:pPr>
      <w:r w:rsidRPr="00A22CC3">
        <w:rPr>
          <w:rFonts w:cs="Calibri"/>
        </w:rPr>
        <w:t xml:space="preserve">Co-authors: </w:t>
      </w:r>
      <w:r>
        <w:rPr>
          <w:rFonts w:cs="Calibri"/>
        </w:rPr>
        <w:t>B Thomas</w:t>
      </w:r>
      <w:r w:rsidR="004E6F67">
        <w:rPr>
          <w:rFonts w:cs="Calibri"/>
          <w:vertAlign w:val="superscript"/>
        </w:rPr>
        <w:t>2</w:t>
      </w:r>
      <w:r>
        <w:rPr>
          <w:rFonts w:cs="Calibri"/>
        </w:rPr>
        <w:t xml:space="preserve">, </w:t>
      </w:r>
      <w:r w:rsidRPr="00A22CC3">
        <w:rPr>
          <w:rFonts w:cs="Calibri"/>
        </w:rPr>
        <w:t>N Maynard</w:t>
      </w:r>
      <w:r w:rsidR="004E6F67">
        <w:rPr>
          <w:rFonts w:cs="Calibri"/>
          <w:vertAlign w:val="superscript"/>
        </w:rPr>
        <w:t>3</w:t>
      </w:r>
      <w:r w:rsidRPr="00A22CC3">
        <w:rPr>
          <w:rFonts w:cs="Calibri"/>
        </w:rPr>
        <w:t xml:space="preserve">, </w:t>
      </w:r>
      <w:r w:rsidR="00DC7F74">
        <w:rPr>
          <w:rFonts w:cs="Calibri"/>
        </w:rPr>
        <w:t xml:space="preserve">M </w:t>
      </w:r>
      <w:r>
        <w:rPr>
          <w:rFonts w:cs="Calibri"/>
        </w:rPr>
        <w:t>Park</w:t>
      </w:r>
      <w:r w:rsidRPr="00CF3262">
        <w:rPr>
          <w:rFonts w:cs="Calibri"/>
          <w:vertAlign w:val="superscript"/>
        </w:rPr>
        <w:t>5</w:t>
      </w:r>
      <w:r>
        <w:rPr>
          <w:rFonts w:cs="Calibri"/>
        </w:rPr>
        <w:t xml:space="preserve">, </w:t>
      </w:r>
      <w:r w:rsidR="00DC7F74">
        <w:rPr>
          <w:rFonts w:cs="Calibri"/>
        </w:rPr>
        <w:t xml:space="preserve">H </w:t>
      </w:r>
      <w:r>
        <w:rPr>
          <w:rFonts w:cs="Calibri"/>
        </w:rPr>
        <w:t>Wahedally</w:t>
      </w:r>
      <w:r w:rsidRPr="00CF3262">
        <w:rPr>
          <w:rFonts w:cs="Calibri"/>
          <w:vertAlign w:val="superscript"/>
        </w:rPr>
        <w:t>5</w:t>
      </w:r>
      <w:r>
        <w:rPr>
          <w:rFonts w:cs="Calibri"/>
        </w:rPr>
        <w:t xml:space="preserve">, </w:t>
      </w:r>
      <w:r w:rsidRPr="00A22CC3">
        <w:rPr>
          <w:rFonts w:cs="Calibri"/>
        </w:rPr>
        <w:t>N Trudgill</w:t>
      </w:r>
      <w:r w:rsidR="004E6F67">
        <w:rPr>
          <w:rFonts w:cs="Calibri"/>
          <w:vertAlign w:val="superscript"/>
        </w:rPr>
        <w:t>4</w:t>
      </w:r>
      <w:r w:rsidRPr="00A22CC3">
        <w:rPr>
          <w:rFonts w:cs="Calibri"/>
        </w:rPr>
        <w:t>, T Crosby</w:t>
      </w:r>
      <w:r w:rsidR="004E6F67">
        <w:rPr>
          <w:rFonts w:cs="Calibri"/>
          <w:vertAlign w:val="superscript"/>
        </w:rPr>
        <w:t>2</w:t>
      </w:r>
      <w:r w:rsidRPr="00A22CC3">
        <w:rPr>
          <w:rFonts w:cs="Calibri"/>
        </w:rPr>
        <w:t>,</w:t>
      </w:r>
      <w:r w:rsidRPr="00393553">
        <w:rPr>
          <w:rFonts w:cs="Calibri"/>
        </w:rPr>
        <w:t xml:space="preserve"> </w:t>
      </w:r>
      <w:r w:rsidRPr="00A22CC3">
        <w:rPr>
          <w:rFonts w:cs="Calibri"/>
        </w:rPr>
        <w:t>D A Cromwell</w:t>
      </w:r>
      <w:r w:rsidRPr="00A22CC3">
        <w:rPr>
          <w:rFonts w:cs="Calibri"/>
          <w:vertAlign w:val="superscript"/>
        </w:rPr>
        <w:t>5</w:t>
      </w:r>
      <w:r w:rsidR="00532CBF">
        <w:rPr>
          <w:rFonts w:cs="Calibri"/>
          <w:vertAlign w:val="superscript"/>
        </w:rPr>
        <w:t>*</w:t>
      </w:r>
      <w:r w:rsidRPr="00A22CC3">
        <w:rPr>
          <w:rFonts w:cs="Calibri"/>
        </w:rPr>
        <w:t xml:space="preserve"> TJ Underwood</w:t>
      </w:r>
      <w:r w:rsidRPr="00A22CC3">
        <w:rPr>
          <w:rFonts w:cs="Calibri"/>
          <w:vertAlign w:val="superscript"/>
        </w:rPr>
        <w:t>1</w:t>
      </w:r>
      <w:r w:rsidR="00532CBF">
        <w:rPr>
          <w:rFonts w:cs="Calibri"/>
          <w:vertAlign w:val="superscript"/>
        </w:rPr>
        <w:t>*</w:t>
      </w:r>
      <w:r>
        <w:rPr>
          <w:rFonts w:cs="Calibri"/>
          <w:vertAlign w:val="superscript"/>
        </w:rPr>
        <w:t xml:space="preserve"> </w:t>
      </w:r>
      <w:r w:rsidRPr="00A22CC3">
        <w:rPr>
          <w:rFonts w:cs="Calibri"/>
        </w:rPr>
        <w:t>on behalf of the NOGCA project team and AUGIS</w:t>
      </w:r>
    </w:p>
    <w:p w14:paraId="4465156E" w14:textId="728E039D" w:rsidR="004A35EC" w:rsidRDefault="004A35EC" w:rsidP="004A35EC">
      <w:pPr>
        <w:pStyle w:val="ListParagraph"/>
        <w:numPr>
          <w:ilvl w:val="0"/>
          <w:numId w:val="33"/>
        </w:numPr>
        <w:spacing w:before="0"/>
        <w:rPr>
          <w:rFonts w:cs="Calibri"/>
        </w:rPr>
      </w:pPr>
      <w:r w:rsidRPr="00A22CC3">
        <w:rPr>
          <w:rFonts w:cs="Calibri"/>
        </w:rPr>
        <w:t xml:space="preserve">School of Cancer Sciences, Faculty of Medicine, University of Southampton </w:t>
      </w:r>
    </w:p>
    <w:p w14:paraId="4D2D9D90" w14:textId="3D5ED20D" w:rsidR="004E6F67" w:rsidRPr="004E6F67" w:rsidRDefault="004E6F67" w:rsidP="004E6F67">
      <w:pPr>
        <w:pStyle w:val="ListParagraph"/>
        <w:numPr>
          <w:ilvl w:val="0"/>
          <w:numId w:val="33"/>
        </w:numPr>
        <w:spacing w:before="0"/>
        <w:rPr>
          <w:rFonts w:cs="Calibri"/>
        </w:rPr>
      </w:pPr>
      <w:r w:rsidRPr="00A22CC3">
        <w:rPr>
          <w:rFonts w:cs="Calibri"/>
        </w:rPr>
        <w:t xml:space="preserve">Velindre </w:t>
      </w:r>
      <w:r w:rsidR="009574EB">
        <w:rPr>
          <w:rFonts w:cs="Calibri"/>
        </w:rPr>
        <w:t>University NHS Trust</w:t>
      </w:r>
    </w:p>
    <w:p w14:paraId="74F3F79F" w14:textId="77777777" w:rsidR="004A35EC" w:rsidRPr="00A22CC3" w:rsidRDefault="004A35EC" w:rsidP="004A35EC">
      <w:pPr>
        <w:pStyle w:val="ListParagraph"/>
        <w:numPr>
          <w:ilvl w:val="0"/>
          <w:numId w:val="33"/>
        </w:numPr>
        <w:spacing w:before="0"/>
        <w:rPr>
          <w:rFonts w:cs="Calibri"/>
        </w:rPr>
      </w:pPr>
      <w:r w:rsidRPr="00A22CC3">
        <w:rPr>
          <w:rFonts w:cs="Calibri"/>
        </w:rPr>
        <w:t>Oxford University Hospitals NHS Trust</w:t>
      </w:r>
    </w:p>
    <w:p w14:paraId="4E6F86B9" w14:textId="77777777" w:rsidR="004A35EC" w:rsidRPr="00A22CC3" w:rsidRDefault="004A35EC" w:rsidP="004A35EC">
      <w:pPr>
        <w:pStyle w:val="ListParagraph"/>
        <w:numPr>
          <w:ilvl w:val="0"/>
          <w:numId w:val="33"/>
        </w:numPr>
        <w:spacing w:before="0"/>
        <w:rPr>
          <w:rFonts w:cs="Calibri"/>
        </w:rPr>
      </w:pPr>
      <w:r w:rsidRPr="00A22CC3">
        <w:rPr>
          <w:rFonts w:cs="Calibri"/>
        </w:rPr>
        <w:t>Sandwell and West Birmingham Hospitals NHS Trust</w:t>
      </w:r>
    </w:p>
    <w:p w14:paraId="731CF202" w14:textId="4C2C4EEF" w:rsidR="004A35EC" w:rsidRDefault="004A35EC" w:rsidP="004A35EC">
      <w:pPr>
        <w:pStyle w:val="ListParagraph"/>
        <w:numPr>
          <w:ilvl w:val="0"/>
          <w:numId w:val="33"/>
        </w:numPr>
        <w:spacing w:before="0"/>
        <w:rPr>
          <w:rFonts w:cs="Calibri"/>
        </w:rPr>
      </w:pPr>
      <w:r w:rsidRPr="00A22CC3">
        <w:rPr>
          <w:rFonts w:cs="Calibri"/>
        </w:rPr>
        <w:t>Clinical Effectiveness Unit, Royal College of Surgeons of England</w:t>
      </w:r>
    </w:p>
    <w:p w14:paraId="28FCEA95" w14:textId="77777777" w:rsidR="00A92393" w:rsidRDefault="00A92393" w:rsidP="00A92393">
      <w:pPr>
        <w:spacing w:before="0"/>
        <w:rPr>
          <w:rFonts w:cs="Calibri"/>
        </w:rPr>
      </w:pPr>
    </w:p>
    <w:p w14:paraId="5ADD16C4" w14:textId="17761B2A" w:rsidR="00A92393" w:rsidRPr="00A92393" w:rsidRDefault="00A92393" w:rsidP="00A92393">
      <w:pPr>
        <w:spacing w:before="0"/>
        <w:rPr>
          <w:rFonts w:cs="Calibri"/>
        </w:rPr>
      </w:pPr>
      <w:r>
        <w:rPr>
          <w:rFonts w:cs="Calibri"/>
        </w:rPr>
        <w:t>*These authors contributed equally to this work</w:t>
      </w:r>
    </w:p>
    <w:p w14:paraId="7779003E" w14:textId="3237A08F" w:rsidR="004A35EC" w:rsidRPr="00E22091" w:rsidRDefault="004A35EC" w:rsidP="004A35EC">
      <w:pPr>
        <w:rPr>
          <w:u w:val="single"/>
        </w:rPr>
      </w:pPr>
      <w:r w:rsidRPr="00E22091">
        <w:rPr>
          <w:u w:val="single"/>
        </w:rPr>
        <w:t>Corresponding Author</w:t>
      </w:r>
    </w:p>
    <w:p w14:paraId="780B439B" w14:textId="0DADA79C" w:rsidR="004A35EC" w:rsidRDefault="004A35EC" w:rsidP="00A92393">
      <w:pPr>
        <w:spacing w:before="0" w:line="240" w:lineRule="auto"/>
      </w:pPr>
      <w:r>
        <w:t xml:space="preserve">Professor </w:t>
      </w:r>
      <w:r w:rsidR="00A92393">
        <w:tab/>
      </w:r>
      <w:r>
        <w:t>T J Underwood</w:t>
      </w:r>
      <w:r>
        <w:tab/>
      </w:r>
    </w:p>
    <w:p w14:paraId="632D7F87" w14:textId="28B6F3A4" w:rsidR="004A35EC" w:rsidRDefault="004A35EC" w:rsidP="00A92393">
      <w:pPr>
        <w:spacing w:before="0" w:line="240" w:lineRule="auto"/>
      </w:pPr>
      <w:r>
        <w:t xml:space="preserve">Email: </w:t>
      </w:r>
      <w:r>
        <w:tab/>
      </w:r>
      <w:r w:rsidR="00A92393">
        <w:tab/>
      </w:r>
      <w:hyperlink r:id="rId8" w:history="1">
        <w:r w:rsidR="00A92393" w:rsidRPr="00132BDA">
          <w:rPr>
            <w:rStyle w:val="Hyperlink"/>
          </w:rPr>
          <w:t>tju@soton.ac.uk</w:t>
        </w:r>
      </w:hyperlink>
    </w:p>
    <w:p w14:paraId="63823F5F" w14:textId="62447504" w:rsidR="004A35EC" w:rsidRDefault="004A35EC" w:rsidP="00A92393">
      <w:pPr>
        <w:spacing w:before="0" w:line="240" w:lineRule="auto"/>
      </w:pPr>
      <w:r>
        <w:t xml:space="preserve">Tel: </w:t>
      </w:r>
      <w:r>
        <w:tab/>
      </w:r>
      <w:r w:rsidR="00A92393">
        <w:tab/>
      </w:r>
      <w:r>
        <w:t>+44 (0)2381206923</w:t>
      </w:r>
    </w:p>
    <w:p w14:paraId="0EBE9EBD" w14:textId="77777777" w:rsidR="00251D80" w:rsidRPr="00E50ABC" w:rsidRDefault="00A92393" w:rsidP="00251D80">
      <w:pPr>
        <w:spacing w:before="0" w:line="240" w:lineRule="auto"/>
        <w:rPr>
          <w:rFonts w:asciiTheme="minorHAnsi" w:hAnsiTheme="minorHAnsi" w:cstheme="minorHAnsi"/>
          <w:color w:val="000000"/>
          <w:lang w:eastAsia="en-GB"/>
        </w:rPr>
      </w:pPr>
      <w:r>
        <w:t>Orcid ID:</w:t>
      </w:r>
      <w:r>
        <w:tab/>
      </w:r>
      <w:r w:rsidR="00251D80" w:rsidRPr="00E50ABC">
        <w:rPr>
          <w:rFonts w:asciiTheme="minorHAnsi" w:hAnsiTheme="minorHAnsi" w:cstheme="minorHAnsi"/>
          <w:color w:val="000000"/>
          <w:lang w:eastAsia="en-GB"/>
        </w:rPr>
        <w:t>https://orcid.org/ </w:t>
      </w:r>
      <w:r w:rsidR="00251D80" w:rsidRPr="00E50ABC">
        <w:rPr>
          <w:rFonts w:asciiTheme="minorHAnsi" w:hAnsiTheme="minorHAnsi" w:cstheme="minorHAnsi"/>
          <w:b/>
          <w:bCs/>
          <w:color w:val="000000"/>
          <w:spacing w:val="8"/>
          <w:lang w:eastAsia="en-GB"/>
        </w:rPr>
        <w:t>0000-0001-9455-2188</w:t>
      </w:r>
    </w:p>
    <w:p w14:paraId="0B319BE2" w14:textId="41DC80AB" w:rsidR="00A92393" w:rsidRDefault="00A92393" w:rsidP="00251D80">
      <w:pPr>
        <w:spacing w:before="0" w:line="240" w:lineRule="auto"/>
      </w:pPr>
    </w:p>
    <w:p w14:paraId="5970A568" w14:textId="77777777" w:rsidR="004A35EC" w:rsidRPr="003E68B2" w:rsidRDefault="004A35EC" w:rsidP="004A35EC">
      <w:pPr>
        <w:rPr>
          <w:u w:val="single"/>
        </w:rPr>
      </w:pPr>
      <w:r w:rsidRPr="003E68B2">
        <w:rPr>
          <w:u w:val="single"/>
        </w:rPr>
        <w:t>Running Head</w:t>
      </w:r>
    </w:p>
    <w:p w14:paraId="43E0D524" w14:textId="53CA80D3" w:rsidR="004A35EC" w:rsidRPr="004A35EC" w:rsidRDefault="004A35EC" w:rsidP="004A35EC">
      <w:pPr>
        <w:spacing w:before="0" w:line="240" w:lineRule="auto"/>
      </w:pPr>
      <w:r w:rsidRPr="004A35EC">
        <w:t xml:space="preserve">Impact of postoperative </w:t>
      </w:r>
      <w:r w:rsidR="00F17EBA">
        <w:t>chemotherapy</w:t>
      </w:r>
      <w:r w:rsidRPr="004A35EC">
        <w:t xml:space="preserve"> for </w:t>
      </w:r>
      <w:r w:rsidR="004C6085">
        <w:t>o</w:t>
      </w:r>
      <w:r w:rsidRPr="004A35EC">
        <w:t>esophag</w:t>
      </w:r>
      <w:r w:rsidR="009F5AF4">
        <w:t>ogastric</w:t>
      </w:r>
      <w:r w:rsidRPr="004A35EC">
        <w:t xml:space="preserve"> adenocarcinoma after </w:t>
      </w:r>
      <w:r w:rsidR="009E2ECC">
        <w:t>preoperative</w:t>
      </w:r>
      <w:r w:rsidR="009E2ECC" w:rsidRPr="004A35EC">
        <w:t xml:space="preserve"> </w:t>
      </w:r>
      <w:r w:rsidRPr="004A35EC">
        <w:t xml:space="preserve">chemotherapy and </w:t>
      </w:r>
      <w:r w:rsidR="009F5AF4">
        <w:t>surgery</w:t>
      </w:r>
    </w:p>
    <w:p w14:paraId="2B9FE0A6" w14:textId="77777777" w:rsidR="004A35EC" w:rsidRDefault="004A35EC" w:rsidP="004A35EC">
      <w:pPr>
        <w:rPr>
          <w:u w:val="single"/>
        </w:rPr>
      </w:pPr>
      <w:r>
        <w:rPr>
          <w:u w:val="single"/>
        </w:rPr>
        <w:t>Disclosures</w:t>
      </w:r>
    </w:p>
    <w:p w14:paraId="2F7A1AAB" w14:textId="22992425" w:rsidR="004A35EC" w:rsidRDefault="004A35EC" w:rsidP="004A35EC">
      <w:r>
        <w:t xml:space="preserve">The authors present no conflicts of interest. </w:t>
      </w:r>
      <w:r w:rsidRPr="00295BF5">
        <w:t>﻿</w:t>
      </w:r>
      <w:r w:rsidR="00A92393">
        <w:t>This manuscript is original research that has not been previously published and is not currently under consideration elsewhere.</w:t>
      </w:r>
    </w:p>
    <w:p w14:paraId="7A5DEE34" w14:textId="77777777" w:rsidR="004A35EC" w:rsidRDefault="004A35EC" w:rsidP="004A35EC">
      <w:r w:rsidRPr="00083391">
        <w:rPr>
          <w:u w:val="single"/>
        </w:rPr>
        <w:t>Patient and public involvement</w:t>
      </w:r>
      <w:r>
        <w:t xml:space="preserve"> </w:t>
      </w:r>
    </w:p>
    <w:p w14:paraId="00884A2A" w14:textId="77777777" w:rsidR="004A35EC" w:rsidRDefault="004A35EC" w:rsidP="004A35EC">
      <w:r>
        <w:t>Patients and/or the public were not involved in the design, or conduct, or reporting, or dissemination plans of this research. Patient consent for publication was not required.</w:t>
      </w:r>
    </w:p>
    <w:p w14:paraId="0791D7BF" w14:textId="77777777" w:rsidR="004A35EC" w:rsidRDefault="004A35EC" w:rsidP="004A35EC">
      <w:r w:rsidRPr="00083391">
        <w:rPr>
          <w:u w:val="single"/>
        </w:rPr>
        <w:t>Ethics approval</w:t>
      </w:r>
      <w:r>
        <w:t xml:space="preserve"> </w:t>
      </w:r>
    </w:p>
    <w:p w14:paraId="010E6D7E" w14:textId="5A444743" w:rsidR="004A35EC" w:rsidRDefault="004A35EC" w:rsidP="004A35EC">
      <w:r>
        <w:t xml:space="preserve">The study is exempt from UK National Research Ethics Committee approval as it involved secondary analysis of an existing dataset of anonymised data. The National Oesophago-Gastric (OG) Cancer Audit has approval for processing health care information under Section 251 (reference number: </w:t>
      </w:r>
      <w:r>
        <w:lastRenderedPageBreak/>
        <w:t xml:space="preserve">ECC 1-06 (c)/2011) for all National Health Service (NHS) patients diagnosed with OG cancer in England and Wales. Data for this study </w:t>
      </w:r>
      <w:r w:rsidR="007854BA">
        <w:t>were</w:t>
      </w:r>
      <w:r>
        <w:t xml:space="preserve"> based on patient-level information collected by the NHS, as part of the care and support of patients with cancer.</w:t>
      </w:r>
    </w:p>
    <w:p w14:paraId="218B351B" w14:textId="77777777" w:rsidR="004A35EC" w:rsidRDefault="004A35EC" w:rsidP="004A35EC">
      <w:pPr>
        <w:rPr>
          <w:u w:val="single"/>
        </w:rPr>
      </w:pPr>
      <w:r w:rsidRPr="00E22091">
        <w:rPr>
          <w:u w:val="single"/>
        </w:rPr>
        <w:t>Acknowledgements</w:t>
      </w:r>
      <w:r>
        <w:rPr>
          <w:u w:val="single"/>
        </w:rPr>
        <w:t xml:space="preserve"> and Funding</w:t>
      </w:r>
    </w:p>
    <w:p w14:paraId="74812316" w14:textId="77777777" w:rsidR="004A35EC" w:rsidRDefault="004A35EC" w:rsidP="004A35EC">
      <w:r>
        <w:t>This study was undertaken as part of the work by the National Oesophago-Gastric (OG) Cancer Audit. The Audit is commissioned by the Healthcare Quality Improvement Partnership (HQIP) as part of the National Clinical Audit and Patient Outcomes Programme and funded by NHS England and the Welsh Government (</w:t>
      </w:r>
      <w:hyperlink r:id="rId9" w:history="1">
        <w:r w:rsidRPr="00D14299">
          <w:rPr>
            <w:rStyle w:val="Hyperlink"/>
          </w:rPr>
          <w:t>www.hqip.org.uk/national-programmes</w:t>
        </w:r>
      </w:hyperlink>
      <w:r>
        <w:t>).  The authors had full independence from the Healthcare Quality Improvement Partnership.  The aim of National Oesophago-Gastric Cancer Audit is to evaluate the care of patients with OG cancer in England and Wales, and support NHS providers to improve the quality of hospital care for these patients. More information can be found at: www.nogca.org.uk</w:t>
      </w:r>
    </w:p>
    <w:p w14:paraId="192C01A0" w14:textId="77777777" w:rsidR="004A35EC" w:rsidRDefault="004A35EC" w:rsidP="004A35EC">
      <w:pPr>
        <w:rPr>
          <w:u w:val="single"/>
        </w:rPr>
      </w:pPr>
    </w:p>
    <w:p w14:paraId="484709B4" w14:textId="77777777" w:rsidR="004A35EC" w:rsidRDefault="004A35EC" w:rsidP="004A35EC">
      <w:r>
        <w:t xml:space="preserve">SAR is supported by a Royal College of Surgeons of England Research Fellowship and a British Association of Surgical Oncologists Research Project Grant. </w:t>
      </w:r>
    </w:p>
    <w:p w14:paraId="684C092B" w14:textId="5EF6F9C9" w:rsidR="004A35EC" w:rsidRDefault="004A35EC" w:rsidP="004A35EC">
      <w:r>
        <w:t xml:space="preserve">TJU is supported by a Cancer Research UK and Royal College of Surgeons of England Advanced Clinician Scientist Fellowship, </w:t>
      </w:r>
      <w:r w:rsidR="00787786">
        <w:t>ID: A</w:t>
      </w:r>
      <w:r>
        <w:t xml:space="preserve">23924. </w:t>
      </w:r>
    </w:p>
    <w:p w14:paraId="48089B1A" w14:textId="77777777" w:rsidR="004A35EC" w:rsidRDefault="004A35EC" w:rsidP="004A35EC">
      <w:r>
        <w:t>This project has been supported by the Association of Upper Gastrointestinal Surgery (AUGIS), Heartburn Cancer UK, and The Royal College of Surgeons of England Surgical Specialty Lead Programme.</w:t>
      </w:r>
    </w:p>
    <w:p w14:paraId="0D32FE2E" w14:textId="77777777" w:rsidR="004A35EC" w:rsidRDefault="004A35EC" w:rsidP="004A35EC">
      <w:pPr>
        <w:rPr>
          <w:u w:val="single"/>
        </w:rPr>
      </w:pPr>
      <w:r w:rsidRPr="00083391">
        <w:rPr>
          <w:u w:val="single"/>
        </w:rPr>
        <w:t xml:space="preserve">Disclaimer </w:t>
      </w:r>
    </w:p>
    <w:p w14:paraId="4A9AB24D" w14:textId="265336B4" w:rsidR="004A35EC" w:rsidRPr="00CD37D6" w:rsidRDefault="004A35EC" w:rsidP="00CD37D6">
      <w:pPr>
        <w:spacing w:line="480" w:lineRule="auto"/>
        <w:rPr>
          <w:b/>
          <w:bCs/>
        </w:rPr>
      </w:pPr>
      <w:r>
        <w:t>Neither HQIP nor the funders had any involvement in the study design; in the collection, analysis and interpretation of data; in the writing of the report; or in the decision to submit the article for publication.</w:t>
      </w:r>
      <w:r>
        <w:rPr>
          <w:sz w:val="36"/>
          <w:szCs w:val="36"/>
        </w:rPr>
        <w:br w:type="page"/>
      </w:r>
      <w:r w:rsidRPr="00CD37D6">
        <w:rPr>
          <w:b/>
          <w:bCs/>
        </w:rPr>
        <w:lastRenderedPageBreak/>
        <w:t>Abstract</w:t>
      </w:r>
    </w:p>
    <w:p w14:paraId="535584F1" w14:textId="6A77F0C7" w:rsidR="007E3DBA" w:rsidRPr="00CD37D6" w:rsidRDefault="007E3DBA" w:rsidP="007E3DBA">
      <w:pPr>
        <w:spacing w:line="480" w:lineRule="auto"/>
      </w:pPr>
      <w:r>
        <w:t>Background</w:t>
      </w:r>
    </w:p>
    <w:p w14:paraId="12D9FEE0" w14:textId="0F6A3335" w:rsidR="007E3DBA" w:rsidRPr="00CD37D6" w:rsidRDefault="007E3DBA" w:rsidP="007E3DBA">
      <w:pPr>
        <w:spacing w:line="480" w:lineRule="auto"/>
      </w:pPr>
      <w:r w:rsidRPr="00CD37D6">
        <w:t xml:space="preserve">Perioperative chemotherapy is widely used in the treatment of </w:t>
      </w:r>
      <w:r>
        <w:t>o</w:t>
      </w:r>
      <w:r w:rsidRPr="00CD37D6">
        <w:t>esophag</w:t>
      </w:r>
      <w:r>
        <w:t>ogastric</w:t>
      </w:r>
      <w:r w:rsidRPr="00CD37D6">
        <w:t xml:space="preserve"> </w:t>
      </w:r>
      <w:r>
        <w:t>adenocarcinoma (OGAC)</w:t>
      </w:r>
      <w:r w:rsidRPr="00CD37D6">
        <w:t xml:space="preserve"> with substantial survival benefit over </w:t>
      </w:r>
      <w:r w:rsidRPr="00FC4CDE">
        <w:t>surgery alone. However, the postoperative part of these regimens is given in less than half of cases, reflecting uncertainty among clinicians about its benefit</w:t>
      </w:r>
      <w:r w:rsidR="002660EB" w:rsidRPr="00FC4CDE">
        <w:t xml:space="preserve"> and poor postoperative patient fitness</w:t>
      </w:r>
      <w:r w:rsidRPr="00FC4CDE">
        <w:t>. This</w:t>
      </w:r>
      <w:r w:rsidRPr="00CD37D6">
        <w:t xml:space="preserve"> study estimates the effect of postoperative chemotherapy after surgery for </w:t>
      </w:r>
      <w:r>
        <w:t>OGAC</w:t>
      </w:r>
      <w:r w:rsidRPr="00CD37D6">
        <w:t xml:space="preserve"> using a large population-based dataset.</w:t>
      </w:r>
    </w:p>
    <w:p w14:paraId="34A23DDA" w14:textId="77777777" w:rsidR="009B06D7" w:rsidRDefault="009B06D7" w:rsidP="007E3DBA">
      <w:pPr>
        <w:spacing w:line="480" w:lineRule="auto"/>
      </w:pPr>
    </w:p>
    <w:p w14:paraId="50138B60" w14:textId="59D0A6F7" w:rsidR="007E3DBA" w:rsidRPr="00CD37D6" w:rsidRDefault="007E3DBA" w:rsidP="007E3DBA">
      <w:pPr>
        <w:spacing w:line="480" w:lineRule="auto"/>
      </w:pPr>
      <w:r>
        <w:t>Methods</w:t>
      </w:r>
    </w:p>
    <w:p w14:paraId="18D6BDF7" w14:textId="7F67528B" w:rsidR="007E3DBA" w:rsidRPr="00CD37D6" w:rsidRDefault="007E3DBA" w:rsidP="007E3DBA">
      <w:pPr>
        <w:spacing w:line="480" w:lineRule="auto"/>
      </w:pPr>
      <w:r w:rsidRPr="00CD37D6">
        <w:t>Patients wit</w:t>
      </w:r>
      <w:r>
        <w:t>h</w:t>
      </w:r>
      <w:r w:rsidRPr="00CD37D6">
        <w:t xml:space="preserve"> adenocarcinoma</w:t>
      </w:r>
      <w:r>
        <w:t xml:space="preserve"> of the oesophagus, gastro-oesophageal junction (GOJ) or stomach</w:t>
      </w:r>
      <w:r w:rsidRPr="00CD37D6">
        <w:t xml:space="preserve"> diagnosed between 2012 and 2018 </w:t>
      </w:r>
      <w:r>
        <w:t xml:space="preserve">who </w:t>
      </w:r>
      <w:r w:rsidRPr="00CD37D6">
        <w:t>underwent preoperative chemotherapy followed by surgery, were identified from a national level audit in England and Wales. Postoperative therapy was defined as the receipt of systemic chemotherapy within 90 days of surgery. The effectiveness of postoperative chemotherapy compared to observation was estimated using inverse propensity treatment weighting (IPTW).</w:t>
      </w:r>
    </w:p>
    <w:p w14:paraId="79194749" w14:textId="77777777" w:rsidR="009B06D7" w:rsidRDefault="009B06D7" w:rsidP="007E3DBA">
      <w:pPr>
        <w:spacing w:line="480" w:lineRule="auto"/>
      </w:pPr>
    </w:p>
    <w:p w14:paraId="01426947" w14:textId="23EDE93B" w:rsidR="007E3DBA" w:rsidRPr="00CD37D6" w:rsidRDefault="007E3DBA" w:rsidP="007E3DBA">
      <w:pPr>
        <w:spacing w:line="480" w:lineRule="auto"/>
      </w:pPr>
      <w:r w:rsidRPr="00CD37D6">
        <w:t>Results</w:t>
      </w:r>
    </w:p>
    <w:p w14:paraId="4499F4A6" w14:textId="1FB46AE5" w:rsidR="007D5BF6" w:rsidRPr="00CD37D6" w:rsidRDefault="00FC4CDE" w:rsidP="007D5BF6">
      <w:pPr>
        <w:spacing w:line="480" w:lineRule="auto"/>
      </w:pPr>
      <w:r>
        <w:t>Postoperative</w:t>
      </w:r>
      <w:r w:rsidR="007E3DBA" w:rsidRPr="00CD37D6">
        <w:t xml:space="preserve"> </w:t>
      </w:r>
      <w:r w:rsidR="007E3DBA">
        <w:t>chemo</w:t>
      </w:r>
      <w:r w:rsidR="007E3DBA" w:rsidRPr="00CD37D6">
        <w:t>therapy was given to 1,</w:t>
      </w:r>
      <w:r w:rsidR="007E3DBA">
        <w:t>539</w:t>
      </w:r>
      <w:r w:rsidR="007E3DBA" w:rsidRPr="00CD37D6">
        <w:t xml:space="preserve"> </w:t>
      </w:r>
      <w:r>
        <w:t>of 4,139</w:t>
      </w:r>
      <w:r w:rsidRPr="00CD37D6">
        <w:t xml:space="preserve"> patients (3</w:t>
      </w:r>
      <w:r>
        <w:t>8</w:t>
      </w:r>
      <w:r w:rsidRPr="00CD37D6">
        <w:t>.5%)</w:t>
      </w:r>
      <w:r>
        <w:t xml:space="preserve"> included in the study. </w:t>
      </w:r>
      <w:r w:rsidR="00E410D2" w:rsidRPr="00FC4CDE">
        <w:t>Almost all patients received platinum-based triplet regimens (</w:t>
      </w:r>
      <w:r w:rsidR="00375245" w:rsidRPr="00FC4CDE">
        <w:t>4,004 patients, 96.7%), with FLOT used in 3.5%.</w:t>
      </w:r>
      <w:r w:rsidR="00375245">
        <w:t xml:space="preserve"> </w:t>
      </w:r>
      <w:r w:rsidR="007E3DBA" w:rsidRPr="00CD37D6">
        <w:t xml:space="preserve">Patients who received postoperative </w:t>
      </w:r>
      <w:r w:rsidR="007E3DBA">
        <w:t>chemo</w:t>
      </w:r>
      <w:r w:rsidR="007E3DBA" w:rsidRPr="00CD37D6">
        <w:t>therapy were younger, with a lower ASA grade and were less likely to have surgical complications</w:t>
      </w:r>
      <w:r w:rsidR="007E3DBA">
        <w:t>, with similar tumour characteristics</w:t>
      </w:r>
      <w:r w:rsidR="007E3DBA" w:rsidRPr="00CD37D6">
        <w:t xml:space="preserve">. </w:t>
      </w:r>
      <w:r w:rsidR="007E3DBA">
        <w:t xml:space="preserve">After weighting, </w:t>
      </w:r>
      <w:r w:rsidR="007E3DBA" w:rsidRPr="00CD37D6">
        <w:t xml:space="preserve">median survival time </w:t>
      </w:r>
      <w:r w:rsidR="007E3DBA">
        <w:t>after postoperative chemotherapy was 62.7 months compared to 50.4 months</w:t>
      </w:r>
      <w:r>
        <w:t xml:space="preserve"> without chemotherapy</w:t>
      </w:r>
      <w:r w:rsidR="007E3DBA">
        <w:t>, with</w:t>
      </w:r>
      <w:r w:rsidR="007E3DBA" w:rsidRPr="00CD37D6">
        <w:t xml:space="preserve"> a Hazard Ratio of 0.8</w:t>
      </w:r>
      <w:r w:rsidR="007E3DBA">
        <w:t>4</w:t>
      </w:r>
      <w:r w:rsidR="007E3DBA" w:rsidRPr="00CD37D6">
        <w:t xml:space="preserve"> (95%CI 0.7</w:t>
      </w:r>
      <w:r w:rsidR="007E3DBA">
        <w:t>7</w:t>
      </w:r>
      <w:r w:rsidR="007E3DBA" w:rsidRPr="00CD37D6">
        <w:t>-0.9</w:t>
      </w:r>
      <w:r w:rsidR="007E3DBA">
        <w:t>4,</w:t>
      </w:r>
      <w:r w:rsidR="007E3DBA" w:rsidRPr="00CD37D6">
        <w:t xml:space="preserve"> p</w:t>
      </w:r>
      <w:r w:rsidR="007E3DBA">
        <w:t>=</w:t>
      </w:r>
      <w:r w:rsidR="007E3DBA" w:rsidRPr="00CD37D6">
        <w:t>0.001).</w:t>
      </w:r>
      <w:r w:rsidR="007E3DBA">
        <w:t xml:space="preserve">  </w:t>
      </w:r>
    </w:p>
    <w:p w14:paraId="43CC4442" w14:textId="614B4F15" w:rsidR="007E3DBA" w:rsidRPr="00CD37D6" w:rsidRDefault="007E3DBA" w:rsidP="007E3DBA">
      <w:pPr>
        <w:spacing w:line="480" w:lineRule="auto"/>
      </w:pPr>
      <w:r w:rsidRPr="00CD37D6">
        <w:lastRenderedPageBreak/>
        <w:t>Conclusion</w:t>
      </w:r>
      <w:r>
        <w:t>s</w:t>
      </w:r>
    </w:p>
    <w:p w14:paraId="0E6378B6" w14:textId="50275206" w:rsidR="007E3DBA" w:rsidRDefault="001577EB" w:rsidP="007E3DBA">
      <w:pPr>
        <w:spacing w:line="480" w:lineRule="auto"/>
      </w:pPr>
      <w:r w:rsidRPr="00061298">
        <w:t>This study shows that p</w:t>
      </w:r>
      <w:r w:rsidR="007E3DBA" w:rsidRPr="00061298">
        <w:t>ostoperative chemotherapy improves overall survival in patients with OGAC treated with preoperative chemotherapy and surgery.</w:t>
      </w:r>
      <w:r w:rsidR="007E3DBA" w:rsidRPr="00CD37D6">
        <w:t xml:space="preserve"> </w:t>
      </w:r>
    </w:p>
    <w:p w14:paraId="4402ED72" w14:textId="39542F69" w:rsidR="009B4FB8" w:rsidRPr="00BB22B5" w:rsidRDefault="009B4FB8" w:rsidP="00D7580B">
      <w:pPr>
        <w:spacing w:before="0"/>
      </w:pPr>
    </w:p>
    <w:p w14:paraId="3C1AEE42" w14:textId="134B779A" w:rsidR="00EB1F49" w:rsidRPr="004A35EC" w:rsidRDefault="004A35EC" w:rsidP="00D7580B">
      <w:pPr>
        <w:pStyle w:val="ListParagraph"/>
        <w:numPr>
          <w:ilvl w:val="0"/>
          <w:numId w:val="37"/>
        </w:numPr>
      </w:pPr>
      <w:r w:rsidRPr="00F17EBA">
        <w:rPr>
          <w:b/>
          <w:bCs/>
          <w:sz w:val="24"/>
          <w:szCs w:val="24"/>
          <w:u w:val="single"/>
        </w:rPr>
        <w:br w:type="page"/>
      </w:r>
    </w:p>
    <w:p w14:paraId="3CCD46D0" w14:textId="255116A4" w:rsidR="00050F00" w:rsidRPr="00E606D8" w:rsidRDefault="00050F00" w:rsidP="00D7580B">
      <w:pPr>
        <w:spacing w:before="0"/>
        <w:rPr>
          <w:sz w:val="40"/>
          <w:szCs w:val="40"/>
        </w:rPr>
      </w:pPr>
      <w:r w:rsidRPr="00E606D8">
        <w:rPr>
          <w:sz w:val="40"/>
          <w:szCs w:val="40"/>
        </w:rPr>
        <w:lastRenderedPageBreak/>
        <w:t>Introduction</w:t>
      </w:r>
    </w:p>
    <w:p w14:paraId="749603A4" w14:textId="1D796231" w:rsidR="00FD069B" w:rsidRPr="007B6070" w:rsidRDefault="00FD069B" w:rsidP="007E3DBA">
      <w:pPr>
        <w:spacing w:before="100" w:beforeAutospacing="1" w:line="480" w:lineRule="auto"/>
      </w:pPr>
      <w:r>
        <w:t xml:space="preserve">The majority of patients suitable for curative treatment for </w:t>
      </w:r>
      <w:r w:rsidR="004C6085">
        <w:t>o</w:t>
      </w:r>
      <w:r>
        <w:t>esopha</w:t>
      </w:r>
      <w:r w:rsidR="004A108E">
        <w:t xml:space="preserve">gogastric </w:t>
      </w:r>
      <w:r>
        <w:t>adenocarcinoma</w:t>
      </w:r>
      <w:r w:rsidR="004C7914">
        <w:t xml:space="preserve"> </w:t>
      </w:r>
      <w:r w:rsidR="00820602">
        <w:t>(</w:t>
      </w:r>
      <w:r w:rsidR="004C6085">
        <w:t>O</w:t>
      </w:r>
      <w:r w:rsidR="00820602">
        <w:t xml:space="preserve">GAC) </w:t>
      </w:r>
      <w:r>
        <w:t xml:space="preserve">undergo either perioperative chemotherapy or neoadjuvant chemoradiotherapy (NACRT) followed by surgery. There is clear evidence of benefit for both approaches </w:t>
      </w:r>
      <w:r w:rsidR="00AF199B">
        <w:t xml:space="preserve">compared to surgery alone </w:t>
      </w:r>
      <w:r>
        <w:t xml:space="preserve">in </w:t>
      </w:r>
      <w:r w:rsidR="00AF199B">
        <w:t>patients with</w:t>
      </w:r>
      <w:r>
        <w:t xml:space="preserve"> locally advanced disease.</w:t>
      </w:r>
      <w:r w:rsidR="00C1030A" w:rsidRPr="007B6070">
        <w:fldChar w:fldCharType="begin" w:fldLock="1"/>
      </w:r>
      <w:r w:rsidR="00D120BE">
        <w:instrText>ADDIN CSL_CITATION {"citationItems":[{"id":"ITEM-1","itemData":{"DOI":"10.1056/NEJMoa055531","ISSN":"0028-4793","author":[{"dropping-particle":"","family":"Cunningham","given":"David","non-dropping-particle":"","parse-names":false,"suffix":""},{"dropping-particle":"","family":"Allum","given":"William H","non-dropping-particle":"","parse-names":false,"suffix":""},{"dropping-particle":"","family":"Stenning","given":"Sally P","non-dropping-particle":"","parse-names":false,"suffix":""},{"dropping-particle":"","family":"Thompson","given":"Jeremy N","non-dropping-particle":"","parse-names":false,"suffix":""},{"dropping-particle":"","family":"Velde","given":"Cornelis J H","non-dropping-particle":"Van de","parse-names":false,"suffix":""},{"dropping-particle":"","family":"Nicolson","given":"Marianne","non-dropping-particle":"","parse-names":false,"suffix":""},{"dropping-particle":"","family":"Scarffe","given":"J Howard","non-dropping-particle":"","parse-names":false,"suffix":""},{"dropping-particle":"","family":"Lofts","given":"Fiona J","non-dropping-particle":"","parse-names":false,"suffix":""},{"dropping-particle":"","family":"Falk","given":"Stephen J","non-dropping-particle":"","parse-names":false,"suffix":""},{"dropping-particle":"","family":"Iveson","given":"Timothy J","non-dropping-particle":"","parse-names":false,"suffix":""},{"dropping-particle":"","family":"Smith","given":"David B","non-dropping-particle":"","parse-names":false,"suffix":""},{"dropping-particle":"","family":"Langley","given":"Ruth E","non-dropping-particle":"","parse-names":false,"suffix":""},{"dropping-particle":"","family":"Verma","given":"Monica","non-dropping-particle":"","parse-names":false,"suffix":""},{"dropping-particle":"","family":"Weeden","given":"Simon","non-dropping-particle":"","parse-names":false,"suffix":""},{"dropping-particle":"","family":"Chua","given":"Yu Jo","non-dropping-particle":"","parse-names":false,"suffix":""}],"container-title":"New England Journal of Medicine","id":"ITEM-1","issue":"1","issued":{"date-parts":[["2006"]]},"note":"doi: 10.1056/NEJMoa055531","page":"11-20","publisher":"Massachusetts Medical Society","title":"Perioperative Chemotherapy versus Surgery Alone for Resectable Gastroesophageal Cancer","type":"article-journal","volume":"355"},"uris":["http://www.mendeley.com/documents/?uuid=bbbccb40-bd98-4b5c-b029-e8d47969ec93"]},{"id":"ITEM-2","itemData":{"DOI":"10.1200/JCO.2009.22.2083","ISBN":"1527-7755 (Electronic)\\r0732-183X (Linking)","ISSN":"0732183X","PMID":"19770374","abstract":"Purpose OEO2 is a randomized, controlled trial of preoperative chemotherapy in patients undergoing radical surgery for esophageal cancer. Random assignment was to surgery alone (S) or to two cycles of combination cisplatin and fluorouracil before surgery (CS). Initial results reported in 2002 demonstrated an advantage for both disease-free and overall survival in the CS group. The analysis has now been updated after a median follow-up of 6 years.\\nPatients and Methods OEO2 recruited 802 patients, 400 on CS and 402 on S. The nature of the first recurrence event and cause of death are detailed. Survival has been determined from Kaplan-Meier curves and treatment comparisons made with the log-rank test. Survival by extent of resection is presented.\\nResults There were 655 deaths, 335 for S and 320 for CS. The survival benefit has been maintained with a hazard ratio (HR) of 0.84 (95% CI, 0.72 to 0.98; P = .03) which in absolute terms is a 5-year survival of 23.0% for CS compared with 17.1% for S. The treatment effect is consistent in both adenocarcinoma and squamous cell carcinoma. The first disease-free survival event was macroscopic residual disease from incomplete resection (R2) or no resection in 26.4% of the S group versus 14.3% of the CS P &lt; .001. Three-year survival by type of resection was R0 42.4%, R1 was 18.0%, and R2 was 8.6%.\\nConclusion Long-term follow-up confirms that preoperative chemotherapy improves survival in operable esophageal cancer and should be considered as a standard of care.","author":[{"dropping-particle":"","family":"Allum","given":"William H.","non-dropping-particle":"","parse-names":false,"suffix":""},{"dropping-particle":"","family":"Stenning","given":"Sally P.","non-dropping-particle":"","parse-names":false,"suffix":""},{"dropping-particle":"","family":"Bancewicz","given":"John","non-dropping-particle":"","parse-names":false,"suffix":""},{"dropping-particle":"","family":"Clark","given":"Peter I.","non-dropping-particle":"","parse-names":false,"suffix":""},{"dropping-particle":"","family":"Langley","given":"Ruth E.","non-dropping-particle":"","parse-names":false,"suffix":""}],"container-title":"Journal of Clinical Oncology","id":"ITEM-2","issue":"30","issued":{"date-parts":[["2009"]]},"page":"5062-5067","title":"Long-term results of a randomized trial of surgery with or without preoperative chemotherapy in esophageal cancer","type":"article-journal","volume":"27"},"uris":["http://www.mendeley.com/documents/?uuid=236762cf-9d0c-481f-afba-a5a440406865"]},{"id":"ITEM-3","itemData":{"DOI":"10.1056/NEJMoa1112088","ISBN":"1533-4406 (Electronic)\\r0028-4793 (Linking)","ISSN":"0028-4793","PMID":"22646630","abstract":"Weekly chemotherapy and concurrent radiotherapy for 5 weeks before curative resection in patients with esophageal or esophagogastric-junction cancer resulted in a pathologically complete response in 29% of patients and doubled the median overall survival to 4 years.","author":[{"dropping-particle":"","family":"Hagen","given":"P.","non-dropping-particle":"van","parse-names":false,"suffix":""},{"dropping-particle":"","family":"Hulshof","given":"M.C.C.M.","non-dropping-particle":"","parse-names":false,"suffix":""},{"dropping-particle":"","family":"Lanschot","given":"J.J.B.","non-dropping-particle":"van","parse-names":false,"suffix":""},{"dropping-particle":"","family":"Steyerberg","given":"E.W.","non-dropping-particle":"","parse-names":false,"suffix":""},{"dropping-particle":"","family":"Henegouwen","given":"M.I. van Berge","non-dropping-particle":"","parse-names":false,"suffix":""},{"dropping-particle":"","family":"Wijnhoven","given":"B.P.L.","non-dropping-particle":"","parse-names":false,"suffix":""},{"dropping-particle":"","family":"Richel","given":"D.J.","non-dropping-particle":"","parse-names":false,"suffix":""},{"dropping-particle":"","family":"Nieuwenhuijzen","given":"G.A.P.","non-dropping-particle":"","parse-names":false,"suffix":""},{"dropping-particle":"","family":"Hospers","given":"G.A.P.","non-dropping-particle":"","parse-names":false,"suffix":""},{"dropping-particle":"","family":"Bonenkamp","given":"J.J.","non-dropping-particle":"","parse-names":false,"suffix":""},{"dropping-particle":"","family":"Cuesta","given":"M.A.","non-dropping-particle":"","parse-names":false,"suffix":""},{"dropping-particle":"","family":"Blaisse","given":"R.J.B.","non-dropping-particle":"","parse-names":false,"suffix":""},{"dropping-particle":"","family":"Busch","given":"O.R.C.","non-dropping-particle":"","parse-names":false,"suffix":""},{"dropping-particle":"","family":"Kate","given":"F.J.W.","non-dropping-particle":"ten","parse-names":false,"suffix":""},{"dropping-particle":"","family":"Creemers","given":"G.-J.","non-dropping-particle":"","parse-names":false,"suffix":""},{"dropping-particle":"","family":"Punt","given":"C.J.A.","non-dropping-particle":"","parse-names":false,"suffix":""},{"dropping-particle":"","family":"Plukker","given":"J.T.M.","non-dropping-particle":"","parse-names":false,"suffix":""},{"dropping-particle":"","family":"Verheul","given":"H.M.W.","non-dropping-particle":"","parse-names":false,"suffix":""},{"dropping-particle":"","family":"Bilgen","given":"E.J. Spillenaar","non-dropping-particle":"","parse-names":false,"suffix":""},{"dropping-particle":"","family":"Dekken","given":"H.","non-dropping-particle":"van","parse-names":false,"suffix":""},{"dropping-particle":"","family":"Sangen","given":"M.J.C.","non-dropping-particle":"van der","parse-names":false,"suffix":""},{"dropping-particle":"","family":"Rozema","given":"T.","non-dropping-particle":"","parse-names":false,"suffix":""},{"dropping-particle":"","family":"Biermann","given":"K.","non-dropping-particle":"","parse-names":false,"suffix":""},{"dropping-particle":"","family":"Beukema","given":"J.C.","non-dropping-particle":"","parse-names":false,"suffix":""},{"dropping-particle":"","family":"Piet","given":"A.H.M.","non-dropping-particle":"","parse-names":false,"suffix":""},{"dropping-particle":"","family":"Rij","given":"C.M.","non-dropping-particle":"van","parse-names":false,"suffix":""},{"dropping-particle":"","family":"Reinders","given":"J.G.","non-dropping-particle":"","parse-names":false,"suffix":""},{"dropping-particle":"","family":"Tilanus","given":"H.W.","non-dropping-particle":"","parse-names":false,"suffix":""},{"dropping-particle":"","family":"Gaast","given":"A.","non-dropping-particle":"van der","parse-names":false,"suffix":""}],"container-title":"New England Journal of Medicine","id":"ITEM-3","issue":"22","issued":{"date-parts":[["2012"]]},"page":"2074-2084","title":"Preoperative Chemoradiotherapy for Esophageal or Junctional Cancer","type":"article-journal","volume":"366"},"uris":["http://www.mendeley.com/documents/?uuid=e3c9170b-6ebe-4d27-be09-2430191f4665"]},{"id":"ITEM-4","itemData":{"DOI":"10.1016/S0140-6736(18)32557-1","ISSN":"01406736","abstract":"BACKGROUND Docetaxel-based chemotherapy is effective in metastatic gastric and gastro-oesophageal junction adenocarcinoma. This study reports on the safety and efficacy of the docetaxel-based triplet FLOT (fluorouracil plus leucovorin, oxaliplatin and docetaxel) as a perioperative therapy for patients with locally advanced, resectable tumours. METHODS In this controlled, open-label, phase 2/3 trial, we randomly assigned 716 patients with histologically-confirmed advanced clinical stage cT2 or higher or nodal positive stage (cN+), or both, resectable tumours, with no evidence of distant metastases, via central interactive web-based-response system, to receive either three pre-operative and three postoperative 3-week cycles of 50 mg/m2 epirubicin and 60 mg/m2 cisplatin on day 1 plus either 200 mg/m2 fluorouracil as continuous intravenous infusion or 1250 mg/m2 capecitabine orally on days 1 to 21 (ECF/ECX; control group) or four preoperative and four postoperative 2-week cycles of 50 mg/m2 docetaxel, 85 mg/m2 oxaliplatin, 200 mg/m2 leucovorin and 2600 mg/m2 fluorouracil as 24-h infusion on day 1 (FLOT; experimental group). The primary outcome of the trial was overall survival (superiority) analysed in the intention-to-treat population. This trial is registered with ClinicalTrials.gov, number NCT01216644. FINDINGS Between Aug 8, 2010, and Feb 10, 2015, 716 patients were randomly assigned to treatment in 38 German hospitals or with practice-based oncologists. 360 patients were assigned to ECF/ECX and 356 patients to FLOT. Overall survival was increased in the FLOT group compared with the ECF/ECX group (hazard ratio [HR] 0·77; 95% confidence interval [CI; 0.63 to 0·94]; median overall survival, 50 months [38·33 to not reached] vs 35 months [27·35 to 46·26]). The number of patients with related serious adverse events (including those occurring during hospital stay for surgery) was similar in the two groups (96 [27%] in the ECF/ECX group vs 97 [27%] in the FLOT group), as was the number of toxic deaths (two [&lt;1%] in both groups). Hospitalisation for toxicity occurred in 94 patients (26%) in the ECF/ECX group and 89 patients (25%) in the FLOT group. INTERPRETATION In locally advanced, resectable gastric or gastro-oesophageal junction adenocarcinoma, perioperative FLOT improved overall survival compared with perioperative ECF/ECX. FUNDING The German Cancer Aid (Deutsche Krebshilfe), Sanofi-Aventis, Chugai, and Stiftung Leben mit Krebs Foundation.","author":[{"dropping-particle":"","family":"Al-Batran","given":"Salah-Eddin","non-dropping-particle":"","parse-names":false,"suffix":""},{"dropping-particle":"","family":"Homann","given":"Nils","non-dropping-particle":"","parse-names":false,"suffix":""},{"dropping-particle":"","family":"Pauligk","given":"Claudia","non-dropping-particle":"","parse-names":false,"suffix":""},{"dropping-particle":"","family":"Goetze","given":"Thorsten O","non-dropping-particle":"","parse-names":false,"suffix":""},{"dropping-particle":"","family":"Meiler","given":"Johannes","non-dropping-particle":"","parse-names":false,"suffix":""},{"dropping-particle":"","family":"Kasper","given":"Stefan","non-dropping-particle":"","parse-names":false,"suffix":""},{"dropping-particle":"","family":"Kopp","given":"Hans-Georg","non-dropping-particle":"","parse-names":false,"suffix":""},{"dropping-particle":"","family":"Mayer","given":"Frank","non-dropping-particle":"","parse-names":false,"suffix":""},{"dropping-particle":"","family":"Haag","given":"Georg Martin","non-dropping-particle":"","parse-names":false,"suffix":""},{"dropping-particle":"","family":"Luley","given":"Kim","non-dropping-particle":"","parse-names":false,"suffix":""},{"dropping-particle":"","family":"Lindig","given":"Udo","non-dropping-particle":"","parse-names":false,"suffix":""},{"dropping-particle":"","family":"Schmiegel","given":"Wolff","non-dropping-particle":"","parse-names":false,"suffix":""},{"dropping-particle":"","family":"Pohl","given":"Michael","non-dropping-particle":"","parse-names":false,"suffix":""},{"dropping-particle":"","family":"Stoehlmacher","given":"Jan","non-dropping-particle":"","parse-names":false,"suffix":""},{"dropping-particle":"","family":"Folprecht","given":"Gunnar","non-dropping-particle":"","parse-names":false,"suffix":""},{"dropping-particle":"","family":"Probst","given":"Stephan","non-dropping-particle":"","parse-names":false,"suffix":""},{"dropping-particle":"","family":"Prasnikar","given":"Nicole","non-dropping-particle":"","parse-names":false,"suffix":""},{"dropping-particle":"","family":"Fischbach","given":"Wolfgang","non-dropping-particle":"","parse-names":false,"suffix":""},{"dropping-particle":"","family":"Mahlberg","given":"Rolf","non-dropping-particle":"","parse-names":false,"suffix":""},{"dropping-particle":"","family":"Trojan","given":"Jörg","non-dropping-particle":"","parse-names":false,"suffix":""},{"dropping-particle":"","family":"Koenigsmann","given":"Michael","non-dropping-particle":"","parse-names":false,"suffix":""},{"dropping-particle":"","family":"Martens","given":"Uwe M","non-dropping-particle":"","parse-names":false,"suffix":""},{"dropping-particle":"","family":"Thuss-Patience","given":"Peter","non-dropping-particle":"","parse-names":false,"suffix":""},{"dropping-particle":"","family":"Egger","given":"Matthias","non-dropping-particle":"","parse-names":false,"suffix":""},{"dropping-particle":"","family":"Block","given":"Andreas","non-dropping-particle":"","parse-names":false,"suffix":""},{"dropping-particle":"","family":"Heinemann","given":"Volker","non-dropping-particle":"","parse-names":false,"suffix":""},{"dropping-particle":"","family":"Illerhaus","given":"Gerald","non-dropping-particle":"","parse-names":false,"suffix":""},{"dropping-particle":"","family":"Moehler","given":"Markus","non-dropping-particle":"","parse-names":false,"suffix":""},{"dropping-particle":"","family":"Schenk","given":"Michael","non-dropping-particle":"","parse-names":false,"suffix":""},{"dropping-particle":"","family":"Kullmann","given":"Frank","non-dropping-particle":"","parse-names":false,"suffix":""},{"dropping-particle":"","family":"Behringer","given":"Dirk M","non-dropping-particle":"","parse-names":false,"suffix":""},{"dropping-particle":"","family":"Heike","given":"Michael","non-dropping-particle":"","parse-names":false,"suffix":""},{"dropping-particle":"","family":"Pink","given":"Daniel","non-dropping-particle":"","parse-names":false,"suffix":""},{"dropping-particle":"","family":"Teschendorf","given":"Christian","non-dropping-particle":"","parse-names":false,"suffix":""},{"dropping-particle":"","family":"Löhr","given":"Carmen","non-dropping-particle":"","parse-names":false,"suffix":""},{"dropping-particle":"","family":"Bernhard","given":"Helga","non-dropping-particle":"","parse-names":false,"suffix":""},{"dropping-particle":"","family":"Schuch","given":"Gunter","non-dropping-particle":"","parse-names":false,"suffix":""},{"dropping-particle":"","family":"Rethwisch","given":"Volker","non-dropping-particle":"","parse-names":false,"suffix":""},{"dropping-particle":"","family":"Weikersthal","given":"Ludwig Fischer","non-dropping-particle":"von","parse-names":false,"suffix":""},{"dropping-particle":"","family":"Hartmann","given":"Jörg T","non-dropping-particle":"","parse-names":false,"suffix":""},{"dropping-particle":"","family":"Kneba","given":"Michael","non-dropping-particle":"","parse-names":false,"suffix":""},{"dropping-particle":"","family":"Daum","given":"Severin","non-dropping-particle":"","parse-names":false,"suffix":""},{"dropping-particle":"","family":"Schulmann","given":"Karsten","non-dropping-particle":"","parse-names":false,"suffix":""},{"dropping-particle":"","family":"Weniger","given":"Jörg","non-dropping-particle":"","parse-names":false,"suffix":""},{"dropping-particle":"","family":"Belle","given":"Sebastian","non-dropping-particle":"","parse-names":false,"suffix":""},{"dropping-particle":"","family":"Gaiser","given":"Timo","non-dropping-particle":"","parse-names":false,"suffix":""},{"dropping-particle":"","family":"Oduncu","given":"Fuat S","non-dropping-particle":"","parse-names":false,"suffix":""},{"dropping-particle":"","family":"Güntner","given":"Martina","non-dropping-particle":"","parse-names":false,"suffix":""},{"dropping-particle":"","family":"Hozaeel","given":"Wael","non-dropping-particle":"","parse-names":false,"suffix":""},{"dropping-particle":"","family":"Reichart","given":"Alexander","non-dropping-particle":"","parse-names":false,"suffix":""},{"dropping-particle":"","family":"Jäger","given":"Elke","non-dropping-particle":"","parse-names":false,"suffix":""},{"dropping-particle":"","family":"Kraus","given":"Thomas","non-dropping-particle":"","parse-names":false,"suffix":""},{"dropping-particle":"","family":"Mönig","given":"Stefan","non-dropping-particle":"","parse-names":false,"suffix":""},{"dropping-particle":"","family":"Bechstein","given":"Wolf O","non-dropping-particle":"","parse-names":false,"suffix":""},{"dropping-particle":"","family":"Schuler","given":"Martin","non-dropping-particle":"","parse-names":false,"suffix":""},{"dropping-particle":"","family":"Schmalenberg","given":"Harald","non-dropping-particle":"","parse-names":false,"suffix":""},{"dropping-particle":"","family":"Hofheinz","given":"Ralf D","non-dropping-particle":"","parse-names":false,"suffix":""}],"container-title":"The Lancet","id":"ITEM-4","issued":{"date-parts":[["2019"]]},"page":"1948-1957","title":"Perioperative chemotherapy with fluorouracil plus leucovorin, oxaliplatin, and docetaxel versus fluorouracil or capecitabine plus cisplatin and epirubicin for locally advanced, resectable gastric or gastro-oesophageal junction adenocarcinoma (FLOT4): a ra","type":"article-journal","volume":"393"},"uris":["http://www.mendeley.com/documents/?uuid=fe4be2a9-bf9e-4246-a37d-7ebcd1375f94"]}],"mendeley":{"formattedCitation":"(1–4)","plainTextFormattedCitation":"(1–4)","previouslyFormattedCitation":"(1–4)"},"properties":{"noteIndex":0},"schema":"https://github.com/citation-style-language/schema/raw/master/csl-citation.json"}</w:instrText>
      </w:r>
      <w:r w:rsidR="00C1030A" w:rsidRPr="007B6070">
        <w:fldChar w:fldCharType="separate"/>
      </w:r>
      <w:r w:rsidR="00C1030A" w:rsidRPr="007B6070">
        <w:rPr>
          <w:noProof/>
        </w:rPr>
        <w:t>(1–4)</w:t>
      </w:r>
      <w:r w:rsidR="00C1030A" w:rsidRPr="007B6070">
        <w:fldChar w:fldCharType="end"/>
      </w:r>
      <w:r w:rsidRPr="007B6070">
        <w:t xml:space="preserve"> Despite this, less than half of these patients will survive more than five years post-surgery</w:t>
      </w:r>
      <w:r w:rsidRPr="007B6070">
        <w:fldChar w:fldCharType="begin" w:fldLock="1"/>
      </w:r>
      <w:r w:rsidR="00D120BE">
        <w:instrText>ADDIN CSL_CITATION {"citationItems":[{"id":"ITEM-1","itemData":{"abstract":"NOGCA","author":[{"dropping-particle":"","family":"Cromwell","given":"David","non-dropping-particle":"","parse-names":false,"suffix":""},{"dropping-particle":"","family":"Wahedally","given":"Hussein","non-dropping-particle":"","parse-names":false,"suffix":""},{"dropping-particle":"","family":"Park","given":"Min Hae","non-dropping-particle":"","parse-names":false,"suffix":""},{"dropping-particle":"","family":"Maynard","given":"Nick","non-dropping-particle":"","parse-names":false,"suffix":""},{"dropping-particle":"","family":"Crosby","given":"Tom","non-dropping-particle":"","parse-names":false,"suffix":""},{"dropping-particle":"","family":"Trudgill","given":"Nigel","non-dropping-particle":"","parse-names":false,"suffix":""},{"dropping-particle":"","family":"Gaskell","given":"Jane","non-dropping-particle":"","parse-names":false,"suffix":""},{"dropping-particle":"","family":"Napper","given":"Rose","non-dropping-particle":"","parse-names":false,"suffix":""}],"id":"ITEM-1","issue":"December","issued":{"date-parts":[["2019"]]},"publisher-place":"London","title":"National Oesophago-Gastric Cancer Audit: 2019 Annual Report","type":"report"},"uris":["http://www.mendeley.com/documents/?uuid=660de257-9a3b-4c3c-a2e4-f3e084a9fa93"]}],"mendeley":{"formattedCitation":"(5)","plainTextFormattedCitation":"(5)","previouslyFormattedCitation":"(5)"},"properties":{"noteIndex":0},"schema":"https://github.com/citation-style-language/schema/raw/master/csl-citation.json"}</w:instrText>
      </w:r>
      <w:r w:rsidRPr="007B6070">
        <w:fldChar w:fldCharType="separate"/>
      </w:r>
      <w:r w:rsidRPr="007B6070">
        <w:rPr>
          <w:noProof/>
        </w:rPr>
        <w:t>(5)</w:t>
      </w:r>
      <w:r w:rsidRPr="007B6070">
        <w:fldChar w:fldCharType="end"/>
      </w:r>
      <w:r w:rsidR="007B6070" w:rsidRPr="007B6070">
        <w:t xml:space="preserve">. The </w:t>
      </w:r>
      <w:r w:rsidR="00CF0355" w:rsidRPr="007B6070">
        <w:t>benefit of perioperative/neoadjuvant treatment outside patients who exhibit substantial cancer regression (primary tumour and/or lymph nodes), which probably represents less than 20% of those receiving perioperative chemotherapy</w:t>
      </w:r>
      <w:r w:rsidR="00CF0355" w:rsidRPr="007B6070">
        <w:fldChar w:fldCharType="begin" w:fldLock="1"/>
      </w:r>
      <w:r w:rsidR="00D120BE">
        <w:instrText>ADDIN CSL_CITATION {"citationItems":[{"id":"ITEM-1","itemData":{"DOI":"10.1002/bjs.10627","ISSN":"00071323","PMID":"28944954","abstract":"BACKGROUND This multicentre cohort study sought to define a robust pathological indicator of clinically meaningful response to neoadjuvant chemotherapy in oesophageal adenocarcinoma. METHODS A questionnaire was distributed to 11 UK upper gastrointestinal cancer centres to determine the use of assessment of response to neoadjuvant chemotherapy. Records of consecutive patients undergoing oesophagogastric resection at seven centres between January 2000 and December 2013 were reviewed. Pathological response to neoadjuvant chemotherapy was assessed using the Mandard Tumour Regression Grade (TRG) and lymph node downstaging. RESULTS TRG (8 of 11 centres) was the most widely used system to assess response to neoadjuvant chemotherapy, but there was discordance on how it was used in practice. Of 1392 patients, 1293 had TRG assessment; data were available for clinical and pathological nodal status (cN and pN) in 981 patients, and TRG, cN and pN in 885. There was a significant difference in survival between responders (TRG 1-2; median overall survival (OS) not reached) and non-responders (TRG 3-5; median OS 2·22 (95 per cent c.i. 1·94 to 2·51) years; P &lt; 0·001); the hazard ratio was 2·46 (95 per cent c.i. 1·22 to 4·95; P = 0·012). Among local non-responders, the presence of lymph node downstaging was associated with significantly improved OS compared with that of patients without lymph node downstaging (median OS not reached versus 1·92 (1·68 to 2·16) years; P &lt; 0·001). CONCLUSION A clinically meaningful local response to neoadjuvant chemotherapy was restricted to the small minority of patients (14·8 per cent) with TRG 1-2. Among local non-responders, a subset of patients (21·3 per cent) derived benefit from neoadjuvant chemotherapy by lymph node downstaging and their survival mirrored that of local responders.","author":[{"dropping-particle":"","family":"Noble","given":"F.","non-dropping-particle":"","parse-names":false,"suffix":""},{"dropping-particle":"","family":"Lloyd","given":"M. A.","non-dropping-particle":"","parse-names":false,"suffix":""},{"dropping-particle":"","family":"Turkington","given":"R.","non-dropping-particle":"","parse-names":false,"suffix":""},{"dropping-particle":"","family":"Griffiths","given":"E.","non-dropping-particle":"","parse-names":false,"suffix":""},{"dropping-particle":"","family":"O'Donovan","given":"M.","non-dropping-particle":"","parse-names":false,"suffix":""},{"dropping-particle":"","family":"O'Neill","given":"J. R.","non-dropping-particle":"","parse-names":false,"suffix":""},{"dropping-particle":"","family":"Mercer","given":"S.","non-dropping-particle":"","parse-names":false,"suffix":""},{"dropping-particle":"","family":"Parsons","given":"S. L.","non-dropping-particle":"","parse-names":false,"suffix":""},{"dropping-particle":"","family":"Fitzgerald","given":"R. C.","non-dropping-particle":"","parse-names":false,"suffix":""},{"dropping-particle":"","family":"Underwood","given":"T. J.","non-dropping-particle":"","parse-names":false,"suffix":""},{"dropping-particle":"","family":"OCCAMS consortium","given":"","non-dropping-particle":"","parse-names":false,"suffix":""}],"container-title":"British Journal of Surgery","id":"ITEM-1","issue":"13","issued":{"date-parts":[["2017","12"]]},"page":"1816-1828","title":"Multicentre cohort study to define and validate pathological assessment of response to neoadjuvant therapy in oesophagogastric adenocarcinoma","type":"article-journal","volume":"104"},"uris":["http://www.mendeley.com/documents/?uuid=cfb276fe-fba5-3234-9004-13e88a5bd79f"]}],"mendeley":{"formattedCitation":"(6)","plainTextFormattedCitation":"(6)","previouslyFormattedCitation":"(6)"},"properties":{"noteIndex":0},"schema":"https://github.com/citation-style-language/schema/raw/master/csl-citation.json"}</w:instrText>
      </w:r>
      <w:r w:rsidR="00CF0355" w:rsidRPr="007B6070">
        <w:fldChar w:fldCharType="separate"/>
      </w:r>
      <w:r w:rsidR="00CF0355" w:rsidRPr="007B6070">
        <w:rPr>
          <w:noProof/>
        </w:rPr>
        <w:t>(6)</w:t>
      </w:r>
      <w:r w:rsidR="00CF0355" w:rsidRPr="007B6070">
        <w:fldChar w:fldCharType="end"/>
      </w:r>
      <w:r w:rsidR="00CF0355" w:rsidRPr="007B6070">
        <w:t xml:space="preserve"> and less than 30% with NACRT</w:t>
      </w:r>
      <w:r w:rsidR="00CF0355" w:rsidRPr="007B6070">
        <w:fldChar w:fldCharType="begin" w:fldLock="1"/>
      </w:r>
      <w:r w:rsidR="00D120BE">
        <w:instrText>ADDIN CSL_CITATION {"citationItems":[{"id":"ITEM-1","itemData":{"DOI":"10.1056/NEJMoa1112088","ISBN":"1533-4406 (Electronic)\\r0028-4793 (Linking)","ISSN":"0028-4793","PMID":"22646630","abstract":"Weekly chemotherapy and concurrent radiotherapy for 5 weeks before curative resection in patients with esophageal or esophagogastric-junction cancer resulted in a pathologically complete response in 29% of patients and doubled the median overall survival to 4 years.","author":[{"dropping-particle":"","family":"Hagen","given":"P.","non-dropping-particle":"van","parse-names":false,"suffix":""},{"dropping-particle":"","family":"Hulshof","given":"M.C.C.M.","non-dropping-particle":"","parse-names":false,"suffix":""},{"dropping-particle":"","family":"Lanschot","given":"J.J.B.","non-dropping-particle":"van","parse-names":false,"suffix":""},{"dropping-particle":"","family":"Steyerberg","given":"E.W.","non-dropping-particle":"","parse-names":false,"suffix":""},{"dropping-particle":"","family":"Henegouwen","given":"M.I. van Berge","non-dropping-particle":"","parse-names":false,"suffix":""},{"dropping-particle":"","family":"Wijnhoven","given":"B.P.L.","non-dropping-particle":"","parse-names":false,"suffix":""},{"dropping-particle":"","family":"Richel","given":"D.J.","non-dropping-particle":"","parse-names":false,"suffix":""},{"dropping-particle":"","family":"Nieuwenhuijzen","given":"G.A.P.","non-dropping-particle":"","parse-names":false,"suffix":""},{"dropping-particle":"","family":"Hospers","given":"G.A.P.","non-dropping-particle":"","parse-names":false,"suffix":""},{"dropping-particle":"","family":"Bonenkamp","given":"J.J.","non-dropping-particle":"","parse-names":false,"suffix":""},{"dropping-particle":"","family":"Cuesta","given":"M.A.","non-dropping-particle":"","parse-names":false,"suffix":""},{"dropping-particle":"","family":"Blaisse","given":"R.J.B.","non-dropping-particle":"","parse-names":false,"suffix":""},{"dropping-particle":"","family":"Busch","given":"O.R.C.","non-dropping-particle":"","parse-names":false,"suffix":""},{"dropping-particle":"","family":"Kate","given":"F.J.W.","non-dropping-particle":"ten","parse-names":false,"suffix":""},{"dropping-particle":"","family":"Creemers","given":"G.-J.","non-dropping-particle":"","parse-names":false,"suffix":""},{"dropping-particle":"","family":"Punt","given":"C.J.A.","non-dropping-particle":"","parse-names":false,"suffix":""},{"dropping-particle":"","family":"Plukker","given":"J.T.M.","non-dropping-particle":"","parse-names":false,"suffix":""},{"dropping-particle":"","family":"Verheul","given":"H.M.W.","non-dropping-particle":"","parse-names":false,"suffix":""},{"dropping-particle":"","family":"Bilgen","given":"E.J. Spillenaar","non-dropping-particle":"","parse-names":false,"suffix":""},{"dropping-particle":"","family":"Dekken","given":"H.","non-dropping-particle":"van","parse-names":false,"suffix":""},{"dropping-particle":"","family":"Sangen","given":"M.J.C.","non-dropping-particle":"van der","parse-names":false,"suffix":""},{"dropping-particle":"","family":"Rozema","given":"T.","non-dropping-particle":"","parse-names":false,"suffix":""},{"dropping-particle":"","family":"Biermann","given":"K.","non-dropping-particle":"","parse-names":false,"suffix":""},{"dropping-particle":"","family":"Beukema","given":"J.C.","non-dropping-particle":"","parse-names":false,"suffix":""},{"dropping-particle":"","family":"Piet","given":"A.H.M.","non-dropping-particle":"","parse-names":false,"suffix":""},{"dropping-particle":"","family":"Rij","given":"C.M.","non-dropping-particle":"van","parse-names":false,"suffix":""},{"dropping-particle":"","family":"Reinders","given":"J.G.","non-dropping-particle":"","parse-names":false,"suffix":""},{"dropping-particle":"","family":"Tilanus","given":"H.W.","non-dropping-particle":"","parse-names":false,"suffix":""},{"dropping-particle":"","family":"Gaast","given":"A.","non-dropping-particle":"van der","parse-names":false,"suffix":""}],"container-title":"New England Journal of Medicine","id":"ITEM-1","issue":"22","issued":{"date-parts":[["2012"]]},"page":"2074-2084","title":"Preoperative Chemoradiotherapy for Esophageal or Junctional Cancer","type":"article-journal","volume":"366"},"uris":["http://www.mendeley.com/documents/?uuid=e3c9170b-6ebe-4d27-be09-2430191f4665"]}],"mendeley":{"formattedCitation":"(3)","plainTextFormattedCitation":"(3)","previouslyFormattedCitation":"(3)"},"properties":{"noteIndex":0},"schema":"https://github.com/citation-style-language/schema/raw/master/csl-citation.json"}</w:instrText>
      </w:r>
      <w:r w:rsidR="00CF0355" w:rsidRPr="007B6070">
        <w:fldChar w:fldCharType="separate"/>
      </w:r>
      <w:r w:rsidR="00CF0355" w:rsidRPr="007B6070">
        <w:rPr>
          <w:noProof/>
        </w:rPr>
        <w:t>(3)</w:t>
      </w:r>
      <w:r w:rsidR="00CF0355" w:rsidRPr="007B6070">
        <w:fldChar w:fldCharType="end"/>
      </w:r>
      <w:r w:rsidR="00CF0355" w:rsidRPr="007B6070">
        <w:t>, appears to be small</w:t>
      </w:r>
      <w:r w:rsidR="0001272F" w:rsidRPr="007B6070">
        <w:t xml:space="preserve"> in retrospective analys</w:t>
      </w:r>
      <w:r w:rsidR="00DC4123" w:rsidRPr="007B6070">
        <w:t>e</w:t>
      </w:r>
      <w:r w:rsidR="0001272F" w:rsidRPr="007B6070">
        <w:t>s</w:t>
      </w:r>
      <w:r w:rsidR="00CF0355" w:rsidRPr="007B6070">
        <w:t>.</w:t>
      </w:r>
      <w:r w:rsidR="00CF0355">
        <w:rPr>
          <w:rFonts w:cs="Calibri"/>
          <w:color w:val="000000"/>
          <w:sz w:val="21"/>
          <w:szCs w:val="21"/>
          <w:lang w:eastAsia="en-GB"/>
        </w:rPr>
        <w:t xml:space="preserve"> </w:t>
      </w:r>
      <w:r>
        <w:t xml:space="preserve">Furthermore, the importance of different components of perioperative chemotherapy, particularly treatment given in the postoperative period, is unclear. This is of particular relevance in </w:t>
      </w:r>
      <w:r w:rsidR="007B6070">
        <w:t>O</w:t>
      </w:r>
      <w:r w:rsidR="00820602">
        <w:t>GAC</w:t>
      </w:r>
      <w:r w:rsidR="00394BB5">
        <w:t xml:space="preserve"> </w:t>
      </w:r>
      <w:r>
        <w:t>because even in trial settings</w:t>
      </w:r>
      <w:r w:rsidR="00454071">
        <w:t xml:space="preserve"> the planned postoperative component of perioperative</w:t>
      </w:r>
      <w:r>
        <w:t xml:space="preserve"> chemotherapy is </w:t>
      </w:r>
      <w:r w:rsidR="00AF3551">
        <w:t>started</w:t>
      </w:r>
      <w:r>
        <w:t xml:space="preserve"> in as few as 50-60% of cases and completed in less than 50%.</w:t>
      </w:r>
      <w:r w:rsidR="00C1030A">
        <w:fldChar w:fldCharType="begin" w:fldLock="1"/>
      </w:r>
      <w:r w:rsidR="00D120BE">
        <w:instrText>ADDIN CSL_CITATION {"citationItems":[{"id":"ITEM-1","itemData":{"DOI":"10.1056/NEJMoa055531","ISSN":"0028-4793","author":[{"dropping-particle":"","family":"Cunningham","given":"David","non-dropping-particle":"","parse-names":false,"suffix":""},{"dropping-particle":"","family":"Allum","given":"William H","non-dropping-particle":"","parse-names":false,"suffix":""},{"dropping-particle":"","family":"Stenning","given":"Sally P","non-dropping-particle":"","parse-names":false,"suffix":""},{"dropping-particle":"","family":"Thompson","given":"Jeremy N","non-dropping-particle":"","parse-names":false,"suffix":""},{"dropping-particle":"","family":"Velde","given":"Cornelis J H","non-dropping-particle":"Van de","parse-names":false,"suffix":""},{"dropping-particle":"","family":"Nicolson","given":"Marianne","non-dropping-particle":"","parse-names":false,"suffix":""},{"dropping-particle":"","family":"Scarffe","given":"J Howard","non-dropping-particle":"","parse-names":false,"suffix":""},{"dropping-particle":"","family":"Lofts","given":"Fiona J","non-dropping-particle":"","parse-names":false,"suffix":""},{"dropping-particle":"","family":"Falk","given":"Stephen J","non-dropping-particle":"","parse-names":false,"suffix":""},{"dropping-particle":"","family":"Iveson","given":"Timothy J","non-dropping-particle":"","parse-names":false,"suffix":""},{"dropping-particle":"","family":"Smith","given":"David B","non-dropping-particle":"","parse-names":false,"suffix":""},{"dropping-particle":"","family":"Langley","given":"Ruth E","non-dropping-particle":"","parse-names":false,"suffix":""},{"dropping-particle":"","family":"Verma","given":"Monica","non-dropping-particle":"","parse-names":false,"suffix":""},{"dropping-particle":"","family":"Weeden","given":"Simon","non-dropping-particle":"","parse-names":false,"suffix":""},{"dropping-particle":"","family":"Chua","given":"Yu Jo","non-dropping-particle":"","parse-names":false,"suffix":""}],"container-title":"New England Journal of Medicine","id":"ITEM-1","issue":"1","issued":{"date-parts":[["2006"]]},"note":"doi: 10.1056/NEJMoa055531","page":"11-20","publisher":"Massachusetts Medical Society","title":"Perioperative Chemotherapy versus Surgery Alone for Resectable Gastroesophageal Cancer","type":"article-journal","volume":"355"},"uris":["http://www.mendeley.com/documents/?uuid=bbbccb40-bd98-4b5c-b029-e8d47969ec93"]},{"id":"ITEM-2","itemData":{"DOI":"10.1007/s10120-014-0356-0","ISSN":"14363305","PMID":"24638977","abstract":"Esophagogastric cancer encompasses proximal squamous cell carcinoma of the esophagus, distal esophageal/junctional adenocarcinoma of the esophagus and gastric adenocarcinoma. These diseases have different etiologies, geographic incidences and biologies. This review mainly focuses on the treatment of operable esophagogastric adenocarcinoma. In Asia, adjuvant chemotherapy is commonly used for patients with gastric cancer following the landmark ACTS-GC trial. In contrast, perioperative chemotherapy is a standard of care in many Western countries based on the results of the MAGIC trial. Neoadjuvant chemotherapy is better tolerated than adjuvant therapy, and therefore dose intensity is likely to be maintained in a greater proportion of patients. In addition, neoadjuvant treatment can lead to tumor downstaging, increasing the likelihood of achieving a complete surgical resection. This may be particularly important in Western populations, as these patients often present with more advanced tumors than Asian patients. Adjuvant chemoradiotherapy is a standard treatment option in the USA for adenocarcinoma of the stomach or gastroesophageal junction as a result of the INT-0116 trial, but the benefit of this approach after a D2 resection has not been confirmed. Neoadjuvant chemoradiotherapy may reduce the risk of local recurrence and may be particularly beneficial for patients with squamous cell carcinoma as these tumors are more radiosensitive. However, patients with esophagogastric adenocarcinoma are more likely to relapse with distant disease, and therefore a systemic disease approach with chemotherapy is likely to be more beneficial than a purely localized treatment strategy for these patients.","author":[{"dropping-particle":"","family":"Moorcraft","given":"Sing Yu","non-dropping-particle":"","parse-names":false,"suffix":""},{"dropping-particle":"","family":"Smyth","given":"Elizabeth C.","non-dropping-particle":"","parse-names":false,"suffix":""},{"dropping-particle":"","family":"Cunningham","given":"David","non-dropping-particle":"","parse-names":false,"suffix":""}],"container-title":"Gastric Cancer","id":"ITEM-2","issue":"1","issued":{"date-parts":[["2015"]]},"page":"1-10","title":"Adjuvant or neoadjuvant therapy for operable esophagogastric cancer?","type":"article-journal","volume":"18"},"uris":["http://www.mendeley.com/documents/?uuid=dd1aa84b-ca48-4d6e-8259-ace06404a9dc"]}],"mendeley":{"formattedCitation":"(1,7)","plainTextFormattedCitation":"(1,7)","previouslyFormattedCitation":"(1,7)"},"properties":{"noteIndex":0},"schema":"https://github.com/citation-style-language/schema/raw/master/csl-citation.json"}</w:instrText>
      </w:r>
      <w:r w:rsidR="00C1030A">
        <w:fldChar w:fldCharType="separate"/>
      </w:r>
      <w:r w:rsidR="00C1030A" w:rsidRPr="002B3E81">
        <w:rPr>
          <w:noProof/>
        </w:rPr>
        <w:t>(1,7)</w:t>
      </w:r>
      <w:r w:rsidR="00C1030A">
        <w:fldChar w:fldCharType="end"/>
      </w:r>
      <w:r w:rsidRPr="6990ECC9">
        <w:rPr>
          <w:sz w:val="24"/>
          <w:szCs w:val="24"/>
        </w:rPr>
        <w:t xml:space="preserve"> </w:t>
      </w:r>
      <w:r w:rsidR="001858CF" w:rsidRPr="00967E3E">
        <w:t xml:space="preserve">This leads many treating clinicians to believe that the benefit </w:t>
      </w:r>
      <w:r w:rsidR="001858CF">
        <w:t>of perioperative chemotherapy is all derived from the preoperative doses. In the majority of cases where postoperative chemotherapy is not given, this is due to poor patient fitness after surgery.</w:t>
      </w:r>
      <w:r w:rsidR="001858CF">
        <w:fldChar w:fldCharType="begin" w:fldLock="1"/>
      </w:r>
      <w:r w:rsidR="00D120BE">
        <w:instrText>ADDIN CSL_CITATION {"citationItems":[{"id":"ITEM-1","itemData":{"DOI":"10.1200/JCO.2011.38.9791","ISSN":"0732183X","PMID":"22215745","abstract":"Purpose: To clarify whether health-related quality of life (HRQL) can be restored in 5-year survivors of esophageal cancer surgery. Patients and Methods: The nationwide Swedish prospective and population-based cohort for this study consisted of patients with esophageal cancer who were treated surgically between 2001 and 2005 and were alive 5 years after surgery. The European Organisation for Research and Treatment of Cancer Quality of Life Questionnaire C30 (EORTC QLQ-C30) and EORTC QLQ-OES18 (the disease site-specific module for esophageal cancer) were used to assess HRQL 6 months, 3 years, and 5 years postoperatively. Paired t tests were used to evaluate changes in HRQL over time. Patients'HRQL was classified as improved, stable, or deteriorated. Multivariable linear regression was used to calculate mean score difference in HRQL with 95% CIs between patients and a background population according to HRQL category. Results: Among 153 eligible patients alive after 5 years, 117 (76%) answered all HRQL assessments. Among a random sample of 6,969 Swedish adults representing the corresponding background population, 4,910 (70.5%) participated. For most patients, HRQL remained stable or improved over time, and their HRQL was comparable to that of the background population. Patients who deteriorated over time reported large and clinically significant mean score differences for all measures. For example, 5 years after surgery, physical function was stable or improved in 86% of patients and their mean score (87) was similar to that of the background population (88), but the 14% who deteriorated had a substantially lower mean score of 56. Conclusion: HRQL recovers to a level comparable to that in the background population in most patients who survive 5 years after esophagectomy for cancer, although a subgroup of patients has substantially worse HRQL. © 2012 by American Society of Clinical Oncology.","author":[{"dropping-particle":"","family":"Derogar","given":"Maryam","non-dropping-particle":"","parse-names":false,"suffix":""},{"dropping-particle":"","family":"Lagergren","given":"Pernilla","non-dropping-particle":"","parse-names":false,"suffix":""}],"container-title":"Journal of Clinical Oncology","id":"ITEM-1","issue":"4","issued":{"date-parts":[["2012"]]},"page":"413-418","title":"Health-related quality of life among 5-year survivors of esophageal cancer surgery: A prospective population-based study","type":"article-journal","volume":"30"},"uris":["http://www.mendeley.com/documents/?uuid=d041a270-d3b3-4bb4-b573-1b92067637ef"]},{"id":"ITEM-2","itemData":{"DOI":"10.1001/jamasurg.2018.3752","ISSN":"2168-6254","author":[{"dropping-particle":"","family":"Stijns","given":"Rutger C. H.","non-dropping-particle":"","parse-names":false,"suffix":""},{"dropping-particle":"","family":"Graaf","given":"Eelco J. R.","non-dropping-particle":"de","parse-names":false,"suffix":""},{"dropping-particle":"","family":"Punt","given":"Cornelis J. A.","non-dropping-particle":"","parse-names":false,"suffix":""},{"dropping-particle":"","family":"Nagtegaal","given":"Iris D.","non-dropping-particle":"","parse-names":false,"suffix":""},{"dropping-particle":"","family":"Nuyttens","given":"Joost J. M. E.","non-dropping-particle":"","parse-names":false,"suffix":""},{"dropping-particle":"","family":"Meerten","given":"Esther","non-dropping-particle":"van","parse-names":false,"suffix":""},{"dropping-particle":"","family":"Tanis","given":"Pieter J.","non-dropping-particle":"","parse-names":false,"suffix":""},{"dropping-particle":"","family":"Hingh","given":"Ignace H. J. T.","non-dropping-particle":"de","parse-names":false,"suffix":""},{"dropping-particle":"","family":"Schelling","given":"George P.","non-dropping-particle":"van der","parse-names":false,"suffix":""},{"dropping-particle":"","family":"Acherman","given":"Yair","non-dropping-particle":"","parse-names":false,"suffix":""},{"dropping-particle":"","family":"Leijtens","given":"Jeroen W. A.","non-dropping-particle":"","parse-names":false,"suffix":""},{"dropping-particle":"","family":"Bremers","given":"Andreas J. A.","non-dropping-particle":"","parse-names":false,"suffix":""},{"dropping-particle":"","family":"Beets","given":"Geerard L.","non-dropping-particle":"","parse-names":false,"suffix":""},{"dropping-particle":"","family":"Hoff","given":"Christiaan","non-dropping-particle":"","parse-names":false,"suffix":""},{"dropping-particle":"","family":"Verhoef","given":"Cornelis","non-dropping-particle":"","parse-names":false,"suffix":""},{"dropping-particle":"","family":"Marijnen","given":"Corrie A. M.","non-dropping-particle":"","parse-names":false,"suffix":""},{"dropping-particle":"","family":"Wilt","given":"Johannes H. W.","non-dropping-particle":"de","parse-names":false,"suffix":""}],"container-title":"JAMA Surgery","id":"ITEM-2","issued":{"date-parts":[["2018"]]},"page":"1-8","title":"Long-term Oncological and Functional Outcomes of Chemoradiotherapy Followed by Organ-Sparing Transanal Endoscopic Microsurgery for Distal Rectal Cancer","type":"article-journal"},"uris":["http://www.mendeley.com/documents/?uuid=ecf96fdd-97de-4287-8cf2-c5d605ab4cdf"]}],"mendeley":{"formattedCitation":"(8,9)","plainTextFormattedCitation":"(8,9)","previouslyFormattedCitation":"(8,9)"},"properties":{"noteIndex":0},"schema":"https://github.com/citation-style-language/schema/raw/master/csl-citation.json"}</w:instrText>
      </w:r>
      <w:r w:rsidR="001858CF">
        <w:fldChar w:fldCharType="separate"/>
      </w:r>
      <w:r w:rsidR="00C1030A" w:rsidRPr="002B3E81">
        <w:rPr>
          <w:noProof/>
        </w:rPr>
        <w:t>(8,9)</w:t>
      </w:r>
      <w:r w:rsidR="001858CF">
        <w:fldChar w:fldCharType="end"/>
      </w:r>
      <w:r w:rsidR="001858CF">
        <w:t xml:space="preserve"> In this context, </w:t>
      </w:r>
      <w:r>
        <w:t>quantifying the additional benefit of postoperative treatment and establishing in whom this occurs would allow more informed decision making about relative risks and benefits.</w:t>
      </w:r>
      <w:r w:rsidR="004E00BF">
        <w:t xml:space="preserve"> </w:t>
      </w:r>
    </w:p>
    <w:p w14:paraId="2AEF32F0" w14:textId="55C14E2B" w:rsidR="00D34926" w:rsidRDefault="00FD069B" w:rsidP="007B6070">
      <w:pPr>
        <w:spacing w:before="0" w:line="480" w:lineRule="auto"/>
        <w:rPr>
          <w:rFonts w:cs="Lucida Sans"/>
          <w:color w:val="000000"/>
          <w:sz w:val="24"/>
          <w:szCs w:val="24"/>
        </w:rPr>
      </w:pPr>
      <w:r>
        <w:t>To date, there are no published random</w:t>
      </w:r>
      <w:r w:rsidRPr="007B6070">
        <w:t xml:space="preserve">ised controlled trials (RCTs) of </w:t>
      </w:r>
      <w:r w:rsidR="00932537" w:rsidRPr="007B6070">
        <w:t xml:space="preserve">postoperative chemotherapy </w:t>
      </w:r>
      <w:r w:rsidRPr="007B6070">
        <w:t xml:space="preserve">following </w:t>
      </w:r>
      <w:r w:rsidR="008A3FB5" w:rsidRPr="007B6070">
        <w:t xml:space="preserve">preoperative </w:t>
      </w:r>
      <w:r w:rsidRPr="007B6070">
        <w:t>chemotherapy + surgery.</w:t>
      </w:r>
      <w:r w:rsidR="00D27DA6" w:rsidRPr="007B6070">
        <w:t xml:space="preserve"> In reality, such a trial would be challenging to conduct. Assuming modest efficacy and 50% of patients undergoing treatment per-protocol, several thousand patients would be required for an adequately powered primary analysis (even more for meaningful subgroup analyses), a likely infeasible number of patients to achieve in a changing treatment field.</w:t>
      </w:r>
      <w:r>
        <w:t xml:space="preserve"> </w:t>
      </w:r>
      <w:r w:rsidR="001A6623">
        <w:t xml:space="preserve">The </w:t>
      </w:r>
      <w:r>
        <w:t xml:space="preserve">strongest evidence to guide practice has been generated from observational studies using large </w:t>
      </w:r>
      <w:r w:rsidR="00F03B90">
        <w:t>population-based</w:t>
      </w:r>
      <w:r>
        <w:t xml:space="preserve"> datasets. Research into the benefit of </w:t>
      </w:r>
      <w:r w:rsidR="00E93A26">
        <w:t>postoperative</w:t>
      </w:r>
      <w:r>
        <w:t xml:space="preserve"> </w:t>
      </w:r>
      <w:r>
        <w:lastRenderedPageBreak/>
        <w:t xml:space="preserve">chemotherapy after NACRT and surgery </w:t>
      </w:r>
      <w:r w:rsidR="00841432">
        <w:t xml:space="preserve">for </w:t>
      </w:r>
      <w:r w:rsidR="004C6085">
        <w:t>o</w:t>
      </w:r>
      <w:r w:rsidR="00841432">
        <w:t xml:space="preserve">esophageal adenocarcinoma </w:t>
      </w:r>
      <w:r>
        <w:t>using the United States National Cancer Database (NCDB) suggested a survival benefit, particularly when there is residual disease</w:t>
      </w:r>
      <w:r w:rsidR="001D58B1">
        <w:t xml:space="preserve"> (hazard ratio</w:t>
      </w:r>
      <w:r w:rsidR="0001084F">
        <w:t xml:space="preserve"> (HR)</w:t>
      </w:r>
      <w:r w:rsidR="001D58B1">
        <w:t xml:space="preserve"> 0.69-0.79)</w:t>
      </w:r>
      <w:r>
        <w:t>.</w:t>
      </w:r>
      <w:r>
        <w:fldChar w:fldCharType="begin" w:fldLock="1"/>
      </w:r>
      <w:r w:rsidR="00D120BE">
        <w:instrText>ADDIN CSL_CITATION {"citationItems":[{"id":"ITEM-1","itemData":{"DOI":"10.1097/SLA.0000000000001954","ISBN":"0000000000","ISSN":"15281140","PMID":"27501170","abstract":"Objective: To determine whether adjuvant chemotherapy (AC) after neoadjuvant chemoradiation and esophagectomy is associated with improved overall survival for patients with locally advanced esophageal cancer, and to evaluate how pathologic disease response to neoadjuvant treatment impacts this effect. Background: Neoadjuvant chemoradiation is currently the preferred management approach for locoregional esophageal cancer. Although there is interest in the use of AC, the benefit of systemic therapy after neoadjuvant chemoradiation and esophagectomy is unclear. Methods: Retrospective cohort study of patients with esophageal cancer treated with neoadjuvant chemoradiation and esophagectomy in the National Cancer Data Base (2006-2012). Results: Among 3592 patients with esophageal cancer (84.7% adenocarcinoma, 15.2% squamous cell carcinoma), 335 (9.3%) were treated with AC. AC was not associated with a significantly lower risk of death among patients with no residual disease (ypT0N0) or residual non-nodal disease (ypT+N0). Among patients with residual nodal disease (ypTanyN+), AC was associated with a 30% lower risk of death in the overall cohort [hazard ratio (HR) 0.70, (0.57-0.85)] and among those with adenocarcinoma [HR 0.69 (0.57-0.85)]. Using a 90-day postoperative landmark, findings were similar. Among patients with postoperative length of stay ≤10 days and no unplanned readmission, AC was associated with approximately 40% lower risk of death among patients with residual nodal disease [overall cohort, HR 0.63 (0.48-0.84); adenocarcinoma, HR 0.66 (0.49-0.88)]. Conclusions: AC after neoadjuvant chemoradiation and esophagectomy is associated with improved survival in patients with residual nodal disease. Our findings suggest AC may provide additional benefit for esophageal cancer patients, and merits further investigation.","author":[{"dropping-particle":"","family":"Burt","given":"Bryan M.","non-dropping-particle":"","parse-names":false,"suffix":""},{"dropping-particle":"","family":"Groth","given":"Shawn S.","non-dropping-particle":"","parse-names":false,"suffix":""},{"dropping-particle":"","family":"Sada","given":"Yvonne H.","non-dropping-particle":"","parse-names":false,"suffix":""},{"dropping-particle":"","family":"Farjah","given":"Farhood","non-dropping-particle":"","parse-names":false,"suffix":""},{"dropping-particle":"","family":"Cornwell","given":"Lorraine","non-dropping-particle":"","parse-names":false,"suffix":""},{"dropping-particle":"","family":"Sugarbaker","given":"David J.","non-dropping-particle":"","parse-names":false,"suffix":""},{"dropping-particle":"","family":"Massarweh","given":"Nader N.","non-dropping-particle":"","parse-names":false,"suffix":""}],"container-title":"Annals of Surgery","id":"ITEM-1","issue":"2","issued":{"date-parts":[["2017"]]},"page":"297-304","title":"Utility of Adjuvant Chemotherapy after Neoadjuvant Chemoradiation and Esophagectomy for Esophageal Cancer","type":"article-journal","volume":"266"},"uris":["http://www.mendeley.com/documents/?uuid=c9663e9e-e84a-478e-8bb3-cca212c6bd0b"]},{"id":"ITEM-2","itemData":{"DOI":"10.1001/jamaoncol.2017.2805","ISSN":"23742445","abstract":"IMPORTANCE Distant recurrence following preoperative chemoradiotherapy and resection in patients with gastroesophageal adenocarcinoma is common. Adjuvant chemotherapymay improve survival. OBJECTIVE To compare adjuvant chemotherapy with postoperative observation following preoperative chemoradiotherapy and resection in patients with gastroesophageal adenocarcinoma. DESIGN, SETTING, AND PARTICIPANTS Propensity score-matched analysis using the National Cancer Database.We included adult patients who received a diagnosis between 2006 and 2013 of clinical stage T1N1-3M0 or T2-4N0-3M0 adenocarcinoma of the distal esophagus or gastric cardia who were treated with preoperative chemoradiotherapy and curative-intent resection. Patients receiving adjuvant chemotherapy were matched by propensity score to patients undergoing postoperative observation. EXPOSURES Adjuvant chemotherapy and postoperative observation. MAIN OUTCOMES AND MEASURES Overall survival. RESULTS We identified 10 086 patients (8840 [88%] male; mean [SD] age, 61 [9.5] years), 9272 in the postoperative observation group and 814 in the adjuvant chemotherapy group. Patients receiving adjuvant chemotherapy were younger (18-54 years: 252 [31%] vs 1989 [21%]; P &lt; .001) and were more likely to have advanced disease (ypT3/4: 458 [62%] vs 3531 [46%]; P &lt; .001; ypN+: 572 [72%] vs 3428 [39%]; P &lt; .001), as well as shorter postoperative inpatient stays (&gt;2 weeks: 94 [13%] vs 1589 [20%]; P &lt; .001). A total of 732 patients in the adjuvant chemotherapy group were matched by propensity score to 3660 patients in the postoperative observation group. Adjuvant chemotherapy was associated with improved overall survival compared with postoperative observation (median survival: 40 months; 95% CI, 36-46 months vs 34 months; 95%CI, 32-35 months; stratified log-rank P &lt; .001; hazard ratio, 0.79; 95%CI, 0.72-0.88). Overall survival at 1, 3, and 5 years was 88%, 47%, and 34% in the observation group, and 94%, 54%, and 38%in the adjuvant chemotherapy group, respectively. Adjuvant chemotherapy was associated with a survival benefit compared with postoperative observation in most patient subgroups. CONCLUSIONS AND RELEVANCE For patients with locally advanced gastroesophageal adenocarcinoma treated with preoperative chemoradiotherapy and resection, adjuvant chemotherapy was associated with improved overall survival. Our findings have important implications for the postoperative treatment of this patient group for which few data ar…","author":[{"dropping-particle":"","family":"Mokdad","given":"Ali A.","non-dropping-particle":"","parse-names":false,"suffix":""},{"dropping-particle":"","family":"Yopp","given":"Adam C.","non-dropping-particle":"","parse-names":false,"suffix":""},{"dropping-particle":"","family":"Polanco","given":"Patricio M.","non-dropping-particle":"","parse-names":false,"suffix":""},{"dropping-particle":"","family":"Mansour","given":"John C.","non-dropping-particle":"","parse-names":false,"suffix":""},{"dropping-particle":"","family":"Reznik","given":"Scott I.","non-dropping-particle":"","parse-names":false,"suffix":""},{"dropping-particle":"","family":"Heitjan","given":"Daniel F.","non-dropping-particle":"","parse-names":false,"suffix":""},{"dropping-particle":"","family":"Choti","given":"Michael A.","non-dropping-particle":"","parse-names":false,"suffix":""},{"dropping-particle":"","family":"Minter","given":"Rebecca R.","non-dropping-particle":"","parse-names":false,"suffix":""},{"dropping-particle":"","family":"Wang","given":"Sam C.","non-dropping-particle":"","parse-names":false,"suffix":""},{"dropping-particle":"","family":"Porembka","given":"Matthew R.","non-dropping-particle":"","parse-names":false,"suffix":""}],"container-title":"JAMA Oncology","id":"ITEM-2","issue":"1","issued":{"date-parts":[["2018"]]},"page":"31-38","title":"Adjuvant chemotherapy vs postoperative observation following preoperative chemoradiotherapy and resection in gastroesophageal cancer a propensity score-matched analysis","type":"article-journal","volume":"4"},"uris":["http://www.mendeley.com/documents/?uuid=0204a326-5bb7-40ac-8371-2c6b4999ab59"]},{"id":"ITEM-3","itemData":{"DOI":"10.1136/esmoopen-2018-000386","ISSN":"20597029","abstract":"Background Oesophageal cancer (OC) survival rates have improved since the widespread adoption of neoadjuvant chemoradiation therapy (NACRT) followed by oesophagectomy (trimodality therapy). Unfortunately, the overall prognosis for patients with locally advanced disease remains poor. In this study, we sought to assess the effect of adjuvant chemotherapy (AC) in patients treated with trimodality therapy. Methods Using the National Cancer Database we retrospectively identified 6785 patients with locally advanced (cT1b-T4a, N0-N+, M0) OC who were treated with trimodality therapy from 2006 to 2014. Patients were separated based on receipt of AC (n=463), as well as clinical and pathological lymph node involvement. Overall survival (OS) between groups was compared using the Kaplan-Meier method and Cox proportional hazard modelling. Results Based on multivariate analysis, AC was associated with a statistically significantly reduced risk of death (HR 0.77, p&lt;0.001). Subgroup analysis revealed that AC was associated with reduced risk of death compared with NACRT alone in the cN+/pN0 (median OS 64 vs 43 months; p=0.019) and the cN+/pN+ (median OS 27 vs 22 months; p=0.010) groups, but not in the cN0/pN0 (median OS 48 vs 49 months; p=0.253) or cN0/pN+ (median OS 31 vs 24 months; p=0.077) groups. Conclusion AC following trimodality therapy may improve survival in patients with locally advanced OC. Patients who undergo lymph node downstaging may be the most likely to benefit from AC. Prospective studies are needed to confirm this finding.","author":[{"dropping-particle":"","family":"Nevala-Plagemann","given":"Christopher","non-dropping-particle":"","parse-names":false,"suffix":""},{"dropping-particle":"","family":"Francis","given":"Samual","non-dropping-particle":"","parse-names":false,"suffix":""},{"dropping-particle":"","family":"Cavalieri","given":"Courtney","non-dropping-particle":"","parse-names":false,"suffix":""},{"dropping-particle":"","family":"Tao","given":"Randa","non-dropping-particle":"","parse-names":false,"suffix":""},{"dropping-particle":"","family":"Whisenant","given":"Jonathan","non-dropping-particle":"","parse-names":false,"suffix":""},{"dropping-particle":"","family":"Glasgow","given":"Robert","non-dropping-particle":"","parse-names":false,"suffix":""},{"dropping-particle":"","family":"Scaife","given":"Courtney","non-dropping-particle":"","parse-names":false,"suffix":""},{"dropping-particle":"","family":"Lloyd","given":"Shane","non-dropping-particle":"","parse-names":false,"suffix":""},{"dropping-particle":"","family":"Garrido-Laguna","given":"Ignacio","non-dropping-particle":"","parse-names":false,"suffix":""}],"container-title":"ESMO Open","id":"ITEM-3","issue":"5","issued":{"date-parts":[["2018"]]},"page":"1-7","title":"Benefit of adjuvant chemotherapy based on lymph node involvement for oesophageal cancer following trimodality therapy","type":"article-journal","volume":"3"},"uris":["http://www.mendeley.com/documents/?uuid=c4125ba7-d5f4-4615-a9b3-6234bcb7f76e"]}],"mendeley":{"formattedCitation":"(10–12)","plainTextFormattedCitation":"(10–12)","previouslyFormattedCitation":"(10–12)"},"properties":{"noteIndex":0},"schema":"https://github.com/citation-style-language/schema/raw/master/csl-citation.json"}</w:instrText>
      </w:r>
      <w:r>
        <w:fldChar w:fldCharType="separate"/>
      </w:r>
      <w:r w:rsidR="00C1030A" w:rsidRPr="002B3E81">
        <w:rPr>
          <w:noProof/>
        </w:rPr>
        <w:t>(10–12)</w:t>
      </w:r>
      <w:r>
        <w:fldChar w:fldCharType="end"/>
      </w:r>
      <w:r>
        <w:t xml:space="preserve"> In </w:t>
      </w:r>
      <w:r w:rsidR="00F07D78">
        <w:t>contrast</w:t>
      </w:r>
      <w:r w:rsidR="00AF199B">
        <w:t>,</w:t>
      </w:r>
      <w:r>
        <w:t xml:space="preserve"> evidence for postoperative chemotherapy </w:t>
      </w:r>
      <w:r w:rsidR="00941425">
        <w:t xml:space="preserve">after preoperative chemotherapy and surgery </w:t>
      </w:r>
      <w:r>
        <w:t xml:space="preserve">is </w:t>
      </w:r>
      <w:r w:rsidR="002F2EC3">
        <w:t>limited</w:t>
      </w:r>
      <w:r>
        <w:t xml:space="preserve">, </w:t>
      </w:r>
      <w:r w:rsidR="002339FA">
        <w:t xml:space="preserve">with one large propensity matched NCDB study </w:t>
      </w:r>
      <w:r w:rsidR="005B3F8B">
        <w:t xml:space="preserve">showing no benefit to postoperative chemotherapy </w:t>
      </w:r>
      <w:r w:rsidR="003D793A">
        <w:t>in patients with</w:t>
      </w:r>
      <w:r w:rsidR="005B3F8B">
        <w:t xml:space="preserve"> gastric cancer</w:t>
      </w:r>
      <w:r w:rsidR="005B3F8B">
        <w:fldChar w:fldCharType="begin" w:fldLock="1"/>
      </w:r>
      <w:r w:rsidR="00D120BE">
        <w:instrText>ADDIN CSL_CITATION {"citationItems":[{"id":"ITEM-1","itemData":{"DOI":"10.1245/s10434-020-09045-w","ISSN":"15344681","abstract":"Background: Perioperative chemotherapy is a standard-of-care treatment for patients with gastric cancer. However, the impact of the postoperative chemotherapy (postCTX) component on overall survival (OS) is not well defined. Methods: The National Cancer Database (NCDB) 2006–2014 was queried for patients who received preoperative chemotherapy (preCTX) and resection for gastric cancer. Analysis was performed to identify factors influencing receipt of postCTX. The impact of postCTX on OS was evaluated in propensity-matched groups. Results: Among 3449 patients who received preCTX and resection for gastric cancer, 1091 (31.6%) received postCTX. Independent predictors of receiving postCTX were diagnosis after 2010 (odds ratio [OR] 1.985), distal tumor location (OR 1.348), and 15 or more lymph nodes examined (OR 1.214). Predictors of not receiving postCTX were older age (OR 0.985), comorbidity score higher than 1 (OR 0.592), and black race (OR 0.791). After propensity-matching (1091 per group), the median OS was 56.8 months for those who did receive postCTX versus 52.5 months for those who did not (p = 0.131). Subset analysis according to tumor grade, lymphovascular invasion, number of lymph nodes evaluated, T and N class, and AJCC stage identified an improvement in OS for the patients with N1 disease who received postCTX compared with those who did not (79.6 vs 41.3 months; p = 0.025). However, no other subgroup had a significant survival benefit. Conclusions: Additional postCTX was administered to a minority of patients who received preCTX and gastrectomy for gastric cancer, and its influence on OS appeared to be limited. Future trials should aim to define patients who will benefit from postCTX.","author":[{"dropping-particle":"","family":"Drake","given":"Justin A.","non-dropping-particle":"","parse-names":false,"suffix":""},{"dropping-particle":"","family":"Stiles","given":"Zachary E.","non-dropping-particle":"","parse-names":false,"suffix":""},{"dropping-particle":"","family":"Tsao","given":"Miriam W.","non-dropping-particle":"","parse-names":false,"suffix":""},{"dropping-particle":"","family":"Deneve","given":"Jeremiah L.","non-dropping-particle":"","parse-names":false,"suffix":""},{"dropping-particle":"","family":"Glazer","given":"Evan S.","non-dropping-particle":"","parse-names":false,"suffix":""},{"dropping-particle":"","family":"Yakoub","given":"Danny","non-dropping-particle":"","parse-names":false,"suffix":""},{"dropping-particle":"","family":"Grothey","given":"Axel","non-dropping-particle":"","parse-names":false,"suffix":""},{"dropping-particle":"","family":"Somer","given":"Bradley G.","non-dropping-particle":"","parse-names":false,"suffix":""},{"dropping-particle":"V.","family":"Dickson","given":"Paxton","non-dropping-particle":"","parse-names":false,"suffix":""}],"container-title":"Annals of Surgical Oncology","id":"ITEM-1","issued":{"date-parts":[["2020"]]},"publisher":"Springer International Publishing","title":"Analysis of the Survival Impact of Postoperative Chemotherapy After Preoperative Chemotherapy and Resection for Gastric Cancer","type":"article-journal"},"uris":["http://www.mendeley.com/documents/?uuid=c8c11df9-ff65-4edf-9b86-25b7d5f73949"]}],"mendeley":{"formattedCitation":"(13)","plainTextFormattedCitation":"(13)","previouslyFormattedCitation":"(13)"},"properties":{"noteIndex":0},"schema":"https://github.com/citation-style-language/schema/raw/master/csl-citation.json"}</w:instrText>
      </w:r>
      <w:r w:rsidR="005B3F8B">
        <w:fldChar w:fldCharType="separate"/>
      </w:r>
      <w:r w:rsidR="00C1030A" w:rsidRPr="002B3E81">
        <w:rPr>
          <w:noProof/>
        </w:rPr>
        <w:t>(13)</w:t>
      </w:r>
      <w:r w:rsidR="005B3F8B">
        <w:fldChar w:fldCharType="end"/>
      </w:r>
      <w:r w:rsidR="004D3633">
        <w:t>,</w:t>
      </w:r>
      <w:r w:rsidR="005B3F8B">
        <w:t xml:space="preserve"> </w:t>
      </w:r>
      <w:r w:rsidR="004D3633">
        <w:t>and</w:t>
      </w:r>
      <w:r>
        <w:t xml:space="preserve"> inconsistent results </w:t>
      </w:r>
      <w:r w:rsidR="00892089">
        <w:t xml:space="preserve">arising from </w:t>
      </w:r>
      <w:r>
        <w:t>small studie</w:t>
      </w:r>
      <w:r w:rsidR="00841432">
        <w:t>s</w:t>
      </w:r>
      <w:r w:rsidR="004D3633">
        <w:t xml:space="preserve"> with cancers of the gastro-</w:t>
      </w:r>
      <w:r w:rsidR="004C6085">
        <w:t>o</w:t>
      </w:r>
      <w:r w:rsidR="004D3633">
        <w:t>esophageal junction (G</w:t>
      </w:r>
      <w:r w:rsidR="004C6085">
        <w:t>O</w:t>
      </w:r>
      <w:r w:rsidR="004D3633">
        <w:t>J)</w:t>
      </w:r>
      <w:r>
        <w:fldChar w:fldCharType="begin" w:fldLock="1"/>
      </w:r>
      <w:r w:rsidR="00D120BE">
        <w:instrText>ADDIN CSL_CITATION {"citationItems":[{"id":"ITEM-1","itemData":{"DOI":"10.1016/j.ejso.2015.07.010","ISSN":"15322157","PMID":"26253194","abstract":"Background A combination of platin-based perioperative chemotherapy (PBPC) plus surgical resection has become the standard of care in Europe for locally advanced esophagogastric adenocarcinoma (EGAC). In contrast to preoperative chemotherapy, the postoperative administration of chemotherapy is omitted in a high percentage of patients. We conducted this database study to analyse the impact of postoperative completion of perioperative chemotherapy on patient outcome. Methods Patients with EGAC (cT3-4 and/or cN+) were treated with preoperative PBPC plus curative surgical resection. Patient demographics, postoperative tumour stages, histopathological regression (HPR) and administration of postoperative chemotherapy were correlated with overall survival. Results Of one-hundred-thirty-four patients, 76 received preoperative docetaxel, folinic acid, fluorouracil, oxaliplatin (FLOT), 53 patients epirubicin, cisplatin, folinic acid (ECF) and 5 epirubicin, oxaliplatin, capecitabine (EOX) chemotherapy. The 5-year-survival for the whole collective was 58%. Designated postoperative chemotherapy was omitted in 36% of the patients. 5-year-survival was 75.8% in patients who received pre- and post-operative chemotherapy and 40.3% in patients with only preoperative chemotherapy (p &lt; 0.001). Histopathological regression, postoperative nodal status and administration of postoperative chemotherapy were identified as independent prognostic factors. Analysis of subgroups revealed a pronounced survival benefit after administration of postoperative chemotherapy in patients with ypN+ stages (5-year-survival 64.5% vs 9.7%, p = 0.002) and poor HPR (5-year-survival 55.5% vs 19.3%, p = 0.015). Conclusion Our study provides further evidence that administration of postoperative chemotherapy may contribute to the achieved survival benefit of PBPC in patients with EGAC and implies a beneficial effect especially in presence of lymphonodular tumour involvement and limited HPR.","author":[{"dropping-particle":"","family":"Glatz","given":"T.","non-dropping-particle":"","parse-names":false,"suffix":""},{"dropping-particle":"","family":"Bronsert","given":"P.","non-dropping-particle":"","parse-names":false,"suffix":""},{"dropping-particle":"","family":"Schäfer","given":"M.","non-dropping-particle":"","parse-names":false,"suffix":""},{"dropping-particle":"","family":"Kulemann","given":"B.","non-dropping-particle":"","parse-names":false,"suffix":""},{"dropping-particle":"","family":"Marjanovic","given":"G.","non-dropping-particle":"","parse-names":false,"suffix":""},{"dropping-particle":"","family":"Sick","given":"O.","non-dropping-particle":"","parse-names":false,"suffix":""},{"dropping-particle":"","family":"Hopt","given":"U. T.","non-dropping-particle":"","parse-names":false,"suffix":""},{"dropping-particle":"","family":"Zirlik","given":"K.","non-dropping-particle":"","parse-names":false,"suffix":""},{"dropping-particle":"","family":"Makowiec","given":"F.","non-dropping-particle":"","parse-names":false,"suffix":""},{"dropping-particle":"","family":"Hoeppner","given":"J.","non-dropping-particle":"","parse-names":false,"suffix":""}],"container-title":"European Journal of Surgical Oncology","id":"ITEM-1","issue":"10","issued":{"date-parts":[["2015"]]},"page":"1300-1307","title":"Perioperative platin-based chemotherapy for locally advanced esophagogastric adenocarcinoma: Postoperative chemotherapy has a substantial impact on outcome","type":"article-journal","volume":"41"},"uris":["http://www.mendeley.com/documents/?uuid=22e985a8-54ae-4aed-8c5a-70c5c71e1fe0"]},{"id":"ITEM-2","itemData":{"DOI":"10.1016/j.suronc.2017.06.001","ISSN":"18793320","PMID":"28684226","abstract":"Background: Based on two benchmark studies perioperative chemotherapy (CTx) has become standard treatment for locally advanced esophagogastric adenocarcinoma (EGA) in Europe. However, only half of the patients in both studies actually received postoperative CTx (aCTx). Thus, we evaluated the prognostic impact of preoperative CTx (nCTx) and aCTx combined versus nCTx alone. Furthermore, we aimed to identify subgroups potentially beneficial of aCTx and factors associated with its non-administration. Methods: We retrospectively analyzed 299 consecutive patients with EGA, who underwent complete resection (all M0, R0) after nCTx in our institution and were eligible for aCTx. Patients with and without aCTx were compared regarding clinicopathological data, treatment, morbidity, and long-term prognosis. Results: 129 patients (43.1%) did not receive aCTx. Administration of aCTx did not significantly improve overall (OS) and recurrence free survival (RFS) (median OS: 78.2 months vs. not reached, p = 0.331; RFS: 43.3 vs. 41.1 months, p = 0.118), but was an independent positive predictor of RFS (HR 1.6 95%CI 1.1–2.5, p = 0.024). aCTx improved RFS in non-intestinal tumors (p = 0.023) and patients receiving FLOT regimen (p = 0.038). By logistic regression analysis factors predictive of non-administration of aCTx were older age (&gt;65 years: OR 3.2, p = 0.028), longer hospital stay (15–28 days: OR 2.6, p = 0.001; &gt;28 days: OR 5.2, p &lt; 0.001), and histopathologic non-response (OR 1.9, p = 0.023). Conclusion: Advanced age, histopathologic non-response, and prolonged convalescence due to postoperative morbidity lead to omission of aCTx. However, this study could not provide evidence to support the beneficial role of aCTx in perioperative chemotherapy regimens for a selected patient collective with EGA and excellent prognosis.","author":[{"dropping-particle":"","family":"Sisic","given":"Leila","non-dropping-particle":"","parse-names":false,"suffix":""},{"dropping-particle":"","family":"Blank","given":"Susanne","non-dropping-particle":"","parse-names":false,"suffix":""},{"dropping-particle":"","family":"Nienhüser","given":"Henrik","non-dropping-particle":"","parse-names":false,"suffix":""},{"dropping-particle":"","family":"Haag","given":"Georg Martin","non-dropping-particle":"","parse-names":false,"suffix":""},{"dropping-particle":"","family":"Jäger","given":"Dirk","non-dropping-particle":"","parse-names":false,"suffix":""},{"dropping-particle":"","family":"Bruckner","given":"Tom","non-dropping-particle":"","parse-names":false,"suffix":""},{"dropping-particle":"","family":"Ott","given":"Katja","non-dropping-particle":"","parse-names":false,"suffix":""},{"dropping-particle":"","family":"Schmidt","given":"Thomas","non-dropping-particle":"","parse-names":false,"suffix":""},{"dropping-particle":"","family":"Ulrich","given":"Alexis","non-dropping-particle":"","parse-names":false,"suffix":""}],"container-title":"Surgical Oncology","id":"ITEM-2","issued":{"date-parts":[["2020"]]},"page":"177-188","title":"The postoperative part of perioperative chemotherapy fails to provide a survival benefit in completely resected esophagogastric adenocarcinoma","type":"article-journal","volume":"33"},"uris":["http://www.mendeley.com/documents/?uuid=8ec4b6b4-7105-4693-bebf-2187a5ecca23"]},{"id":"ITEM-3","itemData":{"DOI":"10.1007/s11605-018-04087-8","ISSN":"18734626","PMID":"30671799","abstract":"Purpose: The aim of this cohort study was to assess the benefit that patients with lower esophageal or gastroesophageal junction (E/GEJ) adenocarcinoma receive by continuing perioperative chemotherapy post-surgery. Methods: Three hundred twelve patients underwent radical tumor surgical resection after preoperative chemotherapy. Chemotherapy was mainly ECX (epirubicin, cisplatin, capecitabine). Propensity score matching (PSM) was used to compare continuation of chemotherapy post-surgery vs. no postoperative treatment. Results: Two hundred ten patients (67.3%) had GEJ and 102 (32.7%) lower esophageal adenocarcinoma. Microscopically clear surgical margins (R0), according to the Royal College of Pathologists, were achieved in 208 patients (66.7%). In total, 225 patients (72.1%) continued perioperative chemotherapy post-surgery. PSM was used to create two patient groups, well-balanced for basic epidemiological, clinical, and histopathological characteristics. The first included 148 patients who continued perioperative chemotherapy after surgery and the second 86, who did not receive postoperative treatment. The first group had non-significantly different median time-to-relapse (TTR 22.2 vs. 25.7 months, p = 0.627), overall survival (OS 46.1 vs. 36.7 months, p = 0.199), and post-relapse survival (15.3 vs. 8.7 months, p = 0.122). Subgroup analysis showed that only patients with microscopically residual disease after surgery (R1 resection) benefited from continuation of chemotherapy post-surgery for both TTR (hazard ratio [HR] 0.556, 95% CI 0.330–0.936, p = 0.027) and OS (HR 0.530, 95% CI 0.313–0.898, p = 0.018). Conclusions: Continuation of perioperative chemotherapy post-surgery was not associated with improved outcome in patients with E/GEJ adenocarcinoma. Patients with microscopically residual disease post-surgery might receive a potential benefit from adjuvant chemotherapy.","author":[{"dropping-particle":"","family":"Papaxoinis","given":"George","non-dropping-particle":"","parse-names":false,"suffix":""},{"dropping-particle":"","family":"Kamposioras","given":"Konstantinos","non-dropping-particle":"","parse-names":false,"suffix":""},{"dropping-particle":"","family":"Weaver","given":"Jamie M.J.","non-dropping-particle":"","parse-names":false,"suffix":""},{"dropping-particle":"","family":"Kordatou","given":"Zoe","non-dropping-particle":"","parse-names":false,"suffix":""},{"dropping-particle":"","family":"Stamatopoulou","given":"Sofia","non-dropping-particle":"","parse-names":false,"suffix":""},{"dropping-particle":"","family":"Germetaki","given":"Theodora","non-dropping-particle":"","parse-names":false,"suffix":""},{"dropping-particle":"","family":"Nasralla","given":"Magdy","non-dropping-particle":"","parse-names":false,"suffix":""},{"dropping-particle":"","family":"Owen-Holt","given":"Vikki","non-dropping-particle":"","parse-names":false,"suffix":""},{"dropping-particle":"","family":"Anthoney","given":"Alan","non-dropping-particle":"","parse-names":false,"suffix":""},{"dropping-particle":"","family":"Mansoor","given":"Wasat","non-dropping-particle":"","parse-names":false,"suffix":""}],"container-title":"Journal of Gastrointestinal Surgery","id":"ITEM-3","issue":"9","issued":{"date-parts":[["2019"]]},"page":"1729-1741","publisher":"Journal of Gastrointestinal Surgery","title":"The Role of Continuing Perioperative Chemotherapy Post Surgery in Patients with Esophageal or Gastroesophageal Junction Adenocarcinoma: a Multicenter Cohort Study","type":"article-journal","volume":"23"},"uris":["http://www.mendeley.com/documents/?uuid=08e87702-e69b-437f-adc9-0cad3318793b"]}],"mendeley":{"formattedCitation":"(14–16)","plainTextFormattedCitation":"(14–16)","previouslyFormattedCitation":"(14–16)"},"properties":{"noteIndex":0},"schema":"https://github.com/citation-style-language/schema/raw/master/csl-citation.json"}</w:instrText>
      </w:r>
      <w:r>
        <w:fldChar w:fldCharType="separate"/>
      </w:r>
      <w:r w:rsidR="00C1030A" w:rsidRPr="002B3E81">
        <w:rPr>
          <w:noProof/>
        </w:rPr>
        <w:t>(14–16)</w:t>
      </w:r>
      <w:r>
        <w:fldChar w:fldCharType="end"/>
      </w:r>
      <w:r>
        <w:t>.</w:t>
      </w:r>
      <w:r w:rsidR="007B6070">
        <w:t xml:space="preserve"> </w:t>
      </w:r>
      <w:r w:rsidR="00892089">
        <w:t xml:space="preserve">The aim of </w:t>
      </w:r>
      <w:r w:rsidR="00E0675B" w:rsidRPr="00D30981">
        <w:t>this study</w:t>
      </w:r>
      <w:r w:rsidR="00892089">
        <w:t xml:space="preserve"> was</w:t>
      </w:r>
      <w:r w:rsidR="00E0675B">
        <w:t xml:space="preserve"> to </w:t>
      </w:r>
      <w:r w:rsidR="00CA069D">
        <w:t>evaluate</w:t>
      </w:r>
      <w:r w:rsidR="00E0675B">
        <w:t xml:space="preserve"> the survival benefit of postoperative </w:t>
      </w:r>
      <w:r w:rsidR="004E00BF">
        <w:t>chemotherapy</w:t>
      </w:r>
      <w:r w:rsidR="00E0675B">
        <w:t xml:space="preserve"> </w:t>
      </w:r>
      <w:r w:rsidR="00576C9F">
        <w:t xml:space="preserve">compared with no chemotherapy </w:t>
      </w:r>
      <w:r w:rsidR="00E0675B">
        <w:t xml:space="preserve">in patients with </w:t>
      </w:r>
      <w:r w:rsidR="004C6085">
        <w:t>O</w:t>
      </w:r>
      <w:r w:rsidR="004D3633">
        <w:t>G</w:t>
      </w:r>
      <w:r w:rsidR="009222CA">
        <w:t>AC</w:t>
      </w:r>
      <w:r w:rsidR="00E0675B">
        <w:t xml:space="preserve"> treated with</w:t>
      </w:r>
      <w:r w:rsidR="004E00BF">
        <w:t xml:space="preserve"> </w:t>
      </w:r>
      <w:r w:rsidR="00A61DE3">
        <w:t xml:space="preserve">preoperative </w:t>
      </w:r>
      <w:r w:rsidR="004D1B1E">
        <w:t>chemotherapy</w:t>
      </w:r>
      <w:r w:rsidR="00E0675B">
        <w:t xml:space="preserve"> and surgery</w:t>
      </w:r>
      <w:r w:rsidR="004E00BF">
        <w:t xml:space="preserve"> in a </w:t>
      </w:r>
      <w:r w:rsidR="00F11DB9">
        <w:t xml:space="preserve">planned perioperative </w:t>
      </w:r>
      <w:r w:rsidR="004E00BF">
        <w:t>regime</w:t>
      </w:r>
      <w:r w:rsidR="00E466D3">
        <w:t>n</w:t>
      </w:r>
      <w:r w:rsidR="00E0675B">
        <w:t xml:space="preserve">. </w:t>
      </w:r>
      <w:r w:rsidR="00D34926">
        <w:rPr>
          <w:sz w:val="24"/>
        </w:rPr>
        <w:br w:type="page"/>
      </w:r>
    </w:p>
    <w:p w14:paraId="246E4891" w14:textId="3581F5B5" w:rsidR="004414A3" w:rsidRPr="00E606D8" w:rsidRDefault="005C3982" w:rsidP="00D7580B">
      <w:pPr>
        <w:rPr>
          <w:sz w:val="40"/>
          <w:szCs w:val="40"/>
        </w:rPr>
      </w:pPr>
      <w:r w:rsidRPr="00E606D8">
        <w:rPr>
          <w:sz w:val="40"/>
          <w:szCs w:val="40"/>
        </w:rPr>
        <w:lastRenderedPageBreak/>
        <w:t>Methods</w:t>
      </w:r>
    </w:p>
    <w:p w14:paraId="5795CCCB" w14:textId="0F828F44" w:rsidR="00713C4D" w:rsidRPr="0058539F" w:rsidRDefault="001577EB" w:rsidP="007E3DBA">
      <w:pPr>
        <w:spacing w:line="480" w:lineRule="auto"/>
        <w:rPr>
          <w:b/>
        </w:rPr>
      </w:pPr>
      <w:r w:rsidRPr="00061298">
        <w:rPr>
          <w:b/>
        </w:rPr>
        <w:t>Patients and treatment</w:t>
      </w:r>
    </w:p>
    <w:p w14:paraId="317AAA6D" w14:textId="761974FC" w:rsidR="00A72E6A" w:rsidRPr="0001084F" w:rsidRDefault="005C3982" w:rsidP="007E3DBA">
      <w:pPr>
        <w:spacing w:line="480" w:lineRule="auto"/>
      </w:pPr>
      <w:r w:rsidRPr="0001084F">
        <w:t>Patients</w:t>
      </w:r>
      <w:r w:rsidR="00A7778A">
        <w:t xml:space="preserve"> </w:t>
      </w:r>
      <w:r w:rsidR="00A7778A" w:rsidRPr="0001084F">
        <w:t xml:space="preserve">over the age of 18 </w:t>
      </w:r>
      <w:r w:rsidR="00A7778A">
        <w:t xml:space="preserve">and </w:t>
      </w:r>
      <w:r w:rsidR="00A7778A" w:rsidRPr="0001084F">
        <w:t xml:space="preserve">diagnosed between </w:t>
      </w:r>
      <w:r w:rsidR="00953506">
        <w:t xml:space="preserve">1 </w:t>
      </w:r>
      <w:r w:rsidR="00A7778A" w:rsidRPr="0001084F">
        <w:t>April 2012 and</w:t>
      </w:r>
      <w:r w:rsidR="00953506">
        <w:t xml:space="preserve"> 31</w:t>
      </w:r>
      <w:r w:rsidR="00A7778A" w:rsidRPr="0001084F">
        <w:t xml:space="preserve"> </w:t>
      </w:r>
      <w:r w:rsidR="00953506">
        <w:t>March</w:t>
      </w:r>
      <w:r w:rsidR="00953506" w:rsidRPr="0001084F">
        <w:t xml:space="preserve"> </w:t>
      </w:r>
      <w:r w:rsidR="00A7778A" w:rsidRPr="0001084F">
        <w:t>2018</w:t>
      </w:r>
      <w:r w:rsidRPr="0001084F">
        <w:t xml:space="preserve"> were identified from the National </w:t>
      </w:r>
      <w:r w:rsidR="00BF78C6" w:rsidRPr="0001084F">
        <w:t>Oesophago</w:t>
      </w:r>
      <w:r w:rsidR="00F14401" w:rsidRPr="0001084F">
        <w:t>-</w:t>
      </w:r>
      <w:r w:rsidRPr="0001084F">
        <w:t>gastric Cancer Audit (NOGCA)</w:t>
      </w:r>
      <w:r w:rsidR="00A7778A">
        <w:t>.</w:t>
      </w:r>
      <w:r w:rsidR="00E606D8" w:rsidRPr="0001084F">
        <w:t xml:space="preserve"> </w:t>
      </w:r>
      <w:r w:rsidRPr="0001084F">
        <w:t xml:space="preserve">The audit </w:t>
      </w:r>
      <w:r w:rsidR="00A7778A">
        <w:t>is</w:t>
      </w:r>
      <w:r w:rsidRPr="0001084F">
        <w:t xml:space="preserve"> funded by NHS England and the Welsh government and commissioned by the Heal</w:t>
      </w:r>
      <w:r w:rsidR="00F14401" w:rsidRPr="0001084F">
        <w:t>th</w:t>
      </w:r>
      <w:r w:rsidRPr="0001084F">
        <w:t>care Quality Improvement Partnership (HQIP)</w:t>
      </w:r>
      <w:r w:rsidR="00A7778A">
        <w:t xml:space="preserve">, with </w:t>
      </w:r>
      <w:r w:rsidRPr="0001084F">
        <w:t>data collection approved by the Confidentiality Advisory Group under section 251 of the NHS Act 2006.</w:t>
      </w:r>
      <w:r w:rsidR="00A72E6A" w:rsidRPr="0001084F">
        <w:t xml:space="preserve"> </w:t>
      </w:r>
      <w:r w:rsidR="00A45D08">
        <w:t xml:space="preserve">The NOGCA </w:t>
      </w:r>
      <w:r w:rsidR="00E606D8" w:rsidRPr="0001084F">
        <w:t>includes patient demographics, tumour details, details</w:t>
      </w:r>
      <w:r w:rsidR="003C4827">
        <w:t xml:space="preserve"> of surgery</w:t>
      </w:r>
      <w:r w:rsidR="00E606D8" w:rsidRPr="0001084F">
        <w:t xml:space="preserve">, surgical pathology results and treatment. </w:t>
      </w:r>
      <w:r w:rsidR="00A72E6A" w:rsidRPr="0001084F">
        <w:t xml:space="preserve">Details of chemotherapeutics </w:t>
      </w:r>
      <w:r w:rsidR="00E606D8" w:rsidRPr="0001084F">
        <w:t>were</w:t>
      </w:r>
      <w:r w:rsidR="00A72E6A" w:rsidRPr="0001084F">
        <w:t xml:space="preserve"> </w:t>
      </w:r>
      <w:r w:rsidR="00E606D8" w:rsidRPr="0001084F">
        <w:t>cross-</w:t>
      </w:r>
      <w:r w:rsidR="00A72E6A" w:rsidRPr="0001084F">
        <w:t>referenced and supplemented with linked data from the Systemic Anti-Cancer Therapy dataset</w:t>
      </w:r>
      <w:r w:rsidR="009222CA" w:rsidRPr="0001084F">
        <w:t xml:space="preserve"> (SACT),</w:t>
      </w:r>
      <w:r w:rsidR="001D58B1" w:rsidRPr="0001084F">
        <w:t xml:space="preserve"> to which data submission is mandatory for all NHS chemotherapy providers in England.</w:t>
      </w:r>
      <w:r w:rsidR="00814DA0">
        <w:fldChar w:fldCharType="begin" w:fldLock="1"/>
      </w:r>
      <w:r w:rsidR="00D120BE">
        <w:instrText>ADDIN CSL_CITATION {"citationItems":[{"id":"ITEM-1","itemData":{"DOI":"10.1093/ije/dyz137","ISBN":"0000000000","ISSN":"14643685","PMID":"31340008","author":[{"dropping-particle":"","family":"Bright","given":"Chloe J.","non-dropping-particle":"","parse-names":false,"suffix":""},{"dropping-particle":"","family":"Lawton","given":"Sarah","non-dropping-particle":"","parse-names":false,"suffix":""},{"dropping-particle":"","family":"Benson","given":"Stephen","non-dropping-particle":"","parse-names":false,"suffix":""},{"dropping-particle":"","family":"Bomb","given":"Martine","non-dropping-particle":"","parse-names":false,"suffix":""},{"dropping-particle":"","family":"Dodwell","given":"David","non-dropping-particle":"","parse-names":false,"suffix":""},{"dropping-particle":"","family":"Henson","given":"Katherine E.","non-dropping-particle":"","parse-names":false,"suffix":""},{"dropping-particle":"","family":"McPhail","given":"Sean","non-dropping-particle":"","parse-names":false,"suffix":""},{"dropping-particle":"","family":"Miller","given":"Louise","non-dropping-particle":"","parse-names":false,"suffix":""},{"dropping-particle":"","family":"Rashbass","given":"Jem","non-dropping-particle":"","parse-names":false,"suffix":""},{"dropping-particle":"","family":"Turnbull","given":"Alice","non-dropping-particle":"","parse-names":false,"suffix":""},{"dropping-particle":"","family":"Smittenaar","given":"Rebecca","non-dropping-particle":"","parse-names":false,"suffix":""}],"container-title":"International Journal of Epidemiology","id":"ITEM-1","issue":"1","issued":{"date-parts":[["2020"]]},"page":"15-15L","title":"Data Resource Profile: The Systemic Anti-Cancer Therapy (SACT) dataset","type":"article-journal","volume":"49"},"uris":["http://www.mendeley.com/documents/?uuid=e7cc7a12-6e37-4e82-8880-d295db29269e"]}],"mendeley":{"formattedCitation":"(17)","plainTextFormattedCitation":"(17)","previouslyFormattedCitation":"(17)"},"properties":{"noteIndex":0},"schema":"https://github.com/citation-style-language/schema/raw/master/csl-citation.json"}</w:instrText>
      </w:r>
      <w:r w:rsidR="00814DA0">
        <w:fldChar w:fldCharType="separate"/>
      </w:r>
      <w:r w:rsidR="00C1030A" w:rsidRPr="002B3E81">
        <w:rPr>
          <w:noProof/>
        </w:rPr>
        <w:t>(17)</w:t>
      </w:r>
      <w:r w:rsidR="00814DA0">
        <w:fldChar w:fldCharType="end"/>
      </w:r>
    </w:p>
    <w:p w14:paraId="10F2E736" w14:textId="511FC222" w:rsidR="007B6070" w:rsidRDefault="00953506" w:rsidP="005E506D">
      <w:pPr>
        <w:spacing w:before="100" w:beforeAutospacing="1" w:after="100" w:afterAutospacing="1" w:line="480" w:lineRule="auto"/>
      </w:pPr>
      <w:r>
        <w:t>T</w:t>
      </w:r>
      <w:r w:rsidR="00851506" w:rsidRPr="0058539F">
        <w:t>his non-randomised, retrospective study was designed to emulate a</w:t>
      </w:r>
      <w:r w:rsidR="00E620AE">
        <w:t xml:space="preserve"> hypothetical</w:t>
      </w:r>
      <w:r w:rsidR="00851506" w:rsidRPr="0058539F">
        <w:t xml:space="preserve"> comparable RCT, i.e. the ‘Target Trial’</w:t>
      </w:r>
      <w:r w:rsidR="00851506" w:rsidRPr="0058539F">
        <w:fldChar w:fldCharType="begin" w:fldLock="1"/>
      </w:r>
      <w:r w:rsidR="00D120BE">
        <w:instrText>ADDIN CSL_CITATION {"citationItems":[{"id":"ITEM-1","itemData":{"DOI":"10.1093/aje/kwv254","ISSN":"14766256","PMID":"26994063","abstract":"Ideally, questions about comparative effectiveness or safety would be answered using an appropriately designed and conducted randomized experiment. When we cannot conduct a randomized experiment, we analyze observational data. Causal inference from large observational databases (big data) can be viewed as an attempt to emulate a randomized experiment - the target experiment or target trial - that would answer the question of interest. When the goal is to guide decisions among several strategies, causal analyses of observational data need to be evaluated with respect to how well they emulate a particular target trial. We outline a framework for comparative effectiveness research using big data that makes the target trial explicit. This framework channels counterfactual theory for comparing the effects of sustained treatment strategies, organizes analytic approaches, provides a structured process for the criticism of observational studies, and helps avoid common methodologic pitfalls.","author":[{"dropping-particle":"","family":"Hernán","given":"Miguel A.","non-dropping-particle":"","parse-names":false,"suffix":""},{"dropping-particle":"","family":"Robins","given":"James M.","non-dropping-particle":"","parse-names":false,"suffix":""}],"container-title":"American Journal of Epidemiology","id":"ITEM-1","issue":"8","issued":{"date-parts":[["2016"]]},"page":"758-764","title":"Using Big Data to Emulate a Target Trial When a Randomized Trial Is Not Available","type":"article-journal","volume":"183"},"uris":["http://www.mendeley.com/documents/?uuid=52e93b75-8da9-4a3a-8d1d-24dd818016a5"]},{"id":"ITEM-2","itemData":{"DOI":"10.1136/bmj.i4919","ISBN":"0959-535x","ISSN":"17561833","PMID":"27733354","abstract":"The view is widely held that experimental methods (randomised controlled trials) are the \"gold standard\" for evaluation and that observational methods (cohort and case control studies) have little or no value. This ignores the limitations of randomised trials, which may prove unnecessary, inappropriate, impossible, or inadequate. Many of the problems of conducting randomised trials could often, in theory, be overcome, but the practical implications for researchers and funding bodies mean that this is often not possible. The false conflict between those who advocate randomised trials in all situations and those who believe observational data provide sufficient evidence needs to be replaced with mutual recognition of the complementary roles of the two approaches. Researchers should be united in their quest for scientific rigour in evaluation, regardless of the method used.","author":[{"dropping-particle":"","family":"Sterne","given":"Jonathan Ac","non-dropping-particle":"","parse-names":false,"suffix":""},{"dropping-particle":"","family":"Hernán","given":"Miguel A.","non-dropping-particle":"","parse-names":false,"suffix":""},{"dropping-particle":"","family":"Reeves","given":"Barnaby C.","non-dropping-particle":"","parse-names":false,"suffix":""},{"dropping-particle":"","family":"Savović","given":"Jelena","non-dropping-particle":"","parse-names":false,"suffix":""},{"dropping-particle":"","family":"Berkman","given":"Nancy D.","non-dropping-particle":"","parse-names":false,"suffix":""},{"dropping-particle":"","family":"Viswanathan","given":"Meera","non-dropping-particle":"","parse-names":false,"suffix":""},{"dropping-particle":"","family":"Henry","given":"David","non-dropping-particle":"","parse-names":false,"suffix":""},{"dropping-particle":"","family":"Altman","given":"Douglas G.","non-dropping-particle":"","parse-names":false,"suffix":""},{"dropping-particle":"","family":"Ansari","given":"Mohammed T.","non-dropping-particle":"","parse-names":false,"suffix":""},{"dropping-particle":"","family":"Boutron","given":"Isabelle","non-dropping-particle":"","parse-names":false,"suffix":""},{"dropping-particle":"","family":"Carpenter","given":"James R.","non-dropping-particle":"","parse-names":false,"suffix":""},{"dropping-particle":"","family":"Chan","given":"An Wen","non-dropping-particle":"","parse-names":false,"suffix":""},{"dropping-particle":"","family":"Churchill","given":"Rachel","non-dropping-particle":"","parse-names":false,"suffix":""},{"dropping-particle":"","family":"Deeks","given":"Jonathan J.","non-dropping-particle":"","parse-names":false,"suffix":""},{"dropping-particle":"","family":"Hróbjartsson","given":"Asbjørn","non-dropping-particle":"","parse-names":false,"suffix":""},{"dropping-particle":"","family":"Kirkham","given":"Jamie","non-dropping-particle":"","parse-names":false,"suffix":""},{"dropping-particle":"","family":"Jüni","given":"Peter","non-dropping-particle":"","parse-names":false,"suffix":""},{"dropping-particle":"","family":"Loke","given":"Yoon K.","non-dropping-particle":"","parse-names":false,"suffix":""},{"dropping-particle":"","family":"Pigott","given":"Theresa D.","non-dropping-particle":"","parse-names":false,"suffix":""},{"dropping-particle":"","family":"Ramsay","given":"Craig R.","non-dropping-particle":"","parse-names":false,"suffix":""},{"dropping-particle":"","family":"Regidor","given":"Deborah","non-dropping-particle":"","parse-names":false,"suffix":""},{"dropping-particle":"","family":"Rothstein","given":"Hannah R.","non-dropping-particle":"","parse-names":false,"suffix":""},{"dropping-particle":"","family":"Sandhu","given":"Lakhbir","non-dropping-particle":"","parse-names":false,"suffix":""},{"dropping-particle":"","family":"Santaguida","given":"Pasqualina L.","non-dropping-particle":"","parse-names":false,"suffix":""},{"dropping-particle":"","family":"Schünemann","given":"Holger J.","non-dropping-particle":"","parse-names":false,"suffix":""},{"dropping-particle":"","family":"Shea","given":"Beverly","non-dropping-particle":"","parse-names":false,"suffix":""},{"dropping-particle":"","family":"Shrier","given":"Ian","non-dropping-particle":"","parse-names":false,"suffix":""},{"dropping-particle":"","family":"Tugwell","given":"Peter","non-dropping-particle":"","parse-names":false,"suffix":""},{"dropping-particle":"","family":"Turner","given":"Lucy","non-dropping-particle":"","parse-names":false,"suffix":""},{"dropping-particle":"","family":"Valentine","given":"Jeffrey C.","non-dropping-particle":"","parse-names":false,"suffix":""},{"dropping-particle":"","family":"Waddington","given":"Hugh","non-dropping-particle":"","parse-names":false,"suffix":""},{"dropping-particle":"","family":"Waters","given":"Elizabeth","non-dropping-particle":"","parse-names":false,"suffix":""},{"dropping-particle":"","family":"Wells","given":"George A.","non-dropping-particle":"","parse-names":false,"suffix":""},{"dropping-particle":"","family":"Whiting","given":"Penny F.","non-dropping-particle":"","parse-names":false,"suffix":""},{"dropping-particle":"","family":"Higgins","given":"Julian Pt","non-dropping-particle":"","parse-names":false,"suffix":""}],"container-title":"BMJ (Online)","id":"ITEM-2","issued":{"date-parts":[["2016"]]},"page":"4-10","title":"ROBINS-I: A tool for assessing risk of bias in non-randomised studies of interventions","type":"article-journal","volume":"355"},"uris":["http://www.mendeley.com/documents/?uuid=885b4af2-af21-4c6a-94ff-b09b7d3f6e66"]}],"mendeley":{"formattedCitation":"(18,19)","plainTextFormattedCitation":"(18,19)","previouslyFormattedCitation":"(18,19)"},"properties":{"noteIndex":0},"schema":"https://github.com/citation-style-language/schema/raw/master/csl-citation.json"}</w:instrText>
      </w:r>
      <w:r w:rsidR="00851506" w:rsidRPr="0058539F">
        <w:fldChar w:fldCharType="separate"/>
      </w:r>
      <w:r w:rsidR="00C1030A" w:rsidRPr="002B3E81">
        <w:rPr>
          <w:noProof/>
        </w:rPr>
        <w:t>(18,19)</w:t>
      </w:r>
      <w:r w:rsidR="00851506" w:rsidRPr="0058539F">
        <w:fldChar w:fldCharType="end"/>
      </w:r>
      <w:r w:rsidR="001467A0" w:rsidRPr="0058539F">
        <w:t xml:space="preserve">. </w:t>
      </w:r>
      <w:r w:rsidR="00851506" w:rsidRPr="0058539F">
        <w:t xml:space="preserve">Supplementary table 1 summarises this </w:t>
      </w:r>
      <w:r w:rsidR="00D34FB9" w:rsidRPr="0058539F">
        <w:t>T</w:t>
      </w:r>
      <w:r w:rsidR="00851506" w:rsidRPr="0058539F">
        <w:t xml:space="preserve">arget </w:t>
      </w:r>
      <w:r w:rsidR="00D34FB9" w:rsidRPr="0058539F">
        <w:t>T</w:t>
      </w:r>
      <w:r w:rsidR="00851506" w:rsidRPr="0058539F">
        <w:t xml:space="preserve">rial protocol. </w:t>
      </w:r>
      <w:r w:rsidR="00CD5D1C" w:rsidRPr="0058539F">
        <w:t xml:space="preserve">Patients were eligible for inclusion if they had a histologically confirmed diagnosis of adenocarcinoma </w:t>
      </w:r>
      <w:r w:rsidR="00BE13A2">
        <w:t>arising from the</w:t>
      </w:r>
      <w:r w:rsidR="00CD5D1C" w:rsidRPr="0058539F">
        <w:t xml:space="preserve"> </w:t>
      </w:r>
      <w:r w:rsidR="004C6085">
        <w:t>o</w:t>
      </w:r>
      <w:r w:rsidR="00CD5D1C" w:rsidRPr="0058539F">
        <w:t>esophagus</w:t>
      </w:r>
      <w:r w:rsidR="00BE13A2">
        <w:t>,</w:t>
      </w:r>
      <w:r w:rsidR="00CD5D1C" w:rsidRPr="0058539F">
        <w:t xml:space="preserve"> gastro-</w:t>
      </w:r>
      <w:r w:rsidR="004C6085">
        <w:t>o</w:t>
      </w:r>
      <w:r w:rsidR="00CD5D1C" w:rsidRPr="0058539F">
        <w:t xml:space="preserve">esophageal junction (Siewert I-III) </w:t>
      </w:r>
      <w:r w:rsidR="00BE13A2">
        <w:t xml:space="preserve">or stomach </w:t>
      </w:r>
      <w:r w:rsidR="00CD5D1C" w:rsidRPr="0058539F">
        <w:t xml:space="preserve">and underwent chemotherapy followed by planned curative </w:t>
      </w:r>
      <w:r w:rsidR="00BE13A2">
        <w:t>surgery</w:t>
      </w:r>
      <w:r w:rsidR="00CD5D1C" w:rsidRPr="0058539F">
        <w:t xml:space="preserve">. </w:t>
      </w:r>
      <w:r w:rsidR="00AD05FE" w:rsidRPr="0058539F">
        <w:t xml:space="preserve">As response to radiotherapy/chemoradiotherapy is biologically distinct to </w:t>
      </w:r>
      <w:r w:rsidR="00AA1214" w:rsidRPr="0058539F">
        <w:t>chemotherapy</w:t>
      </w:r>
      <w:r w:rsidR="00AA1214">
        <w:fldChar w:fldCharType="begin" w:fldLock="1"/>
      </w:r>
      <w:r w:rsidR="00D120BE">
        <w:instrText>ADDIN CSL_CITATION {"citationItems":[{"id":"ITEM-1","itemData":{"DOI":"10.1016/j.ejca.2017.04.027","ISSN":"18790852","PMID":"28628843","abstract":"Background Results of the PreOperative therapy in Esophagogastric adenocarcinoma Trial (POET) showed some benefits when including radiotherapy into the preoperative treatment. This article is reporting long-term results of this phase III study. Patients and methods Patients with locally advanced adenocarcinomas of the oesophagogastric junction (Siewert types I–III) were eligible. Randomisation was done to chemotherapy (group A) or induction chemotherapy and chemoradiotherapy (CRT; group B) followed by surgery. Results The primary end-point of the study was overall survival at 3 years. The study was closed early after 119 patients having been randomised and were eligible. Local progression-free survival after tumour resection was significantly improved by CRT (hazard ratio [HR] 0.37; 0.16–0.85, p = value 0.01) and 20 versus 12 patients were free of local tumour progression at 5 years (p = 0.03). Although the rate of postoperative in-hospital mortality was somewhat higher with CRT (10.2% versus 3.8%, p = 0.26), more patients were alive at 3 and 5 years after CRT (46.7% and 39.5%) compared with chemotherapy (26.1% and 24.4%). Thus, overall survival showed a trend in favour of preoperative CRT (HR 0.65, 95% confidence interval [CI] 0.42–1.01, p = 0.055). Conclusion Although the primary end-point overall survival of the study was not met, our long-term follow-up data suggest a benefit in local progression-free survival when radiotherapy was added to preoperative chemotherapy in patients with locally advanced adenocarcinoma of the oesophagogastric junction.","author":[{"dropping-particle":"","family":"Stahl","given":"Michael","non-dropping-particle":"","parse-names":false,"suffix":""},{"dropping-particle":"","family":"Walz","given":"Martin K.","non-dropping-particle":"","parse-names":false,"suffix":""},{"dropping-particle":"","family":"Riera-Knorrenschild","given":"Jorge","non-dropping-particle":"","parse-names":false,"suffix":""},{"dropping-particle":"","family":"Stuschke","given":"Martin","non-dropping-particle":"","parse-names":false,"suffix":""},{"dropping-particle":"","family":"Sandermann","given":"Andreas","non-dropping-particle":"","parse-names":false,"suffix":""},{"dropping-particle":"","family":"Bitzer","given":"Michael","non-dropping-particle":"","parse-names":false,"suffix":""},{"dropping-particle":"","family":"Wilke","given":"Hansjochen","non-dropping-particle":"","parse-names":false,"suffix":""},{"dropping-particle":"","family":"Budach","given":"Wilfried","non-dropping-particle":"","parse-names":false,"suffix":""}],"container-title":"European Journal of Cancer","id":"ITEM-1","issued":{"date-parts":[["2017"]]},"page":"183-190","publisher":"Elsevier Ltd","title":"Preoperative chemotherapy versus chemoradiotherapy in locally advanced adenocarcinomas of the oesophagogastric junction (POET): Long-term results of a controlled randomised trial","type":"article-journal","volume":"81"},"uris":["http://www.mendeley.com/documents/?uuid=e5022fbc-50bf-4bf1-9ebb-7ec1594fae89"]},{"id":"ITEM-2","itemData":{"DOI":"10.1007/s10120-018-0901-3","ISSN":"1436-3291","PMID":"30483986","abstract":"OBJECTIVE: The preferred neoadjuvant treatment for gastroesophageal junction (GEJ) adenocarcinoma is still matter of debate. We conducted a meta-analysis to assess the different impact of neoadjuvant combined chemotherapy and radiotherapy (CTRT) versus chemotherapy (CT) alone. METHODS: A comprehensive search was performed in EMBASE, PubMed, and Cochrane Library databases from inception to 30th June 2018. Studies comparing survival of patients who underwent CTRT or CT alone before surgery for GEJ adenocarcinoma were included. Hazard ratio (HR) for overall survival (OS) was extracted, and a random-effects model was used for pooled analysis. Median OS, 5-year OS, complete pathologic response (pCR), locoregional and distant failure rates were also calculated. RESULTS: 22 studies including 18,260 patients were considered for the final analysis. The pooled results demonstrated that combined CTRT do not significantly reduce the risk of death (HR 0.95, 95% CI 0.84-1.07; P = 0.41) but has a positive impact on the risk of relapse (HR 0.85, 95% CI 0.75-0.97; P = 0.01) compared to CT alone. Addition of RT to CT alone significantly increased the odds of pCR by 2.8 (95% CI 2.27-3.47; P &lt; 0.001) and reduced the risk of locoregional failure (OR 0.6, 95% CI 0.39-0.91; P = 0.01) but not the risk of distant metastases (OR 0.81, 95% CI 0.59-1.11; P = 0.19). CONCLUSIONS: In this systematic review and meta-analysis comparing neoadjuvant CTRT with CT for adenocarcinoma of GEJ, we found no difference in terms of median OS, despite a higher pCR rate and a reduced risk of locoregional recurrences for the combined approach. Further studies, preferably large randomized clinical trials, are needed to confirm these results.","author":[{"dropping-particle":"","family":"Petrelli","given":"Fausto","non-dropping-particle":"","parse-names":false,"suffix":""},{"dropping-particle":"","family":"Ghidini","given":"Michele","non-dropping-particle":"","parse-names":false,"suffix":""},{"dropping-particle":"","family":"Barni","given":"Sandro","non-dropping-particle":"","parse-names":false,"suffix":""},{"dropping-particle":"","family":"Sgroi","given":"Giovanni","non-dropping-particle":"","parse-names":false,"suffix":""},{"dropping-particle":"","family":"Passalacqua","given":"Rodolfo","non-dropping-particle":"","parse-names":false,"suffix":""},{"dropping-particle":"","family":"Tomasello","given":"Gianluca","non-dropping-particle":"","parse-names":false,"suffix":""}],"container-title":"Gastric Cancer","id":"ITEM-2","issue":"2","issued":{"date-parts":[["2019","3","27"]]},"language":"eng","page":"245-254","publisher-place":"Japan","title":"Neoadjuvant chemoradiotherapy or chemotherapy for gastroesophageal junction adenocarcinoma: A systematic review and meta-analysis","type":"article-journal","volume":"22"},"uris":["http://www.mendeley.com/documents/?uuid=43925744-64cb-40cf-b1e4-5d46cb2cc970"]},{"id":"ITEM-3","itemData":{"DOI":"10.1016/j.ejso.2020.06.038","ISSN":"15322157","PMID":"32694054","abstract":"Background: Esophageal cancer is increasingly common and carries a poor prognosis. The optimal treatment modality for locally advanced cancer is unknown, with current guidance recommending either neoadjuvant chemotherapy (CT) or chemoradiotherapy (CRT) followed by surgery. There is a lack of adequately powered trials comparing CT against CRT. We retrospectively compared CT versus CRT using a propensity score weighting approach. Methods: Demographic, disease, treatment and outcome data were retrieved from a local database for patients who received neoadjuvant CT or CRT followed by surgery. Inverse probability of treatment weighting (IPTW) was used to balance groups using a propensity score-weighting approach. Groups were assessed for differences in postoperative outcomes and survival. Kaplan-Meier and non-parametric tests were used to compare survival and outcome data as appropriate. Results: Data for 284 patients were retrieved. Following IPTW groups were well matched. No significant differences were seen for postoperative complications (CT 64.9% vs. CRT 63.3%, p = 0.807), including major complications (24.0% vs. 23.6%, p = 0.943) and anastomotic leak (7.8% vs. 5.6%, p = 0.526). Significantly higher rates of clinical regression and complete pathological response were seen following CRT (p = 0.002 for both). Rates of R0 resection were higher with CRT, CT 79.1% vs. CRT 93.1%, p = 0.006. There was no difference between groups for overall or disease-free survival. Conclusion: This study suggests that the significant improvements in local tumour response seen after neoadjuvant CRT compared to CT may not translate to different survival outcomes. However, it must be stressed that adequately powered prospective trials are still lacking.","author":[{"dropping-particle":"","family":"Pucher","given":"Philip H","non-dropping-particle":"","parse-names":false,"suffix":""},{"dropping-particle":"","family":"Rahman","given":"Saqib A","non-dropping-particle":"","parse-names":false,"suffix":""},{"dropping-particle":"","family":"Walker","given":"Robert C","non-dropping-particle":"","parse-names":false,"suffix":""},{"dropping-particle":"","family":"Grace","given":"Ben L","non-dropping-particle":"","parse-names":false,"suffix":""},{"dropping-particle":"","family":"Bateman","given":"Andrew","non-dropping-particle":"","parse-names":false,"suffix":""},{"dropping-particle":"","family":"Iveson","given":"Tim","non-dropping-particle":"","parse-names":false,"suffix":""},{"dropping-particle":"","family":"Jackson","given":"Andrew","non-dropping-particle":"","parse-names":false,"suffix":""},{"dropping-particle":"","family":"Rees","given":"Charlotte","non-dropping-particle":"","parse-names":false,"suffix":""},{"dropping-particle":"","family":"Byrne","given":"James P","non-dropping-particle":"","parse-names":false,"suffix":""},{"dropping-particle":"","family":"Kelly","given":"Jamie J.","non-dropping-particle":"","parse-names":false,"suffix":""},{"dropping-particle":"","family":"Noble","given":"Fergus","non-dropping-particle":"","parse-names":false,"suffix":""},{"dropping-particle":"","family":"Underwood","given":"Timothy J","non-dropping-particle":"","parse-names":false,"suffix":""}],"container-title":"European Journal of Surgical Oncology","id":"ITEM-3","issue":"12","issued":{"date-parts":[["2020"]]},"page":"2248-2256","publisher":"British Association of Surgical Oncology/European Society of Surgical Oncology","title":"Outcomes and survival following neoadjuvant chemotherapy versus neoadjuvant chemoradiotherapy for cancer of the esophagus: Inverse propensity score weighted analysis","type":"article-journal","volume":"46"},"uris":["http://www.mendeley.com/documents/?uuid=cb3d3cb1-842d-49c2-9ce8-718d41dcb7d3"]}],"mendeley":{"formattedCitation":"(20–22)","plainTextFormattedCitation":"(20–22)","previouslyFormattedCitation":"(20–22)"},"properties":{"noteIndex":0},"schema":"https://github.com/citation-style-language/schema/raw/master/csl-citation.json"}</w:instrText>
      </w:r>
      <w:r w:rsidR="00AA1214">
        <w:fldChar w:fldCharType="separate"/>
      </w:r>
      <w:r w:rsidR="00C1030A" w:rsidRPr="002B3E81">
        <w:rPr>
          <w:noProof/>
        </w:rPr>
        <w:t>(20–22)</w:t>
      </w:r>
      <w:r w:rsidR="00AA1214">
        <w:fldChar w:fldCharType="end"/>
      </w:r>
      <w:r w:rsidR="00AA1214" w:rsidRPr="0058539F">
        <w:t xml:space="preserve">, </w:t>
      </w:r>
      <w:r w:rsidR="00AD05FE" w:rsidRPr="0058539F">
        <w:t xml:space="preserve">patients who received </w:t>
      </w:r>
      <w:r w:rsidR="004969F5">
        <w:t xml:space="preserve">preoperative </w:t>
      </w:r>
      <w:r w:rsidR="00AD05FE" w:rsidRPr="0058539F">
        <w:t>chemoradiotherapy</w:t>
      </w:r>
      <w:r w:rsidR="004969F5">
        <w:t xml:space="preserve"> or </w:t>
      </w:r>
      <w:r w:rsidR="00AD05FE" w:rsidRPr="007B6070">
        <w:t xml:space="preserve">radiotherapy were excluded. </w:t>
      </w:r>
      <w:r w:rsidR="00CD5D1C" w:rsidRPr="007B6070">
        <w:t>Patients with overt metastatic disease at resection (ypM1) were excluded, as were patients whose physical fitness</w:t>
      </w:r>
      <w:r w:rsidR="00CB62AF" w:rsidRPr="007B6070">
        <w:t xml:space="preserve"> prior to surgery</w:t>
      </w:r>
      <w:r w:rsidR="00CD5D1C" w:rsidRPr="007B6070">
        <w:t xml:space="preserve"> was likely to preclude a full course of treatment (ASA≥4 or WHO Performance Status ≥3).</w:t>
      </w:r>
      <w:r w:rsidR="00CD5D1C" w:rsidRPr="0058539F">
        <w:t xml:space="preserve"> Chemotherapy regimens were ascertained from the SACT </w:t>
      </w:r>
      <w:r w:rsidR="00BC3D72" w:rsidRPr="0058539F">
        <w:t>dataset,</w:t>
      </w:r>
      <w:r w:rsidR="00CD5D1C" w:rsidRPr="0058539F">
        <w:t xml:space="preserve"> and the study cohort </w:t>
      </w:r>
      <w:r w:rsidR="004969F5">
        <w:t xml:space="preserve">was </w:t>
      </w:r>
      <w:r w:rsidR="00CD5D1C" w:rsidRPr="0058539F">
        <w:t>limited to those patients receiving</w:t>
      </w:r>
      <w:r w:rsidR="00322C51" w:rsidRPr="0058539F">
        <w:t xml:space="preserve"> </w:t>
      </w:r>
      <w:r w:rsidR="008A7149">
        <w:t>platinum</w:t>
      </w:r>
      <w:r w:rsidR="001467A0" w:rsidRPr="0058539F">
        <w:t>-</w:t>
      </w:r>
      <w:r w:rsidR="00E606D8" w:rsidRPr="0058539F">
        <w:t>based</w:t>
      </w:r>
      <w:r w:rsidR="00322C51" w:rsidRPr="0058539F">
        <w:t xml:space="preserve"> triplet therapy (</w:t>
      </w:r>
      <w:r w:rsidR="00DB12A3" w:rsidRPr="0058539F">
        <w:rPr>
          <w:i/>
          <w:iCs/>
        </w:rPr>
        <w:t>i.e.,</w:t>
      </w:r>
      <w:r w:rsidR="00322C51" w:rsidRPr="0058539F">
        <w:rPr>
          <w:i/>
          <w:iCs/>
        </w:rPr>
        <w:t xml:space="preserve"> </w:t>
      </w:r>
      <w:r w:rsidR="00CD5D1C" w:rsidRPr="007B6070">
        <w:rPr>
          <w:i/>
          <w:iCs/>
        </w:rPr>
        <w:t>ECF</w:t>
      </w:r>
      <w:r w:rsidR="00322C51" w:rsidRPr="007B6070">
        <w:rPr>
          <w:i/>
          <w:iCs/>
        </w:rPr>
        <w:t>/E</w:t>
      </w:r>
      <w:r w:rsidR="00CD5D1C" w:rsidRPr="007B6070">
        <w:rPr>
          <w:i/>
          <w:iCs/>
        </w:rPr>
        <w:t>pirubicin + Cisplatin + 5-FU</w:t>
      </w:r>
      <w:r w:rsidR="00322C51" w:rsidRPr="007B6070">
        <w:rPr>
          <w:i/>
          <w:iCs/>
        </w:rPr>
        <w:t>,</w:t>
      </w:r>
      <w:r w:rsidR="00CD5D1C" w:rsidRPr="007B6070">
        <w:rPr>
          <w:i/>
          <w:iCs/>
        </w:rPr>
        <w:t xml:space="preserve"> EC</w:t>
      </w:r>
      <w:r w:rsidR="00322C51" w:rsidRPr="007B6070">
        <w:rPr>
          <w:i/>
          <w:iCs/>
        </w:rPr>
        <w:t>X/</w:t>
      </w:r>
      <w:r w:rsidR="00CD5D1C" w:rsidRPr="007B6070">
        <w:rPr>
          <w:i/>
          <w:iCs/>
        </w:rPr>
        <w:t>Epirubicin + Cisplatin + Capecitabine, EOF</w:t>
      </w:r>
      <w:r w:rsidR="00322C51" w:rsidRPr="007B6070">
        <w:rPr>
          <w:i/>
          <w:iCs/>
        </w:rPr>
        <w:t>/</w:t>
      </w:r>
      <w:r w:rsidR="00CD5D1C" w:rsidRPr="007B6070">
        <w:rPr>
          <w:i/>
          <w:iCs/>
        </w:rPr>
        <w:t>Epirubicin + Oxaliplatin + 5-FU</w:t>
      </w:r>
      <w:r w:rsidR="00322C51" w:rsidRPr="007B6070">
        <w:rPr>
          <w:i/>
          <w:iCs/>
        </w:rPr>
        <w:t xml:space="preserve">, </w:t>
      </w:r>
      <w:r w:rsidR="00CD5D1C" w:rsidRPr="007B6070">
        <w:rPr>
          <w:i/>
          <w:iCs/>
        </w:rPr>
        <w:t>EOX</w:t>
      </w:r>
      <w:r w:rsidR="00322C51" w:rsidRPr="007B6070">
        <w:rPr>
          <w:i/>
          <w:iCs/>
        </w:rPr>
        <w:t>/E</w:t>
      </w:r>
      <w:r w:rsidR="00CD5D1C" w:rsidRPr="007B6070">
        <w:rPr>
          <w:i/>
          <w:iCs/>
        </w:rPr>
        <w:t>pirubicin + Oxaliplatin +</w:t>
      </w:r>
      <w:r w:rsidR="00322C51" w:rsidRPr="007B6070">
        <w:rPr>
          <w:i/>
          <w:iCs/>
        </w:rPr>
        <w:t xml:space="preserve"> </w:t>
      </w:r>
      <w:r w:rsidR="00CD5D1C" w:rsidRPr="007B6070">
        <w:rPr>
          <w:i/>
          <w:iCs/>
        </w:rPr>
        <w:t>Capecitabine</w:t>
      </w:r>
      <w:r w:rsidR="00322C51" w:rsidRPr="007B6070">
        <w:t>)</w:t>
      </w:r>
      <w:r w:rsidR="00CD5D1C" w:rsidRPr="007B6070">
        <w:t xml:space="preserve"> or FLOT </w:t>
      </w:r>
      <w:r w:rsidR="00322C51" w:rsidRPr="007B6070">
        <w:t>(</w:t>
      </w:r>
      <w:r w:rsidR="00CD5D1C" w:rsidRPr="007B6070">
        <w:rPr>
          <w:i/>
          <w:iCs/>
        </w:rPr>
        <w:t>5-FU + Leuco</w:t>
      </w:r>
      <w:r w:rsidR="00CD5D1C" w:rsidRPr="0058539F">
        <w:rPr>
          <w:i/>
          <w:iCs/>
        </w:rPr>
        <w:t>vorin + Oxaliplatin + Docetaxel</w:t>
      </w:r>
      <w:r w:rsidR="00CD5D1C" w:rsidRPr="0058539F">
        <w:t>)</w:t>
      </w:r>
      <w:r w:rsidR="004969F5">
        <w:t xml:space="preserve"> </w:t>
      </w:r>
      <w:r w:rsidR="002C6308">
        <w:t xml:space="preserve">in </w:t>
      </w:r>
      <w:r w:rsidR="004969F5">
        <w:t>both preoperative and postoperative periods</w:t>
      </w:r>
      <w:r w:rsidR="00CD5D1C" w:rsidRPr="0058539F">
        <w:t>.</w:t>
      </w:r>
      <w:r w:rsidR="00E70611">
        <w:t xml:space="preserve"> </w:t>
      </w:r>
      <w:r w:rsidR="00D85252">
        <w:t xml:space="preserve">Treatments other than </w:t>
      </w:r>
      <w:r w:rsidR="008A7149">
        <w:t>platinum</w:t>
      </w:r>
      <w:r w:rsidR="00D85252">
        <w:t xml:space="preserve">-based triplet or FLOT </w:t>
      </w:r>
      <w:r w:rsidR="00D85252">
        <w:lastRenderedPageBreak/>
        <w:t>regimens were excluded</w:t>
      </w:r>
      <w:r w:rsidR="00E060CA">
        <w:t xml:space="preserve"> </w:t>
      </w:r>
      <w:r w:rsidR="00EC260A">
        <w:t xml:space="preserve">because these regimens are primarily given </w:t>
      </w:r>
      <w:r w:rsidR="00AD28BC">
        <w:t>in the</w:t>
      </w:r>
      <w:r w:rsidR="00EC260A">
        <w:t xml:space="preserve"> neoadjuvant (as opposed to perioperative) </w:t>
      </w:r>
      <w:r w:rsidR="00AD28BC">
        <w:t>setting</w:t>
      </w:r>
      <w:r w:rsidR="00D938A0">
        <w:t>.</w:t>
      </w:r>
      <w:r w:rsidR="005E506D">
        <w:t xml:space="preserve"> </w:t>
      </w:r>
    </w:p>
    <w:p w14:paraId="1A5EEF8D" w14:textId="62B4F0F6" w:rsidR="00D85252" w:rsidRDefault="005E506D" w:rsidP="00E060CA">
      <w:pPr>
        <w:spacing w:before="100" w:beforeAutospacing="1" w:after="100" w:afterAutospacing="1" w:line="480" w:lineRule="auto"/>
      </w:pPr>
      <w:r w:rsidRPr="007B6070">
        <w:t>Treatment intent for platinum-based triplet therapy was three preoperative and three postoperative cycles, where each cycle consisted of epirubicin (50mg/m</w:t>
      </w:r>
      <w:r w:rsidRPr="007B6070">
        <w:rPr>
          <w:vertAlign w:val="superscript"/>
        </w:rPr>
        <w:t>2</w:t>
      </w:r>
      <w:r w:rsidRPr="007B6070">
        <w:t xml:space="preserve"> IV) and cisplatin (60mg/m</w:t>
      </w:r>
      <w:r w:rsidRPr="007B6070">
        <w:rPr>
          <w:vertAlign w:val="superscript"/>
        </w:rPr>
        <w:t>2</w:t>
      </w:r>
      <w:r w:rsidRPr="007B6070">
        <w:t xml:space="preserve"> IV) or oxaliplatin (130mg/m</w:t>
      </w:r>
      <w:r w:rsidRPr="007B6070">
        <w:rPr>
          <w:vertAlign w:val="superscript"/>
        </w:rPr>
        <w:t>2</w:t>
      </w:r>
      <w:r w:rsidRPr="007B6070">
        <w:t xml:space="preserve"> IV) on day 1 in conjunction with daily 5-FU (200mg/m</w:t>
      </w:r>
      <w:r w:rsidRPr="007B6070">
        <w:rPr>
          <w:vertAlign w:val="superscript"/>
        </w:rPr>
        <w:t>2</w:t>
      </w:r>
      <w:r w:rsidRPr="007B6070">
        <w:t xml:space="preserve"> IV) or Capecitabine (1250mg/m</w:t>
      </w:r>
      <w:r w:rsidRPr="007B6070">
        <w:rPr>
          <w:vertAlign w:val="superscript"/>
        </w:rPr>
        <w:t>2</w:t>
      </w:r>
      <w:r w:rsidRPr="007B6070">
        <w:t xml:space="preserve"> PO) for 21 days. For FLOT four pre- and four post-operative two week cycles are intended, with docetaxel (50mg/m</w:t>
      </w:r>
      <w:r w:rsidRPr="007B6070">
        <w:rPr>
          <w:vertAlign w:val="superscript"/>
        </w:rPr>
        <w:t>2</w:t>
      </w:r>
      <w:r w:rsidRPr="007B6070">
        <w:t>), oxaliplatin (85mg/m</w:t>
      </w:r>
      <w:r w:rsidRPr="007B6070">
        <w:rPr>
          <w:vertAlign w:val="superscript"/>
        </w:rPr>
        <w:t>2</w:t>
      </w:r>
      <w:r w:rsidRPr="007B6070">
        <w:t>), lecovorin (200mg/m</w:t>
      </w:r>
      <w:r w:rsidRPr="007B6070">
        <w:rPr>
          <w:vertAlign w:val="superscript"/>
        </w:rPr>
        <w:t>2</w:t>
      </w:r>
      <w:r w:rsidRPr="007B6070">
        <w:t>) and 5-FU (2600mg/m</w:t>
      </w:r>
      <w:r w:rsidRPr="007B6070">
        <w:rPr>
          <w:vertAlign w:val="superscript"/>
        </w:rPr>
        <w:t>2</w:t>
      </w:r>
      <w:r w:rsidRPr="007B6070">
        <w:t>) administered on cycle day 1.</w:t>
      </w:r>
    </w:p>
    <w:p w14:paraId="1C84C8B4" w14:textId="54E64F67" w:rsidR="009222CA" w:rsidRPr="0058539F" w:rsidRDefault="00E70611" w:rsidP="007E3DBA">
      <w:pPr>
        <w:spacing w:line="480" w:lineRule="auto"/>
      </w:pPr>
      <w:r>
        <w:t>P</w:t>
      </w:r>
      <w:r w:rsidR="00B4089E">
        <w:t>ostoperative</w:t>
      </w:r>
      <w:r w:rsidR="00B4089E" w:rsidRPr="0058539F">
        <w:t xml:space="preserve"> </w:t>
      </w:r>
      <w:r w:rsidR="00CD5D1C" w:rsidRPr="0058539F">
        <w:t xml:space="preserve">treatment was defined as the receipt of at least one cycle of postoperative chemotherapy started within 90 days of surgery, given with a non-palliative intent. </w:t>
      </w:r>
      <w:r w:rsidR="00576C9F">
        <w:t xml:space="preserve">Patients who did not receive any postoperative chemotherapy </w:t>
      </w:r>
      <w:r w:rsidR="00AF3551">
        <w:t>were</w:t>
      </w:r>
      <w:r w:rsidR="00576C9F">
        <w:t xml:space="preserve"> referred to as “observation only”. </w:t>
      </w:r>
    </w:p>
    <w:p w14:paraId="4DB72DEF" w14:textId="5429D84F" w:rsidR="00E060CA" w:rsidRDefault="00D24E0B" w:rsidP="00E060CA">
      <w:pPr>
        <w:spacing w:line="480" w:lineRule="auto"/>
      </w:pPr>
      <w:r w:rsidRPr="0058539F">
        <w:t xml:space="preserve">To be eligible for </w:t>
      </w:r>
      <w:r w:rsidR="00D80C00">
        <w:t>postoperative</w:t>
      </w:r>
      <w:r w:rsidR="00D80C00" w:rsidRPr="0058539F">
        <w:t xml:space="preserve"> </w:t>
      </w:r>
      <w:r w:rsidRPr="0058539F">
        <w:t>treatment, patients must survive the immediate postoperative period</w:t>
      </w:r>
      <w:r w:rsidR="003403E2" w:rsidRPr="0058539F">
        <w:t>. In retrospective analyses such as this, this</w:t>
      </w:r>
      <w:r w:rsidRPr="0058539F">
        <w:t xml:space="preserve"> introduces ‘immortal</w:t>
      </w:r>
      <w:r w:rsidR="00ED0641">
        <w:t>-</w:t>
      </w:r>
      <w:r w:rsidRPr="0058539F">
        <w:t>time bias’</w:t>
      </w:r>
      <w:r w:rsidR="003403E2" w:rsidRPr="0058539F">
        <w:fldChar w:fldCharType="begin" w:fldLock="1"/>
      </w:r>
      <w:r w:rsidR="00D120BE">
        <w:instrText>ADDIN CSL_CITATION {"citationItems":[{"id":"ITEM-1","itemData":{"DOI":"10.1093/aje/kwm324","ISSN":"00029262","PMID":"18056625","abstract":"Immortal time is a span of cohort follow-up during which, because of exposure definition, the outcome under study could not occur. Bias from immortal time was first identified in the 1970s in epidemiology in the context of cohort studies of the survival benefit of heart transplantation. It recently resurfaced in pharmacoepidemiology, with several observational studies reporting that various medications can be extremely effective at reducing morbidity and mortality. These studies, while using different cohort designs, all involved some form of immortal time and the corresponding bias. In this paper, the author describes various cohort study designs leading to this bias, quantifies its magnitude under different survival distributions, and illustrates it by using data from a cohort of lung cancer patients. The author shows that for time-based, event-based, and exposure-based cohort definitions, the bias in the rate ratio resulting from misclassified or excluded immortal time increases proportionately to the duration of immortal time. The bias is more pronounced with a decreasing hazard function for the outcome event, as illustrated with the Weibull distribution compared with a constant hazard from the exponential distribution. In conclusion, observational studies of drug benefit in which computerized databases are used must be designed and analyzed properly to avoid immortal time bias. © The Author 2007. Published by the Johns Hopkins Bloomberg School of Public Health. All rights reserved.","author":[{"dropping-particle":"","family":"Suissa","given":"Samy","non-dropping-particle":"","parse-names":false,"suffix":""}],"container-title":"American Journal of Epidemiology","id":"ITEM-1","issue":"4","issued":{"date-parts":[["2008"]]},"page":"492-499","title":"Immortal time bias in pharmacoepidemiology","type":"article-journal","volume":"167"},"uris":["http://www.mendeley.com/documents/?uuid=c170e3a2-939a-458d-b045-84bf7d080188"]}],"mendeley":{"formattedCitation":"(23)","plainTextFormattedCitation":"(23)","previouslyFormattedCitation":"(23)"},"properties":{"noteIndex":0},"schema":"https://github.com/citation-style-language/schema/raw/master/csl-citation.json"}</w:instrText>
      </w:r>
      <w:r w:rsidR="003403E2" w:rsidRPr="0058539F">
        <w:fldChar w:fldCharType="separate"/>
      </w:r>
      <w:r w:rsidR="00C1030A" w:rsidRPr="002B3E81">
        <w:rPr>
          <w:noProof/>
        </w:rPr>
        <w:t>(23)</w:t>
      </w:r>
      <w:r w:rsidR="003403E2" w:rsidRPr="0058539F">
        <w:fldChar w:fldCharType="end"/>
      </w:r>
      <w:r w:rsidR="003403E2" w:rsidRPr="0058539F">
        <w:t xml:space="preserve"> </w:t>
      </w:r>
      <w:r w:rsidR="00E0675B" w:rsidRPr="0058539F">
        <w:t>with an apparently higher mortality in the untreated group</w:t>
      </w:r>
      <w:r w:rsidR="003403E2" w:rsidRPr="0058539F">
        <w:t xml:space="preserve">. </w:t>
      </w:r>
      <w:r w:rsidR="009D513D">
        <w:t>One method of addressing this is to remove</w:t>
      </w:r>
      <w:r w:rsidR="003403E2" w:rsidRPr="0058539F">
        <w:t xml:space="preserve"> patients who die before a ‘landmark’ time</w:t>
      </w:r>
      <w:r w:rsidR="003403E2" w:rsidRPr="0058539F">
        <w:fldChar w:fldCharType="begin" w:fldLock="1"/>
      </w:r>
      <w:r w:rsidR="00D120BE">
        <w:instrText>ADDIN CSL_CITATION {"citationItems":[{"id":"ITEM-1","itemData":{"DOI":"10.1161/CIRCOUTCOMES.110.957951","ISSN":"19417713","PMID":"21586725","abstract":"This statistical primer presents the landmark analysis method, exploring its appropriate use and interpretation while recognizing its limitationsThis observational method is used for comparing time-to-event outcome between groups determined during study follow-upThe goal of the landmark method is to estimate in an unbiased way the time-to-event probabilities in each group conditional on the group membership of patients at a specific time point, the landmark timeThe need that led to its development, the impact of the method, and its pros and cons, along with available alternative approaches, are presentedSimulations explore its performance, using realistic parameters from arecent cardiovascular studyAs long as the limitations of the method are recognized and the interpretation of its results clearly reflect their \"conditional\" nature, landmark analysis, 25 years from its introduction, can still be of value. © 2011 American Heart Association, Inc.","author":[{"dropping-particle":"","family":"Dafni","given":"Urania","non-dropping-particle":"","parse-names":false,"suffix":""}],"container-title":"Circulation: Cardiovascular Quality and Outcomes","id":"ITEM-1","issue":"3","issued":{"date-parts":[["2011"]]},"page":"363-371","title":"Landmark analysis at the 25-year landmark point","type":"article-journal","volume":"4"},"uris":["http://www.mendeley.com/documents/?uuid=738fb0d5-f8c9-40a8-83a3-472419970b85"]}],"mendeley":{"formattedCitation":"(24)","plainTextFormattedCitation":"(24)","previouslyFormattedCitation":"(24)"},"properties":{"noteIndex":0},"schema":"https://github.com/citation-style-language/schema/raw/master/csl-citation.json"}</w:instrText>
      </w:r>
      <w:r w:rsidR="003403E2" w:rsidRPr="0058539F">
        <w:fldChar w:fldCharType="separate"/>
      </w:r>
      <w:r w:rsidR="00C1030A" w:rsidRPr="002B3E81">
        <w:rPr>
          <w:noProof/>
        </w:rPr>
        <w:t>(24)</w:t>
      </w:r>
      <w:r w:rsidR="003403E2" w:rsidRPr="0058539F">
        <w:fldChar w:fldCharType="end"/>
      </w:r>
      <w:r w:rsidR="003403E2" w:rsidRPr="0058539F">
        <w:t xml:space="preserve"> (all in the untreated group) from the analysis. As </w:t>
      </w:r>
      <w:r w:rsidR="00D80C00">
        <w:t>postoperative</w:t>
      </w:r>
      <w:r w:rsidR="00D80C00" w:rsidRPr="0058539F">
        <w:t xml:space="preserve"> </w:t>
      </w:r>
      <w:r w:rsidR="003403E2" w:rsidRPr="0058539F">
        <w:t xml:space="preserve">treatment </w:t>
      </w:r>
      <w:r w:rsidR="007B6070">
        <w:t xml:space="preserve">was </w:t>
      </w:r>
      <w:r w:rsidR="007B6070" w:rsidRPr="0058539F">
        <w:t xml:space="preserve">defined </w:t>
      </w:r>
      <w:r w:rsidR="003403E2" w:rsidRPr="0058539F">
        <w:t>as beginning within 90 days of surgery, 90</w:t>
      </w:r>
      <w:r w:rsidR="001F023C" w:rsidRPr="0058539F">
        <w:t>-</w:t>
      </w:r>
      <w:r w:rsidR="003403E2" w:rsidRPr="0058539F">
        <w:t xml:space="preserve">days post-surgery </w:t>
      </w:r>
      <w:r w:rsidR="00E060CA">
        <w:t xml:space="preserve">was chosen as </w:t>
      </w:r>
      <w:r w:rsidR="003403E2" w:rsidRPr="0058539F">
        <w:t xml:space="preserve">landmark time </w:t>
      </w:r>
      <w:r w:rsidR="003A11D3">
        <w:t xml:space="preserve">and </w:t>
      </w:r>
      <w:r w:rsidR="003403E2" w:rsidRPr="0058539F">
        <w:t>all patients who died before this</w:t>
      </w:r>
      <w:r w:rsidR="00E060CA" w:rsidRPr="00E060CA">
        <w:t xml:space="preserve"> </w:t>
      </w:r>
      <w:r w:rsidR="00E060CA">
        <w:t xml:space="preserve">were </w:t>
      </w:r>
      <w:r w:rsidR="00E060CA" w:rsidRPr="0058539F">
        <w:t>exclud</w:t>
      </w:r>
      <w:r w:rsidR="00E060CA">
        <w:t>ed</w:t>
      </w:r>
      <w:r w:rsidR="003403E2" w:rsidRPr="0058539F">
        <w:t xml:space="preserve">. </w:t>
      </w:r>
    </w:p>
    <w:p w14:paraId="31FAC1A7" w14:textId="4ADE5030" w:rsidR="00E4099E" w:rsidRPr="00842589" w:rsidRDefault="00E060CA" w:rsidP="00E060CA">
      <w:pPr>
        <w:spacing w:line="480" w:lineRule="auto"/>
      </w:pPr>
      <w:r w:rsidRPr="0058539F">
        <w:t>The primary outcome was overall survival from date of diagnosis</w:t>
      </w:r>
      <w:r>
        <w:t>.</w:t>
      </w:r>
    </w:p>
    <w:p w14:paraId="5679821B" w14:textId="77777777" w:rsidR="00266298" w:rsidRDefault="00266298" w:rsidP="007E3DBA">
      <w:pPr>
        <w:spacing w:before="0" w:line="480" w:lineRule="auto"/>
        <w:rPr>
          <w:b/>
          <w:bCs/>
          <w:sz w:val="24"/>
          <w:szCs w:val="24"/>
        </w:rPr>
      </w:pPr>
    </w:p>
    <w:p w14:paraId="4C40A10C" w14:textId="3C319DA4" w:rsidR="00711D17" w:rsidRPr="00266298" w:rsidRDefault="00713C4D" w:rsidP="007E3DBA">
      <w:pPr>
        <w:spacing w:before="0" w:line="480" w:lineRule="auto"/>
        <w:rPr>
          <w:b/>
          <w:bCs/>
          <w:sz w:val="24"/>
          <w:szCs w:val="24"/>
        </w:rPr>
      </w:pPr>
      <w:r>
        <w:rPr>
          <w:b/>
          <w:bCs/>
        </w:rPr>
        <w:t>Statistical Analysis</w:t>
      </w:r>
    </w:p>
    <w:p w14:paraId="3FC3F49A" w14:textId="03C0E72A" w:rsidR="00FD3538" w:rsidRPr="00462E95" w:rsidRDefault="00FD3538" w:rsidP="007E3DBA">
      <w:pPr>
        <w:spacing w:line="480" w:lineRule="auto"/>
      </w:pPr>
      <w:r w:rsidRPr="00462E95">
        <w:t xml:space="preserve">Treatment allocation in </w:t>
      </w:r>
      <w:r w:rsidR="00CC1381">
        <w:t xml:space="preserve">observational </w:t>
      </w:r>
      <w:r w:rsidRPr="00462E95">
        <w:t xml:space="preserve">studies is non-random. </w:t>
      </w:r>
      <w:r w:rsidR="004969F5">
        <w:t>In routine clinical practice, a</w:t>
      </w:r>
      <w:r w:rsidRPr="00462E95">
        <w:t xml:space="preserve">llocation to </w:t>
      </w:r>
      <w:r w:rsidR="00462E95">
        <w:t>postoperative</w:t>
      </w:r>
      <w:r w:rsidRPr="00462E95">
        <w:t xml:space="preserve"> treatment is influenced by a number of factors that </w:t>
      </w:r>
      <w:r w:rsidR="004969F5">
        <w:t>are associated with</w:t>
      </w:r>
      <w:r w:rsidRPr="00462E95">
        <w:t xml:space="preserve"> survival</w:t>
      </w:r>
      <w:r w:rsidRPr="00462E95">
        <w:fldChar w:fldCharType="begin" w:fldLock="1"/>
      </w:r>
      <w:r w:rsidR="00D120BE">
        <w:instrText>ADDIN CSL_CITATION {"citationItems":[{"id":"ITEM-1","itemData":{"DOI":"10.1007/s11605-018-04087-8","ISSN":"18734626","PMID":"30671799","abstract":"Purpose: The aim of this cohort study was to assess the benefit that patients with lower esophageal or gastroesophageal junction (E/GEJ) adenocarcinoma receive by continuing perioperative chemotherapy post-surgery. Methods: Three hundred twelve patients underwent radical tumor surgical resection after preoperative chemotherapy. Chemotherapy was mainly ECX (epirubicin, cisplatin, capecitabine). Propensity score matching (PSM) was used to compare continuation of chemotherapy post-surgery vs. no postoperative treatment. Results: Two hundred ten patients (67.3%) had GEJ and 102 (32.7%) lower esophageal adenocarcinoma. Microscopically clear surgical margins (R0), according to the Royal College of Pathologists, were achieved in 208 patients (66.7%). In total, 225 patients (72.1%) continued perioperative chemotherapy post-surgery. PSM was used to create two patient groups, well-balanced for basic epidemiological, clinical, and histopathological characteristics. The first included 148 patients who continued perioperative chemotherapy after surgery and the second 86, who did not receive postoperative treatment. The first group had non-significantly different median time-to-relapse (TTR 22.2 vs. 25.7 months, p = 0.627), overall survival (OS 46.1 vs. 36.7 months, p = 0.199), and post-relapse survival (15.3 vs. 8.7 months, p = 0.122). Subgroup analysis showed that only patients with microscopically residual disease after surgery (R1 resection) benefited from continuation of chemotherapy post-surgery for both TTR (hazard ratio [HR] 0.556, 95% CI 0.330–0.936, p = 0.027) and OS (HR 0.530, 95% CI 0.313–0.898, p = 0.018). Conclusions: Continuation of perioperative chemotherapy post-surgery was not associated with improved outcome in patients with E/GEJ adenocarcinoma. Patients with microscopically residual disease post-surgery might receive a potential benefit from adjuvant chemotherapy.","author":[{"dropping-particle":"","family":"Papaxoinis","given":"George","non-dropping-particle":"","parse-names":false,"suffix":""},{"dropping-particle":"","family":"Kamposioras","given":"Konstantinos","non-dropping-particle":"","parse-names":false,"suffix":""},{"dropping-particle":"","family":"Weaver","given":"Jamie M.J.","non-dropping-particle":"","parse-names":false,"suffix":""},{"dropping-particle":"","family":"Kordatou","given":"Zoe","non-dropping-particle":"","parse-names":false,"suffix":""},{"dropping-particle":"","family":"Stamatopoulou","given":"Sofia","non-dropping-particle":"","parse-names":false,"suffix":""},{"dropping-particle":"","family":"Germetaki","given":"Theodora","non-dropping-particle":"","parse-names":false,"suffix":""},{"dropping-particle":"","family":"Nasralla","given":"Magdy","non-dropping-particle":"","parse-names":false,"suffix":""},{"dropping-particle":"","family":"Owen-Holt","given":"Vikki","non-dropping-particle":"","parse-names":false,"suffix":""},{"dropping-particle":"","family":"Anthoney","given":"Alan","non-dropping-particle":"","parse-names":false,"suffix":""},{"dropping-particle":"","family":"Mansoor","given":"Wasat","non-dropping-particle":"","parse-names":false,"suffix":""}],"container-title":"Journal of Gastrointestinal Surgery","id":"ITEM-1","issue":"9","issued":{"date-parts":[["2019"]]},"page":"1729-1741","publisher":"Journal of Gastrointestinal Surgery","title":"The Role of Continuing Perioperative Chemotherapy Post Surgery in Patients with Esophageal or Gastroesophageal Junction Adenocarcinoma: a Multicenter Cohort Study","type":"article-journal","volume":"23"},"uris":["http://www.mendeley.com/documents/?uuid=08e87702-e69b-437f-adc9-0cad3318793b"]}],"mendeley":{"formattedCitation":"(16)","plainTextFormattedCitation":"(16)","previouslyFormattedCitation":"(16)"},"properties":{"noteIndex":0},"schema":"https://github.com/citation-style-language/schema/raw/master/csl-citation.json"}</w:instrText>
      </w:r>
      <w:r w:rsidRPr="00462E95">
        <w:fldChar w:fldCharType="separate"/>
      </w:r>
      <w:r w:rsidR="00C1030A" w:rsidRPr="002B3E81">
        <w:rPr>
          <w:noProof/>
        </w:rPr>
        <w:t>(16)</w:t>
      </w:r>
      <w:r w:rsidRPr="00462E95">
        <w:fldChar w:fldCharType="end"/>
      </w:r>
      <w:r w:rsidRPr="00462E95">
        <w:t xml:space="preserve">, which will confound the </w:t>
      </w:r>
      <w:r w:rsidR="00CC1381">
        <w:t xml:space="preserve">results from an observational </w:t>
      </w:r>
      <w:r w:rsidRPr="00462E95">
        <w:t xml:space="preserve">study. In order to reduce selection </w:t>
      </w:r>
      <w:r w:rsidR="00CC1381">
        <w:t xml:space="preserve">bias </w:t>
      </w:r>
      <w:r w:rsidRPr="00462E95">
        <w:t xml:space="preserve">and confounding in this study, a propensity score weighting approach was used. The </w:t>
      </w:r>
      <w:r w:rsidRPr="00462E95">
        <w:lastRenderedPageBreak/>
        <w:t>propensity score</w:t>
      </w:r>
      <w:r w:rsidRPr="00462E95">
        <w:fldChar w:fldCharType="begin" w:fldLock="1"/>
      </w:r>
      <w:r w:rsidR="00D120BE">
        <w:instrText>ADDIN CSL_CITATION {"citationItems":[{"id":"ITEM-1","itemData":{"DOI":"10.1093/biomet/70.1.41","ISBN":"0006-3444","ISSN":"0006-3444","PMID":"179","abstract":"SUMMARY The propensity score is the conditional probability of assignment to a particular treatment given a vector of observed covariates. Both large and small sample theory show that adjustment for the scalar propensity score is sufficient to remove bias due to all observed covariates. Applications include: (i) matched sampling on the univariate propensity score, which is a generalization of discriminant matching, (ii) multivariate adjustment by subclassification on the propensity score where the same subclasses are used to estimate treatment effects for all outcome variables and in all subpopulations, and (iii) visual representation of multivariate covariance adjustment by a two- dimensional plot.","author":[{"dropping-particle":"","family":"Rosenbaum","given":"P R","non-dropping-particle":"","parse-names":false,"suffix":""},{"dropping-particle":"","family":"Rubin","given":"D B","non-dropping-particle":"","parse-names":false,"suffix":""}],"container-title":"Biometrika","id":"ITEM-1","issue":"1","issued":{"date-parts":[["1983"]]},"page":"41-55","title":"The central role of the propensity score in observational studies for causal effects","type":"article-journal","volume":"70"},"uris":["http://www.mendeley.com/documents/?uuid=e8a7069d-085a-4de9-86bb-7301c88bfd7f"]}],"mendeley":{"formattedCitation":"(25)","plainTextFormattedCitation":"(25)","previouslyFormattedCitation":"(27)"},"properties":{"noteIndex":0},"schema":"https://github.com/citation-style-language/schema/raw/master/csl-citation.json"}</w:instrText>
      </w:r>
      <w:r w:rsidRPr="00462E95">
        <w:fldChar w:fldCharType="separate"/>
      </w:r>
      <w:r w:rsidR="00D120BE" w:rsidRPr="00D120BE">
        <w:rPr>
          <w:noProof/>
        </w:rPr>
        <w:t>(25)</w:t>
      </w:r>
      <w:r w:rsidRPr="00462E95">
        <w:fldChar w:fldCharType="end"/>
      </w:r>
      <w:r w:rsidRPr="00462E95">
        <w:t xml:space="preserve"> </w:t>
      </w:r>
      <w:r w:rsidR="00CC1381">
        <w:t xml:space="preserve">estimates </w:t>
      </w:r>
      <w:r w:rsidRPr="00462E95">
        <w:t>the probability of treatment</w:t>
      </w:r>
      <w:r w:rsidR="00CC1381">
        <w:t xml:space="preserve"> given the patient characteristics, and </w:t>
      </w:r>
      <w:r w:rsidR="00636859">
        <w:t>i</w:t>
      </w:r>
      <w:r w:rsidR="00CC1381">
        <w:t xml:space="preserve">s </w:t>
      </w:r>
      <w:r w:rsidRPr="00462E95">
        <w:t>produced from a logistic regression model</w:t>
      </w:r>
      <w:r w:rsidR="00CC1381">
        <w:t xml:space="preserve">. The score is then used to </w:t>
      </w:r>
      <w:r w:rsidR="00636859">
        <w:t xml:space="preserve">balance </w:t>
      </w:r>
      <w:r w:rsidR="00CC1381">
        <w:t xml:space="preserve">the </w:t>
      </w:r>
      <w:r w:rsidR="00636859">
        <w:t xml:space="preserve">patient characteristics in the different </w:t>
      </w:r>
      <w:r w:rsidR="00CC1381">
        <w:t xml:space="preserve">treatment groups </w:t>
      </w:r>
      <w:r w:rsidR="00636859">
        <w:t>during the process of estimating the relative benefit of one treatment compared against another.</w:t>
      </w:r>
      <w:r w:rsidRPr="00462E95">
        <w:t xml:space="preserve">  Th</w:t>
      </w:r>
      <w:r w:rsidR="00F52646">
        <w:t>is</w:t>
      </w:r>
      <w:r w:rsidRPr="00462E95">
        <w:t xml:space="preserve"> </w:t>
      </w:r>
      <w:r w:rsidR="00636859">
        <w:t xml:space="preserve">propensity score </w:t>
      </w:r>
      <w:r w:rsidRPr="00462E95">
        <w:t xml:space="preserve">analysis used the inverse probability of treatment weighting </w:t>
      </w:r>
      <w:r w:rsidR="00CC1381">
        <w:t>(</w:t>
      </w:r>
      <w:r w:rsidRPr="00462E95">
        <w:t>IPTW</w:t>
      </w:r>
      <w:r w:rsidR="00CC1381">
        <w:t>)</w:t>
      </w:r>
      <w:r w:rsidRPr="00462E95">
        <w:t xml:space="preserve"> method</w:t>
      </w:r>
      <w:r w:rsidR="00F52646">
        <w:t xml:space="preserve">, </w:t>
      </w:r>
      <w:r w:rsidRPr="00462E95">
        <w:t xml:space="preserve">which has been shown to achieve better </w:t>
      </w:r>
      <w:r w:rsidR="00F52646">
        <w:t xml:space="preserve">covariate </w:t>
      </w:r>
      <w:r w:rsidRPr="00462E95">
        <w:t>balance in comparison to matching approaches.</w:t>
      </w:r>
      <w:r w:rsidRPr="00462E95">
        <w:fldChar w:fldCharType="begin" w:fldLock="1"/>
      </w:r>
      <w:r w:rsidR="00D120BE">
        <w:instrText>ADDIN CSL_CITATION {"citationItems":[{"id":"ITEM-1","itemData":{"DOI":"10.1002/sim.6607","ISSN":"10970258","PMID":"26238958","abstract":"The propensity score is defined as a subject's probability of treatment selection, conditional on observed baseline covariates. Weighting subjects by the inverse probability of treatment received creates a synthetic sample in which treatment assignment is independent of measured baseline covariates. Inverse probability of treatment weighting (IPTW) using the propensity score allows one to obtain unbiased estimates of average treatment effects. However, these estimates are only valid if there are no residual systematic differences in observed baseline characteristics between treated and control subjects in the sample weighted by the estimated inverse probability of treatment. We report on a systematic literature review, in which we found that the use of IPTW has increased rapidly in recent years, but that in the most recent year, a majority of studies did not formally examine whether weighting balanced measured covariates between treatment groups. We then proceed to describe a suite of quantitative and qualitative methods that allow one to assess whether measured baseline covariates are balanced between treatment groups in the weighted sample. The quantitative methods use the weighted standardized difference to compare means, prevalences, higher-order moments, and interactions. The qualitative methods employ graphical methods to compare the distribution of continuous baseline covariates between treated and control subjects in the weighted sample. Finally, we illustrate the application of these methods in an empirical case study. We propose a formal set of balance diagnostics that contribute towards an evolving concept of 'best practice' when using IPTW to estimate causal treatment effects using observational data.","author":[{"dropping-particle":"","family":"Austin","given":"Peter C.","non-dropping-particle":"","parse-names":false,"suffix":""},{"dropping-particle":"","family":"Stuart","given":"Elizabeth A.","non-dropping-particle":"","parse-names":false,"suffix":""}],"container-title":"Statistics in Medicine","id":"ITEM-1","issue":"28","issued":{"date-parts":[["2015"]]},"page":"3661-3679","title":"Moving towards best practice when using inverse probability of treatment weighting (IPTW) using the propensity score to estimate causal treatment effects in observational studies","type":"article-journal","volume":"34"},"uris":["http://www.mendeley.com/documents/?uuid=55d4d065-7c95-477b-aba9-638200fd4ecf"]},{"id":"ITEM-2","itemData":{"DOI":"10.1186/1471-2288-12-70","ISSN":"14712288","abstract":"Background: Propensity score (PS) methods are increasingly used, even when sample sizes are small or treatments are seldom used. However, the relative performance of the two mainly recommended PS methods, namely PS-matching or inverse probability of treatment weighting (IPTW), have not been studied in the context of small sample sizes. Methods. We conducted a series of Monte Carlo simulations to evaluate the influence of sample size, prevalence of treatment exposure, and strength of the association between the variables and the outcome and/or the treatment exposure, on the performance of these two methods. Results: Decreasing the sample size from 1,000 to 40 subjects did not substantially alter the Type I error rate, and led to relative biases below 10%. The IPTW method performed better than the PS-matching down to 60 subjects. When N was set at 40, the PS matching estimators were either similarly or even less biased than the IPTW estimators. Including variables unrelated to the exposure but related to the outcome in the PS model decreased the bias and the variance as compared to models omitting such variables. Excluding the true confounder from the PS model resulted, whatever the method used, in a significantly biased estimation of treatment effect. These results were illustrated in a real dataset. Conclusion: Even in case of small study samples or low prevalence of treatment, PS-matching and IPTW can yield correct estimations of treatment effect unless the true confounders and the variables related only to the outcome are not included in the PS model. © 2012 Pirracchio et al.; licensee BioMed Central Ltd.","author":[{"dropping-particle":"","family":"Pirracchio","given":"Romain","non-dropping-particle":"","parse-names":false,"suffix":""},{"dropping-particle":"","family":"Resche-Rigon","given":"Matthieu","non-dropping-particle":"","parse-names":false,"suffix":""},{"dropping-particle":"","family":"Chevret","given":"Sylvie","non-dropping-particle":"","parse-names":false,"suffix":""}],"container-title":"BMC Medical Research Methodology","id":"ITEM-2","issued":{"date-parts":[["2012"]]},"title":"Evaluation of the Propensity score methods for estimating marginal odds ratios in case of small sample size","type":"article-journal","volume":"12"},"uris":["http://www.mendeley.com/documents/?uuid=d5c40f0d-05ad-4851-8bd4-87613c2d9b67"]}],"mendeley":{"formattedCitation":"(26,27)","plainTextFormattedCitation":"(26,27)","previouslyFormattedCitation":"(28,29)"},"properties":{"noteIndex":0},"schema":"https://github.com/citation-style-language/schema/raw/master/csl-citation.json"}</w:instrText>
      </w:r>
      <w:r w:rsidRPr="00462E95">
        <w:fldChar w:fldCharType="separate"/>
      </w:r>
      <w:r w:rsidR="00D120BE" w:rsidRPr="00D120BE">
        <w:rPr>
          <w:noProof/>
        </w:rPr>
        <w:t>(26,27)</w:t>
      </w:r>
      <w:r w:rsidRPr="00462E95">
        <w:fldChar w:fldCharType="end"/>
      </w:r>
      <w:r w:rsidRPr="00462E95">
        <w:t xml:space="preserve"> </w:t>
      </w:r>
      <w:r w:rsidR="00B50492" w:rsidRPr="00462E95">
        <w:t>Robust standard errors were calculated using bootstrapping with 100 replications.</w:t>
      </w:r>
      <w:r w:rsidR="00B50492" w:rsidRPr="00462E95">
        <w:fldChar w:fldCharType="begin" w:fldLock="1"/>
      </w:r>
      <w:r w:rsidR="00D120BE">
        <w:instrText>ADDIN CSL_CITATION {"citationItems":[{"id":"ITEM-1","itemData":{"DOI":"10.1002/sim.7084","ISSN":"10970258","abstract":"Propensity score methods are used to reduce the effects of observed confounding when using observational data to estimate the effects of treatments or exposures. A popular method of using the propensity score is inverse probability of treatment weighting (IPTW). When using this method, a weight is calculated for each subject that is equal to the inverse of the probability of receiving the treatment that was actually received. These weights are then incorporated into the analyses to minimize the effects of observed confounding. Previous research has found that these methods result in unbiased estimation when estimating the effect of treatment on survival outcomes. However, conventional methods of variance estimation were shown to result in biased estimates of standard error. In this study, we conducted an extensive set of Monte Carlo simulations to examine different methods of variance estimation when using a weighted Cox proportional hazards model to estimate the effect of treatment. We considered three variance estimation methods: (i) a naïve model-based variance estimator; (ii) a robust sandwich-type variance estimator; and (iii) a bootstrap variance estimator. We considered estimation of both the average treatment effect and the average treatment effect in the treated. We found that the use of a bootstrap estimator resulted in approximately correct estimates of standard errors and confidence intervals with the correct coverage rates. The other estimators resulted in biased estimates of standard errors and confidence intervals with incorrect coverage rates. Our simulations were informed by a case study examining the effect of statin prescribing on mortality. © 2016 The Authors. Statistics in Medicine published by John Wiley &amp; Sons Ltd.","author":[{"dropping-particle":"","family":"Austin","given":"Peter C.","non-dropping-particle":"","parse-names":false,"suffix":""}],"container-title":"Statistics in Medicine","id":"ITEM-1","issue":"30","issued":{"date-parts":[["2016"]]},"page":"5642-5655","title":"Variance estimation when using inverse probability of treatment weighting (IPTW) with survival analysis","type":"article-journal","volume":"35"},"uris":["http://www.mendeley.com/documents/?uuid=397c8f6e-ee1a-40c4-aa83-7a4d818158ce"]}],"mendeley":{"formattedCitation":"(28)","plainTextFormattedCitation":"(28)","previouslyFormattedCitation":"(30)"},"properties":{"noteIndex":0},"schema":"https://github.com/citation-style-language/schema/raw/master/csl-citation.json"}</w:instrText>
      </w:r>
      <w:r w:rsidR="00B50492" w:rsidRPr="00462E95">
        <w:fldChar w:fldCharType="separate"/>
      </w:r>
      <w:r w:rsidR="00D120BE" w:rsidRPr="00D120BE">
        <w:rPr>
          <w:noProof/>
        </w:rPr>
        <w:t>(28)</w:t>
      </w:r>
      <w:r w:rsidR="00B50492" w:rsidRPr="00462E95">
        <w:fldChar w:fldCharType="end"/>
      </w:r>
      <w:r w:rsidR="00B50492" w:rsidRPr="00462E95">
        <w:t xml:space="preserve"> </w:t>
      </w:r>
      <w:r w:rsidR="00CC1381">
        <w:t>T</w:t>
      </w:r>
      <w:r w:rsidRPr="00462E95">
        <w:t xml:space="preserve">he propensity </w:t>
      </w:r>
      <w:r w:rsidR="00CC1381">
        <w:t xml:space="preserve">score </w:t>
      </w:r>
      <w:r w:rsidRPr="00462E95">
        <w:t xml:space="preserve">analysis was conducted separately for each imputed dataset and </w:t>
      </w:r>
      <w:r w:rsidR="00636859">
        <w:t xml:space="preserve">the </w:t>
      </w:r>
      <w:r w:rsidR="00A60A97">
        <w:t>relative treatment effect was derived by pooling the 30 treatment effects estimated with IPTW on each imputed datasets.</w:t>
      </w:r>
      <w:r w:rsidRPr="00462E95">
        <w:fldChar w:fldCharType="begin" w:fldLock="1"/>
      </w:r>
      <w:r w:rsidR="00D120BE">
        <w:instrText>ADDIN CSL_CITATION {"citationItems":[{"id":"ITEM-1","itemData":{"DOI":"10.1177/0962280217713032","ISSN":"14770334","PMID":"28573919","abstract":"Inverse probability of treatment weighting is a popular propensity score-based approach to estimate marginal treatment effects in observational studies at risk of confounding bias. A major issue when estimating the propensity score is the presence of partially observed covariates. Multiple imputation is a natural approach to handle missing data on covariates: covariates are imputed and a propensity score analysis is performed in each imputed dataset to estimate the treatment effect. The treatment effect estimates from each imputed dataset are then combined to obtain an overall estimate. We call this method MIte. However, an alternative approach has been proposed, in which the propensity scores are combined across the imputed datasets (MIps). Therefore, there are remaining uncertainties about how to implement multiple imputation for propensity score analysis: (a) should we apply Rubin’s rules to the inverse probability of treatment weighting treatment effect estimates or to the propensity score estimates themselves? (b) does the outcome have to be included in the imputation model? (c) how should we estimate the variance of the inverse probability of treatment weighting estimator after multiple imputation? We studied the consistency and balancing properties of the MIte and MIps estimators and performed a simulation study to empirically assess their performance for the analysis of a binary outcome. We also compared the performance of these methods to complete case analysis and the missingness pattern approach, which uses a different propensity score model for each pattern of missingness, and a third multiple imputation approach in which the propensity score parameters are combined rather than the propensity scores themselves (MIpar). Under a missing at random mechanism, complete case and missingness pattern analyses were biased in most cases for estimating the marginal treatment effect, whereas multiple imputation approaches were approximately unbiased as long as the outcome was included in the imputation model. Only MIte was unbiased in all the studied scenarios and Rubin’s rules provided good variance estimates for MIte. The propensity score estimated in the MIte approach showed good balancing properties. In conclusion, when using multiple imputation in the inverse probability of treatment weighting context, MIte with the outcome included in the imputation model is the preferred approach.","author":[{"dropping-particle":"","family":"Leyrat","given":"Clémence","non-dropping-particle":"","parse-names":false,"suffix":""},{"dropping-particle":"","family":"Seaman","given":"Shaun R.","non-dropping-particle":"","parse-names":false,"suffix":""},{"dropping-particle":"","family":"White","given":"Ian R.","non-dropping-particle":"","parse-names":false,"suffix":""},{"dropping-particle":"","family":"Douglas","given":"Ian","non-dropping-particle":"","parse-names":false,"suffix":""},{"dropping-particle":"","family":"Smeeth","given":"Liam","non-dropping-particle":"","parse-names":false,"suffix":""},{"dropping-particle":"","family":"Kim","given":"Joseph","non-dropping-particle":"","parse-names":false,"suffix":""},{"dropping-particle":"","family":"Resche-Rigon","given":"Matthieu","non-dropping-particle":"","parse-names":false,"suffix":""},{"dropping-particle":"","family":"Carpenter","given":"James R.","non-dropping-particle":"","parse-names":false,"suffix":""},{"dropping-particle":"","family":"Williamson","given":"Elizabeth J.","non-dropping-particle":"","parse-names":false,"suffix":""}],"container-title":"Statistical Methods in Medical Research","id":"ITEM-1","issue":"1","issued":{"date-parts":[["2019"]]},"page":"3-19","title":"Propensity score analysis with partially observed covariates: How should multiple imputation be used?","type":"article-journal","volume":"28"},"uris":["http://www.mendeley.com/documents/?uuid=c49d2c7b-4cc7-401f-a849-747653d57c21"]}],"mendeley":{"formattedCitation":"(29)","plainTextFormattedCitation":"(29)","previouslyFormattedCitation":"(31)"},"properties":{"noteIndex":0},"schema":"https://github.com/citation-style-language/schema/raw/master/csl-citation.json"}</w:instrText>
      </w:r>
      <w:r w:rsidRPr="00462E95">
        <w:fldChar w:fldCharType="separate"/>
      </w:r>
      <w:r w:rsidR="00D120BE" w:rsidRPr="00D120BE">
        <w:rPr>
          <w:noProof/>
        </w:rPr>
        <w:t>(29)</w:t>
      </w:r>
      <w:r w:rsidRPr="00462E95">
        <w:fldChar w:fldCharType="end"/>
      </w:r>
      <w:r w:rsidRPr="00462E95" w:rsidDel="0049105F">
        <w:t xml:space="preserve"> </w:t>
      </w:r>
    </w:p>
    <w:p w14:paraId="26E782D6" w14:textId="5DBD9A95" w:rsidR="00FC6BA4" w:rsidRPr="00462E95" w:rsidRDefault="003D60B4" w:rsidP="007E3DBA">
      <w:pPr>
        <w:spacing w:line="480" w:lineRule="auto"/>
      </w:pPr>
      <w:r w:rsidRPr="00462E95">
        <w:t>For this study</w:t>
      </w:r>
      <w:r w:rsidR="00A60A97">
        <w:t>,</w:t>
      </w:r>
      <w:r w:rsidR="00A72E6A" w:rsidRPr="00462E95">
        <w:t xml:space="preserve"> </w:t>
      </w:r>
      <w:r w:rsidR="00B00AA6" w:rsidRPr="00462E95">
        <w:t>twenty</w:t>
      </w:r>
      <w:r w:rsidR="00004AB2" w:rsidRPr="00462E95">
        <w:t>-</w:t>
      </w:r>
      <w:r w:rsidR="00367FE3">
        <w:t>five</w:t>
      </w:r>
      <w:r w:rsidR="00B00AA6" w:rsidRPr="00462E95">
        <w:t xml:space="preserve"> </w:t>
      </w:r>
      <w:r w:rsidR="00A72E6A" w:rsidRPr="00462E95">
        <w:t xml:space="preserve">variables </w:t>
      </w:r>
      <w:r w:rsidR="00A60A97">
        <w:t xml:space="preserve">were </w:t>
      </w:r>
      <w:r w:rsidR="00636859">
        <w:t>use</w:t>
      </w:r>
      <w:r w:rsidR="00A60A97">
        <w:t xml:space="preserve">d </w:t>
      </w:r>
      <w:r w:rsidR="00A72E6A" w:rsidRPr="00462E95">
        <w:t>for balancing the treatment groups</w:t>
      </w:r>
      <w:r w:rsidR="001467A0" w:rsidRPr="00462E95">
        <w:t>,</w:t>
      </w:r>
      <w:r w:rsidR="00417693" w:rsidRPr="00462E95">
        <w:t xml:space="preserve"> </w:t>
      </w:r>
      <w:r w:rsidR="00A60A97">
        <w:t xml:space="preserve">and </w:t>
      </w:r>
      <w:r w:rsidR="001467A0" w:rsidRPr="00462E95">
        <w:t>incorporat</w:t>
      </w:r>
      <w:r w:rsidR="00A60A97">
        <w:t>ed</w:t>
      </w:r>
      <w:r w:rsidR="00417693" w:rsidRPr="00462E95">
        <w:t xml:space="preserve"> a combination of relevant </w:t>
      </w:r>
      <w:r w:rsidR="00B00AA6" w:rsidRPr="00462E95">
        <w:t xml:space="preserve">patient, disease and treatment </w:t>
      </w:r>
      <w:r w:rsidR="00417693" w:rsidRPr="00462E95">
        <w:t>factors</w:t>
      </w:r>
      <w:r w:rsidR="001467A0" w:rsidRPr="00462E95">
        <w:t xml:space="preserve">, </w:t>
      </w:r>
      <w:r w:rsidR="00B00AA6" w:rsidRPr="00462E95">
        <w:t xml:space="preserve">illustrated in Table 1. </w:t>
      </w:r>
      <w:r w:rsidR="0086362F" w:rsidRPr="00462E95">
        <w:t>Covariate b</w:t>
      </w:r>
      <w:r w:rsidR="00A92C63" w:rsidRPr="00462E95">
        <w:t>alance</w:t>
      </w:r>
      <w:r w:rsidR="00783A83" w:rsidRPr="00462E95">
        <w:t xml:space="preserve"> was assessed using the standar</w:t>
      </w:r>
      <w:r w:rsidR="002378F3" w:rsidRPr="00462E95">
        <w:t>d</w:t>
      </w:r>
      <w:r w:rsidR="00783A83" w:rsidRPr="00462E95">
        <w:t>ised mean difference</w:t>
      </w:r>
      <w:r w:rsidR="007501A9" w:rsidRPr="00462E95">
        <w:t xml:space="preserve"> </w:t>
      </w:r>
      <w:r w:rsidR="00DA7E64" w:rsidRPr="00462E95">
        <w:t>(SMD),</w:t>
      </w:r>
      <w:r w:rsidR="00DA7E64" w:rsidRPr="00462E95">
        <w:fldChar w:fldCharType="begin" w:fldLock="1"/>
      </w:r>
      <w:r w:rsidR="00D120BE">
        <w:instrText>ADDIN CSL_CITATION {"citationItems":[{"id":"ITEM-1","itemData":{"DOI":"10.1002/sim.2580","ISSN":"0277-6715 (Print)","PMID":"16708349","abstract":"The propensity score--the probability of exposure to a specific treatment conditional on observed variables--is increasingly being used in observational studies. Creating strata in which subjects are matched on the propensity score allows one to balance measured variables between treated and untreated subjects. There is an ongoing controversy in the literature as to which variables to include in the propensity score model. Some advocate including those variables that predict treatment assignment, while others suggest including all variables potentially related to the outcome, and still others advocate including only variables that are associated with both treatment and outcome. We provide a case study of the association between drug exposure and mortality to show that including a variable that is related to treatment, but not outcome, does not improve balance and reduces the number of matched pairs available for analysis. In order to investigate this issue more comprehensively, we conducted a series of Monte Carlo simulations of the performance of propensity score models that contained variables related to treatment allocation, or variables that were confounders for the treatment-outcome pair, or variables related to outcome or all variables related to either outcome or treatment or neither. We compared the use of these different propensity scores models in matching and stratification in terms of the extent to which they balanced variables. We demonstrated that all propensity scores models balanced measured confounders between treated and untreated subjects in a propensity-score matched sample. However, including only the true confounders or the variables predictive of the outcome in the propensity score model resulted in a substantially larger number of matched pairs than did using the treatment-allocation model. Stratifying on the quintiles of any propensity score model resulted in residual imbalance between treated and untreated subjects in the upper and lower quintiles. Greater balance between treated and untreated subjects was obtained after matching on the propensity score than after stratifying on the quintiles of the propensity score. When a confounding variable was omitted from any of the propensity score models, then matching or stratifying on the propensity score resulted in residual imbalance in prognostically important variables between treated and untreated subjects. We considered four propensity score models for estimating treatment effec…","author":[{"dropping-particle":"","family":"Austin","given":"Peter C","non-dropping-particle":"","parse-names":false,"suffix":""},{"dropping-particle":"","family":"Grootendorst","given":"Paul","non-dropping-particle":"","parse-names":false,"suffix":""},{"dropping-particle":"","family":"Anderson","given":"Geoffrey M","non-dropping-particle":"","parse-names":false,"suffix":""}],"container-title":"Statistics in medicine","id":"ITEM-1","issue":"4","issued":{"date-parts":[["2007","2"]]},"language":"eng","page":"734-753","publisher-place":"England","title":"A comparison of the ability of different propensity score models to balance measured variables between treated and untreated subjects: a Monte Carlo study.","type":"article-journal","volume":"26"},"uris":["http://www.mendeley.com/documents/?uuid=57cd49d9-a9cb-4bab-bcaf-73667cc00a4c"]},{"id":"ITEM-2","itemData":{"DOI":"10.1002/sim.2053","ISSN":"0277-6715 (Print)","PMID":"15706581","abstract":"There is an increasing interest in using administrative data to estimate the treatment effects of interventions. While administrative data are relatively inexpensive to obtain and provide population coverage, they are frequently characterized by lack of clinical detail, often leading to problematic confounding when they are used to conduct observational research. Propensity score methods are increasingly being used to address confounding in estimating the effects of interventions in such studies. Using data on patients discharged from hospital for whom both administrative data and detailed clinical data obtained from chart reviews were available, we examined the degree to which stratifying on the quintiles of propensity scores derived from administrative data was able to balance patient characteristics measured in clinical data. We also determined the extent to which measures of treatment effect obtained using propensity score methods were similar to those obtained using traditional regression methods. As a test case, we examined the treatment effects of ASA and beta-blockers following acute myocardial infarction. We demonstrated that propensity scores developed using administrative data do not necessarily balance patient characteristics contained in clinical data. Furthermore, measures of treatment effectiveness were attenuated when obtained using clinical data compared to when administrative data were used.","author":[{"dropping-particle":"","family":"Austin","given":"Peter C","non-dropping-particle":"","parse-names":false,"suffix":""},{"dropping-particle":"","family":"Mamdani","given":"Muhammad M","non-dropping-particle":"","parse-names":false,"suffix":""},{"dropping-particle":"","family":"Stukel","given":"Therese A","non-dropping-particle":"","parse-names":false,"suffix":""},{"dropping-particle":"","family":"Anderson","given":"Geoffrey M","non-dropping-particle":"","parse-names":false,"suffix":""},{"dropping-particle":"V","family":"Tu","given":"Jack","non-dropping-particle":"","parse-names":false,"suffix":""}],"container-title":"Statistics in medicine","id":"ITEM-2","issue":"10","issued":{"date-parts":[["2005","5"]]},"language":"eng","page":"1563-1578","publisher-place":"England","title":"The use of the propensity score for estimating treatment effects: administrative  versus clinical data.","type":"article-journal","volume":"24"},"uris":["http://www.mendeley.com/documents/?uuid=4736f00e-8da9-4350-bb68-7dd7cc5b7ad3"]}],"mendeley":{"formattedCitation":"(30,31)","plainTextFormattedCitation":"(30,31)","previouslyFormattedCitation":"(32,33)"},"properties":{"noteIndex":0},"schema":"https://github.com/citation-style-language/schema/raw/master/csl-citation.json"}</w:instrText>
      </w:r>
      <w:r w:rsidR="00DA7E64" w:rsidRPr="00462E95">
        <w:fldChar w:fldCharType="separate"/>
      </w:r>
      <w:r w:rsidR="00D120BE" w:rsidRPr="00D120BE">
        <w:rPr>
          <w:noProof/>
        </w:rPr>
        <w:t>(30,31)</w:t>
      </w:r>
      <w:r w:rsidR="00DA7E64" w:rsidRPr="00462E95">
        <w:fldChar w:fldCharType="end"/>
      </w:r>
      <w:r w:rsidR="00DA7E64" w:rsidRPr="00462E95">
        <w:t xml:space="preserve"> with a value of </w:t>
      </w:r>
      <w:r w:rsidR="002378F3" w:rsidRPr="00462E95">
        <w:t>greater than 0.1 taken to indicate significant imbalance</w:t>
      </w:r>
      <w:r w:rsidR="00CE3A5C" w:rsidRPr="00462E95">
        <w:t>.</w:t>
      </w:r>
      <w:r w:rsidR="002378F3" w:rsidRPr="00462E95">
        <w:fldChar w:fldCharType="begin" w:fldLock="1"/>
      </w:r>
      <w:r w:rsidR="00D120BE">
        <w:instrText>ADDIN CSL_CITATION {"citationItems":[{"id":"ITEM-1","itemData":{"DOI":"10.1002/sim","abstract":"There is no consensus on the approach to compute the power and sample size with logistic regression. Some authors use the likelihood ratio test; some use the test on proportions; some suggest various approximations to handle the multivariate case. We advocate the use of the Wald test since the Z-score is routinely used for statistical significance testing of regression coefficients. The null-variance formula became popular from early studies, which contradicts modern software, which utilizes the method of maximum likelihood estimation (MLE), when the variance of the MLE is estimated at the MLE, not at the null. We derive general Wald-based power and sample size formulas for logistic regression and then apply them to binary exposure and confounder to obtain a closed-form expression. These formulas are applied to minimize the total sample size in a case-control study to achieve a given power by optimizing the ratio of controls to cases. Approximately, the optimal number of controls to cases is equal to the square root of the alternative odds ratio. Our sample size and power calculations can be carried out online at www.dartmouth.edu/ similar to eugened. Copyright (c) 2006 John Wiley &amp; Sons, Ltd.","author":[{"dropping-particle":"","family":"Austin","given":"Peter C.","non-dropping-particle":"","parse-names":false,"suffix":""}],"container-title":"Statistics in Medicine","id":"ITEM-1","issued":{"date-parts":[["2009"]]},"page":"3083-3107","title":"Balance diagnostics for comparing the distribution of baseline covariates between treatment groups in propensity-score matched samples","type":"article-journal","volume":"28"},"uris":["http://www.mendeley.com/documents/?uuid=74f7fd0f-8422-4bb3-bd1f-d386d8b38bf3"]}],"mendeley":{"formattedCitation":"(32)","plainTextFormattedCitation":"(32)","previouslyFormattedCitation":"(34)"},"properties":{"noteIndex":0},"schema":"https://github.com/citation-style-language/schema/raw/master/csl-citation.json"}</w:instrText>
      </w:r>
      <w:r w:rsidR="002378F3" w:rsidRPr="00462E95">
        <w:fldChar w:fldCharType="separate"/>
      </w:r>
      <w:r w:rsidR="00D120BE" w:rsidRPr="00D120BE">
        <w:rPr>
          <w:noProof/>
        </w:rPr>
        <w:t>(32)</w:t>
      </w:r>
      <w:r w:rsidR="002378F3" w:rsidRPr="00462E95">
        <w:fldChar w:fldCharType="end"/>
      </w:r>
    </w:p>
    <w:p w14:paraId="48604A79" w14:textId="14449F04" w:rsidR="002378F3" w:rsidRPr="00462E95" w:rsidRDefault="00011C5A" w:rsidP="007E3DBA">
      <w:pPr>
        <w:spacing w:line="480" w:lineRule="auto"/>
      </w:pPr>
      <w:r w:rsidRPr="00061298">
        <w:t>Missing values were assumed to be Missing at Random (MAR) and we used multiple imputation by chained equations (MICE)</w:t>
      </w:r>
      <w:r w:rsidRPr="00061298">
        <w:fldChar w:fldCharType="begin" w:fldLock="1"/>
      </w:r>
      <w:r w:rsidR="00D120BE" w:rsidRPr="00061298">
        <w:instrText>ADDIN CSL_CITATION {"citationItems":[{"id":"ITEM-1","itemData":{"ISSN":"1548-7660","author":[{"dropping-particle":"","family":"Buuren","given":"Stef","non-dropping-particle":"van","parse-names":false,"suffix":""},{"dropping-particle":"","family":"Groothuis-Oudshoorn","given":"Karin","non-dropping-particle":"","parse-names":false,"suffix":""}],"container-title":"Journal of Statistical Software","id":"ITEM-1","issue":"3","issued":{"date-parts":[["2011"]]},"page":"1-67","title":"MICE: Multivariate Imputation by Chained Equations in R","type":"article-journal","volume":"45"},"uris":["http://www.mendeley.com/documents/?uuid=8f4aabac-51bf-4cb8-a1f8-2ec28a331fc8"]}],"mendeley":{"formattedCitation":"(33)","plainTextFormattedCitation":"(33)","previouslyFormattedCitation":"(25)"},"properties":{"noteIndex":0},"schema":"https://github.com/citation-style-language/schema/raw/master/csl-citation.json"}</w:instrText>
      </w:r>
      <w:r w:rsidRPr="00061298">
        <w:fldChar w:fldCharType="separate"/>
      </w:r>
      <w:r w:rsidR="00D120BE" w:rsidRPr="00061298">
        <w:rPr>
          <w:noProof/>
        </w:rPr>
        <w:t>(33)</w:t>
      </w:r>
      <w:r w:rsidRPr="00061298">
        <w:fldChar w:fldCharType="end"/>
      </w:r>
      <w:r w:rsidRPr="00061298">
        <w:t xml:space="preserve"> to generate thirty imputed datasets for the analysis.</w:t>
      </w:r>
      <w:r w:rsidRPr="00061298">
        <w:fldChar w:fldCharType="begin" w:fldLock="1"/>
      </w:r>
      <w:r w:rsidR="00D120BE" w:rsidRPr="00061298">
        <w:instrText>ADDIN CSL_CITATION {"citationItems":[{"id":"ITEM-1","itemData":{"DOI":"10.1002/sim.4067","ISSN":"02776715","abstract":"Multiple imputation by chained equations is a flexible and practical approach to handling missing data. We describe the principles of the method and show how to impute categorical and quantitative variables, including skewed variables. We give guidance on how to specify the imputation model and how many imputations are needed. We describe the practical analysis of multiply imputed data, including model building and model checking. We stress the limitations of the method and discuss the possible pitfalls. We illustrate the ideas using a data set in mental health, giving Stata code fragments. Copyright © 2010 John Wiley &amp; Sons, Ltd.","author":[{"dropping-particle":"","family":"White","given":"Ian R.","non-dropping-particle":"","parse-names":false,"suffix":""},{"dropping-particle":"","family":"Royston","given":"Patrick","non-dropping-particle":"","parse-names":false,"suffix":""},{"dropping-particle":"","family":"Wood","given":"Angela M.","non-dropping-particle":"","parse-names":false,"suffix":""}],"container-title":"Statistics in Medicine","id":"ITEM-1","issue":"4","issued":{"date-parts":[["2011"]]},"page":"377-399","title":"Multiple imputation using chained equations: Issues and guidance for practice","type":"article-journal","volume":"30"},"uris":["http://www.mendeley.com/documents/?uuid=c24f84e9-c7fa-4375-a76e-f00cc11070b6"]}],"mendeley":{"formattedCitation":"(34)","plainTextFormattedCitation":"(34)","previouslyFormattedCitation":"(26)"},"properties":{"noteIndex":0},"schema":"https://github.com/citation-style-language/schema/raw/master/csl-citation.json"}</w:instrText>
      </w:r>
      <w:r w:rsidRPr="00061298">
        <w:fldChar w:fldCharType="separate"/>
      </w:r>
      <w:r w:rsidR="00D120BE" w:rsidRPr="00061298">
        <w:rPr>
          <w:noProof/>
        </w:rPr>
        <w:t>(34)</w:t>
      </w:r>
      <w:r w:rsidRPr="00061298">
        <w:fldChar w:fldCharType="end"/>
      </w:r>
      <w:r w:rsidR="00636859" w:rsidRPr="00061298">
        <w:t>C</w:t>
      </w:r>
      <w:r w:rsidR="00AD02A6" w:rsidRPr="00061298">
        <w:t>o</w:t>
      </w:r>
      <w:r w:rsidR="00CD3347" w:rsidRPr="00061298">
        <w:t>m</w:t>
      </w:r>
      <w:r w:rsidR="00AD02A6" w:rsidRPr="00061298">
        <w:t>parisons</w:t>
      </w:r>
      <w:r w:rsidR="00964AFF" w:rsidRPr="00462E95">
        <w:t xml:space="preserve"> </w:t>
      </w:r>
      <w:r w:rsidR="00636859">
        <w:t xml:space="preserve">of patient characteristics across the treatment groups </w:t>
      </w:r>
      <w:r w:rsidR="00AD02A6">
        <w:t>were</w:t>
      </w:r>
      <w:r w:rsidR="00964AFF" w:rsidRPr="00462E95">
        <w:t xml:space="preserve"> conducted using the</w:t>
      </w:r>
      <w:r w:rsidR="00AD02A6">
        <w:t xml:space="preserve"> weighted</w:t>
      </w:r>
      <w:r w:rsidR="00964AFF" w:rsidRPr="00462E95">
        <w:t xml:space="preserve"> Mann Whitney U and Chi-Square test</w:t>
      </w:r>
      <w:r w:rsidR="00AD02A6">
        <w:t>s</w:t>
      </w:r>
      <w:r w:rsidR="00964AFF" w:rsidRPr="00462E95">
        <w:t>. Survival analysis was conducted using the weighted Log-rank</w:t>
      </w:r>
      <w:r w:rsidR="00CD3347">
        <w:t xml:space="preserve"> </w:t>
      </w:r>
      <w:r w:rsidR="00636859">
        <w:t xml:space="preserve">tests </w:t>
      </w:r>
      <w:r w:rsidR="00CD3347">
        <w:t xml:space="preserve">and </w:t>
      </w:r>
      <w:r w:rsidR="00636859">
        <w:t>C</w:t>
      </w:r>
      <w:r w:rsidR="00CD3347">
        <w:t>ox proportional hazard models</w:t>
      </w:r>
      <w:r w:rsidR="0086362F" w:rsidRPr="00462E95">
        <w:t>.</w:t>
      </w:r>
      <w:r w:rsidR="005126B6" w:rsidRPr="00462E95">
        <w:t xml:space="preserve"> The proportional hazards assumption was assessed by inspection of scaled </w:t>
      </w:r>
      <w:r w:rsidR="00A3038A" w:rsidRPr="00462E95">
        <w:t>Sc</w:t>
      </w:r>
      <w:r w:rsidR="005126B6" w:rsidRPr="00462E95">
        <w:t>hoenfeld residuals</w:t>
      </w:r>
      <w:r w:rsidR="00A3038A" w:rsidRPr="00462E95">
        <w:t>.</w:t>
      </w:r>
      <w:r w:rsidR="00A3038A" w:rsidRPr="00462E95">
        <w:fldChar w:fldCharType="begin" w:fldLock="1"/>
      </w:r>
      <w:r w:rsidR="00D120BE">
        <w:instrText>ADDIN CSL_CITATION {"citationItems":[{"id":"ITEM-1","itemData":{"DOI":"10.1093/biomet/69.1.239","ISSN":"00063444","abstract":"Residuals are defined for the proportional hazards regression model introduced by Cox (1972). These residuals can be plotted against time to test the proportional hazards assumption. Histograms of these residuals can be used to examine fit and detect outlying covariate values. © 1982 Biometrika Trust.","author":[{"dropping-particle":"","family":"Schoenfeld","given":"David","non-dropping-particle":"","parse-names":false,"suffix":""}],"container-title":"Biometrika","id":"ITEM-1","issue":"1","issued":{"date-parts":[["1982"]]},"page":"239-241","title":"Partial residuals for the proportional hazards regression model","type":"article-journal","volume":"69"},"uris":["http://www.mendeley.com/documents/?uuid=87704dfc-c1b9-4645-afe0-7e51cd91e357"]}],"mendeley":{"formattedCitation":"(35)","plainTextFormattedCitation":"(35)","previouslyFormattedCitation":"(35)"},"properties":{"noteIndex":0},"schema":"https://github.com/citation-style-language/schema/raw/master/csl-citation.json"}</w:instrText>
      </w:r>
      <w:r w:rsidR="00A3038A" w:rsidRPr="00462E95">
        <w:fldChar w:fldCharType="separate"/>
      </w:r>
      <w:r w:rsidR="002B3E81" w:rsidRPr="002B3E81">
        <w:rPr>
          <w:noProof/>
        </w:rPr>
        <w:t>(35)</w:t>
      </w:r>
      <w:r w:rsidR="00A3038A" w:rsidRPr="00462E95">
        <w:fldChar w:fldCharType="end"/>
      </w:r>
      <w:r w:rsidR="0086362F" w:rsidRPr="00462E95">
        <w:t xml:space="preserve"> </w:t>
      </w:r>
      <w:r w:rsidR="0091081B" w:rsidRPr="00462E95">
        <w:t>T</w:t>
      </w:r>
      <w:r w:rsidR="0086362F" w:rsidRPr="00462E95">
        <w:t>he restricted mean survival time</w:t>
      </w:r>
      <w:r w:rsidR="005E43B7" w:rsidRPr="00462E95">
        <w:t xml:space="preserve"> (RMST)</w:t>
      </w:r>
      <w:r w:rsidR="005E43B7" w:rsidRPr="00462E95">
        <w:fldChar w:fldCharType="begin" w:fldLock="1"/>
      </w:r>
      <w:r w:rsidR="00D120BE">
        <w:instrText>ADDIN CSL_CITATION {"citationItems":[{"id":"ITEM-1","itemData":{"DOI":"10.1002/sim.4274","ISSN":"02776715","PMID":"21611958","abstract":"In most randomized clinical trials (RCTs) with a right-censored time-to-event outcome, the hazard ratio is taken as an appropriate measure of the effectiveness of a new treatment compared with a standard-of-care or control treatment. However, it has long been known that the hazard ratio is valid only under the proportional hazards (PH) assumption. This assumption is formally checked only rarely. Some recent trials, particularly the IPASS trial in lung cancer and the ICON7 trial in ovarian cancer, have alerted researchers to the possibility of gross non-PH, raising the critical question of how such data should be analyzed. Here, we propose the use of the restricted mean survival time at a prespecified, fixed time point as a useful general measure to report the difference between two survival curves. We describe different methods of estimating it and we illustrate its application to three RCTs in cancer. The examples are graded from a trial in kidney cancer in which there is no evidence of non-PH, to IPASS, where the opposite is clearly the case. We propose a simple, general scheme for the analysis of data from such RCTs. Key elements of our approach are Andersen's method of 'pseudo-observations,' which is based on the Kaplan-Meier estimate of the survival function, and Royston and Parmar's class of flexible parametric survival models, which may be used for analyzing data in the presence or in the absence of PH of the treatment effect. © 2011 John Wiley &amp; Sons, Ltd.","author":[{"dropping-particle":"","family":"Royston","given":"Patrick","non-dropping-particle":"","parse-names":false,"suffix":""},{"dropping-particle":"","family":"Parmar","given":"Mahesh K.B.","non-dropping-particle":"","parse-names":false,"suffix":""}],"container-title":"Statistics in Medicine","id":"ITEM-1","issue":"19","issued":{"date-parts":[["2011"]]},"page":"2409-2421","title":"The use of restricted mean survival time to estimate the treatment effect in randomized clinical trials when the proportional hazards assumption is in doubt","type":"article-journal","volume":"30"},"uris":["http://www.mendeley.com/documents/?uuid=1bc00264-bdc2-40da-a3b8-d32093aea95e"]},{"id":"ITEM-2","itemData":{"DOI":"10.1136/bmj.j2250","ISSN":"17561833","PMID":"28546261","abstract":"The hazard ratio (HR) is the most common measure of treatment effect in clinical trials that use time-to-event outcomes such as survival. When survival curves cross over or separate only after a considerable time, the proportional hazards assumption of the Cox model is violated, and HR can be misleading. We present two measures of treatment effects for situations where the HR changes over time: the life expectancy difference (LED) and life expectancy ratio (LER). LED is the difference between mean survival times in the intervention and control arms. LER is the ratio of these two times. LED and LER can be calculated for at least two time intervals during the trial, allowing for curves where the treatment effect changes over time. The two measures are readily interpretable as absolute and relative gains or losses in life expectancy.","author":[{"dropping-particle":"","family":"Dehbi","given":"Hakim Moulay","non-dropping-particle":"","parse-names":false,"suffix":""},{"dropping-particle":"","family":"Royston","given":"Patrick","non-dropping-particle":"","parse-names":false,"suffix":""},{"dropping-particle":"","family":"Hackshaw","given":"Allan","non-dropping-particle":"","parse-names":false,"suffix":""}],"container-title":"BMJ (Online)","id":"ITEM-2","issue":"May","issued":{"date-parts":[["2017"]]},"page":"1-7","title":"Life expectancy difference and life expectancy ratio: Two measures of treatment effects in randomised trials with non-proportional hazards","type":"article-journal","volume":"357"},"uris":["http://www.mendeley.com/documents/?uuid=1fa0f1d8-6978-45e4-8024-17eef6b4b445"]},{"id":"ITEM-3","itemData":{"DOI":"10.1200/JCO.2015.64.2488","ISSN":"15277755","PMID":"26884584","abstract":"Purpose: We aimed to compare empirically the treatment effects measured by the hazard ratio (HR) and by the difference (and ratio) of restricted mean survival times (RMST) in oncology randomized trials. Methods: We selected oncology randomized controlled trials from five leading journals during the last 6 months of 2014. We reconstructed individual patient data for one time-to-event outcome from each trial, preferably the primary outcome. We reanalyzed each trial and compared the treatment effect estimated by the HR with that by the difference (and ratio) of RMST. Weestimated an average ratio of the HR to the ratio of RMST; an average ratio less than one indicates more optimistic assessments with HRs. Results: We analyzed 54 randomized controlled trials totaling 33,212 patients. The selected outcome was overall survival in 21 (39%) trials. There was evidence of nonproportionality of hazards in 13 (24%) trials. The HR and RMST-based measures were in agreement regarding the statistical significance of the effect, except in one case. The median HR was 0.84 (Q1 to Q3 range, 0.67 to 0.97) and the median difference in RMST was 1.12 months (range, 0.22 to 2.75 months). The average ratio of the HR to the ratio of RMST was 1.11 (95% CI, 1.07 to 1.15), with substantial between-trial variability (I2 = 86%). Results were consistent by outcome type (overall survival v other outcomes) and whether the proportional hazard assumption held or not. Conclusion: On average, the HR provided significantly larger treatment effect estimates than the ratio of RMST. The HR may seem large when the absolute effect is small. RMST-based measures should be routinely reported in randomized trials with time-to-event outcomes.","author":[{"dropping-particle":"","family":"Trinquart","given":"Ludovic","non-dropping-particle":"","parse-names":false,"suffix":""},{"dropping-particle":"","family":"Jacot","given":"Justine","non-dropping-particle":"","parse-names":false,"suffix":""},{"dropping-particle":"","family":"Conner","given":"Sarah C.","non-dropping-particle":"","parse-names":false,"suffix":""},{"dropping-particle":"","family":"Porcher","given":"Raphaël","non-dropping-particle":"","parse-names":false,"suffix":""}],"container-title":"Journal of Clinical Oncology","id":"ITEM-3","issue":"15","issued":{"date-parts":[["2016"]]},"page":"1813-1819","title":"Comparison of treatment effects measured by the hazard ratio and by the ratio of restricted mean survival times in oncology randomized controlled trials","type":"article-journal","volume":"34"},"uris":["http://www.mendeley.com/documents/?uuid=a501d813-7e4f-472e-a36b-1985b18b8a3a"]},{"id":"ITEM-4","itemData":{"DOI":"10.1111/biom.12384","ISSN":"15410420","PMID":"26302239","abstract":"For a study with an event time as the endpoint, its survival function contains all the information regarding the temporal, stochastic profile of this outcome variable. The survival probability at a specific time point, say t, however, does not transparently capture the temporal profile of this endpoint up to t. An alternative is to use the restricted mean survival time (RMST) at time t to summarize the profile. The RMST is the mean survival time of all subjects in the study population followed up to t, and is simply the area under the survival curve up to t. The advantages of using such a quantification over the survival rate have been discussed in the setting of a fixed-time analysis. In this article, we generalize this approach by considering a curve based on the RMST over time as an alternative summary to the survival function. Inference, for instance, based on simultaneous confidence bands for a single RMST curve and also the difference between two RMST curves are proposed. The latter is informative for evaluating two groups under an equivalence or noninferiority setting, and quantifies the difference of two groups in a time scale. The proposal is illustrated with the data from two clinical trials, one from oncology and the other from cardiology.","author":[{"dropping-particle":"","family":"Zhao","given":"Lihui","non-dropping-particle":"","parse-names":false,"suffix":""},{"dropping-particle":"","family":"Claggett","given":"Brian","non-dropping-particle":"","parse-names":false,"suffix":""},{"dropping-particle":"","family":"Tian","given":"Lu","non-dropping-particle":"","parse-names":false,"suffix":""},{"dropping-particle":"","family":"Uno","given":"Hajime","non-dropping-particle":"","parse-names":false,"suffix":""},{"dropping-particle":"","family":"Pfeffer","given":"Marc A.","non-dropping-particle":"","parse-names":false,"suffix":""},{"dropping-particle":"","family":"Solomon","given":"Scott D.","non-dropping-particle":"","parse-names":false,"suffix":""},{"dropping-particle":"","family":"Trippa","given":"Lorenzo","non-dropping-particle":"","parse-names":false,"suffix":""},{"dropping-particle":"","family":"Wei","given":"L. J.","non-dropping-particle":"","parse-names":false,"suffix":""}],"container-title":"Biometrics","id":"ITEM-4","issue":"1","issued":{"date-parts":[["2016"]]},"page":"215-221","title":"On the restricted mean survival time curve in survival analysis","type":"article-journal","volume":"72"},"uris":["http://www.mendeley.com/documents/?uuid=7b26bb75-671c-42f3-9a70-76831ce2ae62"]},{"id":"ITEM-5","itemData":{"DOI":"10.1200/JCO.2016.67.8045","ISSN":"15277755","PMID":"27507871","author":[{"dropping-particle":"","family":"A'Hern","given":"Roger P.","non-dropping-particle":"","parse-names":false,"suffix":""}],"container-title":"Journal of Clinical Oncology","id":"ITEM-5","issue":"28","issued":{"date-parts":[["2016"]]},"page":"3474-3476","title":"Restricted mean survival time: An obligatory end point for time-to-event analysis in cancer trials?","type":"article-journal","volume":"34"},"uris":["http://www.mendeley.com/documents/?uuid=27ba1366-f534-4a64-bf3c-2523ad0be987"]},{"id":"ITEM-6","itemData":{"DOI":"10.1016/j.clon.2018.04.011","ISSN":"14332981","PMID":"29776805","abstract":"Hazard ratios are commonly used when comparing survival between two groups and make the assumption that the relative event rates do not change markedly during follow-up, i.e. that event rates are proportional. However, there is currently debate about the use of the proportional hazards assumption to summarise the treatment effect in survival analysis compared with restricted mean survival time (RMST) analysis, particularly in cancer trials. In many situations it is unrealistic to assume that relative event rates in two groups will be proportional throughout follow-up and, hence, RMST analysis, which does not make this assumption, may be preferable. Several benefits of the latter approach have been identified but the biological perspective is not often discussed. Biological features such as the patterns of tumour growth and response can also contribute to assessing the relative merit of these two methods; such biological considerations are the subject of this paper. The observation that the most commonly observed approximation to the underlying distribution of time to event data, the lognormal distribution, does not reliably show proportional hazards in the comparison of two groups, lends weight to a statistical approach that is not based on proportional hazards. The proportional hazards assumption should be viewed more critically when estimating treatment effects. An optimum approach may be to include both proportional hazards analysis and RMST analysis when comparing time to event endpoints.","author":[{"dropping-particle":"","family":"A'Hern","given":"R. P.","non-dropping-particle":"","parse-names":false,"suffix":""}],"container-title":"Clinical Oncology","id":"ITEM-6","issue":"9","issued":{"date-parts":[["2018"]]},"page":"e75-e80","publisher":"Elsevier Ltd","title":"Cancer Biology and Survival Analysis in Cancer Trials: Restricted Mean Survival Time Analysis versus Hazard Ratios","type":"article-journal","volume":"30"},"uris":["http://www.mendeley.com/documents/?uuid=d0d20dbc-629a-4e7b-964a-fe3c74a13ed1"]}],"mendeley":{"formattedCitation":"(36–41)","plainTextFormattedCitation":"(36–41)","previouslyFormattedCitation":"(36–41)"},"properties":{"noteIndex":0},"schema":"https://github.com/citation-style-language/schema/raw/master/csl-citation.json"}</w:instrText>
      </w:r>
      <w:r w:rsidR="005E43B7" w:rsidRPr="00462E95">
        <w:fldChar w:fldCharType="separate"/>
      </w:r>
      <w:r w:rsidR="002B3E81" w:rsidRPr="002B3E81">
        <w:rPr>
          <w:noProof/>
        </w:rPr>
        <w:t>(36–41)</w:t>
      </w:r>
      <w:r w:rsidR="005E43B7" w:rsidRPr="00462E95">
        <w:fldChar w:fldCharType="end"/>
      </w:r>
      <w:r w:rsidR="0086362F" w:rsidRPr="00462E95">
        <w:t xml:space="preserve"> and its derivative</w:t>
      </w:r>
      <w:r w:rsidR="00E4099E" w:rsidRPr="00462E95">
        <w:t xml:space="preserve"> the</w:t>
      </w:r>
      <w:r w:rsidR="0086362F" w:rsidRPr="00462E95">
        <w:t xml:space="preserve"> life expectancy difference</w:t>
      </w:r>
      <w:r w:rsidR="0091081B" w:rsidRPr="00462E95">
        <w:t xml:space="preserve"> </w:t>
      </w:r>
      <w:r w:rsidR="0086362F" w:rsidRPr="00462E95">
        <w:t>were</w:t>
      </w:r>
      <w:r w:rsidR="0091081B" w:rsidRPr="00462E95">
        <w:t xml:space="preserve"> also</w:t>
      </w:r>
      <w:r w:rsidR="0086362F" w:rsidRPr="00462E95">
        <w:t xml:space="preserve"> calculated </w:t>
      </w:r>
      <w:r w:rsidR="0091081B" w:rsidRPr="00462E95">
        <w:t>at</w:t>
      </w:r>
      <w:r w:rsidR="0086362F" w:rsidRPr="00462E95">
        <w:t xml:space="preserve"> 36 and 60 months</w:t>
      </w:r>
      <w:r w:rsidR="005E43B7" w:rsidRPr="00462E95">
        <w:t>.</w:t>
      </w:r>
      <w:r w:rsidR="00851506" w:rsidRPr="00462E95">
        <w:t xml:space="preserve"> As IPTW only adjusts for </w:t>
      </w:r>
      <w:r w:rsidR="00636859">
        <w:t>known confounders</w:t>
      </w:r>
      <w:r w:rsidR="00851506" w:rsidRPr="00462E95">
        <w:t xml:space="preserve">, a sensitivity analysis was conducted to assess for the magnitude of confounding </w:t>
      </w:r>
      <w:r w:rsidR="00636859">
        <w:t xml:space="preserve">from unmeasured factors </w:t>
      </w:r>
      <w:r w:rsidR="00851506" w:rsidRPr="00462E95">
        <w:t>required to eliminate the measured effect</w:t>
      </w:r>
      <w:r w:rsidR="00C6727F">
        <w:t xml:space="preserve">, using </w:t>
      </w:r>
      <w:r w:rsidR="00851506" w:rsidRPr="00462E95">
        <w:t>the E-Value</w:t>
      </w:r>
      <w:r w:rsidR="00C1030A">
        <w:fldChar w:fldCharType="begin" w:fldLock="1"/>
      </w:r>
      <w:r w:rsidR="00D120BE">
        <w:instrText>ADDIN CSL_CITATION {"citationItems":[{"id":"ITEM-1","itemData":{"DOI":"10.7326/M16-2607","ISSN":"15393704","PMID":"28693043","abstract":"Sensitivity analysis is useful in assessing how robust an association is to potential unmeasured or uncontrolled confounding. This article introduces a new measure called the \"E-value,\" which is related to the evidence for causality in observational studies that are potentially subject to confounding. The E-value is defined as the minimum strength of association, on the risk ratio scale, that an unmeasured confounder would need to have with both the treatment and the outcome to fully explain away a specific treatment-outcome association, conditional on the measured covariates. A large E-value implies that considerable unmeasured confounding would be needed to explain away an effect estimate. A small E-value implies little unmeasured confounding would be needed to explain away an effect estimate. The authors propose that in all observational studies intended to produce evidence for causality, the E-value be reported or some other sensitivity analysis be used. They suggest calculating the E-value for both the observed association estimate (after adjustments for measured confounders) and the limit of the confidence interval closest to the null. If this were to become standard practice, the ability of the scientific community to assess evidence from observational studies would improve considerably, and ultimately, science would be strengthened.","author":[{"dropping-particle":"","family":"Weele","given":"Tyler J.","non-dropping-particle":"Van Der","parse-names":false,"suffix":""},{"dropping-particle":"","family":"Ding","given":"Peng","non-dropping-particle":"","parse-names":false,"suffix":""}],"container-title":"Annals of Internal Medicine","id":"ITEM-1","issue":"4","issued":{"date-parts":[["2017"]]},"page":"268-274","title":"Sensitivity analysis in observational research: Introducing the E-Value","type":"article-journal","volume":"167"},"uris":["http://www.mendeley.com/documents/?uuid=b8bf2958-f437-4c52-965a-fdfd999b56be"]}],"mendeley":{"formattedCitation":"(42)","plainTextFormattedCitation":"(42)","previouslyFormattedCitation":"(42)"},"properties":{"noteIndex":0},"schema":"https://github.com/citation-style-language/schema/raw/master/csl-citation.json"}</w:instrText>
      </w:r>
      <w:r w:rsidR="00C1030A">
        <w:fldChar w:fldCharType="separate"/>
      </w:r>
      <w:r w:rsidR="002B3E81" w:rsidRPr="002B3E81">
        <w:rPr>
          <w:noProof/>
        </w:rPr>
        <w:t>(42)</w:t>
      </w:r>
      <w:r w:rsidR="00C1030A">
        <w:fldChar w:fldCharType="end"/>
      </w:r>
      <w:r w:rsidR="00C6727F">
        <w:t>.</w:t>
      </w:r>
      <w:r w:rsidR="00AD5710" w:rsidRPr="00462E95">
        <w:t xml:space="preserve"> </w:t>
      </w:r>
      <w:r w:rsidR="00C6727F">
        <w:t>In a second sensitivity analysis</w:t>
      </w:r>
      <w:r w:rsidR="00E060CA">
        <w:t>, the</w:t>
      </w:r>
      <w:r w:rsidR="00AD5710" w:rsidRPr="00462E95">
        <w:t xml:space="preserve"> landmark time </w:t>
      </w:r>
      <w:r w:rsidR="00E060CA">
        <w:t xml:space="preserve">was </w:t>
      </w:r>
      <w:r w:rsidR="00E060CA" w:rsidRPr="00462E95">
        <w:t xml:space="preserve">varied </w:t>
      </w:r>
      <w:r w:rsidR="00AD5710" w:rsidRPr="00462E95">
        <w:t xml:space="preserve">up to six months post-surgery to ensure that immortal time bias had been adequately controlled </w:t>
      </w:r>
      <w:r w:rsidR="00A46AFD" w:rsidRPr="00462E95">
        <w:t xml:space="preserve">for </w:t>
      </w:r>
      <w:r w:rsidR="00AD5710" w:rsidRPr="00462E95">
        <w:t>in the analysis.</w:t>
      </w:r>
      <w:r w:rsidR="00676728">
        <w:t xml:space="preserve"> </w:t>
      </w:r>
      <w:r w:rsidR="00C6727F">
        <w:t>A series of s</w:t>
      </w:r>
      <w:r w:rsidR="00964AFF" w:rsidRPr="00462E95">
        <w:t>ubgroup analyses</w:t>
      </w:r>
      <w:r w:rsidR="00851506" w:rsidRPr="00462E95">
        <w:t xml:space="preserve"> were</w:t>
      </w:r>
      <w:r w:rsidR="00AD5710" w:rsidRPr="00462E95">
        <w:t xml:space="preserve"> </w:t>
      </w:r>
      <w:r w:rsidR="00676728">
        <w:t xml:space="preserve">also </w:t>
      </w:r>
      <w:r w:rsidR="00847CED" w:rsidRPr="00462E95">
        <w:t xml:space="preserve">conducted </w:t>
      </w:r>
      <w:r w:rsidR="001A2E62">
        <w:t xml:space="preserve">to assess </w:t>
      </w:r>
      <w:r w:rsidR="00C6727F">
        <w:t xml:space="preserve">the stability of the estimated treatment </w:t>
      </w:r>
      <w:r w:rsidR="00C6727F">
        <w:lastRenderedPageBreak/>
        <w:t xml:space="preserve">effect.  </w:t>
      </w:r>
      <w:r w:rsidR="007D4994">
        <w:t>T</w:t>
      </w:r>
      <w:r w:rsidR="001A2E62">
        <w:t>he effect of</w:t>
      </w:r>
      <w:r w:rsidR="00E24B5B">
        <w:t xml:space="preserve"> tumour site (</w:t>
      </w:r>
      <w:r w:rsidR="004C6085">
        <w:t>oe</w:t>
      </w:r>
      <w:r w:rsidR="00E24B5B">
        <w:t>sophagus, G</w:t>
      </w:r>
      <w:r w:rsidR="004C6085">
        <w:t>O</w:t>
      </w:r>
      <w:r w:rsidR="00E24B5B">
        <w:t>J, stomach) and lymph node involvement (N0</w:t>
      </w:r>
      <w:r w:rsidR="008B4321">
        <w:t>, N+)</w:t>
      </w:r>
      <w:r w:rsidR="007D4994">
        <w:t xml:space="preserve"> were assessed separately</w:t>
      </w:r>
      <w:r w:rsidR="00322C51" w:rsidRPr="00462E95">
        <w:t>.</w:t>
      </w:r>
      <w:r w:rsidR="00F302E8" w:rsidRPr="00462E95">
        <w:t xml:space="preserve"> </w:t>
      </w:r>
      <w:r w:rsidR="00851506" w:rsidRPr="00462E95">
        <w:t xml:space="preserve">IPT weights were recalculated for each analysis. </w:t>
      </w:r>
      <w:r w:rsidR="00964AFF" w:rsidRPr="00462E95">
        <w:t>All analys</w:t>
      </w:r>
      <w:r w:rsidR="00CE3A5C" w:rsidRPr="00462E95">
        <w:t>e</w:t>
      </w:r>
      <w:r w:rsidR="00964AFF" w:rsidRPr="00462E95">
        <w:t>s w</w:t>
      </w:r>
      <w:r w:rsidR="00CE3A5C" w:rsidRPr="00462E95">
        <w:t>ere</w:t>
      </w:r>
      <w:r w:rsidR="00964AFF" w:rsidRPr="00462E95">
        <w:t xml:space="preserve"> conducted in R</w:t>
      </w:r>
      <w:r w:rsidR="00A60A97">
        <w:t>.</w:t>
      </w:r>
      <w:r w:rsidR="00964AFF" w:rsidRPr="00462E95">
        <w:fldChar w:fldCharType="begin" w:fldLock="1"/>
      </w:r>
      <w:r w:rsidR="00D120BE">
        <w:instrText>ADDIN CSL_CITATION {"citationItems":[{"id":"ITEM-1","itemData":{"author":[{"dropping-particle":"","family":"R Core Team","given":"","non-dropping-particle":"","parse-names":false,"suffix":""}],"id":"ITEM-1","issued":{"date-parts":[["2019"]]},"publisher":"R Foundation for Statistical Computing","publisher-place":"Vienna, Austria","title":"R: A Language and Environment for Statistical Computing","type":"article"},"uris":["http://www.mendeley.com/documents/?uuid=335d64a2-026b-46d4-b6bb-11e70f04fd27"]}],"mendeley":{"formattedCitation":"(43)","plainTextFormattedCitation":"(43)","previouslyFormattedCitation":"(43)"},"properties":{"noteIndex":0},"schema":"https://github.com/citation-style-language/schema/raw/master/csl-citation.json"}</w:instrText>
      </w:r>
      <w:r w:rsidR="00964AFF" w:rsidRPr="00462E95">
        <w:fldChar w:fldCharType="separate"/>
      </w:r>
      <w:r w:rsidR="002B3E81" w:rsidRPr="002B3E81">
        <w:rPr>
          <w:noProof/>
        </w:rPr>
        <w:t>(43)</w:t>
      </w:r>
      <w:r w:rsidR="00964AFF" w:rsidRPr="00462E95">
        <w:fldChar w:fldCharType="end"/>
      </w:r>
    </w:p>
    <w:p w14:paraId="33237A65" w14:textId="4722DFC6" w:rsidR="00322C51" w:rsidRDefault="00322C51" w:rsidP="00D7580B">
      <w:pPr>
        <w:spacing w:before="0"/>
        <w:rPr>
          <w:sz w:val="24"/>
          <w:szCs w:val="24"/>
        </w:rPr>
      </w:pPr>
      <w:r>
        <w:rPr>
          <w:sz w:val="24"/>
          <w:szCs w:val="24"/>
        </w:rPr>
        <w:br w:type="page"/>
      </w:r>
    </w:p>
    <w:p w14:paraId="29B2DF4E" w14:textId="1C7EADE3" w:rsidR="00322C51" w:rsidRPr="007E3DBA" w:rsidRDefault="00322C51" w:rsidP="00D7580B">
      <w:pPr>
        <w:spacing w:before="0"/>
        <w:rPr>
          <w:sz w:val="40"/>
          <w:szCs w:val="40"/>
        </w:rPr>
      </w:pPr>
      <w:r w:rsidRPr="006B66B6">
        <w:rPr>
          <w:sz w:val="40"/>
          <w:szCs w:val="40"/>
        </w:rPr>
        <w:lastRenderedPageBreak/>
        <w:t>Results</w:t>
      </w:r>
    </w:p>
    <w:p w14:paraId="608EB1AE" w14:textId="4EFD0B2A" w:rsidR="007B6070" w:rsidRPr="00061298" w:rsidRDefault="005422B4">
      <w:pPr>
        <w:spacing w:line="480" w:lineRule="auto"/>
        <w:rPr>
          <w:b/>
          <w:bCs/>
        </w:rPr>
      </w:pPr>
      <w:r w:rsidRPr="00061298">
        <w:rPr>
          <w:b/>
          <w:bCs/>
        </w:rPr>
        <w:t>Patients</w:t>
      </w:r>
    </w:p>
    <w:p w14:paraId="565C096D" w14:textId="3CDBB768" w:rsidR="001C6F81" w:rsidRPr="00E93A26" w:rsidRDefault="00061298" w:rsidP="007F2F8D">
      <w:pPr>
        <w:spacing w:line="480" w:lineRule="auto"/>
      </w:pPr>
      <w:r w:rsidRPr="00061298">
        <w:t xml:space="preserve">Figure 1 details the flow chart of the study. </w:t>
      </w:r>
      <w:r w:rsidR="00851506" w:rsidRPr="00061298">
        <w:t xml:space="preserve">In total, </w:t>
      </w:r>
      <w:r w:rsidR="0050123F" w:rsidRPr="00061298">
        <w:t>4,139</w:t>
      </w:r>
      <w:r w:rsidR="00F4585C" w:rsidRPr="00061298">
        <w:t xml:space="preserve"> </w:t>
      </w:r>
      <w:r w:rsidR="00551A3E" w:rsidRPr="00061298">
        <w:t xml:space="preserve">patients </w:t>
      </w:r>
      <w:r w:rsidR="00B507C4" w:rsidRPr="00061298">
        <w:t>treated in 5</w:t>
      </w:r>
      <w:r w:rsidR="000B63C4" w:rsidRPr="00061298">
        <w:t>8</w:t>
      </w:r>
      <w:r w:rsidR="00B507C4" w:rsidRPr="00061298">
        <w:t xml:space="preserve"> centres</w:t>
      </w:r>
      <w:r w:rsidR="00851506" w:rsidRPr="00061298">
        <w:t xml:space="preserve"> were included. </w:t>
      </w:r>
      <w:r w:rsidR="00011C5A" w:rsidRPr="00061298">
        <w:t xml:space="preserve">Missing data on patient characteristics were present in 1124 cases (27.1%), with the most frequent missing variables being circumferential resection margin (CRM, 16.0%), cT (5.3%), cN (2.8%), ypN (4.4%), ypT (4.3%) and length of stay (4.1%). All other variables had &lt;1% missing data. </w:t>
      </w:r>
      <w:r w:rsidR="00A05253" w:rsidRPr="00061298">
        <w:t>A</w:t>
      </w:r>
      <w:r w:rsidR="00831B5C" w:rsidRPr="00E93A26">
        <w:t xml:space="preserve"> full course</w:t>
      </w:r>
      <w:r w:rsidR="00A05253">
        <w:t xml:space="preserve"> of preoperative chemotherapy was</w:t>
      </w:r>
      <w:r w:rsidR="00831B5C" w:rsidRPr="00E93A26">
        <w:t xml:space="preserve"> completed in </w:t>
      </w:r>
      <w:r w:rsidR="000B63C4">
        <w:t>3,025</w:t>
      </w:r>
      <w:r w:rsidR="00831B5C" w:rsidRPr="00E93A26">
        <w:t xml:space="preserve"> cases (73.</w:t>
      </w:r>
      <w:r w:rsidR="000B63C4">
        <w:t>1</w:t>
      </w:r>
      <w:r w:rsidR="00831B5C" w:rsidRPr="00E93A26">
        <w:t xml:space="preserve">%). </w:t>
      </w:r>
      <w:r w:rsidR="00ED5AA1">
        <w:t xml:space="preserve">The </w:t>
      </w:r>
      <w:r w:rsidR="00E673EF">
        <w:t>site</w:t>
      </w:r>
      <w:r w:rsidR="00ED5AA1">
        <w:t xml:space="preserve"> of the tumour was in the </w:t>
      </w:r>
      <w:r w:rsidR="004C6085">
        <w:t>o</w:t>
      </w:r>
      <w:r w:rsidR="00ED5AA1">
        <w:t xml:space="preserve">esophagus in </w:t>
      </w:r>
      <w:r w:rsidR="00A86434">
        <w:t>4</w:t>
      </w:r>
      <w:r w:rsidR="00D341C5">
        <w:t>7</w:t>
      </w:r>
      <w:r w:rsidR="00A86434">
        <w:t>.</w:t>
      </w:r>
      <w:r w:rsidR="00D341C5">
        <w:t>9%</w:t>
      </w:r>
      <w:r w:rsidR="00A86434">
        <w:t xml:space="preserve">, </w:t>
      </w:r>
      <w:r w:rsidR="00D341C5">
        <w:t>the G</w:t>
      </w:r>
      <w:r w:rsidR="004C6085">
        <w:t>O</w:t>
      </w:r>
      <w:r w:rsidR="00D341C5">
        <w:t xml:space="preserve">J in </w:t>
      </w:r>
      <w:r w:rsidR="00A86434">
        <w:t xml:space="preserve">29.2% and </w:t>
      </w:r>
      <w:r w:rsidR="00D341C5">
        <w:t xml:space="preserve">the stomach in </w:t>
      </w:r>
      <w:r w:rsidR="00A86434">
        <w:t>22.</w:t>
      </w:r>
      <w:r w:rsidR="00D341C5">
        <w:t xml:space="preserve">9%. </w:t>
      </w:r>
      <w:r w:rsidR="008A1FCD" w:rsidRPr="00E93A26">
        <w:t xml:space="preserve">Median survival for the full study cohort was </w:t>
      </w:r>
      <w:r w:rsidR="00BC6558">
        <w:t>57.1</w:t>
      </w:r>
      <w:r w:rsidR="008A1FCD" w:rsidRPr="00E93A26">
        <w:t xml:space="preserve"> months (95% CI </w:t>
      </w:r>
      <w:r w:rsidR="003576EB">
        <w:t>51.9-63.6</w:t>
      </w:r>
      <w:r w:rsidR="008A1FCD" w:rsidRPr="00E93A26">
        <w:t xml:space="preserve"> months), with </w:t>
      </w:r>
      <w:r w:rsidR="00A60A97">
        <w:t xml:space="preserve">the proportion of patients </w:t>
      </w:r>
      <w:r w:rsidR="008A1FCD" w:rsidRPr="00E93A26">
        <w:t>surviv</w:t>
      </w:r>
      <w:r w:rsidR="00A60A97">
        <w:t>ing</w:t>
      </w:r>
      <w:r w:rsidR="008A1FCD" w:rsidRPr="00E93A26">
        <w:t xml:space="preserve"> at 3- and 5-years </w:t>
      </w:r>
      <w:r w:rsidR="009D3675">
        <w:t>60.8</w:t>
      </w:r>
      <w:r w:rsidR="008A1FCD" w:rsidRPr="00E93A26">
        <w:t>% and 4</w:t>
      </w:r>
      <w:r w:rsidR="009D3675">
        <w:t>9</w:t>
      </w:r>
      <w:r w:rsidR="008A1FCD" w:rsidRPr="00E93A26">
        <w:t>.</w:t>
      </w:r>
      <w:r w:rsidR="009D3675">
        <w:t>3</w:t>
      </w:r>
      <w:r w:rsidR="008A1FCD" w:rsidRPr="00E93A26">
        <w:t xml:space="preserve">% respectively. Median follow up was </w:t>
      </w:r>
      <w:r w:rsidR="00360DD2">
        <w:t xml:space="preserve">37.5 </w:t>
      </w:r>
      <w:r w:rsidR="008A1FCD" w:rsidRPr="00E93A26">
        <w:t xml:space="preserve">months (IQR </w:t>
      </w:r>
      <w:r w:rsidR="00292590">
        <w:t>21.5</w:t>
      </w:r>
      <w:r w:rsidR="008A1FCD" w:rsidRPr="00E93A26">
        <w:t>-5</w:t>
      </w:r>
      <w:r w:rsidR="00292590">
        <w:t>3</w:t>
      </w:r>
      <w:r w:rsidR="008A1FCD" w:rsidRPr="00E93A26">
        <w:t>.</w:t>
      </w:r>
      <w:r w:rsidR="00292590">
        <w:t>1</w:t>
      </w:r>
      <w:r w:rsidR="008A1FCD" w:rsidRPr="00E93A26">
        <w:t xml:space="preserve"> months). In the </w:t>
      </w:r>
      <w:r w:rsidR="00EF088B">
        <w:t>preoperative</w:t>
      </w:r>
      <w:r w:rsidR="008A1FCD" w:rsidRPr="00E93A26">
        <w:t xml:space="preserve"> setting, ECX was most frequently </w:t>
      </w:r>
      <w:r w:rsidR="007B5674">
        <w:t xml:space="preserve">used </w:t>
      </w:r>
      <w:r w:rsidR="008A1FCD" w:rsidRPr="00E93A26">
        <w:t>(</w:t>
      </w:r>
      <w:r w:rsidR="000A63F4">
        <w:t>3116</w:t>
      </w:r>
      <w:r w:rsidR="008A1FCD" w:rsidRPr="00E93A26">
        <w:t xml:space="preserve"> cases, 7</w:t>
      </w:r>
      <w:r w:rsidR="000A63F4">
        <w:t>5.3</w:t>
      </w:r>
      <w:r w:rsidR="008A1FCD" w:rsidRPr="00E93A26">
        <w:t>%) followed by EOX (</w:t>
      </w:r>
      <w:r w:rsidR="0086185B">
        <w:t>717</w:t>
      </w:r>
      <w:r w:rsidR="008A1FCD" w:rsidRPr="00E93A26">
        <w:t>/17.</w:t>
      </w:r>
      <w:r w:rsidR="0086185B">
        <w:t>3</w:t>
      </w:r>
      <w:r w:rsidR="008A1FCD" w:rsidRPr="00E93A26">
        <w:t>%), FLOT (1</w:t>
      </w:r>
      <w:r w:rsidR="0086185B">
        <w:t>35</w:t>
      </w:r>
      <w:r w:rsidR="008A1FCD" w:rsidRPr="00E93A26">
        <w:t>/3.</w:t>
      </w:r>
      <w:r w:rsidR="0086185B">
        <w:t>3</w:t>
      </w:r>
      <w:r w:rsidR="008A1FCD" w:rsidRPr="00E93A26">
        <w:t>%), ECF (</w:t>
      </w:r>
      <w:r w:rsidR="0086185B">
        <w:t>134</w:t>
      </w:r>
      <w:r w:rsidR="008A1FCD" w:rsidRPr="00E93A26">
        <w:t>/3.</w:t>
      </w:r>
      <w:r w:rsidR="0086185B">
        <w:t>2</w:t>
      </w:r>
      <w:r w:rsidR="008A1FCD" w:rsidRPr="00E93A26">
        <w:t>%), and EOF (</w:t>
      </w:r>
      <w:r w:rsidR="003176C6">
        <w:t>37</w:t>
      </w:r>
      <w:r w:rsidR="008A1FCD" w:rsidRPr="00E93A26">
        <w:t>/</w:t>
      </w:r>
      <w:r w:rsidR="003176C6">
        <w:t>0.9</w:t>
      </w:r>
      <w:r w:rsidR="008A1FCD" w:rsidRPr="00E93A26">
        <w:t>%)</w:t>
      </w:r>
      <w:r w:rsidR="005352DA" w:rsidRPr="00E93A26">
        <w:t xml:space="preserve">. </w:t>
      </w:r>
      <w:r w:rsidR="00831B5C" w:rsidRPr="00E93A26">
        <w:t>The</w:t>
      </w:r>
      <w:r w:rsidR="00B70398">
        <w:t xml:space="preserve"> most common procedures performed were Ivor-Lewis </w:t>
      </w:r>
      <w:r w:rsidR="004C6085">
        <w:t>o</w:t>
      </w:r>
      <w:r w:rsidR="00B70398">
        <w:t>esophagectomy (2439 cases,</w:t>
      </w:r>
      <w:r w:rsidR="00136DFF">
        <w:t xml:space="preserve"> 58.9%</w:t>
      </w:r>
      <w:r w:rsidR="00B70398">
        <w:t xml:space="preserve">), total gastrectomy (703, </w:t>
      </w:r>
      <w:r w:rsidR="00136DFF">
        <w:t>16.9%</w:t>
      </w:r>
      <w:r w:rsidR="00B70398">
        <w:t>) and distal gastrectomy</w:t>
      </w:r>
      <w:r w:rsidR="00831B5C" w:rsidRPr="00E93A26">
        <w:t xml:space="preserve"> </w:t>
      </w:r>
      <w:r w:rsidR="00B70398">
        <w:t xml:space="preserve">(414, </w:t>
      </w:r>
      <w:r w:rsidR="00136DFF">
        <w:t>10.0%</w:t>
      </w:r>
      <w:r w:rsidR="00B70398">
        <w:t>)</w:t>
      </w:r>
      <w:r w:rsidR="00136DFF">
        <w:t>.</w:t>
      </w:r>
    </w:p>
    <w:p w14:paraId="2AA82F77" w14:textId="592DBC3A" w:rsidR="006B66B6" w:rsidRPr="00E93A26" w:rsidRDefault="00F63763" w:rsidP="007E3DBA">
      <w:pPr>
        <w:spacing w:before="100" w:beforeAutospacing="1" w:after="100" w:afterAutospacing="1" w:line="480" w:lineRule="auto"/>
      </w:pPr>
      <w:r w:rsidRPr="00E93A26">
        <w:t>P</w:t>
      </w:r>
      <w:r w:rsidR="00851506" w:rsidRPr="00E93A26">
        <w:t xml:space="preserve">ostoperative chemotherapy </w:t>
      </w:r>
      <w:r w:rsidR="00831B5C" w:rsidRPr="00E93A26">
        <w:t xml:space="preserve">was </w:t>
      </w:r>
      <w:r w:rsidRPr="00E93A26">
        <w:t>started</w:t>
      </w:r>
      <w:r w:rsidR="004759EA">
        <w:t xml:space="preserve"> </w:t>
      </w:r>
      <w:r w:rsidR="004759EA" w:rsidRPr="00E93A26">
        <w:t>within 90 days of surgery</w:t>
      </w:r>
      <w:r w:rsidR="00831B5C" w:rsidRPr="00E93A26">
        <w:t xml:space="preserve"> in 1</w:t>
      </w:r>
      <w:r w:rsidR="008F53D3">
        <w:t>,5</w:t>
      </w:r>
      <w:r w:rsidR="00A80400">
        <w:t>93</w:t>
      </w:r>
      <w:r w:rsidR="00831B5C" w:rsidRPr="00E93A26">
        <w:t xml:space="preserve"> (</w:t>
      </w:r>
      <w:r w:rsidR="008F53D3">
        <w:t>38.5</w:t>
      </w:r>
      <w:r w:rsidR="00831B5C" w:rsidRPr="00E93A26">
        <w:t>%) cases</w:t>
      </w:r>
      <w:r w:rsidR="007C301B">
        <w:t xml:space="preserve"> (the treatment group)</w:t>
      </w:r>
      <w:r w:rsidR="00831B5C" w:rsidRPr="00E93A26">
        <w:t xml:space="preserve">, with </w:t>
      </w:r>
      <w:r w:rsidR="008F53D3">
        <w:t>2</w:t>
      </w:r>
      <w:r w:rsidR="00851506" w:rsidRPr="00E93A26">
        <w:t>,</w:t>
      </w:r>
      <w:r w:rsidR="008F53D3">
        <w:t>546</w:t>
      </w:r>
      <w:r w:rsidR="005130CE" w:rsidRPr="00E93A26">
        <w:t xml:space="preserve"> (6</w:t>
      </w:r>
      <w:r w:rsidR="008F53D3">
        <w:t>1</w:t>
      </w:r>
      <w:r w:rsidR="005130CE" w:rsidRPr="00E93A26">
        <w:t>.</w:t>
      </w:r>
      <w:r w:rsidR="007C52AB" w:rsidRPr="00E93A26">
        <w:t>5</w:t>
      </w:r>
      <w:r w:rsidR="005130CE" w:rsidRPr="00E93A26">
        <w:t>%)</w:t>
      </w:r>
      <w:r w:rsidR="00851506" w:rsidRPr="00E93A26">
        <w:t xml:space="preserve"> </w:t>
      </w:r>
      <w:r w:rsidR="00831B5C" w:rsidRPr="00E93A26">
        <w:t>receiving observation only.</w:t>
      </w:r>
      <w:r w:rsidR="00636F82" w:rsidRPr="00E93A26">
        <w:t xml:space="preserve"> </w:t>
      </w:r>
      <w:r w:rsidR="003D0C90" w:rsidRPr="00E93A26">
        <w:t xml:space="preserve">In </w:t>
      </w:r>
      <w:r w:rsidR="00B14601">
        <w:t xml:space="preserve">the </w:t>
      </w:r>
      <w:r w:rsidR="00A60A97">
        <w:t>treatment group</w:t>
      </w:r>
      <w:r w:rsidR="003D0C90" w:rsidRPr="00E93A26">
        <w:t xml:space="preserve">, </w:t>
      </w:r>
      <w:r w:rsidR="008F0977">
        <w:t>953</w:t>
      </w:r>
      <w:r w:rsidR="003D0C90" w:rsidRPr="00E93A26">
        <w:t xml:space="preserve"> </w:t>
      </w:r>
      <w:r w:rsidR="00A60A97">
        <w:t xml:space="preserve">patients </w:t>
      </w:r>
      <w:r w:rsidR="003D0C90" w:rsidRPr="00E93A26">
        <w:t>(</w:t>
      </w:r>
      <w:r w:rsidR="008F0977">
        <w:t>61.9</w:t>
      </w:r>
      <w:r w:rsidR="003D0C90" w:rsidRPr="00E93A26">
        <w:t xml:space="preserve">%) </w:t>
      </w:r>
      <w:r w:rsidR="001C50FC">
        <w:t>were recorded as receiving</w:t>
      </w:r>
      <w:r w:rsidR="003D0C90" w:rsidRPr="00E93A26">
        <w:t xml:space="preserve"> three or more </w:t>
      </w:r>
      <w:r w:rsidR="008F0977">
        <w:t xml:space="preserve">postoperative </w:t>
      </w:r>
      <w:r w:rsidR="003D0C90" w:rsidRPr="00E93A26">
        <w:t xml:space="preserve">cycles of chemotherapy, </w:t>
      </w:r>
      <w:r w:rsidR="006D5F09">
        <w:t>384</w:t>
      </w:r>
      <w:r w:rsidR="003D0C90" w:rsidRPr="00E93A26">
        <w:t xml:space="preserve"> (25.</w:t>
      </w:r>
      <w:r w:rsidR="006D5F09">
        <w:t>0</w:t>
      </w:r>
      <w:r w:rsidR="003D0C90" w:rsidRPr="00E93A26">
        <w:t xml:space="preserve">%) two </w:t>
      </w:r>
      <w:r w:rsidR="009C3727">
        <w:t xml:space="preserve">cycles </w:t>
      </w:r>
      <w:r w:rsidR="003D0C90" w:rsidRPr="00E93A26">
        <w:t xml:space="preserve">and </w:t>
      </w:r>
      <w:r w:rsidR="006D5F09">
        <w:t>256</w:t>
      </w:r>
      <w:r w:rsidR="003D0C90" w:rsidRPr="00E93A26">
        <w:t xml:space="preserve"> (16.</w:t>
      </w:r>
      <w:r w:rsidR="006D5F09">
        <w:t>6</w:t>
      </w:r>
      <w:r w:rsidR="003D0C90" w:rsidRPr="00E93A26">
        <w:t>%) one</w:t>
      </w:r>
      <w:r w:rsidR="009C3727">
        <w:t xml:space="preserve"> cycle</w:t>
      </w:r>
      <w:r w:rsidR="003D0C90" w:rsidRPr="00E93A26">
        <w:t xml:space="preserve">. </w:t>
      </w:r>
      <w:r w:rsidR="000C2F49" w:rsidRPr="00E93A26">
        <w:t xml:space="preserve">Fewer patients who underwent FLOT received postoperative treatment than those who underwent </w:t>
      </w:r>
      <w:r w:rsidR="008A7149">
        <w:t>platinum</w:t>
      </w:r>
      <w:r w:rsidR="00611BCD">
        <w:t xml:space="preserve">-based </w:t>
      </w:r>
      <w:r w:rsidR="000C2F49" w:rsidRPr="00E93A26">
        <w:t>triplet chemotherapy (1</w:t>
      </w:r>
      <w:r w:rsidR="00D500AE">
        <w:t>2.6</w:t>
      </w:r>
      <w:r w:rsidR="000C2F49" w:rsidRPr="00E93A26">
        <w:t>% vs 3</w:t>
      </w:r>
      <w:r w:rsidR="00D500AE">
        <w:t>9</w:t>
      </w:r>
      <w:r w:rsidR="000C2F49" w:rsidRPr="00E93A26">
        <w:t>.</w:t>
      </w:r>
      <w:r w:rsidR="00D500AE">
        <w:t>4</w:t>
      </w:r>
      <w:r w:rsidR="000C2F49" w:rsidRPr="00E93A26">
        <w:t>%, p&lt;0.001)</w:t>
      </w:r>
      <w:r w:rsidR="00190590">
        <w:t>, although the number of FLOT patients was small</w:t>
      </w:r>
      <w:r w:rsidR="004B1C2A">
        <w:t xml:space="preserve"> (137, 3.2%)</w:t>
      </w:r>
      <w:r w:rsidR="000C2F49" w:rsidRPr="00E93A26">
        <w:t>.</w:t>
      </w:r>
    </w:p>
    <w:p w14:paraId="2CE6843C" w14:textId="337E7F9F" w:rsidR="005422B4" w:rsidRDefault="00851506" w:rsidP="007E3DBA">
      <w:pPr>
        <w:spacing w:before="100" w:beforeAutospacing="1" w:after="100" w:afterAutospacing="1" w:line="480" w:lineRule="auto"/>
      </w:pPr>
      <w:r w:rsidRPr="00E93A26">
        <w:t>There were substantial differences in characteristics between patient</w:t>
      </w:r>
      <w:r w:rsidR="000C2F49" w:rsidRPr="00E93A26">
        <w:t>s</w:t>
      </w:r>
      <w:r w:rsidRPr="00E93A26">
        <w:t xml:space="preserve"> who received </w:t>
      </w:r>
      <w:r w:rsidR="00A04E94">
        <w:t>postoperative</w:t>
      </w:r>
      <w:r w:rsidRPr="00E93A26">
        <w:t xml:space="preserve"> therapy and those who were </w:t>
      </w:r>
      <w:r w:rsidRPr="00884C6C">
        <w:t xml:space="preserve">observed (Table </w:t>
      </w:r>
      <w:r w:rsidR="00B00AA6" w:rsidRPr="00884C6C">
        <w:t>2</w:t>
      </w:r>
      <w:r w:rsidRPr="00061298">
        <w:t xml:space="preserve">).  Patients </w:t>
      </w:r>
      <w:r w:rsidR="00BB08CF" w:rsidRPr="00061298">
        <w:t xml:space="preserve">who </w:t>
      </w:r>
      <w:r w:rsidRPr="00061298">
        <w:t>under</w:t>
      </w:r>
      <w:r w:rsidR="00BB08CF" w:rsidRPr="00061298">
        <w:t>went</w:t>
      </w:r>
      <w:r w:rsidRPr="00061298">
        <w:t xml:space="preserve"> </w:t>
      </w:r>
      <w:r w:rsidR="00704091" w:rsidRPr="00061298">
        <w:t>postoperative</w:t>
      </w:r>
      <w:r w:rsidRPr="00061298">
        <w:t xml:space="preserve"> treatment were younger</w:t>
      </w:r>
      <w:r w:rsidR="009215A8" w:rsidRPr="00061298">
        <w:t>,</w:t>
      </w:r>
      <w:r w:rsidRPr="00061298">
        <w:t xml:space="preserve"> with a more favourable WHO Performance Status and ASA grade. They also suffered fewer </w:t>
      </w:r>
      <w:r w:rsidR="009215A8" w:rsidRPr="00061298">
        <w:t xml:space="preserve">surgical </w:t>
      </w:r>
      <w:r w:rsidRPr="00061298">
        <w:t>complications</w:t>
      </w:r>
      <w:r w:rsidR="000E313D" w:rsidRPr="00061298">
        <w:t xml:space="preserve"> </w:t>
      </w:r>
      <w:r w:rsidRPr="00061298">
        <w:t xml:space="preserve">and had a shorter length of stay. </w:t>
      </w:r>
      <w:r w:rsidR="00BB08CF" w:rsidRPr="00061298">
        <w:t>T</w:t>
      </w:r>
      <w:r w:rsidRPr="00061298">
        <w:t xml:space="preserve">he differences in postoperative </w:t>
      </w:r>
      <w:r w:rsidRPr="00061298">
        <w:lastRenderedPageBreak/>
        <w:t xml:space="preserve">pathology were less marked, suggesting </w:t>
      </w:r>
      <w:r w:rsidR="00831B5C" w:rsidRPr="00061298">
        <w:t>that tumour biology</w:t>
      </w:r>
      <w:r w:rsidRPr="00061298">
        <w:t xml:space="preserve"> was less influential in treatment allocation than patient fitness.</w:t>
      </w:r>
      <w:r w:rsidRPr="00E93A26">
        <w:t xml:space="preserve"> </w:t>
      </w:r>
    </w:p>
    <w:p w14:paraId="068B5E6D" w14:textId="731D834A" w:rsidR="00851506" w:rsidRPr="00E93A26" w:rsidRDefault="00851506" w:rsidP="007E3DBA">
      <w:pPr>
        <w:spacing w:before="100" w:beforeAutospacing="1" w:after="100" w:afterAutospacing="1" w:line="480" w:lineRule="auto"/>
      </w:pPr>
      <w:r w:rsidRPr="00E93A26">
        <w:t xml:space="preserve">Of the </w:t>
      </w:r>
      <w:r w:rsidR="00285283" w:rsidRPr="00E93A26">
        <w:t>twenty</w:t>
      </w:r>
      <w:r w:rsidR="00EE45E0" w:rsidRPr="00E93A26">
        <w:t>-</w:t>
      </w:r>
      <w:r w:rsidR="00285283" w:rsidRPr="00E93A26">
        <w:t>f</w:t>
      </w:r>
      <w:r w:rsidR="006B79CD">
        <w:t>ive</w:t>
      </w:r>
      <w:r w:rsidRPr="00E93A26">
        <w:t xml:space="preserve"> variables used </w:t>
      </w:r>
      <w:r w:rsidR="009215A8">
        <w:t>to produce the propensity score</w:t>
      </w:r>
      <w:r w:rsidRPr="00E93A26">
        <w:t xml:space="preserve">, </w:t>
      </w:r>
      <w:r w:rsidR="004234CE">
        <w:t>thirteen</w:t>
      </w:r>
      <w:r w:rsidRPr="00E93A26">
        <w:t xml:space="preserve"> exhibited substantial imbalance (SMD &gt;0.1) pre-weighting.</w:t>
      </w:r>
      <w:r w:rsidR="005D4634">
        <w:t xml:space="preserve"> </w:t>
      </w:r>
      <w:r w:rsidR="00CA7DE2">
        <w:t xml:space="preserve">Considerable overlap in propensity score distribution </w:t>
      </w:r>
      <w:r w:rsidR="003F0E54">
        <w:t xml:space="preserve">between groups is seen (supplementary figure 1). </w:t>
      </w:r>
      <w:r w:rsidRPr="00E93A26">
        <w:t xml:space="preserve">Following IPTW, the intra-group differences were substantially reduced, with the mean SMD </w:t>
      </w:r>
      <w:r w:rsidR="009215A8">
        <w:t xml:space="preserve">across the variables </w:t>
      </w:r>
      <w:r w:rsidRPr="00E93A26">
        <w:t>reduc</w:t>
      </w:r>
      <w:r w:rsidR="00BB08CF" w:rsidRPr="00E93A26">
        <w:t>ed</w:t>
      </w:r>
      <w:r w:rsidRPr="00E93A26">
        <w:t xml:space="preserve"> from 0.1</w:t>
      </w:r>
      <w:r w:rsidR="00B6761F">
        <w:t>45</w:t>
      </w:r>
      <w:r w:rsidRPr="00E93A26">
        <w:t xml:space="preserve"> to 0.0</w:t>
      </w:r>
      <w:r w:rsidR="00364296" w:rsidRPr="00E93A26">
        <w:t>2</w:t>
      </w:r>
      <w:r w:rsidR="00285283" w:rsidRPr="00E93A26">
        <w:t>4</w:t>
      </w:r>
      <w:r w:rsidR="006B66B6" w:rsidRPr="00E93A26">
        <w:t>.</w:t>
      </w:r>
      <w:r w:rsidRPr="00E93A26">
        <w:t xml:space="preserve"> </w:t>
      </w:r>
      <w:r w:rsidR="006B66B6" w:rsidRPr="00E93A26">
        <w:t>A</w:t>
      </w:r>
      <w:r w:rsidRPr="00E93A26">
        <w:t xml:space="preserve">n SMD of </w:t>
      </w:r>
      <w:r w:rsidR="00561DB6" w:rsidRPr="00E93A26">
        <w:t>&lt;0</w:t>
      </w:r>
      <w:r w:rsidR="00237125" w:rsidRPr="00E93A26">
        <w:t>.1</w:t>
      </w:r>
      <w:r w:rsidR="00561DB6" w:rsidRPr="00E93A26">
        <w:t xml:space="preserve"> </w:t>
      </w:r>
      <w:r w:rsidR="006B66B6" w:rsidRPr="00E93A26">
        <w:t>was achieved</w:t>
      </w:r>
      <w:r w:rsidRPr="00E93A26">
        <w:t xml:space="preserve"> for all variables</w:t>
      </w:r>
      <w:r w:rsidR="008C7CBA" w:rsidRPr="00E93A26">
        <w:t xml:space="preserve"> (Figure 2)</w:t>
      </w:r>
      <w:r w:rsidRPr="00E93A26">
        <w:t>, indicating similar distribution of measured characteristics between the two groups</w:t>
      </w:r>
      <w:r w:rsidR="00275B59" w:rsidRPr="00E93A26">
        <w:fldChar w:fldCharType="begin" w:fldLock="1"/>
      </w:r>
      <w:r w:rsidR="00D120BE">
        <w:instrText>ADDIN CSL_CITATION {"citationItems":[{"id":"ITEM-1","itemData":{"DOI":"10.1002/sim","abstract":"There is no consensus on the approach to compute the power and sample size with logistic regression. Some authors use the likelihood ratio test; some use the test on proportions; some suggest various approximations to handle the multivariate case. We advocate the use of the Wald test since the Z-score is routinely used for statistical significance testing of regression coefficients. The null-variance formula became popular from early studies, which contradicts modern software, which utilizes the method of maximum likelihood estimation (MLE), when the variance of the MLE is estimated at the MLE, not at the null. We derive general Wald-based power and sample size formulas for logistic regression and then apply them to binary exposure and confounder to obtain a closed-form expression. These formulas are applied to minimize the total sample size in a case-control study to achieve a given power by optimizing the ratio of controls to cases. Approximately, the optimal number of controls to cases is equal to the square root of the alternative odds ratio. Our sample size and power calculations can be carried out online at www.dartmouth.edu/ similar to eugened. Copyright (c) 2006 John Wiley &amp; Sons, Ltd.","author":[{"dropping-particle":"","family":"Austin","given":"Peter C.","non-dropping-particle":"","parse-names":false,"suffix":""}],"container-title":"Statistics in Medicine","id":"ITEM-1","issued":{"date-parts":[["2009"]]},"page":"3083-3107","title":"Balance diagnostics for comparing the distribution of baseline covariates between treatment groups in propensity-score matched samples","type":"article-journal","volume":"28"},"uris":["http://www.mendeley.com/documents/?uuid=74f7fd0f-8422-4bb3-bd1f-d386d8b38bf3"]}],"mendeley":{"formattedCitation":"(32)","plainTextFormattedCitation":"(32)","previouslyFormattedCitation":"(34)"},"properties":{"noteIndex":0},"schema":"https://github.com/citation-style-language/schema/raw/master/csl-citation.json"}</w:instrText>
      </w:r>
      <w:r w:rsidR="00275B59" w:rsidRPr="00E93A26">
        <w:fldChar w:fldCharType="separate"/>
      </w:r>
      <w:r w:rsidR="00D120BE" w:rsidRPr="00D120BE">
        <w:rPr>
          <w:noProof/>
        </w:rPr>
        <w:t>(32)</w:t>
      </w:r>
      <w:r w:rsidR="00275B59" w:rsidRPr="00E93A26">
        <w:fldChar w:fldCharType="end"/>
      </w:r>
      <w:r w:rsidRPr="00E93A26">
        <w:t>.</w:t>
      </w:r>
      <w:r w:rsidR="000E21D1">
        <w:t xml:space="preserve"> </w:t>
      </w:r>
    </w:p>
    <w:p w14:paraId="62D0EB90" w14:textId="66262B31" w:rsidR="006B66B6" w:rsidRPr="00FF62A5" w:rsidRDefault="006B66B6" w:rsidP="007E3DBA">
      <w:pPr>
        <w:spacing w:before="100" w:beforeAutospacing="1" w:after="100" w:afterAutospacing="1" w:line="480" w:lineRule="auto"/>
        <w:rPr>
          <w:b/>
          <w:bCs/>
        </w:rPr>
      </w:pPr>
      <w:r w:rsidRPr="00E93A26">
        <w:rPr>
          <w:b/>
          <w:bCs/>
        </w:rPr>
        <w:t>Outcomes</w:t>
      </w:r>
    </w:p>
    <w:p w14:paraId="4DE5E099" w14:textId="206F6E8E" w:rsidR="0025358B" w:rsidRDefault="008B06A1" w:rsidP="007E3DBA">
      <w:pPr>
        <w:spacing w:before="100" w:beforeAutospacing="1" w:after="100" w:afterAutospacing="1" w:line="480" w:lineRule="auto"/>
      </w:pPr>
      <w:r>
        <w:t>Prior to weighting, a substantial survival benefit of postoperative</w:t>
      </w:r>
      <w:r w:rsidR="008E5C56">
        <w:t xml:space="preserve"> chemotherapy</w:t>
      </w:r>
      <w:r>
        <w:t xml:space="preserve"> </w:t>
      </w:r>
      <w:r w:rsidR="0031398A">
        <w:t>was</w:t>
      </w:r>
      <w:r>
        <w:t xml:space="preserve"> seen</w:t>
      </w:r>
      <w:r w:rsidR="00A54549">
        <w:t>,</w:t>
      </w:r>
      <w:r>
        <w:t xml:space="preserve"> with</w:t>
      </w:r>
      <w:r w:rsidR="00A54549">
        <w:t xml:space="preserve"> </w:t>
      </w:r>
      <w:r w:rsidR="00BE47B1">
        <w:t xml:space="preserve">a hazard ratio (HR) of </w:t>
      </w:r>
      <w:r w:rsidR="00DE4C44">
        <w:t>0.78 (95%CI 0.</w:t>
      </w:r>
      <w:r w:rsidR="00105B48">
        <w:t>70</w:t>
      </w:r>
      <w:r w:rsidR="00DE4C44">
        <w:t>-0.8</w:t>
      </w:r>
      <w:r w:rsidR="00105B48">
        <w:t>6</w:t>
      </w:r>
      <w:r w:rsidR="00DE4C44">
        <w:t>, p&lt;0.001)</w:t>
      </w:r>
      <w:r w:rsidR="005C204C">
        <w:t xml:space="preserve"> and </w:t>
      </w:r>
      <w:r w:rsidR="008741A6">
        <w:t xml:space="preserve">an </w:t>
      </w:r>
      <w:r w:rsidR="005C204C">
        <w:t>increase of median survival from</w:t>
      </w:r>
      <w:r w:rsidR="00143588">
        <w:t xml:space="preserve"> </w:t>
      </w:r>
      <w:r w:rsidR="009A2AF5">
        <w:t>4</w:t>
      </w:r>
      <w:r w:rsidR="0090439C">
        <w:t>9</w:t>
      </w:r>
      <w:r w:rsidR="009A2AF5">
        <w:t>.</w:t>
      </w:r>
      <w:r w:rsidR="0090439C">
        <w:t>4</w:t>
      </w:r>
      <w:r w:rsidR="009A2AF5">
        <w:t xml:space="preserve"> months to </w:t>
      </w:r>
      <w:r w:rsidR="0090439C">
        <w:t>67.2</w:t>
      </w:r>
      <w:r w:rsidR="009A2AF5">
        <w:t xml:space="preserve"> months (p</w:t>
      </w:r>
      <w:r w:rsidR="003A6986">
        <w:t>&lt;</w:t>
      </w:r>
      <w:r w:rsidR="009A2AF5">
        <w:t>0.00</w:t>
      </w:r>
      <w:r w:rsidR="003A6986">
        <w:t>1</w:t>
      </w:r>
      <w:r w:rsidR="009A2AF5">
        <w:t xml:space="preserve">). </w:t>
      </w:r>
    </w:p>
    <w:p w14:paraId="03E9E9EE" w14:textId="20ED5738" w:rsidR="006B66B6" w:rsidRPr="00E93A26" w:rsidRDefault="007259EA" w:rsidP="007E3DBA">
      <w:pPr>
        <w:spacing w:before="100" w:beforeAutospacing="1" w:after="100" w:afterAutospacing="1" w:line="480" w:lineRule="auto"/>
      </w:pPr>
      <w:r>
        <w:t xml:space="preserve">After </w:t>
      </w:r>
      <w:r w:rsidR="006B66B6" w:rsidRPr="00E93A26">
        <w:t>IPT weighting</w:t>
      </w:r>
      <w:r>
        <w:t xml:space="preserve">, </w:t>
      </w:r>
      <w:r w:rsidR="00704091">
        <w:t>postoperative</w:t>
      </w:r>
      <w:r w:rsidR="006B66B6" w:rsidRPr="00E93A26">
        <w:t xml:space="preserve"> </w:t>
      </w:r>
      <w:r w:rsidR="008741A6">
        <w:t xml:space="preserve">chemotherapy </w:t>
      </w:r>
      <w:r w:rsidR="006B66B6" w:rsidRPr="00E93A26">
        <w:t xml:space="preserve">treatment </w:t>
      </w:r>
      <w:r w:rsidR="0025358B">
        <w:t xml:space="preserve">remained </w:t>
      </w:r>
      <w:r w:rsidR="00BB08CF" w:rsidRPr="00E93A26">
        <w:t xml:space="preserve">associated with </w:t>
      </w:r>
      <w:r w:rsidR="006B66B6" w:rsidRPr="00E93A26">
        <w:t xml:space="preserve">a significantly longer median </w:t>
      </w:r>
      <w:r w:rsidR="00BB08CF" w:rsidRPr="00E93A26">
        <w:t xml:space="preserve">overall </w:t>
      </w:r>
      <w:r w:rsidR="006B66B6" w:rsidRPr="00E93A26">
        <w:t xml:space="preserve">survival compared to </w:t>
      </w:r>
      <w:r w:rsidR="0040763A">
        <w:t>observation</w:t>
      </w:r>
      <w:r w:rsidR="006B66B6" w:rsidRPr="00E93A26">
        <w:t xml:space="preserve"> (</w:t>
      </w:r>
      <w:r w:rsidR="00EB5467">
        <w:t xml:space="preserve">62.7 </w:t>
      </w:r>
      <w:r w:rsidR="006B66B6" w:rsidRPr="00E93A26">
        <w:t>vs</w:t>
      </w:r>
      <w:r w:rsidR="00240E70">
        <w:t xml:space="preserve"> </w:t>
      </w:r>
      <w:r w:rsidR="00EB5467">
        <w:t>50.4</w:t>
      </w:r>
      <w:r w:rsidR="006B66B6" w:rsidRPr="00E93A26">
        <w:t xml:space="preserve"> months p</w:t>
      </w:r>
      <w:r w:rsidR="00681C61">
        <w:t>=</w:t>
      </w:r>
      <w:r w:rsidR="006B66B6" w:rsidRPr="00E93A26">
        <w:t>0.0</w:t>
      </w:r>
      <w:r w:rsidR="003A6986">
        <w:t>04</w:t>
      </w:r>
      <w:r w:rsidR="006B66B6" w:rsidRPr="00E93A26">
        <w:t xml:space="preserve">). Three and five-year survival </w:t>
      </w:r>
      <w:r w:rsidR="009215A8">
        <w:t xml:space="preserve">rates </w:t>
      </w:r>
      <w:r w:rsidR="006B66B6" w:rsidRPr="00E93A26">
        <w:t xml:space="preserve">were </w:t>
      </w:r>
      <w:r w:rsidR="00EB5467">
        <w:t>62.7</w:t>
      </w:r>
      <w:r w:rsidR="006B66B6" w:rsidRPr="00E93A26">
        <w:t xml:space="preserve">% and </w:t>
      </w:r>
      <w:r w:rsidR="00EB5467">
        <w:t>5</w:t>
      </w:r>
      <w:r w:rsidR="00957EDA">
        <w:t>0.4</w:t>
      </w:r>
      <w:r w:rsidR="006B66B6" w:rsidRPr="00E93A26">
        <w:t xml:space="preserve">% respectively in the </w:t>
      </w:r>
      <w:r w:rsidR="007C301B">
        <w:t>treatment</w:t>
      </w:r>
      <w:r w:rsidR="006B66B6" w:rsidRPr="00E93A26">
        <w:t xml:space="preserve"> group, compared to 5</w:t>
      </w:r>
      <w:r w:rsidR="00597C88">
        <w:t>8</w:t>
      </w:r>
      <w:r w:rsidR="006B66B6" w:rsidRPr="00E93A26">
        <w:t>.</w:t>
      </w:r>
      <w:r w:rsidR="00597C88">
        <w:t>8</w:t>
      </w:r>
      <w:r w:rsidR="006B66B6" w:rsidRPr="00E93A26">
        <w:t>% and 4</w:t>
      </w:r>
      <w:r w:rsidR="00597C88">
        <w:t>7</w:t>
      </w:r>
      <w:r w:rsidR="006B66B6" w:rsidRPr="00E93A26">
        <w:t>.</w:t>
      </w:r>
      <w:r w:rsidR="00597C88">
        <w:t>5</w:t>
      </w:r>
      <w:r w:rsidR="006B66B6" w:rsidRPr="00E93A26">
        <w:t>%</w:t>
      </w:r>
      <w:r w:rsidR="00A05F94">
        <w:t xml:space="preserve"> in the observation only group</w:t>
      </w:r>
      <w:r w:rsidR="006B66B6" w:rsidRPr="00E93A26">
        <w:t xml:space="preserve">, corresponding to an absolute increase in survival of </w:t>
      </w:r>
      <w:r w:rsidR="00597C88">
        <w:t>2.9</w:t>
      </w:r>
      <w:r w:rsidR="006B66B6" w:rsidRPr="00E93A26">
        <w:t xml:space="preserve">% at five years (Figure </w:t>
      </w:r>
      <w:r w:rsidR="008C7CBA" w:rsidRPr="00E93A26">
        <w:t>3</w:t>
      </w:r>
      <w:r w:rsidR="006B66B6" w:rsidRPr="00E93A26">
        <w:t>)</w:t>
      </w:r>
      <w:r w:rsidR="0068049D">
        <w:t xml:space="preserve"> and </w:t>
      </w:r>
      <w:r w:rsidR="009215A8">
        <w:t xml:space="preserve">an </w:t>
      </w:r>
      <w:r w:rsidR="0068049D">
        <w:t xml:space="preserve">increase in </w:t>
      </w:r>
      <w:r w:rsidR="009215A8">
        <w:t xml:space="preserve">the </w:t>
      </w:r>
      <w:r w:rsidR="0068049D">
        <w:t>RMST</w:t>
      </w:r>
      <w:r w:rsidR="00D91FA5" w:rsidRPr="00E93A26">
        <w:t xml:space="preserve"> of 1.</w:t>
      </w:r>
      <w:r w:rsidR="001E5B37">
        <w:t>5</w:t>
      </w:r>
      <w:r w:rsidR="00096625" w:rsidRPr="00E93A26">
        <w:t xml:space="preserve"> </w:t>
      </w:r>
      <w:r w:rsidR="00D91FA5" w:rsidRPr="00E93A26">
        <w:t xml:space="preserve">months (95%CI </w:t>
      </w:r>
      <w:r w:rsidR="001E5B37">
        <w:t>0.8</w:t>
      </w:r>
      <w:r w:rsidR="00D91FA5" w:rsidRPr="00E93A26">
        <w:t>–</w:t>
      </w:r>
      <w:r w:rsidR="001E5B37">
        <w:t>2.1</w:t>
      </w:r>
      <w:r w:rsidR="00D91FA5" w:rsidRPr="00E93A26">
        <w:t xml:space="preserve"> months, p&lt;0.001) and 2.</w:t>
      </w:r>
      <w:r w:rsidR="001E5B37">
        <w:t>2</w:t>
      </w:r>
      <w:r w:rsidR="00D91FA5" w:rsidRPr="00E93A26">
        <w:t xml:space="preserve"> months (95%CI </w:t>
      </w:r>
      <w:r w:rsidR="001E5B37">
        <w:t>0.8</w:t>
      </w:r>
      <w:r w:rsidR="00D91FA5" w:rsidRPr="00E93A26">
        <w:t>-</w:t>
      </w:r>
      <w:r w:rsidR="001E5B37">
        <w:t>3.5</w:t>
      </w:r>
      <w:r w:rsidR="00D91FA5" w:rsidRPr="00E93A26">
        <w:t xml:space="preserve"> months, p</w:t>
      </w:r>
      <w:r w:rsidR="00096625" w:rsidRPr="00E93A26">
        <w:t>=</w:t>
      </w:r>
      <w:r w:rsidR="00D91FA5" w:rsidRPr="00E93A26">
        <w:t>0.00</w:t>
      </w:r>
      <w:r w:rsidR="00096625" w:rsidRPr="00E93A26">
        <w:t>2</w:t>
      </w:r>
      <w:r w:rsidR="00D91FA5" w:rsidRPr="00E93A26">
        <w:t xml:space="preserve">) at three- and five-years respectively. </w:t>
      </w:r>
      <w:r w:rsidR="006B66B6" w:rsidRPr="00E93A26">
        <w:t xml:space="preserve">Weighted </w:t>
      </w:r>
      <w:r w:rsidR="00BB08CF" w:rsidRPr="00E93A26">
        <w:t>C</w:t>
      </w:r>
      <w:r w:rsidR="006B66B6" w:rsidRPr="00E93A26">
        <w:t xml:space="preserve">ox analysis yielded a </w:t>
      </w:r>
      <w:r w:rsidR="00E741E6" w:rsidRPr="00E93A26">
        <w:t xml:space="preserve">HR </w:t>
      </w:r>
      <w:r w:rsidR="006B66B6" w:rsidRPr="00E93A26">
        <w:t xml:space="preserve">for </w:t>
      </w:r>
      <w:r w:rsidR="007C301B">
        <w:t>postoperative</w:t>
      </w:r>
      <w:r w:rsidR="006B66B6" w:rsidRPr="00E93A26">
        <w:t xml:space="preserve"> treatment of 0.</w:t>
      </w:r>
      <w:r w:rsidR="00285283" w:rsidRPr="00E93A26">
        <w:t>8</w:t>
      </w:r>
      <w:r w:rsidR="00AD4D44">
        <w:t>4</w:t>
      </w:r>
      <w:r w:rsidR="006B66B6" w:rsidRPr="00E93A26">
        <w:t xml:space="preserve"> (95% CI 0.</w:t>
      </w:r>
      <w:r w:rsidR="006C7ED4" w:rsidRPr="00E93A26">
        <w:t>7</w:t>
      </w:r>
      <w:r w:rsidR="00F069E9">
        <w:t>7</w:t>
      </w:r>
      <w:r w:rsidR="006B66B6" w:rsidRPr="00E93A26">
        <w:t xml:space="preserve"> – 0.</w:t>
      </w:r>
      <w:r w:rsidR="006C7ED4" w:rsidRPr="00E93A26">
        <w:t>9</w:t>
      </w:r>
      <w:r w:rsidR="00F069E9">
        <w:t>4</w:t>
      </w:r>
      <w:r w:rsidR="006B66B6" w:rsidRPr="00E93A26">
        <w:t>, p</w:t>
      </w:r>
      <w:r w:rsidR="00C16630">
        <w:t>=</w:t>
      </w:r>
      <w:r w:rsidR="006B66B6" w:rsidRPr="00E93A26">
        <w:t>0.</w:t>
      </w:r>
      <w:r w:rsidR="006B66B6" w:rsidRPr="00E06334">
        <w:t xml:space="preserve">001). </w:t>
      </w:r>
      <w:r w:rsidR="0022093F" w:rsidRPr="00E06334">
        <w:t>Weighted Shoenfeld residuals are shown in Supplementary Figure 3.</w:t>
      </w:r>
    </w:p>
    <w:p w14:paraId="416F7959" w14:textId="294EC535" w:rsidR="001E5F1F" w:rsidRPr="007E3DBA" w:rsidRDefault="009907CC" w:rsidP="007E3DBA">
      <w:pPr>
        <w:spacing w:before="100" w:beforeAutospacing="1" w:after="100" w:afterAutospacing="1" w:line="480" w:lineRule="auto"/>
      </w:pPr>
      <w:r w:rsidRPr="00E93A26">
        <w:t>When assessing for the risk of unmeasured confounding, an E-value of 1.</w:t>
      </w:r>
      <w:r w:rsidR="000B30C9">
        <w:t>5</w:t>
      </w:r>
      <w:r w:rsidRPr="00E93A26">
        <w:t>1 (95% CI 1.</w:t>
      </w:r>
      <w:r w:rsidR="000B30C9">
        <w:t>26</w:t>
      </w:r>
      <w:r w:rsidRPr="00E93A26">
        <w:t>-1.</w:t>
      </w:r>
      <w:r w:rsidR="00D210B9">
        <w:t>69</w:t>
      </w:r>
      <w:r w:rsidRPr="00E93A26">
        <w:t>) was obtained, meaning that to eliminate the survival benefit described above, residual confounding would have to be expressed 1.</w:t>
      </w:r>
      <w:r w:rsidR="00D210B9">
        <w:t>51</w:t>
      </w:r>
      <w:r w:rsidRPr="00E93A26">
        <w:t xml:space="preserve"> times more frequently in the </w:t>
      </w:r>
      <w:r w:rsidR="00A676A1">
        <w:t xml:space="preserve">patients treated with postoperative </w:t>
      </w:r>
      <w:r w:rsidR="00A676A1">
        <w:lastRenderedPageBreak/>
        <w:t>chemotherapy</w:t>
      </w:r>
      <w:r w:rsidRPr="00E93A26">
        <w:t xml:space="preserve"> than in </w:t>
      </w:r>
      <w:r w:rsidR="00A676A1">
        <w:t>the observed</w:t>
      </w:r>
      <w:r w:rsidRPr="00E93A26">
        <w:t xml:space="preserve"> and exhibit a risk ratio for mortality of 1.</w:t>
      </w:r>
      <w:r w:rsidR="00AD2731">
        <w:t>5</w:t>
      </w:r>
      <w:r w:rsidRPr="00E93A26">
        <w:t>1 (</w:t>
      </w:r>
      <w:r w:rsidRPr="00E93A26">
        <w:rPr>
          <w:rFonts w:asciiTheme="minorHAnsi" w:hAnsiTheme="minorHAnsi" w:cstheme="minorHAnsi"/>
          <w:color w:val="555555"/>
          <w:shd w:val="clear" w:color="auto" w:fill="FFFFFF"/>
          <w:lang w:eastAsia="en-GB"/>
        </w:rPr>
        <w:t>≈</w:t>
      </w:r>
      <w:r w:rsidRPr="00E93A26">
        <w:rPr>
          <w:rFonts w:ascii="Times New Roman" w:hAnsi="Times New Roman"/>
          <w:lang w:eastAsia="en-GB"/>
        </w:rPr>
        <w:t xml:space="preserve"> </w:t>
      </w:r>
      <w:r w:rsidRPr="00E93A26">
        <w:t xml:space="preserve">HR of </w:t>
      </w:r>
      <w:r w:rsidR="0090287D">
        <w:t>1.8</w:t>
      </w:r>
      <w:r w:rsidRPr="00E93A26">
        <w:t xml:space="preserve">). </w:t>
      </w:r>
      <w:r w:rsidR="00494957" w:rsidRPr="00E93A26">
        <w:t xml:space="preserve"> </w:t>
      </w:r>
      <w:r w:rsidR="006B66B6" w:rsidRPr="00E93A26">
        <w:t xml:space="preserve">Varying the landmark analysis time from three to six months (therefore excluding patients who died before this) had minimal influence on the results </w:t>
      </w:r>
      <w:r w:rsidR="006B66B6" w:rsidRPr="00AD2731">
        <w:t xml:space="preserve">(Supplementary Table </w:t>
      </w:r>
      <w:r w:rsidR="00492F15" w:rsidRPr="00AD2731">
        <w:t>2</w:t>
      </w:r>
      <w:r w:rsidR="006B66B6" w:rsidRPr="00AD2731">
        <w:t>, Supplementary Figure 2),</w:t>
      </w:r>
      <w:r w:rsidR="006B66B6" w:rsidRPr="00E93A26">
        <w:t xml:space="preserve"> which were consistent with the primary analysis.</w:t>
      </w:r>
    </w:p>
    <w:p w14:paraId="41944183" w14:textId="76EFAEEB" w:rsidR="006B66B6" w:rsidRPr="00E93A26" w:rsidRDefault="006B66B6" w:rsidP="007E3DBA">
      <w:pPr>
        <w:spacing w:before="100" w:beforeAutospacing="1" w:after="100" w:afterAutospacing="1" w:line="480" w:lineRule="auto"/>
      </w:pPr>
      <w:r w:rsidRPr="00AD2731">
        <w:rPr>
          <w:b/>
          <w:bCs/>
        </w:rPr>
        <w:t>Subgroup analysis</w:t>
      </w:r>
    </w:p>
    <w:p w14:paraId="107A35E5" w14:textId="23B74B5A" w:rsidR="00710A10" w:rsidRDefault="00167A42" w:rsidP="007E3DBA">
      <w:pPr>
        <w:spacing w:before="100" w:beforeAutospacing="1" w:after="100" w:afterAutospacing="1" w:line="480" w:lineRule="auto"/>
      </w:pPr>
      <w:r w:rsidRPr="00E93A26">
        <w:t xml:space="preserve">The </w:t>
      </w:r>
      <w:r w:rsidR="001E5F1F">
        <w:t>three-</w:t>
      </w:r>
      <w:r w:rsidR="006B66B6" w:rsidRPr="00E93A26">
        <w:t>year life expectancy difference</w:t>
      </w:r>
      <w:r w:rsidR="001E5F1F">
        <w:t xml:space="preserve"> and hazard ratio</w:t>
      </w:r>
      <w:r w:rsidR="006B66B6" w:rsidRPr="00E93A26">
        <w:t xml:space="preserve"> for each </w:t>
      </w:r>
      <w:r w:rsidR="005C608B" w:rsidRPr="00E93A26">
        <w:t xml:space="preserve">subgroup </w:t>
      </w:r>
      <w:r w:rsidR="006B66B6" w:rsidRPr="00E93A26">
        <w:t xml:space="preserve">analysis are summarised in Table </w:t>
      </w:r>
      <w:r w:rsidR="00B00AA6" w:rsidRPr="00E93A26">
        <w:t>3</w:t>
      </w:r>
      <w:r w:rsidR="006B66B6" w:rsidRPr="00E93A26">
        <w:t xml:space="preserve">. </w:t>
      </w:r>
      <w:r w:rsidR="009215A8">
        <w:t>T</w:t>
      </w:r>
      <w:r w:rsidR="00691A00" w:rsidRPr="00E93A26">
        <w:t>he</w:t>
      </w:r>
      <w:r w:rsidR="009215A8">
        <w:t xml:space="preserve"> weighting did not produce as balanced treatment and observation groups in the subgroup analyses, </w:t>
      </w:r>
      <w:r w:rsidR="00691A00" w:rsidRPr="00E93A26">
        <w:t xml:space="preserve">with </w:t>
      </w:r>
      <w:r w:rsidR="006B66B6" w:rsidRPr="00E93A26">
        <w:t>SMD</w:t>
      </w:r>
      <w:r w:rsidR="00311101" w:rsidRPr="00E93A26">
        <w:t xml:space="preserve"> </w:t>
      </w:r>
      <w:r w:rsidR="00691A00" w:rsidRPr="00E93A26">
        <w:t>&gt;</w:t>
      </w:r>
      <w:r w:rsidR="006B66B6" w:rsidRPr="00E93A26">
        <w:t>0.1</w:t>
      </w:r>
      <w:r w:rsidR="00691A00" w:rsidRPr="00E93A26">
        <w:t xml:space="preserve"> in</w:t>
      </w:r>
      <w:r w:rsidR="009C6A37" w:rsidRPr="00E93A26">
        <w:t xml:space="preserve"> </w:t>
      </w:r>
      <w:r w:rsidR="005C212F">
        <w:t>length of stay for the N+</w:t>
      </w:r>
      <w:r w:rsidR="00D0086A">
        <w:t xml:space="preserve"> and</w:t>
      </w:r>
      <w:r w:rsidR="005C212F">
        <w:t xml:space="preserve"> </w:t>
      </w:r>
      <w:r w:rsidR="001B4859">
        <w:t xml:space="preserve">Gastric </w:t>
      </w:r>
      <w:r w:rsidR="00D020F7">
        <w:t>groups</w:t>
      </w:r>
      <w:r w:rsidR="005C212F">
        <w:t>,</w:t>
      </w:r>
      <w:r w:rsidR="00D020F7">
        <w:t xml:space="preserve"> and in anastomotic leak for the </w:t>
      </w:r>
      <w:r w:rsidR="001B4859">
        <w:t xml:space="preserve">Gastric and </w:t>
      </w:r>
      <w:r w:rsidR="00D020F7">
        <w:t>G</w:t>
      </w:r>
      <w:r w:rsidR="004C6085">
        <w:t>O</w:t>
      </w:r>
      <w:r w:rsidR="00D020F7">
        <w:t>J group. T</w:t>
      </w:r>
      <w:r w:rsidR="00F32CA0" w:rsidRPr="00E93A26">
        <w:t xml:space="preserve">here were </w:t>
      </w:r>
      <w:r w:rsidR="00D020F7">
        <w:t xml:space="preserve">however </w:t>
      </w:r>
      <w:r w:rsidR="00F32CA0" w:rsidRPr="00E93A26">
        <w:t xml:space="preserve">substantial reductions in the mean SMD </w:t>
      </w:r>
      <w:r w:rsidR="001728E3">
        <w:t>and for all variables in</w:t>
      </w:r>
      <w:r w:rsidR="00F32CA0" w:rsidRPr="00E93A26">
        <w:t xml:space="preserve"> </w:t>
      </w:r>
      <w:r w:rsidR="00723F81" w:rsidRPr="00E93A26">
        <w:t>all subgroups</w:t>
      </w:r>
      <w:r w:rsidR="00691A00" w:rsidRPr="00E93A26">
        <w:t>.</w:t>
      </w:r>
      <w:r w:rsidR="006B66B6" w:rsidRPr="00E93A26">
        <w:t xml:space="preserve"> </w:t>
      </w:r>
      <w:r w:rsidR="008E3A22">
        <w:t xml:space="preserve"> </w:t>
      </w:r>
      <w:r w:rsidR="006E7C5E">
        <w:t xml:space="preserve">When </w:t>
      </w:r>
      <w:r w:rsidR="001A0977">
        <w:t xml:space="preserve">comparing effect by tumour </w:t>
      </w:r>
      <w:r w:rsidR="00E673EF">
        <w:t>site</w:t>
      </w:r>
      <w:r w:rsidR="001A0977">
        <w:t>,</w:t>
      </w:r>
      <w:r w:rsidR="00256BD0">
        <w:t xml:space="preserve"> a survival benefit was most marked in </w:t>
      </w:r>
      <w:r w:rsidR="004C6085">
        <w:t>o</w:t>
      </w:r>
      <w:r w:rsidR="00256BD0">
        <w:t xml:space="preserve">esophageal tumours, </w:t>
      </w:r>
      <w:r w:rsidR="001A0977">
        <w:t>with</w:t>
      </w:r>
      <w:r w:rsidR="00256BD0">
        <w:t xml:space="preserve"> a life expectancy difference (LED) at 3 years of 1.82 months (95%CI 0.89-2.76, p&lt;0.001), </w:t>
      </w:r>
      <w:r w:rsidR="00EE5D66">
        <w:t xml:space="preserve">median survival </w:t>
      </w:r>
      <w:r w:rsidR="00554BF8">
        <w:t xml:space="preserve">63.6 vs 43.2 months (p&lt;0.001) and </w:t>
      </w:r>
      <w:r w:rsidR="001A0977">
        <w:t>a HR of 0.79 (95%CI 0.68-0.90, p=0.001)</w:t>
      </w:r>
      <w:r w:rsidR="007908AE">
        <w:t>.</w:t>
      </w:r>
      <w:r w:rsidR="00256BD0">
        <w:t xml:space="preserve"> For G</w:t>
      </w:r>
      <w:r w:rsidR="004C6085">
        <w:t>O</w:t>
      </w:r>
      <w:r w:rsidR="00256BD0">
        <w:t>J tumours, a 3-year LED of 1.59 months was seen (95% CI 0.42-2.96 months p=0.009), however the HR was not statistically significant (HR 0.86, 95%CI 0.70-1.06, p=0.156) and violated the proportional hazards assumption (and is therefore less appropriate for group comparisons</w:t>
      </w:r>
      <w:r w:rsidR="00AE1A8B">
        <w:t>)</w:t>
      </w:r>
      <w:r w:rsidR="00256BD0">
        <w:t>. For tumours of the stomach no benefit in 3-year LED (0.72 months, 95%CI -0.51-1.95, p=0.251) or HR (</w:t>
      </w:r>
      <w:r w:rsidR="00710A10">
        <w:t>0.95, 95%CI 0.75-1.20, p=0.686) to postoperative chemotherapy was seen.</w:t>
      </w:r>
    </w:p>
    <w:p w14:paraId="7CBF9482" w14:textId="66EC2707" w:rsidR="002F71BB" w:rsidRDefault="002F71BB" w:rsidP="007E3DBA">
      <w:pPr>
        <w:spacing w:before="100" w:beforeAutospacing="1" w:after="100" w:afterAutospacing="1" w:line="480" w:lineRule="auto"/>
      </w:pPr>
      <w:r>
        <w:t>Patients with tumours of the stomach were more frequently given postoperative chemotherapy (</w:t>
      </w:r>
      <w:r w:rsidR="002F4239">
        <w:t>42.9% of patients compared to 36.2% GEJ and 37.8% esophagus, p&lt;0.001),</w:t>
      </w:r>
      <w:r>
        <w:t xml:space="preserve"> </w:t>
      </w:r>
      <w:r w:rsidR="00A366DE">
        <w:t>possibly reflecting the lower complication burden suffered by these patients (all complications 22.5% stomach, 33.9% G</w:t>
      </w:r>
      <w:r w:rsidR="004C6085">
        <w:t>O</w:t>
      </w:r>
      <w:r w:rsidR="00A366DE">
        <w:t xml:space="preserve">J and 36.2% </w:t>
      </w:r>
      <w:r w:rsidR="004C6085">
        <w:t>o</w:t>
      </w:r>
      <w:r w:rsidR="002F4239">
        <w:t>esophagus, p&lt;0.001</w:t>
      </w:r>
      <w:r w:rsidR="00526551">
        <w:t>, Supplementary Table 3</w:t>
      </w:r>
      <w:r w:rsidR="002F4239">
        <w:t>)</w:t>
      </w:r>
      <w:r w:rsidR="000230DB">
        <w:t>.</w:t>
      </w:r>
      <w:r w:rsidR="006B29AC">
        <w:t xml:space="preserve"> </w:t>
      </w:r>
      <w:r w:rsidR="00346E2A">
        <w:t>ypN stage was similar for all tumour locations (p=0.111)</w:t>
      </w:r>
      <w:r w:rsidR="00512B55">
        <w:t xml:space="preserve">, however patients with gastric tumours were more likely to have </w:t>
      </w:r>
      <w:r w:rsidR="00256BD0">
        <w:t>higher ypT (</w:t>
      </w:r>
      <w:r w:rsidR="00512B55">
        <w:t>ypT4</w:t>
      </w:r>
      <w:r w:rsidR="00EB6C07">
        <w:t xml:space="preserve"> 22.7%</w:t>
      </w:r>
      <w:r w:rsidR="00256BD0">
        <w:t xml:space="preserve"> for stomach</w:t>
      </w:r>
      <w:r w:rsidR="00EB6C07">
        <w:t>, 11.3% for G</w:t>
      </w:r>
      <w:r w:rsidR="004C6085">
        <w:t>O</w:t>
      </w:r>
      <w:r w:rsidR="00EB6C07">
        <w:t xml:space="preserve">J and 5.2% for </w:t>
      </w:r>
      <w:r w:rsidR="004C6085">
        <w:t>o</w:t>
      </w:r>
      <w:r w:rsidR="00EB6C07">
        <w:t>esophagus, p&lt;0.001</w:t>
      </w:r>
      <w:r w:rsidR="00256BD0">
        <w:t>)</w:t>
      </w:r>
      <w:r w:rsidR="008A2771">
        <w:t>.</w:t>
      </w:r>
    </w:p>
    <w:p w14:paraId="49A2B204" w14:textId="77777777" w:rsidR="002D2A88" w:rsidRDefault="004D247D" w:rsidP="009B06D7">
      <w:pPr>
        <w:spacing w:before="100" w:beforeAutospacing="1" w:after="100" w:afterAutospacing="1" w:line="480" w:lineRule="auto"/>
        <w:rPr>
          <w:sz w:val="40"/>
          <w:szCs w:val="40"/>
        </w:rPr>
      </w:pPr>
      <w:r>
        <w:lastRenderedPageBreak/>
        <w:t xml:space="preserve"> Patients found to have no involved lymph nodes at resection (ypN0) </w:t>
      </w:r>
      <w:r w:rsidR="00AC4E08">
        <w:t>had globally excellent survival outcomes, and a further benefit to postoperative chemotherapy was not seen</w:t>
      </w:r>
      <w:r w:rsidR="00D4139F">
        <w:t xml:space="preserve">, whereas in patients with ypN+, </w:t>
      </w:r>
      <w:r w:rsidR="0055626D">
        <w:t xml:space="preserve">observed </w:t>
      </w:r>
      <w:r w:rsidR="00D4139F">
        <w:t xml:space="preserve">survival was </w:t>
      </w:r>
      <w:r w:rsidR="00FF230E">
        <w:t>superior in those patients who received</w:t>
      </w:r>
      <w:r w:rsidR="00D4139F">
        <w:t xml:space="preserve"> postoperative chemotherapy</w:t>
      </w:r>
      <w:r w:rsidR="00AC4E08">
        <w:t xml:space="preserve"> </w:t>
      </w:r>
      <w:r w:rsidR="00FF230E">
        <w:t>(HR 0.80, 95%CI 0.70-0.92,</w:t>
      </w:r>
      <w:r w:rsidR="003A0572">
        <w:t xml:space="preserve"> </w:t>
      </w:r>
      <w:r w:rsidR="00FF230E">
        <w:t xml:space="preserve">p&lt;0.001, </w:t>
      </w:r>
      <w:r w:rsidR="00AE1A8B">
        <w:t xml:space="preserve">3-year </w:t>
      </w:r>
      <w:r w:rsidR="00D0086A">
        <w:t>LED 2.1 months, 95%CI 1.2-3.0, p&lt;0.001).</w:t>
      </w:r>
      <w:r w:rsidR="00723478">
        <w:t xml:space="preserve"> </w:t>
      </w:r>
      <w:r w:rsidR="00A53994">
        <w:t xml:space="preserve">When </w:t>
      </w:r>
      <w:r w:rsidR="00A51A40">
        <w:t xml:space="preserve">analysed according to both nodal status and </w:t>
      </w:r>
      <w:r w:rsidR="00C51BCD">
        <w:t>site of tumour</w:t>
      </w:r>
      <w:r w:rsidR="00A51A40">
        <w:t>,</w:t>
      </w:r>
      <w:r w:rsidR="0043247C">
        <w:t xml:space="preserve"> </w:t>
      </w:r>
      <w:r w:rsidR="00A91DD3">
        <w:t>survival was</w:t>
      </w:r>
      <w:r w:rsidR="0043247C">
        <w:t xml:space="preserve"> </w:t>
      </w:r>
      <w:r w:rsidR="00A91DD3">
        <w:t xml:space="preserve">longer in patients </w:t>
      </w:r>
      <w:r w:rsidR="00C51BCD">
        <w:t xml:space="preserve">receiving postoperative chemotherapy </w:t>
      </w:r>
      <w:r w:rsidR="00A91DD3">
        <w:t xml:space="preserve">with ypN+ </w:t>
      </w:r>
      <w:r w:rsidR="00C51BCD">
        <w:t xml:space="preserve">if the tumour was located in the </w:t>
      </w:r>
      <w:r w:rsidR="004C6085">
        <w:t>o</w:t>
      </w:r>
      <w:r w:rsidR="00C51BCD">
        <w:t xml:space="preserve">esophagus (HR </w:t>
      </w:r>
      <w:r w:rsidR="00C4358C">
        <w:t>0.81 95%CI 0.69-0.95, p=0.009)</w:t>
      </w:r>
      <w:r w:rsidR="00C51BCD">
        <w:t xml:space="preserve"> or at the G</w:t>
      </w:r>
      <w:r w:rsidR="004C6085">
        <w:t>O</w:t>
      </w:r>
      <w:r w:rsidR="00C51BCD">
        <w:t>J</w:t>
      </w:r>
      <w:r w:rsidR="00C4358C">
        <w:t xml:space="preserve"> (HR 0.76, 95%CI 0.</w:t>
      </w:r>
      <w:r w:rsidR="00FE54EA">
        <w:t>61-0.95, p=0.016), but not the stomach (HR 0.94 95%CI 0.69-1.27, p=0.686)</w:t>
      </w:r>
      <w:r w:rsidR="00952765">
        <w:t xml:space="preserve"> or for any tumour site with ypN0</w:t>
      </w:r>
      <w:r w:rsidR="004D27B4">
        <w:t xml:space="preserve"> (supplementary table 4)</w:t>
      </w:r>
      <w:r w:rsidR="00952765">
        <w:t>.</w:t>
      </w:r>
      <w:r w:rsidR="009B06D7" w:rsidRPr="00EE1804">
        <w:rPr>
          <w:sz w:val="40"/>
          <w:szCs w:val="40"/>
        </w:rPr>
        <w:t xml:space="preserve"> </w:t>
      </w:r>
    </w:p>
    <w:p w14:paraId="2A0699FD" w14:textId="77777777" w:rsidR="002D2A88" w:rsidRDefault="002D2A88">
      <w:pPr>
        <w:spacing w:before="0" w:line="240" w:lineRule="auto"/>
        <w:rPr>
          <w:sz w:val="40"/>
          <w:szCs w:val="40"/>
        </w:rPr>
      </w:pPr>
      <w:r>
        <w:rPr>
          <w:sz w:val="40"/>
          <w:szCs w:val="40"/>
        </w:rPr>
        <w:br w:type="page"/>
      </w:r>
    </w:p>
    <w:p w14:paraId="1DBE6450" w14:textId="01941C19" w:rsidR="009439C6" w:rsidRPr="00EE1804" w:rsidRDefault="009439C6" w:rsidP="009B06D7">
      <w:pPr>
        <w:spacing w:before="100" w:beforeAutospacing="1" w:after="100" w:afterAutospacing="1" w:line="480" w:lineRule="auto"/>
        <w:rPr>
          <w:sz w:val="40"/>
          <w:szCs w:val="40"/>
        </w:rPr>
      </w:pPr>
      <w:r w:rsidRPr="00EE1804">
        <w:rPr>
          <w:sz w:val="40"/>
          <w:szCs w:val="40"/>
        </w:rPr>
        <w:lastRenderedPageBreak/>
        <w:t>Discussion</w:t>
      </w:r>
    </w:p>
    <w:p w14:paraId="57AFD285" w14:textId="5757A7CB" w:rsidR="0066200A" w:rsidRDefault="002D2A88" w:rsidP="007E3DBA">
      <w:pPr>
        <w:spacing w:before="0" w:after="100" w:afterAutospacing="1" w:line="480" w:lineRule="auto"/>
      </w:pPr>
      <w:r w:rsidRPr="007F2F8D">
        <w:t>Although drawing definitive conclusions from retrospective analyses is challenging,</w:t>
      </w:r>
      <w:r w:rsidRPr="001A2532">
        <w:t xml:space="preserve"> t</w:t>
      </w:r>
      <w:r w:rsidR="00D43651" w:rsidRPr="001A2532">
        <w:t>his study</w:t>
      </w:r>
      <w:r w:rsidR="00D43651" w:rsidRPr="00572B34">
        <w:t xml:space="preserve"> </w:t>
      </w:r>
      <w:r w:rsidR="005D04B7">
        <w:t xml:space="preserve">suggests </w:t>
      </w:r>
      <w:r w:rsidR="008741A6">
        <w:t xml:space="preserve">that </w:t>
      </w:r>
      <w:r w:rsidR="00D43651" w:rsidRPr="00572B34">
        <w:t xml:space="preserve">the postoperative component of perioperative chemotherapy </w:t>
      </w:r>
      <w:r w:rsidR="005D04B7">
        <w:t xml:space="preserve">has a clinically meaningful benefit </w:t>
      </w:r>
      <w:r w:rsidR="00D43651" w:rsidRPr="00572B34">
        <w:t>in patients with surgical</w:t>
      </w:r>
      <w:r w:rsidR="0098139C" w:rsidRPr="00572B34">
        <w:t>ly</w:t>
      </w:r>
      <w:r w:rsidR="00D43651" w:rsidRPr="00572B34">
        <w:t xml:space="preserve"> treated </w:t>
      </w:r>
      <w:r w:rsidR="004C6085">
        <w:t>o</w:t>
      </w:r>
      <w:r w:rsidR="00D43651" w:rsidRPr="00572B34">
        <w:t>esophag</w:t>
      </w:r>
      <w:r w:rsidR="00ED1DCD">
        <w:t xml:space="preserve">ogastric </w:t>
      </w:r>
      <w:r w:rsidR="00D43651" w:rsidRPr="00572B34">
        <w:t xml:space="preserve">adenocarcinoma. </w:t>
      </w:r>
      <w:r w:rsidR="001A2532">
        <w:t>P</w:t>
      </w:r>
      <w:r w:rsidR="002B367B">
        <w:t xml:space="preserve">atients undergoing </w:t>
      </w:r>
      <w:r w:rsidR="00BA120A">
        <w:t>p</w:t>
      </w:r>
      <w:r w:rsidR="005F72AC" w:rsidRPr="00572B34">
        <w:t>ostoperative</w:t>
      </w:r>
      <w:r w:rsidR="00D43651" w:rsidRPr="00572B34">
        <w:t xml:space="preserve"> chemotherapy </w:t>
      </w:r>
      <w:r w:rsidR="00263694">
        <w:t xml:space="preserve">had a </w:t>
      </w:r>
      <w:r w:rsidR="00D43651" w:rsidRPr="00572B34">
        <w:t xml:space="preserve">median </w:t>
      </w:r>
      <w:r w:rsidR="00EE1804" w:rsidRPr="00572B34">
        <w:t xml:space="preserve">survival </w:t>
      </w:r>
      <w:r w:rsidR="00263694">
        <w:t xml:space="preserve">of </w:t>
      </w:r>
      <w:r w:rsidR="00BF67F5">
        <w:t>62.7</w:t>
      </w:r>
      <w:r w:rsidR="00263694">
        <w:t xml:space="preserve"> months in comparison to </w:t>
      </w:r>
      <w:r w:rsidR="00BF67F5">
        <w:t>50.4</w:t>
      </w:r>
      <w:r w:rsidR="00263694">
        <w:t xml:space="preserve"> months for observation alone, </w:t>
      </w:r>
      <w:r w:rsidR="002624C0" w:rsidRPr="00572B34">
        <w:t>a magnitude</w:t>
      </w:r>
      <w:r w:rsidR="00EE1804" w:rsidRPr="00572B34">
        <w:t xml:space="preserve"> of effect</w:t>
      </w:r>
      <w:r w:rsidR="002624C0" w:rsidRPr="00572B34">
        <w:t xml:space="preserve"> comparable to that seen for the benefit of FLOT type perioperative treatment over ECF/ECX</w:t>
      </w:r>
      <w:r w:rsidR="002624C0" w:rsidRPr="00572B34">
        <w:fldChar w:fldCharType="begin" w:fldLock="1"/>
      </w:r>
      <w:r w:rsidR="00D120BE">
        <w:instrText>ADDIN CSL_CITATION {"citationItems":[{"id":"ITEM-1","itemData":{"DOI":"10.1016/S0140-6736(18)32557-1","ISSN":"01406736","abstract":"BACKGROUND Docetaxel-based chemotherapy is effective in metastatic gastric and gastro-oesophageal junction adenocarcinoma. This study reports on the safety and efficacy of the docetaxel-based triplet FLOT (fluorouracil plus leucovorin, oxaliplatin and docetaxel) as a perioperative therapy for patients with locally advanced, resectable tumours. METHODS In this controlled, open-label, phase 2/3 trial, we randomly assigned 716 patients with histologically-confirmed advanced clinical stage cT2 or higher or nodal positive stage (cN+), or both, resectable tumours, with no evidence of distant metastases, via central interactive web-based-response system, to receive either three pre-operative and three postoperative 3-week cycles of 50 mg/m2 epirubicin and 60 mg/m2 cisplatin on day 1 plus either 200 mg/m2 fluorouracil as continuous intravenous infusion or 1250 mg/m2 capecitabine orally on days 1 to 21 (ECF/ECX; control group) or four preoperative and four postoperative 2-week cycles of 50 mg/m2 docetaxel, 85 mg/m2 oxaliplatin, 200 mg/m2 leucovorin and 2600 mg/m2 fluorouracil as 24-h infusion on day 1 (FLOT; experimental group). The primary outcome of the trial was overall survival (superiority) analysed in the intention-to-treat population. This trial is registered with ClinicalTrials.gov, number NCT01216644. FINDINGS Between Aug 8, 2010, and Feb 10, 2015, 716 patients were randomly assigned to treatment in 38 German hospitals or with practice-based oncologists. 360 patients were assigned to ECF/ECX and 356 patients to FLOT. Overall survival was increased in the FLOT group compared with the ECF/ECX group (hazard ratio [HR] 0·77; 95% confidence interval [CI; 0.63 to 0·94]; median overall survival, 50 months [38·33 to not reached] vs 35 months [27·35 to 46·26]). The number of patients with related serious adverse events (including those occurring during hospital stay for surgery) was similar in the two groups (96 [27%] in the ECF/ECX group vs 97 [27%] in the FLOT group), as was the number of toxic deaths (two [&lt;1%] in both groups). Hospitalisation for toxicity occurred in 94 patients (26%) in the ECF/ECX group and 89 patients (25%) in the FLOT group. INTERPRETATION In locally advanced, resectable gastric or gastro-oesophageal junction adenocarcinoma, perioperative FLOT improved overall survival compared with perioperative ECF/ECX. FUNDING The German Cancer Aid (Deutsche Krebshilfe), Sanofi-Aventis, Chugai, and Stiftung Leben mit Krebs Foundation.","author":[{"dropping-particle":"","family":"Al-Batran","given":"Salah-Eddin","non-dropping-particle":"","parse-names":false,"suffix":""},{"dropping-particle":"","family":"Homann","given":"Nils","non-dropping-particle":"","parse-names":false,"suffix":""},{"dropping-particle":"","family":"Pauligk","given":"Claudia","non-dropping-particle":"","parse-names":false,"suffix":""},{"dropping-particle":"","family":"Goetze","given":"Thorsten O","non-dropping-particle":"","parse-names":false,"suffix":""},{"dropping-particle":"","family":"Meiler","given":"Johannes","non-dropping-particle":"","parse-names":false,"suffix":""},{"dropping-particle":"","family":"Kasper","given":"Stefan","non-dropping-particle":"","parse-names":false,"suffix":""},{"dropping-particle":"","family":"Kopp","given":"Hans-Georg","non-dropping-particle":"","parse-names":false,"suffix":""},{"dropping-particle":"","family":"Mayer","given":"Frank","non-dropping-particle":"","parse-names":false,"suffix":""},{"dropping-particle":"","family":"Haag","given":"Georg Martin","non-dropping-particle":"","parse-names":false,"suffix":""},{"dropping-particle":"","family":"Luley","given":"Kim","non-dropping-particle":"","parse-names":false,"suffix":""},{"dropping-particle":"","family":"Lindig","given":"Udo","non-dropping-particle":"","parse-names":false,"suffix":""},{"dropping-particle":"","family":"Schmiegel","given":"Wolff","non-dropping-particle":"","parse-names":false,"suffix":""},{"dropping-particle":"","family":"Pohl","given":"Michael","non-dropping-particle":"","parse-names":false,"suffix":""},{"dropping-particle":"","family":"Stoehlmacher","given":"Jan","non-dropping-particle":"","parse-names":false,"suffix":""},{"dropping-particle":"","family":"Folprecht","given":"Gunnar","non-dropping-particle":"","parse-names":false,"suffix":""},{"dropping-particle":"","family":"Probst","given":"Stephan","non-dropping-particle":"","parse-names":false,"suffix":""},{"dropping-particle":"","family":"Prasnikar","given":"Nicole","non-dropping-particle":"","parse-names":false,"suffix":""},{"dropping-particle":"","family":"Fischbach","given":"Wolfgang","non-dropping-particle":"","parse-names":false,"suffix":""},{"dropping-particle":"","family":"Mahlberg","given":"Rolf","non-dropping-particle":"","parse-names":false,"suffix":""},{"dropping-particle":"","family":"Trojan","given":"Jörg","non-dropping-particle":"","parse-names":false,"suffix":""},{"dropping-particle":"","family":"Koenigsmann","given":"Michael","non-dropping-particle":"","parse-names":false,"suffix":""},{"dropping-particle":"","family":"Martens","given":"Uwe M","non-dropping-particle":"","parse-names":false,"suffix":""},{"dropping-particle":"","family":"Thuss-Patience","given":"Peter","non-dropping-particle":"","parse-names":false,"suffix":""},{"dropping-particle":"","family":"Egger","given":"Matthias","non-dropping-particle":"","parse-names":false,"suffix":""},{"dropping-particle":"","family":"Block","given":"Andreas","non-dropping-particle":"","parse-names":false,"suffix":""},{"dropping-particle":"","family":"Heinemann","given":"Volker","non-dropping-particle":"","parse-names":false,"suffix":""},{"dropping-particle":"","family":"Illerhaus","given":"Gerald","non-dropping-particle":"","parse-names":false,"suffix":""},{"dropping-particle":"","family":"Moehler","given":"Markus","non-dropping-particle":"","parse-names":false,"suffix":""},{"dropping-particle":"","family":"Schenk","given":"Michael","non-dropping-particle":"","parse-names":false,"suffix":""},{"dropping-particle":"","family":"Kullmann","given":"Frank","non-dropping-particle":"","parse-names":false,"suffix":""},{"dropping-particle":"","family":"Behringer","given":"Dirk M","non-dropping-particle":"","parse-names":false,"suffix":""},{"dropping-particle":"","family":"Heike","given":"Michael","non-dropping-particle":"","parse-names":false,"suffix":""},{"dropping-particle":"","family":"Pink","given":"Daniel","non-dropping-particle":"","parse-names":false,"suffix":""},{"dropping-particle":"","family":"Teschendorf","given":"Christian","non-dropping-particle":"","parse-names":false,"suffix":""},{"dropping-particle":"","family":"Löhr","given":"Carmen","non-dropping-particle":"","parse-names":false,"suffix":""},{"dropping-particle":"","family":"Bernhard","given":"Helga","non-dropping-particle":"","parse-names":false,"suffix":""},{"dropping-particle":"","family":"Schuch","given":"Gunter","non-dropping-particle":"","parse-names":false,"suffix":""},{"dropping-particle":"","family":"Rethwisch","given":"Volker","non-dropping-particle":"","parse-names":false,"suffix":""},{"dropping-particle":"","family":"Weikersthal","given":"Ludwig Fischer","non-dropping-particle":"von","parse-names":false,"suffix":""},{"dropping-particle":"","family":"Hartmann","given":"Jörg T","non-dropping-particle":"","parse-names":false,"suffix":""},{"dropping-particle":"","family":"Kneba","given":"Michael","non-dropping-particle":"","parse-names":false,"suffix":""},{"dropping-particle":"","family":"Daum","given":"Severin","non-dropping-particle":"","parse-names":false,"suffix":""},{"dropping-particle":"","family":"Schulmann","given":"Karsten","non-dropping-particle":"","parse-names":false,"suffix":""},{"dropping-particle":"","family":"Weniger","given":"Jörg","non-dropping-particle":"","parse-names":false,"suffix":""},{"dropping-particle":"","family":"Belle","given":"Sebastian","non-dropping-particle":"","parse-names":false,"suffix":""},{"dropping-particle":"","family":"Gaiser","given":"Timo","non-dropping-particle":"","parse-names":false,"suffix":""},{"dropping-particle":"","family":"Oduncu","given":"Fuat S","non-dropping-particle":"","parse-names":false,"suffix":""},{"dropping-particle":"","family":"Güntner","given":"Martina","non-dropping-particle":"","parse-names":false,"suffix":""},{"dropping-particle":"","family":"Hozaeel","given":"Wael","non-dropping-particle":"","parse-names":false,"suffix":""},{"dropping-particle":"","family":"Reichart","given":"Alexander","non-dropping-particle":"","parse-names":false,"suffix":""},{"dropping-particle":"","family":"Jäger","given":"Elke","non-dropping-particle":"","parse-names":false,"suffix":""},{"dropping-particle":"","family":"Kraus","given":"Thomas","non-dropping-particle":"","parse-names":false,"suffix":""},{"dropping-particle":"","family":"Mönig","given":"Stefan","non-dropping-particle":"","parse-names":false,"suffix":""},{"dropping-particle":"","family":"Bechstein","given":"Wolf O","non-dropping-particle":"","parse-names":false,"suffix":""},{"dropping-particle":"","family":"Schuler","given":"Martin","non-dropping-particle":"","parse-names":false,"suffix":""},{"dropping-particle":"","family":"Schmalenberg","given":"Harald","non-dropping-particle":"","parse-names":false,"suffix":""},{"dropping-particle":"","family":"Hofheinz","given":"Ralf D","non-dropping-particle":"","parse-names":false,"suffix":""}],"container-title":"The Lancet","id":"ITEM-1","issued":{"date-parts":[["2019"]]},"page":"1948-1957","title":"Perioperative chemotherapy with fluorouracil plus leucovorin, oxaliplatin, and docetaxel versus fluorouracil or capecitabine plus cisplatin and epirubicin for locally advanced, resectable gastric or gastro-oesophageal junction adenocarcinoma (FLOT4): a ra","type":"article-journal","volume":"393"},"uris":["http://www.mendeley.com/documents/?uuid=fe4be2a9-bf9e-4246-a37d-7ebcd1375f94"]}],"mendeley":{"formattedCitation":"(4)","plainTextFormattedCitation":"(4)","previouslyFormattedCitation":"(4)"},"properties":{"noteIndex":0},"schema":"https://github.com/citation-style-language/schema/raw/master/csl-citation.json"}</w:instrText>
      </w:r>
      <w:r w:rsidR="002624C0" w:rsidRPr="00572B34">
        <w:fldChar w:fldCharType="separate"/>
      </w:r>
      <w:r w:rsidR="002624C0" w:rsidRPr="002B3E81">
        <w:rPr>
          <w:noProof/>
        </w:rPr>
        <w:t>(4)</w:t>
      </w:r>
      <w:r w:rsidR="002624C0" w:rsidRPr="00572B34">
        <w:fldChar w:fldCharType="end"/>
      </w:r>
      <w:r w:rsidR="0098139C" w:rsidRPr="00572B34">
        <w:t>, which has led to a change in practice</w:t>
      </w:r>
      <w:r w:rsidR="002624C0" w:rsidRPr="00572B34">
        <w:t>.</w:t>
      </w:r>
      <w:r w:rsidR="00F61C48" w:rsidRPr="00572B34">
        <w:t xml:space="preserve"> </w:t>
      </w:r>
      <w:r w:rsidR="0066200A">
        <w:t xml:space="preserve">In patients with </w:t>
      </w:r>
      <w:r w:rsidR="004C6085">
        <w:t>o</w:t>
      </w:r>
      <w:r w:rsidR="0066200A">
        <w:t xml:space="preserve">esophageal tumours, the effect </w:t>
      </w:r>
      <w:r w:rsidR="00346BCC">
        <w:t xml:space="preserve">of postoperative chemotherapy </w:t>
      </w:r>
      <w:r w:rsidR="0066200A">
        <w:t>was even more marked, with</w:t>
      </w:r>
      <w:r w:rsidR="000A3E17">
        <w:t xml:space="preserve"> median survival of 63.6 and 42.2 months seen</w:t>
      </w:r>
      <w:r w:rsidR="00346BCC">
        <w:t xml:space="preserve"> and a HR of 0.79.</w:t>
      </w:r>
    </w:p>
    <w:p w14:paraId="55F1C167" w14:textId="0CAE13DE" w:rsidR="00EE1804" w:rsidRPr="00572B34" w:rsidRDefault="002624C0" w:rsidP="007E3DBA">
      <w:pPr>
        <w:spacing w:before="0" w:after="100" w:afterAutospacing="1" w:line="480" w:lineRule="auto"/>
      </w:pPr>
      <w:r w:rsidRPr="00572B34">
        <w:t xml:space="preserve">Following the publication of the </w:t>
      </w:r>
      <w:r w:rsidR="0098139C" w:rsidRPr="00572B34">
        <w:t>MRC-</w:t>
      </w:r>
      <w:r w:rsidRPr="00572B34">
        <w:t>MAGIC</w:t>
      </w:r>
      <w:r w:rsidR="00EE1804" w:rsidRPr="00572B34">
        <w:t xml:space="preserve"> trial</w:t>
      </w:r>
      <w:r w:rsidR="00C1030A">
        <w:fldChar w:fldCharType="begin" w:fldLock="1"/>
      </w:r>
      <w:r w:rsidR="00D120BE">
        <w:instrText>ADDIN CSL_CITATION {"citationItems":[{"id":"ITEM-1","itemData":{"DOI":"10.1056/NEJMoa055531","ISSN":"0028-4793","author":[{"dropping-particle":"","family":"Cunningham","given":"David","non-dropping-particle":"","parse-names":false,"suffix":""},{"dropping-particle":"","family":"Allum","given":"William H","non-dropping-particle":"","parse-names":false,"suffix":""},{"dropping-particle":"","family":"Stenning","given":"Sally P","non-dropping-particle":"","parse-names":false,"suffix":""},{"dropping-particle":"","family":"Thompson","given":"Jeremy N","non-dropping-particle":"","parse-names":false,"suffix":""},{"dropping-particle":"","family":"Velde","given":"Cornelis J H","non-dropping-particle":"Van de","parse-names":false,"suffix":""},{"dropping-particle":"","family":"Nicolson","given":"Marianne","non-dropping-particle":"","parse-names":false,"suffix":""},{"dropping-particle":"","family":"Scarffe","given":"J Howard","non-dropping-particle":"","parse-names":false,"suffix":""},{"dropping-particle":"","family":"Lofts","given":"Fiona J","non-dropping-particle":"","parse-names":false,"suffix":""},{"dropping-particle":"","family":"Falk","given":"Stephen J","non-dropping-particle":"","parse-names":false,"suffix":""},{"dropping-particle":"","family":"Iveson","given":"Timothy J","non-dropping-particle":"","parse-names":false,"suffix":""},{"dropping-particle":"","family":"Smith","given":"David B","non-dropping-particle":"","parse-names":false,"suffix":""},{"dropping-particle":"","family":"Langley","given":"Ruth E","non-dropping-particle":"","parse-names":false,"suffix":""},{"dropping-particle":"","family":"Verma","given":"Monica","non-dropping-particle":"","parse-names":false,"suffix":""},{"dropping-particle":"","family":"Weeden","given":"Simon","non-dropping-particle":"","parse-names":false,"suffix":""},{"dropping-particle":"","family":"Chua","given":"Yu Jo","non-dropping-particle":"","parse-names":false,"suffix":""}],"container-title":"New England Journal of Medicine","id":"ITEM-1","issue":"1","issued":{"date-parts":[["2006"]]},"note":"doi: 10.1056/NEJMoa055531","page":"11-20","publisher":"Massachusetts Medical Society","title":"Perioperative Chemotherapy versus Surgery Alone for Resectable Gastroesophageal Cancer","type":"article-journal","volume":"355"},"uris":["http://www.mendeley.com/documents/?uuid=bbbccb40-bd98-4b5c-b029-e8d47969ec93"]}],"mendeley":{"formattedCitation":"(1)","plainTextFormattedCitation":"(1)","previouslyFormattedCitation":"(1)"},"properties":{"noteIndex":0},"schema":"https://github.com/citation-style-language/schema/raw/master/csl-citation.json"}</w:instrText>
      </w:r>
      <w:r w:rsidR="00C1030A">
        <w:fldChar w:fldCharType="separate"/>
      </w:r>
      <w:r w:rsidR="00C1030A" w:rsidRPr="002B3E81">
        <w:rPr>
          <w:noProof/>
        </w:rPr>
        <w:t>(1)</w:t>
      </w:r>
      <w:r w:rsidR="00C1030A">
        <w:fldChar w:fldCharType="end"/>
      </w:r>
      <w:r w:rsidR="0050741F" w:rsidRPr="00572B34">
        <w:t>,</w:t>
      </w:r>
      <w:r w:rsidR="006A4A98" w:rsidRPr="00572B34">
        <w:t xml:space="preserve"> </w:t>
      </w:r>
      <w:r w:rsidRPr="00572B34">
        <w:t>perioperative chemotherapy became standard of care in many settings</w:t>
      </w:r>
      <w:r w:rsidR="00941425">
        <w:t>, especially for gastric/G</w:t>
      </w:r>
      <w:r w:rsidR="004C6085">
        <w:t>OJ</w:t>
      </w:r>
      <w:r w:rsidR="00941425">
        <w:t xml:space="preserve"> cancers</w:t>
      </w:r>
      <w:r w:rsidRPr="00572B34">
        <w:t xml:space="preserve">. </w:t>
      </w:r>
      <w:r w:rsidR="00747584" w:rsidRPr="00572B34">
        <w:t xml:space="preserve">Subsequent trials provided further evidence of benefit </w:t>
      </w:r>
      <w:r w:rsidR="00BA120A">
        <w:t xml:space="preserve">for multi-modal therapy </w:t>
      </w:r>
      <w:r w:rsidR="00747584" w:rsidRPr="00572B34">
        <w:t>over surgery alone and aimed to optimise regimens</w:t>
      </w:r>
      <w:r w:rsidR="00747584" w:rsidRPr="00572B34">
        <w:fldChar w:fldCharType="begin" w:fldLock="1"/>
      </w:r>
      <w:r w:rsidR="00D120BE">
        <w:instrText>ADDIN CSL_CITATION {"citationItems":[{"id":"ITEM-1","itemData":{"DOI":"10.1016/S0140-6736(18)32557-1","ISSN":"01406736","abstract":"BACKGROUND Docetaxel-based chemotherapy is effective in metastatic gastric and gastro-oesophageal junction adenocarcinoma. This study reports on the safety and efficacy of the docetaxel-based triplet FLOT (fluorouracil plus leucovorin, oxaliplatin and docetaxel) as a perioperative therapy for patients with locally advanced, resectable tumours. METHODS In this controlled, open-label, phase 2/3 trial, we randomly assigned 716 patients with histologically-confirmed advanced clinical stage cT2 or higher or nodal positive stage (cN+), or both, resectable tumours, with no evidence of distant metastases, via central interactive web-based-response system, to receive either three pre-operative and three postoperative 3-week cycles of 50 mg/m2 epirubicin and 60 mg/m2 cisplatin on day 1 plus either 200 mg/m2 fluorouracil as continuous intravenous infusion or 1250 mg/m2 capecitabine orally on days 1 to 21 (ECF/ECX; control group) or four preoperative and four postoperative 2-week cycles of 50 mg/m2 docetaxel, 85 mg/m2 oxaliplatin, 200 mg/m2 leucovorin and 2600 mg/m2 fluorouracil as 24-h infusion on day 1 (FLOT; experimental group). The primary outcome of the trial was overall survival (superiority) analysed in the intention-to-treat population. This trial is registered with ClinicalTrials.gov, number NCT01216644. FINDINGS Between Aug 8, 2010, and Feb 10, 2015, 716 patients were randomly assigned to treatment in 38 German hospitals or with practice-based oncologists. 360 patients were assigned to ECF/ECX and 356 patients to FLOT. Overall survival was increased in the FLOT group compared with the ECF/ECX group (hazard ratio [HR] 0·77; 95% confidence interval [CI; 0.63 to 0·94]; median overall survival, 50 months [38·33 to not reached] vs 35 months [27·35 to 46·26]). The number of patients with related serious adverse events (including those occurring during hospital stay for surgery) was similar in the two groups (96 [27%] in the ECF/ECX group vs 97 [27%] in the FLOT group), as was the number of toxic deaths (two [&lt;1%] in both groups). Hospitalisation for toxicity occurred in 94 patients (26%) in the ECF/ECX group and 89 patients (25%) in the FLOT group. INTERPRETATION In locally advanced, resectable gastric or gastro-oesophageal junction adenocarcinoma, perioperative FLOT improved overall survival compared with perioperative ECF/ECX. FUNDING The German Cancer Aid (Deutsche Krebshilfe), Sanofi-Aventis, Chugai, and Stiftung Leben mit Krebs Foundation.","author":[{"dropping-particle":"","family":"Al-Batran","given":"Salah-Eddin","non-dropping-particle":"","parse-names":false,"suffix":""},{"dropping-particle":"","family":"Homann","given":"Nils","non-dropping-particle":"","parse-names":false,"suffix":""},{"dropping-particle":"","family":"Pauligk","given":"Claudia","non-dropping-particle":"","parse-names":false,"suffix":""},{"dropping-particle":"","family":"Goetze","given":"Thorsten O","non-dropping-particle":"","parse-names":false,"suffix":""},{"dropping-particle":"","family":"Meiler","given":"Johannes","non-dropping-particle":"","parse-names":false,"suffix":""},{"dropping-particle":"","family":"Kasper","given":"Stefan","non-dropping-particle":"","parse-names":false,"suffix":""},{"dropping-particle":"","family":"Kopp","given":"Hans-Georg","non-dropping-particle":"","parse-names":false,"suffix":""},{"dropping-particle":"","family":"Mayer","given":"Frank","non-dropping-particle":"","parse-names":false,"suffix":""},{"dropping-particle":"","family":"Haag","given":"Georg Martin","non-dropping-particle":"","parse-names":false,"suffix":""},{"dropping-particle":"","family":"Luley","given":"Kim","non-dropping-particle":"","parse-names":false,"suffix":""},{"dropping-particle":"","family":"Lindig","given":"Udo","non-dropping-particle":"","parse-names":false,"suffix":""},{"dropping-particle":"","family":"Schmiegel","given":"Wolff","non-dropping-particle":"","parse-names":false,"suffix":""},{"dropping-particle":"","family":"Pohl","given":"Michael","non-dropping-particle":"","parse-names":false,"suffix":""},{"dropping-particle":"","family":"Stoehlmacher","given":"Jan","non-dropping-particle":"","parse-names":false,"suffix":""},{"dropping-particle":"","family":"Folprecht","given":"Gunnar","non-dropping-particle":"","parse-names":false,"suffix":""},{"dropping-particle":"","family":"Probst","given":"Stephan","non-dropping-particle":"","parse-names":false,"suffix":""},{"dropping-particle":"","family":"Prasnikar","given":"Nicole","non-dropping-particle":"","parse-names":false,"suffix":""},{"dropping-particle":"","family":"Fischbach","given":"Wolfgang","non-dropping-particle":"","parse-names":false,"suffix":""},{"dropping-particle":"","family":"Mahlberg","given":"Rolf","non-dropping-particle":"","parse-names":false,"suffix":""},{"dropping-particle":"","family":"Trojan","given":"Jörg","non-dropping-particle":"","parse-names":false,"suffix":""},{"dropping-particle":"","family":"Koenigsmann","given":"Michael","non-dropping-particle":"","parse-names":false,"suffix":""},{"dropping-particle":"","family":"Martens","given":"Uwe M","non-dropping-particle":"","parse-names":false,"suffix":""},{"dropping-particle":"","family":"Thuss-Patience","given":"Peter","non-dropping-particle":"","parse-names":false,"suffix":""},{"dropping-particle":"","family":"Egger","given":"Matthias","non-dropping-particle":"","parse-names":false,"suffix":""},{"dropping-particle":"","family":"Block","given":"Andreas","non-dropping-particle":"","parse-names":false,"suffix":""},{"dropping-particle":"","family":"Heinemann","given":"Volker","non-dropping-particle":"","parse-names":false,"suffix":""},{"dropping-particle":"","family":"Illerhaus","given":"Gerald","non-dropping-particle":"","parse-names":false,"suffix":""},{"dropping-particle":"","family":"Moehler","given":"Markus","non-dropping-particle":"","parse-names":false,"suffix":""},{"dropping-particle":"","family":"Schenk","given":"Michael","non-dropping-particle":"","parse-names":false,"suffix":""},{"dropping-particle":"","family":"Kullmann","given":"Frank","non-dropping-particle":"","parse-names":false,"suffix":""},{"dropping-particle":"","family":"Behringer","given":"Dirk M","non-dropping-particle":"","parse-names":false,"suffix":""},{"dropping-particle":"","family":"Heike","given":"Michael","non-dropping-particle":"","parse-names":false,"suffix":""},{"dropping-particle":"","family":"Pink","given":"Daniel","non-dropping-particle":"","parse-names":false,"suffix":""},{"dropping-particle":"","family":"Teschendorf","given":"Christian","non-dropping-particle":"","parse-names":false,"suffix":""},{"dropping-particle":"","family":"Löhr","given":"Carmen","non-dropping-particle":"","parse-names":false,"suffix":""},{"dropping-particle":"","family":"Bernhard","given":"Helga","non-dropping-particle":"","parse-names":false,"suffix":""},{"dropping-particle":"","family":"Schuch","given":"Gunter","non-dropping-particle":"","parse-names":false,"suffix":""},{"dropping-particle":"","family":"Rethwisch","given":"Volker","non-dropping-particle":"","parse-names":false,"suffix":""},{"dropping-particle":"","family":"Weikersthal","given":"Ludwig Fischer","non-dropping-particle":"von","parse-names":false,"suffix":""},{"dropping-particle":"","family":"Hartmann","given":"Jörg T","non-dropping-particle":"","parse-names":false,"suffix":""},{"dropping-particle":"","family":"Kneba","given":"Michael","non-dropping-particle":"","parse-names":false,"suffix":""},{"dropping-particle":"","family":"Daum","given":"Severin","non-dropping-particle":"","parse-names":false,"suffix":""},{"dropping-particle":"","family":"Schulmann","given":"Karsten","non-dropping-particle":"","parse-names":false,"suffix":""},{"dropping-particle":"","family":"Weniger","given":"Jörg","non-dropping-particle":"","parse-names":false,"suffix":""},{"dropping-particle":"","family":"Belle","given":"Sebastian","non-dropping-particle":"","parse-names":false,"suffix":""},{"dropping-particle":"","family":"Gaiser","given":"Timo","non-dropping-particle":"","parse-names":false,"suffix":""},{"dropping-particle":"","family":"Oduncu","given":"Fuat S","non-dropping-particle":"","parse-names":false,"suffix":""},{"dropping-particle":"","family":"Güntner","given":"Martina","non-dropping-particle":"","parse-names":false,"suffix":""},{"dropping-particle":"","family":"Hozaeel","given":"Wael","non-dropping-particle":"","parse-names":false,"suffix":""},{"dropping-particle":"","family":"Reichart","given":"Alexander","non-dropping-particle":"","parse-names":false,"suffix":""},{"dropping-particle":"","family":"Jäger","given":"Elke","non-dropping-particle":"","parse-names":false,"suffix":""},{"dropping-particle":"","family":"Kraus","given":"Thomas","non-dropping-particle":"","parse-names":false,"suffix":""},{"dropping-particle":"","family":"Mönig","given":"Stefan","non-dropping-particle":"","parse-names":false,"suffix":""},{"dropping-particle":"","family":"Bechstein","given":"Wolf O","non-dropping-particle":"","parse-names":false,"suffix":""},{"dropping-particle":"","family":"Schuler","given":"Martin","non-dropping-particle":"","parse-names":false,"suffix":""},{"dropping-particle":"","family":"Schmalenberg","given":"Harald","non-dropping-particle":"","parse-names":false,"suffix":""},{"dropping-particle":"","family":"Hofheinz","given":"Ralf D","non-dropping-particle":"","parse-names":false,"suffix":""}],"container-title":"The Lancet","id":"ITEM-1","issued":{"date-parts":[["2019"]]},"page":"1948-1957","title":"Perioperative chemotherapy with fluorouracil plus leucovorin, oxaliplatin, and docetaxel versus fluorouracil or capecitabine plus cisplatin and epirubicin for locally advanced, resectable gastric or gastro-oesophageal junction adenocarcinoma (FLOT4): a ra","type":"article-journal","volume":"393"},"uris":["http://www.mendeley.com/documents/?uuid=fe4be2a9-bf9e-4246-a37d-7ebcd1375f94"]},{"id":"ITEM-2","itemData":{"DOI":"10.1200/JCO.2010.33.0597","ISBN":"1527-7755 (Electronic)\\r0732-183X (Linking)","ISSN":"0732183X","PMID":"21444866","abstract":"PURPOSE After curative resection, the prognosis of gastroesophageal adenocarcinoma is poor. This phase III trial was designed to evaluate the benefit in overall survival (OS) of perioperative fluorouracil plus cisplatin in resectable gastroesophageal adenocarcinoma. PATIENTS AND METHODS Overall, 224 patients with resectable adenocarcinoma of the lower esophagus, gastroesophageal junction (GEJ), or stomach were randomly assigned to either perioperative chemotherapy and surgery (CS group; n = 113) or surgery alone (S group; n = 111). Chemotherapy consisted of two or three preoperative cycles of intravenous cisplatin (100 mg/m(2)) on day 1, and a continuous intravenous infusion of fluorouracil (800 mg/m(2)/d) for 5 consecutive days (days 1 to 5) every 28 days and three or four postoperative cycles of the same regimen. The primary end point was OS. RESULTS Compared with the S group, the CS group had a better OS (5-year rate 38% v 24%; hazard ratio [HR] for death: 0.69; 95% CI, 0.50 to 0.95; P = .02); and a better disease-free survival (5-year rate: 34% v 19%; HR, 0.65; 95% CI, 0.48 to 0.89; P = .003). In the multivariable analysis, the favorable prognostic factors for survival were perioperative chemotherapy (P = .01) and stomach tumor localization (P &lt; .01). Perioperative chemotherapy significantly improved the curative resection rate (84% v 73%; P = .04). Grade 3 to 4 toxicity occurred in 38% of CS patients (mainly neutropenia) but postoperative morbidity was similar in the two groups. CONCLUSION In patients with resectable adenocarcinoma of the lower esophagus, GEJ, or stomach, perioperative chemotherapy using fluorouracil plus cisplatin significantly increased the curative resection rate, disease-free survival, and OS.","author":[{"dropping-particle":"","family":"Ychou","given":"Marc","non-dropping-particle":"","parse-names":false,"suffix":""},{"dropping-particle":"","family":"Boige","given":"Valérie","non-dropping-particle":"","parse-names":false,"suffix":""},{"dropping-particle":"","family":"Pignon","given":"Jean Pierre","non-dropping-particle":"","parse-names":false,"suffix":""},{"dropping-particle":"","family":"Conroy","given":"Thierry","non-dropping-particle":"","parse-names":false,"suffix":""},{"dropping-particle":"","family":"Bouché","given":"Olivier","non-dropping-particle":"","parse-names":false,"suffix":""},{"dropping-particle":"","family":"Lebreton","given":"Gilles","non-dropping-particle":"","parse-names":false,"suffix":""},{"dropping-particle":"","family":"Ducourtieux","given":"Muriel","non-dropping-particle":"","parse-names":false,"suffix":""},{"dropping-particle":"","family":"Bedenne","given":"Laurent","non-dropping-particle":"","parse-names":false,"suffix":""},{"dropping-particle":"","family":"Fabre","given":"Jean Michel","non-dropping-particle":"","parse-names":false,"suffix":""},{"dropping-particle":"","family":"Saint-Aubert","given":"Bernard","non-dropping-particle":"","parse-names":false,"suffix":""},{"dropping-particle":"","family":"Genève","given":"Jean","non-dropping-particle":"","parse-names":false,"suffix":""},{"dropping-particle":"","family":"Lasser","given":"Philippe","non-dropping-particle":"","parse-names":false,"suffix":""},{"dropping-particle":"","family":"Rougier","given":"Philippe","non-dropping-particle":"","parse-names":false,"suffix":""}],"container-title":"Journal of Clinical Oncology","id":"ITEM-2","issue":"13","issued":{"date-parts":[["2011"]]},"page":"1715-1721","title":"Perioperative chemotherapy compared with surgery alone for resectable gastroesophageal adenocarcinoma: An FNCLCC and FFCD multicenter phase III trial","type":"article-journal","volume":"29"},"uris":["http://www.mendeley.com/documents/?uuid=4a41a118-cae4-409f-94bf-538fce77f9ac"]},{"id":"ITEM-3","itemData":{"DOI":"10.1016/S1470-2045(17)30447-3","ISSN":"14745488","PMID":"28784312","abstract":"Background Neoadjuvant chemotherapy before surgery improves survival compared with surgery alone for patients with oesophageal cancer. The OE05 trial assessed whether increasing the duration and intensity of neoadjuvant chemotherapy further improved survival compared with the current standard regimen. Methods OE05 was an open-label, phase 3, randomised clinical trial. Patients with surgically resectable oesophageal adenocarcinoma classified as stage cT1N1, cT2N1, cT3N0/N1, or cT4N0/N1 were recruited from 72 UK hospitals. Eligibility criteria included WHO performance status 0 or 1, adequate respiratory, cardiac, and liver function, white blood cell count at least 3 × 109 cells per L, platelet count at least 100 × 109 platelets per L, and a glomerular filtration rate at least 60 mL/min. Participants were randomly allocated (1:1) using a computerised minimisation program with a random element and stratified by centre and tumour stage, to receive two cycles of cisplatin and fluorouracil (CF; two 3-weekly cycles of cisplatin [80 mg/m2 intravenously on day 1] and fluorouracil [1 g/m2 per day intravenously on days 1–4]) or four cycles of epirubicin, cisplatin, and capecitabine (ECX; four 3-weekly cycles of epirubicin [50 mg/m2] and cisplatin [60 mg/m2] intravenously on day 1, and capecitabine [1250 mg/m2] daily throughout the four cycles) before surgery, stratified according to centre and clinical disease stage. Neither patients nor study staff were masked to treatment allocation. Two-phase oesophagectomy with two-field (abdomen and thorax) lymphadenectomy was done within 4–6 weeks of completion of chemotherapy. The primary outcome measure was overall survival, and primary and safety analyses were done in the intention-to-treat population. This trial is registered with the ISRCTN registry (number 01852072) and ClinicalTrials.gov (NCT00041262), and is completed. Findings Between Jan 13, 2005, and Oct 31, 2011, 897 patients were recruited and 451 were assigned to the CF group and 446 to the ECX group. By Nov 14, 2016, 327 (73%) of 451 patients in the CF group and 302 (68%) of 446 in the ECX group had died. Median survival was 23·4 months (95% CI 20·6–26·3) with CF and 26·1 months (22·5–29·7) with ECX (hazard ratio 0·90 (95% CI 0·77–1·05, p=0·19). No unexpected chemotherapy toxicity was seen, and neutropenia was the most commonly reported event (grade 3 or 4 neutropenia: 74 [17%] of 446 patients in the CF group vs 101 [23%] of 441 people in the ECX group). The pr…","author":[{"dropping-particle":"","family":"Alderson","given":"Derek","non-dropping-particle":"","parse-names":false,"suffix":""},{"dropping-particle":"","family":"Cunningham","given":"David","non-dropping-particle":"","parse-names":false,"suffix":""},{"dropping-particle":"","family":"Nankivell","given":"Matthew","non-dropping-particle":"","parse-names":false,"suffix":""},{"dropping-particle":"","family":"Blazeby","given":"Jane M.","non-dropping-particle":"","parse-names":false,"suffix":""},{"dropping-particle":"","family":"Griffin","given":"S. Michael","non-dropping-particle":"","parse-names":false,"suffix":""},{"dropping-particle":"","family":"Crellin","given":"Adrian","non-dropping-particle":"","parse-names":false,"suffix":""},{"dropping-particle":"","family":"Grabsch","given":"Heike I.","non-dropping-particle":"","parse-names":false,"suffix":""},{"dropping-particle":"","family":"Langer","given":"Rupert","non-dropping-particle":"","parse-names":false,"suffix":""},{"dropping-particle":"","family":"Pritchard","given":"Susan","non-dropping-particle":"","parse-names":false,"suffix":""},{"dropping-particle":"","family":"Okines","given":"Alicia","non-dropping-particle":"","parse-names":false,"suffix":""},{"dropping-particle":"","family":"Krysztopik","given":"Richard","non-dropping-particle":"","parse-names":false,"suffix":""},{"dropping-particle":"","family":"Coxon","given":"Fareeda","non-dropping-particle":"","parse-names":false,"suffix":""},{"dropping-particle":"","family":"Thompson","given":"Joyce","non-dropping-particle":"","parse-names":false,"suffix":""},{"dropping-particle":"","family":"Falk","given":"Stephen","non-dropping-particle":"","parse-names":false,"suffix":""},{"dropping-particle":"","family":"Robb","given":"Clare","non-dropping-particle":"","parse-names":false,"suffix":""},{"dropping-particle":"","family":"Stenning","given":"Sally","non-dropping-particle":"","parse-names":false,"suffix":""},{"dropping-particle":"","family":"Langley","given":"Ruth E.","non-dropping-particle":"","parse-names":false,"suffix":""}],"container-title":"The Lancet Oncology","id":"ITEM-3","issue":"9","issued":{"date-parts":[["2017"]]},"page":"1249-1260","publisher":"The Author(s). Published by Elsevier Ltd. This is an Open Access article under the CC BY 4.0 license","title":"Neoadjuvant cisplatin and fluorouracil versus epirubicin, cisplatin, and capecitabine followed by resection in patients with oesophageal adenocarcinoma (UK MRC OE05): an open-label, randomised phase 3 trial","type":"article-journal","volume":"18"},"uris":["http://www.mendeley.com/documents/?uuid=b70f5e09-f569-4144-b130-57c7bc2bb8a4"]},{"id":"ITEM-4","itemData":{"DOI":"10.1016/S1470-2045(17)30043-8","ISSN":"1470-2045","author":[{"dropping-particle":"","family":"Cunningham","given":"David","non-dropping-particle":"","parse-names":false,"suffix":""},{"dropping-particle":"","family":"Stenning","given":"Sally P","non-dropping-particle":"","parse-names":false,"suffix":""},{"dropping-particle":"","family":"Smyth","given":"Elizabeth C","non-dropping-particle":"","parse-names":false,"suffix":""},{"dropping-particle":"","family":"Okines","given":"Alicia F","non-dropping-particle":"","parse-names":false,"suffix":""},{"dropping-particle":"","family":"Allum","given":"William H","non-dropping-particle":"","parse-names":false,"suffix":""},{"dropping-particle":"","family":"Rowley","given":"Sam","non-dropping-particle":"","parse-names":false,"suffix":""},{"dropping-particle":"","family":"Stevenson","given":"Laura","non-dropping-particle":"","parse-names":false,"suffix":""},{"dropping-particle":"","family":"Grabsch","given":"Heike I","non-dropping-particle":"","parse-names":false,"suffix":""},{"dropping-particle":"","family":"Alderson","given":"Derek","non-dropping-particle":"","parse-names":false,"suffix":""},{"dropping-particle":"","family":"Crosby","given":"Thomas","non-dropping-particle":"","parse-names":false,"suffix":""},{"dropping-particle":"","family":"Griffin","given":"S Michael","non-dropping-particle":"","parse-names":false,"suffix":""},{"dropping-particle":"","family":"Mansoor","given":"Wasat","non-dropping-particle":"","parse-names":false,"suffix":""},{"dropping-particle":"","family":"Coxon","given":"Fareeda Y","non-dropping-particle":"","parse-names":false,"suffix":""},{"dropping-particle":"","family":"Falk","given":"Stephen J","non-dropping-particle":"","parse-names":false,"suffix":""},{"dropping-particle":"","family":"Darby","given":"Suzanne","non-dropping-particle":"","parse-names":false,"suffix":""},{"dropping-particle":"","family":"Sumpter","given":"Kate A","non-dropping-particle":"","parse-names":false,"suffix":""},{"dropping-particle":"","family":"Blazeby","given":"Jane M","non-dropping-particle":"","parse-names":false,"suffix":""},{"dropping-particle":"","family":"Langley","given":"Ruth E","non-dropping-particle":"","parse-names":false,"suffix":""}],"container-title":"Lancet Oncology","id":"ITEM-4","issue":"3","issued":{"date-parts":[["0"]]},"page":"357-370","publisher":"The Author(s). Published by Elsevier Ltd. This is an Open Access article under the CC BY license","title":"Peri-operative chemotherapy with or without bevacizumab in operable oesophagogastric adenocarcinoma ( UK Medical Research Council ST03 ): primary analysis results of a multicentre , open-label , randomised phase 2 – 3 trial","type":"article-journal","volume":"18"},"uris":["http://www.mendeley.com/documents/?uuid=82998457-c725-400b-a61e-1925722fd473"]}],"mendeley":{"formattedCitation":"(4,44–46)","plainTextFormattedCitation":"(4,44–46)","previouslyFormattedCitation":"(4,44–46)"},"properties":{"noteIndex":0},"schema":"https://github.com/citation-style-language/schema/raw/master/csl-citation.json"}</w:instrText>
      </w:r>
      <w:r w:rsidR="00747584" w:rsidRPr="00572B34">
        <w:fldChar w:fldCharType="separate"/>
      </w:r>
      <w:r w:rsidR="002B3E81" w:rsidRPr="002B3E81">
        <w:rPr>
          <w:noProof/>
        </w:rPr>
        <w:t>(4,44–46)</w:t>
      </w:r>
      <w:r w:rsidR="00747584" w:rsidRPr="00572B34">
        <w:fldChar w:fldCharType="end"/>
      </w:r>
      <w:r w:rsidR="00747584" w:rsidRPr="00572B34">
        <w:t xml:space="preserve">. </w:t>
      </w:r>
      <w:r w:rsidR="006A4A98" w:rsidRPr="00572B34">
        <w:t xml:space="preserve">However, </w:t>
      </w:r>
      <w:r w:rsidR="003F65B1">
        <w:t>fewer</w:t>
      </w:r>
      <w:r w:rsidR="006A4A98" w:rsidRPr="00572B34">
        <w:t xml:space="preserve"> than 50% of patients completed treatment per-protocol in all of these studies</w:t>
      </w:r>
      <w:r w:rsidR="009F0D0D">
        <w:t xml:space="preserve">. </w:t>
      </w:r>
      <w:r w:rsidR="006A4A98" w:rsidRPr="00572B34">
        <w:t xml:space="preserve">This has left a clear evidence gap, with uncertainty </w:t>
      </w:r>
      <w:r w:rsidR="00B361E6" w:rsidRPr="00572B34">
        <w:t xml:space="preserve">concerning </w:t>
      </w:r>
      <w:r w:rsidR="001E73CC">
        <w:t xml:space="preserve">in </w:t>
      </w:r>
      <w:r w:rsidR="006A4A98" w:rsidRPr="00572B34">
        <w:t xml:space="preserve">whom of a comparatively unfit patient cohort, who have already undergone debilitating treatment, postoperative treatment should be targeted. This study provides evidence </w:t>
      </w:r>
      <w:r w:rsidR="009E2600">
        <w:t>in</w:t>
      </w:r>
      <w:r w:rsidR="006A4A98" w:rsidRPr="00572B34">
        <w:t xml:space="preserve"> support of postoperative chemotherapy in these patients</w:t>
      </w:r>
      <w:r w:rsidR="00F61C48" w:rsidRPr="00572B34">
        <w:t>.</w:t>
      </w:r>
      <w:r w:rsidR="00FB122E" w:rsidRPr="00572B34">
        <w:t xml:space="preserve"> </w:t>
      </w:r>
    </w:p>
    <w:p w14:paraId="2CF56069" w14:textId="46A7151C" w:rsidR="00390905" w:rsidRDefault="004260E0" w:rsidP="00390905">
      <w:pPr>
        <w:spacing w:before="100" w:beforeAutospacing="1" w:line="480" w:lineRule="auto"/>
      </w:pPr>
      <w:r w:rsidRPr="00061298">
        <w:t xml:space="preserve">The strengths of this study include the large, </w:t>
      </w:r>
      <w:r w:rsidR="005D04B7" w:rsidRPr="00061298">
        <w:t>multi-centre</w:t>
      </w:r>
      <w:r w:rsidRPr="00061298">
        <w:t xml:space="preserve"> national datasets from which it was drawn. </w:t>
      </w:r>
      <w:r w:rsidR="001A2532" w:rsidRPr="00061298">
        <w:t xml:space="preserve">A </w:t>
      </w:r>
      <w:r w:rsidRPr="00061298">
        <w:t xml:space="preserve">large number of variables plausibly related to treatment allocation and/or survival </w:t>
      </w:r>
      <w:r w:rsidR="00F45848" w:rsidRPr="00061298">
        <w:t>were</w:t>
      </w:r>
      <w:r w:rsidR="001A2532" w:rsidRPr="00061298">
        <w:t xml:space="preserve"> used </w:t>
      </w:r>
      <w:r w:rsidRPr="00061298">
        <w:t xml:space="preserve">to </w:t>
      </w:r>
      <w:r w:rsidR="005D04B7" w:rsidRPr="00061298">
        <w:t xml:space="preserve">derive the propensity score and </w:t>
      </w:r>
      <w:r w:rsidR="001A2532" w:rsidRPr="00061298">
        <w:t>it was possible</w:t>
      </w:r>
      <w:r w:rsidR="005D04B7" w:rsidRPr="00061298">
        <w:t xml:space="preserve"> to</w:t>
      </w:r>
      <w:r w:rsidR="0073573C" w:rsidRPr="00061298">
        <w:t xml:space="preserve"> </w:t>
      </w:r>
      <w:r w:rsidRPr="00061298">
        <w:t>includ</w:t>
      </w:r>
      <w:r w:rsidR="005D04B7" w:rsidRPr="00061298">
        <w:t xml:space="preserve">e </w:t>
      </w:r>
      <w:r w:rsidRPr="00061298">
        <w:t>chemotherapy regimen details</w:t>
      </w:r>
      <w:r w:rsidR="005220B3" w:rsidRPr="00061298">
        <w:t xml:space="preserve"> and surgical complications</w:t>
      </w:r>
      <w:r w:rsidRPr="00061298">
        <w:t xml:space="preserve">, which </w:t>
      </w:r>
      <w:r w:rsidR="005220B3" w:rsidRPr="00061298">
        <w:t xml:space="preserve">are </w:t>
      </w:r>
      <w:r w:rsidRPr="00061298">
        <w:t>absent from studies conducted using the NCDB</w:t>
      </w:r>
      <w:r w:rsidRPr="00061298">
        <w:fldChar w:fldCharType="begin" w:fldLock="1"/>
      </w:r>
      <w:r w:rsidR="00D120BE" w:rsidRPr="00061298">
        <w:instrText>ADDIN CSL_CITATION {"citationItems":[{"id":"ITEM-1","itemData":{"DOI":"10.1097/SLA.0000000000001954","ISBN":"0000000000","ISSN":"15281140","PMID":"27501170","abstract":"Objective: To determine whether adjuvant chemotherapy (AC) after neoadjuvant chemoradiation and esophagectomy is associated with improved overall survival for patients with locally advanced esophageal cancer, and to evaluate how pathologic disease response to neoadjuvant treatment impacts this effect. Background: Neoadjuvant chemoradiation is currently the preferred management approach for locoregional esophageal cancer. Although there is interest in the use of AC, the benefit of systemic therapy after neoadjuvant chemoradiation and esophagectomy is unclear. Methods: Retrospective cohort study of patients with esophageal cancer treated with neoadjuvant chemoradiation and esophagectomy in the National Cancer Data Base (2006-2012). Results: Among 3592 patients with esophageal cancer (84.7% adenocarcinoma, 15.2% squamous cell carcinoma), 335 (9.3%) were treated with AC. AC was not associated with a significantly lower risk of death among patients with no residual disease (ypT0N0) or residual non-nodal disease (ypT+N0). Among patients with residual nodal disease (ypTanyN+), AC was associated with a 30% lower risk of death in the overall cohort [hazard ratio (HR) 0.70, (0.57-0.85)] and among those with adenocarcinoma [HR 0.69 (0.57-0.85)]. Using a 90-day postoperative landmark, findings were similar. Among patients with postoperative length of stay ≤10 days and no unplanned readmission, AC was associated with approximately 40% lower risk of death among patients with residual nodal disease [overall cohort, HR 0.63 (0.48-0.84); adenocarcinoma, HR 0.66 (0.49-0.88)]. Conclusions: AC after neoadjuvant chemoradiation and esophagectomy is associated with improved survival in patients with residual nodal disease. Our findings suggest AC may provide additional benefit for esophageal cancer patients, and merits further investigation.","author":[{"dropping-particle":"","family":"Burt","given":"Bryan M.","non-dropping-particle":"","parse-names":false,"suffix":""},{"dropping-particle":"","family":"Groth","given":"Shawn S.","non-dropping-particle":"","parse-names":false,"suffix":""},{"dropping-particle":"","family":"Sada","given":"Yvonne H.","non-dropping-particle":"","parse-names":false,"suffix":""},{"dropping-particle":"","family":"Farjah","given":"Farhood","non-dropping-particle":"","parse-names":false,"suffix":""},{"dropping-particle":"","family":"Cornwell","given":"Lorraine","non-dropping-particle":"","parse-names":false,"suffix":""},{"dropping-particle":"","family":"Sugarbaker","given":"David J.","non-dropping-particle":"","parse-names":false,"suffix":""},{"dropping-particle":"","family":"Massarweh","given":"Nader N.","non-dropping-particle":"","parse-names":false,"suffix":""}],"container-title":"Annals of Surgery","id":"ITEM-1","issue":"2","issued":{"date-parts":[["2017"]]},"page":"297-304","title":"Utility of Adjuvant Chemotherapy after Neoadjuvant Chemoradiation and Esophagectomy for Esophageal Cancer","type":"article-journal","volume":"266"},"uris":["http://www.mendeley.com/documents/?uuid=c9663e9e-e84a-478e-8bb3-cca212c6bd0b"]},{"id":"ITEM-2","itemData":{"DOI":"10.1001/jamaoncol.2017.2805","ISSN":"23742445","abstract":"IMPORTANCE Distant recurrence following preoperative chemoradiotherapy and resection in patients with gastroesophageal adenocarcinoma is common. Adjuvant chemotherapymay improve survival. OBJECTIVE To compare adjuvant chemotherapy with postoperative observation following preoperative chemoradiotherapy and resection in patients with gastroesophageal adenocarcinoma. DESIGN, SETTING, AND PARTICIPANTS Propensity score-matched analysis using the National Cancer Database.We included adult patients who received a diagnosis between 2006 and 2013 of clinical stage T1N1-3M0 or T2-4N0-3M0 adenocarcinoma of the distal esophagus or gastric cardia who were treated with preoperative chemoradiotherapy and curative-intent resection. Patients receiving adjuvant chemotherapy were matched by propensity score to patients undergoing postoperative observation. EXPOSURES Adjuvant chemotherapy and postoperative observation. MAIN OUTCOMES AND MEASURES Overall survival. RESULTS We identified 10 086 patients (8840 [88%] male; mean [SD] age, 61 [9.5] years), 9272 in the postoperative observation group and 814 in the adjuvant chemotherapy group. Patients receiving adjuvant chemotherapy were younger (18-54 years: 252 [31%] vs 1989 [21%]; P &lt; .001) and were more likely to have advanced disease (ypT3/4: 458 [62%] vs 3531 [46%]; P &lt; .001; ypN+: 572 [72%] vs 3428 [39%]; P &lt; .001), as well as shorter postoperative inpatient stays (&gt;2 weeks: 94 [13%] vs 1589 [20%]; P &lt; .001). A total of 732 patients in the adjuvant chemotherapy group were matched by propensity score to 3660 patients in the postoperative observation group. Adjuvant chemotherapy was associated with improved overall survival compared with postoperative observation (median survival: 40 months; 95% CI, 36-46 months vs 34 months; 95%CI, 32-35 months; stratified log-rank P &lt; .001; hazard ratio, 0.79; 95%CI, 0.72-0.88). Overall survival at 1, 3, and 5 years was 88%, 47%, and 34% in the observation group, and 94%, 54%, and 38%in the adjuvant chemotherapy group, respectively. Adjuvant chemotherapy was associated with a survival benefit compared with postoperative observation in most patient subgroups. CONCLUSIONS AND RELEVANCE For patients with locally advanced gastroesophageal adenocarcinoma treated with preoperative chemoradiotherapy and resection, adjuvant chemotherapy was associated with improved overall survival. Our findings have important implications for the postoperative treatment of this patient group for which few data ar…","author":[{"dropping-particle":"","family":"Mokdad","given":"Ali A.","non-dropping-particle":"","parse-names":false,"suffix":""},{"dropping-particle":"","family":"Yopp","given":"Adam C.","non-dropping-particle":"","parse-names":false,"suffix":""},{"dropping-particle":"","family":"Polanco","given":"Patricio M.","non-dropping-particle":"","parse-names":false,"suffix":""},{"dropping-particle":"","family":"Mansour","given":"John C.","non-dropping-particle":"","parse-names":false,"suffix":""},{"dropping-particle":"","family":"Reznik","given":"Scott I.","non-dropping-particle":"","parse-names":false,"suffix":""},{"dropping-particle":"","family":"Heitjan","given":"Daniel F.","non-dropping-particle":"","parse-names":false,"suffix":""},{"dropping-particle":"","family":"Choti","given":"Michael A.","non-dropping-particle":"","parse-names":false,"suffix":""},{"dropping-particle":"","family":"Minter","given":"Rebecca R.","non-dropping-particle":"","parse-names":false,"suffix":""},{"dropping-particle":"","family":"Wang","given":"Sam C.","non-dropping-particle":"","parse-names":false,"suffix":""},{"dropping-particle":"","family":"Porembka","given":"Matthew R.","non-dropping-particle":"","parse-names":false,"suffix":""}],"container-title":"JAMA Oncology","id":"ITEM-2","issue":"1","issued":{"date-parts":[["2018"]]},"page":"31-38","title":"Adjuvant chemotherapy vs postoperative observation following preoperative chemoradiotherapy and resection in gastroesophageal cancer a propensity score-matched analysis","type":"article-journal","volume":"4"},"uris":["http://www.mendeley.com/documents/?uuid=0204a326-5bb7-40ac-8371-2c6b4999ab59"]},{"id":"ITEM-3","itemData":{"DOI":"10.1136/esmoopen-2018-000386","ISSN":"20597029","abstract":"Background Oesophageal cancer (OC) survival rates have improved since the widespread adoption of neoadjuvant chemoradiation therapy (NACRT) followed by oesophagectomy (trimodality therapy). Unfortunately, the overall prognosis for patients with locally advanced disease remains poor. In this study, we sought to assess the effect of adjuvant chemotherapy (AC) in patients treated with trimodality therapy. Methods Using the National Cancer Database we retrospectively identified 6785 patients with locally advanced (cT1b-T4a, N0-N+, M0) OC who were treated with trimodality therapy from 2006 to 2014. Patients were separated based on receipt of AC (n=463), as well as clinical and pathological lymph node involvement. Overall survival (OS) between groups was compared using the Kaplan-Meier method and Cox proportional hazard modelling. Results Based on multivariate analysis, AC was associated with a statistically significantly reduced risk of death (HR 0.77, p&lt;0.001). Subgroup analysis revealed that AC was associated with reduced risk of death compared with NACRT alone in the cN+/pN0 (median OS 64 vs 43 months; p=0.019) and the cN+/pN+ (median OS 27 vs 22 months; p=0.010) groups, but not in the cN0/pN0 (median OS 48 vs 49 months; p=0.253) or cN0/pN+ (median OS 31 vs 24 months; p=0.077) groups. Conclusion AC following trimodality therapy may improve survival in patients with locally advanced OC. Patients who undergo lymph node downstaging may be the most likely to benefit from AC. Prospective studies are needed to confirm this finding.","author":[{"dropping-particle":"","family":"Nevala-Plagemann","given":"Christopher","non-dropping-particle":"","parse-names":false,"suffix":""},{"dropping-particle":"","family":"Francis","given":"Samual","non-dropping-particle":"","parse-names":false,"suffix":""},{"dropping-particle":"","family":"Cavalieri","given":"Courtney","non-dropping-particle":"","parse-names":false,"suffix":""},{"dropping-particle":"","family":"Tao","given":"Randa","non-dropping-particle":"","parse-names":false,"suffix":""},{"dropping-particle":"","family":"Whisenant","given":"Jonathan","non-dropping-particle":"","parse-names":false,"suffix":""},{"dropping-particle":"","family":"Glasgow","given":"Robert","non-dropping-particle":"","parse-names":false,"suffix":""},{"dropping-particle":"","family":"Scaife","given":"Courtney","non-dropping-particle":"","parse-names":false,"suffix":""},{"dropping-particle":"","family":"Lloyd","given":"Shane","non-dropping-particle":"","parse-names":false,"suffix":""},{"dropping-particle":"","family":"Garrido-Laguna","given":"Ignacio","non-dropping-particle":"","parse-names":false,"suffix":""}],"container-title":"ESMO Open","id":"ITEM-3","issue":"5","issued":{"date-parts":[["2018"]]},"page":"1-7","title":"Benefit of adjuvant chemotherapy based on lymph node involvement for oesophageal cancer following trimodality therapy","type":"article-journal","volume":"3"},"uris":["http://www.mendeley.com/documents/?uuid=c4125ba7-d5f4-4615-a9b3-6234bcb7f76e"]},{"id":"ITEM-4","itemData":{"DOI":"10.1007/s11605-018-04087-8","ISSN":"18734626","PMID":"30671799","abstract":"Purpose: The aim of this cohort study was to assess the benefit that patients with lower esophageal or gastroesophageal junction (E/GEJ) adenocarcinoma receive by continuing perioperative chemotherapy post-surgery. Methods: Three hundred twelve patients underwent radical tumor surgical resection after preoperative chemotherapy. Chemotherapy was mainly ECX (epirubicin, cisplatin, capecitabine). Propensity score matching (PSM) was used to compare continuation of chemotherapy post-surgery vs. no postoperative treatment. Results: Two hundred ten patients (67.3%) had GEJ and 102 (32.7%) lower esophageal adenocarcinoma. Microscopically clear surgical margins (R0), according to the Royal College of Pathologists, were achieved in 208 patients (66.7%). In total, 225 patients (72.1%) continued perioperative chemotherapy post-surgery. PSM was used to create two patient groups, well-balanced for basic epidemiological, clinical, and histopathological characteristics. The first included 148 patients who continued perioperative chemotherapy after surgery and the second 86, who did not receive postoperative treatment. The first group had non-significantly different median time-to-relapse (TTR 22.2 vs. 25.7 months, p = 0.627), overall survival (OS 46.1 vs. 36.7 months, p = 0.199), and post-relapse survival (15.3 vs. 8.7 months, p = 0.122). Subgroup analysis showed that only patients with microscopically residual disease after surgery (R1 resection) benefited from continuation of chemotherapy post-surgery for both TTR (hazard ratio [HR] 0.556, 95% CI 0.330–0.936, p = 0.027) and OS (HR 0.530, 95% CI 0.313–0.898, p = 0.018). Conclusions: Continuation of perioperative chemotherapy post-surgery was not associated with improved outcome in patients with E/GEJ adenocarcinoma. Patients with microscopically residual disease post-surgery might receive a potential benefit from adjuvant chemotherapy.","author":[{"dropping-particle":"","family":"Papaxoinis","given":"George","non-dropping-particle":"","parse-names":false,"suffix":""},{"dropping-particle":"","family":"Kamposioras","given":"Konstantinos","non-dropping-particle":"","parse-names":false,"suffix":""},{"dropping-particle":"","family":"Weaver","given":"Jamie M.J.","non-dropping-particle":"","parse-names":false,"suffix":""},{"dropping-particle":"","family":"Kordatou","given":"Zoe","non-dropping-particle":"","parse-names":false,"suffix":""},{"dropping-particle":"","family":"Stamatopoulou","given":"Sofia","non-dropping-particle":"","parse-names":false,"suffix":""},{"dropping-particle":"","family":"Germetaki","given":"Theodora","non-dropping-particle":"","parse-names":false,"suffix":""},{"dropping-particle":"","family":"Nasralla","given":"Magdy","non-dropping-particle":"","parse-names":false,"suffix":""},{"dropping-particle":"","family":"Owen-Holt","given":"Vikki","non-dropping-particle":"","parse-names":false,"suffix":""},{"dropping-particle":"","family":"Anthoney","given":"Alan","non-dropping-particle":"","parse-names":false,"suffix":""},{"dropping-particle":"","family":"Mansoor","given":"Wasat","non-dropping-particle":"","parse-names":false,"suffix":""}],"container-title":"Journal of Gastrointestinal Surgery","id":"ITEM-4","issue":"9","issued":{"date-parts":[["2019"]]},"page":"1729-1741","publisher":"Journal of Gastrointestinal Surgery","title":"The Role of Continuing Perioperative Chemotherapy Post Surgery in Patients with Esophageal or Gastroesophageal Junction Adenocarcinoma: a Multicenter Cohort Study","type":"article-journal","volume":"23"},"uris":["http://www.mendeley.com/documents/?uuid=08e87702-e69b-437f-adc9-0cad3318793b"]}],"mendeley":{"formattedCitation":"(10–12,16)","plainTextFormattedCitation":"(10–12,16)","previouslyFormattedCitation":"(10–12,16)"},"properties":{"noteIndex":0},"schema":"https://github.com/citation-style-language/schema/raw/master/csl-citation.json"}</w:instrText>
      </w:r>
      <w:r w:rsidRPr="00061298">
        <w:fldChar w:fldCharType="separate"/>
      </w:r>
      <w:r w:rsidR="00C1030A" w:rsidRPr="00061298">
        <w:rPr>
          <w:noProof/>
        </w:rPr>
        <w:t>(10–12,16)</w:t>
      </w:r>
      <w:r w:rsidRPr="00061298">
        <w:fldChar w:fldCharType="end"/>
      </w:r>
      <w:r w:rsidRPr="00061298">
        <w:t>. The</w:t>
      </w:r>
      <w:r w:rsidRPr="00572B34">
        <w:t xml:space="preserve"> main limitation of this study is </w:t>
      </w:r>
      <w:r w:rsidR="005D04B7">
        <w:t>its</w:t>
      </w:r>
      <w:r w:rsidRPr="00572B34">
        <w:t xml:space="preserve"> observational</w:t>
      </w:r>
      <w:r w:rsidR="005D04B7">
        <w:t xml:space="preserve"> design</w:t>
      </w:r>
      <w:r w:rsidR="009E2600">
        <w:t xml:space="preserve">, but this must be weighed against the importance of the findings made from “real world” settings outside very tightly controlled clinical trials. </w:t>
      </w:r>
      <w:r w:rsidR="005D04B7">
        <w:t>R</w:t>
      </w:r>
      <w:r w:rsidRPr="00572B34">
        <w:t xml:space="preserve">obust methods to </w:t>
      </w:r>
      <w:r w:rsidR="005D04B7">
        <w:t>deal with potential sources of bias</w:t>
      </w:r>
      <w:r w:rsidR="0073573C">
        <w:t xml:space="preserve"> </w:t>
      </w:r>
      <w:r w:rsidR="007A1A48">
        <w:t>were used</w:t>
      </w:r>
      <w:r w:rsidRPr="00572B34">
        <w:t xml:space="preserve">, </w:t>
      </w:r>
      <w:r w:rsidR="005D04B7">
        <w:t>and the</w:t>
      </w:r>
      <w:r w:rsidRPr="00572B34">
        <w:t xml:space="preserve"> </w:t>
      </w:r>
      <w:r w:rsidR="007A1A48">
        <w:t>IPTW</w:t>
      </w:r>
      <w:r w:rsidRPr="00572B34">
        <w:t xml:space="preserve"> </w:t>
      </w:r>
      <w:r w:rsidR="005D04B7">
        <w:t xml:space="preserve">produced well </w:t>
      </w:r>
      <w:r w:rsidR="005D04B7" w:rsidRPr="00061298">
        <w:lastRenderedPageBreak/>
        <w:t>balanced groups in the main analysis</w:t>
      </w:r>
      <w:r w:rsidRPr="00061298">
        <w:t>.</w:t>
      </w:r>
      <w:r w:rsidR="000948D2" w:rsidRPr="00061298">
        <w:t xml:space="preserve"> </w:t>
      </w:r>
      <w:r w:rsidR="001A2532" w:rsidRPr="00061298">
        <w:t>A</w:t>
      </w:r>
      <w:r w:rsidR="000948D2" w:rsidRPr="00061298">
        <w:t xml:space="preserve"> landmark time method </w:t>
      </w:r>
      <w:r w:rsidR="001A2532" w:rsidRPr="00061298">
        <w:t xml:space="preserve">was adopted </w:t>
      </w:r>
      <w:r w:rsidR="000948D2" w:rsidRPr="00061298">
        <w:t xml:space="preserve">to minimise immortal time bias, observing a persistent effect even when this was significantly extended. </w:t>
      </w:r>
      <w:r w:rsidR="001A2532" w:rsidRPr="00061298">
        <w:t>There was o</w:t>
      </w:r>
      <w:r w:rsidR="00390905" w:rsidRPr="00061298">
        <w:t>ne unmeasured confounding factor, tumour regression grade (TRG), which has previously been shown to influence postoperative treatment allocation</w:t>
      </w:r>
      <w:r w:rsidR="00390905" w:rsidRPr="00061298">
        <w:fldChar w:fldCharType="begin" w:fldLock="1"/>
      </w:r>
      <w:r w:rsidR="00D120BE" w:rsidRPr="00061298">
        <w:instrText>ADDIN CSL_CITATION {"citationItems":[{"id":"ITEM-1","itemData":{"DOI":"10.1002/bjs.10627","ISSN":"00071323","PMID":"28944954","abstract":"BACKGROUND This multicentre cohort study sought to define a robust pathological indicator of clinically meaningful response to neoadjuvant chemotherapy in oesophageal adenocarcinoma. METHODS A questionnaire was distributed to 11 UK upper gastrointestinal cancer centres to determine the use of assessment of response to neoadjuvant chemotherapy. Records of consecutive patients undergoing oesophagogastric resection at seven centres between January 2000 and December 2013 were reviewed. Pathological response to neoadjuvant chemotherapy was assessed using the Mandard Tumour Regression Grade (TRG) and lymph node downstaging. RESULTS TRG (8 of 11 centres) was the most widely used system to assess response to neoadjuvant chemotherapy, but there was discordance on how it was used in practice. Of 1392 patients, 1293 had TRG assessment; data were available for clinical and pathological nodal status (cN and pN) in 981 patients, and TRG, cN and pN in 885. There was a significant difference in survival between responders (TRG 1-2; median overall survival (OS) not reached) and non-responders (TRG 3-5; median OS 2·22 (95 per cent c.i. 1·94 to 2·51) years; P &lt; 0·001); the hazard ratio was 2·46 (95 per cent c.i. 1·22 to 4·95; P = 0·012). Among local non-responders, the presence of lymph node downstaging was associated with significantly improved OS compared with that of patients without lymph node downstaging (median OS not reached versus 1·92 (1·68 to 2·16) years; P &lt; 0·001). CONCLUSION A clinically meaningful local response to neoadjuvant chemotherapy was restricted to the small minority of patients (14·8 per cent) with TRG 1-2. Among local non-responders, a subset of patients (21·3 per cent) derived benefit from neoadjuvant chemotherapy by lymph node downstaging and their survival mirrored that of local responders.","author":[{"dropping-particle":"","family":"Noble","given":"F.","non-dropping-particle":"","parse-names":false,"suffix":""},{"dropping-particle":"","family":"Lloyd","given":"M. A.","non-dropping-particle":"","parse-names":false,"suffix":""},{"dropping-particle":"","family":"Turkington","given":"R.","non-dropping-particle":"","parse-names":false,"suffix":""},{"dropping-particle":"","family":"Griffiths","given":"E.","non-dropping-particle":"","parse-names":false,"suffix":""},{"dropping-particle":"","family":"O'Donovan","given":"M.","non-dropping-particle":"","parse-names":false,"suffix":""},{"dropping-particle":"","family":"O'Neill","given":"J. R.","non-dropping-particle":"","parse-names":false,"suffix":""},{"dropping-particle":"","family":"Mercer","given":"S.","non-dropping-particle":"","parse-names":false,"suffix":""},{"dropping-particle":"","family":"Parsons","given":"S. L.","non-dropping-particle":"","parse-names":false,"suffix":""},{"dropping-particle":"","family":"Fitzgerald","given":"R. C.","non-dropping-particle":"","parse-names":false,"suffix":""},{"dropping-particle":"","family":"Underwood","given":"T. J.","non-dropping-particle":"","parse-names":false,"suffix":""},{"dropping-particle":"","family":"OCCAMS consortium","given":"","non-dropping-particle":"","parse-names":false,"suffix":""}],"container-title":"British Journal of Surgery","id":"ITEM-1","issue":"13","issued":{"date-parts":[["2017","12"]]},"page":"1816-1828","title":"Multicentre cohort study to define and validate pathological assessment of response to neoadjuvant therapy in oesophagogastric adenocarcinoma","type":"article-journal","volume":"104"},"uris":["http://www.mendeley.com/documents/?uuid=cfb276fe-fba5-3234-9004-13e88a5bd79f"]},{"id":"ITEM-2","itemData":{"DOI":"10.1016/j.suronc.2017.06.001","ISSN":"18793320","PMID":"28684226","abstract":"Background: Based on two benchmark studies perioperative chemotherapy (CTx) has become standard treatment for locally advanced esophagogastric adenocarcinoma (EGA) in Europe. However, only half of the patients in both studies actually received postoperative CTx (aCTx). Thus, we evaluated the prognostic impact of preoperative CTx (nCTx) and aCTx combined versus nCTx alone. Furthermore, we aimed to identify subgroups potentially beneficial of aCTx and factors associated with its non-administration. Methods: We retrospectively analyzed 299 consecutive patients with EGA, who underwent complete resection (all M0, R0) after nCTx in our institution and were eligible for aCTx. Patients with and without aCTx were compared regarding clinicopathological data, treatment, morbidity, and long-term prognosis. Results: 129 patients (43.1%) did not receive aCTx. Administration of aCTx did not significantly improve overall (OS) and recurrence free survival (RFS) (median OS: 78.2 months vs. not reached, p = 0.331; RFS: 43.3 vs. 41.1 months, p = 0.118), but was an independent positive predictor of RFS (HR 1.6 95%CI 1.1–2.5, p = 0.024). aCTx improved RFS in non-intestinal tumors (p = 0.023) and patients receiving FLOT regimen (p = 0.038). By logistic regression analysis factors predictive of non-administration of aCTx were older age (&gt;65 years: OR 3.2, p = 0.028), longer hospital stay (15–28 days: OR 2.6, p = 0.001; &gt;28 days: OR 5.2, p &lt; 0.001), and histopathologic non-response (OR 1.9, p = 0.023). Conclusion: Advanced age, histopathologic non-response, and prolonged convalescence due to postoperative morbidity lead to omission of aCTx. However, this study could not provide evidence to support the beneficial role of aCTx in perioperative chemotherapy regimens for a selected patient collective with EGA and excellent prognosis.","author":[{"dropping-particle":"","family":"Sisic","given":"Leila","non-dropping-particle":"","parse-names":false,"suffix":""},{"dropping-particle":"","family":"Blank","given":"Susanne","non-dropping-particle":"","parse-names":false,"suffix":""},{"dropping-particle":"","family":"Nienhüser","given":"Henrik","non-dropping-particle":"","parse-names":false,"suffix":""},{"dropping-particle":"","family":"Haag","given":"Georg Martin","non-dropping-particle":"","parse-names":false,"suffix":""},{"dropping-particle":"","family":"Jäger","given":"Dirk","non-dropping-particle":"","parse-names":false,"suffix":""},{"dropping-particle":"","family":"Bruckner","given":"Tom","non-dropping-particle":"","parse-names":false,"suffix":""},{"dropping-particle":"","family":"Ott","given":"Katja","non-dropping-particle":"","parse-names":false,"suffix":""},{"dropping-particle":"","family":"Schmidt","given":"Thomas","non-dropping-particle":"","parse-names":false,"suffix":""},{"dropping-particle":"","family":"Ulrich","given":"Alexis","non-dropping-particle":"","parse-names":false,"suffix":""}],"container-title":"Surgical Oncology","id":"ITEM-2","issued":{"date-parts":[["2020"]]},"page":"177-188","title":"The postoperative part of perioperative chemotherapy fails to provide a survival benefit in completely resected esophagogastric adenocarcinoma","type":"article-journal","volume":"33"},"uris":["http://www.mendeley.com/documents/?uuid=8ec4b6b4-7105-4693-bebf-2187a5ecca23"]}],"mendeley":{"formattedCitation":"(6,15)","plainTextFormattedCitation":"(6,15)","previouslyFormattedCitation":"(6,15)"},"properties":{"noteIndex":0},"schema":"https://github.com/citation-style-language/schema/raw/master/csl-citation.json"}</w:instrText>
      </w:r>
      <w:r w:rsidR="00390905" w:rsidRPr="00061298">
        <w:fldChar w:fldCharType="separate"/>
      </w:r>
      <w:r w:rsidR="00390905" w:rsidRPr="00061298">
        <w:rPr>
          <w:noProof/>
        </w:rPr>
        <w:t>(6,15)</w:t>
      </w:r>
      <w:r w:rsidR="00390905" w:rsidRPr="00061298">
        <w:fldChar w:fldCharType="end"/>
      </w:r>
      <w:r w:rsidR="00390905" w:rsidRPr="00061298">
        <w:t>. The propensity score model included several variables with which TRG is strongly corelated (ypT, ypN, CRM), which are likely to reduce or eliminate its independent multivariate effect</w:t>
      </w:r>
      <w:r w:rsidR="00390905" w:rsidRPr="00061298">
        <w:fldChar w:fldCharType="begin" w:fldLock="1"/>
      </w:r>
      <w:r w:rsidR="00D120BE" w:rsidRPr="00061298">
        <w:instrText>ADDIN CSL_CITATION {"citationItems":[{"id":"ITEM-1","itemData":{"DOI":"10.1002/bjs.11461","ISSN":"00071323","abstract":"Background: Early cancer recurrence after oesophagectomy is a common problem, with an incidence of 20–30 per cent despite the widespread use of neoadjuvant treatment. Quantification of this risk is difficult and existing models perform poorly. This study aimed to develop a predictive model for early recurrence after surgery for oesophageal adenocarcinoma using a large multinational cohort and machine learning approaches. Methods: Consecutive patients who underwent oesophagectomy for adenocarcinoma and had neoadjuvant treatment in one Dutch and six UK oesophagogastric units were analysed. Using clinical characteristics and postoperative histopathology, models were generated using elastic net regression (ELR) and the machine learning methods random forest (RF) and extreme gradient boosting (XGB). Finally, a combined (ensemble) model of these was generated. The relative importance of factors to outcome was calculated as a percentage contribution to the model. Results: A total of 812 patients were included. The recurrence rate at less than 1 year was 29·1 per cent. All of the models demonstrated good discrimination. Internally validated areas under the receiver operating characteristic (ROC) curve (AUCs) were similar, with the ensemble model performing best (AUC 0·791 for ELR, 0·801 for RF, 0·804 for XGB, 0·805 for ensemble). Performance was similar when internal–external validation was used (validation across sites, AUC 0·804 for ensemble). In the final model, the most important variables were number of positive lymph nodes (25·7 per cent) and lymphovascular invasion (16·9 per cent). Conclusion: The model derived using machine learning approaches and an international data set provided excellent performance in quantifying the risk of early recurrence after surgery, and will be useful in prognostication for clinicians and patients.","author":[{"dropping-particle":"","family":"Rahman","given":"S. A.","non-dropping-particle":"","parse-names":false,"suffix":""},{"dropping-particle":"","family":"Walker","given":"R. C.","non-dropping-particle":"","parse-names":false,"suffix":""},{"dropping-particle":"","family":"Lloyd","given":"M. A.","non-dropping-particle":"","parse-names":false,"suffix":""},{"dropping-particle":"","family":"Grace","given":"B. L.","non-dropping-particle":"","parse-names":false,"suffix":""},{"dropping-particle":"","family":"Boxel","given":"G. I.","non-dropping-particle":"van","parse-names":false,"suffix":""},{"dropping-particle":"","family":"Kingma","given":"B. F.","non-dropping-particle":"","parse-names":false,"suffix":""},{"dropping-particle":"","family":"Ruurda","given":"J. P.","non-dropping-particle":"","parse-names":false,"suffix":""},{"dropping-particle":"","family":"Hillegersberg","given":"R.","non-dropping-particle":"van","parse-names":false,"suffix":""},{"dropping-particle":"","family":"Harris","given":"S.","non-dropping-particle":"","parse-names":false,"suffix":""},{"dropping-particle":"","family":"Parsons","given":"S.","non-dropping-particle":"","parse-names":false,"suffix":""},{"dropping-particle":"","family":"Mercer","given":"S.","non-dropping-particle":"","parse-names":false,"suffix":""},{"dropping-particle":"","family":"Griffiths","given":"E. A.","non-dropping-particle":"","parse-names":false,"suffix":""},{"dropping-particle":"","family":"O'Neill","given":"J. Robert","non-dropping-particle":"","parse-names":false,"suffix":""},{"dropping-particle":"","family":"Turkington","given":"R.","non-dropping-particle":"","parse-names":false,"suffix":""},{"dropping-particle":"","family":"Fitzgerald","given":"R. C.","non-dropping-particle":"","parse-names":false,"suffix":""},{"dropping-particle":"","family":"Underwood","given":"Timothy J.","non-dropping-particle":"","parse-names":false,"suffix":""}],"container-title":"British Journal of Surgery","id":"ITEM-1","issue":"8","issued":{"date-parts":[["2020","7"]]},"page":"1042-1052","publisher":"John Wiley and Sons Ltd","title":"Machine learning to predict early recurrence after oesophageal cancer surgery","type":"article-journal","volume":"107"},"uris":["http://www.mendeley.com/documents/?uuid=4b647c9c-cc20-3569-91fd-d59bfc1d7eb7"]}],"mendeley":{"formattedCitation":"(47)","plainTextFormattedCitation":"(47)","previouslyFormattedCitation":"(47)"},"properties":{"noteIndex":0},"schema":"https://github.com/citation-style-language/schema/raw/master/csl-citation.json"}</w:instrText>
      </w:r>
      <w:r w:rsidR="00390905" w:rsidRPr="00061298">
        <w:fldChar w:fldCharType="separate"/>
      </w:r>
      <w:r w:rsidR="00390905" w:rsidRPr="00061298">
        <w:rPr>
          <w:noProof/>
        </w:rPr>
        <w:t>(47)</w:t>
      </w:r>
      <w:r w:rsidR="00390905" w:rsidRPr="00061298">
        <w:fldChar w:fldCharType="end"/>
      </w:r>
      <w:r w:rsidR="001A2532" w:rsidRPr="00061298">
        <w:t>. H</w:t>
      </w:r>
      <w:r w:rsidR="00390905" w:rsidRPr="00061298">
        <w:t>owever its absence is a limitation of this analysis. Further study with direct measurement of tumour and nodal regression</w:t>
      </w:r>
      <w:r w:rsidR="00390905" w:rsidRPr="00061298">
        <w:fldChar w:fldCharType="begin" w:fldLock="1"/>
      </w:r>
      <w:r w:rsidR="00D120BE" w:rsidRPr="00061298">
        <w:instrText>ADDIN CSL_CITATION {"citationItems":[{"id":"ITEM-1","itemData":{"DOI":"10.1002/bjs.10900","author":[{"dropping-particle":"","family":"Davies","given":"A. R.","non-dropping-particle":"","parse-names":false,"suffix":""},{"dropping-particle":"","family":"Myoteri","given":"D.","non-dropping-particle":"","parse-names":false,"suffix":""},{"dropping-particle":"","family":"Zylstra","given":"J.","non-dropping-particle":"","parse-names":false,"suffix":""},{"dropping-particle":"","family":"Baker","given":"C. R.","non-dropping-particle":"","parse-names":false,"suffix":""},{"dropping-particle":"","family":"Wulaningsih","given":"W.","non-dropping-particle":"","parse-names":false,"suffix":""},{"dropping-particle":"","family":"Hemelrijck","given":"M.","non-dropping-particle":"Van","parse-names":false,"suffix":""},{"dropping-particle":"","family":"Maisey","given":"N.","non-dropping-particle":"","parse-names":false,"suffix":""},{"dropping-particle":"","family":"Allum","given":"W. H.","non-dropping-particle":"","parse-names":false,"suffix":""},{"dropping-particle":"","family":"Smyth","given":"E.","non-dropping-particle":"","parse-names":false,"suffix":""},{"dropping-particle":"","family":"Gossage","given":"J. A.","non-dropping-particle":"","parse-names":false,"suffix":""},{"dropping-particle":"","family":"Lagergren","given":"J.","non-dropping-particle":"","parse-names":false,"suffix":""},{"dropping-particle":"","family":"Cunningham","given":"D.","non-dropping-particle":"","parse-names":false,"suffix":""},{"dropping-particle":"","family":"Green","given":"M.","non-dropping-particle":"","parse-names":false,"suffix":""}],"container-title":"British Journal of Surgery","id":"ITEM-1","issue":"12","issued":{"date-parts":[["2018"]]},"page":"1639-1649","title":"Lymph node regression and survival following neoadjuvant chemotherapy in oesophageal adenocarcinoma","type":"article-journal","volume":"105"},"uris":["http://www.mendeley.com/documents/?uuid=2b2f183e-f472-478f-a691-f60b41952b0c"]}],"mendeley":{"formattedCitation":"(48)","plainTextFormattedCitation":"(48)","previouslyFormattedCitation":"(48)"},"properties":{"noteIndex":0},"schema":"https://github.com/citation-style-language/schema/raw/master/csl-citation.json"}</w:instrText>
      </w:r>
      <w:r w:rsidR="00390905" w:rsidRPr="00061298">
        <w:fldChar w:fldCharType="separate"/>
      </w:r>
      <w:r w:rsidR="00390905" w:rsidRPr="00061298">
        <w:rPr>
          <w:noProof/>
        </w:rPr>
        <w:t>(48)</w:t>
      </w:r>
      <w:r w:rsidR="00390905" w:rsidRPr="00061298">
        <w:fldChar w:fldCharType="end"/>
      </w:r>
      <w:r w:rsidR="00390905" w:rsidRPr="00061298">
        <w:t xml:space="preserve"> would be beneficial. It is likely that other unmeasured confounders exist that may reduce the strength of association seen. </w:t>
      </w:r>
      <w:r w:rsidR="00B64874" w:rsidRPr="00061298">
        <w:t>T</w:t>
      </w:r>
      <w:r w:rsidR="00390905" w:rsidRPr="00061298">
        <w:t>he potential effect of unmeasured confounding</w:t>
      </w:r>
      <w:r w:rsidR="00B64874" w:rsidRPr="00061298">
        <w:t xml:space="preserve"> was assessed. It was</w:t>
      </w:r>
      <w:r w:rsidR="00390905" w:rsidRPr="00061298">
        <w:t xml:space="preserve"> found that to eliminate the</w:t>
      </w:r>
      <w:r w:rsidR="00390905" w:rsidRPr="00572B34">
        <w:t xml:space="preserve"> </w:t>
      </w:r>
      <w:r w:rsidR="00390905">
        <w:t>demonstrated</w:t>
      </w:r>
      <w:r w:rsidR="00390905" w:rsidRPr="00572B34">
        <w:t xml:space="preserve"> benefit, </w:t>
      </w:r>
      <w:r w:rsidR="00390905">
        <w:t xml:space="preserve">a set of confounders would need to be roughly 50% </w:t>
      </w:r>
      <w:r w:rsidR="00390905" w:rsidRPr="00572B34">
        <w:t xml:space="preserve">more </w:t>
      </w:r>
      <w:r w:rsidR="00390905">
        <w:t xml:space="preserve">prevalent </w:t>
      </w:r>
      <w:r w:rsidR="00390905" w:rsidRPr="00572B34">
        <w:t xml:space="preserve">in </w:t>
      </w:r>
      <w:r w:rsidR="00390905">
        <w:t>the observation</w:t>
      </w:r>
      <w:r w:rsidR="00390905" w:rsidRPr="00572B34">
        <w:t xml:space="preserve"> cases</w:t>
      </w:r>
      <w:r w:rsidR="00390905">
        <w:t xml:space="preserve"> and </w:t>
      </w:r>
      <w:r w:rsidR="00390905" w:rsidRPr="00EE51ED">
        <w:t xml:space="preserve">would have to be associated with a </w:t>
      </w:r>
      <w:r w:rsidR="00390905">
        <w:t>1.51</w:t>
      </w:r>
      <w:r w:rsidR="00390905" w:rsidRPr="00EE51ED">
        <w:t xml:space="preserve"> increase in the risk of </w:t>
      </w:r>
      <w:r w:rsidR="00390905">
        <w:t>death</w:t>
      </w:r>
      <w:r w:rsidR="00390905" w:rsidRPr="00EE51ED">
        <w:t xml:space="preserve"> to explain the observed risk ratio</w:t>
      </w:r>
      <w:r w:rsidR="00390905">
        <w:t xml:space="preserve">, which is unlikely. </w:t>
      </w:r>
      <w:r w:rsidR="00AD59A6">
        <w:t>The NOGCA also does not record recurrence or cause of death, so we were unable to calculate disease</w:t>
      </w:r>
      <w:r w:rsidR="002B3205">
        <w:t>-</w:t>
      </w:r>
      <w:r w:rsidR="00AD59A6">
        <w:t>free or cancer</w:t>
      </w:r>
      <w:r w:rsidR="002B3205">
        <w:t>-</w:t>
      </w:r>
      <w:r w:rsidR="00AD59A6">
        <w:t>specific survival, which</w:t>
      </w:r>
      <w:r w:rsidR="002B3205">
        <w:t xml:space="preserve"> may be less susceptible to residual selection bias. </w:t>
      </w:r>
    </w:p>
    <w:p w14:paraId="09F11CDD" w14:textId="79040EE5" w:rsidR="004D1AB1" w:rsidRPr="006E1E8C" w:rsidRDefault="00B64874" w:rsidP="00F7005E">
      <w:pPr>
        <w:spacing w:before="100" w:beforeAutospacing="1" w:after="100" w:afterAutospacing="1" w:line="480" w:lineRule="auto"/>
      </w:pPr>
      <w:r>
        <w:t>The</w:t>
      </w:r>
      <w:r w:rsidRPr="001A6B17">
        <w:t xml:space="preserve"> </w:t>
      </w:r>
      <w:r w:rsidR="004D1AB1" w:rsidRPr="001A6B17">
        <w:t>subgroup analyses were limited by the increased residual confounding in comparison to the main analysis, with length of stay and the occurrence of anastomotic leak, both factors that strongly correlate with administration of postoperative chemotherapy, unable to be balanced in some subgroups. This reduces the validity of relationships demonstrated</w:t>
      </w:r>
      <w:r>
        <w:t>. H</w:t>
      </w:r>
      <w:r w:rsidR="004D1AB1" w:rsidRPr="001A6B17">
        <w:t>owever, valuable further insights may still be gained.</w:t>
      </w:r>
      <w:r w:rsidR="004D1AB1" w:rsidRPr="00B64874">
        <w:t xml:space="preserve"> Firstly, in ypN0 patients no survival benefit was seen with postoperative chemotherapy. </w:t>
      </w:r>
      <w:r w:rsidR="00F7005E" w:rsidRPr="001A6B17">
        <w:t>These patients had very good survival outcomes overall and they may have either innately favourable biology and/or substantial response to preoperative treatment that obviate the need for postoperative chemotherapy.</w:t>
      </w:r>
      <w:r w:rsidR="00F7005E" w:rsidRPr="00B64874">
        <w:t xml:space="preserve"> </w:t>
      </w:r>
      <w:r>
        <w:t>A</w:t>
      </w:r>
      <w:r w:rsidR="004D1AB1" w:rsidRPr="00B64874">
        <w:t xml:space="preserve"> prognostic model for oesophageal cancer </w:t>
      </w:r>
      <w:r>
        <w:t xml:space="preserve">was </w:t>
      </w:r>
      <w:r w:rsidR="004D1AB1" w:rsidRPr="00B64874">
        <w:t>developed in a similar cohort from the NOGCA</w:t>
      </w:r>
      <w:r w:rsidR="004D1AB1" w:rsidRPr="00B64874">
        <w:fldChar w:fldCharType="begin" w:fldLock="1"/>
      </w:r>
      <w:r w:rsidR="00D120BE">
        <w:instrText>ADDIN CSL_CITATION {"citationItems":[{"id":"ITEM-1","itemData":{"DOI":"10.1097/SLA.0000000000004794","ISSN":"0003-4932","PMID":"33630434","abstract":"OBJECTIVE: To develop a predictive model for overall survival after esophagectomy using pre/postoperative clinical data and machine learning. SUMMARY BACKGROUND DATA: For patients with esophageal cancer, accurately predicting long-term survival after esophagectomy is challenging. This study investigated survival prediction after esophagectomy using a Random Survival Forest (RSF) model derived from routine data from a large, well curated, national dataset. METHODS: Patients diagnosed with esophageal adenocarcinoma or squamous cell carcinoma between 2012 and 2018 in England and Wales who underwent an esophagectomy were included. Prediction models for overall survival were developed using the RSF method and Cox regression from 41 patient and disease characteristics. Calibration and discrimination (time dependent AUC) were validated internally using bootstrap resampling. RESULTS: The study analysed 6399 patients, with 2625 deaths during follow-up. Median follow-up was 41 months. Overall survival was 47.1% at 5 years. The final RSF model included 14 variables and had excellent discrimination with a 5-year tAUC of 83.9% (95%CI 82.6-84.9%), compared to 82.3% (95%CI 81.1-83.3%) for the Cox model. The most important variables were lymph node involvement, pT stage, CRM involvement (tumour at &lt; 1 mm from cut edge) and age. There was a wide range of survival estimates even within TNM staging groups, with quintiles of prediction within Stage 3b ranging from 12.2-44.7% survival at 5 years. CONCLUSIONS: An RSF model for long-term survival after esophagectomy exhibited excellent discrimination and well calibrated predictions. At a patient level, it provides more accuracy than TNM staging alone and could help in the delivery of tailored treatment and follow-up.","author":[{"dropping-particle":"","family":"Rahman","given":"Saqib A","non-dropping-particle":"","parse-names":false,"suffix":""},{"dropping-particle":"","family":"Walker","given":"Robert C","non-dropping-particle":"","parse-names":false,"suffix":""},{"dropping-particle":"","family":"Maynard","given":"Nick","non-dropping-particle":"","parse-names":false,"suffix":""},{"dropping-particle":"","family":"Trudgill","given":"Nigel","non-dropping-particle":"","parse-names":false,"suffix":""},{"dropping-particle":"","family":"Crosby","given":"Tom","non-dropping-particle":"","parse-names":false,"suffix":""},{"dropping-particle":"","family":"Cromwell","given":"David A","non-dropping-particle":"","parse-names":false,"suffix":""},{"dropping-particle":"","family":"Underwood","given":"Timothy J","non-dropping-particle":"","parse-names":false,"suffix":""}],"container-title":"Annals of Surgery","id":"ITEM-1","issued":{"date-parts":[["2021","2","17"]]},"language":"eng","publisher-place":"United States","title":"The AUGIS Survival Predictor","type":"article-journal","volume":"Publish Ah"},"uris":["http://www.mendeley.com/documents/?uuid=c660805e-c9bf-40de-a0dc-37ee3cdba84a"]}],"mendeley":{"formattedCitation":"(49)","plainTextFormattedCitation":"(49)","previouslyFormattedCitation":"(49)"},"properties":{"noteIndex":0},"schema":"https://github.com/citation-style-language/schema/raw/master/csl-citation.json"}</w:instrText>
      </w:r>
      <w:r w:rsidR="004D1AB1" w:rsidRPr="00B64874">
        <w:fldChar w:fldCharType="separate"/>
      </w:r>
      <w:r w:rsidR="004D1AB1" w:rsidRPr="00B64874">
        <w:rPr>
          <w:noProof/>
        </w:rPr>
        <w:t>(49)</w:t>
      </w:r>
      <w:r w:rsidR="004D1AB1" w:rsidRPr="00B64874">
        <w:fldChar w:fldCharType="end"/>
      </w:r>
      <w:r w:rsidR="004D1AB1" w:rsidRPr="00B64874">
        <w:t xml:space="preserve"> which highlights subpopulations within staging groups with differing survival. </w:t>
      </w:r>
      <w:r w:rsidR="00ED2156" w:rsidRPr="001A6B17">
        <w:t xml:space="preserve">Prospective validation of this tool or others should consider if they can identify either subgroups or individual patients who would benefit from postoperative/adjuvant therapy. </w:t>
      </w:r>
      <w:r w:rsidR="00ED2156" w:rsidRPr="001A6B17">
        <w:lastRenderedPageBreak/>
        <w:t>The integration of biomarker analysis into routine practice may also help guide treatment decisions in future, particularly for adding of monoclonal antibodies into treatment pathways (e.g., PDL1 status for utility of Nivolumab), although no such marker of response to traditional pre/post-operative chemotherapy so far has been identified.</w:t>
      </w:r>
      <w:r w:rsidR="006E1E8C" w:rsidRPr="00B64874">
        <w:t xml:space="preserve"> </w:t>
      </w:r>
      <w:r w:rsidR="00940CFD" w:rsidRPr="001A6B17">
        <w:t>Secondly, treatment effect varied with tumour site, with a larger effect seen with oesophageal tumours, a lesser effect seen for tumours of the GOJ, and no clear benefit to tumours of the stomach, even when ypN+, similar to previous research</w:t>
      </w:r>
      <w:r w:rsidR="00940CFD" w:rsidRPr="001A6B17">
        <w:fldChar w:fldCharType="begin" w:fldLock="1"/>
      </w:r>
      <w:r w:rsidR="00D120BE">
        <w:instrText>ADDIN CSL_CITATION {"citationItems":[{"id":"ITEM-1","itemData":{"DOI":"10.1245/s10434-020-09045-w","ISSN":"15344681","abstract":"Background: Perioperative chemotherapy is a standard-of-care treatment for patients with gastric cancer. However, the impact of the postoperative chemotherapy (postCTX) component on overall survival (OS) is not well defined. Methods: The National Cancer Database (NCDB) 2006–2014 was queried for patients who received preoperative chemotherapy (preCTX) and resection for gastric cancer. Analysis was performed to identify factors influencing receipt of postCTX. The impact of postCTX on OS was evaluated in propensity-matched groups. Results: Among 3449 patients who received preCTX and resection for gastric cancer, 1091 (31.6%) received postCTX. Independent predictors of receiving postCTX were diagnosis after 2010 (odds ratio [OR] 1.985), distal tumor location (OR 1.348), and 15 or more lymph nodes examined (OR 1.214). Predictors of not receiving postCTX were older age (OR 0.985), comorbidity score higher than 1 (OR 0.592), and black race (OR 0.791). After propensity-matching (1091 per group), the median OS was 56.8 months for those who did receive postCTX versus 52.5 months for those who did not (p = 0.131). Subset analysis according to tumor grade, lymphovascular invasion, number of lymph nodes evaluated, T and N class, and AJCC stage identified an improvement in OS for the patients with N1 disease who received postCTX compared with those who did not (79.6 vs 41.3 months; p = 0.025). However, no other subgroup had a significant survival benefit. Conclusions: Additional postCTX was administered to a minority of patients who received preCTX and gastrectomy for gastric cancer, and its influence on OS appeared to be limited. Future trials should aim to define patients who will benefit from postCTX.","author":[{"dropping-particle":"","family":"Drake","given":"Justin A.","non-dropping-particle":"","parse-names":false,"suffix":""},{"dropping-particle":"","family":"Stiles","given":"Zachary E.","non-dropping-particle":"","parse-names":false,"suffix":""},{"dropping-particle":"","family":"Tsao","given":"Miriam W.","non-dropping-particle":"","parse-names":false,"suffix":""},{"dropping-particle":"","family":"Deneve","given":"Jeremiah L.","non-dropping-particle":"","parse-names":false,"suffix":""},{"dropping-particle":"","family":"Glazer","given":"Evan S.","non-dropping-particle":"","parse-names":false,"suffix":""},{"dropping-particle":"","family":"Yakoub","given":"Danny","non-dropping-particle":"","parse-names":false,"suffix":""},{"dropping-particle":"","family":"Grothey","given":"Axel","non-dropping-particle":"","parse-names":false,"suffix":""},{"dropping-particle":"","family":"Somer","given":"Bradley G.","non-dropping-particle":"","parse-names":false,"suffix":""},{"dropping-particle":"V.","family":"Dickson","given":"Paxton","non-dropping-particle":"","parse-names":false,"suffix":""}],"container-title":"Annals of Surgical Oncology","id":"ITEM-1","issued":{"date-parts":[["2020"]]},"publisher":"Springer International Publishing","title":"Analysis of the Survival Impact of Postoperative Chemotherapy After Preoperative Chemotherapy and Resection for Gastric Cancer","type":"article-journal"},"uris":["http://www.mendeley.com/documents/?uuid=c8c11df9-ff65-4edf-9b86-25b7d5f73949"]}],"mendeley":{"formattedCitation":"(13)","plainTextFormattedCitation":"(13)","previouslyFormattedCitation":"(13)"},"properties":{"noteIndex":0},"schema":"https://github.com/citation-style-language/schema/raw/master/csl-citation.json"}</w:instrText>
      </w:r>
      <w:r w:rsidR="00940CFD" w:rsidRPr="001A6B17">
        <w:fldChar w:fldCharType="separate"/>
      </w:r>
      <w:r w:rsidR="00940CFD" w:rsidRPr="001A6B17">
        <w:rPr>
          <w:noProof/>
        </w:rPr>
        <w:t>(13)</w:t>
      </w:r>
      <w:r w:rsidR="00940CFD" w:rsidRPr="001A6B17">
        <w:fldChar w:fldCharType="end"/>
      </w:r>
      <w:r w:rsidR="00940CFD" w:rsidRPr="001A6B17">
        <w:t>. These results should be interpreted in the context that the pre-specified balance criteria (SMD &lt;0.1) were not met for some variables in the GOJ and gastric subgroups, making these analyses largely exploratory.</w:t>
      </w:r>
      <w:r w:rsidR="004D1AB1" w:rsidRPr="001A6B17">
        <w:t xml:space="preserve"> Nonetheless, this</w:t>
      </w:r>
      <w:r w:rsidR="004D1AB1" w:rsidRPr="00B64874">
        <w:t xml:space="preserve"> reinforces that these tumours, although often considered together, vary in terms of their etiology, genetics and response to treatment, at least in certain settings, which should be taken into consideration when analysing outcomes data</w:t>
      </w:r>
      <w:r w:rsidR="004D1AB1" w:rsidRPr="00B64874">
        <w:fldChar w:fldCharType="begin" w:fldLock="1"/>
      </w:r>
      <w:r w:rsidR="00D120BE">
        <w:instrText>ADDIN CSL_CITATION {"citationItems":[{"id":"ITEM-1","itemData":{"DOI":"10.1002/jso.23484","ISSN":"1096-9098 (Electronic) 0022-4790 (Linking)","author":[{"dropping-particle":"","family":"Curtis","given":"N J","non-dropping-particle":"","parse-names":false,"suffix":""},{"dropping-particle":"","family":"Noble","given":"F","non-dropping-particle":"","parse-names":false,"suffix":""},{"dropping-particle":"","family":"Bailey","given":"I S","non-dropping-particle":"","parse-names":false,"suffix":""},{"dropping-particle":"","family":"Kelly","given":"J J","non-dropping-particle":"","parse-names":false,"suffix":""},{"dropping-particle":"","family":"Byrne","given":"J P","non-dropping-particle":"","parse-names":false,"suffix":""},{"dropping-particle":"","family":"Underwood","given":"T J","non-dropping-particle":"","parse-names":false,"suffix":""}],"container-title":"J Surg Oncol","id":"ITEM-1","issue":"3","issued":{"date-parts":[["2014"]]},"page":"202-207","title":"The relevance of the Siewert classification in the era of multimodal therapy for adenocarcinoma of the gastro-oesophageal junction","type":"article-journal","volume":"109"},"uris":["http://www.mendeley.com/documents/?uuid=fd090b23-bec4-4cb0-8308-be4d26acb1aa"]}],"mendeley":{"formattedCitation":"(50)","plainTextFormattedCitation":"(50)","previouslyFormattedCitation":"(50)"},"properties":{"noteIndex":0},"schema":"https://github.com/citation-style-language/schema/raw/master/csl-citation.json"}</w:instrText>
      </w:r>
      <w:r w:rsidR="004D1AB1" w:rsidRPr="00B64874">
        <w:fldChar w:fldCharType="separate"/>
      </w:r>
      <w:r w:rsidR="004D1AB1" w:rsidRPr="00B64874">
        <w:rPr>
          <w:noProof/>
        </w:rPr>
        <w:t>(50)</w:t>
      </w:r>
      <w:r w:rsidR="004D1AB1" w:rsidRPr="00B64874">
        <w:fldChar w:fldCharType="end"/>
      </w:r>
      <w:r w:rsidR="004D1AB1" w:rsidRPr="00B64874">
        <w:t>.</w:t>
      </w:r>
    </w:p>
    <w:p w14:paraId="52249109" w14:textId="7788EC6A" w:rsidR="0098338D" w:rsidRDefault="0098338D" w:rsidP="00A823F9">
      <w:pPr>
        <w:spacing w:before="100" w:beforeAutospacing="1" w:after="100" w:afterAutospacing="1" w:line="480" w:lineRule="auto"/>
      </w:pPr>
      <w:r w:rsidRPr="00572B34">
        <w:t>There were insufficient numbers to analyse patients treated with FLOT separately, as this regimen has only recently entered widespread clinical practice, however given the similarities in postoperative treatment uptake between the MRC-MAGIC and FLOT4 trials, similar results would be expected</w:t>
      </w:r>
      <w:r w:rsidRPr="00B64874">
        <w:t xml:space="preserve">. </w:t>
      </w:r>
      <w:r w:rsidR="001D6917" w:rsidRPr="001A6B17">
        <w:t>The magnitude of effect is however unclear, and the findings on subgroup analysis (e.g., the lack of benefit in ypN0 tumours</w:t>
      </w:r>
      <w:r w:rsidR="003200D1" w:rsidRPr="001A6B17">
        <w:t>,</w:t>
      </w:r>
      <w:r w:rsidR="001D6917" w:rsidRPr="001A6B17">
        <w:t xml:space="preserve"> which </w:t>
      </w:r>
      <w:r w:rsidR="003200D1" w:rsidRPr="001A6B17">
        <w:t>is</w:t>
      </w:r>
      <w:r w:rsidR="001D6917" w:rsidRPr="001A6B17">
        <w:t xml:space="preserve"> seen more frequently after FLOT) may not translate to this population. Further research is required, and a further 5-10 years of experience with the regimen will be required to answer these questions.</w:t>
      </w:r>
      <w:r w:rsidR="001D6917" w:rsidRPr="00B64874">
        <w:t xml:space="preserve"> </w:t>
      </w:r>
      <w:r w:rsidRPr="00B64874">
        <w:t>Despite the small number of patients who received FLOT in this study, the considerably reduced proportion of patients going on to have postoperative chemotherapy should</w:t>
      </w:r>
      <w:r>
        <w:t xml:space="preserve"> be noted. </w:t>
      </w:r>
      <w:r w:rsidRPr="00572B34">
        <w:t>Considering the effect</w:t>
      </w:r>
      <w:r>
        <w:t>s</w:t>
      </w:r>
      <w:r w:rsidRPr="00572B34">
        <w:t xml:space="preserve"> of postoperative therapy demonstrated in this study, the more pronounced toxicity of FLOT, perceived or otherwise, could impact survival outcomes in the real-world setting.  </w:t>
      </w:r>
    </w:p>
    <w:p w14:paraId="266237E7" w14:textId="094463E2" w:rsidR="00EE1804" w:rsidRPr="00572B34" w:rsidRDefault="000D6716" w:rsidP="007E3DBA">
      <w:pPr>
        <w:spacing w:before="0" w:after="100" w:afterAutospacing="1" w:line="480" w:lineRule="auto"/>
      </w:pPr>
      <w:r>
        <w:t>T</w:t>
      </w:r>
      <w:r w:rsidR="001D0970" w:rsidRPr="00572B34">
        <w:t>h</w:t>
      </w:r>
      <w:r w:rsidR="007D321E" w:rsidRPr="00572B34">
        <w:t>e</w:t>
      </w:r>
      <w:r w:rsidR="001D0970" w:rsidRPr="00572B34">
        <w:t>s</w:t>
      </w:r>
      <w:r w:rsidR="007D321E" w:rsidRPr="00572B34">
        <w:t>e</w:t>
      </w:r>
      <w:r w:rsidR="001D0970" w:rsidRPr="00572B34">
        <w:t xml:space="preserve"> </w:t>
      </w:r>
      <w:r w:rsidR="005D04B7" w:rsidRPr="00061298">
        <w:t>results</w:t>
      </w:r>
      <w:r w:rsidRPr="00061298">
        <w:t xml:space="preserve"> highlight the potential impact of</w:t>
      </w:r>
      <w:r w:rsidR="001D0970" w:rsidRPr="00061298">
        <w:t xml:space="preserve"> increasing </w:t>
      </w:r>
      <w:r w:rsidRPr="00061298">
        <w:t xml:space="preserve">the </w:t>
      </w:r>
      <w:r w:rsidR="001D0970" w:rsidRPr="00061298">
        <w:t>uptake of postoperative chemotherapy</w:t>
      </w:r>
      <w:r w:rsidRPr="00061298">
        <w:t xml:space="preserve"> in terms of </w:t>
      </w:r>
      <w:r w:rsidR="001D0970" w:rsidRPr="00061298">
        <w:t>improv</w:t>
      </w:r>
      <w:r w:rsidRPr="00061298">
        <w:t>ing survival</w:t>
      </w:r>
      <w:r w:rsidR="008A4FA5" w:rsidRPr="00061298">
        <w:t xml:space="preserve"> among patients with </w:t>
      </w:r>
      <w:r w:rsidR="004C6085" w:rsidRPr="00061298">
        <w:t>O</w:t>
      </w:r>
      <w:r w:rsidR="00D603B6" w:rsidRPr="00061298">
        <w:t>G</w:t>
      </w:r>
      <w:r w:rsidR="008A4FA5" w:rsidRPr="00061298">
        <w:t xml:space="preserve">AC. </w:t>
      </w:r>
      <w:r w:rsidRPr="00061298">
        <w:t xml:space="preserve"> </w:t>
      </w:r>
      <w:r w:rsidR="00B64874" w:rsidRPr="00061298">
        <w:t xml:space="preserve">It was </w:t>
      </w:r>
      <w:r w:rsidR="00F61C48" w:rsidRPr="00061298">
        <w:t xml:space="preserve">found </w:t>
      </w:r>
      <w:r w:rsidR="00643D7D" w:rsidRPr="00061298">
        <w:t xml:space="preserve">that </w:t>
      </w:r>
      <w:r w:rsidR="00804763" w:rsidRPr="00061298">
        <w:t>postoperative</w:t>
      </w:r>
      <w:r w:rsidR="00F61C48" w:rsidRPr="00061298">
        <w:t xml:space="preserve"> chemotherapy was utilised less frequently</w:t>
      </w:r>
      <w:r w:rsidR="00F540C0" w:rsidRPr="00061298">
        <w:t xml:space="preserve"> overall</w:t>
      </w:r>
      <w:r w:rsidR="00F61C48" w:rsidRPr="00061298">
        <w:t xml:space="preserve"> than in published trials</w:t>
      </w:r>
      <w:r w:rsidR="001A5858" w:rsidRPr="00061298">
        <w:t xml:space="preserve"> (3</w:t>
      </w:r>
      <w:r w:rsidR="00D603B6" w:rsidRPr="00061298">
        <w:t>8</w:t>
      </w:r>
      <w:r w:rsidR="001A5858" w:rsidRPr="00061298">
        <w:t xml:space="preserve">.5% of </w:t>
      </w:r>
      <w:r w:rsidR="00B64874" w:rsidRPr="00061298">
        <w:t>patients</w:t>
      </w:r>
      <w:r w:rsidR="001A5858" w:rsidRPr="00061298">
        <w:t>)</w:t>
      </w:r>
      <w:r w:rsidR="00F61C48" w:rsidRPr="00061298">
        <w:t xml:space="preserve">. </w:t>
      </w:r>
      <w:r w:rsidR="00F61C48" w:rsidRPr="00061298">
        <w:lastRenderedPageBreak/>
        <w:t xml:space="preserve">Treatment allocation appeared to be predominantly governed by patient fitness and postoperative course, rather than tumour biology, with the most discriminatory variables including post-surgery length of stay, </w:t>
      </w:r>
      <w:r w:rsidR="00EE51ED" w:rsidRPr="00061298">
        <w:t xml:space="preserve">surgical </w:t>
      </w:r>
      <w:r w:rsidR="00F61C48" w:rsidRPr="00061298">
        <w:t xml:space="preserve">complications, </w:t>
      </w:r>
      <w:r w:rsidR="00643D7D" w:rsidRPr="00061298">
        <w:t xml:space="preserve">and </w:t>
      </w:r>
      <w:r w:rsidR="00F61C48" w:rsidRPr="00061298">
        <w:t xml:space="preserve">age. Patients who did not complete </w:t>
      </w:r>
      <w:r w:rsidR="00A80F6C" w:rsidRPr="00061298">
        <w:t>all</w:t>
      </w:r>
      <w:r w:rsidR="00F61C48" w:rsidRPr="00061298">
        <w:t xml:space="preserve"> preoperative treatment were also less likely to </w:t>
      </w:r>
      <w:r w:rsidR="009E2600" w:rsidRPr="00061298">
        <w:t xml:space="preserve">be </w:t>
      </w:r>
      <w:r w:rsidR="00A80F6C" w:rsidRPr="00061298">
        <w:t>treated</w:t>
      </w:r>
      <w:r w:rsidR="00F61C48" w:rsidRPr="00061298">
        <w:t xml:space="preserve"> </w:t>
      </w:r>
      <w:r w:rsidR="00804763" w:rsidRPr="00061298">
        <w:t>postoperative</w:t>
      </w:r>
      <w:r w:rsidR="00A80F6C" w:rsidRPr="00061298">
        <w:t>ly</w:t>
      </w:r>
      <w:r w:rsidR="00F61C48" w:rsidRPr="00061298">
        <w:t>, presumably because</w:t>
      </w:r>
      <w:r w:rsidR="00F61C48" w:rsidRPr="00572B34">
        <w:t xml:space="preserve"> of </w:t>
      </w:r>
      <w:r w:rsidR="00130446" w:rsidRPr="00572B34">
        <w:t xml:space="preserve">their </w:t>
      </w:r>
      <w:r w:rsidR="00F61C48" w:rsidRPr="00572B34">
        <w:t xml:space="preserve">physical condition. </w:t>
      </w:r>
      <w:r w:rsidR="00BB3772">
        <w:t>P</w:t>
      </w:r>
      <w:r w:rsidR="00F61C48" w:rsidRPr="00572B34">
        <w:t>atients who were treated in higher volume centres (&gt;</w:t>
      </w:r>
      <w:r w:rsidR="00643D7D" w:rsidRPr="00572B34">
        <w:t xml:space="preserve">60 </w:t>
      </w:r>
      <w:r w:rsidR="00F61C48" w:rsidRPr="00572B34">
        <w:t>resections</w:t>
      </w:r>
      <w:r w:rsidR="00643D7D" w:rsidRPr="00572B34">
        <w:t>/</w:t>
      </w:r>
      <w:r w:rsidR="00F61C48" w:rsidRPr="00572B34">
        <w:t>year) were mo</w:t>
      </w:r>
      <w:r w:rsidR="00643D7D" w:rsidRPr="00572B34">
        <w:t>re</w:t>
      </w:r>
      <w:r w:rsidR="00F61C48" w:rsidRPr="00572B34">
        <w:t xml:space="preserve"> likely to </w:t>
      </w:r>
      <w:r w:rsidR="009E2600">
        <w:t xml:space="preserve">be </w:t>
      </w:r>
      <w:r w:rsidR="00804763" w:rsidRPr="00572B34">
        <w:t>treated with postoperative chemotherapy</w:t>
      </w:r>
      <w:r w:rsidR="00F61C48" w:rsidRPr="00572B34">
        <w:t xml:space="preserve"> </w:t>
      </w:r>
      <w:r w:rsidR="000827DE" w:rsidRPr="00572B34">
        <w:t xml:space="preserve">(Table </w:t>
      </w:r>
      <w:r w:rsidR="00B00AA6" w:rsidRPr="00572B34">
        <w:t>2</w:t>
      </w:r>
      <w:r w:rsidR="000827DE" w:rsidRPr="00572B34">
        <w:t>)</w:t>
      </w:r>
      <w:r w:rsidR="00671DCD">
        <w:t>.</w:t>
      </w:r>
      <w:r w:rsidR="00941425">
        <w:t xml:space="preserve"> </w:t>
      </w:r>
    </w:p>
    <w:p w14:paraId="3C3C6CC4" w14:textId="2B4B0D78" w:rsidR="00806D9B" w:rsidRDefault="00F232D3" w:rsidP="007E3DBA">
      <w:pPr>
        <w:spacing w:before="0" w:after="100" w:afterAutospacing="1" w:line="480" w:lineRule="auto"/>
        <w:rPr>
          <w:b/>
          <w:bCs/>
          <w:sz w:val="24"/>
          <w:szCs w:val="24"/>
          <w:u w:val="single"/>
        </w:rPr>
      </w:pPr>
      <w:r w:rsidRPr="00572B34">
        <w:t xml:space="preserve">In this context, </w:t>
      </w:r>
      <w:r w:rsidR="00DD58BB" w:rsidRPr="00572B34">
        <w:t xml:space="preserve">increasing postoperative chemotherapy </w:t>
      </w:r>
      <w:r w:rsidR="00C8649B">
        <w:t xml:space="preserve">use </w:t>
      </w:r>
      <w:r w:rsidR="00DD58BB" w:rsidRPr="00572B34">
        <w:t>involves targeting potentially modifiable factors influencing its receipt, predominantly surgical complications. Although the NOGCA reports complications less frequently than international benchmarks</w:t>
      </w:r>
      <w:r w:rsidR="00DD58BB" w:rsidRPr="00572B34">
        <w:fldChar w:fldCharType="begin" w:fldLock="1"/>
      </w:r>
      <w:r w:rsidR="00D120BE">
        <w:instrText>ADDIN CSL_CITATION {"citationItems":[{"id":"ITEM-1","itemData":{"DOI":"10.1097/SLA.0000000000003210","ISBN":"0000000000","ISSN":"0003-4932","abstract":"MINI: Reporting complications after esophagectomy and gastrectomy of patients registered in the Dutch Upper gastrointestinal Cancer Audit according to a standardized outcomes set is feasible. Data verification showed that the completeness and accuracy of data were high. Major complications (Clavien-Dindo ≥III) occurred in 29% after esophagectomy and in 19% after gastrectomy. OBJECTIVE This nation-wide population-based study aimed to report postoperative morbidity and mortality after esophagectomy and gastrectomy in the Netherlands according to the definitions of the Esophagectomy Complications Consensus Group (ECCG). BACKGROUND To standardize international outcome reporting in esophageal surgery, the ECCG developed a standardized outcomes set. METHODS For this national cohort study, all patients undergoing esophagectomy or gastrectomy for cancer between 2016 and 2017 were selected from the Dutch Upper gastrointestinal Cancer Audit. In a random sample of hospitals, data completeness and accuracy were validated by reabstraction of the data. The investigated outcomes in the present study were postoperative complications, major complications (Clavien-Dindo grade ≥III), and 30-day mortality, according to definitions of the ECCG. RESULTS A total of 2545 patients from 22 hospitals were included. The completeness of the Dutch Upper gastrointestinal Cancer Audit was estimated at 99.8%. Data accuracy on different items was 94% to 100%. After esophagectomy, 1046 of 1617 patients (65%) had a postoperative complication including 468 patients (29%) with a major complication. Most common complications were pneumonia (21%), esophago-enteric leak from anastomosis, staple line or localized conduit necrosis (19%), and atrial dysrhythmia (15%). The 30-day mortality was 1.7%. After gastrectomy, 397 of 928 patients (42%) had a postoperative complication including 180 patients (19%) with a major complication. Most common complications were pneumonia (12%), esophago-enteric leak from anastomosis, staple line or localized conduit necrosis (9%), and acute delirium (5%). The 30-day mortality was 4.4%. CONCLUSIONS Reporting complications according to the ECCG platform is feasible in the Netherlands and facilitates international benchmarking.","author":[{"dropping-particle":"","family":"Werf","given":"Leonie R.","non-dropping-particle":"van der","parse-names":false,"suffix":""},{"dropping-particle":"","family":"Busweiler","given":"Linde A. D.","non-dropping-particle":"","parse-names":false,"suffix":""},{"dropping-particle":"","family":"Sandick","given":"Johanna W.","non-dropping-particle":"van","parse-names":false,"suffix":""},{"dropping-particle":"","family":"Berge Henegouwen","given":"Mark I.","non-dropping-particle":"van","parse-names":false,"suffix":""},{"dropping-particle":"","family":"Wijnhoven","given":"Bas P. L.","non-dropping-particle":"","parse-names":false,"suffix":""}],"container-title":"Annals of Surgery","id":"ITEM-1","issued":{"date-parts":[["2019","1"]]},"title":"Reporting National Outcomes After Esophagectomy and Gastrectomy According to the Esophageal Complications Consensus Group (ECCG)","type":"article-journal"},"uris":["http://www.mendeley.com/documents/?uuid=88f197b9-f68a-4562-819d-b4f4a77f2633"]},{"id":"ITEM-2","itemData":{"DOI":"10.1097/SLA.0000000000002611","ISBN":"0000000000","ISSN":"0003-4932","PMID":"29206677","abstract":"OBJECTIVE Utilizing a standardized dataset with specific definitions to prospectively collect international data to provide a benchmark for complications and outcomes associated with esophagectomy. SUMMARY OF BACKGROUND DATA Outcome reporting in oncologic surgery has suffered from the lack of a standardized system for reporting operative results particularly complications. This is particularly the case for esophagectomy affecting the accuracy and relevance of international outcome assessments, clinical trial results, and quality improvement projects. METHODS The Esophageal Complications Consensus Group (ECCG) involving 24 high-volume esophageal surgical centers in 14 countries developed a standardized platform for recording complications and quality measures associated with esophagectomy. Using a secure online database (ESODATA.org), ECCG centers prospectively recorded data on all resections according to the ECCG platform from these centers over a 2-year period. RESULTS Between January 2015 and December 2016, 2704 resections were entered into the database. All demographic and follow-up data fields were 100% complete. The majority of operations were for cancer (95.6%) and typically located in the distal esophagus (56.2%). Some 1192 patients received neoadjuvant chemoradiation (46.1%) and 763 neoadjuvant chemotherapy (29.5%). Surgical approach involved open procedures in 52.1% and minimally invasive operations in 47.9%. Chest anastomoses were done most commonly (60.7%) and R0 resections were accomplished in 93.4% of patients. The overall incidence of complications was 59% with the most common individual complications being pneumonia (14.6%) and atrial dysrhythmia (14.5%). Anastomotic leak, conduit necrosis, chyle leaks, recurrent nerve injury occurred in 11.4%, 1.3%, 4.7%, and 4.2% of cases, respectively. Clavien-Dindo complications ≥ IIIb occurred in 17.2% of patients. Readmissions occurred in 11.2% of cases and 30- and 90-day mortality was 2.4% and 4.5%, respectively. CONCLUSION Standardized methods provide contemporary international benchmarks for reporting outcomes after esophagectomy.","author":[{"dropping-particle":"","family":"Low","given":"Donald E.","non-dropping-particle":"","parse-names":false,"suffix":""},{"dropping-particle":"","family":"Kuppusamy","given":"Madhan Kumar","non-dropping-particle":"","parse-names":false,"suffix":""},{"dropping-particle":"","family":"Alderson","given":"Derek","non-dropping-particle":"","parse-names":false,"suffix":""},{"dropping-particle":"","family":"Cecconello","given":"Ivan","non-dropping-particle":"","parse-names":false,"suffix":""},{"dropping-particle":"","family":"Chang","given":"Andrew C.","non-dropping-particle":"","parse-names":false,"suffix":""},{"dropping-particle":"","family":"Darling","given":"Gail","non-dropping-particle":"","parse-names":false,"suffix":""},{"dropping-particle":"","family":"Davies","given":"Andrew","non-dropping-particle":"","parse-names":false,"suffix":""},{"dropping-particle":"","family":"D’Journo","given":"Xavier Benoit","non-dropping-particle":"","parse-names":false,"suffix":""},{"dropping-particle":"","family":"Gisbertz","given":"Suzanne S.","non-dropping-particle":"","parse-names":false,"suffix":""},{"dropping-particle":"","family":"Griffin","given":"S. Michael","non-dropping-particle":"","parse-names":false,"suffix":""},{"dropping-particle":"","family":"Hardwick","given":"Richard","non-dropping-particle":"","parse-names":false,"suffix":""},{"dropping-particle":"","family":"Hoelscher","given":"Arnulf","non-dropping-particle":"","parse-names":false,"suffix":""},{"dropping-particle":"","family":"Hofstetter","given":"Wayne","non-dropping-particle":"","parse-names":false,"suffix":""},{"dropping-particle":"","family":"Jobe","given":"Blair","non-dropping-particle":"","parse-names":false,"suffix":""},{"dropping-particle":"","family":"Kitagawa","given":"Yuko","non-dropping-particle":"","parse-names":false,"suffix":""},{"dropping-particle":"","family":"Law","given":"Simon","non-dropping-particle":"","parse-names":false,"suffix":""},{"dropping-particle":"","family":"Mariette","given":"Christophe","non-dropping-particle":"","parse-names":false,"suffix":""},{"dropping-particle":"","family":"Maynard","given":"Nick","non-dropping-particle":"","parse-names":false,"suffix":""},{"dropping-particle":"","family":"Morse","given":"Christopher R.","non-dropping-particle":"","parse-names":false,"suffix":""},{"dropping-particle":"","family":"Nafteux","given":"Philippe","non-dropping-particle":"","parse-names":false,"suffix":""},{"dropping-particle":"","family":"Pera","given":"Manuel","non-dropping-particle":"","parse-names":false,"suffix":""},{"dropping-particle":"","family":"Pramesh","given":"C. S.","non-dropping-particle":"","parse-names":false,"suffix":""},{"dropping-particle":"","family":"Puig","given":"Sonia","non-dropping-particle":"","parse-names":false,"suffix":""},{"dropping-particle":"V.","family":"Reynolds","given":"John","non-dropping-particle":"","parse-names":false,"suffix":""},{"dropping-particle":"","family":"Schroeder","given":"Wolfgang","non-dropping-particle":"","parse-names":false,"suffix":""},{"dropping-particle":"","family":"Smithers","given":"Mark","non-dropping-particle":"","parse-names":false,"suffix":""},{"dropping-particle":"","family":"Wijnhoven","given":"B. P. L.","non-dropping-particle":"","parse-names":false,"suffix":""}],"container-title":"Annals of Surgery","id":"ITEM-2","issue":"2","issued":{"date-parts":[["2019","2","4"]]},"page":"291-298","title":"Benchmarking Complications Associated with Esophagectomy","type":"article-journal","volume":"269"},"uris":["http://www.mendeley.com/documents/?uuid=5ad3bceb-351c-4ac8-8eb9-00810166a39b"]}],"mendeley":{"formattedCitation":"(51,52)","plainTextFormattedCitation":"(51,52)","previouslyFormattedCitation":"(51,52)"},"properties":{"noteIndex":0},"schema":"https://github.com/citation-style-language/schema/raw/master/csl-citation.json"}</w:instrText>
      </w:r>
      <w:r w:rsidR="00DD58BB" w:rsidRPr="00572B34">
        <w:fldChar w:fldCharType="separate"/>
      </w:r>
      <w:r w:rsidR="002B3E81" w:rsidRPr="002B3E81">
        <w:rPr>
          <w:noProof/>
        </w:rPr>
        <w:t>(51,52)</w:t>
      </w:r>
      <w:r w:rsidR="00DD58BB" w:rsidRPr="00572B34">
        <w:fldChar w:fldCharType="end"/>
      </w:r>
      <w:r w:rsidR="00DD58BB" w:rsidRPr="00572B34">
        <w:t xml:space="preserve">, we </w:t>
      </w:r>
      <w:r w:rsidR="000D6716">
        <w:t>observed a</w:t>
      </w:r>
      <w:r w:rsidR="004C2508">
        <w:t xml:space="preserve"> strong</w:t>
      </w:r>
      <w:r w:rsidR="00DD58BB" w:rsidRPr="00572B34">
        <w:t xml:space="preserve"> relationship </w:t>
      </w:r>
      <w:r w:rsidR="004E291D" w:rsidRPr="00572B34">
        <w:t xml:space="preserve">between </w:t>
      </w:r>
      <w:r w:rsidR="00DD58BB" w:rsidRPr="00572B34">
        <w:t>complications and receipt of postoperative chemotherapy. This may</w:t>
      </w:r>
      <w:r w:rsidR="002B0E1B">
        <w:t xml:space="preserve"> partly</w:t>
      </w:r>
      <w:r w:rsidR="00DD58BB" w:rsidRPr="00572B34">
        <w:t xml:space="preserve"> explain the association of</w:t>
      </w:r>
      <w:r w:rsidR="00EE1804" w:rsidRPr="00572B34">
        <w:t xml:space="preserve"> </w:t>
      </w:r>
      <w:r w:rsidR="00DD58BB" w:rsidRPr="00572B34">
        <w:t>anastomotic leak and pulmonary complications with decreased overall survival</w:t>
      </w:r>
      <w:r w:rsidR="00F278B4">
        <w:t xml:space="preserve"> after esophagectomy</w:t>
      </w:r>
      <w:r w:rsidR="00DD58BB" w:rsidRPr="00572B34">
        <w:fldChar w:fldCharType="begin" w:fldLock="1"/>
      </w:r>
      <w:r w:rsidR="00D120BE">
        <w:instrText>ADDIN CSL_CITATION {"citationItems":[{"id":"ITEM-1","itemData":{"DOI":"10.1002/bjs5.64","abstract":"Background: Oesophagectomy has a high risk of postoperative morbidity. The impact of postoperative complications on overall survival of oesophageal cancer remains unclear. This meta-analysis addressed the impact of complications on long-term survival following oesophagectomy. Methods: A search of PubMed and Cochrane Library databases was undertaken for systematic review of papers published between January 1995 and August 2016 that analysed the relation between postoperative complications and long-term survival. In the meta-analysis, data were pooled. The main outcome was overall survival (OS). Secondary endpoints included disease-free (DFS) and cancer-specific (CSS) survival. Results: A total of 357 citations was reviewed; 21 studies comprising 11 368 patients were included in the analyses. Overall, postoperative complications were associated with significantly decreased 5-year OS (hazard ratio (HR) 1.16, 95 per cent c.i. 1.06 to 1.26; P = 0.001) and 5-year CSS (HR 1.27, 1.09 to 1.47; P = 0.002). Pulmonary complications were associated with decreased 5-year OS (HR 1.37, 1.16 to 1.62; P &lt; 0.001), CSS (HR 1.60, 1.35 to 1.89; P &lt; 0.001) and 5-year DFS (HR 1.16, 1.00 to 1.33; P = 0.05). Patients with anastomotic leakage had significantly decreased 5-year OS (HR 1.20, 1.10 to 1.30; P &lt; 0.001), 5-year CSS (HR 1.81, 1.11 to 2.95; P = 0.02) and 5-year DFS (HR 1.13, 1.02 to 1.25; P = 0.01). Conclusion: Postoperative complications after oesophagectomy, including pulmonary complications and anastomotic leakage, decreased long-term survival.","author":[{"dropping-particle":"","family":"Booka","given":"E.","non-dropping-particle":"","parse-names":false,"suffix":""},{"dropping-particle":"","family":"Takeuchi","given":"H.","non-dropping-particle":"","parse-names":false,"suffix":""},{"dropping-particle":"","family":"Suda","given":"K.","non-dropping-particle":"","parse-names":false,"suffix":""},{"dropping-particle":"","family":"Fukuda","given":"K.","non-dropping-particle":"","parse-names":false,"suffix":""},{"dropping-particle":"","family":"Nakamura","given":"R.","non-dropping-particle":"","parse-names":false,"suffix":""},{"dropping-particle":"","family":"Wada","given":"N.","non-dropping-particle":"","parse-names":false,"suffix":""},{"dropping-particle":"","family":"Kawakubo","given":"H.","non-dropping-particle":"","parse-names":false,"suffix":""},{"dropping-particle":"","family":"Kitagawa","given":"Y.","non-dropping-particle":"","parse-names":false,"suffix":""}],"container-title":"BJS Open","id":"ITEM-1","issue":"5","issued":{"date-parts":[["2018"]]},"page":"276-284","title":"Meta-analysis of the impact of postoperative complications on survival after oesophagectomy for cancer","type":"article-journal","volume":"2"},"uris":["http://www.mendeley.com/documents/?uuid=c574c5c1-1342-4892-924a-323ec6a4df2d"]}],"mendeley":{"formattedCitation":"(53)","plainTextFormattedCitation":"(53)","previouslyFormattedCitation":"(53)"},"properties":{"noteIndex":0},"schema":"https://github.com/citation-style-language/schema/raw/master/csl-citation.json"}</w:instrText>
      </w:r>
      <w:r w:rsidR="00DD58BB" w:rsidRPr="00572B34">
        <w:fldChar w:fldCharType="separate"/>
      </w:r>
      <w:r w:rsidR="002B3E81" w:rsidRPr="002B3E81">
        <w:rPr>
          <w:noProof/>
        </w:rPr>
        <w:t>(53)</w:t>
      </w:r>
      <w:r w:rsidR="00DD58BB" w:rsidRPr="00572B34">
        <w:fldChar w:fldCharType="end"/>
      </w:r>
      <w:r w:rsidR="00DD58BB" w:rsidRPr="00572B34">
        <w:t>. Strategies to minimise surgical complications</w:t>
      </w:r>
      <w:r w:rsidR="004260E0" w:rsidRPr="00572B34">
        <w:t xml:space="preserve"> and their impact</w:t>
      </w:r>
      <w:r w:rsidR="00DD58BB" w:rsidRPr="00572B34">
        <w:t>, including centralisation</w:t>
      </w:r>
      <w:r w:rsidR="00DD58BB" w:rsidRPr="00572B34">
        <w:fldChar w:fldCharType="begin" w:fldLock="1"/>
      </w:r>
      <w:r w:rsidR="00D120BE">
        <w:instrText>ADDIN CSL_CITATION {"citationItems":[{"id":"ITEM-1","itemData":{"DOI":"10.1002/bjs.10640","ISSN":"13652168","PMID":"29155448","author":[{"dropping-particle":"","family":"Markar","given":"S. R.","non-dropping-particle":"","parse-names":false,"suffix":""},{"dropping-particle":"","family":"Mackenzie","given":"H.","non-dropping-particle":"","parse-names":false,"suffix":""},{"dropping-particle":"","family":"Wiggins","given":"T.","non-dropping-particle":"","parse-names":false,"suffix":""},{"dropping-particle":"","family":"Askari","given":"A.","non-dropping-particle":"","parse-names":false,"suffix":""},{"dropping-particle":"","family":"Karthikesalingam","given":"A.","non-dropping-particle":"","parse-names":false,"suffix":""},{"dropping-particle":"","family":"Faiz","given":"O.","non-dropping-particle":"","parse-names":false,"suffix":""},{"dropping-particle":"","family":"Griffin","given":"S. M.","non-dropping-particle":"","parse-names":false,"suffix":""},{"dropping-particle":"","family":"Birkmeyer","given":"J. D.","non-dropping-particle":"","parse-names":false,"suffix":""},{"dropping-particle":"","family":"Hanna","given":"G. B.","non-dropping-particle":"","parse-names":false,"suffix":""}],"container-title":"British Journal of Surgery","id":"ITEM-1","issue":"1","issued":{"date-parts":[["2018"]]},"page":"113-120","title":"Influence of national centralization of oesophagogastric cancer on management and clinical outcome from emergency upper gastrointestinal conditions","type":"article-journal","volume":"105"},"uris":["http://www.mendeley.com/documents/?uuid=ac0fd35d-1d84-432b-bb95-8203bfc8b424"]}],"mendeley":{"formattedCitation":"(54)","plainTextFormattedCitation":"(54)","previouslyFormattedCitation":"(54)"},"properties":{"noteIndex":0},"schema":"https://github.com/citation-style-language/schema/raw/master/csl-citation.json"}</w:instrText>
      </w:r>
      <w:r w:rsidR="00DD58BB" w:rsidRPr="00572B34">
        <w:fldChar w:fldCharType="separate"/>
      </w:r>
      <w:r w:rsidR="002B3E81" w:rsidRPr="002B3E81">
        <w:rPr>
          <w:noProof/>
        </w:rPr>
        <w:t>(54)</w:t>
      </w:r>
      <w:r w:rsidR="00DD58BB" w:rsidRPr="00572B34">
        <w:fldChar w:fldCharType="end"/>
      </w:r>
      <w:r w:rsidR="00DD58BB" w:rsidRPr="00572B34">
        <w:t xml:space="preserve"> and minimally invasive techniques</w:t>
      </w:r>
      <w:r w:rsidR="00DD58BB" w:rsidRPr="00572B34">
        <w:fldChar w:fldCharType="begin" w:fldLock="1"/>
      </w:r>
      <w:r w:rsidR="00D120BE">
        <w:instrText>ADDIN CSL_CITATION {"citationItems":[{"id":"ITEM-1","itemData":{"DOI":"10.1056/NEJMoa1805101","ISSN":"0028-4793","author":[{"dropping-particle":"","family":"Mariette","given":"Christophe","non-dropping-particle":"","parse-names":false,"suffix":""},{"dropping-particle":"","family":"Markar","given":"Sheraz R.","non-dropping-particle":"","parse-names":false,"suffix":""},{"dropping-particle":"","family":"Dabakuyo-Yonli","given":"Tienhan S.","non-dropping-particle":"","parse-names":false,"suffix":""},{"dropping-particle":"","family":"Meunier","given":"Bernard","non-dropping-particle":"","parse-names":false,"suffix":""},{"dropping-particle":"","family":"Pezet","given":"Denis","non-dropping-particle":"","parse-names":false,"suffix":""},{"dropping-particle":"","family":"Collet","given":"Denis","non-dropping-particle":"","parse-names":false,"suffix":""},{"dropping-particle":"","family":"D’Journo","given":"Xavier B.","non-dropping-particle":"","parse-names":false,"suffix":""},{"dropping-particle":"","family":"Brigand","given":"Cécile","non-dropping-particle":"","parse-names":false,"suffix":""},{"dropping-particle":"","family":"Perniceni","given":"Thierry","non-dropping-particle":"","parse-names":false,"suffix":""},{"dropping-particle":"","family":"Carrère","given":"Nicolas","non-dropping-particle":"","parse-names":false,"suffix":""},{"dropping-particle":"","family":"Mabrut","given":"Jean-Yves","non-dropping-particle":"","parse-names":false,"suffix":""},{"dropping-particle":"","family":"Msika","given":"Simon","non-dropping-particle":"","parse-names":false,"suffix":""},{"dropping-particle":"","family":"Peschaud","given":"Frédérique","non-dropping-particle":"","parse-names":false,"suffix":""},{"dropping-particle":"","family":"Prudhomme","given":"Michel","non-dropping-particle":"","parse-names":false,"suffix":""},{"dropping-particle":"","family":"Bonnetain","given":"Franck","non-dropping-particle":"","parse-names":false,"suffix":""},{"dropping-particle":"","family":"Piessen","given":"Guillaume","non-dropping-particle":"","parse-names":false,"suffix":""}],"container-title":"New England Journal of Medicine","id":"ITEM-1","issued":{"date-parts":[["2019"]]},"title":"Hybrid Minimally Invasive Esophagectomy for Esophageal Cancer","type":"article-journal"},"uris":["http://www.mendeley.com/documents/?uuid=f5d7b2a2-2c4c-32a1-8226-34355f9d29c1"]}],"mendeley":{"formattedCitation":"(55)","plainTextFormattedCitation":"(55)","previouslyFormattedCitation":"(55)"},"properties":{"noteIndex":0},"schema":"https://github.com/citation-style-language/schema/raw/master/csl-citation.json"}</w:instrText>
      </w:r>
      <w:r w:rsidR="00DD58BB" w:rsidRPr="00572B34">
        <w:fldChar w:fldCharType="separate"/>
      </w:r>
      <w:r w:rsidR="002B3E81" w:rsidRPr="002B3E81">
        <w:rPr>
          <w:noProof/>
        </w:rPr>
        <w:t>(55)</w:t>
      </w:r>
      <w:r w:rsidR="00DD58BB" w:rsidRPr="00572B34">
        <w:fldChar w:fldCharType="end"/>
      </w:r>
      <w:r w:rsidR="00DD58BB" w:rsidRPr="00572B34">
        <w:t xml:space="preserve"> proceed at pace, and may in future yield </w:t>
      </w:r>
      <w:r w:rsidR="00EC3C93" w:rsidRPr="00572B34">
        <w:t xml:space="preserve">significant </w:t>
      </w:r>
      <w:r w:rsidR="00DD58BB" w:rsidRPr="00572B34">
        <w:t xml:space="preserve">survival benefits. </w:t>
      </w:r>
      <w:r w:rsidR="004F5AB6">
        <w:t>Furthermore</w:t>
      </w:r>
      <w:r w:rsidR="00DD58BB" w:rsidRPr="00572B34">
        <w:t>, better risk stratification might allow differing treatment strategies to be used in higher risk patients</w:t>
      </w:r>
      <w:r w:rsidR="008562A9" w:rsidRPr="00572B34">
        <w:t xml:space="preserve"> including both the accepted i.e. chemoradiation</w:t>
      </w:r>
      <w:r w:rsidR="00EE1804" w:rsidRPr="00572B34">
        <w:fldChar w:fldCharType="begin" w:fldLock="1"/>
      </w:r>
      <w:r w:rsidR="00D120BE">
        <w:instrText>ADDIN CSL_CITATION {"citationItems":[{"id":"ITEM-1","itemData":{"DOI":"10.1056/NEJMoa1112088","ISBN":"1533-4406 (Electronic)\\r0028-4793 (Linking)","ISSN":"0028-4793","PMID":"22646630","abstract":"Weekly chemotherapy and concurrent radiotherapy for 5 weeks before curative resection in patients with esophageal or esophagogastric-junction cancer resulted in a pathologically complete response in 29% of patients and doubled the median overall survival to 4 years.","author":[{"dropping-particle":"","family":"Hagen","given":"P.","non-dropping-particle":"van","parse-names":false,"suffix":""},{"dropping-particle":"","family":"Hulshof","given":"M.C.C.M.","non-dropping-particle":"","parse-names":false,"suffix":""},{"dropping-particle":"","family":"Lanschot","given":"J.J.B.","non-dropping-particle":"van","parse-names":false,"suffix":""},{"dropping-particle":"","family":"Steyerberg","given":"E.W.","non-dropping-particle":"","parse-names":false,"suffix":""},{"dropping-particle":"","family":"Henegouwen","given":"M.I. van Berge","non-dropping-particle":"","parse-names":false,"suffix":""},{"dropping-particle":"","family":"Wijnhoven","given":"B.P.L.","non-dropping-particle":"","parse-names":false,"suffix":""},{"dropping-particle":"","family":"Richel","given":"D.J.","non-dropping-particle":"","parse-names":false,"suffix":""},{"dropping-particle":"","family":"Nieuwenhuijzen","given":"G.A.P.","non-dropping-particle":"","parse-names":false,"suffix":""},{"dropping-particle":"","family":"Hospers","given":"G.A.P.","non-dropping-particle":"","parse-names":false,"suffix":""},{"dropping-particle":"","family":"Bonenkamp","given":"J.J.","non-dropping-particle":"","parse-names":false,"suffix":""},{"dropping-particle":"","family":"Cuesta","given":"M.A.","non-dropping-particle":"","parse-names":false,"suffix":""},{"dropping-particle":"","family":"Blaisse","given":"R.J.B.","non-dropping-particle":"","parse-names":false,"suffix":""},{"dropping-particle":"","family":"Busch","given":"O.R.C.","non-dropping-particle":"","parse-names":false,"suffix":""},{"dropping-particle":"","family":"Kate","given":"F.J.W.","non-dropping-particle":"ten","parse-names":false,"suffix":""},{"dropping-particle":"","family":"Creemers","given":"G.-J.","non-dropping-particle":"","parse-names":false,"suffix":""},{"dropping-particle":"","family":"Punt","given":"C.J.A.","non-dropping-particle":"","parse-names":false,"suffix":""},{"dropping-particle":"","family":"Plukker","given":"J.T.M.","non-dropping-particle":"","parse-names":false,"suffix":""},{"dropping-particle":"","family":"Verheul","given":"H.M.W.","non-dropping-particle":"","parse-names":false,"suffix":""},{"dropping-particle":"","family":"Bilgen","given":"E.J. Spillenaar","non-dropping-particle":"","parse-names":false,"suffix":""},{"dropping-particle":"","family":"Dekken","given":"H.","non-dropping-particle":"van","parse-names":false,"suffix":""},{"dropping-particle":"","family":"Sangen","given":"M.J.C.","non-dropping-particle":"van der","parse-names":false,"suffix":""},{"dropping-particle":"","family":"Rozema","given":"T.","non-dropping-particle":"","parse-names":false,"suffix":""},{"dropping-particle":"","family":"Biermann","given":"K.","non-dropping-particle":"","parse-names":false,"suffix":""},{"dropping-particle":"","family":"Beukema","given":"J.C.","non-dropping-particle":"","parse-names":false,"suffix":""},{"dropping-particle":"","family":"Piet","given":"A.H.M.","non-dropping-particle":"","parse-names":false,"suffix":""},{"dropping-particle":"","family":"Rij","given":"C.M.","non-dropping-particle":"van","parse-names":false,"suffix":""},{"dropping-particle":"","family":"Reinders","given":"J.G.","non-dropping-particle":"","parse-names":false,"suffix":""},{"dropping-particle":"","family":"Tilanus","given":"H.W.","non-dropping-particle":"","parse-names":false,"suffix":""},{"dropping-particle":"","family":"Gaast","given":"A.","non-dropping-particle":"van der","parse-names":false,"suffix":""}],"container-title":"New England Journal of Medicine","id":"ITEM-1","issue":"22","issued":{"date-parts":[["2012"]]},"page":"2074-2084","title":"Preoperative Chemoradiotherapy for Esophageal or Junctional Cancer","type":"article-journal","volume":"366"},"uris":["http://www.mendeley.com/documents/?uuid=e3c9170b-6ebe-4d27-be09-2430191f4665"]},{"id":"ITEM-2","itemData":{"DOI":"10.1016/S1470-2045(15)00040-6","ISSN":"14702045","PMID":"26254683","abstract":"BACKGROUND Initial results of the ChemoRadiotherapy for Oesophageal cancer followed by Surgery Study (CROSS) comparing neoadjuvant chemoradiotherapy plus surgery versus surgery alone in patients with squamous cell carcinoma and adenocarcinoma of the oesophagus or oesophagogastric junction showed a significant increase in 5-year overall survival in favour of the neoadjuvant chemoradiotherapy plus surgery group after a median of 45 months' follow-up. In this Article, we report the long-term results after a minimum follow-up of 5 years. METHODS Patients with clinically resectable, locally advanced cancer of the oesophagus or oesophagogastric junction (clinical stage T1N1M0 or T2-3N0-1M0, according to the TNM cancer staging system, sixth edition) were randomly assigned in a 1:1 ratio with permuted blocks of four or six to receive either weekly administration of five cycles of neoadjuvant chemoradiotherapy (intravenous carboplatin [AUC 2 mg/mL per min] and intravenous paclitaxel [50 mg/m(2) of body-surface area] for 23 days) with concurrent radiotherapy (41·4 Gy, given in 23 fractions of 1·8 Gy on 5 days per week) followed by surgery, or surgery alone. The primary endpoint was overall survival, analysed by intention-to-treat. No adverse event data were collected beyond those noted in the initial report of the trial. This trial is registered with the Netherlands Trial Register, number NTR487, and has been completed. FINDINGS Between March 30, 2004, and Dec 2, 2008, 368 patients from eight participating centres (five academic centres and three large non-academic teaching hospitals) in the Netherlands were enrolled into this study and randomly assigned to the two treatment groups: 180 to surgery plus neoadjuvant chemoradiotherapy and 188 to surgery alone. Two patients in the neoadjuvant chemoradiotherapy group withdrew consent, so a total of 366 patients were analysed (178 in the neoadjuvant chemoradiotherapy plus surgery group and 188 in the surgery alone group). Of 171 patients who received any neoadjuvant chemoradiotherapy in this group, 162 (95%) were able to complete the entire neoadjuvant chemoradiotherapy regimen. After a median follow-up for surviving patients of 84·1 months (range 61·1-116·8, IQR 70·7-96·6), median overall survival was 48·6 months (95% CI 32·1-65·1) in the neoadjuvant chemoradiotherapy plus surgery group and 24·0 months (14·2-33·7) in the surgery alone group (HR 0·68 [95% CI 0·53-0·88]; log-rank p=0·003). Median overall survival for pa…","author":[{"dropping-particle":"","family":"Shapiro","given":"Joel","non-dropping-particle":"","parse-names":false,"suffix":""},{"dropping-particle":"","family":"Lanschot","given":"J Jan B","non-dropping-particle":"van","parse-names":false,"suffix":""},{"dropping-particle":"","family":"Hulshof","given":"Maarten C C M","non-dropping-particle":"","parse-names":false,"suffix":""},{"dropping-particle":"","family":"Hagen","given":"Pieter","non-dropping-particle":"van","parse-names":false,"suffix":""},{"dropping-particle":"","family":"Berge Henegouwen","given":"Mark I","non-dropping-particle":"van","parse-names":false,"suffix":""},{"dropping-particle":"","family":"Wijnhoven","given":"Bas P L","non-dropping-particle":"","parse-names":false,"suffix":""},{"dropping-particle":"","family":"Laarhoven","given":"Hanneke W M","non-dropping-particle":"van","parse-names":false,"suffix":""},{"dropping-particle":"","family":"Nieuwenhuijzen","given":"Grard A P","non-dropping-particle":"","parse-names":false,"suffix":""},{"dropping-particle":"","family":"Hospers","given":"Geke A P","non-dropping-particle":"","parse-names":false,"suffix":""},{"dropping-particle":"","family":"Bonenkamp","given":"Johannes J","non-dropping-particle":"","parse-names":false,"suffix":""},{"dropping-particle":"","family":"Cuesta","given":"Miguel A","non-dropping-particle":"","parse-names":false,"suffix":""},{"dropping-particle":"","family":"Blaisse","given":"Reinoud J B","non-dropping-particle":"","parse-names":false,"suffix":""},{"dropping-particle":"","family":"Busch","given":"Olivier R C","non-dropping-particle":"","parse-names":false,"suffix":""},{"dropping-particle":"","family":"Kate","given":"Fiebo J W","non-dropping-particle":"ten","parse-names":false,"suffix":""},{"dropping-particle":"","family":"Creemers","given":"Geert-Jan M","non-dropping-particle":"","parse-names":false,"suffix":""},{"dropping-particle":"","family":"Punt","given":"Cornelis J A","non-dropping-particle":"","parse-names":false,"suffix":""},{"dropping-particle":"","family":"Plukker","given":"John Th M","non-dropping-particle":"","parse-names":false,"suffix":""},{"dropping-particle":"","family":"Verheul","given":"Henk M W","non-dropping-particle":"","parse-names":false,"suffix":""},{"dropping-particle":"","family":"Bilgen","given":"Ernst J Spillenaar","non-dropping-particle":"","parse-names":false,"suffix":""},{"dropping-particle":"","family":"Dekken","given":"Herman","non-dropping-particle":"van","parse-names":false,"suffix":""},{"dropping-particle":"","family":"Sangen","given":"Maurice J C","non-dropping-particle":"van der","parse-names":false,"suffix":""},{"dropping-particle":"","family":"Rozema","given":"Tom","non-dropping-particle":"","parse-names":false,"suffix":""},{"dropping-particle":"","family":"Biermann","given":"Katharina","non-dropping-particle":"","parse-names":false,"suffix":""},{"dropping-particle":"","family":"Beukema","given":"Jannet C","non-dropping-particle":"","parse-names":false,"suffix":""},{"dropping-particle":"","family":"Piet","given":"Anna H M","non-dropping-particle":"","parse-names":false,"suffix":""},{"dropping-particle":"","family":"Rij","given":"Caroline M","non-dropping-particle":"van","parse-names":false,"suffix":""},{"dropping-particle":"","family":"Reinders","given":"Janny G","non-dropping-particle":"","parse-names":false,"suffix":""},{"dropping-particle":"","family":"Tilanus","given":"Hugo W","non-dropping-particle":"","parse-names":false,"suffix":""},{"dropping-particle":"","family":"Steyerberg","given":"Ewout W","non-dropping-particle":"","parse-names":false,"suffix":""},{"dropping-particle":"","family":"Gaast","given":"Ate","non-dropping-particle":"van der","parse-names":false,"suffix":""},{"dropping-particle":"","family":"CROSS study group","given":"","non-dropping-particle":"","parse-names":false,"suffix":""}],"container-title":"The Lancet Oncology","id":"ITEM-2","issue":"9","issued":{"date-parts":[["2015","9"]]},"page":"1090-1098","title":"Neoadjuvant chemoradiotherapy plus surgery versus surgery alone for oesophageal or junctional cancer (CROSS): long-term results of a randomised controlled trial","type":"article-journal","volume":"16"},"uris":["http://www.mendeley.com/documents/?uuid=269fe09c-e7bd-30c3-92d2-89d100330464"]}],"mendeley":{"formattedCitation":"(3,56)","plainTextFormattedCitation":"(3,56)","previouslyFormattedCitation":"(3,56)"},"properties":{"noteIndex":0},"schema":"https://github.com/citation-style-language/schema/raw/master/csl-citation.json"}</w:instrText>
      </w:r>
      <w:r w:rsidR="00EE1804" w:rsidRPr="00572B34">
        <w:fldChar w:fldCharType="separate"/>
      </w:r>
      <w:r w:rsidR="002B3E81" w:rsidRPr="002B3E81">
        <w:rPr>
          <w:noProof/>
        </w:rPr>
        <w:t>(3,56)</w:t>
      </w:r>
      <w:r w:rsidR="00EE1804" w:rsidRPr="00572B34">
        <w:fldChar w:fldCharType="end"/>
      </w:r>
      <w:r w:rsidR="008562A9" w:rsidRPr="00572B34">
        <w:t xml:space="preserve"> and the experimental e.g</w:t>
      </w:r>
      <w:r w:rsidR="00FB122E" w:rsidRPr="00572B34">
        <w:t>.</w:t>
      </w:r>
      <w:r w:rsidR="008562A9" w:rsidRPr="00572B34">
        <w:t xml:space="preserve"> Immunotherapy</w:t>
      </w:r>
      <w:r w:rsidR="004F5AB6">
        <w:t>,</w:t>
      </w:r>
      <w:r w:rsidR="008562A9" w:rsidRPr="00572B34">
        <w:fldChar w:fldCharType="begin" w:fldLock="1"/>
      </w:r>
      <w:r w:rsidR="00D120BE">
        <w:instrText>ADDIN CSL_CITATION {"citationItems":[{"id":"ITEM-1","itemData":{"DOI":"10.1200/JCO.2017.74.9846","ISSN":"15277755","PMID":"29116900","abstract":"Purpose The anti-programmed death-1 antibody pembrolizumab was evaluated in KEYNOTE-028, a multicohort, phase IB study of patients with programmed death ligand-1 (PD-L1)-positive advanced solid tumors. Results from the esophageal carcinoma cohort are reported herein. Patients and Methods Eligible patients with squamous cell carcinoma or adenocarcinoma of the esophagus or gastroesophageal junction in whom standard therapy failed and who had PD-L1-positive tumors received pembrolizumab 10 mg/kg every 2 weeks for up to 2 years or until confirmed disease progression or intolerable toxicity. Response was assessed every 8 weeks up to 6 months and every 12 weeks thereafter. Primary end points were safety and overall response rate, determined by investigator review per Response Evaluation Criteria in Solid Tumors (version 1.1). Results Among 83 patientswith esophageal carcinoma and samples evaluable for PD-L1 expression, 37 (45%) had PD-L1-positive tumors, and 23 were enrolled. Median age was 65 years; 78% had squamous histology; and 87% received ≥ two prior therapies for advanced/metastatic disease. As of the data cutoff (February 20, 2017), median follow-up was 7 months (range, 1 to 33 months). Nine patients (39%) experienced treatment-related adverse events, mostcommonly decreased appetite, decreased lymphocyte count, generalized rash, and rash (two patients [9%] each). No grade 4 adverse events or deaths were attributed to pembrolizumab. Overall response rate was 30%(95%CI, 13%to 53%);median duration of response was 15months (range, 6 to 26months). A six-gene interferon-g gene expression signature analysis suggested that delayed progression and increased response occur among pembrolizumabtreated patients with higher interferon-g composite scores. Conclusion Pembrolizumab demonstrated manageable toxicity and durable antitumor activity in patients with heavily pretreated, PD-L1-positive advanced esophageal carcinoma.","author":[{"dropping-particle":"","family":"Doi","given":"Toshihiko","non-dropping-particle":"","parse-names":false,"suffix":""},{"dropping-particle":"","family":"Piha-Paul","given":"Sarina A.","non-dropping-particle":"","parse-names":false,"suffix":""},{"dropping-particle":"","family":"Jalal","given":"Shadia I.","non-dropping-particle":"","parse-names":false,"suffix":""},{"dropping-particle":"","family":"Saraf","given":"Sanatan","non-dropping-particle":"","parse-names":false,"suffix":""},{"dropping-particle":"","family":"Lunceford","given":"Jared","non-dropping-particle":"","parse-names":false,"suffix":""},{"dropping-particle":"","family":"Koshiji","given":"Minori","non-dropping-particle":"","parse-names":false,"suffix":""},{"dropping-particle":"","family":"Bennouna","given":"Jaafar","non-dropping-particle":"","parse-names":false,"suffix":""}],"container-title":"Journal of Clinical Oncology","id":"ITEM-1","issue":"1","issued":{"date-parts":[["2018"]]},"page":"61-67","title":"Safety and antitumor activity of the anti-programmed death-1 antibody pembrolizumab in patients with advanced esophageal carcinoma","type":"article-journal","volume":"36"},"uris":["http://www.mendeley.com/documents/?uuid=69683e49-9565-45a3-b192-4f932fe2ed76"]},{"id":"ITEM-2","itemData":{"DOI":"10.1097/MOG.0000000000000542","ISBN":"0000000000000","ISSN":"15317056","PMID":"31045596","abstract":"Purpose of reviewThe management of esophageal cancer has not changed significantly over the last decade. Survival rates remain poor in locally advanced and metastatic disease. Newer treatment modalities are desperately needed if we are to improve 5-year overall survival rates. Immunotherapeutic strategies hold great promise, but a much greater understanding of the immune microenvironment underlying squamous cell and esophageal adenocarcinoma is needed if we are to exploit the inherent cancer fighting capabilities of each patient's immune system.Recent findingsHere we describe current and future predictive biomarkers, provide a synopsis of the most significant trial results to date, and explain pivotal ongoing phase III trials.SummaryRecent findings suggest that esophageal squamous cell carcinoma may be more sensitive to single agent PD-1 inhibition than esophageal adenocarcinoma, and selecting patients according to PD-L1 combined positive score (CPS) of at least 10 or more may predict higher response rate. We await data indicating the optimal immuno-oncology (IO-IO) combinations that will allow more patients to respond, however it is likely that personalized immunotherapy may be required for the majority. At the present time, it is hoped that chemotherapy combined with PD-1 inhibition will be an optimal strategy, but we await confirmation from soon-to-be published phase III trials.","author":[{"dropping-particle":"","family":"Kelly","given":"Ronan J.","non-dropping-particle":"","parse-names":false,"suffix":""}],"container-title":"Current Opinion in Gastroenterology","id":"ITEM-2","issue":"4","issued":{"date-parts":[["2019"]]},"page":"337-343","title":"The emerging role of immunotherapy for esophageal cancer","type":"article-journal","volume":"35"},"uris":["http://www.mendeley.com/documents/?uuid=73164b1f-97be-4d69-8180-572cf25e2962"]}],"mendeley":{"formattedCitation":"(57,58)","plainTextFormattedCitation":"(57,58)","previouslyFormattedCitation":"(57,58)"},"properties":{"noteIndex":0},"schema":"https://github.com/citation-style-language/schema/raw/master/csl-citation.json"}</w:instrText>
      </w:r>
      <w:r w:rsidR="008562A9" w:rsidRPr="00572B34">
        <w:fldChar w:fldCharType="separate"/>
      </w:r>
      <w:r w:rsidR="002B3E81" w:rsidRPr="002B3E81">
        <w:rPr>
          <w:noProof/>
        </w:rPr>
        <w:t>(57,58)</w:t>
      </w:r>
      <w:r w:rsidR="008562A9" w:rsidRPr="00572B34">
        <w:fldChar w:fldCharType="end"/>
      </w:r>
      <w:r w:rsidR="004F5AB6">
        <w:t xml:space="preserve"> </w:t>
      </w:r>
      <w:r w:rsidR="007A77C7">
        <w:t xml:space="preserve">administering </w:t>
      </w:r>
      <w:r w:rsidR="002A23F7">
        <w:t>all treatment cycles preoperatively,</w:t>
      </w:r>
      <w:r w:rsidR="007A77C7">
        <w:t xml:space="preserve"> </w:t>
      </w:r>
      <w:r w:rsidR="004F5AB6">
        <w:t xml:space="preserve">or </w:t>
      </w:r>
      <w:r w:rsidR="00F278B4">
        <w:t>omission</w:t>
      </w:r>
      <w:r w:rsidR="004F5AB6">
        <w:t xml:space="preserve"> of fut</w:t>
      </w:r>
      <w:r w:rsidR="00F278B4">
        <w:t>ile treatment in those patients</w:t>
      </w:r>
      <w:r w:rsidR="001A5706">
        <w:t xml:space="preserve"> who  will not benefit.</w:t>
      </w:r>
      <w:r w:rsidR="00806D9B">
        <w:rPr>
          <w:b/>
          <w:bCs/>
          <w:sz w:val="24"/>
          <w:szCs w:val="24"/>
          <w:u w:val="single"/>
        </w:rPr>
        <w:br w:type="page"/>
      </w:r>
    </w:p>
    <w:p w14:paraId="69A75A12" w14:textId="7BD53A7F" w:rsidR="003F15AD" w:rsidRDefault="003F15AD" w:rsidP="00B64874">
      <w:pPr>
        <w:spacing w:before="100" w:beforeAutospacing="1" w:after="100" w:afterAutospacing="1" w:line="480" w:lineRule="auto"/>
      </w:pPr>
    </w:p>
    <w:p w14:paraId="4B580DAE" w14:textId="77777777" w:rsidR="007E3DBA" w:rsidRDefault="007E3DBA">
      <w:pPr>
        <w:spacing w:before="0" w:line="240" w:lineRule="auto"/>
      </w:pPr>
      <w:r>
        <w:br w:type="page"/>
      </w:r>
    </w:p>
    <w:p w14:paraId="0EACD4BD" w14:textId="775EF637" w:rsidR="00ED1A55" w:rsidRPr="00FC4CDE" w:rsidRDefault="00050F00" w:rsidP="00042C56">
      <w:pPr>
        <w:spacing w:before="0"/>
        <w:rPr>
          <w:b/>
          <w:bCs/>
          <w:sz w:val="24"/>
          <w:szCs w:val="24"/>
          <w:u w:val="single"/>
          <w:lang w:val="nl-NL"/>
        </w:rPr>
      </w:pPr>
      <w:r w:rsidRPr="00FC4CDE">
        <w:rPr>
          <w:b/>
          <w:bCs/>
          <w:sz w:val="24"/>
          <w:szCs w:val="24"/>
          <w:u w:val="single"/>
          <w:lang w:val="nl-NL"/>
        </w:rPr>
        <w:lastRenderedPageBreak/>
        <w:t>References</w:t>
      </w:r>
    </w:p>
    <w:p w14:paraId="420CFC9E" w14:textId="04B385DA" w:rsidR="00D120BE" w:rsidRPr="00D120BE" w:rsidRDefault="00ED1A55" w:rsidP="00D120BE">
      <w:pPr>
        <w:widowControl w:val="0"/>
        <w:autoSpaceDE w:val="0"/>
        <w:autoSpaceDN w:val="0"/>
        <w:adjustRightInd w:val="0"/>
        <w:ind w:left="640" w:hanging="640"/>
        <w:rPr>
          <w:rFonts w:cs="Calibri"/>
          <w:noProof/>
          <w:sz w:val="24"/>
        </w:rPr>
      </w:pPr>
      <w:r w:rsidRPr="00DE3C9A">
        <w:rPr>
          <w:sz w:val="24"/>
          <w:szCs w:val="24"/>
        </w:rPr>
        <w:fldChar w:fldCharType="begin" w:fldLock="1"/>
      </w:r>
      <w:r w:rsidRPr="00FC4CDE">
        <w:rPr>
          <w:sz w:val="24"/>
          <w:szCs w:val="24"/>
          <w:lang w:val="nl-NL"/>
        </w:rPr>
        <w:instrText xml:space="preserve">ADDIN Mendeley Bibliography CSL_BIBLIOGRAPHY </w:instrText>
      </w:r>
      <w:r w:rsidRPr="00DE3C9A">
        <w:rPr>
          <w:sz w:val="24"/>
          <w:szCs w:val="24"/>
        </w:rPr>
        <w:fldChar w:fldCharType="separate"/>
      </w:r>
      <w:r w:rsidR="00D120BE" w:rsidRPr="00061298">
        <w:rPr>
          <w:rFonts w:cs="Calibri"/>
          <w:noProof/>
          <w:sz w:val="24"/>
          <w:lang w:val="nl-NL"/>
        </w:rPr>
        <w:t xml:space="preserve">1. </w:t>
      </w:r>
      <w:r w:rsidR="00D120BE" w:rsidRPr="00061298">
        <w:rPr>
          <w:rFonts w:cs="Calibri"/>
          <w:noProof/>
          <w:sz w:val="24"/>
          <w:lang w:val="nl-NL"/>
        </w:rPr>
        <w:tab/>
        <w:t xml:space="preserve">Cunningham D, Allum WH, Stenning SP, Thompson JN, Van de Velde CJH, Nicolson M, et al. </w:t>
      </w:r>
      <w:r w:rsidR="00D120BE" w:rsidRPr="00D120BE">
        <w:rPr>
          <w:rFonts w:cs="Calibri"/>
          <w:noProof/>
          <w:sz w:val="24"/>
        </w:rPr>
        <w:t xml:space="preserve">Perioperative Chemotherapy versus Surgery Alone for Resectable Gastroesophageal Cancer. N Engl J Med. 2006;355:11–20. </w:t>
      </w:r>
    </w:p>
    <w:p w14:paraId="0743FFE9" w14:textId="77777777" w:rsidR="00D120BE" w:rsidRPr="00061298" w:rsidRDefault="00D120BE" w:rsidP="00D120BE">
      <w:pPr>
        <w:widowControl w:val="0"/>
        <w:autoSpaceDE w:val="0"/>
        <w:autoSpaceDN w:val="0"/>
        <w:adjustRightInd w:val="0"/>
        <w:ind w:left="640" w:hanging="640"/>
        <w:rPr>
          <w:rFonts w:cs="Calibri"/>
          <w:noProof/>
          <w:sz w:val="24"/>
          <w:lang w:val="nl-NL"/>
        </w:rPr>
      </w:pPr>
      <w:r w:rsidRPr="00D120BE">
        <w:rPr>
          <w:rFonts w:cs="Calibri"/>
          <w:noProof/>
          <w:sz w:val="24"/>
        </w:rPr>
        <w:t xml:space="preserve">2. </w:t>
      </w:r>
      <w:r w:rsidRPr="00D120BE">
        <w:rPr>
          <w:rFonts w:cs="Calibri"/>
          <w:noProof/>
          <w:sz w:val="24"/>
        </w:rPr>
        <w:tab/>
        <w:t xml:space="preserve">Allum WH, Stenning SP, Bancewicz J, Clark PI, Langley RE. Long-term results of a randomized trial of surgery with or without preoperative chemotherapy in esophageal cancer. </w:t>
      </w:r>
      <w:r w:rsidRPr="00061298">
        <w:rPr>
          <w:rFonts w:cs="Calibri"/>
          <w:noProof/>
          <w:sz w:val="24"/>
          <w:lang w:val="nl-NL"/>
        </w:rPr>
        <w:t xml:space="preserve">J Clin Oncol. 2009;27:5062–5067. </w:t>
      </w:r>
    </w:p>
    <w:p w14:paraId="56BD3E32" w14:textId="77777777" w:rsidR="00D120BE" w:rsidRPr="00D120BE" w:rsidRDefault="00D120BE" w:rsidP="00D120BE">
      <w:pPr>
        <w:widowControl w:val="0"/>
        <w:autoSpaceDE w:val="0"/>
        <w:autoSpaceDN w:val="0"/>
        <w:adjustRightInd w:val="0"/>
        <w:ind w:left="640" w:hanging="640"/>
        <w:rPr>
          <w:rFonts w:cs="Calibri"/>
          <w:noProof/>
          <w:sz w:val="24"/>
        </w:rPr>
      </w:pPr>
      <w:r w:rsidRPr="00061298">
        <w:rPr>
          <w:rFonts w:cs="Calibri"/>
          <w:noProof/>
          <w:sz w:val="24"/>
          <w:lang w:val="nl-NL"/>
        </w:rPr>
        <w:t xml:space="preserve">3. </w:t>
      </w:r>
      <w:r w:rsidRPr="00061298">
        <w:rPr>
          <w:rFonts w:cs="Calibri"/>
          <w:noProof/>
          <w:sz w:val="24"/>
          <w:lang w:val="nl-NL"/>
        </w:rPr>
        <w:tab/>
        <w:t xml:space="preserve">van Hagen P, Hulshof MCCM, van Lanschot JJB, Steyerberg EW, Henegouwen MI van B, Wijnhoven BPL, et al. </w:t>
      </w:r>
      <w:r w:rsidRPr="00D120BE">
        <w:rPr>
          <w:rFonts w:cs="Calibri"/>
          <w:noProof/>
          <w:sz w:val="24"/>
        </w:rPr>
        <w:t xml:space="preserve">Preoperative Chemoradiotherapy for Esophageal or Junctional Cancer. N Engl J Med. 2012;366:2074–2084. </w:t>
      </w:r>
    </w:p>
    <w:p w14:paraId="3507F8FA"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4. </w:t>
      </w:r>
      <w:r w:rsidRPr="00D120BE">
        <w:rPr>
          <w:rFonts w:cs="Calibri"/>
          <w:noProof/>
          <w:sz w:val="24"/>
        </w:rPr>
        <w:tab/>
        <w:t xml:space="preserve">Al-Batran S-E, Homann N, Pauligk C, Goetze TO, Meiler J, Kasper S, et al. Perioperative chemotherapy with fluorouracil plus leucovorin, oxaliplatin, and docetaxel versus fluorouracil or capecitabine plus cisplatin and epirubicin for locally advanced, resectable gastric or gastro-oesophageal junction adenocarcinoma (FLOT4): a ra. Lancet. 2019;393:1948–1957. </w:t>
      </w:r>
    </w:p>
    <w:p w14:paraId="0DE76F7B"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5. </w:t>
      </w:r>
      <w:r w:rsidRPr="00D120BE">
        <w:rPr>
          <w:rFonts w:cs="Calibri"/>
          <w:noProof/>
          <w:sz w:val="24"/>
        </w:rPr>
        <w:tab/>
        <w:t xml:space="preserve">Cromwell D, Wahedally H, Park MH, Maynard N, Crosby T, Trudgill N, et al. National Oesophago-Gastric Cancer Audit: 2019 Annual Report. London; 2019. </w:t>
      </w:r>
    </w:p>
    <w:p w14:paraId="02AC814D"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6. </w:t>
      </w:r>
      <w:r w:rsidRPr="00D120BE">
        <w:rPr>
          <w:rFonts w:cs="Calibri"/>
          <w:noProof/>
          <w:sz w:val="24"/>
        </w:rPr>
        <w:tab/>
        <w:t xml:space="preserve">Noble F, Lloyd MA, Turkington R, Griffiths E, O’Donovan M, O’Neill JR, et al. Multicentre cohort study to define and validate pathological assessment of response to neoadjuvant therapy in oesophagogastric adenocarcinoma. Br J Surg. 2017;104:1816–1828. </w:t>
      </w:r>
    </w:p>
    <w:p w14:paraId="2EE9229E"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7. </w:t>
      </w:r>
      <w:r w:rsidRPr="00D120BE">
        <w:rPr>
          <w:rFonts w:cs="Calibri"/>
          <w:noProof/>
          <w:sz w:val="24"/>
        </w:rPr>
        <w:tab/>
        <w:t xml:space="preserve">Moorcraft SY, Smyth EC, Cunningham D. Adjuvant or neoadjuvant therapy for operable esophagogastric cancer? Gastric Cancer. 2015;18:1–10. </w:t>
      </w:r>
    </w:p>
    <w:p w14:paraId="40E1D15B" w14:textId="77777777" w:rsidR="00D120BE" w:rsidRPr="00061298" w:rsidRDefault="00D120BE" w:rsidP="00D120BE">
      <w:pPr>
        <w:widowControl w:val="0"/>
        <w:autoSpaceDE w:val="0"/>
        <w:autoSpaceDN w:val="0"/>
        <w:adjustRightInd w:val="0"/>
        <w:ind w:left="640" w:hanging="640"/>
        <w:rPr>
          <w:rFonts w:cs="Calibri"/>
          <w:noProof/>
          <w:sz w:val="24"/>
          <w:lang w:val="nl-NL"/>
        </w:rPr>
      </w:pPr>
      <w:r w:rsidRPr="00D120BE">
        <w:rPr>
          <w:rFonts w:cs="Calibri"/>
          <w:noProof/>
          <w:sz w:val="24"/>
        </w:rPr>
        <w:t xml:space="preserve">8. </w:t>
      </w:r>
      <w:r w:rsidRPr="00D120BE">
        <w:rPr>
          <w:rFonts w:cs="Calibri"/>
          <w:noProof/>
          <w:sz w:val="24"/>
        </w:rPr>
        <w:tab/>
        <w:t xml:space="preserve">Derogar M, Lagergren P. Health-related quality of life among 5-year survivors of esophageal cancer surgery: A prospective population-based study. </w:t>
      </w:r>
      <w:r w:rsidRPr="00061298">
        <w:rPr>
          <w:rFonts w:cs="Calibri"/>
          <w:noProof/>
          <w:sz w:val="24"/>
          <w:lang w:val="nl-NL"/>
        </w:rPr>
        <w:t xml:space="preserve">J Clin Oncol. 2012;30:413–418. </w:t>
      </w:r>
    </w:p>
    <w:p w14:paraId="32296541" w14:textId="77777777" w:rsidR="00D120BE" w:rsidRPr="00D120BE" w:rsidRDefault="00D120BE" w:rsidP="00D120BE">
      <w:pPr>
        <w:widowControl w:val="0"/>
        <w:autoSpaceDE w:val="0"/>
        <w:autoSpaceDN w:val="0"/>
        <w:adjustRightInd w:val="0"/>
        <w:ind w:left="640" w:hanging="640"/>
        <w:rPr>
          <w:rFonts w:cs="Calibri"/>
          <w:noProof/>
          <w:sz w:val="24"/>
        </w:rPr>
      </w:pPr>
      <w:r w:rsidRPr="00061298">
        <w:rPr>
          <w:rFonts w:cs="Calibri"/>
          <w:noProof/>
          <w:sz w:val="24"/>
          <w:lang w:val="nl-NL"/>
        </w:rPr>
        <w:t xml:space="preserve">9. </w:t>
      </w:r>
      <w:r w:rsidRPr="00061298">
        <w:rPr>
          <w:rFonts w:cs="Calibri"/>
          <w:noProof/>
          <w:sz w:val="24"/>
          <w:lang w:val="nl-NL"/>
        </w:rPr>
        <w:tab/>
        <w:t xml:space="preserve">Stijns RCH, de Graaf EJR, Punt CJA, Nagtegaal ID, Nuyttens JJME, van Meerten E, et al. </w:t>
      </w:r>
      <w:r w:rsidRPr="00D120BE">
        <w:rPr>
          <w:rFonts w:cs="Calibri"/>
          <w:noProof/>
          <w:sz w:val="24"/>
        </w:rPr>
        <w:t xml:space="preserve">Long-term Oncological and Functional Outcomes of Chemoradiotherapy Followed by </w:t>
      </w:r>
      <w:r w:rsidRPr="00D120BE">
        <w:rPr>
          <w:rFonts w:cs="Calibri"/>
          <w:noProof/>
          <w:sz w:val="24"/>
        </w:rPr>
        <w:lastRenderedPageBreak/>
        <w:t xml:space="preserve">Organ-Sparing Transanal Endoscopic Microsurgery for Distal Rectal Cancer. JAMA Surg. 2018;1–8. </w:t>
      </w:r>
    </w:p>
    <w:p w14:paraId="791E363E"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10. </w:t>
      </w:r>
      <w:r w:rsidRPr="00D120BE">
        <w:rPr>
          <w:rFonts w:cs="Calibri"/>
          <w:noProof/>
          <w:sz w:val="24"/>
        </w:rPr>
        <w:tab/>
        <w:t xml:space="preserve">Burt BM, Groth SS, Sada YH, Farjah F, Cornwell L, Sugarbaker DJ, et al. Utility of Adjuvant Chemotherapy after Neoadjuvant Chemoradiation and Esophagectomy for Esophageal Cancer. Ann Surg. 2017;266:297–304. </w:t>
      </w:r>
    </w:p>
    <w:p w14:paraId="1713DB3E"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11. </w:t>
      </w:r>
      <w:r w:rsidRPr="00D120BE">
        <w:rPr>
          <w:rFonts w:cs="Calibri"/>
          <w:noProof/>
          <w:sz w:val="24"/>
        </w:rPr>
        <w:tab/>
        <w:t xml:space="preserve">Mokdad AA, Yopp AC, Polanco PM, Mansour JC, Reznik SI, Heitjan DF, et al. Adjuvant chemotherapy vs postoperative observation following preoperative chemoradiotherapy and resection in gastroesophageal cancer a propensity score-matched analysis. JAMA Oncol. 2018;4:31–38. </w:t>
      </w:r>
    </w:p>
    <w:p w14:paraId="6FCE9098" w14:textId="77777777" w:rsidR="00D120BE" w:rsidRPr="00061298" w:rsidRDefault="00D120BE" w:rsidP="00D120BE">
      <w:pPr>
        <w:widowControl w:val="0"/>
        <w:autoSpaceDE w:val="0"/>
        <w:autoSpaceDN w:val="0"/>
        <w:adjustRightInd w:val="0"/>
        <w:ind w:left="640" w:hanging="640"/>
        <w:rPr>
          <w:rFonts w:cs="Calibri"/>
          <w:noProof/>
          <w:sz w:val="24"/>
          <w:lang w:val="nl-NL"/>
        </w:rPr>
      </w:pPr>
      <w:r w:rsidRPr="00D120BE">
        <w:rPr>
          <w:rFonts w:cs="Calibri"/>
          <w:noProof/>
          <w:sz w:val="24"/>
        </w:rPr>
        <w:t xml:space="preserve">12. </w:t>
      </w:r>
      <w:r w:rsidRPr="00D120BE">
        <w:rPr>
          <w:rFonts w:cs="Calibri"/>
          <w:noProof/>
          <w:sz w:val="24"/>
        </w:rPr>
        <w:tab/>
        <w:t xml:space="preserve">Nevala-Plagemann C, Francis S, Cavalieri C, Tao R, Whisenant J, Glasgow R, et al. Benefit of adjuvant chemotherapy based on lymph node involvement for oesophageal cancer following trimodality therapy. </w:t>
      </w:r>
      <w:r w:rsidRPr="00061298">
        <w:rPr>
          <w:rFonts w:cs="Calibri"/>
          <w:noProof/>
          <w:sz w:val="24"/>
          <w:lang w:val="nl-NL"/>
        </w:rPr>
        <w:t xml:space="preserve">ESMO Open. 2018;3:1–7. </w:t>
      </w:r>
    </w:p>
    <w:p w14:paraId="628E0476" w14:textId="77777777" w:rsidR="00D120BE" w:rsidRPr="00D120BE" w:rsidRDefault="00D120BE" w:rsidP="00D120BE">
      <w:pPr>
        <w:widowControl w:val="0"/>
        <w:autoSpaceDE w:val="0"/>
        <w:autoSpaceDN w:val="0"/>
        <w:adjustRightInd w:val="0"/>
        <w:ind w:left="640" w:hanging="640"/>
        <w:rPr>
          <w:rFonts w:cs="Calibri"/>
          <w:noProof/>
          <w:sz w:val="24"/>
        </w:rPr>
      </w:pPr>
      <w:r w:rsidRPr="00061298">
        <w:rPr>
          <w:rFonts w:cs="Calibri"/>
          <w:noProof/>
          <w:sz w:val="24"/>
          <w:lang w:val="nl-NL"/>
        </w:rPr>
        <w:t xml:space="preserve">13. </w:t>
      </w:r>
      <w:r w:rsidRPr="00061298">
        <w:rPr>
          <w:rFonts w:cs="Calibri"/>
          <w:noProof/>
          <w:sz w:val="24"/>
          <w:lang w:val="nl-NL"/>
        </w:rPr>
        <w:tab/>
        <w:t xml:space="preserve">Drake JA, Stiles ZE, Tsao MW, Deneve JL, Glazer ES, Yakoub D, et al. </w:t>
      </w:r>
      <w:r w:rsidRPr="00D120BE">
        <w:rPr>
          <w:rFonts w:cs="Calibri"/>
          <w:noProof/>
          <w:sz w:val="24"/>
        </w:rPr>
        <w:t xml:space="preserve">Analysis of the Survival Impact of Postoperative Chemotherapy After Preoperative Chemotherapy and Resection for Gastric Cancer. Ann Surg Oncol. 2020; </w:t>
      </w:r>
    </w:p>
    <w:p w14:paraId="7D4E1CC6"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14. </w:t>
      </w:r>
      <w:r w:rsidRPr="00D120BE">
        <w:rPr>
          <w:rFonts w:cs="Calibri"/>
          <w:noProof/>
          <w:sz w:val="24"/>
        </w:rPr>
        <w:tab/>
        <w:t xml:space="preserve">Glatz T, Bronsert P, Schäfer M, Kulemann B, Marjanovic G, Sick O, et al. Perioperative platin-based chemotherapy for locally advanced esophagogastric adenocarcinoma: Postoperative chemotherapy has a substantial impact on outcome. Eur J Surg Oncol. 2015;41:1300–1307. </w:t>
      </w:r>
    </w:p>
    <w:p w14:paraId="38B2C613" w14:textId="77777777" w:rsidR="00D120BE" w:rsidRPr="00061298" w:rsidRDefault="00D120BE" w:rsidP="00D120BE">
      <w:pPr>
        <w:widowControl w:val="0"/>
        <w:autoSpaceDE w:val="0"/>
        <w:autoSpaceDN w:val="0"/>
        <w:adjustRightInd w:val="0"/>
        <w:ind w:left="640" w:hanging="640"/>
        <w:rPr>
          <w:rFonts w:cs="Calibri"/>
          <w:noProof/>
          <w:sz w:val="24"/>
          <w:lang w:val="nl-NL"/>
        </w:rPr>
      </w:pPr>
      <w:r w:rsidRPr="00D120BE">
        <w:rPr>
          <w:rFonts w:cs="Calibri"/>
          <w:noProof/>
          <w:sz w:val="24"/>
        </w:rPr>
        <w:t xml:space="preserve">15. </w:t>
      </w:r>
      <w:r w:rsidRPr="00D120BE">
        <w:rPr>
          <w:rFonts w:cs="Calibri"/>
          <w:noProof/>
          <w:sz w:val="24"/>
        </w:rPr>
        <w:tab/>
        <w:t xml:space="preserve">Sisic L, Blank S, Nienhüser H, Haag GM, Jäger D, Bruckner T, et al. The postoperative part of perioperative chemotherapy fails to provide a survival benefit in completely resected esophagogastric adenocarcinoma. </w:t>
      </w:r>
      <w:r w:rsidRPr="00061298">
        <w:rPr>
          <w:rFonts w:cs="Calibri"/>
          <w:noProof/>
          <w:sz w:val="24"/>
          <w:lang w:val="nl-NL"/>
        </w:rPr>
        <w:t xml:space="preserve">Surg Oncol. 2020;33:177–188. </w:t>
      </w:r>
    </w:p>
    <w:p w14:paraId="3D65A157" w14:textId="77777777" w:rsidR="00D120BE" w:rsidRPr="00D120BE" w:rsidRDefault="00D120BE" w:rsidP="00D120BE">
      <w:pPr>
        <w:widowControl w:val="0"/>
        <w:autoSpaceDE w:val="0"/>
        <w:autoSpaceDN w:val="0"/>
        <w:adjustRightInd w:val="0"/>
        <w:ind w:left="640" w:hanging="640"/>
        <w:rPr>
          <w:rFonts w:cs="Calibri"/>
          <w:noProof/>
          <w:sz w:val="24"/>
        </w:rPr>
      </w:pPr>
      <w:r w:rsidRPr="00061298">
        <w:rPr>
          <w:rFonts w:cs="Calibri"/>
          <w:noProof/>
          <w:sz w:val="24"/>
          <w:lang w:val="nl-NL"/>
        </w:rPr>
        <w:t xml:space="preserve">16. </w:t>
      </w:r>
      <w:r w:rsidRPr="00061298">
        <w:rPr>
          <w:rFonts w:cs="Calibri"/>
          <w:noProof/>
          <w:sz w:val="24"/>
          <w:lang w:val="nl-NL"/>
        </w:rPr>
        <w:tab/>
        <w:t xml:space="preserve">Papaxoinis G, Kamposioras K, Weaver JMJ, Kordatou Z, Stamatopoulou S, Germetaki T, et al. </w:t>
      </w:r>
      <w:r w:rsidRPr="00D120BE">
        <w:rPr>
          <w:rFonts w:cs="Calibri"/>
          <w:noProof/>
          <w:sz w:val="24"/>
        </w:rPr>
        <w:t xml:space="preserve">The Role of Continuing Perioperative Chemotherapy Post Surgery in Patients with Esophageal or Gastroesophageal Junction Adenocarcinoma: a Multicenter Cohort Study. J Gastrointest Surg. 2019;23:1729–1741. </w:t>
      </w:r>
    </w:p>
    <w:p w14:paraId="7EEB69A8"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17. </w:t>
      </w:r>
      <w:r w:rsidRPr="00D120BE">
        <w:rPr>
          <w:rFonts w:cs="Calibri"/>
          <w:noProof/>
          <w:sz w:val="24"/>
        </w:rPr>
        <w:tab/>
        <w:t xml:space="preserve">Bright CJ, Lawton S, Benson S, Bomb M, Dodwell D, Henson KE, et al. Data Resource Profile: The Systemic Anti-Cancer Therapy (SACT) dataset. Int J Epidemiol. </w:t>
      </w:r>
      <w:r w:rsidRPr="00D120BE">
        <w:rPr>
          <w:rFonts w:cs="Calibri"/>
          <w:noProof/>
          <w:sz w:val="24"/>
        </w:rPr>
        <w:lastRenderedPageBreak/>
        <w:t xml:space="preserve">2020;49:15-15L. </w:t>
      </w:r>
    </w:p>
    <w:p w14:paraId="2841572E"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18. </w:t>
      </w:r>
      <w:r w:rsidRPr="00D120BE">
        <w:rPr>
          <w:rFonts w:cs="Calibri"/>
          <w:noProof/>
          <w:sz w:val="24"/>
        </w:rPr>
        <w:tab/>
        <w:t xml:space="preserve">Hernán MA, Robins JM. Using Big Data to Emulate a Target Trial When a Randomized Trial Is Not Available. Am J Epidemiol. 2016;183:758–764. </w:t>
      </w:r>
    </w:p>
    <w:p w14:paraId="6DBA5101" w14:textId="77777777" w:rsidR="00D120BE" w:rsidRPr="00061298" w:rsidRDefault="00D120BE" w:rsidP="00D120BE">
      <w:pPr>
        <w:widowControl w:val="0"/>
        <w:autoSpaceDE w:val="0"/>
        <w:autoSpaceDN w:val="0"/>
        <w:adjustRightInd w:val="0"/>
        <w:ind w:left="640" w:hanging="640"/>
        <w:rPr>
          <w:rFonts w:cs="Calibri"/>
          <w:noProof/>
          <w:sz w:val="24"/>
          <w:lang w:val="nl-NL"/>
        </w:rPr>
      </w:pPr>
      <w:r w:rsidRPr="00D120BE">
        <w:rPr>
          <w:rFonts w:cs="Calibri"/>
          <w:noProof/>
          <w:sz w:val="24"/>
        </w:rPr>
        <w:t xml:space="preserve">19. </w:t>
      </w:r>
      <w:r w:rsidRPr="00D120BE">
        <w:rPr>
          <w:rFonts w:cs="Calibri"/>
          <w:noProof/>
          <w:sz w:val="24"/>
        </w:rPr>
        <w:tab/>
        <w:t xml:space="preserve">Sterne JA, Hernán MA, Reeves BC, Savović J, Berkman ND, Viswanathan M, et al. ROBINS-I: A tool for assessing risk of bias in non-randomised studies of interventions. </w:t>
      </w:r>
      <w:r w:rsidRPr="00061298">
        <w:rPr>
          <w:rFonts w:cs="Calibri"/>
          <w:noProof/>
          <w:sz w:val="24"/>
          <w:lang w:val="nl-NL"/>
        </w:rPr>
        <w:t xml:space="preserve">BMJ. 2016;355:4–10. </w:t>
      </w:r>
    </w:p>
    <w:p w14:paraId="1FC296A4" w14:textId="77777777" w:rsidR="00D120BE" w:rsidRPr="00D120BE" w:rsidRDefault="00D120BE" w:rsidP="00D120BE">
      <w:pPr>
        <w:widowControl w:val="0"/>
        <w:autoSpaceDE w:val="0"/>
        <w:autoSpaceDN w:val="0"/>
        <w:adjustRightInd w:val="0"/>
        <w:ind w:left="640" w:hanging="640"/>
        <w:rPr>
          <w:rFonts w:cs="Calibri"/>
          <w:noProof/>
          <w:sz w:val="24"/>
        </w:rPr>
      </w:pPr>
      <w:r w:rsidRPr="00061298">
        <w:rPr>
          <w:rFonts w:cs="Calibri"/>
          <w:noProof/>
          <w:sz w:val="24"/>
          <w:lang w:val="nl-NL"/>
        </w:rPr>
        <w:t xml:space="preserve">20. </w:t>
      </w:r>
      <w:r w:rsidRPr="00061298">
        <w:rPr>
          <w:rFonts w:cs="Calibri"/>
          <w:noProof/>
          <w:sz w:val="24"/>
          <w:lang w:val="nl-NL"/>
        </w:rPr>
        <w:tab/>
        <w:t xml:space="preserve">Stahl M, Walz MK, Riera-Knorrenschild J, Stuschke M, Sandermann A, Bitzer M, et al. </w:t>
      </w:r>
      <w:r w:rsidRPr="00D120BE">
        <w:rPr>
          <w:rFonts w:cs="Calibri"/>
          <w:noProof/>
          <w:sz w:val="24"/>
        </w:rPr>
        <w:t xml:space="preserve">Preoperative chemotherapy versus chemoradiotherapy in locally advanced adenocarcinomas of the oesophagogastric junction (POET): Long-term results of a controlled randomised trial. Eur J Cancer. 2017;81:183–190. </w:t>
      </w:r>
    </w:p>
    <w:p w14:paraId="0719CE0D"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21. </w:t>
      </w:r>
      <w:r w:rsidRPr="00D120BE">
        <w:rPr>
          <w:rFonts w:cs="Calibri"/>
          <w:noProof/>
          <w:sz w:val="24"/>
        </w:rPr>
        <w:tab/>
        <w:t xml:space="preserve">Petrelli F, Ghidini M, Barni S, Sgroi G, Passalacqua R, Tomasello G. Neoadjuvant chemoradiotherapy or chemotherapy for gastroesophageal junction adenocarcinoma: A systematic review and meta-analysis. Gastric Cancer. 2019;22:245–254. </w:t>
      </w:r>
    </w:p>
    <w:p w14:paraId="04026C3E"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22. </w:t>
      </w:r>
      <w:r w:rsidRPr="00D120BE">
        <w:rPr>
          <w:rFonts w:cs="Calibri"/>
          <w:noProof/>
          <w:sz w:val="24"/>
        </w:rPr>
        <w:tab/>
        <w:t xml:space="preserve">Pucher PH, Rahman SA, Walker RC, Grace BL, Bateman A, Iveson T, et al. Outcomes and survival following neoadjuvant chemotherapy versus neoadjuvant chemoradiotherapy for cancer of the esophagus: Inverse propensity score weighted analysis. Eur J Surg Oncol. 2020;46:2248–2256. </w:t>
      </w:r>
    </w:p>
    <w:p w14:paraId="6BFF3DBE"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23. </w:t>
      </w:r>
      <w:r w:rsidRPr="00D120BE">
        <w:rPr>
          <w:rFonts w:cs="Calibri"/>
          <w:noProof/>
          <w:sz w:val="24"/>
        </w:rPr>
        <w:tab/>
        <w:t xml:space="preserve">Suissa S. Immortal time bias in pharmacoepidemiology. Am J Epidemiol. 2008;167:492–499. </w:t>
      </w:r>
    </w:p>
    <w:p w14:paraId="39F09D35"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24. </w:t>
      </w:r>
      <w:r w:rsidRPr="00D120BE">
        <w:rPr>
          <w:rFonts w:cs="Calibri"/>
          <w:noProof/>
          <w:sz w:val="24"/>
        </w:rPr>
        <w:tab/>
        <w:t xml:space="preserve">Dafni U. Landmark analysis at the 25-year landmark point. Circ Cardiovasc Qual Outcomes. 2011;4:363–371. </w:t>
      </w:r>
    </w:p>
    <w:p w14:paraId="5ECBC568"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25. </w:t>
      </w:r>
      <w:r w:rsidRPr="00D120BE">
        <w:rPr>
          <w:rFonts w:cs="Calibri"/>
          <w:noProof/>
          <w:sz w:val="24"/>
        </w:rPr>
        <w:tab/>
        <w:t xml:space="preserve">Rosenbaum PR, Rubin DB. The central role of the propensity score in observational studies for causal effects. Biometrika. 1983;70:41–55. </w:t>
      </w:r>
    </w:p>
    <w:p w14:paraId="4A6107BD"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26. </w:t>
      </w:r>
      <w:r w:rsidRPr="00D120BE">
        <w:rPr>
          <w:rFonts w:cs="Calibri"/>
          <w:noProof/>
          <w:sz w:val="24"/>
        </w:rPr>
        <w:tab/>
        <w:t xml:space="preserve">Austin PC, Stuart EA. Moving towards best practice when using inverse probability of treatment weighting (IPTW) using the propensity score to estimate causal treatment effects in observational studies. Stat Med. 2015;34:3661–3679. </w:t>
      </w:r>
    </w:p>
    <w:p w14:paraId="0772B927"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lastRenderedPageBreak/>
        <w:t xml:space="preserve">27. </w:t>
      </w:r>
      <w:r w:rsidRPr="00D120BE">
        <w:rPr>
          <w:rFonts w:cs="Calibri"/>
          <w:noProof/>
          <w:sz w:val="24"/>
        </w:rPr>
        <w:tab/>
        <w:t xml:space="preserve">Pirracchio R, Resche-Rigon M, Chevret S. Evaluation of the Propensity score methods for estimating marginal odds ratios in case of small sample size. BMC Med Res Methodol. 2012;12. </w:t>
      </w:r>
    </w:p>
    <w:p w14:paraId="5735B853"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28. </w:t>
      </w:r>
      <w:r w:rsidRPr="00D120BE">
        <w:rPr>
          <w:rFonts w:cs="Calibri"/>
          <w:noProof/>
          <w:sz w:val="24"/>
        </w:rPr>
        <w:tab/>
        <w:t xml:space="preserve">Austin PC. Variance estimation when using inverse probability of treatment weighting (IPTW) with survival analysis. Stat Med. 2016;35:5642–5655. </w:t>
      </w:r>
    </w:p>
    <w:p w14:paraId="42ED39F8"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29. </w:t>
      </w:r>
      <w:r w:rsidRPr="00D120BE">
        <w:rPr>
          <w:rFonts w:cs="Calibri"/>
          <w:noProof/>
          <w:sz w:val="24"/>
        </w:rPr>
        <w:tab/>
        <w:t xml:space="preserve">Leyrat C, Seaman SR, White IR, Douglas I, Smeeth L, Kim J, et al. Propensity score analysis with partially observed covariates: How should multiple imputation be used? Stat Methods Med Res. 2019;28:3–19. </w:t>
      </w:r>
    </w:p>
    <w:p w14:paraId="21D5B590"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30. </w:t>
      </w:r>
      <w:r w:rsidRPr="00D120BE">
        <w:rPr>
          <w:rFonts w:cs="Calibri"/>
          <w:noProof/>
          <w:sz w:val="24"/>
        </w:rPr>
        <w:tab/>
        <w:t xml:space="preserve">Austin PC, Grootendorst P, Anderson GM. A comparison of the ability of different propensity score models to balance measured variables between treated and untreated subjects: a Monte Carlo study. Stat Med. 2007;26:734–753. </w:t>
      </w:r>
    </w:p>
    <w:p w14:paraId="1EA32051"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31. </w:t>
      </w:r>
      <w:r w:rsidRPr="00D120BE">
        <w:rPr>
          <w:rFonts w:cs="Calibri"/>
          <w:noProof/>
          <w:sz w:val="24"/>
        </w:rPr>
        <w:tab/>
        <w:t xml:space="preserve">Austin PC, Mamdani MM, Stukel TA, Anderson GM, Tu J V. The use of the propensity score for estimating treatment effects: administrative  versus clinical data. Stat Med. 2005;24:1563–1578. </w:t>
      </w:r>
    </w:p>
    <w:p w14:paraId="731B9672"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32. </w:t>
      </w:r>
      <w:r w:rsidRPr="00D120BE">
        <w:rPr>
          <w:rFonts w:cs="Calibri"/>
          <w:noProof/>
          <w:sz w:val="24"/>
        </w:rPr>
        <w:tab/>
        <w:t xml:space="preserve">Austin PC. Balance diagnostics for comparing the distribution of baseline covariates between treatment groups in propensity-score matched samples. Stat Med. 2009;28:3083–3107. </w:t>
      </w:r>
    </w:p>
    <w:p w14:paraId="04677726"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33. </w:t>
      </w:r>
      <w:r w:rsidRPr="00D120BE">
        <w:rPr>
          <w:rFonts w:cs="Calibri"/>
          <w:noProof/>
          <w:sz w:val="24"/>
        </w:rPr>
        <w:tab/>
        <w:t xml:space="preserve">van Buuren S, Groothuis-Oudshoorn K. MICE: Multivariate Imputation by Chained Equations in R. J Stat Softw. 2011;45:1–67. </w:t>
      </w:r>
    </w:p>
    <w:p w14:paraId="1052974B"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34. </w:t>
      </w:r>
      <w:r w:rsidRPr="00D120BE">
        <w:rPr>
          <w:rFonts w:cs="Calibri"/>
          <w:noProof/>
          <w:sz w:val="24"/>
        </w:rPr>
        <w:tab/>
        <w:t xml:space="preserve">White IR, Royston P, Wood AM. Multiple imputation using chained equations: Issues and guidance for practice. Stat Med. 2011;30:377–399. </w:t>
      </w:r>
    </w:p>
    <w:p w14:paraId="4B82CB59"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35. </w:t>
      </w:r>
      <w:r w:rsidRPr="00D120BE">
        <w:rPr>
          <w:rFonts w:cs="Calibri"/>
          <w:noProof/>
          <w:sz w:val="24"/>
        </w:rPr>
        <w:tab/>
        <w:t xml:space="preserve">Schoenfeld D. Partial residuals for the proportional hazards regression model. Biometrika. 1982;69:239–241. </w:t>
      </w:r>
    </w:p>
    <w:p w14:paraId="73BFEA86"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36. </w:t>
      </w:r>
      <w:r w:rsidRPr="00D120BE">
        <w:rPr>
          <w:rFonts w:cs="Calibri"/>
          <w:noProof/>
          <w:sz w:val="24"/>
        </w:rPr>
        <w:tab/>
        <w:t xml:space="preserve">Royston P, Parmar MKB. The use of restricted mean survival time to estimate the treatment effect in randomized clinical trials when the proportional hazards assumption is in doubt. Stat Med. 2011;30:2409–2421. </w:t>
      </w:r>
    </w:p>
    <w:p w14:paraId="249504AD"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37. </w:t>
      </w:r>
      <w:r w:rsidRPr="00D120BE">
        <w:rPr>
          <w:rFonts w:cs="Calibri"/>
          <w:noProof/>
          <w:sz w:val="24"/>
        </w:rPr>
        <w:tab/>
        <w:t xml:space="preserve">Dehbi HM, Royston P, Hackshaw A. Life expectancy difference and life expectancy </w:t>
      </w:r>
      <w:r w:rsidRPr="00D120BE">
        <w:rPr>
          <w:rFonts w:cs="Calibri"/>
          <w:noProof/>
          <w:sz w:val="24"/>
        </w:rPr>
        <w:lastRenderedPageBreak/>
        <w:t xml:space="preserve">ratio: Two measures of treatment effects in randomised trials with non-proportional hazards. BMJ. 2017;357:1–7. </w:t>
      </w:r>
    </w:p>
    <w:p w14:paraId="03E12D34"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38. </w:t>
      </w:r>
      <w:r w:rsidRPr="00D120BE">
        <w:rPr>
          <w:rFonts w:cs="Calibri"/>
          <w:noProof/>
          <w:sz w:val="24"/>
        </w:rPr>
        <w:tab/>
        <w:t xml:space="preserve">Trinquart L, Jacot J, Conner SC, Porcher R. Comparison of treatment effects measured by the hazard ratio and by the ratio of restricted mean survival times in oncology randomized controlled trials. J Clin Oncol. 2016;34:1813–1819. </w:t>
      </w:r>
    </w:p>
    <w:p w14:paraId="708FDAE3"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39. </w:t>
      </w:r>
      <w:r w:rsidRPr="00D120BE">
        <w:rPr>
          <w:rFonts w:cs="Calibri"/>
          <w:noProof/>
          <w:sz w:val="24"/>
        </w:rPr>
        <w:tab/>
        <w:t xml:space="preserve">Zhao L, Claggett B, Tian L, Uno H, Pfeffer MA, Solomon SD, et al. On the restricted mean survival time curve in survival analysis. Biometrics. 2016;72:215–221. </w:t>
      </w:r>
    </w:p>
    <w:p w14:paraId="59CD1CBE"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40. </w:t>
      </w:r>
      <w:r w:rsidRPr="00D120BE">
        <w:rPr>
          <w:rFonts w:cs="Calibri"/>
          <w:noProof/>
          <w:sz w:val="24"/>
        </w:rPr>
        <w:tab/>
        <w:t xml:space="preserve">A’Hern RP. Restricted mean survival time: An obligatory end point for time-to-event analysis in cancer trials? J Clin Oncol. 2016;34:3474–3476. </w:t>
      </w:r>
    </w:p>
    <w:p w14:paraId="2CD47C9E"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41. </w:t>
      </w:r>
      <w:r w:rsidRPr="00D120BE">
        <w:rPr>
          <w:rFonts w:cs="Calibri"/>
          <w:noProof/>
          <w:sz w:val="24"/>
        </w:rPr>
        <w:tab/>
        <w:t xml:space="preserve">A’Hern RP. Cancer Biology and Survival Analysis in Cancer Trials: Restricted Mean Survival Time Analysis versus Hazard Ratios. Clin Oncol. 2018;30:e75–e80. </w:t>
      </w:r>
    </w:p>
    <w:p w14:paraId="6EBD79D6"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42. </w:t>
      </w:r>
      <w:r w:rsidRPr="00D120BE">
        <w:rPr>
          <w:rFonts w:cs="Calibri"/>
          <w:noProof/>
          <w:sz w:val="24"/>
        </w:rPr>
        <w:tab/>
        <w:t xml:space="preserve">Van Der Weele TJ, Ding P. Sensitivity analysis in observational research: Introducing the E-Value. Ann Intern Med. 2017;167:268–274. </w:t>
      </w:r>
    </w:p>
    <w:p w14:paraId="75F7E8AC"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43. </w:t>
      </w:r>
      <w:r w:rsidRPr="00D120BE">
        <w:rPr>
          <w:rFonts w:cs="Calibri"/>
          <w:noProof/>
          <w:sz w:val="24"/>
        </w:rPr>
        <w:tab/>
        <w:t xml:space="preserve">R Core Team. R: A Language and Environment for Statistical Computing. Vienna, Austria: R Foundation for Statistical Computing; 2019. </w:t>
      </w:r>
    </w:p>
    <w:p w14:paraId="42A5F7E9"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44. </w:t>
      </w:r>
      <w:r w:rsidRPr="00D120BE">
        <w:rPr>
          <w:rFonts w:cs="Calibri"/>
          <w:noProof/>
          <w:sz w:val="24"/>
        </w:rPr>
        <w:tab/>
        <w:t xml:space="preserve">Ychou M, Boige V, Pignon JP, Conroy T, Bouché O, Lebreton G, et al. Perioperative chemotherapy compared with surgery alone for resectable gastroesophageal adenocarcinoma: An FNCLCC and FFCD multicenter phase III trial. J Clin Oncol. 2011;29:1715–1721. </w:t>
      </w:r>
    </w:p>
    <w:p w14:paraId="74246EFF"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45. </w:t>
      </w:r>
      <w:r w:rsidRPr="00D120BE">
        <w:rPr>
          <w:rFonts w:cs="Calibri"/>
          <w:noProof/>
          <w:sz w:val="24"/>
        </w:rPr>
        <w:tab/>
        <w:t xml:space="preserve">Alderson D, Cunningham D, Nankivell M, Blazeby JM, Griffin SM, Crellin A, et al. Neoadjuvant cisplatin and fluorouracil versus epirubicin, cisplatin, and capecitabine followed by resection in patients with oesophageal adenocarcinoma (UK MRC OE05): an open-label, randomised phase 3 trial. Lancet Oncol. 2017;18:1249–1260. </w:t>
      </w:r>
    </w:p>
    <w:p w14:paraId="34C3262C"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46. </w:t>
      </w:r>
      <w:r w:rsidRPr="00D120BE">
        <w:rPr>
          <w:rFonts w:cs="Calibri"/>
          <w:noProof/>
          <w:sz w:val="24"/>
        </w:rPr>
        <w:tab/>
        <w:t xml:space="preserve">Cunningham D, Stenning SP, Smyth EC, Okines AF, Allum WH, Rowley S, et al. Peri-operative chemotherapy with or without bevacizumab in operable oesophagogastric adenocarcinoma ( UK Medical Research Council ST03 ): primary analysis results of a multicentre , open-label , randomised phase 2 – 3 trial. Lancet Oncol. 18:357–370. </w:t>
      </w:r>
    </w:p>
    <w:p w14:paraId="3D9C3170" w14:textId="77777777" w:rsidR="00D120BE" w:rsidRPr="00061298" w:rsidRDefault="00D120BE" w:rsidP="00D120BE">
      <w:pPr>
        <w:widowControl w:val="0"/>
        <w:autoSpaceDE w:val="0"/>
        <w:autoSpaceDN w:val="0"/>
        <w:adjustRightInd w:val="0"/>
        <w:ind w:left="640" w:hanging="640"/>
        <w:rPr>
          <w:rFonts w:cs="Calibri"/>
          <w:noProof/>
          <w:sz w:val="24"/>
          <w:lang w:val="nl-NL"/>
        </w:rPr>
      </w:pPr>
      <w:r w:rsidRPr="00D120BE">
        <w:rPr>
          <w:rFonts w:cs="Calibri"/>
          <w:noProof/>
          <w:sz w:val="24"/>
        </w:rPr>
        <w:lastRenderedPageBreak/>
        <w:t xml:space="preserve">47. </w:t>
      </w:r>
      <w:r w:rsidRPr="00D120BE">
        <w:rPr>
          <w:rFonts w:cs="Calibri"/>
          <w:noProof/>
          <w:sz w:val="24"/>
        </w:rPr>
        <w:tab/>
        <w:t xml:space="preserve">Rahman SA, Walker RC, Lloyd MA, Grace BL, van Boxel GI, Kingma BF, et al. Machine learning to predict early recurrence after oesophageal cancer surgery. </w:t>
      </w:r>
      <w:r w:rsidRPr="00061298">
        <w:rPr>
          <w:rFonts w:cs="Calibri"/>
          <w:noProof/>
          <w:sz w:val="24"/>
          <w:lang w:val="nl-NL"/>
        </w:rPr>
        <w:t xml:space="preserve">Br J Surg. 2020;107:1042–1052. </w:t>
      </w:r>
    </w:p>
    <w:p w14:paraId="2C216C28" w14:textId="77777777" w:rsidR="00D120BE" w:rsidRPr="00D120BE" w:rsidRDefault="00D120BE" w:rsidP="00D120BE">
      <w:pPr>
        <w:widowControl w:val="0"/>
        <w:autoSpaceDE w:val="0"/>
        <w:autoSpaceDN w:val="0"/>
        <w:adjustRightInd w:val="0"/>
        <w:ind w:left="640" w:hanging="640"/>
        <w:rPr>
          <w:rFonts w:cs="Calibri"/>
          <w:noProof/>
          <w:sz w:val="24"/>
        </w:rPr>
      </w:pPr>
      <w:r w:rsidRPr="00061298">
        <w:rPr>
          <w:rFonts w:cs="Calibri"/>
          <w:noProof/>
          <w:sz w:val="24"/>
          <w:lang w:val="nl-NL"/>
        </w:rPr>
        <w:t xml:space="preserve">48. </w:t>
      </w:r>
      <w:r w:rsidRPr="00061298">
        <w:rPr>
          <w:rFonts w:cs="Calibri"/>
          <w:noProof/>
          <w:sz w:val="24"/>
          <w:lang w:val="nl-NL"/>
        </w:rPr>
        <w:tab/>
        <w:t xml:space="preserve">Davies AR, Myoteri D, Zylstra J, Baker CR, Wulaningsih W, Van Hemelrijck M, et al. </w:t>
      </w:r>
      <w:r w:rsidRPr="00D120BE">
        <w:rPr>
          <w:rFonts w:cs="Calibri"/>
          <w:noProof/>
          <w:sz w:val="24"/>
        </w:rPr>
        <w:t xml:space="preserve">Lymph node regression and survival following neoadjuvant chemotherapy in oesophageal adenocarcinoma. Br J Surg. 2018;105:1639–1649. </w:t>
      </w:r>
    </w:p>
    <w:p w14:paraId="193F058A"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49. </w:t>
      </w:r>
      <w:r w:rsidRPr="00D120BE">
        <w:rPr>
          <w:rFonts w:cs="Calibri"/>
          <w:noProof/>
          <w:sz w:val="24"/>
        </w:rPr>
        <w:tab/>
        <w:t xml:space="preserve">Rahman SA, Walker RC, Maynard N, Trudgill N, Crosby T, Cromwell DA, et al. The AUGIS Survival Predictor. Ann Surg. 2021;Publish Ah. </w:t>
      </w:r>
    </w:p>
    <w:p w14:paraId="21C42BCB" w14:textId="77777777" w:rsidR="00D120BE" w:rsidRPr="00061298" w:rsidRDefault="00D120BE" w:rsidP="00D120BE">
      <w:pPr>
        <w:widowControl w:val="0"/>
        <w:autoSpaceDE w:val="0"/>
        <w:autoSpaceDN w:val="0"/>
        <w:adjustRightInd w:val="0"/>
        <w:ind w:left="640" w:hanging="640"/>
        <w:rPr>
          <w:rFonts w:cs="Calibri"/>
          <w:noProof/>
          <w:sz w:val="24"/>
          <w:lang w:val="nl-NL"/>
        </w:rPr>
      </w:pPr>
      <w:r w:rsidRPr="00D120BE">
        <w:rPr>
          <w:rFonts w:cs="Calibri"/>
          <w:noProof/>
          <w:sz w:val="24"/>
        </w:rPr>
        <w:t xml:space="preserve">50. </w:t>
      </w:r>
      <w:r w:rsidRPr="00D120BE">
        <w:rPr>
          <w:rFonts w:cs="Calibri"/>
          <w:noProof/>
          <w:sz w:val="24"/>
        </w:rPr>
        <w:tab/>
        <w:t xml:space="preserve">Curtis NJ, Noble F, Bailey IS, Kelly JJ, Byrne JP, Underwood TJ. The relevance of the Siewert classification in the era of multimodal therapy for adenocarcinoma of the gastro-oesophageal junction. </w:t>
      </w:r>
      <w:r w:rsidRPr="00061298">
        <w:rPr>
          <w:rFonts w:cs="Calibri"/>
          <w:noProof/>
          <w:sz w:val="24"/>
          <w:lang w:val="nl-NL"/>
        </w:rPr>
        <w:t xml:space="preserve">J Surg Oncol. 2014;109:202–207. </w:t>
      </w:r>
    </w:p>
    <w:p w14:paraId="7DD0C81C" w14:textId="77777777" w:rsidR="00D120BE" w:rsidRPr="00D120BE" w:rsidRDefault="00D120BE" w:rsidP="00D120BE">
      <w:pPr>
        <w:widowControl w:val="0"/>
        <w:autoSpaceDE w:val="0"/>
        <w:autoSpaceDN w:val="0"/>
        <w:adjustRightInd w:val="0"/>
        <w:ind w:left="640" w:hanging="640"/>
        <w:rPr>
          <w:rFonts w:cs="Calibri"/>
          <w:noProof/>
          <w:sz w:val="24"/>
        </w:rPr>
      </w:pPr>
      <w:r w:rsidRPr="00061298">
        <w:rPr>
          <w:rFonts w:cs="Calibri"/>
          <w:noProof/>
          <w:sz w:val="24"/>
          <w:lang w:val="nl-NL"/>
        </w:rPr>
        <w:t xml:space="preserve">51. </w:t>
      </w:r>
      <w:r w:rsidRPr="00061298">
        <w:rPr>
          <w:rFonts w:cs="Calibri"/>
          <w:noProof/>
          <w:sz w:val="24"/>
          <w:lang w:val="nl-NL"/>
        </w:rPr>
        <w:tab/>
        <w:t xml:space="preserve">van der Werf LR, Busweiler LAD, van Sandick JW, van Berge Henegouwen MI, Wijnhoven BPL. </w:t>
      </w:r>
      <w:r w:rsidRPr="00D120BE">
        <w:rPr>
          <w:rFonts w:cs="Calibri"/>
          <w:noProof/>
          <w:sz w:val="24"/>
        </w:rPr>
        <w:t xml:space="preserve">Reporting National Outcomes After Esophagectomy and Gastrectomy According to the Esophageal Complications Consensus Group (ECCG). Ann Surg. 2019; </w:t>
      </w:r>
    </w:p>
    <w:p w14:paraId="4D99D14F"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52. </w:t>
      </w:r>
      <w:r w:rsidRPr="00D120BE">
        <w:rPr>
          <w:rFonts w:cs="Calibri"/>
          <w:noProof/>
          <w:sz w:val="24"/>
        </w:rPr>
        <w:tab/>
        <w:t xml:space="preserve">Low DE, Kuppusamy MK, Alderson D, Cecconello I, Chang AC, Darling G, et al. Benchmarking Complications Associated with Esophagectomy. Ann Surg. 2019;269:291–298. </w:t>
      </w:r>
    </w:p>
    <w:p w14:paraId="20FF9659"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53. </w:t>
      </w:r>
      <w:r w:rsidRPr="00D120BE">
        <w:rPr>
          <w:rFonts w:cs="Calibri"/>
          <w:noProof/>
          <w:sz w:val="24"/>
        </w:rPr>
        <w:tab/>
        <w:t xml:space="preserve">Booka E, Takeuchi H, Suda K, Fukuda K, Nakamura R, Wada N, et al. Meta-analysis of the impact of postoperative complications on survival after oesophagectomy for cancer. BJS Open. 2018;2:276–284. </w:t>
      </w:r>
    </w:p>
    <w:p w14:paraId="08379539" w14:textId="77777777" w:rsidR="00D120BE" w:rsidRPr="00061298" w:rsidRDefault="00D120BE" w:rsidP="00D120BE">
      <w:pPr>
        <w:widowControl w:val="0"/>
        <w:autoSpaceDE w:val="0"/>
        <w:autoSpaceDN w:val="0"/>
        <w:adjustRightInd w:val="0"/>
        <w:ind w:left="640" w:hanging="640"/>
        <w:rPr>
          <w:rFonts w:cs="Calibri"/>
          <w:noProof/>
          <w:sz w:val="24"/>
          <w:lang w:val="nl-NL"/>
        </w:rPr>
      </w:pPr>
      <w:r w:rsidRPr="00D120BE">
        <w:rPr>
          <w:rFonts w:cs="Calibri"/>
          <w:noProof/>
          <w:sz w:val="24"/>
        </w:rPr>
        <w:t xml:space="preserve">54. </w:t>
      </w:r>
      <w:r w:rsidRPr="00D120BE">
        <w:rPr>
          <w:rFonts w:cs="Calibri"/>
          <w:noProof/>
          <w:sz w:val="24"/>
        </w:rPr>
        <w:tab/>
        <w:t xml:space="preserve">Markar SR, Mackenzie H, Wiggins T, Askari A, Karthikesalingam A, Faiz O, et al. Influence of national centralization of oesophagogastric cancer on management and clinical outcome from emergency upper gastrointestinal conditions. </w:t>
      </w:r>
      <w:r w:rsidRPr="00061298">
        <w:rPr>
          <w:rFonts w:cs="Calibri"/>
          <w:noProof/>
          <w:sz w:val="24"/>
          <w:lang w:val="nl-NL"/>
        </w:rPr>
        <w:t xml:space="preserve">Br J Surg. 2018;105:113–120. </w:t>
      </w:r>
    </w:p>
    <w:p w14:paraId="57646AB8" w14:textId="77777777" w:rsidR="00D120BE" w:rsidRPr="00D120BE" w:rsidRDefault="00D120BE" w:rsidP="00D120BE">
      <w:pPr>
        <w:widowControl w:val="0"/>
        <w:autoSpaceDE w:val="0"/>
        <w:autoSpaceDN w:val="0"/>
        <w:adjustRightInd w:val="0"/>
        <w:ind w:left="640" w:hanging="640"/>
        <w:rPr>
          <w:rFonts w:cs="Calibri"/>
          <w:noProof/>
          <w:sz w:val="24"/>
        </w:rPr>
      </w:pPr>
      <w:r w:rsidRPr="00061298">
        <w:rPr>
          <w:rFonts w:cs="Calibri"/>
          <w:noProof/>
          <w:sz w:val="24"/>
          <w:lang w:val="nl-NL"/>
        </w:rPr>
        <w:t xml:space="preserve">55. </w:t>
      </w:r>
      <w:r w:rsidRPr="00061298">
        <w:rPr>
          <w:rFonts w:cs="Calibri"/>
          <w:noProof/>
          <w:sz w:val="24"/>
          <w:lang w:val="nl-NL"/>
        </w:rPr>
        <w:tab/>
        <w:t xml:space="preserve">Mariette C, Markar SR, Dabakuyo-Yonli TS, Meunier B, Pezet D, Collet D, et al. </w:t>
      </w:r>
      <w:r w:rsidRPr="00D120BE">
        <w:rPr>
          <w:rFonts w:cs="Calibri"/>
          <w:noProof/>
          <w:sz w:val="24"/>
        </w:rPr>
        <w:t xml:space="preserve">Hybrid Minimally Invasive Esophagectomy for Esophageal Cancer. N Engl J Med. 2019; </w:t>
      </w:r>
    </w:p>
    <w:p w14:paraId="425F0BD4" w14:textId="77777777" w:rsidR="00D120BE" w:rsidRPr="00D120BE" w:rsidRDefault="00D120BE" w:rsidP="00D120BE">
      <w:pPr>
        <w:widowControl w:val="0"/>
        <w:autoSpaceDE w:val="0"/>
        <w:autoSpaceDN w:val="0"/>
        <w:adjustRightInd w:val="0"/>
        <w:ind w:left="640" w:hanging="640"/>
        <w:rPr>
          <w:rFonts w:cs="Calibri"/>
          <w:noProof/>
          <w:sz w:val="24"/>
        </w:rPr>
      </w:pPr>
      <w:r w:rsidRPr="00061298">
        <w:rPr>
          <w:rFonts w:cs="Calibri"/>
          <w:noProof/>
          <w:sz w:val="24"/>
          <w:lang w:val="nl-NL"/>
        </w:rPr>
        <w:t xml:space="preserve">56. </w:t>
      </w:r>
      <w:r w:rsidRPr="00061298">
        <w:rPr>
          <w:rFonts w:cs="Calibri"/>
          <w:noProof/>
          <w:sz w:val="24"/>
          <w:lang w:val="nl-NL"/>
        </w:rPr>
        <w:tab/>
        <w:t xml:space="preserve">Shapiro J, van Lanschot JJB, Hulshof MCCM, van Hagen P, van Berge Henegouwen MI, Wijnhoven BPL, et al. </w:t>
      </w:r>
      <w:r w:rsidRPr="00D120BE">
        <w:rPr>
          <w:rFonts w:cs="Calibri"/>
          <w:noProof/>
          <w:sz w:val="24"/>
        </w:rPr>
        <w:t xml:space="preserve">Neoadjuvant chemoradiotherapy plus surgery versus surgery </w:t>
      </w:r>
      <w:r w:rsidRPr="00D120BE">
        <w:rPr>
          <w:rFonts w:cs="Calibri"/>
          <w:noProof/>
          <w:sz w:val="24"/>
        </w:rPr>
        <w:lastRenderedPageBreak/>
        <w:t xml:space="preserve">alone for oesophageal or junctional cancer (CROSS): long-term results of a randomised controlled trial. Lancet Oncol. 2015;16:1090–1098. </w:t>
      </w:r>
    </w:p>
    <w:p w14:paraId="5355AEF0"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57. </w:t>
      </w:r>
      <w:r w:rsidRPr="00D120BE">
        <w:rPr>
          <w:rFonts w:cs="Calibri"/>
          <w:noProof/>
          <w:sz w:val="24"/>
        </w:rPr>
        <w:tab/>
        <w:t xml:space="preserve">Doi T, Piha-Paul SA, Jalal SI, Saraf S, Lunceford J, Koshiji M, et al. Safety and antitumor activity of the anti-programmed death-1 antibody pembrolizumab in patients with advanced esophageal carcinoma. J Clin Oncol. 2018;36:61–67. </w:t>
      </w:r>
    </w:p>
    <w:p w14:paraId="19250EBF"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58. </w:t>
      </w:r>
      <w:r w:rsidRPr="00D120BE">
        <w:rPr>
          <w:rFonts w:cs="Calibri"/>
          <w:noProof/>
          <w:sz w:val="24"/>
        </w:rPr>
        <w:tab/>
        <w:t xml:space="preserve">Kelly RJ. The emerging role of immunotherapy for esophageal cancer. Curr Opin Gastroenterol. 2019;35:337–343. </w:t>
      </w:r>
    </w:p>
    <w:p w14:paraId="3DB37BE5" w14:textId="77777777" w:rsidR="00D120BE" w:rsidRPr="00D120BE" w:rsidRDefault="00D120BE" w:rsidP="00D120BE">
      <w:pPr>
        <w:widowControl w:val="0"/>
        <w:autoSpaceDE w:val="0"/>
        <w:autoSpaceDN w:val="0"/>
        <w:adjustRightInd w:val="0"/>
        <w:ind w:left="640" w:hanging="640"/>
        <w:rPr>
          <w:rFonts w:cs="Calibri"/>
          <w:noProof/>
          <w:sz w:val="24"/>
        </w:rPr>
      </w:pPr>
      <w:r w:rsidRPr="00D120BE">
        <w:rPr>
          <w:rFonts w:cs="Calibri"/>
          <w:noProof/>
          <w:sz w:val="24"/>
        </w:rPr>
        <w:t xml:space="preserve">59. </w:t>
      </w:r>
      <w:r w:rsidRPr="00D120BE">
        <w:rPr>
          <w:rFonts w:cs="Calibri"/>
          <w:noProof/>
          <w:sz w:val="24"/>
        </w:rPr>
        <w:tab/>
        <w:t xml:space="preserve">Grabsch HI, Mapstone NP, Novelli M. Standards and Datasets for Reporting Cancers Dataset for the histopathological reporting of oesophageal carcinoma (2nd edition) [Internet]. 2019. </w:t>
      </w:r>
    </w:p>
    <w:p w14:paraId="7AAD28CA" w14:textId="29A4D71C" w:rsidR="00721EF9" w:rsidRDefault="00ED1A55" w:rsidP="00D120BE">
      <w:pPr>
        <w:widowControl w:val="0"/>
        <w:autoSpaceDE w:val="0"/>
        <w:autoSpaceDN w:val="0"/>
        <w:adjustRightInd w:val="0"/>
        <w:ind w:left="640" w:hanging="640"/>
        <w:rPr>
          <w:sz w:val="24"/>
          <w:szCs w:val="24"/>
        </w:rPr>
      </w:pPr>
      <w:r w:rsidRPr="00DE3C9A">
        <w:rPr>
          <w:sz w:val="24"/>
          <w:szCs w:val="24"/>
        </w:rPr>
        <w:fldChar w:fldCharType="end"/>
      </w:r>
    </w:p>
    <w:p w14:paraId="17C56B9D" w14:textId="77777777" w:rsidR="00721EF9" w:rsidRDefault="00721EF9">
      <w:pPr>
        <w:spacing w:before="0" w:line="240" w:lineRule="auto"/>
        <w:rPr>
          <w:sz w:val="24"/>
          <w:szCs w:val="24"/>
        </w:rPr>
      </w:pPr>
      <w:r>
        <w:rPr>
          <w:sz w:val="24"/>
          <w:szCs w:val="24"/>
        </w:rPr>
        <w:br w:type="page"/>
      </w:r>
    </w:p>
    <w:p w14:paraId="29D35B2C" w14:textId="37B7F8A5" w:rsidR="00322C51" w:rsidRDefault="00322C51" w:rsidP="00C1030A">
      <w:pPr>
        <w:widowControl w:val="0"/>
        <w:autoSpaceDE w:val="0"/>
        <w:autoSpaceDN w:val="0"/>
        <w:adjustRightInd w:val="0"/>
        <w:ind w:left="640" w:hanging="640"/>
        <w:rPr>
          <w:sz w:val="24"/>
          <w:szCs w:val="24"/>
        </w:rPr>
      </w:pPr>
    </w:p>
    <w:p w14:paraId="5765C2B6" w14:textId="77777777" w:rsidR="00721EF9" w:rsidRPr="005427B2" w:rsidRDefault="00721EF9" w:rsidP="00721EF9">
      <w:pPr>
        <w:rPr>
          <w:sz w:val="40"/>
          <w:szCs w:val="40"/>
        </w:rPr>
      </w:pPr>
      <w:r w:rsidRPr="005427B2">
        <w:rPr>
          <w:sz w:val="40"/>
          <w:szCs w:val="40"/>
        </w:rPr>
        <w:t>Figure Legends</w:t>
      </w:r>
    </w:p>
    <w:p w14:paraId="2799614D" w14:textId="77777777" w:rsidR="00263816" w:rsidRDefault="00721EF9" w:rsidP="00263816">
      <w:pPr>
        <w:spacing w:line="480" w:lineRule="auto"/>
        <w:rPr>
          <w:b/>
          <w:bCs/>
        </w:rPr>
      </w:pPr>
      <w:r>
        <w:rPr>
          <w:sz w:val="24"/>
          <w:szCs w:val="24"/>
        </w:rPr>
        <w:t>Figure 1: Flow diagram describing the inclusion and exclusion criteria for study.  The initial cohort contained patients diagnosed between 1 April 2012 and 30 March 2018</w:t>
      </w:r>
      <w:r w:rsidR="00263816" w:rsidRPr="00263816">
        <w:rPr>
          <w:b/>
          <w:bCs/>
        </w:rPr>
        <w:t xml:space="preserve"> </w:t>
      </w:r>
    </w:p>
    <w:p w14:paraId="507FB21E" w14:textId="7A4AEE00" w:rsidR="00263816" w:rsidRPr="00061298" w:rsidRDefault="00263816" w:rsidP="00263816">
      <w:pPr>
        <w:spacing w:line="480" w:lineRule="auto"/>
        <w:rPr>
          <w:b/>
          <w:bCs/>
        </w:rPr>
      </w:pPr>
      <w:r w:rsidRPr="00061298">
        <w:rPr>
          <w:b/>
          <w:bCs/>
        </w:rPr>
        <w:t>Footnote figure 1</w:t>
      </w:r>
    </w:p>
    <w:p w14:paraId="4DE10B21" w14:textId="77777777" w:rsidR="00263816" w:rsidRPr="00061298" w:rsidRDefault="00263816" w:rsidP="00263816">
      <w:pPr>
        <w:spacing w:line="480" w:lineRule="auto"/>
      </w:pPr>
      <w:r w:rsidRPr="00061298">
        <w:t>* Patients were excluded if they received non-perioperative (i.e., neoadjuvant only) or non-standard regimens (1378 patients). The majority of these received either a platinum and fluoropyrimidine doublet (780, 45.5%) or paclitaxel with carboplatin (206, 15.4%).</w:t>
      </w:r>
    </w:p>
    <w:p w14:paraId="4D74CFD9" w14:textId="77777777" w:rsidR="00263816" w:rsidRDefault="00263816" w:rsidP="00263816">
      <w:pPr>
        <w:spacing w:line="480" w:lineRule="auto"/>
        <w:rPr>
          <w:sz w:val="24"/>
          <w:szCs w:val="24"/>
        </w:rPr>
      </w:pPr>
      <w:r w:rsidRPr="00061298">
        <w:t>Abbreviations: GOJ = Gastro-oesophageal junction, ASA = American Society of Anaesthesiology Grade, PS = WHO Performance Status, ECF = Epirubicin, Cisplatin &amp; Fluorouracil, ECX = Epirubicin, Cisplatin and Capecitabine, EOX = Epirubicin, Oxaliplatin and Capecitabine, EOF = Epirubicin, Oxaliplatin and Fluorouracil, FLOT = Fluorouracil, Leucovorin, Oxaliplatin and Docetaxel</w:t>
      </w:r>
    </w:p>
    <w:p w14:paraId="4FFDCE6F" w14:textId="234D75A6" w:rsidR="00011C5A" w:rsidRDefault="00F110AD" w:rsidP="00263816">
      <w:pPr>
        <w:spacing w:line="480" w:lineRule="auto"/>
        <w:rPr>
          <w:sz w:val="24"/>
          <w:szCs w:val="24"/>
        </w:rPr>
      </w:pPr>
      <w:r>
        <w:rPr>
          <w:noProof/>
          <w:sz w:val="24"/>
          <w:szCs w:val="24"/>
        </w:rPr>
        <w:drawing>
          <wp:inline distT="0" distB="0" distL="0" distR="0" wp14:anchorId="6DA730A7" wp14:editId="1A5E872E">
            <wp:extent cx="3690620" cy="88646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3690620" cy="8864600"/>
                    </a:xfrm>
                    <a:prstGeom prst="rect">
                      <a:avLst/>
                    </a:prstGeom>
                  </pic:spPr>
                </pic:pic>
              </a:graphicData>
            </a:graphic>
          </wp:inline>
        </w:drawing>
      </w:r>
    </w:p>
    <w:p w14:paraId="6DD99701" w14:textId="77777777" w:rsidR="00721EF9" w:rsidRDefault="00721EF9" w:rsidP="00721EF9">
      <w:pPr>
        <w:spacing w:before="0" w:line="480" w:lineRule="auto"/>
        <w:rPr>
          <w:sz w:val="24"/>
          <w:szCs w:val="24"/>
        </w:rPr>
      </w:pPr>
    </w:p>
    <w:p w14:paraId="4F82FC9F" w14:textId="77777777" w:rsidR="00721EF9" w:rsidRDefault="00721EF9" w:rsidP="00721EF9">
      <w:pPr>
        <w:spacing w:before="0" w:line="480" w:lineRule="auto"/>
        <w:rPr>
          <w:sz w:val="24"/>
          <w:szCs w:val="24"/>
        </w:rPr>
      </w:pPr>
      <w:r w:rsidRPr="003939AB">
        <w:rPr>
          <w:sz w:val="24"/>
          <w:szCs w:val="24"/>
        </w:rPr>
        <w:t>Figure 2: Standardised</w:t>
      </w:r>
      <w:r>
        <w:rPr>
          <w:sz w:val="24"/>
          <w:szCs w:val="24"/>
        </w:rPr>
        <w:t xml:space="preserve"> Mean Difference (SMD) of weighting covariates before and after weighting ordered by pre-weighting SMD. After weighting, SMD is &lt;0.1 for all variables, indicating no substantial imbalance between analysis groups</w:t>
      </w:r>
    </w:p>
    <w:p w14:paraId="6F2231F5" w14:textId="3774AB81" w:rsidR="00721EF9" w:rsidRDefault="00721EF9" w:rsidP="00721EF9">
      <w:pPr>
        <w:spacing w:before="0" w:line="480" w:lineRule="auto"/>
        <w:rPr>
          <w:sz w:val="24"/>
          <w:szCs w:val="24"/>
        </w:rPr>
      </w:pPr>
    </w:p>
    <w:p w14:paraId="3BF5AB03" w14:textId="59FEC04C" w:rsidR="00F110AD" w:rsidRDefault="00975801" w:rsidP="00721EF9">
      <w:pPr>
        <w:spacing w:before="0" w:line="480" w:lineRule="auto"/>
        <w:rPr>
          <w:sz w:val="24"/>
          <w:szCs w:val="24"/>
        </w:rPr>
      </w:pPr>
      <w:r>
        <w:rPr>
          <w:noProof/>
          <w:sz w:val="24"/>
          <w:szCs w:val="24"/>
        </w:rPr>
        <w:drawing>
          <wp:inline distT="0" distB="0" distL="0" distR="0" wp14:anchorId="5BD09419" wp14:editId="208C568C">
            <wp:extent cx="4941940" cy="699322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4946478" cy="6999650"/>
                    </a:xfrm>
                    <a:prstGeom prst="rect">
                      <a:avLst/>
                    </a:prstGeom>
                  </pic:spPr>
                </pic:pic>
              </a:graphicData>
            </a:graphic>
          </wp:inline>
        </w:drawing>
      </w:r>
    </w:p>
    <w:p w14:paraId="0DE367D0" w14:textId="65C4ED55" w:rsidR="00721EF9" w:rsidRDefault="00721EF9" w:rsidP="00721EF9">
      <w:pPr>
        <w:spacing w:before="0" w:line="480" w:lineRule="auto"/>
        <w:rPr>
          <w:sz w:val="24"/>
          <w:szCs w:val="24"/>
        </w:rPr>
      </w:pPr>
      <w:r>
        <w:rPr>
          <w:sz w:val="24"/>
          <w:szCs w:val="24"/>
        </w:rPr>
        <w:t>Figure 3: Weighted overall survival for patients receiving postoperative chemotherapy or observation only. Dashed line represents median survival (62.7 months for postoperative chemotherapy, 50.4 months for observation)</w:t>
      </w:r>
    </w:p>
    <w:p w14:paraId="6CB77C82" w14:textId="116AC9CD" w:rsidR="007E3DBA" w:rsidRDefault="00975801">
      <w:pPr>
        <w:spacing w:before="0" w:line="240" w:lineRule="auto"/>
        <w:rPr>
          <w:sz w:val="24"/>
          <w:szCs w:val="24"/>
        </w:rPr>
      </w:pPr>
      <w:r>
        <w:rPr>
          <w:noProof/>
          <w:sz w:val="24"/>
          <w:szCs w:val="24"/>
        </w:rPr>
        <w:drawing>
          <wp:inline distT="0" distB="0" distL="0" distR="0" wp14:anchorId="48CC6ABB" wp14:editId="674D582B">
            <wp:extent cx="5727557" cy="54348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a:extLst>
                        <a:ext uri="{28A0092B-C50C-407E-A947-70E740481C1C}">
                          <a14:useLocalDpi xmlns:a14="http://schemas.microsoft.com/office/drawing/2010/main" val="0"/>
                        </a:ext>
                      </a:extLst>
                    </a:blip>
                    <a:srcRect t="16207" b="16736"/>
                    <a:stretch/>
                  </pic:blipFill>
                  <pic:spPr bwMode="auto">
                    <a:xfrm>
                      <a:off x="0" y="0"/>
                      <a:ext cx="5727700" cy="5435020"/>
                    </a:xfrm>
                    <a:prstGeom prst="rect">
                      <a:avLst/>
                    </a:prstGeom>
                    <a:ln>
                      <a:noFill/>
                    </a:ln>
                    <a:extLst>
                      <a:ext uri="{53640926-AAD7-44D8-BBD7-CCE9431645EC}">
                        <a14:shadowObscured xmlns:a14="http://schemas.microsoft.com/office/drawing/2010/main"/>
                      </a:ext>
                    </a:extLst>
                  </pic:spPr>
                </pic:pic>
              </a:graphicData>
            </a:graphic>
          </wp:inline>
        </w:drawing>
      </w:r>
      <w:r w:rsidR="007E3DBA">
        <w:rPr>
          <w:sz w:val="24"/>
          <w:szCs w:val="24"/>
        </w:rPr>
        <w:br w:type="page"/>
      </w:r>
    </w:p>
    <w:p w14:paraId="2AC74A12" w14:textId="77777777" w:rsidR="007E3DBA" w:rsidRPr="00DE3C9A" w:rsidRDefault="007E3DBA" w:rsidP="007E3DBA">
      <w:pPr>
        <w:rPr>
          <w:sz w:val="24"/>
          <w:szCs w:val="24"/>
        </w:rPr>
      </w:pPr>
      <w:r>
        <w:rPr>
          <w:sz w:val="24"/>
          <w:szCs w:val="24"/>
        </w:rPr>
        <w:lastRenderedPageBreak/>
        <w:t>Table 1: Characteristics used for IPTW</w:t>
      </w:r>
    </w:p>
    <w:tbl>
      <w:tblPr>
        <w:tblW w:w="8904" w:type="dxa"/>
        <w:tblLook w:val="04A0" w:firstRow="1" w:lastRow="0" w:firstColumn="1" w:lastColumn="0" w:noHBand="0" w:noVBand="1"/>
      </w:tblPr>
      <w:tblGrid>
        <w:gridCol w:w="2838"/>
        <w:gridCol w:w="2175"/>
        <w:gridCol w:w="3891"/>
      </w:tblGrid>
      <w:tr w:rsidR="007E3DBA" w:rsidRPr="00B00AA6" w14:paraId="1F336368" w14:textId="77777777" w:rsidTr="00730717">
        <w:trPr>
          <w:trHeight w:val="340"/>
        </w:trPr>
        <w:tc>
          <w:tcPr>
            <w:tcW w:w="2838" w:type="dxa"/>
            <w:tcBorders>
              <w:top w:val="single" w:sz="8" w:space="0" w:color="auto"/>
              <w:left w:val="nil"/>
              <w:bottom w:val="single" w:sz="8" w:space="0" w:color="auto"/>
              <w:right w:val="nil"/>
            </w:tcBorders>
            <w:shd w:val="clear" w:color="auto" w:fill="auto"/>
            <w:noWrap/>
            <w:vAlign w:val="bottom"/>
            <w:hideMark/>
          </w:tcPr>
          <w:p w14:paraId="3A71714D" w14:textId="77777777" w:rsidR="007E3DBA" w:rsidRPr="00B00AA6" w:rsidRDefault="007E3DBA" w:rsidP="00730717">
            <w:pPr>
              <w:spacing w:before="0" w:line="240" w:lineRule="auto"/>
              <w:rPr>
                <w:rFonts w:cs="Calibri"/>
                <w:color w:val="000000"/>
                <w:sz w:val="20"/>
                <w:szCs w:val="20"/>
                <w:lang w:eastAsia="en-GB"/>
              </w:rPr>
            </w:pPr>
            <w:r w:rsidRPr="00B00AA6">
              <w:rPr>
                <w:rFonts w:cs="Calibri"/>
                <w:color w:val="000000"/>
                <w:sz w:val="20"/>
                <w:szCs w:val="20"/>
                <w:lang w:eastAsia="en-GB"/>
              </w:rPr>
              <w:t>Patient Characteristics</w:t>
            </w:r>
          </w:p>
        </w:tc>
        <w:tc>
          <w:tcPr>
            <w:tcW w:w="2175" w:type="dxa"/>
            <w:tcBorders>
              <w:top w:val="single" w:sz="8" w:space="0" w:color="auto"/>
              <w:left w:val="nil"/>
              <w:bottom w:val="single" w:sz="8" w:space="0" w:color="auto"/>
              <w:right w:val="nil"/>
            </w:tcBorders>
            <w:shd w:val="clear" w:color="auto" w:fill="auto"/>
            <w:noWrap/>
            <w:vAlign w:val="bottom"/>
            <w:hideMark/>
          </w:tcPr>
          <w:p w14:paraId="2D146BDE" w14:textId="77777777" w:rsidR="007E3DBA" w:rsidRPr="00B00AA6" w:rsidRDefault="007E3DBA" w:rsidP="00730717">
            <w:pPr>
              <w:spacing w:before="0" w:line="240" w:lineRule="auto"/>
              <w:rPr>
                <w:rFonts w:cs="Calibri"/>
                <w:color w:val="000000"/>
                <w:sz w:val="20"/>
                <w:szCs w:val="20"/>
                <w:lang w:eastAsia="en-GB"/>
              </w:rPr>
            </w:pPr>
            <w:r w:rsidRPr="00B00AA6">
              <w:rPr>
                <w:rFonts w:cs="Calibri"/>
                <w:color w:val="000000"/>
                <w:sz w:val="20"/>
                <w:szCs w:val="20"/>
                <w:lang w:eastAsia="en-GB"/>
              </w:rPr>
              <w:t>Disease Characteristics</w:t>
            </w:r>
          </w:p>
        </w:tc>
        <w:tc>
          <w:tcPr>
            <w:tcW w:w="3891" w:type="dxa"/>
            <w:tcBorders>
              <w:top w:val="single" w:sz="8" w:space="0" w:color="auto"/>
              <w:left w:val="nil"/>
              <w:bottom w:val="single" w:sz="8" w:space="0" w:color="auto"/>
              <w:right w:val="nil"/>
            </w:tcBorders>
            <w:shd w:val="clear" w:color="auto" w:fill="auto"/>
            <w:noWrap/>
            <w:vAlign w:val="bottom"/>
            <w:hideMark/>
          </w:tcPr>
          <w:p w14:paraId="037AF5C6" w14:textId="77777777" w:rsidR="007E3DBA" w:rsidRPr="00B00AA6" w:rsidRDefault="007E3DBA" w:rsidP="00730717">
            <w:pPr>
              <w:spacing w:before="0" w:line="240" w:lineRule="auto"/>
              <w:rPr>
                <w:rFonts w:cs="Calibri"/>
                <w:color w:val="000000"/>
                <w:sz w:val="20"/>
                <w:szCs w:val="20"/>
                <w:lang w:eastAsia="en-GB"/>
              </w:rPr>
            </w:pPr>
            <w:r w:rsidRPr="00B00AA6">
              <w:rPr>
                <w:rFonts w:cs="Calibri"/>
                <w:color w:val="000000"/>
                <w:sz w:val="20"/>
                <w:szCs w:val="20"/>
                <w:lang w:eastAsia="en-GB"/>
              </w:rPr>
              <w:t>Treatment Characteristics</w:t>
            </w:r>
          </w:p>
        </w:tc>
      </w:tr>
      <w:tr w:rsidR="007E3DBA" w:rsidRPr="00B00AA6" w14:paraId="4F31825D" w14:textId="77777777" w:rsidTr="00730717">
        <w:trPr>
          <w:trHeight w:val="320"/>
        </w:trPr>
        <w:tc>
          <w:tcPr>
            <w:tcW w:w="2838" w:type="dxa"/>
            <w:tcBorders>
              <w:top w:val="nil"/>
              <w:left w:val="nil"/>
              <w:bottom w:val="nil"/>
              <w:right w:val="nil"/>
            </w:tcBorders>
            <w:shd w:val="clear" w:color="auto" w:fill="auto"/>
            <w:noWrap/>
            <w:vAlign w:val="bottom"/>
            <w:hideMark/>
          </w:tcPr>
          <w:p w14:paraId="11794249" w14:textId="77777777" w:rsidR="007E3DBA" w:rsidRPr="00B00AA6" w:rsidRDefault="007E3DBA" w:rsidP="00730717">
            <w:pPr>
              <w:spacing w:before="0" w:line="240" w:lineRule="auto"/>
              <w:rPr>
                <w:rFonts w:cs="Calibri"/>
                <w:color w:val="000000"/>
                <w:sz w:val="20"/>
                <w:szCs w:val="20"/>
                <w:lang w:eastAsia="en-GB"/>
              </w:rPr>
            </w:pPr>
            <w:r w:rsidRPr="00B00AA6">
              <w:rPr>
                <w:rFonts w:cs="Calibri"/>
                <w:color w:val="000000"/>
                <w:sz w:val="20"/>
                <w:szCs w:val="20"/>
                <w:lang w:eastAsia="en-GB"/>
              </w:rPr>
              <w:t>Gender</w:t>
            </w:r>
          </w:p>
        </w:tc>
        <w:tc>
          <w:tcPr>
            <w:tcW w:w="2175" w:type="dxa"/>
            <w:tcBorders>
              <w:top w:val="nil"/>
              <w:left w:val="nil"/>
              <w:bottom w:val="nil"/>
              <w:right w:val="nil"/>
            </w:tcBorders>
            <w:shd w:val="clear" w:color="auto" w:fill="auto"/>
            <w:noWrap/>
            <w:vAlign w:val="bottom"/>
            <w:hideMark/>
          </w:tcPr>
          <w:p w14:paraId="73F09227" w14:textId="77777777" w:rsidR="007E3DBA" w:rsidRPr="00B00AA6" w:rsidRDefault="007E3DBA" w:rsidP="00730717">
            <w:pPr>
              <w:spacing w:before="0" w:line="240" w:lineRule="auto"/>
              <w:rPr>
                <w:rFonts w:cs="Calibri"/>
                <w:color w:val="000000"/>
                <w:sz w:val="20"/>
                <w:szCs w:val="20"/>
                <w:lang w:eastAsia="en-GB"/>
              </w:rPr>
            </w:pPr>
            <w:r w:rsidRPr="00B00AA6">
              <w:rPr>
                <w:rFonts w:cs="Calibri"/>
                <w:color w:val="000000"/>
                <w:sz w:val="20"/>
                <w:szCs w:val="20"/>
                <w:lang w:eastAsia="en-GB"/>
              </w:rPr>
              <w:t>Site of tumour</w:t>
            </w:r>
          </w:p>
        </w:tc>
        <w:tc>
          <w:tcPr>
            <w:tcW w:w="3891" w:type="dxa"/>
            <w:tcBorders>
              <w:top w:val="nil"/>
              <w:left w:val="nil"/>
              <w:bottom w:val="nil"/>
              <w:right w:val="nil"/>
            </w:tcBorders>
            <w:shd w:val="clear" w:color="auto" w:fill="auto"/>
            <w:noWrap/>
            <w:vAlign w:val="bottom"/>
            <w:hideMark/>
          </w:tcPr>
          <w:p w14:paraId="6F23E5BD" w14:textId="77777777" w:rsidR="007E3DBA" w:rsidRPr="00B00AA6" w:rsidRDefault="007E3DBA" w:rsidP="00730717">
            <w:pPr>
              <w:spacing w:before="0" w:line="240" w:lineRule="auto"/>
              <w:rPr>
                <w:rFonts w:cs="Calibri"/>
                <w:color w:val="000000"/>
                <w:sz w:val="20"/>
                <w:szCs w:val="20"/>
                <w:lang w:eastAsia="en-GB"/>
              </w:rPr>
            </w:pPr>
            <w:r w:rsidRPr="00B00AA6">
              <w:rPr>
                <w:rFonts w:cs="Calibri"/>
                <w:color w:val="000000"/>
                <w:sz w:val="20"/>
                <w:szCs w:val="20"/>
                <w:lang w:eastAsia="en-GB"/>
              </w:rPr>
              <w:t>Completion of preoperative chemotherapy</w:t>
            </w:r>
          </w:p>
        </w:tc>
      </w:tr>
      <w:tr w:rsidR="007E3DBA" w:rsidRPr="00B00AA6" w14:paraId="54AA5DF2" w14:textId="77777777" w:rsidTr="00730717">
        <w:trPr>
          <w:trHeight w:val="320"/>
        </w:trPr>
        <w:tc>
          <w:tcPr>
            <w:tcW w:w="2838" w:type="dxa"/>
            <w:tcBorders>
              <w:top w:val="nil"/>
              <w:left w:val="nil"/>
              <w:bottom w:val="nil"/>
              <w:right w:val="nil"/>
            </w:tcBorders>
            <w:shd w:val="clear" w:color="auto" w:fill="auto"/>
            <w:noWrap/>
            <w:vAlign w:val="bottom"/>
            <w:hideMark/>
          </w:tcPr>
          <w:p w14:paraId="3963099F" w14:textId="77777777" w:rsidR="007E3DBA" w:rsidRPr="00B00AA6" w:rsidRDefault="007E3DBA" w:rsidP="00730717">
            <w:pPr>
              <w:spacing w:before="0" w:line="240" w:lineRule="auto"/>
              <w:rPr>
                <w:rFonts w:cs="Calibri"/>
                <w:color w:val="000000"/>
                <w:sz w:val="20"/>
                <w:szCs w:val="20"/>
                <w:lang w:eastAsia="en-GB"/>
              </w:rPr>
            </w:pPr>
            <w:r w:rsidRPr="00B00AA6">
              <w:rPr>
                <w:rFonts w:cs="Calibri"/>
                <w:color w:val="000000"/>
                <w:sz w:val="20"/>
                <w:szCs w:val="20"/>
                <w:lang w:eastAsia="en-GB"/>
              </w:rPr>
              <w:t>Age</w:t>
            </w:r>
          </w:p>
        </w:tc>
        <w:tc>
          <w:tcPr>
            <w:tcW w:w="2175" w:type="dxa"/>
            <w:tcBorders>
              <w:top w:val="nil"/>
              <w:left w:val="nil"/>
              <w:bottom w:val="nil"/>
              <w:right w:val="nil"/>
            </w:tcBorders>
            <w:shd w:val="clear" w:color="auto" w:fill="auto"/>
            <w:noWrap/>
            <w:vAlign w:val="bottom"/>
            <w:hideMark/>
          </w:tcPr>
          <w:p w14:paraId="2774D874" w14:textId="77777777" w:rsidR="007E3DBA" w:rsidRPr="00B00AA6" w:rsidRDefault="007E3DBA" w:rsidP="00730717">
            <w:pPr>
              <w:spacing w:before="0" w:line="240" w:lineRule="auto"/>
              <w:rPr>
                <w:rFonts w:cs="Calibri"/>
                <w:color w:val="000000"/>
                <w:sz w:val="20"/>
                <w:szCs w:val="20"/>
                <w:lang w:eastAsia="en-GB"/>
              </w:rPr>
            </w:pPr>
            <w:r w:rsidRPr="00B00AA6">
              <w:rPr>
                <w:rFonts w:cs="Calibri"/>
                <w:color w:val="000000"/>
                <w:sz w:val="20"/>
                <w:szCs w:val="20"/>
                <w:lang w:eastAsia="en-GB"/>
              </w:rPr>
              <w:t>ypT Stage</w:t>
            </w:r>
          </w:p>
        </w:tc>
        <w:tc>
          <w:tcPr>
            <w:tcW w:w="3891" w:type="dxa"/>
            <w:tcBorders>
              <w:top w:val="nil"/>
              <w:left w:val="nil"/>
              <w:bottom w:val="nil"/>
              <w:right w:val="nil"/>
            </w:tcBorders>
            <w:shd w:val="clear" w:color="auto" w:fill="auto"/>
            <w:noWrap/>
            <w:vAlign w:val="bottom"/>
            <w:hideMark/>
          </w:tcPr>
          <w:p w14:paraId="48A09CC0" w14:textId="77777777" w:rsidR="007E3DBA" w:rsidRPr="00B00AA6" w:rsidRDefault="007E3DBA" w:rsidP="00730717">
            <w:pPr>
              <w:spacing w:before="0" w:line="240" w:lineRule="auto"/>
              <w:rPr>
                <w:rFonts w:cs="Calibri"/>
                <w:color w:val="000000"/>
                <w:sz w:val="20"/>
                <w:szCs w:val="20"/>
                <w:lang w:eastAsia="en-GB"/>
              </w:rPr>
            </w:pPr>
            <w:r w:rsidRPr="00B00AA6">
              <w:rPr>
                <w:rFonts w:cs="Calibri"/>
                <w:color w:val="000000"/>
                <w:sz w:val="20"/>
                <w:szCs w:val="20"/>
                <w:lang w:eastAsia="en-GB"/>
              </w:rPr>
              <w:t>Time from diagnosis to surgery</w:t>
            </w:r>
          </w:p>
        </w:tc>
      </w:tr>
      <w:tr w:rsidR="007E3DBA" w:rsidRPr="00B00AA6" w14:paraId="0213E375" w14:textId="77777777" w:rsidTr="00730717">
        <w:trPr>
          <w:trHeight w:val="320"/>
        </w:trPr>
        <w:tc>
          <w:tcPr>
            <w:tcW w:w="2838" w:type="dxa"/>
            <w:tcBorders>
              <w:top w:val="nil"/>
              <w:left w:val="nil"/>
              <w:bottom w:val="nil"/>
              <w:right w:val="nil"/>
            </w:tcBorders>
            <w:shd w:val="clear" w:color="auto" w:fill="auto"/>
            <w:noWrap/>
            <w:vAlign w:val="bottom"/>
            <w:hideMark/>
          </w:tcPr>
          <w:p w14:paraId="26E2F1D8" w14:textId="77777777" w:rsidR="007E3DBA" w:rsidRPr="00B00AA6" w:rsidRDefault="007E3DBA" w:rsidP="00730717">
            <w:pPr>
              <w:spacing w:before="0" w:line="240" w:lineRule="auto"/>
              <w:rPr>
                <w:rFonts w:cs="Calibri"/>
                <w:color w:val="000000"/>
                <w:sz w:val="20"/>
                <w:szCs w:val="20"/>
                <w:lang w:eastAsia="en-GB"/>
              </w:rPr>
            </w:pPr>
            <w:r w:rsidRPr="00B00AA6">
              <w:rPr>
                <w:rFonts w:cs="Calibri"/>
                <w:color w:val="000000"/>
                <w:sz w:val="20"/>
                <w:szCs w:val="20"/>
                <w:lang w:eastAsia="en-GB"/>
              </w:rPr>
              <w:t>ASA Grade</w:t>
            </w:r>
          </w:p>
        </w:tc>
        <w:tc>
          <w:tcPr>
            <w:tcW w:w="2175" w:type="dxa"/>
            <w:tcBorders>
              <w:top w:val="nil"/>
              <w:left w:val="nil"/>
              <w:bottom w:val="nil"/>
              <w:right w:val="nil"/>
            </w:tcBorders>
            <w:shd w:val="clear" w:color="auto" w:fill="auto"/>
            <w:noWrap/>
            <w:vAlign w:val="bottom"/>
            <w:hideMark/>
          </w:tcPr>
          <w:p w14:paraId="6B64B8A4" w14:textId="77777777" w:rsidR="007E3DBA" w:rsidRPr="00B00AA6" w:rsidRDefault="007E3DBA" w:rsidP="00730717">
            <w:pPr>
              <w:spacing w:before="0" w:line="240" w:lineRule="auto"/>
              <w:rPr>
                <w:rFonts w:cs="Calibri"/>
                <w:color w:val="000000"/>
                <w:sz w:val="20"/>
                <w:szCs w:val="20"/>
                <w:lang w:eastAsia="en-GB"/>
              </w:rPr>
            </w:pPr>
            <w:r w:rsidRPr="00B00AA6">
              <w:rPr>
                <w:rFonts w:cs="Calibri"/>
                <w:color w:val="000000"/>
                <w:sz w:val="20"/>
                <w:szCs w:val="20"/>
                <w:lang w:eastAsia="en-GB"/>
              </w:rPr>
              <w:t>ypN Stage</w:t>
            </w:r>
          </w:p>
        </w:tc>
        <w:tc>
          <w:tcPr>
            <w:tcW w:w="3891" w:type="dxa"/>
            <w:tcBorders>
              <w:top w:val="nil"/>
              <w:left w:val="nil"/>
              <w:bottom w:val="nil"/>
              <w:right w:val="nil"/>
            </w:tcBorders>
            <w:shd w:val="clear" w:color="auto" w:fill="auto"/>
            <w:noWrap/>
            <w:vAlign w:val="bottom"/>
            <w:hideMark/>
          </w:tcPr>
          <w:p w14:paraId="120C6F3B" w14:textId="77777777" w:rsidR="007E3DBA" w:rsidRPr="00B00AA6" w:rsidRDefault="007E3DBA" w:rsidP="00730717">
            <w:pPr>
              <w:spacing w:before="0" w:line="240" w:lineRule="auto"/>
              <w:rPr>
                <w:rFonts w:cs="Calibri"/>
                <w:color w:val="000000"/>
                <w:sz w:val="20"/>
                <w:szCs w:val="20"/>
                <w:lang w:eastAsia="en-GB"/>
              </w:rPr>
            </w:pPr>
            <w:r w:rsidRPr="00B00AA6">
              <w:rPr>
                <w:rFonts w:cs="Calibri"/>
                <w:color w:val="000000"/>
                <w:sz w:val="20"/>
                <w:szCs w:val="20"/>
                <w:lang w:eastAsia="en-GB"/>
              </w:rPr>
              <w:t>Surgical Approach</w:t>
            </w:r>
          </w:p>
        </w:tc>
      </w:tr>
      <w:tr w:rsidR="007E3DBA" w:rsidRPr="00B00AA6" w14:paraId="4865F286" w14:textId="77777777" w:rsidTr="00730717">
        <w:trPr>
          <w:trHeight w:val="320"/>
        </w:trPr>
        <w:tc>
          <w:tcPr>
            <w:tcW w:w="2838" w:type="dxa"/>
            <w:tcBorders>
              <w:top w:val="nil"/>
              <w:left w:val="nil"/>
              <w:bottom w:val="nil"/>
              <w:right w:val="nil"/>
            </w:tcBorders>
            <w:shd w:val="clear" w:color="auto" w:fill="auto"/>
            <w:noWrap/>
            <w:vAlign w:val="bottom"/>
            <w:hideMark/>
          </w:tcPr>
          <w:p w14:paraId="5009BBBF" w14:textId="77777777" w:rsidR="007E3DBA" w:rsidRPr="00B00AA6" w:rsidRDefault="007E3DBA" w:rsidP="00730717">
            <w:pPr>
              <w:spacing w:before="0" w:line="240" w:lineRule="auto"/>
              <w:rPr>
                <w:rFonts w:cs="Calibri"/>
                <w:color w:val="000000"/>
                <w:sz w:val="20"/>
                <w:szCs w:val="20"/>
                <w:lang w:eastAsia="en-GB"/>
              </w:rPr>
            </w:pPr>
            <w:r w:rsidRPr="00B00AA6">
              <w:rPr>
                <w:rFonts w:cs="Calibri"/>
                <w:color w:val="000000"/>
                <w:sz w:val="20"/>
                <w:szCs w:val="20"/>
                <w:lang w:eastAsia="en-GB"/>
              </w:rPr>
              <w:t>Performance Status</w:t>
            </w:r>
          </w:p>
        </w:tc>
        <w:tc>
          <w:tcPr>
            <w:tcW w:w="2175" w:type="dxa"/>
            <w:tcBorders>
              <w:top w:val="nil"/>
              <w:left w:val="nil"/>
              <w:bottom w:val="nil"/>
              <w:right w:val="nil"/>
            </w:tcBorders>
            <w:shd w:val="clear" w:color="auto" w:fill="auto"/>
            <w:noWrap/>
            <w:vAlign w:val="bottom"/>
            <w:hideMark/>
          </w:tcPr>
          <w:p w14:paraId="207469BB" w14:textId="77777777" w:rsidR="007E3DBA" w:rsidRPr="00B00AA6" w:rsidRDefault="007E3DBA" w:rsidP="00730717">
            <w:pPr>
              <w:spacing w:before="0" w:line="240" w:lineRule="auto"/>
              <w:rPr>
                <w:rFonts w:cs="Calibri"/>
                <w:color w:val="000000"/>
                <w:sz w:val="20"/>
                <w:szCs w:val="20"/>
                <w:lang w:eastAsia="en-GB"/>
              </w:rPr>
            </w:pPr>
            <w:r w:rsidRPr="00B00AA6">
              <w:rPr>
                <w:rFonts w:cs="Calibri"/>
                <w:color w:val="000000"/>
                <w:sz w:val="20"/>
                <w:szCs w:val="20"/>
                <w:lang w:eastAsia="en-GB"/>
              </w:rPr>
              <w:t>CRM involvement</w:t>
            </w:r>
          </w:p>
        </w:tc>
        <w:tc>
          <w:tcPr>
            <w:tcW w:w="3891" w:type="dxa"/>
            <w:tcBorders>
              <w:top w:val="nil"/>
              <w:left w:val="nil"/>
              <w:bottom w:val="nil"/>
              <w:right w:val="nil"/>
            </w:tcBorders>
            <w:shd w:val="clear" w:color="auto" w:fill="auto"/>
            <w:noWrap/>
            <w:vAlign w:val="bottom"/>
            <w:hideMark/>
          </w:tcPr>
          <w:p w14:paraId="2D08DF29" w14:textId="77777777" w:rsidR="007E3DBA" w:rsidRPr="00B00AA6" w:rsidRDefault="007E3DBA" w:rsidP="00730717">
            <w:pPr>
              <w:spacing w:before="0" w:line="240" w:lineRule="auto"/>
              <w:rPr>
                <w:rFonts w:cs="Calibri"/>
                <w:color w:val="000000"/>
                <w:sz w:val="20"/>
                <w:szCs w:val="20"/>
                <w:lang w:eastAsia="en-GB"/>
              </w:rPr>
            </w:pPr>
            <w:r w:rsidRPr="00B00AA6">
              <w:rPr>
                <w:rFonts w:cs="Calibri"/>
                <w:color w:val="000000"/>
                <w:sz w:val="20"/>
                <w:szCs w:val="20"/>
                <w:lang w:eastAsia="en-GB"/>
              </w:rPr>
              <w:t>Hospital Volume</w:t>
            </w:r>
          </w:p>
        </w:tc>
      </w:tr>
      <w:tr w:rsidR="007E3DBA" w:rsidRPr="00B00AA6" w14:paraId="3A439547" w14:textId="77777777" w:rsidTr="00730717">
        <w:trPr>
          <w:trHeight w:val="320"/>
        </w:trPr>
        <w:tc>
          <w:tcPr>
            <w:tcW w:w="2838" w:type="dxa"/>
            <w:tcBorders>
              <w:top w:val="nil"/>
              <w:left w:val="nil"/>
              <w:bottom w:val="nil"/>
              <w:right w:val="nil"/>
            </w:tcBorders>
            <w:shd w:val="clear" w:color="auto" w:fill="auto"/>
            <w:noWrap/>
            <w:vAlign w:val="bottom"/>
            <w:hideMark/>
          </w:tcPr>
          <w:p w14:paraId="0A15D53A" w14:textId="77777777" w:rsidR="007E3DBA" w:rsidRPr="00B00AA6" w:rsidRDefault="007E3DBA" w:rsidP="00730717">
            <w:pPr>
              <w:spacing w:before="0" w:line="240" w:lineRule="auto"/>
              <w:rPr>
                <w:rFonts w:cs="Calibri"/>
                <w:color w:val="000000"/>
                <w:sz w:val="20"/>
                <w:szCs w:val="20"/>
                <w:lang w:eastAsia="en-GB"/>
              </w:rPr>
            </w:pPr>
            <w:r w:rsidRPr="00B00AA6">
              <w:rPr>
                <w:rFonts w:cs="Calibri"/>
                <w:color w:val="000000"/>
                <w:sz w:val="20"/>
                <w:szCs w:val="20"/>
                <w:lang w:eastAsia="en-GB"/>
              </w:rPr>
              <w:t>Ischaemic Heart Disease</w:t>
            </w:r>
          </w:p>
        </w:tc>
        <w:tc>
          <w:tcPr>
            <w:tcW w:w="2175" w:type="dxa"/>
            <w:tcBorders>
              <w:top w:val="nil"/>
              <w:left w:val="nil"/>
              <w:bottom w:val="nil"/>
              <w:right w:val="nil"/>
            </w:tcBorders>
            <w:shd w:val="clear" w:color="auto" w:fill="auto"/>
            <w:noWrap/>
            <w:vAlign w:val="bottom"/>
            <w:hideMark/>
          </w:tcPr>
          <w:p w14:paraId="02A1BDAF" w14:textId="77777777" w:rsidR="007E3DBA" w:rsidRPr="00B00AA6" w:rsidRDefault="007E3DBA" w:rsidP="00730717">
            <w:pPr>
              <w:spacing w:before="0" w:line="240" w:lineRule="auto"/>
              <w:rPr>
                <w:rFonts w:cs="Calibri"/>
                <w:color w:val="000000"/>
                <w:sz w:val="20"/>
                <w:szCs w:val="20"/>
                <w:lang w:eastAsia="en-GB"/>
              </w:rPr>
            </w:pPr>
            <w:r w:rsidRPr="00B00AA6">
              <w:rPr>
                <w:rFonts w:cs="Calibri"/>
                <w:color w:val="000000"/>
                <w:sz w:val="20"/>
                <w:szCs w:val="20"/>
                <w:lang w:eastAsia="en-GB"/>
              </w:rPr>
              <w:t>Differentiation Grade</w:t>
            </w:r>
          </w:p>
        </w:tc>
        <w:tc>
          <w:tcPr>
            <w:tcW w:w="3891" w:type="dxa"/>
            <w:tcBorders>
              <w:top w:val="nil"/>
              <w:left w:val="nil"/>
              <w:bottom w:val="nil"/>
              <w:right w:val="nil"/>
            </w:tcBorders>
            <w:shd w:val="clear" w:color="auto" w:fill="auto"/>
            <w:noWrap/>
            <w:vAlign w:val="bottom"/>
            <w:hideMark/>
          </w:tcPr>
          <w:p w14:paraId="11F68B1D" w14:textId="77777777" w:rsidR="007E3DBA" w:rsidRPr="00B00AA6" w:rsidRDefault="007E3DBA" w:rsidP="00730717">
            <w:pPr>
              <w:spacing w:before="0" w:line="240" w:lineRule="auto"/>
              <w:rPr>
                <w:rFonts w:cs="Calibri"/>
                <w:color w:val="000000"/>
                <w:sz w:val="20"/>
                <w:szCs w:val="20"/>
                <w:lang w:eastAsia="en-GB"/>
              </w:rPr>
            </w:pPr>
            <w:r w:rsidRPr="00B00AA6">
              <w:rPr>
                <w:rFonts w:cs="Calibri"/>
                <w:color w:val="000000"/>
                <w:sz w:val="20"/>
                <w:szCs w:val="20"/>
                <w:lang w:eastAsia="en-GB"/>
              </w:rPr>
              <w:t>Complications (any)</w:t>
            </w:r>
          </w:p>
        </w:tc>
      </w:tr>
      <w:tr w:rsidR="007E3DBA" w:rsidRPr="00B00AA6" w14:paraId="08DE70F4" w14:textId="77777777" w:rsidTr="00730717">
        <w:trPr>
          <w:trHeight w:val="320"/>
        </w:trPr>
        <w:tc>
          <w:tcPr>
            <w:tcW w:w="2838" w:type="dxa"/>
            <w:tcBorders>
              <w:top w:val="nil"/>
              <w:left w:val="nil"/>
              <w:bottom w:val="nil"/>
              <w:right w:val="nil"/>
            </w:tcBorders>
            <w:shd w:val="clear" w:color="auto" w:fill="auto"/>
            <w:noWrap/>
            <w:vAlign w:val="bottom"/>
            <w:hideMark/>
          </w:tcPr>
          <w:p w14:paraId="4DC2A90C" w14:textId="77777777" w:rsidR="007E3DBA" w:rsidRPr="00B00AA6" w:rsidRDefault="007E3DBA" w:rsidP="00730717">
            <w:pPr>
              <w:spacing w:before="0" w:line="240" w:lineRule="auto"/>
              <w:rPr>
                <w:rFonts w:cs="Calibri"/>
                <w:color w:val="000000"/>
                <w:sz w:val="20"/>
                <w:szCs w:val="20"/>
                <w:lang w:eastAsia="en-GB"/>
              </w:rPr>
            </w:pPr>
            <w:r w:rsidRPr="00B00AA6">
              <w:rPr>
                <w:rFonts w:cs="Calibri"/>
                <w:color w:val="000000"/>
                <w:sz w:val="20"/>
                <w:szCs w:val="20"/>
                <w:lang w:eastAsia="en-GB"/>
              </w:rPr>
              <w:t>COPD/Asthma</w:t>
            </w:r>
          </w:p>
        </w:tc>
        <w:tc>
          <w:tcPr>
            <w:tcW w:w="2175" w:type="dxa"/>
            <w:tcBorders>
              <w:top w:val="nil"/>
              <w:left w:val="nil"/>
              <w:bottom w:val="nil"/>
              <w:right w:val="nil"/>
            </w:tcBorders>
            <w:shd w:val="clear" w:color="auto" w:fill="auto"/>
            <w:noWrap/>
            <w:vAlign w:val="bottom"/>
            <w:hideMark/>
          </w:tcPr>
          <w:p w14:paraId="3FDC0C8C" w14:textId="77777777" w:rsidR="007E3DBA" w:rsidRPr="00B00AA6" w:rsidRDefault="007E3DBA" w:rsidP="00730717">
            <w:pPr>
              <w:spacing w:before="0" w:line="240" w:lineRule="auto"/>
              <w:rPr>
                <w:rFonts w:cs="Calibri"/>
                <w:color w:val="000000"/>
                <w:sz w:val="20"/>
                <w:szCs w:val="20"/>
                <w:lang w:eastAsia="en-GB"/>
              </w:rPr>
            </w:pPr>
          </w:p>
        </w:tc>
        <w:tc>
          <w:tcPr>
            <w:tcW w:w="3891" w:type="dxa"/>
            <w:tcBorders>
              <w:top w:val="nil"/>
              <w:left w:val="nil"/>
              <w:bottom w:val="nil"/>
              <w:right w:val="nil"/>
            </w:tcBorders>
            <w:shd w:val="clear" w:color="auto" w:fill="auto"/>
            <w:noWrap/>
            <w:vAlign w:val="bottom"/>
            <w:hideMark/>
          </w:tcPr>
          <w:p w14:paraId="77DA32DE" w14:textId="77777777" w:rsidR="007E3DBA" w:rsidRPr="00B00AA6" w:rsidRDefault="007E3DBA" w:rsidP="00730717">
            <w:pPr>
              <w:spacing w:before="0" w:line="240" w:lineRule="auto"/>
              <w:rPr>
                <w:rFonts w:cs="Calibri"/>
                <w:color w:val="000000"/>
                <w:sz w:val="20"/>
                <w:szCs w:val="20"/>
                <w:lang w:eastAsia="en-GB"/>
              </w:rPr>
            </w:pPr>
            <w:r w:rsidRPr="00B00AA6">
              <w:rPr>
                <w:rFonts w:cs="Calibri"/>
                <w:color w:val="000000"/>
                <w:sz w:val="20"/>
                <w:szCs w:val="20"/>
                <w:lang w:eastAsia="en-GB"/>
              </w:rPr>
              <w:t>Anastomotic Leak</w:t>
            </w:r>
          </w:p>
        </w:tc>
      </w:tr>
      <w:tr w:rsidR="007E3DBA" w:rsidRPr="00B00AA6" w14:paraId="51AA6335" w14:textId="77777777" w:rsidTr="00730717">
        <w:trPr>
          <w:trHeight w:val="320"/>
        </w:trPr>
        <w:tc>
          <w:tcPr>
            <w:tcW w:w="2838" w:type="dxa"/>
            <w:tcBorders>
              <w:top w:val="nil"/>
              <w:left w:val="nil"/>
              <w:bottom w:val="nil"/>
              <w:right w:val="nil"/>
            </w:tcBorders>
            <w:shd w:val="clear" w:color="auto" w:fill="auto"/>
            <w:noWrap/>
            <w:vAlign w:val="bottom"/>
            <w:hideMark/>
          </w:tcPr>
          <w:p w14:paraId="589FEF52" w14:textId="77777777" w:rsidR="007E3DBA" w:rsidRPr="00B00AA6" w:rsidRDefault="007E3DBA" w:rsidP="00730717">
            <w:pPr>
              <w:spacing w:before="0" w:line="240" w:lineRule="auto"/>
              <w:rPr>
                <w:rFonts w:cs="Calibri"/>
                <w:color w:val="000000"/>
                <w:sz w:val="20"/>
                <w:szCs w:val="20"/>
                <w:lang w:eastAsia="en-GB"/>
              </w:rPr>
            </w:pPr>
            <w:r w:rsidRPr="00B00AA6">
              <w:rPr>
                <w:rFonts w:cs="Calibri"/>
                <w:color w:val="000000"/>
                <w:sz w:val="20"/>
                <w:szCs w:val="20"/>
                <w:lang w:eastAsia="en-GB"/>
              </w:rPr>
              <w:t>Chronic Kidney Disease</w:t>
            </w:r>
          </w:p>
        </w:tc>
        <w:tc>
          <w:tcPr>
            <w:tcW w:w="2175" w:type="dxa"/>
            <w:tcBorders>
              <w:top w:val="nil"/>
              <w:left w:val="nil"/>
              <w:bottom w:val="nil"/>
              <w:right w:val="nil"/>
            </w:tcBorders>
            <w:shd w:val="clear" w:color="auto" w:fill="auto"/>
            <w:noWrap/>
            <w:vAlign w:val="bottom"/>
            <w:hideMark/>
          </w:tcPr>
          <w:p w14:paraId="0AACFCDA" w14:textId="77777777" w:rsidR="007E3DBA" w:rsidRPr="00B00AA6" w:rsidRDefault="007E3DBA" w:rsidP="00730717">
            <w:pPr>
              <w:spacing w:before="0" w:line="240" w:lineRule="auto"/>
              <w:rPr>
                <w:rFonts w:cs="Calibri"/>
                <w:color w:val="000000"/>
                <w:sz w:val="20"/>
                <w:szCs w:val="20"/>
                <w:lang w:eastAsia="en-GB"/>
              </w:rPr>
            </w:pPr>
          </w:p>
        </w:tc>
        <w:tc>
          <w:tcPr>
            <w:tcW w:w="3891" w:type="dxa"/>
            <w:tcBorders>
              <w:top w:val="nil"/>
              <w:left w:val="nil"/>
              <w:bottom w:val="nil"/>
              <w:right w:val="nil"/>
            </w:tcBorders>
            <w:shd w:val="clear" w:color="auto" w:fill="auto"/>
            <w:noWrap/>
            <w:vAlign w:val="bottom"/>
            <w:hideMark/>
          </w:tcPr>
          <w:p w14:paraId="296CE56E" w14:textId="77777777" w:rsidR="007E3DBA" w:rsidRPr="00B00AA6" w:rsidRDefault="007E3DBA" w:rsidP="00730717">
            <w:pPr>
              <w:spacing w:before="0" w:line="240" w:lineRule="auto"/>
              <w:rPr>
                <w:rFonts w:cs="Calibri"/>
                <w:color w:val="000000"/>
                <w:sz w:val="20"/>
                <w:szCs w:val="20"/>
                <w:lang w:eastAsia="en-GB"/>
              </w:rPr>
            </w:pPr>
            <w:r w:rsidRPr="00B00AA6">
              <w:rPr>
                <w:rFonts w:cs="Calibri"/>
                <w:color w:val="000000"/>
                <w:sz w:val="20"/>
                <w:szCs w:val="20"/>
                <w:lang w:eastAsia="en-GB"/>
              </w:rPr>
              <w:t>Respiratory Complications</w:t>
            </w:r>
          </w:p>
        </w:tc>
      </w:tr>
      <w:tr w:rsidR="007E3DBA" w:rsidRPr="00B00AA6" w14:paraId="14793ACB" w14:textId="77777777" w:rsidTr="00730717">
        <w:trPr>
          <w:trHeight w:val="320"/>
        </w:trPr>
        <w:tc>
          <w:tcPr>
            <w:tcW w:w="2838" w:type="dxa"/>
            <w:tcBorders>
              <w:top w:val="nil"/>
              <w:left w:val="nil"/>
              <w:bottom w:val="nil"/>
              <w:right w:val="nil"/>
            </w:tcBorders>
            <w:shd w:val="clear" w:color="auto" w:fill="auto"/>
            <w:noWrap/>
            <w:vAlign w:val="bottom"/>
            <w:hideMark/>
          </w:tcPr>
          <w:p w14:paraId="10ACD594" w14:textId="77777777" w:rsidR="007E3DBA" w:rsidRPr="00B00AA6" w:rsidRDefault="007E3DBA" w:rsidP="00730717">
            <w:pPr>
              <w:spacing w:before="0" w:line="240" w:lineRule="auto"/>
              <w:rPr>
                <w:rFonts w:cs="Calibri"/>
                <w:color w:val="000000"/>
                <w:sz w:val="20"/>
                <w:szCs w:val="20"/>
                <w:lang w:eastAsia="en-GB"/>
              </w:rPr>
            </w:pPr>
            <w:r w:rsidRPr="00B00AA6">
              <w:rPr>
                <w:rFonts w:cs="Calibri"/>
                <w:color w:val="000000"/>
                <w:sz w:val="20"/>
                <w:szCs w:val="20"/>
                <w:lang w:eastAsia="en-GB"/>
              </w:rPr>
              <w:t>Diabetes Mellitus</w:t>
            </w:r>
          </w:p>
        </w:tc>
        <w:tc>
          <w:tcPr>
            <w:tcW w:w="2175" w:type="dxa"/>
            <w:tcBorders>
              <w:top w:val="nil"/>
              <w:left w:val="nil"/>
              <w:bottom w:val="nil"/>
              <w:right w:val="nil"/>
            </w:tcBorders>
            <w:shd w:val="clear" w:color="auto" w:fill="auto"/>
            <w:noWrap/>
            <w:vAlign w:val="bottom"/>
            <w:hideMark/>
          </w:tcPr>
          <w:p w14:paraId="518A42C4" w14:textId="77777777" w:rsidR="007E3DBA" w:rsidRPr="00B00AA6" w:rsidRDefault="007E3DBA" w:rsidP="00730717">
            <w:pPr>
              <w:spacing w:before="0" w:line="240" w:lineRule="auto"/>
              <w:rPr>
                <w:rFonts w:cs="Calibri"/>
                <w:color w:val="000000"/>
                <w:sz w:val="20"/>
                <w:szCs w:val="20"/>
                <w:lang w:eastAsia="en-GB"/>
              </w:rPr>
            </w:pPr>
          </w:p>
        </w:tc>
        <w:tc>
          <w:tcPr>
            <w:tcW w:w="3891" w:type="dxa"/>
            <w:tcBorders>
              <w:top w:val="nil"/>
              <w:left w:val="nil"/>
              <w:bottom w:val="nil"/>
              <w:right w:val="nil"/>
            </w:tcBorders>
            <w:shd w:val="clear" w:color="auto" w:fill="auto"/>
            <w:noWrap/>
            <w:vAlign w:val="bottom"/>
            <w:hideMark/>
          </w:tcPr>
          <w:p w14:paraId="4030354A" w14:textId="77777777" w:rsidR="007E3DBA" w:rsidRPr="00B00AA6" w:rsidRDefault="007E3DBA" w:rsidP="00730717">
            <w:pPr>
              <w:spacing w:before="0" w:line="240" w:lineRule="auto"/>
              <w:rPr>
                <w:rFonts w:cs="Calibri"/>
                <w:color w:val="000000"/>
                <w:sz w:val="20"/>
                <w:szCs w:val="20"/>
                <w:lang w:eastAsia="en-GB"/>
              </w:rPr>
            </w:pPr>
            <w:r w:rsidRPr="00B00AA6">
              <w:rPr>
                <w:rFonts w:cs="Calibri"/>
                <w:color w:val="000000"/>
                <w:sz w:val="20"/>
                <w:szCs w:val="20"/>
                <w:lang w:eastAsia="en-GB"/>
              </w:rPr>
              <w:t>Length of Stay</w:t>
            </w:r>
          </w:p>
        </w:tc>
      </w:tr>
      <w:tr w:rsidR="007E3DBA" w:rsidRPr="00B00AA6" w14:paraId="27ED2162" w14:textId="77777777" w:rsidTr="00730717">
        <w:trPr>
          <w:trHeight w:val="320"/>
        </w:trPr>
        <w:tc>
          <w:tcPr>
            <w:tcW w:w="2838" w:type="dxa"/>
            <w:tcBorders>
              <w:top w:val="nil"/>
              <w:left w:val="nil"/>
              <w:bottom w:val="nil"/>
              <w:right w:val="nil"/>
            </w:tcBorders>
            <w:shd w:val="clear" w:color="auto" w:fill="auto"/>
            <w:noWrap/>
            <w:vAlign w:val="bottom"/>
          </w:tcPr>
          <w:p w14:paraId="09D1283C" w14:textId="77777777" w:rsidR="007E3DBA" w:rsidRPr="00B00AA6" w:rsidRDefault="007E3DBA" w:rsidP="00730717">
            <w:pPr>
              <w:spacing w:before="0" w:line="240" w:lineRule="auto"/>
              <w:rPr>
                <w:rFonts w:cs="Calibri"/>
                <w:color w:val="000000"/>
                <w:sz w:val="20"/>
                <w:szCs w:val="20"/>
                <w:lang w:eastAsia="en-GB"/>
              </w:rPr>
            </w:pPr>
            <w:r w:rsidRPr="00B00AA6">
              <w:rPr>
                <w:rFonts w:cs="Calibri"/>
                <w:color w:val="000000"/>
                <w:sz w:val="20"/>
                <w:szCs w:val="20"/>
                <w:lang w:eastAsia="en-GB"/>
              </w:rPr>
              <w:t>Total Number of Comorbidities</w:t>
            </w:r>
          </w:p>
        </w:tc>
        <w:tc>
          <w:tcPr>
            <w:tcW w:w="2175" w:type="dxa"/>
            <w:tcBorders>
              <w:top w:val="nil"/>
              <w:left w:val="nil"/>
              <w:bottom w:val="nil"/>
              <w:right w:val="nil"/>
            </w:tcBorders>
            <w:shd w:val="clear" w:color="auto" w:fill="auto"/>
            <w:noWrap/>
            <w:vAlign w:val="bottom"/>
          </w:tcPr>
          <w:p w14:paraId="380138E6" w14:textId="77777777" w:rsidR="007E3DBA" w:rsidRPr="00B00AA6" w:rsidRDefault="007E3DBA" w:rsidP="00730717">
            <w:pPr>
              <w:spacing w:before="0" w:line="240" w:lineRule="auto"/>
              <w:rPr>
                <w:rFonts w:cs="Calibri"/>
                <w:color w:val="000000"/>
                <w:sz w:val="20"/>
                <w:szCs w:val="20"/>
                <w:lang w:eastAsia="en-GB"/>
              </w:rPr>
            </w:pPr>
          </w:p>
        </w:tc>
        <w:tc>
          <w:tcPr>
            <w:tcW w:w="3891" w:type="dxa"/>
            <w:tcBorders>
              <w:top w:val="nil"/>
              <w:left w:val="nil"/>
              <w:bottom w:val="nil"/>
              <w:right w:val="nil"/>
            </w:tcBorders>
            <w:shd w:val="clear" w:color="auto" w:fill="auto"/>
            <w:noWrap/>
            <w:vAlign w:val="bottom"/>
          </w:tcPr>
          <w:p w14:paraId="21F0A4C0" w14:textId="77777777" w:rsidR="007E3DBA" w:rsidRPr="00B00AA6" w:rsidRDefault="007E3DBA" w:rsidP="00730717">
            <w:pPr>
              <w:spacing w:before="0" w:line="240" w:lineRule="auto"/>
              <w:rPr>
                <w:rFonts w:cs="Calibri"/>
                <w:color w:val="000000"/>
                <w:sz w:val="20"/>
                <w:szCs w:val="20"/>
                <w:lang w:eastAsia="en-GB"/>
              </w:rPr>
            </w:pPr>
            <w:r>
              <w:rPr>
                <w:rFonts w:cs="Calibri"/>
                <w:color w:val="000000"/>
                <w:sz w:val="20"/>
                <w:szCs w:val="20"/>
                <w:lang w:eastAsia="en-GB"/>
              </w:rPr>
              <w:t>Surgical Procedure</w:t>
            </w:r>
          </w:p>
        </w:tc>
      </w:tr>
      <w:tr w:rsidR="007E3DBA" w:rsidRPr="00B00AA6" w14:paraId="4470BF4F" w14:textId="77777777" w:rsidTr="00730717">
        <w:trPr>
          <w:trHeight w:val="320"/>
        </w:trPr>
        <w:tc>
          <w:tcPr>
            <w:tcW w:w="2838" w:type="dxa"/>
            <w:tcBorders>
              <w:top w:val="nil"/>
              <w:left w:val="nil"/>
              <w:bottom w:val="nil"/>
              <w:right w:val="nil"/>
            </w:tcBorders>
            <w:shd w:val="clear" w:color="auto" w:fill="auto"/>
            <w:noWrap/>
            <w:vAlign w:val="bottom"/>
          </w:tcPr>
          <w:p w14:paraId="4F2678F4" w14:textId="77777777" w:rsidR="007E3DBA" w:rsidRPr="00B00AA6" w:rsidRDefault="007E3DBA" w:rsidP="00730717">
            <w:pPr>
              <w:spacing w:before="0" w:line="240" w:lineRule="auto"/>
              <w:rPr>
                <w:rFonts w:cs="Calibri"/>
                <w:color w:val="000000"/>
                <w:sz w:val="20"/>
                <w:szCs w:val="20"/>
                <w:lang w:eastAsia="en-GB"/>
              </w:rPr>
            </w:pPr>
            <w:r w:rsidRPr="00B00AA6">
              <w:rPr>
                <w:rFonts w:cs="Calibri"/>
                <w:color w:val="000000"/>
                <w:sz w:val="20"/>
                <w:szCs w:val="20"/>
                <w:lang w:eastAsia="en-GB"/>
              </w:rPr>
              <w:t>Social Deprivation</w:t>
            </w:r>
            <w:r>
              <w:rPr>
                <w:rFonts w:cs="Calibri"/>
                <w:color w:val="000000"/>
                <w:sz w:val="20"/>
                <w:szCs w:val="20"/>
                <w:lang w:eastAsia="en-GB"/>
              </w:rPr>
              <w:t>*</w:t>
            </w:r>
          </w:p>
        </w:tc>
        <w:tc>
          <w:tcPr>
            <w:tcW w:w="2175" w:type="dxa"/>
            <w:tcBorders>
              <w:top w:val="nil"/>
              <w:left w:val="nil"/>
              <w:bottom w:val="nil"/>
              <w:right w:val="nil"/>
            </w:tcBorders>
            <w:shd w:val="clear" w:color="auto" w:fill="auto"/>
            <w:noWrap/>
            <w:vAlign w:val="bottom"/>
            <w:hideMark/>
          </w:tcPr>
          <w:p w14:paraId="11FB0601" w14:textId="77777777" w:rsidR="007E3DBA" w:rsidRPr="00B00AA6" w:rsidRDefault="007E3DBA" w:rsidP="00730717">
            <w:pPr>
              <w:spacing w:before="0" w:line="240" w:lineRule="auto"/>
              <w:rPr>
                <w:rFonts w:cs="Calibri"/>
                <w:color w:val="000000"/>
                <w:sz w:val="20"/>
                <w:szCs w:val="20"/>
                <w:lang w:eastAsia="en-GB"/>
              </w:rPr>
            </w:pPr>
          </w:p>
        </w:tc>
        <w:tc>
          <w:tcPr>
            <w:tcW w:w="3891" w:type="dxa"/>
            <w:vMerge w:val="restart"/>
            <w:tcBorders>
              <w:top w:val="nil"/>
              <w:left w:val="nil"/>
              <w:right w:val="nil"/>
            </w:tcBorders>
            <w:shd w:val="clear" w:color="auto" w:fill="auto"/>
            <w:noWrap/>
            <w:vAlign w:val="bottom"/>
            <w:hideMark/>
          </w:tcPr>
          <w:p w14:paraId="66221446" w14:textId="77777777" w:rsidR="007E3DBA" w:rsidRPr="00B00AA6" w:rsidRDefault="007E3DBA" w:rsidP="00730717">
            <w:pPr>
              <w:spacing w:before="0" w:line="240" w:lineRule="auto"/>
              <w:rPr>
                <w:rFonts w:cs="Calibri"/>
                <w:color w:val="000000"/>
                <w:sz w:val="20"/>
                <w:szCs w:val="20"/>
                <w:lang w:eastAsia="en-GB"/>
              </w:rPr>
            </w:pPr>
            <w:r>
              <w:rPr>
                <w:rFonts w:cs="Calibri"/>
                <w:color w:val="000000"/>
                <w:sz w:val="20"/>
                <w:szCs w:val="20"/>
                <w:lang w:eastAsia="en-GB"/>
              </w:rPr>
              <w:t xml:space="preserve">Preoperative </w:t>
            </w:r>
            <w:r w:rsidRPr="00B00AA6">
              <w:rPr>
                <w:rFonts w:cs="Calibri"/>
                <w:color w:val="000000"/>
                <w:sz w:val="20"/>
                <w:szCs w:val="20"/>
                <w:lang w:eastAsia="en-GB"/>
              </w:rPr>
              <w:t>Chemotherapy Regimen (</w:t>
            </w:r>
            <w:r>
              <w:rPr>
                <w:rFonts w:cs="Calibri"/>
                <w:color w:val="000000"/>
                <w:sz w:val="20"/>
                <w:szCs w:val="20"/>
                <w:lang w:eastAsia="en-GB"/>
              </w:rPr>
              <w:t>platinum-based triplet</w:t>
            </w:r>
            <w:r w:rsidRPr="00B00AA6">
              <w:rPr>
                <w:rFonts w:cs="Calibri"/>
                <w:color w:val="000000"/>
                <w:sz w:val="20"/>
                <w:szCs w:val="20"/>
                <w:lang w:eastAsia="en-GB"/>
              </w:rPr>
              <w:t xml:space="preserve"> or FLOT)</w:t>
            </w:r>
          </w:p>
        </w:tc>
      </w:tr>
      <w:tr w:rsidR="007E3DBA" w:rsidRPr="00B00AA6" w14:paraId="46107D84" w14:textId="77777777" w:rsidTr="00730717">
        <w:trPr>
          <w:trHeight w:val="340"/>
        </w:trPr>
        <w:tc>
          <w:tcPr>
            <w:tcW w:w="2838" w:type="dxa"/>
            <w:tcBorders>
              <w:top w:val="nil"/>
              <w:left w:val="nil"/>
              <w:bottom w:val="single" w:sz="8" w:space="0" w:color="auto"/>
              <w:right w:val="nil"/>
            </w:tcBorders>
            <w:shd w:val="clear" w:color="auto" w:fill="auto"/>
            <w:noWrap/>
            <w:vAlign w:val="bottom"/>
          </w:tcPr>
          <w:p w14:paraId="34681989" w14:textId="77777777" w:rsidR="007E3DBA" w:rsidRPr="00B00AA6" w:rsidRDefault="007E3DBA" w:rsidP="00730717">
            <w:pPr>
              <w:spacing w:before="0" w:line="240" w:lineRule="auto"/>
              <w:rPr>
                <w:rFonts w:cs="Calibri"/>
                <w:color w:val="000000"/>
                <w:sz w:val="20"/>
                <w:szCs w:val="20"/>
                <w:lang w:eastAsia="en-GB"/>
              </w:rPr>
            </w:pPr>
          </w:p>
        </w:tc>
        <w:tc>
          <w:tcPr>
            <w:tcW w:w="2175" w:type="dxa"/>
            <w:tcBorders>
              <w:top w:val="nil"/>
              <w:left w:val="nil"/>
              <w:bottom w:val="single" w:sz="8" w:space="0" w:color="auto"/>
              <w:right w:val="nil"/>
            </w:tcBorders>
            <w:shd w:val="clear" w:color="auto" w:fill="auto"/>
            <w:noWrap/>
            <w:vAlign w:val="bottom"/>
            <w:hideMark/>
          </w:tcPr>
          <w:p w14:paraId="18A85C76" w14:textId="77777777" w:rsidR="007E3DBA" w:rsidRPr="00B00AA6" w:rsidRDefault="007E3DBA" w:rsidP="00730717">
            <w:pPr>
              <w:spacing w:before="0" w:line="240" w:lineRule="auto"/>
              <w:rPr>
                <w:rFonts w:cs="Calibri"/>
                <w:color w:val="000000"/>
                <w:sz w:val="20"/>
                <w:szCs w:val="20"/>
                <w:lang w:eastAsia="en-GB"/>
              </w:rPr>
            </w:pPr>
            <w:r w:rsidRPr="00B00AA6">
              <w:rPr>
                <w:rFonts w:cs="Calibri"/>
                <w:color w:val="000000"/>
                <w:sz w:val="20"/>
                <w:szCs w:val="20"/>
                <w:lang w:eastAsia="en-GB"/>
              </w:rPr>
              <w:t> </w:t>
            </w:r>
          </w:p>
        </w:tc>
        <w:tc>
          <w:tcPr>
            <w:tcW w:w="3891" w:type="dxa"/>
            <w:vMerge/>
            <w:tcBorders>
              <w:left w:val="nil"/>
              <w:bottom w:val="single" w:sz="8" w:space="0" w:color="auto"/>
              <w:right w:val="nil"/>
            </w:tcBorders>
            <w:shd w:val="clear" w:color="auto" w:fill="auto"/>
            <w:noWrap/>
            <w:vAlign w:val="bottom"/>
            <w:hideMark/>
          </w:tcPr>
          <w:p w14:paraId="0DEFDD7B" w14:textId="77777777" w:rsidR="007E3DBA" w:rsidRPr="00B00AA6" w:rsidRDefault="007E3DBA" w:rsidP="00730717">
            <w:pPr>
              <w:spacing w:before="0" w:line="240" w:lineRule="auto"/>
              <w:rPr>
                <w:rFonts w:cs="Calibri"/>
                <w:color w:val="000000"/>
                <w:sz w:val="20"/>
                <w:szCs w:val="20"/>
                <w:lang w:eastAsia="en-GB"/>
              </w:rPr>
            </w:pPr>
          </w:p>
        </w:tc>
      </w:tr>
      <w:tr w:rsidR="007E3DBA" w:rsidRPr="00B00AA6" w14:paraId="41D04C47" w14:textId="77777777" w:rsidTr="00730717">
        <w:trPr>
          <w:trHeight w:val="340"/>
        </w:trPr>
        <w:tc>
          <w:tcPr>
            <w:tcW w:w="8904" w:type="dxa"/>
            <w:gridSpan w:val="3"/>
            <w:tcBorders>
              <w:top w:val="single" w:sz="8" w:space="0" w:color="auto"/>
              <w:left w:val="nil"/>
              <w:bottom w:val="single" w:sz="8" w:space="0" w:color="auto"/>
              <w:right w:val="nil"/>
            </w:tcBorders>
            <w:shd w:val="clear" w:color="auto" w:fill="auto"/>
            <w:noWrap/>
            <w:vAlign w:val="bottom"/>
            <w:hideMark/>
          </w:tcPr>
          <w:p w14:paraId="01AC15E3" w14:textId="33960B3B" w:rsidR="007E3DBA" w:rsidRPr="00A748AC" w:rsidRDefault="007E3DBA" w:rsidP="00730717">
            <w:pPr>
              <w:rPr>
                <w:sz w:val="24"/>
                <w:szCs w:val="24"/>
              </w:rPr>
            </w:pPr>
            <w:r w:rsidRPr="00B00AA6">
              <w:rPr>
                <w:rFonts w:cs="Calibri"/>
                <w:color w:val="000000"/>
                <w:sz w:val="20"/>
                <w:szCs w:val="20"/>
                <w:lang w:eastAsia="en-GB"/>
              </w:rPr>
              <w:t>CRM = Circumferential Resection Margin</w:t>
            </w:r>
            <w:r w:rsidRPr="00A748AC">
              <w:rPr>
                <w:rFonts w:cs="Calibri"/>
                <w:color w:val="000000"/>
                <w:sz w:val="20"/>
                <w:szCs w:val="20"/>
                <w:lang w:eastAsia="en-GB"/>
              </w:rPr>
              <w:t xml:space="preserve">, </w:t>
            </w:r>
            <w:r w:rsidRPr="00A748AC">
              <w:rPr>
                <w:sz w:val="20"/>
                <w:szCs w:val="20"/>
              </w:rPr>
              <w:t>defined as per the Royal College of Pathologists guidelines (i.e. positive if tumour found at or within 1mm of cut edge)</w:t>
            </w:r>
            <w:r w:rsidRPr="00A748AC">
              <w:rPr>
                <w:sz w:val="20"/>
                <w:szCs w:val="20"/>
              </w:rPr>
              <w:fldChar w:fldCharType="begin" w:fldLock="1"/>
            </w:r>
            <w:r w:rsidR="00D120BE">
              <w:rPr>
                <w:sz w:val="20"/>
                <w:szCs w:val="20"/>
              </w:rPr>
              <w:instrText>ADDIN CSL_CITATION {"citationItems":[{"id":"ITEM-1","itemData":{"author":[{"dropping-particle":"","family":"Grabsch","given":"Heike I.","non-dropping-particle":"","parse-names":false,"suffix":""},{"dropping-particle":"","family":"Mapstone","given":"Nicholas P","non-dropping-particle":"","parse-names":false,"suffix":""},{"dropping-particle":"","family":"Novelli","given":"Marco","non-dropping-particle":"","parse-names":false,"suffix":""}],"id":"ITEM-1","issued":{"date-parts":[["2019"]]},"number-of-pages":"1-58","title":"Standards and Datasets for Reporting Cancers Dataset for the histopathological reporting of oesophageal carcinoma (2nd edition)","type":"report"},"uris":["http://www.mendeley.com/documents/?uuid=53bb0607-e053-4fe1-96e4-47c34163e66a"]}],"mendeley":{"formattedCitation":"(59)","plainTextFormattedCitation":"(59)","previouslyFormattedCitation":"(59)"},"properties":{"noteIndex":0},"schema":"https://github.com/citation-style-language/schema/raw/master/csl-citation.json"}</w:instrText>
            </w:r>
            <w:r w:rsidRPr="00A748AC">
              <w:rPr>
                <w:sz w:val="20"/>
                <w:szCs w:val="20"/>
              </w:rPr>
              <w:fldChar w:fldCharType="separate"/>
            </w:r>
            <w:r w:rsidR="002B3E81" w:rsidRPr="002B3E81">
              <w:rPr>
                <w:noProof/>
                <w:sz w:val="20"/>
                <w:szCs w:val="20"/>
              </w:rPr>
              <w:t>(59)</w:t>
            </w:r>
            <w:r w:rsidRPr="00A748AC">
              <w:rPr>
                <w:sz w:val="20"/>
                <w:szCs w:val="20"/>
              </w:rPr>
              <w:fldChar w:fldCharType="end"/>
            </w:r>
            <w:r w:rsidRPr="00A748AC">
              <w:rPr>
                <w:rFonts w:cs="Calibri"/>
                <w:color w:val="000000"/>
                <w:sz w:val="20"/>
                <w:szCs w:val="20"/>
                <w:lang w:eastAsia="en-GB"/>
              </w:rPr>
              <w:t>,</w:t>
            </w:r>
            <w:r w:rsidRPr="00B00AA6">
              <w:rPr>
                <w:rFonts w:cs="Calibri"/>
                <w:color w:val="000000"/>
                <w:sz w:val="20"/>
                <w:szCs w:val="20"/>
                <w:lang w:eastAsia="en-GB"/>
              </w:rPr>
              <w:t xml:space="preserve"> COPD = Chronic Obstructive Pulmonary Disease, ASA = American Society of Anaesthesiologists</w:t>
            </w:r>
            <w:r>
              <w:rPr>
                <w:rFonts w:cs="Calibri"/>
                <w:color w:val="000000"/>
                <w:sz w:val="20"/>
                <w:szCs w:val="20"/>
                <w:lang w:eastAsia="en-GB"/>
              </w:rPr>
              <w:t>, *English Index of Multiple Deprivation</w:t>
            </w:r>
          </w:p>
        </w:tc>
      </w:tr>
    </w:tbl>
    <w:p w14:paraId="1BE2AE51" w14:textId="2B4A78BC" w:rsidR="007E3DBA" w:rsidRDefault="007E3DBA" w:rsidP="007E3DBA">
      <w:pPr>
        <w:widowControl w:val="0"/>
        <w:autoSpaceDE w:val="0"/>
        <w:autoSpaceDN w:val="0"/>
        <w:adjustRightInd w:val="0"/>
        <w:rPr>
          <w:sz w:val="24"/>
          <w:szCs w:val="24"/>
        </w:rPr>
      </w:pPr>
    </w:p>
    <w:p w14:paraId="0430A56A" w14:textId="77777777" w:rsidR="009B06D7" w:rsidRPr="00E93A26" w:rsidRDefault="009B06D7" w:rsidP="009B06D7">
      <w:pPr>
        <w:spacing w:before="100" w:beforeAutospacing="1" w:after="100" w:afterAutospacing="1" w:line="480" w:lineRule="auto"/>
        <w:sectPr w:rsidR="009B06D7" w:rsidRPr="00E93A26" w:rsidSect="00C93E06">
          <w:headerReference w:type="default" r:id="rId13"/>
          <w:footerReference w:type="default" r:id="rId14"/>
          <w:pgSz w:w="11900" w:h="16840"/>
          <w:pgMar w:top="1440" w:right="1440" w:bottom="1440" w:left="1440" w:header="708" w:footer="708" w:gutter="0"/>
          <w:cols w:space="708"/>
          <w:docGrid w:linePitch="360"/>
        </w:sectPr>
      </w:pPr>
    </w:p>
    <w:p w14:paraId="3ACDD127" w14:textId="77777777" w:rsidR="007E3DBA" w:rsidRDefault="007E3DBA" w:rsidP="007E3DBA">
      <w:pPr>
        <w:spacing w:before="0" w:line="240" w:lineRule="auto"/>
        <w:rPr>
          <w:sz w:val="24"/>
          <w:szCs w:val="24"/>
        </w:rPr>
      </w:pPr>
      <w:r>
        <w:rPr>
          <w:sz w:val="24"/>
          <w:szCs w:val="24"/>
        </w:rPr>
        <w:lastRenderedPageBreak/>
        <w:t xml:space="preserve">Table 2 Pre-weighting cohort characteristics stratified by receipt of postoperative treatment. </w:t>
      </w:r>
    </w:p>
    <w:tbl>
      <w:tblPr>
        <w:tblW w:w="11171" w:type="dxa"/>
        <w:tblCellMar>
          <w:top w:w="15" w:type="dxa"/>
        </w:tblCellMar>
        <w:tblLook w:val="04A0" w:firstRow="1" w:lastRow="0" w:firstColumn="1" w:lastColumn="0" w:noHBand="0" w:noVBand="1"/>
      </w:tblPr>
      <w:tblGrid>
        <w:gridCol w:w="1561"/>
        <w:gridCol w:w="2976"/>
        <w:gridCol w:w="1786"/>
        <w:gridCol w:w="1823"/>
        <w:gridCol w:w="1823"/>
        <w:gridCol w:w="965"/>
        <w:gridCol w:w="237"/>
      </w:tblGrid>
      <w:tr w:rsidR="007E3DBA" w:rsidRPr="000621D5" w14:paraId="02384697" w14:textId="77777777" w:rsidTr="00730717">
        <w:trPr>
          <w:gridAfter w:val="1"/>
          <w:wAfter w:w="237" w:type="dxa"/>
          <w:trHeight w:val="200"/>
        </w:trPr>
        <w:tc>
          <w:tcPr>
            <w:tcW w:w="1561" w:type="dxa"/>
            <w:tcBorders>
              <w:top w:val="single" w:sz="8" w:space="0" w:color="auto"/>
              <w:left w:val="nil"/>
              <w:bottom w:val="single" w:sz="8" w:space="0" w:color="auto"/>
              <w:right w:val="nil"/>
            </w:tcBorders>
            <w:shd w:val="clear" w:color="auto" w:fill="auto"/>
            <w:noWrap/>
            <w:vAlign w:val="bottom"/>
            <w:hideMark/>
          </w:tcPr>
          <w:p w14:paraId="04DD8B28" w14:textId="77777777" w:rsidR="007E3DBA" w:rsidRPr="000621D5" w:rsidRDefault="007E3DBA" w:rsidP="00730717">
            <w:pPr>
              <w:spacing w:before="0" w:line="240" w:lineRule="auto"/>
              <w:rPr>
                <w:rFonts w:cs="Calibri"/>
                <w:color w:val="000000"/>
                <w:sz w:val="16"/>
                <w:szCs w:val="16"/>
                <w:lang w:eastAsia="en-GB"/>
              </w:rPr>
            </w:pPr>
            <w:r w:rsidRPr="000621D5">
              <w:rPr>
                <w:rFonts w:cs="Calibri"/>
                <w:color w:val="000000"/>
                <w:sz w:val="16"/>
                <w:szCs w:val="16"/>
                <w:lang w:eastAsia="en-GB"/>
              </w:rPr>
              <w:t> </w:t>
            </w:r>
          </w:p>
        </w:tc>
        <w:tc>
          <w:tcPr>
            <w:tcW w:w="2976" w:type="dxa"/>
            <w:tcBorders>
              <w:top w:val="single" w:sz="8" w:space="0" w:color="auto"/>
              <w:left w:val="nil"/>
              <w:bottom w:val="single" w:sz="8" w:space="0" w:color="auto"/>
              <w:right w:val="nil"/>
            </w:tcBorders>
            <w:shd w:val="clear" w:color="auto" w:fill="auto"/>
            <w:noWrap/>
            <w:vAlign w:val="bottom"/>
            <w:hideMark/>
          </w:tcPr>
          <w:p w14:paraId="423023AC"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 </w:t>
            </w:r>
          </w:p>
        </w:tc>
        <w:tc>
          <w:tcPr>
            <w:tcW w:w="1786" w:type="dxa"/>
            <w:tcBorders>
              <w:top w:val="single" w:sz="8" w:space="0" w:color="auto"/>
              <w:left w:val="nil"/>
              <w:bottom w:val="single" w:sz="8" w:space="0" w:color="auto"/>
              <w:right w:val="nil"/>
            </w:tcBorders>
            <w:shd w:val="clear" w:color="auto" w:fill="auto"/>
            <w:noWrap/>
            <w:vAlign w:val="bottom"/>
            <w:hideMark/>
          </w:tcPr>
          <w:p w14:paraId="4BD5426B"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Overall </w:t>
            </w:r>
            <w:r w:rsidRPr="003E3695">
              <w:rPr>
                <w:rFonts w:cs="Calibri"/>
                <w:color w:val="000000"/>
                <w:sz w:val="16"/>
                <w:szCs w:val="16"/>
                <w:lang w:eastAsia="en-GB"/>
              </w:rPr>
              <w:t>(</w:t>
            </w:r>
            <w:r w:rsidRPr="006501C3">
              <w:rPr>
                <w:rFonts w:cs="Calibri"/>
                <w:i/>
                <w:iCs/>
                <w:color w:val="000000"/>
                <w:sz w:val="16"/>
                <w:szCs w:val="16"/>
                <w:lang w:eastAsia="en-GB"/>
              </w:rPr>
              <w:t>n</w:t>
            </w:r>
            <w:r w:rsidRPr="000621D5">
              <w:rPr>
                <w:rFonts w:cs="Calibri"/>
                <w:color w:val="000000"/>
                <w:sz w:val="16"/>
                <w:szCs w:val="16"/>
                <w:lang w:eastAsia="en-GB"/>
              </w:rPr>
              <w:t>=4139)</w:t>
            </w:r>
          </w:p>
        </w:tc>
        <w:tc>
          <w:tcPr>
            <w:tcW w:w="1823" w:type="dxa"/>
            <w:tcBorders>
              <w:top w:val="single" w:sz="8" w:space="0" w:color="auto"/>
              <w:left w:val="nil"/>
              <w:bottom w:val="single" w:sz="8" w:space="0" w:color="auto"/>
              <w:right w:val="nil"/>
            </w:tcBorders>
            <w:shd w:val="clear" w:color="auto" w:fill="auto"/>
            <w:noWrap/>
            <w:vAlign w:val="bottom"/>
            <w:hideMark/>
          </w:tcPr>
          <w:p w14:paraId="4F61E0E8"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Observation (</w:t>
            </w:r>
            <w:r w:rsidRPr="006501C3">
              <w:rPr>
                <w:rFonts w:cs="Calibri"/>
                <w:i/>
                <w:iCs/>
                <w:color w:val="000000"/>
                <w:sz w:val="16"/>
                <w:szCs w:val="16"/>
                <w:lang w:eastAsia="en-GB"/>
              </w:rPr>
              <w:t>n</w:t>
            </w:r>
            <w:r w:rsidRPr="000621D5">
              <w:rPr>
                <w:rFonts w:cs="Calibri"/>
                <w:color w:val="000000"/>
                <w:sz w:val="16"/>
                <w:szCs w:val="16"/>
                <w:lang w:eastAsia="en-GB"/>
              </w:rPr>
              <w:t>=2546)</w:t>
            </w:r>
          </w:p>
        </w:tc>
        <w:tc>
          <w:tcPr>
            <w:tcW w:w="1823" w:type="dxa"/>
            <w:tcBorders>
              <w:top w:val="single" w:sz="8" w:space="0" w:color="auto"/>
              <w:left w:val="nil"/>
              <w:bottom w:val="single" w:sz="8" w:space="0" w:color="auto"/>
              <w:right w:val="nil"/>
            </w:tcBorders>
            <w:shd w:val="clear" w:color="auto" w:fill="auto"/>
            <w:noWrap/>
            <w:vAlign w:val="bottom"/>
            <w:hideMark/>
          </w:tcPr>
          <w:p w14:paraId="78FDFC8B"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Treatment </w:t>
            </w:r>
            <w:r w:rsidRPr="003E3695">
              <w:rPr>
                <w:rFonts w:cs="Calibri"/>
                <w:color w:val="000000"/>
                <w:sz w:val="16"/>
                <w:szCs w:val="16"/>
                <w:lang w:eastAsia="en-GB"/>
              </w:rPr>
              <w:t>(</w:t>
            </w:r>
            <w:r w:rsidRPr="006501C3">
              <w:rPr>
                <w:rFonts w:cs="Calibri"/>
                <w:i/>
                <w:iCs/>
                <w:color w:val="000000"/>
                <w:sz w:val="16"/>
                <w:szCs w:val="16"/>
                <w:lang w:eastAsia="en-GB"/>
              </w:rPr>
              <w:t>n</w:t>
            </w:r>
            <w:r w:rsidRPr="000621D5">
              <w:rPr>
                <w:rFonts w:cs="Calibri"/>
                <w:color w:val="000000"/>
                <w:sz w:val="16"/>
                <w:szCs w:val="16"/>
                <w:lang w:eastAsia="en-GB"/>
              </w:rPr>
              <w:t>=1593)</w:t>
            </w:r>
          </w:p>
        </w:tc>
        <w:tc>
          <w:tcPr>
            <w:tcW w:w="965" w:type="dxa"/>
            <w:tcBorders>
              <w:top w:val="single" w:sz="8" w:space="0" w:color="auto"/>
              <w:left w:val="nil"/>
              <w:bottom w:val="single" w:sz="8" w:space="0" w:color="auto"/>
              <w:right w:val="nil"/>
            </w:tcBorders>
            <w:shd w:val="clear" w:color="auto" w:fill="auto"/>
            <w:noWrap/>
            <w:vAlign w:val="bottom"/>
            <w:hideMark/>
          </w:tcPr>
          <w:p w14:paraId="42CE5FA6" w14:textId="77777777" w:rsidR="007E3DBA" w:rsidRPr="000621D5" w:rsidRDefault="007E3DBA" w:rsidP="00730717">
            <w:pPr>
              <w:spacing w:before="0" w:line="240" w:lineRule="auto"/>
              <w:jc w:val="center"/>
              <w:rPr>
                <w:rFonts w:cs="Calibri"/>
                <w:color w:val="000000"/>
                <w:sz w:val="16"/>
                <w:szCs w:val="16"/>
                <w:lang w:eastAsia="en-GB"/>
              </w:rPr>
            </w:pPr>
            <w:r w:rsidRPr="006501C3">
              <w:rPr>
                <w:rFonts w:cs="Calibri"/>
                <w:i/>
                <w:iCs/>
                <w:color w:val="000000"/>
                <w:sz w:val="16"/>
                <w:szCs w:val="16"/>
                <w:lang w:eastAsia="en-GB"/>
              </w:rPr>
              <w:t>p</w:t>
            </w:r>
            <w:r w:rsidRPr="000621D5">
              <w:rPr>
                <w:rFonts w:cs="Calibri"/>
                <w:color w:val="000000"/>
                <w:sz w:val="16"/>
                <w:szCs w:val="16"/>
                <w:lang w:eastAsia="en-GB"/>
              </w:rPr>
              <w:t>§</w:t>
            </w:r>
          </w:p>
        </w:tc>
      </w:tr>
      <w:tr w:rsidR="007E3DBA" w:rsidRPr="000621D5" w14:paraId="5DF2D291" w14:textId="77777777" w:rsidTr="00730717">
        <w:trPr>
          <w:gridAfter w:val="1"/>
          <w:wAfter w:w="237" w:type="dxa"/>
          <w:trHeight w:val="200"/>
        </w:trPr>
        <w:tc>
          <w:tcPr>
            <w:tcW w:w="4537" w:type="dxa"/>
            <w:gridSpan w:val="2"/>
            <w:tcBorders>
              <w:top w:val="nil"/>
              <w:left w:val="nil"/>
              <w:bottom w:val="nil"/>
              <w:right w:val="nil"/>
            </w:tcBorders>
            <w:shd w:val="clear" w:color="auto" w:fill="auto"/>
            <w:noWrap/>
            <w:vAlign w:val="bottom"/>
            <w:hideMark/>
          </w:tcPr>
          <w:p w14:paraId="43F8B5D1" w14:textId="77777777" w:rsidR="007E3DBA" w:rsidRPr="000621D5" w:rsidRDefault="007E3DBA" w:rsidP="00730717">
            <w:pPr>
              <w:spacing w:before="0" w:line="240" w:lineRule="auto"/>
              <w:rPr>
                <w:rFonts w:cs="Calibri"/>
                <w:color w:val="000000"/>
                <w:sz w:val="16"/>
                <w:szCs w:val="16"/>
                <w:lang w:eastAsia="en-GB"/>
              </w:rPr>
            </w:pPr>
            <w:r w:rsidRPr="000621D5">
              <w:rPr>
                <w:rFonts w:cs="Calibri"/>
                <w:color w:val="000000"/>
                <w:sz w:val="16"/>
                <w:szCs w:val="16"/>
                <w:lang w:eastAsia="en-GB"/>
              </w:rPr>
              <w:t>Female Gender</w:t>
            </w:r>
          </w:p>
        </w:tc>
        <w:tc>
          <w:tcPr>
            <w:tcW w:w="1786" w:type="dxa"/>
            <w:tcBorders>
              <w:top w:val="nil"/>
              <w:left w:val="nil"/>
              <w:bottom w:val="nil"/>
              <w:right w:val="nil"/>
            </w:tcBorders>
            <w:shd w:val="clear" w:color="auto" w:fill="auto"/>
            <w:noWrap/>
            <w:vAlign w:val="bottom"/>
            <w:hideMark/>
          </w:tcPr>
          <w:p w14:paraId="3763FE27"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810 (19.6) </w:t>
            </w:r>
          </w:p>
        </w:tc>
        <w:tc>
          <w:tcPr>
            <w:tcW w:w="1823" w:type="dxa"/>
            <w:tcBorders>
              <w:top w:val="nil"/>
              <w:left w:val="nil"/>
              <w:bottom w:val="nil"/>
              <w:right w:val="nil"/>
            </w:tcBorders>
            <w:shd w:val="clear" w:color="auto" w:fill="auto"/>
            <w:noWrap/>
            <w:vAlign w:val="bottom"/>
            <w:hideMark/>
          </w:tcPr>
          <w:p w14:paraId="1219E5E1"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506 (19.9) </w:t>
            </w:r>
          </w:p>
        </w:tc>
        <w:tc>
          <w:tcPr>
            <w:tcW w:w="1823" w:type="dxa"/>
            <w:tcBorders>
              <w:top w:val="nil"/>
              <w:left w:val="nil"/>
              <w:bottom w:val="nil"/>
              <w:right w:val="nil"/>
            </w:tcBorders>
            <w:shd w:val="clear" w:color="auto" w:fill="auto"/>
            <w:noWrap/>
            <w:vAlign w:val="bottom"/>
            <w:hideMark/>
          </w:tcPr>
          <w:p w14:paraId="069495B3"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304 (19.1) </w:t>
            </w:r>
          </w:p>
        </w:tc>
        <w:tc>
          <w:tcPr>
            <w:tcW w:w="965" w:type="dxa"/>
            <w:tcBorders>
              <w:top w:val="nil"/>
              <w:left w:val="nil"/>
              <w:bottom w:val="nil"/>
              <w:right w:val="nil"/>
            </w:tcBorders>
            <w:shd w:val="clear" w:color="auto" w:fill="auto"/>
            <w:noWrap/>
            <w:vAlign w:val="bottom"/>
            <w:hideMark/>
          </w:tcPr>
          <w:p w14:paraId="0D3FA6E8"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0.559</w:t>
            </w:r>
          </w:p>
        </w:tc>
      </w:tr>
      <w:tr w:rsidR="007E3DBA" w:rsidRPr="000621D5" w14:paraId="25DC529B" w14:textId="77777777" w:rsidTr="00730717">
        <w:trPr>
          <w:gridAfter w:val="1"/>
          <w:wAfter w:w="237" w:type="dxa"/>
          <w:trHeight w:val="200"/>
        </w:trPr>
        <w:tc>
          <w:tcPr>
            <w:tcW w:w="4537" w:type="dxa"/>
            <w:gridSpan w:val="2"/>
            <w:tcBorders>
              <w:top w:val="nil"/>
              <w:left w:val="nil"/>
              <w:bottom w:val="nil"/>
              <w:right w:val="nil"/>
            </w:tcBorders>
            <w:shd w:val="clear" w:color="auto" w:fill="auto"/>
            <w:noWrap/>
            <w:vAlign w:val="bottom"/>
            <w:hideMark/>
          </w:tcPr>
          <w:p w14:paraId="4784FF09" w14:textId="77777777" w:rsidR="007E3DBA" w:rsidRPr="000621D5" w:rsidRDefault="007E3DBA" w:rsidP="00730717">
            <w:pPr>
              <w:spacing w:before="0" w:line="240" w:lineRule="auto"/>
              <w:rPr>
                <w:rFonts w:cs="Calibri"/>
                <w:color w:val="000000"/>
                <w:sz w:val="16"/>
                <w:szCs w:val="16"/>
                <w:lang w:eastAsia="en-GB"/>
              </w:rPr>
            </w:pPr>
            <w:r w:rsidRPr="000621D5">
              <w:rPr>
                <w:rFonts w:cs="Calibri"/>
                <w:color w:val="000000"/>
                <w:sz w:val="16"/>
                <w:szCs w:val="16"/>
                <w:lang w:eastAsia="en-GB"/>
              </w:rPr>
              <w:t>Age</w:t>
            </w:r>
          </w:p>
        </w:tc>
        <w:tc>
          <w:tcPr>
            <w:tcW w:w="1786" w:type="dxa"/>
            <w:tcBorders>
              <w:top w:val="nil"/>
              <w:left w:val="nil"/>
              <w:bottom w:val="nil"/>
              <w:right w:val="nil"/>
            </w:tcBorders>
            <w:shd w:val="clear" w:color="auto" w:fill="auto"/>
            <w:noWrap/>
            <w:vAlign w:val="bottom"/>
            <w:hideMark/>
          </w:tcPr>
          <w:p w14:paraId="5438C77F"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66.00 [58.00, 71.00]</w:t>
            </w:r>
          </w:p>
        </w:tc>
        <w:tc>
          <w:tcPr>
            <w:tcW w:w="1823" w:type="dxa"/>
            <w:tcBorders>
              <w:top w:val="nil"/>
              <w:left w:val="nil"/>
              <w:bottom w:val="nil"/>
              <w:right w:val="nil"/>
            </w:tcBorders>
            <w:shd w:val="clear" w:color="auto" w:fill="auto"/>
            <w:noWrap/>
            <w:vAlign w:val="bottom"/>
            <w:hideMark/>
          </w:tcPr>
          <w:p w14:paraId="214A3B11"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67.00 [60.00, 72.00]</w:t>
            </w:r>
          </w:p>
        </w:tc>
        <w:tc>
          <w:tcPr>
            <w:tcW w:w="1823" w:type="dxa"/>
            <w:tcBorders>
              <w:top w:val="nil"/>
              <w:left w:val="nil"/>
              <w:bottom w:val="nil"/>
              <w:right w:val="nil"/>
            </w:tcBorders>
            <w:shd w:val="clear" w:color="auto" w:fill="auto"/>
            <w:noWrap/>
            <w:vAlign w:val="bottom"/>
            <w:hideMark/>
          </w:tcPr>
          <w:p w14:paraId="37C8AC2E"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64.00 [56.00, 70.00]</w:t>
            </w:r>
          </w:p>
        </w:tc>
        <w:tc>
          <w:tcPr>
            <w:tcW w:w="965" w:type="dxa"/>
            <w:tcBorders>
              <w:top w:val="nil"/>
              <w:left w:val="nil"/>
              <w:bottom w:val="nil"/>
              <w:right w:val="nil"/>
            </w:tcBorders>
            <w:shd w:val="clear" w:color="auto" w:fill="auto"/>
            <w:noWrap/>
            <w:vAlign w:val="bottom"/>
            <w:hideMark/>
          </w:tcPr>
          <w:p w14:paraId="2882329C"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&lt;0.001¶</w:t>
            </w:r>
          </w:p>
        </w:tc>
      </w:tr>
      <w:tr w:rsidR="007E3DBA" w:rsidRPr="000621D5" w14:paraId="20E66888"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1059C62C" w14:textId="77777777" w:rsidR="007E3DBA" w:rsidRPr="000621D5" w:rsidRDefault="007E3DBA" w:rsidP="00730717">
            <w:pPr>
              <w:spacing w:before="0" w:line="240" w:lineRule="auto"/>
              <w:rPr>
                <w:rFonts w:cs="Calibri"/>
                <w:color w:val="000000"/>
                <w:sz w:val="16"/>
                <w:szCs w:val="16"/>
                <w:lang w:eastAsia="en-GB"/>
              </w:rPr>
            </w:pPr>
            <w:r w:rsidRPr="000621D5">
              <w:rPr>
                <w:rFonts w:cs="Calibri"/>
                <w:color w:val="000000"/>
                <w:sz w:val="16"/>
                <w:szCs w:val="16"/>
                <w:lang w:eastAsia="en-GB"/>
              </w:rPr>
              <w:t>Site of Tumour</w:t>
            </w:r>
          </w:p>
        </w:tc>
        <w:tc>
          <w:tcPr>
            <w:tcW w:w="2976" w:type="dxa"/>
            <w:tcBorders>
              <w:top w:val="nil"/>
              <w:left w:val="nil"/>
              <w:bottom w:val="nil"/>
              <w:right w:val="nil"/>
            </w:tcBorders>
            <w:shd w:val="clear" w:color="auto" w:fill="auto"/>
            <w:noWrap/>
            <w:vAlign w:val="bottom"/>
            <w:hideMark/>
          </w:tcPr>
          <w:p w14:paraId="5F1452DC" w14:textId="77777777" w:rsidR="007E3DBA" w:rsidRPr="000621D5" w:rsidRDefault="007E3DBA" w:rsidP="00730717">
            <w:pPr>
              <w:spacing w:before="0" w:line="240" w:lineRule="auto"/>
              <w:jc w:val="right"/>
              <w:rPr>
                <w:rFonts w:cs="Calibri"/>
                <w:color w:val="000000"/>
                <w:sz w:val="16"/>
                <w:szCs w:val="16"/>
                <w:lang w:eastAsia="en-GB"/>
              </w:rPr>
            </w:pPr>
            <w:r>
              <w:rPr>
                <w:rFonts w:cs="Calibri"/>
                <w:color w:val="000000"/>
                <w:sz w:val="16"/>
                <w:szCs w:val="16"/>
                <w:lang w:eastAsia="en-GB"/>
              </w:rPr>
              <w:t>Oe</w:t>
            </w:r>
            <w:r w:rsidRPr="000621D5">
              <w:rPr>
                <w:rFonts w:cs="Calibri"/>
                <w:color w:val="000000"/>
                <w:sz w:val="16"/>
                <w:szCs w:val="16"/>
                <w:lang w:eastAsia="en-GB"/>
              </w:rPr>
              <w:t xml:space="preserve">sophagus upper 1/3 </w:t>
            </w:r>
          </w:p>
        </w:tc>
        <w:tc>
          <w:tcPr>
            <w:tcW w:w="1786" w:type="dxa"/>
            <w:tcBorders>
              <w:top w:val="nil"/>
              <w:left w:val="nil"/>
              <w:bottom w:val="nil"/>
              <w:right w:val="nil"/>
            </w:tcBorders>
            <w:shd w:val="clear" w:color="auto" w:fill="auto"/>
            <w:noWrap/>
            <w:vAlign w:val="bottom"/>
            <w:hideMark/>
          </w:tcPr>
          <w:p w14:paraId="29BBA9B3"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28 (0.7) </w:t>
            </w:r>
          </w:p>
        </w:tc>
        <w:tc>
          <w:tcPr>
            <w:tcW w:w="1823" w:type="dxa"/>
            <w:tcBorders>
              <w:top w:val="nil"/>
              <w:left w:val="nil"/>
              <w:bottom w:val="nil"/>
              <w:right w:val="nil"/>
            </w:tcBorders>
            <w:shd w:val="clear" w:color="auto" w:fill="auto"/>
            <w:noWrap/>
            <w:vAlign w:val="bottom"/>
            <w:hideMark/>
          </w:tcPr>
          <w:p w14:paraId="1F6A0176"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18 (0.7) </w:t>
            </w:r>
          </w:p>
        </w:tc>
        <w:tc>
          <w:tcPr>
            <w:tcW w:w="1823" w:type="dxa"/>
            <w:tcBorders>
              <w:top w:val="nil"/>
              <w:left w:val="nil"/>
              <w:bottom w:val="nil"/>
              <w:right w:val="nil"/>
            </w:tcBorders>
            <w:shd w:val="clear" w:color="auto" w:fill="auto"/>
            <w:noWrap/>
            <w:vAlign w:val="bottom"/>
            <w:hideMark/>
          </w:tcPr>
          <w:p w14:paraId="40C6BFA5"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10 (0.6) </w:t>
            </w:r>
          </w:p>
        </w:tc>
        <w:tc>
          <w:tcPr>
            <w:tcW w:w="965" w:type="dxa"/>
            <w:tcBorders>
              <w:top w:val="nil"/>
              <w:left w:val="nil"/>
              <w:bottom w:val="nil"/>
              <w:right w:val="nil"/>
            </w:tcBorders>
            <w:shd w:val="clear" w:color="auto" w:fill="auto"/>
            <w:noWrap/>
            <w:vAlign w:val="bottom"/>
            <w:hideMark/>
          </w:tcPr>
          <w:p w14:paraId="23B2E420"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0.019</w:t>
            </w:r>
          </w:p>
        </w:tc>
      </w:tr>
      <w:tr w:rsidR="007E3DBA" w:rsidRPr="000621D5" w14:paraId="399B94C5"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4244F921" w14:textId="77777777" w:rsidR="007E3DBA" w:rsidRPr="000621D5" w:rsidRDefault="007E3DBA" w:rsidP="00730717">
            <w:pPr>
              <w:spacing w:before="0" w:line="240" w:lineRule="auto"/>
              <w:jc w:val="center"/>
              <w:rPr>
                <w:rFonts w:cs="Calibri"/>
                <w:color w:val="000000"/>
                <w:sz w:val="16"/>
                <w:szCs w:val="16"/>
                <w:lang w:eastAsia="en-GB"/>
              </w:rPr>
            </w:pPr>
          </w:p>
        </w:tc>
        <w:tc>
          <w:tcPr>
            <w:tcW w:w="2976" w:type="dxa"/>
            <w:tcBorders>
              <w:top w:val="nil"/>
              <w:left w:val="nil"/>
              <w:bottom w:val="nil"/>
              <w:right w:val="nil"/>
            </w:tcBorders>
            <w:shd w:val="clear" w:color="auto" w:fill="auto"/>
            <w:noWrap/>
            <w:vAlign w:val="bottom"/>
            <w:hideMark/>
          </w:tcPr>
          <w:p w14:paraId="6B164B04" w14:textId="77777777" w:rsidR="007E3DBA" w:rsidRPr="000621D5" w:rsidRDefault="007E3DBA" w:rsidP="00730717">
            <w:pPr>
              <w:spacing w:before="0" w:line="240" w:lineRule="auto"/>
              <w:jc w:val="right"/>
              <w:rPr>
                <w:rFonts w:cs="Calibri"/>
                <w:color w:val="000000"/>
                <w:sz w:val="16"/>
                <w:szCs w:val="16"/>
                <w:lang w:eastAsia="en-GB"/>
              </w:rPr>
            </w:pPr>
            <w:r>
              <w:rPr>
                <w:rFonts w:cs="Calibri"/>
                <w:color w:val="000000"/>
                <w:sz w:val="16"/>
                <w:szCs w:val="16"/>
                <w:lang w:eastAsia="en-GB"/>
              </w:rPr>
              <w:t>Oes</w:t>
            </w:r>
            <w:r w:rsidRPr="000621D5">
              <w:rPr>
                <w:rFonts w:cs="Calibri"/>
                <w:color w:val="000000"/>
                <w:sz w:val="16"/>
                <w:szCs w:val="16"/>
                <w:lang w:eastAsia="en-GB"/>
              </w:rPr>
              <w:t>ophagus middle 1/3</w:t>
            </w:r>
          </w:p>
        </w:tc>
        <w:tc>
          <w:tcPr>
            <w:tcW w:w="1786" w:type="dxa"/>
            <w:tcBorders>
              <w:top w:val="nil"/>
              <w:left w:val="nil"/>
              <w:bottom w:val="nil"/>
              <w:right w:val="nil"/>
            </w:tcBorders>
            <w:shd w:val="clear" w:color="auto" w:fill="auto"/>
            <w:noWrap/>
            <w:vAlign w:val="bottom"/>
            <w:hideMark/>
          </w:tcPr>
          <w:p w14:paraId="5148C519"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176 (4.3) </w:t>
            </w:r>
          </w:p>
        </w:tc>
        <w:tc>
          <w:tcPr>
            <w:tcW w:w="1823" w:type="dxa"/>
            <w:tcBorders>
              <w:top w:val="nil"/>
              <w:left w:val="nil"/>
              <w:bottom w:val="nil"/>
              <w:right w:val="nil"/>
            </w:tcBorders>
            <w:shd w:val="clear" w:color="auto" w:fill="auto"/>
            <w:noWrap/>
            <w:vAlign w:val="bottom"/>
            <w:hideMark/>
          </w:tcPr>
          <w:p w14:paraId="6FBE389B"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108 (4.2) </w:t>
            </w:r>
          </w:p>
        </w:tc>
        <w:tc>
          <w:tcPr>
            <w:tcW w:w="1823" w:type="dxa"/>
            <w:tcBorders>
              <w:top w:val="nil"/>
              <w:left w:val="nil"/>
              <w:bottom w:val="nil"/>
              <w:right w:val="nil"/>
            </w:tcBorders>
            <w:shd w:val="clear" w:color="auto" w:fill="auto"/>
            <w:noWrap/>
            <w:vAlign w:val="bottom"/>
            <w:hideMark/>
          </w:tcPr>
          <w:p w14:paraId="6F8E7B0E"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68 (4.3) </w:t>
            </w:r>
          </w:p>
        </w:tc>
        <w:tc>
          <w:tcPr>
            <w:tcW w:w="965" w:type="dxa"/>
            <w:tcBorders>
              <w:top w:val="nil"/>
              <w:left w:val="nil"/>
              <w:bottom w:val="nil"/>
              <w:right w:val="nil"/>
            </w:tcBorders>
            <w:shd w:val="clear" w:color="auto" w:fill="auto"/>
            <w:noWrap/>
            <w:vAlign w:val="bottom"/>
            <w:hideMark/>
          </w:tcPr>
          <w:p w14:paraId="4813C5E4"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4AA71E5B"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20A71459" w14:textId="77777777" w:rsidR="007E3DBA" w:rsidRPr="000621D5" w:rsidRDefault="007E3DBA" w:rsidP="00730717">
            <w:pPr>
              <w:spacing w:before="0" w:line="240" w:lineRule="auto"/>
              <w:jc w:val="center"/>
              <w:rPr>
                <w:rFonts w:ascii="Times New Roman" w:hAnsi="Times New Roman"/>
                <w:sz w:val="20"/>
                <w:szCs w:val="20"/>
                <w:lang w:eastAsia="en-GB"/>
              </w:rPr>
            </w:pPr>
          </w:p>
        </w:tc>
        <w:tc>
          <w:tcPr>
            <w:tcW w:w="2976" w:type="dxa"/>
            <w:tcBorders>
              <w:top w:val="nil"/>
              <w:left w:val="nil"/>
              <w:bottom w:val="nil"/>
              <w:right w:val="nil"/>
            </w:tcBorders>
            <w:shd w:val="clear" w:color="auto" w:fill="auto"/>
            <w:noWrap/>
            <w:vAlign w:val="bottom"/>
            <w:hideMark/>
          </w:tcPr>
          <w:p w14:paraId="44C45873" w14:textId="77777777" w:rsidR="007E3DBA" w:rsidRPr="000621D5" w:rsidRDefault="007E3DBA" w:rsidP="00730717">
            <w:pPr>
              <w:spacing w:before="0" w:line="240" w:lineRule="auto"/>
              <w:jc w:val="right"/>
              <w:rPr>
                <w:rFonts w:cs="Calibri"/>
                <w:color w:val="000000"/>
                <w:sz w:val="16"/>
                <w:szCs w:val="16"/>
                <w:lang w:eastAsia="en-GB"/>
              </w:rPr>
            </w:pPr>
            <w:r>
              <w:rPr>
                <w:rFonts w:cs="Calibri"/>
                <w:color w:val="000000"/>
                <w:sz w:val="16"/>
                <w:szCs w:val="16"/>
                <w:lang w:eastAsia="en-GB"/>
              </w:rPr>
              <w:t>Oe</w:t>
            </w:r>
            <w:r w:rsidRPr="000621D5">
              <w:rPr>
                <w:rFonts w:cs="Calibri"/>
                <w:color w:val="000000"/>
                <w:sz w:val="16"/>
                <w:szCs w:val="16"/>
                <w:lang w:eastAsia="en-GB"/>
              </w:rPr>
              <w:t xml:space="preserve">sophagus lower 1/3 </w:t>
            </w:r>
          </w:p>
        </w:tc>
        <w:tc>
          <w:tcPr>
            <w:tcW w:w="1786" w:type="dxa"/>
            <w:tcBorders>
              <w:top w:val="nil"/>
              <w:left w:val="nil"/>
              <w:bottom w:val="nil"/>
              <w:right w:val="nil"/>
            </w:tcBorders>
            <w:shd w:val="clear" w:color="auto" w:fill="auto"/>
            <w:noWrap/>
            <w:vAlign w:val="bottom"/>
            <w:hideMark/>
          </w:tcPr>
          <w:p w14:paraId="3B81FD82"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1781 (43.0) </w:t>
            </w:r>
          </w:p>
        </w:tc>
        <w:tc>
          <w:tcPr>
            <w:tcW w:w="1823" w:type="dxa"/>
            <w:tcBorders>
              <w:top w:val="nil"/>
              <w:left w:val="nil"/>
              <w:bottom w:val="nil"/>
              <w:right w:val="nil"/>
            </w:tcBorders>
            <w:shd w:val="clear" w:color="auto" w:fill="auto"/>
            <w:noWrap/>
            <w:vAlign w:val="bottom"/>
            <w:hideMark/>
          </w:tcPr>
          <w:p w14:paraId="04E733E1"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1109 (43.6) </w:t>
            </w:r>
          </w:p>
        </w:tc>
        <w:tc>
          <w:tcPr>
            <w:tcW w:w="1823" w:type="dxa"/>
            <w:tcBorders>
              <w:top w:val="nil"/>
              <w:left w:val="nil"/>
              <w:bottom w:val="nil"/>
              <w:right w:val="nil"/>
            </w:tcBorders>
            <w:shd w:val="clear" w:color="auto" w:fill="auto"/>
            <w:noWrap/>
            <w:vAlign w:val="bottom"/>
            <w:hideMark/>
          </w:tcPr>
          <w:p w14:paraId="34BDF570"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672 (42.2) </w:t>
            </w:r>
          </w:p>
        </w:tc>
        <w:tc>
          <w:tcPr>
            <w:tcW w:w="965" w:type="dxa"/>
            <w:tcBorders>
              <w:top w:val="nil"/>
              <w:left w:val="nil"/>
              <w:bottom w:val="nil"/>
              <w:right w:val="nil"/>
            </w:tcBorders>
            <w:shd w:val="clear" w:color="auto" w:fill="auto"/>
            <w:noWrap/>
            <w:vAlign w:val="bottom"/>
            <w:hideMark/>
          </w:tcPr>
          <w:p w14:paraId="767D9417"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0D3979D9"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08446766" w14:textId="77777777" w:rsidR="007E3DBA" w:rsidRPr="000621D5" w:rsidRDefault="007E3DBA" w:rsidP="00730717">
            <w:pPr>
              <w:spacing w:before="0" w:line="240" w:lineRule="auto"/>
              <w:jc w:val="center"/>
              <w:rPr>
                <w:rFonts w:ascii="Times New Roman" w:hAnsi="Times New Roman"/>
                <w:sz w:val="20"/>
                <w:szCs w:val="20"/>
                <w:lang w:eastAsia="en-GB"/>
              </w:rPr>
            </w:pPr>
          </w:p>
        </w:tc>
        <w:tc>
          <w:tcPr>
            <w:tcW w:w="2976" w:type="dxa"/>
            <w:tcBorders>
              <w:top w:val="nil"/>
              <w:left w:val="nil"/>
              <w:bottom w:val="nil"/>
              <w:right w:val="nil"/>
            </w:tcBorders>
            <w:shd w:val="clear" w:color="auto" w:fill="auto"/>
            <w:noWrap/>
            <w:vAlign w:val="bottom"/>
            <w:hideMark/>
          </w:tcPr>
          <w:p w14:paraId="433F5B78"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G</w:t>
            </w:r>
            <w:r>
              <w:rPr>
                <w:rFonts w:cs="Calibri"/>
                <w:color w:val="000000"/>
                <w:sz w:val="16"/>
                <w:szCs w:val="16"/>
                <w:lang w:eastAsia="en-GB"/>
              </w:rPr>
              <w:t>O</w:t>
            </w:r>
            <w:r w:rsidRPr="000621D5">
              <w:rPr>
                <w:rFonts w:cs="Calibri"/>
                <w:color w:val="000000"/>
                <w:sz w:val="16"/>
                <w:szCs w:val="16"/>
                <w:lang w:eastAsia="en-GB"/>
              </w:rPr>
              <w:t>J Siewert I</w:t>
            </w:r>
          </w:p>
        </w:tc>
        <w:tc>
          <w:tcPr>
            <w:tcW w:w="1786" w:type="dxa"/>
            <w:tcBorders>
              <w:top w:val="nil"/>
              <w:left w:val="nil"/>
              <w:bottom w:val="nil"/>
              <w:right w:val="nil"/>
            </w:tcBorders>
            <w:shd w:val="clear" w:color="auto" w:fill="auto"/>
            <w:noWrap/>
            <w:vAlign w:val="bottom"/>
            <w:hideMark/>
          </w:tcPr>
          <w:p w14:paraId="70A4D2E6"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413 (10.0) </w:t>
            </w:r>
          </w:p>
        </w:tc>
        <w:tc>
          <w:tcPr>
            <w:tcW w:w="1823" w:type="dxa"/>
            <w:tcBorders>
              <w:top w:val="nil"/>
              <w:left w:val="nil"/>
              <w:bottom w:val="nil"/>
              <w:right w:val="nil"/>
            </w:tcBorders>
            <w:shd w:val="clear" w:color="auto" w:fill="auto"/>
            <w:noWrap/>
            <w:vAlign w:val="bottom"/>
            <w:hideMark/>
          </w:tcPr>
          <w:p w14:paraId="7E3BA641"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271 (10.6) </w:t>
            </w:r>
          </w:p>
        </w:tc>
        <w:tc>
          <w:tcPr>
            <w:tcW w:w="1823" w:type="dxa"/>
            <w:tcBorders>
              <w:top w:val="nil"/>
              <w:left w:val="nil"/>
              <w:bottom w:val="nil"/>
              <w:right w:val="nil"/>
            </w:tcBorders>
            <w:shd w:val="clear" w:color="auto" w:fill="auto"/>
            <w:noWrap/>
            <w:vAlign w:val="bottom"/>
            <w:hideMark/>
          </w:tcPr>
          <w:p w14:paraId="5166109C"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142 (8.9) </w:t>
            </w:r>
          </w:p>
        </w:tc>
        <w:tc>
          <w:tcPr>
            <w:tcW w:w="965" w:type="dxa"/>
            <w:tcBorders>
              <w:top w:val="nil"/>
              <w:left w:val="nil"/>
              <w:bottom w:val="nil"/>
              <w:right w:val="nil"/>
            </w:tcBorders>
            <w:shd w:val="clear" w:color="auto" w:fill="auto"/>
            <w:noWrap/>
            <w:vAlign w:val="bottom"/>
            <w:hideMark/>
          </w:tcPr>
          <w:p w14:paraId="53981A65"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7B0135F3"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7104358C" w14:textId="77777777" w:rsidR="007E3DBA" w:rsidRPr="000621D5" w:rsidRDefault="007E3DBA" w:rsidP="00730717">
            <w:pPr>
              <w:spacing w:before="0" w:line="240" w:lineRule="auto"/>
              <w:jc w:val="center"/>
              <w:rPr>
                <w:rFonts w:ascii="Times New Roman" w:hAnsi="Times New Roman"/>
                <w:sz w:val="20"/>
                <w:szCs w:val="20"/>
                <w:lang w:eastAsia="en-GB"/>
              </w:rPr>
            </w:pPr>
          </w:p>
        </w:tc>
        <w:tc>
          <w:tcPr>
            <w:tcW w:w="2976" w:type="dxa"/>
            <w:tcBorders>
              <w:top w:val="nil"/>
              <w:left w:val="nil"/>
              <w:bottom w:val="nil"/>
              <w:right w:val="nil"/>
            </w:tcBorders>
            <w:shd w:val="clear" w:color="auto" w:fill="auto"/>
            <w:noWrap/>
            <w:vAlign w:val="bottom"/>
            <w:hideMark/>
          </w:tcPr>
          <w:p w14:paraId="49873325"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G</w:t>
            </w:r>
            <w:r>
              <w:rPr>
                <w:rFonts w:cs="Calibri"/>
                <w:color w:val="000000"/>
                <w:sz w:val="16"/>
                <w:szCs w:val="16"/>
                <w:lang w:eastAsia="en-GB"/>
              </w:rPr>
              <w:t>O</w:t>
            </w:r>
            <w:r w:rsidRPr="000621D5">
              <w:rPr>
                <w:rFonts w:cs="Calibri"/>
                <w:color w:val="000000"/>
                <w:sz w:val="16"/>
                <w:szCs w:val="16"/>
                <w:lang w:eastAsia="en-GB"/>
              </w:rPr>
              <w:t>J Siewert II</w:t>
            </w:r>
          </w:p>
        </w:tc>
        <w:tc>
          <w:tcPr>
            <w:tcW w:w="1786" w:type="dxa"/>
            <w:tcBorders>
              <w:top w:val="nil"/>
              <w:left w:val="nil"/>
              <w:bottom w:val="nil"/>
              <w:right w:val="nil"/>
            </w:tcBorders>
            <w:shd w:val="clear" w:color="auto" w:fill="auto"/>
            <w:noWrap/>
            <w:vAlign w:val="bottom"/>
            <w:hideMark/>
          </w:tcPr>
          <w:p w14:paraId="62C1F2DF"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439 (10.6) </w:t>
            </w:r>
          </w:p>
        </w:tc>
        <w:tc>
          <w:tcPr>
            <w:tcW w:w="1823" w:type="dxa"/>
            <w:tcBorders>
              <w:top w:val="nil"/>
              <w:left w:val="nil"/>
              <w:bottom w:val="nil"/>
              <w:right w:val="nil"/>
            </w:tcBorders>
            <w:shd w:val="clear" w:color="auto" w:fill="auto"/>
            <w:noWrap/>
            <w:vAlign w:val="bottom"/>
            <w:hideMark/>
          </w:tcPr>
          <w:p w14:paraId="458F4C73"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268 (10.5) </w:t>
            </w:r>
          </w:p>
        </w:tc>
        <w:tc>
          <w:tcPr>
            <w:tcW w:w="1823" w:type="dxa"/>
            <w:tcBorders>
              <w:top w:val="nil"/>
              <w:left w:val="nil"/>
              <w:bottom w:val="nil"/>
              <w:right w:val="nil"/>
            </w:tcBorders>
            <w:shd w:val="clear" w:color="auto" w:fill="auto"/>
            <w:noWrap/>
            <w:vAlign w:val="bottom"/>
            <w:hideMark/>
          </w:tcPr>
          <w:p w14:paraId="25749FC9"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171 (10.7) </w:t>
            </w:r>
          </w:p>
        </w:tc>
        <w:tc>
          <w:tcPr>
            <w:tcW w:w="965" w:type="dxa"/>
            <w:tcBorders>
              <w:top w:val="nil"/>
              <w:left w:val="nil"/>
              <w:bottom w:val="nil"/>
              <w:right w:val="nil"/>
            </w:tcBorders>
            <w:shd w:val="clear" w:color="auto" w:fill="auto"/>
            <w:noWrap/>
            <w:vAlign w:val="bottom"/>
            <w:hideMark/>
          </w:tcPr>
          <w:p w14:paraId="0622AADB"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08EE22DD"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787F936D" w14:textId="77777777" w:rsidR="007E3DBA" w:rsidRPr="000621D5" w:rsidRDefault="007E3DBA" w:rsidP="00730717">
            <w:pPr>
              <w:spacing w:before="0" w:line="240" w:lineRule="auto"/>
              <w:jc w:val="center"/>
              <w:rPr>
                <w:rFonts w:ascii="Times New Roman" w:hAnsi="Times New Roman"/>
                <w:sz w:val="20"/>
                <w:szCs w:val="20"/>
                <w:lang w:eastAsia="en-GB"/>
              </w:rPr>
            </w:pPr>
          </w:p>
        </w:tc>
        <w:tc>
          <w:tcPr>
            <w:tcW w:w="2976" w:type="dxa"/>
            <w:tcBorders>
              <w:top w:val="nil"/>
              <w:left w:val="nil"/>
              <w:bottom w:val="nil"/>
              <w:right w:val="nil"/>
            </w:tcBorders>
            <w:shd w:val="clear" w:color="auto" w:fill="auto"/>
            <w:noWrap/>
            <w:vAlign w:val="bottom"/>
            <w:hideMark/>
          </w:tcPr>
          <w:p w14:paraId="5147A905"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G</w:t>
            </w:r>
            <w:r>
              <w:rPr>
                <w:rFonts w:cs="Calibri"/>
                <w:color w:val="000000"/>
                <w:sz w:val="16"/>
                <w:szCs w:val="16"/>
                <w:lang w:eastAsia="en-GB"/>
              </w:rPr>
              <w:t>O</w:t>
            </w:r>
            <w:r w:rsidRPr="000621D5">
              <w:rPr>
                <w:rFonts w:cs="Calibri"/>
                <w:color w:val="000000"/>
                <w:sz w:val="16"/>
                <w:szCs w:val="16"/>
                <w:lang w:eastAsia="en-GB"/>
              </w:rPr>
              <w:t>J Siewert III</w:t>
            </w:r>
          </w:p>
        </w:tc>
        <w:tc>
          <w:tcPr>
            <w:tcW w:w="1786" w:type="dxa"/>
            <w:tcBorders>
              <w:top w:val="nil"/>
              <w:left w:val="nil"/>
              <w:bottom w:val="nil"/>
              <w:right w:val="nil"/>
            </w:tcBorders>
            <w:shd w:val="clear" w:color="auto" w:fill="auto"/>
            <w:noWrap/>
            <w:vAlign w:val="bottom"/>
            <w:hideMark/>
          </w:tcPr>
          <w:p w14:paraId="452BF85D"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356 (8.6) </w:t>
            </w:r>
          </w:p>
        </w:tc>
        <w:tc>
          <w:tcPr>
            <w:tcW w:w="1823" w:type="dxa"/>
            <w:tcBorders>
              <w:top w:val="nil"/>
              <w:left w:val="nil"/>
              <w:bottom w:val="nil"/>
              <w:right w:val="nil"/>
            </w:tcBorders>
            <w:shd w:val="clear" w:color="auto" w:fill="auto"/>
            <w:noWrap/>
            <w:vAlign w:val="bottom"/>
            <w:hideMark/>
          </w:tcPr>
          <w:p w14:paraId="42E3CF91"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232 (9.1) </w:t>
            </w:r>
          </w:p>
        </w:tc>
        <w:tc>
          <w:tcPr>
            <w:tcW w:w="1823" w:type="dxa"/>
            <w:tcBorders>
              <w:top w:val="nil"/>
              <w:left w:val="nil"/>
              <w:bottom w:val="nil"/>
              <w:right w:val="nil"/>
            </w:tcBorders>
            <w:shd w:val="clear" w:color="auto" w:fill="auto"/>
            <w:noWrap/>
            <w:vAlign w:val="bottom"/>
            <w:hideMark/>
          </w:tcPr>
          <w:p w14:paraId="389EC7F7"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124 (7.8) </w:t>
            </w:r>
          </w:p>
        </w:tc>
        <w:tc>
          <w:tcPr>
            <w:tcW w:w="965" w:type="dxa"/>
            <w:tcBorders>
              <w:top w:val="nil"/>
              <w:left w:val="nil"/>
              <w:bottom w:val="nil"/>
              <w:right w:val="nil"/>
            </w:tcBorders>
            <w:shd w:val="clear" w:color="auto" w:fill="auto"/>
            <w:noWrap/>
            <w:vAlign w:val="bottom"/>
            <w:hideMark/>
          </w:tcPr>
          <w:p w14:paraId="3E6A23D9"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0AF4AABA"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32BC2265" w14:textId="77777777" w:rsidR="007E3DBA" w:rsidRPr="000621D5" w:rsidRDefault="007E3DBA" w:rsidP="00730717">
            <w:pPr>
              <w:spacing w:before="0" w:line="240" w:lineRule="auto"/>
              <w:jc w:val="center"/>
              <w:rPr>
                <w:rFonts w:ascii="Times New Roman" w:hAnsi="Times New Roman"/>
                <w:sz w:val="20"/>
                <w:szCs w:val="20"/>
                <w:lang w:eastAsia="en-GB"/>
              </w:rPr>
            </w:pPr>
          </w:p>
        </w:tc>
        <w:tc>
          <w:tcPr>
            <w:tcW w:w="2976" w:type="dxa"/>
            <w:tcBorders>
              <w:top w:val="nil"/>
              <w:left w:val="nil"/>
              <w:bottom w:val="nil"/>
              <w:right w:val="nil"/>
            </w:tcBorders>
            <w:shd w:val="clear" w:color="auto" w:fill="auto"/>
            <w:noWrap/>
            <w:vAlign w:val="bottom"/>
            <w:hideMark/>
          </w:tcPr>
          <w:p w14:paraId="768059AD"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Gastric Fundus</w:t>
            </w:r>
          </w:p>
        </w:tc>
        <w:tc>
          <w:tcPr>
            <w:tcW w:w="1786" w:type="dxa"/>
            <w:tcBorders>
              <w:top w:val="nil"/>
              <w:left w:val="nil"/>
              <w:bottom w:val="nil"/>
              <w:right w:val="nil"/>
            </w:tcBorders>
            <w:shd w:val="clear" w:color="auto" w:fill="auto"/>
            <w:noWrap/>
            <w:vAlign w:val="bottom"/>
            <w:hideMark/>
          </w:tcPr>
          <w:p w14:paraId="34FD2BA6"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93 (2.2) </w:t>
            </w:r>
          </w:p>
        </w:tc>
        <w:tc>
          <w:tcPr>
            <w:tcW w:w="1823" w:type="dxa"/>
            <w:tcBorders>
              <w:top w:val="nil"/>
              <w:left w:val="nil"/>
              <w:bottom w:val="nil"/>
              <w:right w:val="nil"/>
            </w:tcBorders>
            <w:shd w:val="clear" w:color="auto" w:fill="auto"/>
            <w:noWrap/>
            <w:vAlign w:val="bottom"/>
            <w:hideMark/>
          </w:tcPr>
          <w:p w14:paraId="6F80450F"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58 (2.3) </w:t>
            </w:r>
          </w:p>
        </w:tc>
        <w:tc>
          <w:tcPr>
            <w:tcW w:w="1823" w:type="dxa"/>
            <w:tcBorders>
              <w:top w:val="nil"/>
              <w:left w:val="nil"/>
              <w:bottom w:val="nil"/>
              <w:right w:val="nil"/>
            </w:tcBorders>
            <w:shd w:val="clear" w:color="auto" w:fill="auto"/>
            <w:noWrap/>
            <w:vAlign w:val="bottom"/>
            <w:hideMark/>
          </w:tcPr>
          <w:p w14:paraId="26E654C6"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35 (2.2) </w:t>
            </w:r>
          </w:p>
        </w:tc>
        <w:tc>
          <w:tcPr>
            <w:tcW w:w="965" w:type="dxa"/>
            <w:tcBorders>
              <w:top w:val="nil"/>
              <w:left w:val="nil"/>
              <w:bottom w:val="nil"/>
              <w:right w:val="nil"/>
            </w:tcBorders>
            <w:shd w:val="clear" w:color="auto" w:fill="auto"/>
            <w:noWrap/>
            <w:vAlign w:val="bottom"/>
            <w:hideMark/>
          </w:tcPr>
          <w:p w14:paraId="6D4F0160"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6B001845"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674655F1" w14:textId="77777777" w:rsidR="007E3DBA" w:rsidRPr="000621D5" w:rsidRDefault="007E3DBA" w:rsidP="00730717">
            <w:pPr>
              <w:spacing w:before="0" w:line="240" w:lineRule="auto"/>
              <w:jc w:val="center"/>
              <w:rPr>
                <w:rFonts w:ascii="Times New Roman" w:hAnsi="Times New Roman"/>
                <w:sz w:val="20"/>
                <w:szCs w:val="20"/>
                <w:lang w:eastAsia="en-GB"/>
              </w:rPr>
            </w:pPr>
          </w:p>
        </w:tc>
        <w:tc>
          <w:tcPr>
            <w:tcW w:w="2976" w:type="dxa"/>
            <w:tcBorders>
              <w:top w:val="nil"/>
              <w:left w:val="nil"/>
              <w:bottom w:val="nil"/>
              <w:right w:val="nil"/>
            </w:tcBorders>
            <w:shd w:val="clear" w:color="auto" w:fill="auto"/>
            <w:noWrap/>
            <w:vAlign w:val="bottom"/>
            <w:hideMark/>
          </w:tcPr>
          <w:p w14:paraId="105BFD7C"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Gastric Body</w:t>
            </w:r>
          </w:p>
        </w:tc>
        <w:tc>
          <w:tcPr>
            <w:tcW w:w="1786" w:type="dxa"/>
            <w:tcBorders>
              <w:top w:val="nil"/>
              <w:left w:val="nil"/>
              <w:bottom w:val="nil"/>
              <w:right w:val="nil"/>
            </w:tcBorders>
            <w:shd w:val="clear" w:color="auto" w:fill="auto"/>
            <w:noWrap/>
            <w:vAlign w:val="bottom"/>
            <w:hideMark/>
          </w:tcPr>
          <w:p w14:paraId="341825FC"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515 (12.4) </w:t>
            </w:r>
          </w:p>
        </w:tc>
        <w:tc>
          <w:tcPr>
            <w:tcW w:w="1823" w:type="dxa"/>
            <w:tcBorders>
              <w:top w:val="nil"/>
              <w:left w:val="nil"/>
              <w:bottom w:val="nil"/>
              <w:right w:val="nil"/>
            </w:tcBorders>
            <w:shd w:val="clear" w:color="auto" w:fill="auto"/>
            <w:noWrap/>
            <w:vAlign w:val="bottom"/>
            <w:hideMark/>
          </w:tcPr>
          <w:p w14:paraId="1D760745"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305 (12.0) </w:t>
            </w:r>
          </w:p>
        </w:tc>
        <w:tc>
          <w:tcPr>
            <w:tcW w:w="1823" w:type="dxa"/>
            <w:tcBorders>
              <w:top w:val="nil"/>
              <w:left w:val="nil"/>
              <w:bottom w:val="nil"/>
              <w:right w:val="nil"/>
            </w:tcBorders>
            <w:shd w:val="clear" w:color="auto" w:fill="auto"/>
            <w:noWrap/>
            <w:vAlign w:val="bottom"/>
            <w:hideMark/>
          </w:tcPr>
          <w:p w14:paraId="5401A9EC"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210 (13.2) </w:t>
            </w:r>
          </w:p>
        </w:tc>
        <w:tc>
          <w:tcPr>
            <w:tcW w:w="965" w:type="dxa"/>
            <w:tcBorders>
              <w:top w:val="nil"/>
              <w:left w:val="nil"/>
              <w:bottom w:val="nil"/>
              <w:right w:val="nil"/>
            </w:tcBorders>
            <w:shd w:val="clear" w:color="auto" w:fill="auto"/>
            <w:noWrap/>
            <w:vAlign w:val="bottom"/>
            <w:hideMark/>
          </w:tcPr>
          <w:p w14:paraId="5EE0A3FD"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4C11FA3A"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7DAFF677" w14:textId="77777777" w:rsidR="007E3DBA" w:rsidRPr="000621D5" w:rsidRDefault="007E3DBA" w:rsidP="00730717">
            <w:pPr>
              <w:spacing w:before="0" w:line="240" w:lineRule="auto"/>
              <w:jc w:val="center"/>
              <w:rPr>
                <w:rFonts w:ascii="Times New Roman" w:hAnsi="Times New Roman"/>
                <w:sz w:val="20"/>
                <w:szCs w:val="20"/>
                <w:lang w:eastAsia="en-GB"/>
              </w:rPr>
            </w:pPr>
          </w:p>
        </w:tc>
        <w:tc>
          <w:tcPr>
            <w:tcW w:w="2976" w:type="dxa"/>
            <w:tcBorders>
              <w:top w:val="nil"/>
              <w:left w:val="nil"/>
              <w:bottom w:val="nil"/>
              <w:right w:val="nil"/>
            </w:tcBorders>
            <w:shd w:val="clear" w:color="auto" w:fill="auto"/>
            <w:noWrap/>
            <w:vAlign w:val="bottom"/>
            <w:hideMark/>
          </w:tcPr>
          <w:p w14:paraId="628F268B"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Gastric Antrum</w:t>
            </w:r>
          </w:p>
        </w:tc>
        <w:tc>
          <w:tcPr>
            <w:tcW w:w="1786" w:type="dxa"/>
            <w:tcBorders>
              <w:top w:val="nil"/>
              <w:left w:val="nil"/>
              <w:bottom w:val="nil"/>
              <w:right w:val="nil"/>
            </w:tcBorders>
            <w:shd w:val="clear" w:color="auto" w:fill="auto"/>
            <w:noWrap/>
            <w:vAlign w:val="bottom"/>
            <w:hideMark/>
          </w:tcPr>
          <w:p w14:paraId="28C69151"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232 (5.6) </w:t>
            </w:r>
          </w:p>
        </w:tc>
        <w:tc>
          <w:tcPr>
            <w:tcW w:w="1823" w:type="dxa"/>
            <w:tcBorders>
              <w:top w:val="nil"/>
              <w:left w:val="nil"/>
              <w:bottom w:val="nil"/>
              <w:right w:val="nil"/>
            </w:tcBorders>
            <w:shd w:val="clear" w:color="auto" w:fill="auto"/>
            <w:noWrap/>
            <w:vAlign w:val="bottom"/>
            <w:hideMark/>
          </w:tcPr>
          <w:p w14:paraId="64C19CB3"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117 (4.6) </w:t>
            </w:r>
          </w:p>
        </w:tc>
        <w:tc>
          <w:tcPr>
            <w:tcW w:w="1823" w:type="dxa"/>
            <w:tcBorders>
              <w:top w:val="nil"/>
              <w:left w:val="nil"/>
              <w:bottom w:val="nil"/>
              <w:right w:val="nil"/>
            </w:tcBorders>
            <w:shd w:val="clear" w:color="auto" w:fill="auto"/>
            <w:noWrap/>
            <w:vAlign w:val="bottom"/>
            <w:hideMark/>
          </w:tcPr>
          <w:p w14:paraId="72A57BC8"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115 (7.2) </w:t>
            </w:r>
          </w:p>
        </w:tc>
        <w:tc>
          <w:tcPr>
            <w:tcW w:w="965" w:type="dxa"/>
            <w:tcBorders>
              <w:top w:val="nil"/>
              <w:left w:val="nil"/>
              <w:bottom w:val="nil"/>
              <w:right w:val="nil"/>
            </w:tcBorders>
            <w:shd w:val="clear" w:color="auto" w:fill="auto"/>
            <w:noWrap/>
            <w:vAlign w:val="bottom"/>
            <w:hideMark/>
          </w:tcPr>
          <w:p w14:paraId="518A920E"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70092881"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68B9666C" w14:textId="77777777" w:rsidR="007E3DBA" w:rsidRPr="000621D5" w:rsidRDefault="007E3DBA" w:rsidP="00730717">
            <w:pPr>
              <w:spacing w:before="0" w:line="240" w:lineRule="auto"/>
              <w:jc w:val="center"/>
              <w:rPr>
                <w:rFonts w:ascii="Times New Roman" w:hAnsi="Times New Roman"/>
                <w:sz w:val="20"/>
                <w:szCs w:val="20"/>
                <w:lang w:eastAsia="en-GB"/>
              </w:rPr>
            </w:pPr>
          </w:p>
        </w:tc>
        <w:tc>
          <w:tcPr>
            <w:tcW w:w="2976" w:type="dxa"/>
            <w:tcBorders>
              <w:top w:val="nil"/>
              <w:left w:val="nil"/>
              <w:bottom w:val="nil"/>
              <w:right w:val="nil"/>
            </w:tcBorders>
            <w:shd w:val="clear" w:color="auto" w:fill="auto"/>
            <w:noWrap/>
            <w:vAlign w:val="bottom"/>
            <w:hideMark/>
          </w:tcPr>
          <w:p w14:paraId="2B9B37E5"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Py</w:t>
            </w:r>
            <w:r>
              <w:rPr>
                <w:rFonts w:cs="Calibri"/>
                <w:color w:val="000000"/>
                <w:sz w:val="16"/>
                <w:szCs w:val="16"/>
                <w:lang w:eastAsia="en-GB"/>
              </w:rPr>
              <w:t>l</w:t>
            </w:r>
            <w:r w:rsidRPr="000621D5">
              <w:rPr>
                <w:rFonts w:cs="Calibri"/>
                <w:color w:val="000000"/>
                <w:sz w:val="16"/>
                <w:szCs w:val="16"/>
                <w:lang w:eastAsia="en-GB"/>
              </w:rPr>
              <w:t>orus</w:t>
            </w:r>
          </w:p>
        </w:tc>
        <w:tc>
          <w:tcPr>
            <w:tcW w:w="1786" w:type="dxa"/>
            <w:tcBorders>
              <w:top w:val="nil"/>
              <w:left w:val="nil"/>
              <w:bottom w:val="nil"/>
              <w:right w:val="nil"/>
            </w:tcBorders>
            <w:shd w:val="clear" w:color="auto" w:fill="auto"/>
            <w:noWrap/>
            <w:vAlign w:val="bottom"/>
            <w:hideMark/>
          </w:tcPr>
          <w:p w14:paraId="7CBC0CED"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106 (2.6) </w:t>
            </w:r>
          </w:p>
        </w:tc>
        <w:tc>
          <w:tcPr>
            <w:tcW w:w="1823" w:type="dxa"/>
            <w:tcBorders>
              <w:top w:val="nil"/>
              <w:left w:val="nil"/>
              <w:bottom w:val="nil"/>
              <w:right w:val="nil"/>
            </w:tcBorders>
            <w:shd w:val="clear" w:color="auto" w:fill="auto"/>
            <w:noWrap/>
            <w:vAlign w:val="bottom"/>
            <w:hideMark/>
          </w:tcPr>
          <w:p w14:paraId="5548DDE7"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60 (2.4) </w:t>
            </w:r>
          </w:p>
        </w:tc>
        <w:tc>
          <w:tcPr>
            <w:tcW w:w="1823" w:type="dxa"/>
            <w:tcBorders>
              <w:top w:val="nil"/>
              <w:left w:val="nil"/>
              <w:bottom w:val="nil"/>
              <w:right w:val="nil"/>
            </w:tcBorders>
            <w:shd w:val="clear" w:color="auto" w:fill="auto"/>
            <w:noWrap/>
            <w:vAlign w:val="bottom"/>
            <w:hideMark/>
          </w:tcPr>
          <w:p w14:paraId="6775BFDB"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46 (2.9) </w:t>
            </w:r>
          </w:p>
        </w:tc>
        <w:tc>
          <w:tcPr>
            <w:tcW w:w="965" w:type="dxa"/>
            <w:tcBorders>
              <w:top w:val="nil"/>
              <w:left w:val="nil"/>
              <w:bottom w:val="nil"/>
              <w:right w:val="nil"/>
            </w:tcBorders>
            <w:shd w:val="clear" w:color="auto" w:fill="auto"/>
            <w:noWrap/>
            <w:vAlign w:val="bottom"/>
            <w:hideMark/>
          </w:tcPr>
          <w:p w14:paraId="2B4E25B4"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68DF7796"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2A63CCF5" w14:textId="77777777" w:rsidR="007E3DBA" w:rsidRPr="000621D5" w:rsidRDefault="007E3DBA" w:rsidP="00730717">
            <w:pPr>
              <w:spacing w:before="0" w:line="240" w:lineRule="auto"/>
              <w:rPr>
                <w:rFonts w:cs="Calibri"/>
                <w:color w:val="000000"/>
                <w:sz w:val="16"/>
                <w:szCs w:val="16"/>
                <w:lang w:eastAsia="en-GB"/>
              </w:rPr>
            </w:pPr>
            <w:r w:rsidRPr="000621D5">
              <w:rPr>
                <w:rFonts w:cs="Calibri"/>
                <w:color w:val="000000"/>
                <w:sz w:val="16"/>
                <w:szCs w:val="16"/>
                <w:lang w:eastAsia="en-GB"/>
              </w:rPr>
              <w:t>Procedure</w:t>
            </w:r>
          </w:p>
        </w:tc>
        <w:tc>
          <w:tcPr>
            <w:tcW w:w="2976" w:type="dxa"/>
            <w:tcBorders>
              <w:top w:val="nil"/>
              <w:left w:val="nil"/>
              <w:bottom w:val="nil"/>
              <w:right w:val="nil"/>
            </w:tcBorders>
            <w:shd w:val="clear" w:color="auto" w:fill="auto"/>
            <w:noWrap/>
            <w:vAlign w:val="bottom"/>
            <w:hideMark/>
          </w:tcPr>
          <w:p w14:paraId="51BAA2A7"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 xml:space="preserve">Left Thoraco-abdominal </w:t>
            </w:r>
            <w:r>
              <w:rPr>
                <w:rFonts w:cs="Calibri"/>
                <w:color w:val="000000"/>
                <w:sz w:val="16"/>
                <w:szCs w:val="16"/>
                <w:lang w:eastAsia="en-GB"/>
              </w:rPr>
              <w:t>o</w:t>
            </w:r>
            <w:r w:rsidRPr="000621D5">
              <w:rPr>
                <w:rFonts w:cs="Calibri"/>
                <w:color w:val="000000"/>
                <w:sz w:val="16"/>
                <w:szCs w:val="16"/>
                <w:lang w:eastAsia="en-GB"/>
              </w:rPr>
              <w:t>esophagectomy</w:t>
            </w:r>
          </w:p>
        </w:tc>
        <w:tc>
          <w:tcPr>
            <w:tcW w:w="1786" w:type="dxa"/>
            <w:tcBorders>
              <w:top w:val="nil"/>
              <w:left w:val="nil"/>
              <w:bottom w:val="nil"/>
              <w:right w:val="nil"/>
            </w:tcBorders>
            <w:shd w:val="clear" w:color="auto" w:fill="auto"/>
            <w:noWrap/>
            <w:vAlign w:val="bottom"/>
            <w:hideMark/>
          </w:tcPr>
          <w:p w14:paraId="7FFEBDBA"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249 (6.0) </w:t>
            </w:r>
          </w:p>
        </w:tc>
        <w:tc>
          <w:tcPr>
            <w:tcW w:w="1823" w:type="dxa"/>
            <w:tcBorders>
              <w:top w:val="nil"/>
              <w:left w:val="nil"/>
              <w:bottom w:val="nil"/>
              <w:right w:val="nil"/>
            </w:tcBorders>
            <w:shd w:val="clear" w:color="auto" w:fill="auto"/>
            <w:noWrap/>
            <w:vAlign w:val="bottom"/>
            <w:hideMark/>
          </w:tcPr>
          <w:p w14:paraId="6AC17956"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158 (6.2) </w:t>
            </w:r>
          </w:p>
        </w:tc>
        <w:tc>
          <w:tcPr>
            <w:tcW w:w="1823" w:type="dxa"/>
            <w:tcBorders>
              <w:top w:val="nil"/>
              <w:left w:val="nil"/>
              <w:bottom w:val="nil"/>
              <w:right w:val="nil"/>
            </w:tcBorders>
            <w:shd w:val="clear" w:color="auto" w:fill="auto"/>
            <w:noWrap/>
            <w:vAlign w:val="bottom"/>
            <w:hideMark/>
          </w:tcPr>
          <w:p w14:paraId="1B58C052"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91 (5.7) </w:t>
            </w:r>
          </w:p>
        </w:tc>
        <w:tc>
          <w:tcPr>
            <w:tcW w:w="965" w:type="dxa"/>
            <w:tcBorders>
              <w:top w:val="nil"/>
              <w:left w:val="nil"/>
              <w:bottom w:val="nil"/>
              <w:right w:val="nil"/>
            </w:tcBorders>
            <w:shd w:val="clear" w:color="auto" w:fill="auto"/>
            <w:noWrap/>
            <w:vAlign w:val="bottom"/>
            <w:hideMark/>
          </w:tcPr>
          <w:p w14:paraId="36D6C8BB"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0.115</w:t>
            </w:r>
          </w:p>
        </w:tc>
      </w:tr>
      <w:tr w:rsidR="007E3DBA" w:rsidRPr="000621D5" w14:paraId="21390427"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5FFBA489" w14:textId="77777777" w:rsidR="007E3DBA" w:rsidRPr="000621D5" w:rsidRDefault="007E3DBA" w:rsidP="00730717">
            <w:pPr>
              <w:spacing w:before="0" w:line="240" w:lineRule="auto"/>
              <w:jc w:val="center"/>
              <w:rPr>
                <w:rFonts w:cs="Calibri"/>
                <w:color w:val="000000"/>
                <w:sz w:val="16"/>
                <w:szCs w:val="16"/>
                <w:lang w:eastAsia="en-GB"/>
              </w:rPr>
            </w:pPr>
          </w:p>
        </w:tc>
        <w:tc>
          <w:tcPr>
            <w:tcW w:w="2976" w:type="dxa"/>
            <w:tcBorders>
              <w:top w:val="nil"/>
              <w:left w:val="nil"/>
              <w:bottom w:val="nil"/>
              <w:right w:val="nil"/>
            </w:tcBorders>
            <w:shd w:val="clear" w:color="auto" w:fill="auto"/>
            <w:noWrap/>
            <w:vAlign w:val="bottom"/>
            <w:hideMark/>
          </w:tcPr>
          <w:p w14:paraId="53E3FCF3"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 xml:space="preserve">Two-Phase </w:t>
            </w:r>
            <w:r>
              <w:rPr>
                <w:rFonts w:cs="Calibri"/>
                <w:color w:val="000000"/>
                <w:sz w:val="16"/>
                <w:szCs w:val="16"/>
                <w:lang w:eastAsia="en-GB"/>
              </w:rPr>
              <w:t>o</w:t>
            </w:r>
            <w:r w:rsidRPr="000621D5">
              <w:rPr>
                <w:rFonts w:cs="Calibri"/>
                <w:color w:val="000000"/>
                <w:sz w:val="16"/>
                <w:szCs w:val="16"/>
                <w:lang w:eastAsia="en-GB"/>
              </w:rPr>
              <w:t>esophagectomy</w:t>
            </w:r>
          </w:p>
        </w:tc>
        <w:tc>
          <w:tcPr>
            <w:tcW w:w="1786" w:type="dxa"/>
            <w:tcBorders>
              <w:top w:val="nil"/>
              <w:left w:val="nil"/>
              <w:bottom w:val="nil"/>
              <w:right w:val="nil"/>
            </w:tcBorders>
            <w:shd w:val="clear" w:color="auto" w:fill="auto"/>
            <w:noWrap/>
            <w:vAlign w:val="bottom"/>
            <w:hideMark/>
          </w:tcPr>
          <w:p w14:paraId="6C6BE6AB"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2439 (58.9) </w:t>
            </w:r>
          </w:p>
        </w:tc>
        <w:tc>
          <w:tcPr>
            <w:tcW w:w="1823" w:type="dxa"/>
            <w:tcBorders>
              <w:top w:val="nil"/>
              <w:left w:val="nil"/>
              <w:bottom w:val="nil"/>
              <w:right w:val="nil"/>
            </w:tcBorders>
            <w:shd w:val="clear" w:color="auto" w:fill="auto"/>
            <w:noWrap/>
            <w:vAlign w:val="bottom"/>
            <w:hideMark/>
          </w:tcPr>
          <w:p w14:paraId="027D19A6"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1520 (59.7) </w:t>
            </w:r>
          </w:p>
        </w:tc>
        <w:tc>
          <w:tcPr>
            <w:tcW w:w="1823" w:type="dxa"/>
            <w:tcBorders>
              <w:top w:val="nil"/>
              <w:left w:val="nil"/>
              <w:bottom w:val="nil"/>
              <w:right w:val="nil"/>
            </w:tcBorders>
            <w:shd w:val="clear" w:color="auto" w:fill="auto"/>
            <w:noWrap/>
            <w:vAlign w:val="bottom"/>
            <w:hideMark/>
          </w:tcPr>
          <w:p w14:paraId="144D9B99"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919 (57.7) </w:t>
            </w:r>
          </w:p>
        </w:tc>
        <w:tc>
          <w:tcPr>
            <w:tcW w:w="965" w:type="dxa"/>
            <w:tcBorders>
              <w:top w:val="nil"/>
              <w:left w:val="nil"/>
              <w:bottom w:val="nil"/>
              <w:right w:val="nil"/>
            </w:tcBorders>
            <w:shd w:val="clear" w:color="auto" w:fill="auto"/>
            <w:noWrap/>
            <w:vAlign w:val="bottom"/>
            <w:hideMark/>
          </w:tcPr>
          <w:p w14:paraId="0056E919"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3C3A7817"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23611C1F" w14:textId="77777777" w:rsidR="007E3DBA" w:rsidRPr="000621D5" w:rsidRDefault="007E3DBA" w:rsidP="00730717">
            <w:pPr>
              <w:spacing w:before="0" w:line="240" w:lineRule="auto"/>
              <w:jc w:val="center"/>
              <w:rPr>
                <w:rFonts w:ascii="Times New Roman" w:hAnsi="Times New Roman"/>
                <w:sz w:val="20"/>
                <w:szCs w:val="20"/>
                <w:lang w:eastAsia="en-GB"/>
              </w:rPr>
            </w:pPr>
          </w:p>
        </w:tc>
        <w:tc>
          <w:tcPr>
            <w:tcW w:w="2976" w:type="dxa"/>
            <w:tcBorders>
              <w:top w:val="nil"/>
              <w:left w:val="nil"/>
              <w:bottom w:val="nil"/>
              <w:right w:val="nil"/>
            </w:tcBorders>
            <w:shd w:val="clear" w:color="auto" w:fill="auto"/>
            <w:noWrap/>
            <w:vAlign w:val="bottom"/>
            <w:hideMark/>
          </w:tcPr>
          <w:p w14:paraId="5F808BDB"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 xml:space="preserve">Three-Phase </w:t>
            </w:r>
            <w:r>
              <w:rPr>
                <w:rFonts w:cs="Calibri"/>
                <w:color w:val="000000"/>
                <w:sz w:val="16"/>
                <w:szCs w:val="16"/>
                <w:lang w:eastAsia="en-GB"/>
              </w:rPr>
              <w:t>oe</w:t>
            </w:r>
            <w:r w:rsidRPr="000621D5">
              <w:rPr>
                <w:rFonts w:cs="Calibri"/>
                <w:color w:val="000000"/>
                <w:sz w:val="16"/>
                <w:szCs w:val="16"/>
                <w:lang w:eastAsia="en-GB"/>
              </w:rPr>
              <w:t>sophagectomy</w:t>
            </w:r>
          </w:p>
        </w:tc>
        <w:tc>
          <w:tcPr>
            <w:tcW w:w="1786" w:type="dxa"/>
            <w:tcBorders>
              <w:top w:val="nil"/>
              <w:left w:val="nil"/>
              <w:bottom w:val="nil"/>
              <w:right w:val="nil"/>
            </w:tcBorders>
            <w:shd w:val="clear" w:color="auto" w:fill="auto"/>
            <w:noWrap/>
            <w:vAlign w:val="bottom"/>
            <w:hideMark/>
          </w:tcPr>
          <w:p w14:paraId="61822C0B"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88 (2.1) </w:t>
            </w:r>
          </w:p>
        </w:tc>
        <w:tc>
          <w:tcPr>
            <w:tcW w:w="1823" w:type="dxa"/>
            <w:tcBorders>
              <w:top w:val="nil"/>
              <w:left w:val="nil"/>
              <w:bottom w:val="nil"/>
              <w:right w:val="nil"/>
            </w:tcBorders>
            <w:shd w:val="clear" w:color="auto" w:fill="auto"/>
            <w:noWrap/>
            <w:vAlign w:val="bottom"/>
            <w:hideMark/>
          </w:tcPr>
          <w:p w14:paraId="59E099E1"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64 (2.5) </w:t>
            </w:r>
          </w:p>
        </w:tc>
        <w:tc>
          <w:tcPr>
            <w:tcW w:w="1823" w:type="dxa"/>
            <w:tcBorders>
              <w:top w:val="nil"/>
              <w:left w:val="nil"/>
              <w:bottom w:val="nil"/>
              <w:right w:val="nil"/>
            </w:tcBorders>
            <w:shd w:val="clear" w:color="auto" w:fill="auto"/>
            <w:noWrap/>
            <w:vAlign w:val="bottom"/>
            <w:hideMark/>
          </w:tcPr>
          <w:p w14:paraId="187C3E8F"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24 (1.5) </w:t>
            </w:r>
          </w:p>
        </w:tc>
        <w:tc>
          <w:tcPr>
            <w:tcW w:w="965" w:type="dxa"/>
            <w:tcBorders>
              <w:top w:val="nil"/>
              <w:left w:val="nil"/>
              <w:bottom w:val="nil"/>
              <w:right w:val="nil"/>
            </w:tcBorders>
            <w:shd w:val="clear" w:color="auto" w:fill="auto"/>
            <w:noWrap/>
            <w:vAlign w:val="bottom"/>
            <w:hideMark/>
          </w:tcPr>
          <w:p w14:paraId="7178A40D"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0F623703"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2A1DDD74" w14:textId="77777777" w:rsidR="007E3DBA" w:rsidRPr="000621D5" w:rsidRDefault="007E3DBA" w:rsidP="00730717">
            <w:pPr>
              <w:spacing w:before="0" w:line="240" w:lineRule="auto"/>
              <w:jc w:val="center"/>
              <w:rPr>
                <w:rFonts w:ascii="Times New Roman" w:hAnsi="Times New Roman"/>
                <w:sz w:val="20"/>
                <w:szCs w:val="20"/>
                <w:lang w:eastAsia="en-GB"/>
              </w:rPr>
            </w:pPr>
          </w:p>
        </w:tc>
        <w:tc>
          <w:tcPr>
            <w:tcW w:w="2976" w:type="dxa"/>
            <w:tcBorders>
              <w:top w:val="nil"/>
              <w:left w:val="nil"/>
              <w:bottom w:val="nil"/>
              <w:right w:val="nil"/>
            </w:tcBorders>
            <w:shd w:val="clear" w:color="auto" w:fill="auto"/>
            <w:noWrap/>
            <w:vAlign w:val="bottom"/>
            <w:hideMark/>
          </w:tcPr>
          <w:p w14:paraId="56C56F79"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 xml:space="preserve">Transhiatal </w:t>
            </w:r>
            <w:r>
              <w:rPr>
                <w:rFonts w:cs="Calibri"/>
                <w:color w:val="000000"/>
                <w:sz w:val="16"/>
                <w:szCs w:val="16"/>
                <w:lang w:eastAsia="en-GB"/>
              </w:rPr>
              <w:t>o</w:t>
            </w:r>
            <w:r w:rsidRPr="000621D5">
              <w:rPr>
                <w:rFonts w:cs="Calibri"/>
                <w:color w:val="000000"/>
                <w:sz w:val="16"/>
                <w:szCs w:val="16"/>
                <w:lang w:eastAsia="en-GB"/>
              </w:rPr>
              <w:t>esophagectomy</w:t>
            </w:r>
          </w:p>
        </w:tc>
        <w:tc>
          <w:tcPr>
            <w:tcW w:w="1786" w:type="dxa"/>
            <w:tcBorders>
              <w:top w:val="nil"/>
              <w:left w:val="nil"/>
              <w:bottom w:val="nil"/>
              <w:right w:val="nil"/>
            </w:tcBorders>
            <w:shd w:val="clear" w:color="auto" w:fill="auto"/>
            <w:noWrap/>
            <w:vAlign w:val="bottom"/>
            <w:hideMark/>
          </w:tcPr>
          <w:p w14:paraId="6F5267F8"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61 (1.5) </w:t>
            </w:r>
          </w:p>
        </w:tc>
        <w:tc>
          <w:tcPr>
            <w:tcW w:w="1823" w:type="dxa"/>
            <w:tcBorders>
              <w:top w:val="nil"/>
              <w:left w:val="nil"/>
              <w:bottom w:val="nil"/>
              <w:right w:val="nil"/>
            </w:tcBorders>
            <w:shd w:val="clear" w:color="auto" w:fill="auto"/>
            <w:noWrap/>
            <w:vAlign w:val="bottom"/>
            <w:hideMark/>
          </w:tcPr>
          <w:p w14:paraId="476B8E54"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37 (1.5) </w:t>
            </w:r>
          </w:p>
        </w:tc>
        <w:tc>
          <w:tcPr>
            <w:tcW w:w="1823" w:type="dxa"/>
            <w:tcBorders>
              <w:top w:val="nil"/>
              <w:left w:val="nil"/>
              <w:bottom w:val="nil"/>
              <w:right w:val="nil"/>
            </w:tcBorders>
            <w:shd w:val="clear" w:color="auto" w:fill="auto"/>
            <w:noWrap/>
            <w:vAlign w:val="bottom"/>
            <w:hideMark/>
          </w:tcPr>
          <w:p w14:paraId="04400276"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24 (1.5) </w:t>
            </w:r>
          </w:p>
        </w:tc>
        <w:tc>
          <w:tcPr>
            <w:tcW w:w="965" w:type="dxa"/>
            <w:tcBorders>
              <w:top w:val="nil"/>
              <w:left w:val="nil"/>
              <w:bottom w:val="nil"/>
              <w:right w:val="nil"/>
            </w:tcBorders>
            <w:shd w:val="clear" w:color="auto" w:fill="auto"/>
            <w:noWrap/>
            <w:vAlign w:val="bottom"/>
            <w:hideMark/>
          </w:tcPr>
          <w:p w14:paraId="26AB2975"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49AAEE76"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45E528D5" w14:textId="77777777" w:rsidR="007E3DBA" w:rsidRPr="000621D5" w:rsidRDefault="007E3DBA" w:rsidP="00730717">
            <w:pPr>
              <w:spacing w:before="0" w:line="240" w:lineRule="auto"/>
              <w:jc w:val="center"/>
              <w:rPr>
                <w:rFonts w:ascii="Times New Roman" w:hAnsi="Times New Roman"/>
                <w:sz w:val="20"/>
                <w:szCs w:val="20"/>
                <w:lang w:eastAsia="en-GB"/>
              </w:rPr>
            </w:pPr>
          </w:p>
        </w:tc>
        <w:tc>
          <w:tcPr>
            <w:tcW w:w="2976" w:type="dxa"/>
            <w:tcBorders>
              <w:top w:val="nil"/>
              <w:left w:val="nil"/>
              <w:bottom w:val="nil"/>
              <w:right w:val="nil"/>
            </w:tcBorders>
            <w:shd w:val="clear" w:color="auto" w:fill="auto"/>
            <w:noWrap/>
            <w:vAlign w:val="bottom"/>
            <w:hideMark/>
          </w:tcPr>
          <w:p w14:paraId="035C5CCF"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Total gastrectomy</w:t>
            </w:r>
          </w:p>
        </w:tc>
        <w:tc>
          <w:tcPr>
            <w:tcW w:w="1786" w:type="dxa"/>
            <w:tcBorders>
              <w:top w:val="nil"/>
              <w:left w:val="nil"/>
              <w:bottom w:val="nil"/>
              <w:right w:val="nil"/>
            </w:tcBorders>
            <w:shd w:val="clear" w:color="auto" w:fill="auto"/>
            <w:noWrap/>
            <w:vAlign w:val="bottom"/>
            <w:hideMark/>
          </w:tcPr>
          <w:p w14:paraId="0961141F"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703 (17.0) </w:t>
            </w:r>
          </w:p>
        </w:tc>
        <w:tc>
          <w:tcPr>
            <w:tcW w:w="1823" w:type="dxa"/>
            <w:tcBorders>
              <w:top w:val="nil"/>
              <w:left w:val="nil"/>
              <w:bottom w:val="nil"/>
              <w:right w:val="nil"/>
            </w:tcBorders>
            <w:shd w:val="clear" w:color="auto" w:fill="auto"/>
            <w:noWrap/>
            <w:vAlign w:val="bottom"/>
            <w:hideMark/>
          </w:tcPr>
          <w:p w14:paraId="6C4D8F19"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426 (16.7) </w:t>
            </w:r>
          </w:p>
        </w:tc>
        <w:tc>
          <w:tcPr>
            <w:tcW w:w="1823" w:type="dxa"/>
            <w:tcBorders>
              <w:top w:val="nil"/>
              <w:left w:val="nil"/>
              <w:bottom w:val="nil"/>
              <w:right w:val="nil"/>
            </w:tcBorders>
            <w:shd w:val="clear" w:color="auto" w:fill="auto"/>
            <w:noWrap/>
            <w:vAlign w:val="bottom"/>
            <w:hideMark/>
          </w:tcPr>
          <w:p w14:paraId="7677A7DE"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277 (17.4) </w:t>
            </w:r>
          </w:p>
        </w:tc>
        <w:tc>
          <w:tcPr>
            <w:tcW w:w="965" w:type="dxa"/>
            <w:tcBorders>
              <w:top w:val="nil"/>
              <w:left w:val="nil"/>
              <w:bottom w:val="nil"/>
              <w:right w:val="nil"/>
            </w:tcBorders>
            <w:shd w:val="clear" w:color="auto" w:fill="auto"/>
            <w:noWrap/>
            <w:vAlign w:val="bottom"/>
            <w:hideMark/>
          </w:tcPr>
          <w:p w14:paraId="676FDE2A"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0C0C20E8"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3D8B12B6" w14:textId="77777777" w:rsidR="007E3DBA" w:rsidRPr="000621D5" w:rsidRDefault="007E3DBA" w:rsidP="00730717">
            <w:pPr>
              <w:spacing w:before="0" w:line="240" w:lineRule="auto"/>
              <w:jc w:val="center"/>
              <w:rPr>
                <w:rFonts w:ascii="Times New Roman" w:hAnsi="Times New Roman"/>
                <w:sz w:val="20"/>
                <w:szCs w:val="20"/>
                <w:lang w:eastAsia="en-GB"/>
              </w:rPr>
            </w:pPr>
          </w:p>
        </w:tc>
        <w:tc>
          <w:tcPr>
            <w:tcW w:w="2976" w:type="dxa"/>
            <w:tcBorders>
              <w:top w:val="nil"/>
              <w:left w:val="nil"/>
              <w:bottom w:val="nil"/>
              <w:right w:val="nil"/>
            </w:tcBorders>
            <w:shd w:val="clear" w:color="auto" w:fill="auto"/>
            <w:noWrap/>
            <w:vAlign w:val="bottom"/>
            <w:hideMark/>
          </w:tcPr>
          <w:p w14:paraId="1B59B4E6"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Extended total gastrectomy</w:t>
            </w:r>
          </w:p>
        </w:tc>
        <w:tc>
          <w:tcPr>
            <w:tcW w:w="1786" w:type="dxa"/>
            <w:tcBorders>
              <w:top w:val="nil"/>
              <w:left w:val="nil"/>
              <w:bottom w:val="nil"/>
              <w:right w:val="nil"/>
            </w:tcBorders>
            <w:shd w:val="clear" w:color="auto" w:fill="auto"/>
            <w:noWrap/>
            <w:vAlign w:val="bottom"/>
            <w:hideMark/>
          </w:tcPr>
          <w:p w14:paraId="5B7D9ACB"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171 (4.1) </w:t>
            </w:r>
          </w:p>
        </w:tc>
        <w:tc>
          <w:tcPr>
            <w:tcW w:w="1823" w:type="dxa"/>
            <w:tcBorders>
              <w:top w:val="nil"/>
              <w:left w:val="nil"/>
              <w:bottom w:val="nil"/>
              <w:right w:val="nil"/>
            </w:tcBorders>
            <w:shd w:val="clear" w:color="auto" w:fill="auto"/>
            <w:noWrap/>
            <w:vAlign w:val="bottom"/>
            <w:hideMark/>
          </w:tcPr>
          <w:p w14:paraId="7CA84345"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100 (3.9) </w:t>
            </w:r>
          </w:p>
        </w:tc>
        <w:tc>
          <w:tcPr>
            <w:tcW w:w="1823" w:type="dxa"/>
            <w:tcBorders>
              <w:top w:val="nil"/>
              <w:left w:val="nil"/>
              <w:bottom w:val="nil"/>
              <w:right w:val="nil"/>
            </w:tcBorders>
            <w:shd w:val="clear" w:color="auto" w:fill="auto"/>
            <w:noWrap/>
            <w:vAlign w:val="bottom"/>
            <w:hideMark/>
          </w:tcPr>
          <w:p w14:paraId="5E29B2FD"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71 (4.5) </w:t>
            </w:r>
          </w:p>
        </w:tc>
        <w:tc>
          <w:tcPr>
            <w:tcW w:w="965" w:type="dxa"/>
            <w:tcBorders>
              <w:top w:val="nil"/>
              <w:left w:val="nil"/>
              <w:bottom w:val="nil"/>
              <w:right w:val="nil"/>
            </w:tcBorders>
            <w:shd w:val="clear" w:color="auto" w:fill="auto"/>
            <w:noWrap/>
            <w:vAlign w:val="bottom"/>
            <w:hideMark/>
          </w:tcPr>
          <w:p w14:paraId="00C476BF"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4DC09E42"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48571B81" w14:textId="77777777" w:rsidR="007E3DBA" w:rsidRPr="000621D5" w:rsidRDefault="007E3DBA" w:rsidP="00730717">
            <w:pPr>
              <w:spacing w:before="0" w:line="240" w:lineRule="auto"/>
              <w:jc w:val="center"/>
              <w:rPr>
                <w:rFonts w:ascii="Times New Roman" w:hAnsi="Times New Roman"/>
                <w:sz w:val="20"/>
                <w:szCs w:val="20"/>
                <w:lang w:eastAsia="en-GB"/>
              </w:rPr>
            </w:pPr>
          </w:p>
        </w:tc>
        <w:tc>
          <w:tcPr>
            <w:tcW w:w="2976" w:type="dxa"/>
            <w:tcBorders>
              <w:top w:val="nil"/>
              <w:left w:val="nil"/>
              <w:bottom w:val="nil"/>
              <w:right w:val="nil"/>
            </w:tcBorders>
            <w:shd w:val="clear" w:color="auto" w:fill="auto"/>
            <w:noWrap/>
            <w:vAlign w:val="bottom"/>
            <w:hideMark/>
          </w:tcPr>
          <w:p w14:paraId="50C7042F"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Proximal gastrectomy</w:t>
            </w:r>
          </w:p>
        </w:tc>
        <w:tc>
          <w:tcPr>
            <w:tcW w:w="1786" w:type="dxa"/>
            <w:tcBorders>
              <w:top w:val="nil"/>
              <w:left w:val="nil"/>
              <w:bottom w:val="nil"/>
              <w:right w:val="nil"/>
            </w:tcBorders>
            <w:shd w:val="clear" w:color="auto" w:fill="auto"/>
            <w:noWrap/>
            <w:vAlign w:val="bottom"/>
            <w:hideMark/>
          </w:tcPr>
          <w:p w14:paraId="7DF858D6"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14 (0.3) </w:t>
            </w:r>
          </w:p>
        </w:tc>
        <w:tc>
          <w:tcPr>
            <w:tcW w:w="1823" w:type="dxa"/>
            <w:tcBorders>
              <w:top w:val="nil"/>
              <w:left w:val="nil"/>
              <w:bottom w:val="nil"/>
              <w:right w:val="nil"/>
            </w:tcBorders>
            <w:shd w:val="clear" w:color="auto" w:fill="auto"/>
            <w:noWrap/>
            <w:vAlign w:val="bottom"/>
            <w:hideMark/>
          </w:tcPr>
          <w:p w14:paraId="3B74FACF"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8 (0.3) </w:t>
            </w:r>
          </w:p>
        </w:tc>
        <w:tc>
          <w:tcPr>
            <w:tcW w:w="1823" w:type="dxa"/>
            <w:tcBorders>
              <w:top w:val="nil"/>
              <w:left w:val="nil"/>
              <w:bottom w:val="nil"/>
              <w:right w:val="nil"/>
            </w:tcBorders>
            <w:shd w:val="clear" w:color="auto" w:fill="auto"/>
            <w:noWrap/>
            <w:vAlign w:val="bottom"/>
            <w:hideMark/>
          </w:tcPr>
          <w:p w14:paraId="11C6B4CA"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6 (0.4) </w:t>
            </w:r>
          </w:p>
        </w:tc>
        <w:tc>
          <w:tcPr>
            <w:tcW w:w="965" w:type="dxa"/>
            <w:tcBorders>
              <w:top w:val="nil"/>
              <w:left w:val="nil"/>
              <w:bottom w:val="nil"/>
              <w:right w:val="nil"/>
            </w:tcBorders>
            <w:shd w:val="clear" w:color="auto" w:fill="auto"/>
            <w:noWrap/>
            <w:vAlign w:val="bottom"/>
            <w:hideMark/>
          </w:tcPr>
          <w:p w14:paraId="0F1257D7"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7D09CDE6"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71842AEE" w14:textId="77777777" w:rsidR="007E3DBA" w:rsidRPr="000621D5" w:rsidRDefault="007E3DBA" w:rsidP="00730717">
            <w:pPr>
              <w:spacing w:before="0" w:line="240" w:lineRule="auto"/>
              <w:jc w:val="center"/>
              <w:rPr>
                <w:rFonts w:ascii="Times New Roman" w:hAnsi="Times New Roman"/>
                <w:sz w:val="20"/>
                <w:szCs w:val="20"/>
                <w:lang w:eastAsia="en-GB"/>
              </w:rPr>
            </w:pPr>
          </w:p>
        </w:tc>
        <w:tc>
          <w:tcPr>
            <w:tcW w:w="2976" w:type="dxa"/>
            <w:tcBorders>
              <w:top w:val="nil"/>
              <w:left w:val="nil"/>
              <w:bottom w:val="nil"/>
              <w:right w:val="nil"/>
            </w:tcBorders>
            <w:shd w:val="clear" w:color="auto" w:fill="auto"/>
            <w:noWrap/>
            <w:vAlign w:val="bottom"/>
            <w:hideMark/>
          </w:tcPr>
          <w:p w14:paraId="766FEE4F"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Distal gastrectomy</w:t>
            </w:r>
          </w:p>
        </w:tc>
        <w:tc>
          <w:tcPr>
            <w:tcW w:w="1786" w:type="dxa"/>
            <w:tcBorders>
              <w:top w:val="nil"/>
              <w:left w:val="nil"/>
              <w:bottom w:val="nil"/>
              <w:right w:val="nil"/>
            </w:tcBorders>
            <w:shd w:val="clear" w:color="auto" w:fill="auto"/>
            <w:noWrap/>
            <w:vAlign w:val="bottom"/>
            <w:hideMark/>
          </w:tcPr>
          <w:p w14:paraId="3F1644A9"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414 (10.0) </w:t>
            </w:r>
          </w:p>
        </w:tc>
        <w:tc>
          <w:tcPr>
            <w:tcW w:w="1823" w:type="dxa"/>
            <w:tcBorders>
              <w:top w:val="nil"/>
              <w:left w:val="nil"/>
              <w:bottom w:val="nil"/>
              <w:right w:val="nil"/>
            </w:tcBorders>
            <w:shd w:val="clear" w:color="auto" w:fill="auto"/>
            <w:noWrap/>
            <w:vAlign w:val="bottom"/>
            <w:hideMark/>
          </w:tcPr>
          <w:p w14:paraId="5454D9E4"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233 (9.2) </w:t>
            </w:r>
          </w:p>
        </w:tc>
        <w:tc>
          <w:tcPr>
            <w:tcW w:w="1823" w:type="dxa"/>
            <w:tcBorders>
              <w:top w:val="nil"/>
              <w:left w:val="nil"/>
              <w:bottom w:val="nil"/>
              <w:right w:val="nil"/>
            </w:tcBorders>
            <w:shd w:val="clear" w:color="auto" w:fill="auto"/>
            <w:noWrap/>
            <w:vAlign w:val="bottom"/>
            <w:hideMark/>
          </w:tcPr>
          <w:p w14:paraId="5637D924"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181 (11.4) </w:t>
            </w:r>
          </w:p>
        </w:tc>
        <w:tc>
          <w:tcPr>
            <w:tcW w:w="965" w:type="dxa"/>
            <w:tcBorders>
              <w:top w:val="nil"/>
              <w:left w:val="nil"/>
              <w:bottom w:val="nil"/>
              <w:right w:val="nil"/>
            </w:tcBorders>
            <w:shd w:val="clear" w:color="auto" w:fill="auto"/>
            <w:noWrap/>
            <w:vAlign w:val="bottom"/>
            <w:hideMark/>
          </w:tcPr>
          <w:p w14:paraId="379227B3"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723EA81E"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7C2CE284" w14:textId="77777777" w:rsidR="007E3DBA" w:rsidRPr="000621D5" w:rsidRDefault="007E3DBA" w:rsidP="00730717">
            <w:pPr>
              <w:spacing w:before="0" w:line="240" w:lineRule="auto"/>
              <w:rPr>
                <w:rFonts w:cs="Calibri"/>
                <w:color w:val="000000"/>
                <w:sz w:val="16"/>
                <w:szCs w:val="16"/>
                <w:lang w:eastAsia="en-GB"/>
              </w:rPr>
            </w:pPr>
            <w:r w:rsidRPr="000621D5">
              <w:rPr>
                <w:rFonts w:cs="Calibri"/>
                <w:color w:val="000000"/>
                <w:sz w:val="16"/>
                <w:szCs w:val="16"/>
                <w:lang w:eastAsia="en-GB"/>
              </w:rPr>
              <w:t>Performance Status</w:t>
            </w:r>
          </w:p>
        </w:tc>
        <w:tc>
          <w:tcPr>
            <w:tcW w:w="2976" w:type="dxa"/>
            <w:tcBorders>
              <w:top w:val="nil"/>
              <w:left w:val="nil"/>
              <w:bottom w:val="nil"/>
              <w:right w:val="nil"/>
            </w:tcBorders>
            <w:shd w:val="clear" w:color="auto" w:fill="auto"/>
            <w:noWrap/>
            <w:vAlign w:val="bottom"/>
            <w:hideMark/>
          </w:tcPr>
          <w:p w14:paraId="60FAECCB"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0</w:t>
            </w:r>
          </w:p>
        </w:tc>
        <w:tc>
          <w:tcPr>
            <w:tcW w:w="1786" w:type="dxa"/>
            <w:tcBorders>
              <w:top w:val="nil"/>
              <w:left w:val="nil"/>
              <w:bottom w:val="nil"/>
              <w:right w:val="nil"/>
            </w:tcBorders>
            <w:shd w:val="clear" w:color="auto" w:fill="auto"/>
            <w:noWrap/>
            <w:vAlign w:val="bottom"/>
            <w:hideMark/>
          </w:tcPr>
          <w:p w14:paraId="155B17EB"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2587 (62.5) </w:t>
            </w:r>
          </w:p>
        </w:tc>
        <w:tc>
          <w:tcPr>
            <w:tcW w:w="1823" w:type="dxa"/>
            <w:tcBorders>
              <w:top w:val="nil"/>
              <w:left w:val="nil"/>
              <w:bottom w:val="nil"/>
              <w:right w:val="nil"/>
            </w:tcBorders>
            <w:shd w:val="clear" w:color="auto" w:fill="auto"/>
            <w:noWrap/>
            <w:vAlign w:val="bottom"/>
            <w:hideMark/>
          </w:tcPr>
          <w:p w14:paraId="62B142A0"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1509 (59.3) </w:t>
            </w:r>
          </w:p>
        </w:tc>
        <w:tc>
          <w:tcPr>
            <w:tcW w:w="1823" w:type="dxa"/>
            <w:tcBorders>
              <w:top w:val="nil"/>
              <w:left w:val="nil"/>
              <w:bottom w:val="nil"/>
              <w:right w:val="nil"/>
            </w:tcBorders>
            <w:shd w:val="clear" w:color="auto" w:fill="auto"/>
            <w:noWrap/>
            <w:vAlign w:val="bottom"/>
            <w:hideMark/>
          </w:tcPr>
          <w:p w14:paraId="4555CD11"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1078 (67.7) </w:t>
            </w:r>
          </w:p>
        </w:tc>
        <w:tc>
          <w:tcPr>
            <w:tcW w:w="965" w:type="dxa"/>
            <w:tcBorders>
              <w:top w:val="nil"/>
              <w:left w:val="nil"/>
              <w:bottom w:val="nil"/>
              <w:right w:val="nil"/>
            </w:tcBorders>
            <w:shd w:val="clear" w:color="auto" w:fill="auto"/>
            <w:noWrap/>
            <w:vAlign w:val="bottom"/>
            <w:hideMark/>
          </w:tcPr>
          <w:p w14:paraId="07A8CFF5"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&lt;0.001</w:t>
            </w:r>
          </w:p>
        </w:tc>
      </w:tr>
      <w:tr w:rsidR="007E3DBA" w:rsidRPr="000621D5" w14:paraId="1EDDF894"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68C476FD" w14:textId="77777777" w:rsidR="007E3DBA" w:rsidRPr="000621D5" w:rsidRDefault="007E3DBA" w:rsidP="00730717">
            <w:pPr>
              <w:spacing w:before="0" w:line="240" w:lineRule="auto"/>
              <w:jc w:val="center"/>
              <w:rPr>
                <w:rFonts w:cs="Calibri"/>
                <w:color w:val="000000"/>
                <w:sz w:val="16"/>
                <w:szCs w:val="16"/>
                <w:lang w:eastAsia="en-GB"/>
              </w:rPr>
            </w:pPr>
          </w:p>
        </w:tc>
        <w:tc>
          <w:tcPr>
            <w:tcW w:w="2976" w:type="dxa"/>
            <w:tcBorders>
              <w:top w:val="nil"/>
              <w:left w:val="nil"/>
              <w:bottom w:val="nil"/>
              <w:right w:val="nil"/>
            </w:tcBorders>
            <w:shd w:val="clear" w:color="auto" w:fill="auto"/>
            <w:noWrap/>
            <w:vAlign w:val="bottom"/>
            <w:hideMark/>
          </w:tcPr>
          <w:p w14:paraId="5415BDEC"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1</w:t>
            </w:r>
          </w:p>
        </w:tc>
        <w:tc>
          <w:tcPr>
            <w:tcW w:w="1786" w:type="dxa"/>
            <w:tcBorders>
              <w:top w:val="nil"/>
              <w:left w:val="nil"/>
              <w:bottom w:val="nil"/>
              <w:right w:val="nil"/>
            </w:tcBorders>
            <w:shd w:val="clear" w:color="auto" w:fill="auto"/>
            <w:noWrap/>
            <w:vAlign w:val="bottom"/>
            <w:hideMark/>
          </w:tcPr>
          <w:p w14:paraId="6123E3CB"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1369 (33.1) </w:t>
            </w:r>
          </w:p>
        </w:tc>
        <w:tc>
          <w:tcPr>
            <w:tcW w:w="1823" w:type="dxa"/>
            <w:tcBorders>
              <w:top w:val="nil"/>
              <w:left w:val="nil"/>
              <w:bottom w:val="nil"/>
              <w:right w:val="nil"/>
            </w:tcBorders>
            <w:shd w:val="clear" w:color="auto" w:fill="auto"/>
            <w:noWrap/>
            <w:vAlign w:val="bottom"/>
            <w:hideMark/>
          </w:tcPr>
          <w:p w14:paraId="38E6D384"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910 (35.7) </w:t>
            </w:r>
          </w:p>
        </w:tc>
        <w:tc>
          <w:tcPr>
            <w:tcW w:w="1823" w:type="dxa"/>
            <w:tcBorders>
              <w:top w:val="nil"/>
              <w:left w:val="nil"/>
              <w:bottom w:val="nil"/>
              <w:right w:val="nil"/>
            </w:tcBorders>
            <w:shd w:val="clear" w:color="auto" w:fill="auto"/>
            <w:noWrap/>
            <w:vAlign w:val="bottom"/>
            <w:hideMark/>
          </w:tcPr>
          <w:p w14:paraId="0A4D3098"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459 (28.8) </w:t>
            </w:r>
          </w:p>
        </w:tc>
        <w:tc>
          <w:tcPr>
            <w:tcW w:w="965" w:type="dxa"/>
            <w:tcBorders>
              <w:top w:val="nil"/>
              <w:left w:val="nil"/>
              <w:bottom w:val="nil"/>
              <w:right w:val="nil"/>
            </w:tcBorders>
            <w:shd w:val="clear" w:color="auto" w:fill="auto"/>
            <w:noWrap/>
            <w:vAlign w:val="bottom"/>
            <w:hideMark/>
          </w:tcPr>
          <w:p w14:paraId="4E4DEF31"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46B96A3D"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44960E12" w14:textId="77777777" w:rsidR="007E3DBA" w:rsidRPr="000621D5" w:rsidRDefault="007E3DBA" w:rsidP="00730717">
            <w:pPr>
              <w:spacing w:before="0" w:line="240" w:lineRule="auto"/>
              <w:jc w:val="center"/>
              <w:rPr>
                <w:rFonts w:ascii="Times New Roman" w:hAnsi="Times New Roman"/>
                <w:sz w:val="20"/>
                <w:szCs w:val="20"/>
                <w:lang w:eastAsia="en-GB"/>
              </w:rPr>
            </w:pPr>
          </w:p>
        </w:tc>
        <w:tc>
          <w:tcPr>
            <w:tcW w:w="2976" w:type="dxa"/>
            <w:tcBorders>
              <w:top w:val="nil"/>
              <w:left w:val="nil"/>
              <w:bottom w:val="nil"/>
              <w:right w:val="nil"/>
            </w:tcBorders>
            <w:shd w:val="clear" w:color="auto" w:fill="auto"/>
            <w:noWrap/>
            <w:vAlign w:val="bottom"/>
            <w:hideMark/>
          </w:tcPr>
          <w:p w14:paraId="4BA6AD3E"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2</w:t>
            </w:r>
          </w:p>
        </w:tc>
        <w:tc>
          <w:tcPr>
            <w:tcW w:w="1786" w:type="dxa"/>
            <w:tcBorders>
              <w:top w:val="nil"/>
              <w:left w:val="nil"/>
              <w:bottom w:val="nil"/>
              <w:right w:val="nil"/>
            </w:tcBorders>
            <w:shd w:val="clear" w:color="auto" w:fill="auto"/>
            <w:noWrap/>
            <w:vAlign w:val="bottom"/>
            <w:hideMark/>
          </w:tcPr>
          <w:p w14:paraId="54510228"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183 (4.4) </w:t>
            </w:r>
          </w:p>
        </w:tc>
        <w:tc>
          <w:tcPr>
            <w:tcW w:w="1823" w:type="dxa"/>
            <w:tcBorders>
              <w:top w:val="nil"/>
              <w:left w:val="nil"/>
              <w:bottom w:val="nil"/>
              <w:right w:val="nil"/>
            </w:tcBorders>
            <w:shd w:val="clear" w:color="auto" w:fill="auto"/>
            <w:noWrap/>
            <w:vAlign w:val="bottom"/>
            <w:hideMark/>
          </w:tcPr>
          <w:p w14:paraId="42CCA22E"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127 (5.0) </w:t>
            </w:r>
          </w:p>
        </w:tc>
        <w:tc>
          <w:tcPr>
            <w:tcW w:w="1823" w:type="dxa"/>
            <w:tcBorders>
              <w:top w:val="nil"/>
              <w:left w:val="nil"/>
              <w:bottom w:val="nil"/>
              <w:right w:val="nil"/>
            </w:tcBorders>
            <w:shd w:val="clear" w:color="auto" w:fill="auto"/>
            <w:noWrap/>
            <w:vAlign w:val="bottom"/>
            <w:hideMark/>
          </w:tcPr>
          <w:p w14:paraId="3F769CE5"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56 (3.5) </w:t>
            </w:r>
          </w:p>
        </w:tc>
        <w:tc>
          <w:tcPr>
            <w:tcW w:w="965" w:type="dxa"/>
            <w:tcBorders>
              <w:top w:val="nil"/>
              <w:left w:val="nil"/>
              <w:bottom w:val="nil"/>
              <w:right w:val="nil"/>
            </w:tcBorders>
            <w:shd w:val="clear" w:color="auto" w:fill="auto"/>
            <w:noWrap/>
            <w:vAlign w:val="bottom"/>
            <w:hideMark/>
          </w:tcPr>
          <w:p w14:paraId="446DE365"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1235DD1A"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522D8A1D" w14:textId="77777777" w:rsidR="007E3DBA" w:rsidRPr="000621D5" w:rsidRDefault="007E3DBA" w:rsidP="00730717">
            <w:pPr>
              <w:spacing w:before="0" w:line="240" w:lineRule="auto"/>
              <w:rPr>
                <w:rFonts w:cs="Calibri"/>
                <w:color w:val="000000"/>
                <w:sz w:val="16"/>
                <w:szCs w:val="16"/>
                <w:lang w:eastAsia="en-GB"/>
              </w:rPr>
            </w:pPr>
            <w:r w:rsidRPr="000621D5">
              <w:rPr>
                <w:rFonts w:cs="Calibri"/>
                <w:color w:val="000000"/>
                <w:sz w:val="16"/>
                <w:szCs w:val="16"/>
                <w:lang w:eastAsia="en-GB"/>
              </w:rPr>
              <w:t>ASA Grade</w:t>
            </w:r>
          </w:p>
        </w:tc>
        <w:tc>
          <w:tcPr>
            <w:tcW w:w="2976" w:type="dxa"/>
            <w:tcBorders>
              <w:top w:val="nil"/>
              <w:left w:val="nil"/>
              <w:bottom w:val="nil"/>
              <w:right w:val="nil"/>
            </w:tcBorders>
            <w:shd w:val="clear" w:color="auto" w:fill="auto"/>
            <w:noWrap/>
            <w:vAlign w:val="bottom"/>
            <w:hideMark/>
          </w:tcPr>
          <w:p w14:paraId="38186037"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1</w:t>
            </w:r>
          </w:p>
        </w:tc>
        <w:tc>
          <w:tcPr>
            <w:tcW w:w="1786" w:type="dxa"/>
            <w:tcBorders>
              <w:top w:val="nil"/>
              <w:left w:val="nil"/>
              <w:bottom w:val="nil"/>
              <w:right w:val="nil"/>
            </w:tcBorders>
            <w:shd w:val="clear" w:color="auto" w:fill="auto"/>
            <w:noWrap/>
            <w:vAlign w:val="bottom"/>
            <w:hideMark/>
          </w:tcPr>
          <w:p w14:paraId="1A2FE41E"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534 (12.9) </w:t>
            </w:r>
          </w:p>
        </w:tc>
        <w:tc>
          <w:tcPr>
            <w:tcW w:w="1823" w:type="dxa"/>
            <w:tcBorders>
              <w:top w:val="nil"/>
              <w:left w:val="nil"/>
              <w:bottom w:val="nil"/>
              <w:right w:val="nil"/>
            </w:tcBorders>
            <w:shd w:val="clear" w:color="auto" w:fill="auto"/>
            <w:noWrap/>
            <w:vAlign w:val="bottom"/>
            <w:hideMark/>
          </w:tcPr>
          <w:p w14:paraId="3A4F06F9"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293 (11.5) </w:t>
            </w:r>
          </w:p>
        </w:tc>
        <w:tc>
          <w:tcPr>
            <w:tcW w:w="1823" w:type="dxa"/>
            <w:tcBorders>
              <w:top w:val="nil"/>
              <w:left w:val="nil"/>
              <w:bottom w:val="nil"/>
              <w:right w:val="nil"/>
            </w:tcBorders>
            <w:shd w:val="clear" w:color="auto" w:fill="auto"/>
            <w:noWrap/>
            <w:vAlign w:val="bottom"/>
            <w:hideMark/>
          </w:tcPr>
          <w:p w14:paraId="04CB6184"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241 (15.1) </w:t>
            </w:r>
          </w:p>
        </w:tc>
        <w:tc>
          <w:tcPr>
            <w:tcW w:w="965" w:type="dxa"/>
            <w:tcBorders>
              <w:top w:val="nil"/>
              <w:left w:val="nil"/>
              <w:bottom w:val="nil"/>
              <w:right w:val="nil"/>
            </w:tcBorders>
            <w:shd w:val="clear" w:color="auto" w:fill="auto"/>
            <w:noWrap/>
            <w:vAlign w:val="bottom"/>
            <w:hideMark/>
          </w:tcPr>
          <w:p w14:paraId="0968BD61"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0.002</w:t>
            </w:r>
          </w:p>
        </w:tc>
      </w:tr>
      <w:tr w:rsidR="007E3DBA" w:rsidRPr="000621D5" w14:paraId="6CB7B021"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376FDE07" w14:textId="77777777" w:rsidR="007E3DBA" w:rsidRPr="000621D5" w:rsidRDefault="007E3DBA" w:rsidP="00730717">
            <w:pPr>
              <w:spacing w:before="0" w:line="240" w:lineRule="auto"/>
              <w:jc w:val="center"/>
              <w:rPr>
                <w:rFonts w:cs="Calibri"/>
                <w:color w:val="000000"/>
                <w:sz w:val="16"/>
                <w:szCs w:val="16"/>
                <w:lang w:eastAsia="en-GB"/>
              </w:rPr>
            </w:pPr>
          </w:p>
        </w:tc>
        <w:tc>
          <w:tcPr>
            <w:tcW w:w="2976" w:type="dxa"/>
            <w:tcBorders>
              <w:top w:val="nil"/>
              <w:left w:val="nil"/>
              <w:bottom w:val="nil"/>
              <w:right w:val="nil"/>
            </w:tcBorders>
            <w:shd w:val="clear" w:color="auto" w:fill="auto"/>
            <w:noWrap/>
            <w:vAlign w:val="bottom"/>
            <w:hideMark/>
          </w:tcPr>
          <w:p w14:paraId="59A57321"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2</w:t>
            </w:r>
          </w:p>
        </w:tc>
        <w:tc>
          <w:tcPr>
            <w:tcW w:w="1786" w:type="dxa"/>
            <w:tcBorders>
              <w:top w:val="nil"/>
              <w:left w:val="nil"/>
              <w:bottom w:val="nil"/>
              <w:right w:val="nil"/>
            </w:tcBorders>
            <w:shd w:val="clear" w:color="auto" w:fill="auto"/>
            <w:noWrap/>
            <w:vAlign w:val="bottom"/>
            <w:hideMark/>
          </w:tcPr>
          <w:p w14:paraId="3B3EA8DB"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2533 (61.2) </w:t>
            </w:r>
          </w:p>
        </w:tc>
        <w:tc>
          <w:tcPr>
            <w:tcW w:w="1823" w:type="dxa"/>
            <w:tcBorders>
              <w:top w:val="nil"/>
              <w:left w:val="nil"/>
              <w:bottom w:val="nil"/>
              <w:right w:val="nil"/>
            </w:tcBorders>
            <w:shd w:val="clear" w:color="auto" w:fill="auto"/>
            <w:noWrap/>
            <w:vAlign w:val="bottom"/>
            <w:hideMark/>
          </w:tcPr>
          <w:p w14:paraId="6DE0BAAA"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1568 (61.6) </w:t>
            </w:r>
          </w:p>
        </w:tc>
        <w:tc>
          <w:tcPr>
            <w:tcW w:w="1823" w:type="dxa"/>
            <w:tcBorders>
              <w:top w:val="nil"/>
              <w:left w:val="nil"/>
              <w:bottom w:val="nil"/>
              <w:right w:val="nil"/>
            </w:tcBorders>
            <w:shd w:val="clear" w:color="auto" w:fill="auto"/>
            <w:noWrap/>
            <w:vAlign w:val="bottom"/>
            <w:hideMark/>
          </w:tcPr>
          <w:p w14:paraId="6165F52E"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965 (60.6) </w:t>
            </w:r>
          </w:p>
        </w:tc>
        <w:tc>
          <w:tcPr>
            <w:tcW w:w="965" w:type="dxa"/>
            <w:tcBorders>
              <w:top w:val="nil"/>
              <w:left w:val="nil"/>
              <w:bottom w:val="nil"/>
              <w:right w:val="nil"/>
            </w:tcBorders>
            <w:shd w:val="clear" w:color="auto" w:fill="auto"/>
            <w:noWrap/>
            <w:vAlign w:val="bottom"/>
            <w:hideMark/>
          </w:tcPr>
          <w:p w14:paraId="1F7BD56E"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61DE93F9"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5DECD3A7" w14:textId="77777777" w:rsidR="007E3DBA" w:rsidRPr="000621D5" w:rsidRDefault="007E3DBA" w:rsidP="00730717">
            <w:pPr>
              <w:spacing w:before="0" w:line="240" w:lineRule="auto"/>
              <w:jc w:val="center"/>
              <w:rPr>
                <w:rFonts w:ascii="Times New Roman" w:hAnsi="Times New Roman"/>
                <w:sz w:val="20"/>
                <w:szCs w:val="20"/>
                <w:lang w:eastAsia="en-GB"/>
              </w:rPr>
            </w:pPr>
          </w:p>
        </w:tc>
        <w:tc>
          <w:tcPr>
            <w:tcW w:w="2976" w:type="dxa"/>
            <w:tcBorders>
              <w:top w:val="nil"/>
              <w:left w:val="nil"/>
              <w:bottom w:val="nil"/>
              <w:right w:val="nil"/>
            </w:tcBorders>
            <w:shd w:val="clear" w:color="auto" w:fill="auto"/>
            <w:noWrap/>
            <w:vAlign w:val="bottom"/>
            <w:hideMark/>
          </w:tcPr>
          <w:p w14:paraId="61809CA3"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3</w:t>
            </w:r>
          </w:p>
        </w:tc>
        <w:tc>
          <w:tcPr>
            <w:tcW w:w="1786" w:type="dxa"/>
            <w:tcBorders>
              <w:top w:val="nil"/>
              <w:left w:val="nil"/>
              <w:bottom w:val="nil"/>
              <w:right w:val="nil"/>
            </w:tcBorders>
            <w:shd w:val="clear" w:color="auto" w:fill="auto"/>
            <w:noWrap/>
            <w:vAlign w:val="bottom"/>
            <w:hideMark/>
          </w:tcPr>
          <w:p w14:paraId="1E05F36E"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1072 (25.9) </w:t>
            </w:r>
          </w:p>
        </w:tc>
        <w:tc>
          <w:tcPr>
            <w:tcW w:w="1823" w:type="dxa"/>
            <w:tcBorders>
              <w:top w:val="nil"/>
              <w:left w:val="nil"/>
              <w:bottom w:val="nil"/>
              <w:right w:val="nil"/>
            </w:tcBorders>
            <w:shd w:val="clear" w:color="auto" w:fill="auto"/>
            <w:noWrap/>
            <w:vAlign w:val="bottom"/>
            <w:hideMark/>
          </w:tcPr>
          <w:p w14:paraId="6558911C"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685 (26.9) </w:t>
            </w:r>
          </w:p>
        </w:tc>
        <w:tc>
          <w:tcPr>
            <w:tcW w:w="1823" w:type="dxa"/>
            <w:tcBorders>
              <w:top w:val="nil"/>
              <w:left w:val="nil"/>
              <w:bottom w:val="nil"/>
              <w:right w:val="nil"/>
            </w:tcBorders>
            <w:shd w:val="clear" w:color="auto" w:fill="auto"/>
            <w:noWrap/>
            <w:vAlign w:val="bottom"/>
            <w:hideMark/>
          </w:tcPr>
          <w:p w14:paraId="11C3CA53"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387 (24.3) </w:t>
            </w:r>
          </w:p>
        </w:tc>
        <w:tc>
          <w:tcPr>
            <w:tcW w:w="965" w:type="dxa"/>
            <w:tcBorders>
              <w:top w:val="nil"/>
              <w:left w:val="nil"/>
              <w:bottom w:val="nil"/>
              <w:right w:val="nil"/>
            </w:tcBorders>
            <w:shd w:val="clear" w:color="auto" w:fill="auto"/>
            <w:noWrap/>
            <w:vAlign w:val="bottom"/>
            <w:hideMark/>
          </w:tcPr>
          <w:p w14:paraId="1F357BE4"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4C400080" w14:textId="77777777" w:rsidTr="00730717">
        <w:trPr>
          <w:gridAfter w:val="1"/>
          <w:wAfter w:w="237" w:type="dxa"/>
          <w:trHeight w:val="200"/>
        </w:trPr>
        <w:tc>
          <w:tcPr>
            <w:tcW w:w="1561" w:type="dxa"/>
            <w:vMerge w:val="restart"/>
            <w:tcBorders>
              <w:top w:val="nil"/>
              <w:left w:val="nil"/>
              <w:right w:val="nil"/>
            </w:tcBorders>
            <w:shd w:val="clear" w:color="auto" w:fill="auto"/>
            <w:noWrap/>
            <w:hideMark/>
          </w:tcPr>
          <w:p w14:paraId="32DF8F80" w14:textId="77777777" w:rsidR="007E3DBA" w:rsidRPr="000621D5" w:rsidRDefault="007E3DBA" w:rsidP="00730717">
            <w:pPr>
              <w:spacing w:before="0" w:line="240" w:lineRule="auto"/>
              <w:rPr>
                <w:rFonts w:cs="Calibri"/>
                <w:color w:val="000000"/>
                <w:sz w:val="16"/>
                <w:szCs w:val="16"/>
                <w:lang w:eastAsia="en-GB"/>
              </w:rPr>
            </w:pPr>
            <w:r w:rsidRPr="000621D5">
              <w:rPr>
                <w:rFonts w:cs="Calibri"/>
                <w:color w:val="000000"/>
                <w:sz w:val="16"/>
                <w:szCs w:val="16"/>
                <w:lang w:eastAsia="en-GB"/>
              </w:rPr>
              <w:t>Social Deprivation Index*</w:t>
            </w:r>
          </w:p>
        </w:tc>
        <w:tc>
          <w:tcPr>
            <w:tcW w:w="2976" w:type="dxa"/>
            <w:tcBorders>
              <w:top w:val="nil"/>
              <w:left w:val="nil"/>
              <w:bottom w:val="nil"/>
              <w:right w:val="nil"/>
            </w:tcBorders>
            <w:shd w:val="clear" w:color="auto" w:fill="auto"/>
            <w:noWrap/>
            <w:vAlign w:val="bottom"/>
            <w:hideMark/>
          </w:tcPr>
          <w:p w14:paraId="4590E563"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Least Deprived</w:t>
            </w:r>
          </w:p>
        </w:tc>
        <w:tc>
          <w:tcPr>
            <w:tcW w:w="1786" w:type="dxa"/>
            <w:tcBorders>
              <w:top w:val="nil"/>
              <w:left w:val="nil"/>
              <w:bottom w:val="nil"/>
              <w:right w:val="nil"/>
            </w:tcBorders>
            <w:shd w:val="clear" w:color="auto" w:fill="auto"/>
            <w:noWrap/>
            <w:vAlign w:val="bottom"/>
            <w:hideMark/>
          </w:tcPr>
          <w:p w14:paraId="62BCD02B"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847 (20.5) </w:t>
            </w:r>
          </w:p>
        </w:tc>
        <w:tc>
          <w:tcPr>
            <w:tcW w:w="1823" w:type="dxa"/>
            <w:tcBorders>
              <w:top w:val="nil"/>
              <w:left w:val="nil"/>
              <w:bottom w:val="nil"/>
              <w:right w:val="nil"/>
            </w:tcBorders>
            <w:shd w:val="clear" w:color="auto" w:fill="auto"/>
            <w:noWrap/>
            <w:vAlign w:val="bottom"/>
            <w:hideMark/>
          </w:tcPr>
          <w:p w14:paraId="008AED39"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493 (19.4) </w:t>
            </w:r>
          </w:p>
        </w:tc>
        <w:tc>
          <w:tcPr>
            <w:tcW w:w="1823" w:type="dxa"/>
            <w:tcBorders>
              <w:top w:val="nil"/>
              <w:left w:val="nil"/>
              <w:bottom w:val="nil"/>
              <w:right w:val="nil"/>
            </w:tcBorders>
            <w:shd w:val="clear" w:color="auto" w:fill="auto"/>
            <w:noWrap/>
            <w:vAlign w:val="bottom"/>
            <w:hideMark/>
          </w:tcPr>
          <w:p w14:paraId="6CBB50E3"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354 (22.3) </w:t>
            </w:r>
          </w:p>
        </w:tc>
        <w:tc>
          <w:tcPr>
            <w:tcW w:w="965" w:type="dxa"/>
            <w:tcBorders>
              <w:top w:val="nil"/>
              <w:left w:val="nil"/>
              <w:bottom w:val="nil"/>
              <w:right w:val="nil"/>
            </w:tcBorders>
            <w:shd w:val="clear" w:color="auto" w:fill="auto"/>
            <w:noWrap/>
            <w:vAlign w:val="bottom"/>
            <w:hideMark/>
          </w:tcPr>
          <w:p w14:paraId="691B029C"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0.003</w:t>
            </w:r>
          </w:p>
        </w:tc>
      </w:tr>
      <w:tr w:rsidR="007E3DBA" w:rsidRPr="000621D5" w14:paraId="7DEFBCD8" w14:textId="77777777" w:rsidTr="00730717">
        <w:trPr>
          <w:gridAfter w:val="1"/>
          <w:wAfter w:w="237" w:type="dxa"/>
          <w:trHeight w:val="200"/>
        </w:trPr>
        <w:tc>
          <w:tcPr>
            <w:tcW w:w="1561" w:type="dxa"/>
            <w:vMerge/>
            <w:tcBorders>
              <w:left w:val="nil"/>
              <w:right w:val="nil"/>
            </w:tcBorders>
            <w:shd w:val="clear" w:color="auto" w:fill="auto"/>
            <w:noWrap/>
            <w:vAlign w:val="bottom"/>
            <w:hideMark/>
          </w:tcPr>
          <w:p w14:paraId="4E600292" w14:textId="77777777" w:rsidR="007E3DBA" w:rsidRPr="000621D5" w:rsidRDefault="007E3DBA" w:rsidP="00730717">
            <w:pPr>
              <w:spacing w:before="0" w:line="240" w:lineRule="auto"/>
              <w:jc w:val="center"/>
              <w:rPr>
                <w:rFonts w:cs="Calibri"/>
                <w:color w:val="000000"/>
                <w:sz w:val="16"/>
                <w:szCs w:val="16"/>
                <w:lang w:eastAsia="en-GB"/>
              </w:rPr>
            </w:pPr>
          </w:p>
        </w:tc>
        <w:tc>
          <w:tcPr>
            <w:tcW w:w="2976" w:type="dxa"/>
            <w:tcBorders>
              <w:top w:val="nil"/>
              <w:left w:val="nil"/>
              <w:bottom w:val="nil"/>
              <w:right w:val="nil"/>
            </w:tcBorders>
            <w:shd w:val="clear" w:color="auto" w:fill="auto"/>
            <w:noWrap/>
            <w:vAlign w:val="bottom"/>
            <w:hideMark/>
          </w:tcPr>
          <w:p w14:paraId="544F6D3C"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2nd Quintile</w:t>
            </w:r>
          </w:p>
        </w:tc>
        <w:tc>
          <w:tcPr>
            <w:tcW w:w="1786" w:type="dxa"/>
            <w:tcBorders>
              <w:top w:val="nil"/>
              <w:left w:val="nil"/>
              <w:bottom w:val="nil"/>
              <w:right w:val="nil"/>
            </w:tcBorders>
            <w:shd w:val="clear" w:color="auto" w:fill="auto"/>
            <w:noWrap/>
            <w:vAlign w:val="bottom"/>
            <w:hideMark/>
          </w:tcPr>
          <w:p w14:paraId="061E7A9B"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838 (20.3) </w:t>
            </w:r>
          </w:p>
        </w:tc>
        <w:tc>
          <w:tcPr>
            <w:tcW w:w="1823" w:type="dxa"/>
            <w:tcBorders>
              <w:top w:val="nil"/>
              <w:left w:val="nil"/>
              <w:bottom w:val="nil"/>
              <w:right w:val="nil"/>
            </w:tcBorders>
            <w:shd w:val="clear" w:color="auto" w:fill="auto"/>
            <w:noWrap/>
            <w:vAlign w:val="bottom"/>
            <w:hideMark/>
          </w:tcPr>
          <w:p w14:paraId="5A523DAF"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502 (19.8) </w:t>
            </w:r>
          </w:p>
        </w:tc>
        <w:tc>
          <w:tcPr>
            <w:tcW w:w="1823" w:type="dxa"/>
            <w:tcBorders>
              <w:top w:val="nil"/>
              <w:left w:val="nil"/>
              <w:bottom w:val="nil"/>
              <w:right w:val="nil"/>
            </w:tcBorders>
            <w:shd w:val="clear" w:color="auto" w:fill="auto"/>
            <w:noWrap/>
            <w:vAlign w:val="bottom"/>
            <w:hideMark/>
          </w:tcPr>
          <w:p w14:paraId="20155751"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336 (21.2) </w:t>
            </w:r>
          </w:p>
        </w:tc>
        <w:tc>
          <w:tcPr>
            <w:tcW w:w="965" w:type="dxa"/>
            <w:tcBorders>
              <w:top w:val="nil"/>
              <w:left w:val="nil"/>
              <w:bottom w:val="nil"/>
              <w:right w:val="nil"/>
            </w:tcBorders>
            <w:shd w:val="clear" w:color="auto" w:fill="auto"/>
            <w:noWrap/>
            <w:vAlign w:val="bottom"/>
            <w:hideMark/>
          </w:tcPr>
          <w:p w14:paraId="6DC371C0"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0EAF7D55" w14:textId="77777777" w:rsidTr="00730717">
        <w:trPr>
          <w:gridAfter w:val="1"/>
          <w:wAfter w:w="237" w:type="dxa"/>
          <w:trHeight w:val="200"/>
        </w:trPr>
        <w:tc>
          <w:tcPr>
            <w:tcW w:w="1561" w:type="dxa"/>
            <w:vMerge/>
            <w:tcBorders>
              <w:left w:val="nil"/>
              <w:right w:val="nil"/>
            </w:tcBorders>
            <w:shd w:val="clear" w:color="auto" w:fill="auto"/>
            <w:noWrap/>
            <w:vAlign w:val="bottom"/>
            <w:hideMark/>
          </w:tcPr>
          <w:p w14:paraId="712CB276" w14:textId="77777777" w:rsidR="007E3DBA" w:rsidRPr="000621D5" w:rsidRDefault="007E3DBA" w:rsidP="00730717">
            <w:pPr>
              <w:spacing w:before="0" w:line="240" w:lineRule="auto"/>
              <w:jc w:val="center"/>
              <w:rPr>
                <w:rFonts w:ascii="Times New Roman" w:hAnsi="Times New Roman"/>
                <w:sz w:val="20"/>
                <w:szCs w:val="20"/>
                <w:lang w:eastAsia="en-GB"/>
              </w:rPr>
            </w:pPr>
          </w:p>
        </w:tc>
        <w:tc>
          <w:tcPr>
            <w:tcW w:w="2976" w:type="dxa"/>
            <w:tcBorders>
              <w:top w:val="nil"/>
              <w:left w:val="nil"/>
              <w:bottom w:val="nil"/>
              <w:right w:val="nil"/>
            </w:tcBorders>
            <w:shd w:val="clear" w:color="auto" w:fill="auto"/>
            <w:noWrap/>
            <w:vAlign w:val="bottom"/>
            <w:hideMark/>
          </w:tcPr>
          <w:p w14:paraId="5AC74CC8"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3rd Quintile</w:t>
            </w:r>
          </w:p>
        </w:tc>
        <w:tc>
          <w:tcPr>
            <w:tcW w:w="1786" w:type="dxa"/>
            <w:tcBorders>
              <w:top w:val="nil"/>
              <w:left w:val="nil"/>
              <w:bottom w:val="nil"/>
              <w:right w:val="nil"/>
            </w:tcBorders>
            <w:shd w:val="clear" w:color="auto" w:fill="auto"/>
            <w:noWrap/>
            <w:vAlign w:val="bottom"/>
            <w:hideMark/>
          </w:tcPr>
          <w:p w14:paraId="2AD96E7F"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829 (20.1) </w:t>
            </w:r>
          </w:p>
        </w:tc>
        <w:tc>
          <w:tcPr>
            <w:tcW w:w="1823" w:type="dxa"/>
            <w:tcBorders>
              <w:top w:val="nil"/>
              <w:left w:val="nil"/>
              <w:bottom w:val="nil"/>
              <w:right w:val="nil"/>
            </w:tcBorders>
            <w:shd w:val="clear" w:color="auto" w:fill="auto"/>
            <w:noWrap/>
            <w:vAlign w:val="bottom"/>
            <w:hideMark/>
          </w:tcPr>
          <w:p w14:paraId="7270CFCE"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554 (21.8) </w:t>
            </w:r>
          </w:p>
        </w:tc>
        <w:tc>
          <w:tcPr>
            <w:tcW w:w="1823" w:type="dxa"/>
            <w:tcBorders>
              <w:top w:val="nil"/>
              <w:left w:val="nil"/>
              <w:bottom w:val="nil"/>
              <w:right w:val="nil"/>
            </w:tcBorders>
            <w:shd w:val="clear" w:color="auto" w:fill="auto"/>
            <w:noWrap/>
            <w:vAlign w:val="bottom"/>
            <w:hideMark/>
          </w:tcPr>
          <w:p w14:paraId="6CE11196"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275 (17.3) </w:t>
            </w:r>
          </w:p>
        </w:tc>
        <w:tc>
          <w:tcPr>
            <w:tcW w:w="965" w:type="dxa"/>
            <w:tcBorders>
              <w:top w:val="nil"/>
              <w:left w:val="nil"/>
              <w:bottom w:val="nil"/>
              <w:right w:val="nil"/>
            </w:tcBorders>
            <w:shd w:val="clear" w:color="auto" w:fill="auto"/>
            <w:noWrap/>
            <w:vAlign w:val="bottom"/>
            <w:hideMark/>
          </w:tcPr>
          <w:p w14:paraId="116C9C29"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159192AB" w14:textId="77777777" w:rsidTr="00730717">
        <w:trPr>
          <w:gridAfter w:val="1"/>
          <w:wAfter w:w="237" w:type="dxa"/>
          <w:trHeight w:val="200"/>
        </w:trPr>
        <w:tc>
          <w:tcPr>
            <w:tcW w:w="1561" w:type="dxa"/>
            <w:vMerge/>
            <w:tcBorders>
              <w:left w:val="nil"/>
              <w:bottom w:val="nil"/>
              <w:right w:val="nil"/>
            </w:tcBorders>
            <w:shd w:val="clear" w:color="auto" w:fill="auto"/>
            <w:noWrap/>
            <w:vAlign w:val="bottom"/>
            <w:hideMark/>
          </w:tcPr>
          <w:p w14:paraId="7D67CE56" w14:textId="77777777" w:rsidR="007E3DBA" w:rsidRPr="000621D5" w:rsidRDefault="007E3DBA" w:rsidP="00730717">
            <w:pPr>
              <w:spacing w:before="0" w:line="240" w:lineRule="auto"/>
              <w:jc w:val="center"/>
              <w:rPr>
                <w:rFonts w:ascii="Times New Roman" w:hAnsi="Times New Roman"/>
                <w:sz w:val="20"/>
                <w:szCs w:val="20"/>
                <w:lang w:eastAsia="en-GB"/>
              </w:rPr>
            </w:pPr>
          </w:p>
        </w:tc>
        <w:tc>
          <w:tcPr>
            <w:tcW w:w="2976" w:type="dxa"/>
            <w:tcBorders>
              <w:top w:val="nil"/>
              <w:left w:val="nil"/>
              <w:bottom w:val="nil"/>
              <w:right w:val="nil"/>
            </w:tcBorders>
            <w:shd w:val="clear" w:color="auto" w:fill="auto"/>
            <w:noWrap/>
            <w:vAlign w:val="bottom"/>
            <w:hideMark/>
          </w:tcPr>
          <w:p w14:paraId="1263BCBF"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4th Quintile</w:t>
            </w:r>
          </w:p>
        </w:tc>
        <w:tc>
          <w:tcPr>
            <w:tcW w:w="1786" w:type="dxa"/>
            <w:tcBorders>
              <w:top w:val="nil"/>
              <w:left w:val="nil"/>
              <w:bottom w:val="nil"/>
              <w:right w:val="nil"/>
            </w:tcBorders>
            <w:shd w:val="clear" w:color="auto" w:fill="auto"/>
            <w:noWrap/>
            <w:vAlign w:val="bottom"/>
            <w:hideMark/>
          </w:tcPr>
          <w:p w14:paraId="174C9679"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825 (20.0) </w:t>
            </w:r>
          </w:p>
        </w:tc>
        <w:tc>
          <w:tcPr>
            <w:tcW w:w="1823" w:type="dxa"/>
            <w:tcBorders>
              <w:top w:val="nil"/>
              <w:left w:val="nil"/>
              <w:bottom w:val="nil"/>
              <w:right w:val="nil"/>
            </w:tcBorders>
            <w:shd w:val="clear" w:color="auto" w:fill="auto"/>
            <w:noWrap/>
            <w:vAlign w:val="bottom"/>
            <w:hideMark/>
          </w:tcPr>
          <w:p w14:paraId="70356470"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519 (20.4) </w:t>
            </w:r>
          </w:p>
        </w:tc>
        <w:tc>
          <w:tcPr>
            <w:tcW w:w="1823" w:type="dxa"/>
            <w:tcBorders>
              <w:top w:val="nil"/>
              <w:left w:val="nil"/>
              <w:bottom w:val="nil"/>
              <w:right w:val="nil"/>
            </w:tcBorders>
            <w:shd w:val="clear" w:color="auto" w:fill="auto"/>
            <w:noWrap/>
            <w:vAlign w:val="bottom"/>
            <w:hideMark/>
          </w:tcPr>
          <w:p w14:paraId="4B5B1DA4"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306 (19.3) </w:t>
            </w:r>
          </w:p>
        </w:tc>
        <w:tc>
          <w:tcPr>
            <w:tcW w:w="965" w:type="dxa"/>
            <w:tcBorders>
              <w:top w:val="nil"/>
              <w:left w:val="nil"/>
              <w:bottom w:val="nil"/>
              <w:right w:val="nil"/>
            </w:tcBorders>
            <w:shd w:val="clear" w:color="auto" w:fill="auto"/>
            <w:noWrap/>
            <w:vAlign w:val="bottom"/>
            <w:hideMark/>
          </w:tcPr>
          <w:p w14:paraId="018CE749"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0BB04BD7"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0CB477FA" w14:textId="77777777" w:rsidR="007E3DBA" w:rsidRPr="000621D5" w:rsidRDefault="007E3DBA" w:rsidP="00730717">
            <w:pPr>
              <w:spacing w:before="0" w:line="240" w:lineRule="auto"/>
              <w:jc w:val="center"/>
              <w:rPr>
                <w:rFonts w:ascii="Times New Roman" w:hAnsi="Times New Roman"/>
                <w:sz w:val="20"/>
                <w:szCs w:val="20"/>
                <w:lang w:eastAsia="en-GB"/>
              </w:rPr>
            </w:pPr>
          </w:p>
        </w:tc>
        <w:tc>
          <w:tcPr>
            <w:tcW w:w="2976" w:type="dxa"/>
            <w:tcBorders>
              <w:top w:val="nil"/>
              <w:left w:val="nil"/>
              <w:bottom w:val="nil"/>
              <w:right w:val="nil"/>
            </w:tcBorders>
            <w:shd w:val="clear" w:color="auto" w:fill="auto"/>
            <w:noWrap/>
            <w:vAlign w:val="bottom"/>
            <w:hideMark/>
          </w:tcPr>
          <w:p w14:paraId="026B663D"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Most Deprived</w:t>
            </w:r>
          </w:p>
        </w:tc>
        <w:tc>
          <w:tcPr>
            <w:tcW w:w="1786" w:type="dxa"/>
            <w:tcBorders>
              <w:top w:val="nil"/>
              <w:left w:val="nil"/>
              <w:bottom w:val="nil"/>
              <w:right w:val="nil"/>
            </w:tcBorders>
            <w:shd w:val="clear" w:color="auto" w:fill="auto"/>
            <w:noWrap/>
            <w:vAlign w:val="bottom"/>
            <w:hideMark/>
          </w:tcPr>
          <w:p w14:paraId="6D3DD4AA"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787 (19.1) </w:t>
            </w:r>
          </w:p>
        </w:tc>
        <w:tc>
          <w:tcPr>
            <w:tcW w:w="1823" w:type="dxa"/>
            <w:tcBorders>
              <w:top w:val="nil"/>
              <w:left w:val="nil"/>
              <w:bottom w:val="nil"/>
              <w:right w:val="nil"/>
            </w:tcBorders>
            <w:shd w:val="clear" w:color="auto" w:fill="auto"/>
            <w:noWrap/>
            <w:vAlign w:val="bottom"/>
            <w:hideMark/>
          </w:tcPr>
          <w:p w14:paraId="78145D2E"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472 (18.6) </w:t>
            </w:r>
          </w:p>
        </w:tc>
        <w:tc>
          <w:tcPr>
            <w:tcW w:w="1823" w:type="dxa"/>
            <w:tcBorders>
              <w:top w:val="nil"/>
              <w:left w:val="nil"/>
              <w:bottom w:val="nil"/>
              <w:right w:val="nil"/>
            </w:tcBorders>
            <w:shd w:val="clear" w:color="auto" w:fill="auto"/>
            <w:noWrap/>
            <w:vAlign w:val="bottom"/>
            <w:hideMark/>
          </w:tcPr>
          <w:p w14:paraId="404797BC"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315 (19.9) </w:t>
            </w:r>
          </w:p>
        </w:tc>
        <w:tc>
          <w:tcPr>
            <w:tcW w:w="965" w:type="dxa"/>
            <w:tcBorders>
              <w:top w:val="nil"/>
              <w:left w:val="nil"/>
              <w:bottom w:val="nil"/>
              <w:right w:val="nil"/>
            </w:tcBorders>
            <w:shd w:val="clear" w:color="auto" w:fill="auto"/>
            <w:noWrap/>
            <w:vAlign w:val="bottom"/>
            <w:hideMark/>
          </w:tcPr>
          <w:p w14:paraId="1594E20A"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36BD42FA" w14:textId="77777777" w:rsidTr="00730717">
        <w:trPr>
          <w:gridAfter w:val="1"/>
          <w:wAfter w:w="237" w:type="dxa"/>
          <w:trHeight w:val="200"/>
        </w:trPr>
        <w:tc>
          <w:tcPr>
            <w:tcW w:w="1561" w:type="dxa"/>
            <w:vMerge w:val="restart"/>
            <w:tcBorders>
              <w:top w:val="nil"/>
              <w:left w:val="nil"/>
              <w:right w:val="nil"/>
            </w:tcBorders>
            <w:shd w:val="clear" w:color="auto" w:fill="auto"/>
            <w:noWrap/>
            <w:hideMark/>
          </w:tcPr>
          <w:p w14:paraId="055A1F0C" w14:textId="77777777" w:rsidR="007E3DBA" w:rsidRPr="000621D5" w:rsidRDefault="007E3DBA" w:rsidP="00730717">
            <w:pPr>
              <w:spacing w:before="0" w:line="240" w:lineRule="auto"/>
              <w:rPr>
                <w:rFonts w:cs="Calibri"/>
                <w:color w:val="000000"/>
                <w:sz w:val="16"/>
                <w:szCs w:val="16"/>
                <w:lang w:eastAsia="en-GB"/>
              </w:rPr>
            </w:pPr>
            <w:r w:rsidRPr="000621D5">
              <w:rPr>
                <w:rFonts w:cs="Calibri"/>
                <w:color w:val="000000"/>
                <w:sz w:val="16"/>
                <w:szCs w:val="16"/>
                <w:lang w:eastAsia="en-GB"/>
              </w:rPr>
              <w:t>History of Specific Comorbidity</w:t>
            </w:r>
          </w:p>
        </w:tc>
        <w:tc>
          <w:tcPr>
            <w:tcW w:w="2976" w:type="dxa"/>
            <w:tcBorders>
              <w:top w:val="nil"/>
              <w:left w:val="nil"/>
              <w:bottom w:val="nil"/>
              <w:right w:val="nil"/>
            </w:tcBorders>
            <w:shd w:val="clear" w:color="auto" w:fill="auto"/>
            <w:noWrap/>
            <w:vAlign w:val="bottom"/>
            <w:hideMark/>
          </w:tcPr>
          <w:p w14:paraId="6D65BBB7"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IHD</w:t>
            </w:r>
          </w:p>
        </w:tc>
        <w:tc>
          <w:tcPr>
            <w:tcW w:w="1786" w:type="dxa"/>
            <w:tcBorders>
              <w:top w:val="nil"/>
              <w:left w:val="nil"/>
              <w:bottom w:val="nil"/>
              <w:right w:val="nil"/>
            </w:tcBorders>
            <w:shd w:val="clear" w:color="auto" w:fill="auto"/>
            <w:noWrap/>
            <w:vAlign w:val="bottom"/>
            <w:hideMark/>
          </w:tcPr>
          <w:p w14:paraId="72DF49B2"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878 (21.2) </w:t>
            </w:r>
          </w:p>
        </w:tc>
        <w:tc>
          <w:tcPr>
            <w:tcW w:w="1823" w:type="dxa"/>
            <w:tcBorders>
              <w:top w:val="nil"/>
              <w:left w:val="nil"/>
              <w:bottom w:val="nil"/>
              <w:right w:val="nil"/>
            </w:tcBorders>
            <w:shd w:val="clear" w:color="auto" w:fill="auto"/>
            <w:noWrap/>
            <w:vAlign w:val="bottom"/>
            <w:hideMark/>
          </w:tcPr>
          <w:p w14:paraId="7B1B395B"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551 (21.6) </w:t>
            </w:r>
          </w:p>
        </w:tc>
        <w:tc>
          <w:tcPr>
            <w:tcW w:w="1823" w:type="dxa"/>
            <w:tcBorders>
              <w:top w:val="nil"/>
              <w:left w:val="nil"/>
              <w:bottom w:val="nil"/>
              <w:right w:val="nil"/>
            </w:tcBorders>
            <w:shd w:val="clear" w:color="auto" w:fill="auto"/>
            <w:noWrap/>
            <w:vAlign w:val="bottom"/>
            <w:hideMark/>
          </w:tcPr>
          <w:p w14:paraId="5E745676"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327 (20.5) </w:t>
            </w:r>
          </w:p>
        </w:tc>
        <w:tc>
          <w:tcPr>
            <w:tcW w:w="965" w:type="dxa"/>
            <w:tcBorders>
              <w:top w:val="nil"/>
              <w:left w:val="nil"/>
              <w:bottom w:val="nil"/>
              <w:right w:val="nil"/>
            </w:tcBorders>
            <w:shd w:val="clear" w:color="auto" w:fill="auto"/>
            <w:noWrap/>
            <w:vAlign w:val="bottom"/>
            <w:hideMark/>
          </w:tcPr>
          <w:p w14:paraId="3025D731"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0.415</w:t>
            </w:r>
          </w:p>
        </w:tc>
      </w:tr>
      <w:tr w:rsidR="007E3DBA" w:rsidRPr="000621D5" w14:paraId="61C4C38F" w14:textId="77777777" w:rsidTr="00730717">
        <w:trPr>
          <w:gridAfter w:val="1"/>
          <w:wAfter w:w="237" w:type="dxa"/>
          <w:trHeight w:val="200"/>
        </w:trPr>
        <w:tc>
          <w:tcPr>
            <w:tcW w:w="1561" w:type="dxa"/>
            <w:vMerge/>
            <w:tcBorders>
              <w:left w:val="nil"/>
              <w:right w:val="nil"/>
            </w:tcBorders>
            <w:shd w:val="clear" w:color="auto" w:fill="auto"/>
            <w:noWrap/>
            <w:vAlign w:val="bottom"/>
            <w:hideMark/>
          </w:tcPr>
          <w:p w14:paraId="15BF31F0" w14:textId="77777777" w:rsidR="007E3DBA" w:rsidRPr="000621D5" w:rsidRDefault="007E3DBA" w:rsidP="00730717">
            <w:pPr>
              <w:spacing w:before="0" w:line="240" w:lineRule="auto"/>
              <w:jc w:val="center"/>
              <w:rPr>
                <w:rFonts w:cs="Calibri"/>
                <w:color w:val="000000"/>
                <w:sz w:val="16"/>
                <w:szCs w:val="16"/>
                <w:lang w:eastAsia="en-GB"/>
              </w:rPr>
            </w:pPr>
          </w:p>
        </w:tc>
        <w:tc>
          <w:tcPr>
            <w:tcW w:w="2976" w:type="dxa"/>
            <w:tcBorders>
              <w:top w:val="nil"/>
              <w:left w:val="nil"/>
              <w:bottom w:val="nil"/>
              <w:right w:val="nil"/>
            </w:tcBorders>
            <w:shd w:val="clear" w:color="auto" w:fill="auto"/>
            <w:noWrap/>
            <w:vAlign w:val="bottom"/>
            <w:hideMark/>
          </w:tcPr>
          <w:p w14:paraId="62EB71BE"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COPD</w:t>
            </w:r>
          </w:p>
        </w:tc>
        <w:tc>
          <w:tcPr>
            <w:tcW w:w="1786" w:type="dxa"/>
            <w:tcBorders>
              <w:top w:val="nil"/>
              <w:left w:val="nil"/>
              <w:bottom w:val="nil"/>
              <w:right w:val="nil"/>
            </w:tcBorders>
            <w:shd w:val="clear" w:color="auto" w:fill="auto"/>
            <w:noWrap/>
            <w:vAlign w:val="bottom"/>
            <w:hideMark/>
          </w:tcPr>
          <w:p w14:paraId="7D7770A5"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399 (9.6) </w:t>
            </w:r>
          </w:p>
        </w:tc>
        <w:tc>
          <w:tcPr>
            <w:tcW w:w="1823" w:type="dxa"/>
            <w:tcBorders>
              <w:top w:val="nil"/>
              <w:left w:val="nil"/>
              <w:bottom w:val="nil"/>
              <w:right w:val="nil"/>
            </w:tcBorders>
            <w:shd w:val="clear" w:color="auto" w:fill="auto"/>
            <w:noWrap/>
            <w:vAlign w:val="bottom"/>
            <w:hideMark/>
          </w:tcPr>
          <w:p w14:paraId="6A2955FC"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257 (10.1) </w:t>
            </w:r>
          </w:p>
        </w:tc>
        <w:tc>
          <w:tcPr>
            <w:tcW w:w="1823" w:type="dxa"/>
            <w:tcBorders>
              <w:top w:val="nil"/>
              <w:left w:val="nil"/>
              <w:bottom w:val="nil"/>
              <w:right w:val="nil"/>
            </w:tcBorders>
            <w:shd w:val="clear" w:color="auto" w:fill="auto"/>
            <w:noWrap/>
            <w:vAlign w:val="bottom"/>
            <w:hideMark/>
          </w:tcPr>
          <w:p w14:paraId="4ED4A20D"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142 (8.9) </w:t>
            </w:r>
          </w:p>
        </w:tc>
        <w:tc>
          <w:tcPr>
            <w:tcW w:w="965" w:type="dxa"/>
            <w:tcBorders>
              <w:top w:val="nil"/>
              <w:left w:val="nil"/>
              <w:bottom w:val="nil"/>
              <w:right w:val="nil"/>
            </w:tcBorders>
            <w:shd w:val="clear" w:color="auto" w:fill="auto"/>
            <w:noWrap/>
            <w:vAlign w:val="bottom"/>
            <w:hideMark/>
          </w:tcPr>
          <w:p w14:paraId="4E59B014"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0.231</w:t>
            </w:r>
          </w:p>
        </w:tc>
      </w:tr>
      <w:tr w:rsidR="007E3DBA" w:rsidRPr="000621D5" w14:paraId="471C0550"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548F2C0D" w14:textId="77777777" w:rsidR="007E3DBA" w:rsidRPr="000621D5" w:rsidRDefault="007E3DBA" w:rsidP="00730717">
            <w:pPr>
              <w:spacing w:before="0" w:line="240" w:lineRule="auto"/>
              <w:jc w:val="center"/>
              <w:rPr>
                <w:rFonts w:cs="Calibri"/>
                <w:color w:val="000000"/>
                <w:sz w:val="16"/>
                <w:szCs w:val="16"/>
                <w:lang w:eastAsia="en-GB"/>
              </w:rPr>
            </w:pPr>
          </w:p>
        </w:tc>
        <w:tc>
          <w:tcPr>
            <w:tcW w:w="2976" w:type="dxa"/>
            <w:tcBorders>
              <w:top w:val="nil"/>
              <w:left w:val="nil"/>
              <w:bottom w:val="nil"/>
              <w:right w:val="nil"/>
            </w:tcBorders>
            <w:shd w:val="clear" w:color="auto" w:fill="auto"/>
            <w:noWrap/>
            <w:vAlign w:val="bottom"/>
            <w:hideMark/>
          </w:tcPr>
          <w:p w14:paraId="1399C62B"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DM</w:t>
            </w:r>
          </w:p>
        </w:tc>
        <w:tc>
          <w:tcPr>
            <w:tcW w:w="1786" w:type="dxa"/>
            <w:tcBorders>
              <w:top w:val="nil"/>
              <w:left w:val="nil"/>
              <w:bottom w:val="nil"/>
              <w:right w:val="nil"/>
            </w:tcBorders>
            <w:shd w:val="clear" w:color="auto" w:fill="auto"/>
            <w:noWrap/>
            <w:vAlign w:val="bottom"/>
            <w:hideMark/>
          </w:tcPr>
          <w:p w14:paraId="0D541220"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385 (9.3) </w:t>
            </w:r>
          </w:p>
        </w:tc>
        <w:tc>
          <w:tcPr>
            <w:tcW w:w="1823" w:type="dxa"/>
            <w:tcBorders>
              <w:top w:val="nil"/>
              <w:left w:val="nil"/>
              <w:bottom w:val="nil"/>
              <w:right w:val="nil"/>
            </w:tcBorders>
            <w:shd w:val="clear" w:color="auto" w:fill="auto"/>
            <w:noWrap/>
            <w:vAlign w:val="bottom"/>
            <w:hideMark/>
          </w:tcPr>
          <w:p w14:paraId="6D48196F"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249 (9.8) </w:t>
            </w:r>
          </w:p>
        </w:tc>
        <w:tc>
          <w:tcPr>
            <w:tcW w:w="1823" w:type="dxa"/>
            <w:tcBorders>
              <w:top w:val="nil"/>
              <w:left w:val="nil"/>
              <w:bottom w:val="nil"/>
              <w:right w:val="nil"/>
            </w:tcBorders>
            <w:shd w:val="clear" w:color="auto" w:fill="auto"/>
            <w:noWrap/>
            <w:vAlign w:val="bottom"/>
            <w:hideMark/>
          </w:tcPr>
          <w:p w14:paraId="02049FEE"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136 (8.5) </w:t>
            </w:r>
          </w:p>
        </w:tc>
        <w:tc>
          <w:tcPr>
            <w:tcW w:w="965" w:type="dxa"/>
            <w:tcBorders>
              <w:top w:val="nil"/>
              <w:left w:val="nil"/>
              <w:bottom w:val="nil"/>
              <w:right w:val="nil"/>
            </w:tcBorders>
            <w:shd w:val="clear" w:color="auto" w:fill="auto"/>
            <w:noWrap/>
            <w:vAlign w:val="bottom"/>
            <w:hideMark/>
          </w:tcPr>
          <w:p w14:paraId="06781075"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0.199</w:t>
            </w:r>
          </w:p>
        </w:tc>
      </w:tr>
      <w:tr w:rsidR="007E3DBA" w:rsidRPr="000621D5" w14:paraId="61957929" w14:textId="77777777" w:rsidTr="00730717">
        <w:trPr>
          <w:gridAfter w:val="1"/>
          <w:wAfter w:w="237" w:type="dxa"/>
          <w:trHeight w:val="200"/>
        </w:trPr>
        <w:tc>
          <w:tcPr>
            <w:tcW w:w="4537" w:type="dxa"/>
            <w:gridSpan w:val="2"/>
            <w:tcBorders>
              <w:top w:val="nil"/>
              <w:left w:val="nil"/>
              <w:bottom w:val="nil"/>
              <w:right w:val="nil"/>
            </w:tcBorders>
            <w:shd w:val="clear" w:color="auto" w:fill="auto"/>
            <w:noWrap/>
            <w:vAlign w:val="bottom"/>
            <w:hideMark/>
          </w:tcPr>
          <w:p w14:paraId="1904B05D" w14:textId="77777777" w:rsidR="007E3DBA" w:rsidRPr="000621D5" w:rsidRDefault="007E3DBA" w:rsidP="00730717">
            <w:pPr>
              <w:spacing w:before="0" w:line="240" w:lineRule="auto"/>
              <w:rPr>
                <w:rFonts w:cs="Calibri"/>
                <w:color w:val="000000"/>
                <w:sz w:val="16"/>
                <w:szCs w:val="16"/>
                <w:lang w:eastAsia="en-GB"/>
              </w:rPr>
            </w:pPr>
            <w:r w:rsidRPr="000621D5">
              <w:rPr>
                <w:rFonts w:cs="Calibri"/>
                <w:color w:val="000000"/>
                <w:sz w:val="16"/>
                <w:szCs w:val="16"/>
                <w:lang w:eastAsia="en-GB"/>
              </w:rPr>
              <w:t>Number of recorded comorbidities</w:t>
            </w:r>
          </w:p>
        </w:tc>
        <w:tc>
          <w:tcPr>
            <w:tcW w:w="1786" w:type="dxa"/>
            <w:tcBorders>
              <w:top w:val="nil"/>
              <w:left w:val="nil"/>
              <w:bottom w:val="nil"/>
              <w:right w:val="nil"/>
            </w:tcBorders>
            <w:shd w:val="clear" w:color="auto" w:fill="auto"/>
            <w:noWrap/>
            <w:vAlign w:val="bottom"/>
            <w:hideMark/>
          </w:tcPr>
          <w:p w14:paraId="63EE8FF6"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0.00 [0.00, 1.00]</w:t>
            </w:r>
          </w:p>
        </w:tc>
        <w:tc>
          <w:tcPr>
            <w:tcW w:w="1823" w:type="dxa"/>
            <w:tcBorders>
              <w:top w:val="nil"/>
              <w:left w:val="nil"/>
              <w:bottom w:val="nil"/>
              <w:right w:val="nil"/>
            </w:tcBorders>
            <w:shd w:val="clear" w:color="auto" w:fill="auto"/>
            <w:noWrap/>
            <w:vAlign w:val="bottom"/>
            <w:hideMark/>
          </w:tcPr>
          <w:p w14:paraId="5215C8B4"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0.00 [0.00, 1.00]</w:t>
            </w:r>
          </w:p>
        </w:tc>
        <w:tc>
          <w:tcPr>
            <w:tcW w:w="1823" w:type="dxa"/>
            <w:tcBorders>
              <w:top w:val="nil"/>
              <w:left w:val="nil"/>
              <w:bottom w:val="nil"/>
              <w:right w:val="nil"/>
            </w:tcBorders>
            <w:shd w:val="clear" w:color="auto" w:fill="auto"/>
            <w:noWrap/>
            <w:vAlign w:val="bottom"/>
            <w:hideMark/>
          </w:tcPr>
          <w:p w14:paraId="28C1704B"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0.00 [0.00, 1.00]</w:t>
            </w:r>
          </w:p>
        </w:tc>
        <w:tc>
          <w:tcPr>
            <w:tcW w:w="965" w:type="dxa"/>
            <w:tcBorders>
              <w:top w:val="nil"/>
              <w:left w:val="nil"/>
              <w:bottom w:val="nil"/>
              <w:right w:val="nil"/>
            </w:tcBorders>
            <w:shd w:val="clear" w:color="auto" w:fill="auto"/>
            <w:noWrap/>
            <w:vAlign w:val="bottom"/>
            <w:hideMark/>
          </w:tcPr>
          <w:p w14:paraId="1FFDAAFD"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0.008¶</w:t>
            </w:r>
          </w:p>
        </w:tc>
      </w:tr>
      <w:tr w:rsidR="007E3DBA" w:rsidRPr="000621D5" w14:paraId="5D30EB13" w14:textId="77777777" w:rsidTr="00730717">
        <w:trPr>
          <w:gridAfter w:val="1"/>
          <w:wAfter w:w="237" w:type="dxa"/>
          <w:trHeight w:val="200"/>
        </w:trPr>
        <w:tc>
          <w:tcPr>
            <w:tcW w:w="1561" w:type="dxa"/>
            <w:vMerge w:val="restart"/>
            <w:tcBorders>
              <w:top w:val="nil"/>
              <w:left w:val="nil"/>
              <w:right w:val="nil"/>
            </w:tcBorders>
            <w:shd w:val="clear" w:color="auto" w:fill="auto"/>
            <w:noWrap/>
            <w:hideMark/>
          </w:tcPr>
          <w:p w14:paraId="3E55FE26" w14:textId="77777777" w:rsidR="007E3DBA" w:rsidRPr="000621D5" w:rsidRDefault="007E3DBA" w:rsidP="00730717">
            <w:pPr>
              <w:spacing w:before="0" w:line="240" w:lineRule="auto"/>
              <w:rPr>
                <w:rFonts w:cs="Calibri"/>
                <w:color w:val="000000"/>
                <w:sz w:val="16"/>
                <w:szCs w:val="16"/>
                <w:lang w:eastAsia="en-GB"/>
              </w:rPr>
            </w:pPr>
            <w:r w:rsidRPr="000621D5">
              <w:rPr>
                <w:rFonts w:cs="Calibri"/>
                <w:color w:val="000000"/>
                <w:sz w:val="16"/>
                <w:szCs w:val="16"/>
                <w:lang w:eastAsia="en-GB"/>
              </w:rPr>
              <w:t>Annual Hospital Volume</w:t>
            </w:r>
          </w:p>
        </w:tc>
        <w:tc>
          <w:tcPr>
            <w:tcW w:w="2976" w:type="dxa"/>
            <w:tcBorders>
              <w:top w:val="nil"/>
              <w:left w:val="nil"/>
              <w:bottom w:val="nil"/>
              <w:right w:val="nil"/>
            </w:tcBorders>
            <w:shd w:val="clear" w:color="auto" w:fill="auto"/>
            <w:noWrap/>
            <w:vAlign w:val="bottom"/>
            <w:hideMark/>
          </w:tcPr>
          <w:p w14:paraId="0403D2FF"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1 to 30</w:t>
            </w:r>
          </w:p>
        </w:tc>
        <w:tc>
          <w:tcPr>
            <w:tcW w:w="1786" w:type="dxa"/>
            <w:tcBorders>
              <w:top w:val="nil"/>
              <w:left w:val="nil"/>
              <w:bottom w:val="nil"/>
              <w:right w:val="nil"/>
            </w:tcBorders>
            <w:shd w:val="clear" w:color="auto" w:fill="auto"/>
            <w:noWrap/>
            <w:vAlign w:val="bottom"/>
            <w:hideMark/>
          </w:tcPr>
          <w:p w14:paraId="21C2364A"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308 (7.4) </w:t>
            </w:r>
          </w:p>
        </w:tc>
        <w:tc>
          <w:tcPr>
            <w:tcW w:w="1823" w:type="dxa"/>
            <w:tcBorders>
              <w:top w:val="nil"/>
              <w:left w:val="nil"/>
              <w:bottom w:val="nil"/>
              <w:right w:val="nil"/>
            </w:tcBorders>
            <w:shd w:val="clear" w:color="auto" w:fill="auto"/>
            <w:noWrap/>
            <w:vAlign w:val="bottom"/>
            <w:hideMark/>
          </w:tcPr>
          <w:p w14:paraId="32A96A75"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190 (7.5) </w:t>
            </w:r>
          </w:p>
        </w:tc>
        <w:tc>
          <w:tcPr>
            <w:tcW w:w="1823" w:type="dxa"/>
            <w:tcBorders>
              <w:top w:val="nil"/>
              <w:left w:val="nil"/>
              <w:bottom w:val="nil"/>
              <w:right w:val="nil"/>
            </w:tcBorders>
            <w:shd w:val="clear" w:color="auto" w:fill="auto"/>
            <w:noWrap/>
            <w:vAlign w:val="bottom"/>
            <w:hideMark/>
          </w:tcPr>
          <w:p w14:paraId="2865DF79"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118 (7.4) </w:t>
            </w:r>
          </w:p>
        </w:tc>
        <w:tc>
          <w:tcPr>
            <w:tcW w:w="965" w:type="dxa"/>
            <w:tcBorders>
              <w:top w:val="nil"/>
              <w:left w:val="nil"/>
              <w:bottom w:val="nil"/>
              <w:right w:val="nil"/>
            </w:tcBorders>
            <w:shd w:val="clear" w:color="auto" w:fill="auto"/>
            <w:noWrap/>
            <w:vAlign w:val="bottom"/>
            <w:hideMark/>
          </w:tcPr>
          <w:p w14:paraId="673AFE0B"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&lt;0.001</w:t>
            </w:r>
          </w:p>
        </w:tc>
      </w:tr>
      <w:tr w:rsidR="007E3DBA" w:rsidRPr="000621D5" w14:paraId="766C28BD" w14:textId="77777777" w:rsidTr="00730717">
        <w:trPr>
          <w:gridAfter w:val="1"/>
          <w:wAfter w:w="237" w:type="dxa"/>
          <w:trHeight w:val="200"/>
        </w:trPr>
        <w:tc>
          <w:tcPr>
            <w:tcW w:w="1561" w:type="dxa"/>
            <w:vMerge/>
            <w:tcBorders>
              <w:left w:val="nil"/>
              <w:right w:val="nil"/>
            </w:tcBorders>
            <w:shd w:val="clear" w:color="auto" w:fill="auto"/>
            <w:noWrap/>
            <w:vAlign w:val="bottom"/>
            <w:hideMark/>
          </w:tcPr>
          <w:p w14:paraId="38B71424" w14:textId="77777777" w:rsidR="007E3DBA" w:rsidRPr="000621D5" w:rsidRDefault="007E3DBA" w:rsidP="00730717">
            <w:pPr>
              <w:spacing w:before="0" w:line="240" w:lineRule="auto"/>
              <w:jc w:val="center"/>
              <w:rPr>
                <w:rFonts w:cs="Calibri"/>
                <w:color w:val="000000"/>
                <w:sz w:val="16"/>
                <w:szCs w:val="16"/>
                <w:lang w:eastAsia="en-GB"/>
              </w:rPr>
            </w:pPr>
          </w:p>
        </w:tc>
        <w:tc>
          <w:tcPr>
            <w:tcW w:w="2976" w:type="dxa"/>
            <w:tcBorders>
              <w:top w:val="nil"/>
              <w:left w:val="nil"/>
              <w:bottom w:val="nil"/>
              <w:right w:val="nil"/>
            </w:tcBorders>
            <w:shd w:val="clear" w:color="auto" w:fill="auto"/>
            <w:noWrap/>
            <w:vAlign w:val="bottom"/>
            <w:hideMark/>
          </w:tcPr>
          <w:p w14:paraId="628C738E"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31 to 60</w:t>
            </w:r>
          </w:p>
        </w:tc>
        <w:tc>
          <w:tcPr>
            <w:tcW w:w="1786" w:type="dxa"/>
            <w:tcBorders>
              <w:top w:val="nil"/>
              <w:left w:val="nil"/>
              <w:bottom w:val="nil"/>
              <w:right w:val="nil"/>
            </w:tcBorders>
            <w:shd w:val="clear" w:color="auto" w:fill="auto"/>
            <w:noWrap/>
            <w:vAlign w:val="bottom"/>
            <w:hideMark/>
          </w:tcPr>
          <w:p w14:paraId="4139FD8E"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2117 (51.1) </w:t>
            </w:r>
          </w:p>
        </w:tc>
        <w:tc>
          <w:tcPr>
            <w:tcW w:w="1823" w:type="dxa"/>
            <w:tcBorders>
              <w:top w:val="nil"/>
              <w:left w:val="nil"/>
              <w:bottom w:val="nil"/>
              <w:right w:val="nil"/>
            </w:tcBorders>
            <w:shd w:val="clear" w:color="auto" w:fill="auto"/>
            <w:noWrap/>
            <w:vAlign w:val="bottom"/>
            <w:hideMark/>
          </w:tcPr>
          <w:p w14:paraId="68C10ACC"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1392 (54.7) </w:t>
            </w:r>
          </w:p>
        </w:tc>
        <w:tc>
          <w:tcPr>
            <w:tcW w:w="1823" w:type="dxa"/>
            <w:tcBorders>
              <w:top w:val="nil"/>
              <w:left w:val="nil"/>
              <w:bottom w:val="nil"/>
              <w:right w:val="nil"/>
            </w:tcBorders>
            <w:shd w:val="clear" w:color="auto" w:fill="auto"/>
            <w:noWrap/>
            <w:vAlign w:val="bottom"/>
            <w:hideMark/>
          </w:tcPr>
          <w:p w14:paraId="50C8289F"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725 (45.5) </w:t>
            </w:r>
          </w:p>
        </w:tc>
        <w:tc>
          <w:tcPr>
            <w:tcW w:w="965" w:type="dxa"/>
            <w:tcBorders>
              <w:top w:val="nil"/>
              <w:left w:val="nil"/>
              <w:bottom w:val="nil"/>
              <w:right w:val="nil"/>
            </w:tcBorders>
            <w:shd w:val="clear" w:color="auto" w:fill="auto"/>
            <w:noWrap/>
            <w:vAlign w:val="bottom"/>
            <w:hideMark/>
          </w:tcPr>
          <w:p w14:paraId="29CB46E9"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5EB52F77" w14:textId="77777777" w:rsidTr="00730717">
        <w:trPr>
          <w:gridAfter w:val="1"/>
          <w:wAfter w:w="237" w:type="dxa"/>
          <w:trHeight w:val="200"/>
        </w:trPr>
        <w:tc>
          <w:tcPr>
            <w:tcW w:w="1561" w:type="dxa"/>
            <w:vMerge/>
            <w:tcBorders>
              <w:left w:val="nil"/>
              <w:bottom w:val="nil"/>
              <w:right w:val="nil"/>
            </w:tcBorders>
            <w:shd w:val="clear" w:color="auto" w:fill="auto"/>
            <w:noWrap/>
            <w:vAlign w:val="bottom"/>
            <w:hideMark/>
          </w:tcPr>
          <w:p w14:paraId="2E63E188" w14:textId="77777777" w:rsidR="007E3DBA" w:rsidRPr="000621D5" w:rsidRDefault="007E3DBA" w:rsidP="00730717">
            <w:pPr>
              <w:spacing w:before="0" w:line="240" w:lineRule="auto"/>
              <w:jc w:val="center"/>
              <w:rPr>
                <w:rFonts w:ascii="Times New Roman" w:hAnsi="Times New Roman"/>
                <w:sz w:val="20"/>
                <w:szCs w:val="20"/>
                <w:lang w:eastAsia="en-GB"/>
              </w:rPr>
            </w:pPr>
          </w:p>
        </w:tc>
        <w:tc>
          <w:tcPr>
            <w:tcW w:w="2976" w:type="dxa"/>
            <w:tcBorders>
              <w:top w:val="nil"/>
              <w:left w:val="nil"/>
              <w:bottom w:val="nil"/>
              <w:right w:val="nil"/>
            </w:tcBorders>
            <w:shd w:val="clear" w:color="auto" w:fill="auto"/>
            <w:noWrap/>
            <w:vAlign w:val="bottom"/>
            <w:hideMark/>
          </w:tcPr>
          <w:p w14:paraId="48CFF672"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&gt;60</w:t>
            </w:r>
          </w:p>
        </w:tc>
        <w:tc>
          <w:tcPr>
            <w:tcW w:w="1786" w:type="dxa"/>
            <w:tcBorders>
              <w:top w:val="nil"/>
              <w:left w:val="nil"/>
              <w:bottom w:val="nil"/>
              <w:right w:val="nil"/>
            </w:tcBorders>
            <w:shd w:val="clear" w:color="auto" w:fill="auto"/>
            <w:noWrap/>
            <w:vAlign w:val="bottom"/>
            <w:hideMark/>
          </w:tcPr>
          <w:p w14:paraId="6D2E5DA9"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1714 (41.4) </w:t>
            </w:r>
          </w:p>
        </w:tc>
        <w:tc>
          <w:tcPr>
            <w:tcW w:w="1823" w:type="dxa"/>
            <w:tcBorders>
              <w:top w:val="nil"/>
              <w:left w:val="nil"/>
              <w:bottom w:val="nil"/>
              <w:right w:val="nil"/>
            </w:tcBorders>
            <w:shd w:val="clear" w:color="auto" w:fill="auto"/>
            <w:noWrap/>
            <w:vAlign w:val="bottom"/>
            <w:hideMark/>
          </w:tcPr>
          <w:p w14:paraId="26CC0BF7"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964 (37.9) </w:t>
            </w:r>
          </w:p>
        </w:tc>
        <w:tc>
          <w:tcPr>
            <w:tcW w:w="1823" w:type="dxa"/>
            <w:tcBorders>
              <w:top w:val="nil"/>
              <w:left w:val="nil"/>
              <w:bottom w:val="nil"/>
              <w:right w:val="nil"/>
            </w:tcBorders>
            <w:shd w:val="clear" w:color="auto" w:fill="auto"/>
            <w:noWrap/>
            <w:vAlign w:val="bottom"/>
            <w:hideMark/>
          </w:tcPr>
          <w:p w14:paraId="7CF3C809"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750 (47.1) </w:t>
            </w:r>
          </w:p>
        </w:tc>
        <w:tc>
          <w:tcPr>
            <w:tcW w:w="965" w:type="dxa"/>
            <w:tcBorders>
              <w:top w:val="nil"/>
              <w:left w:val="nil"/>
              <w:bottom w:val="nil"/>
              <w:right w:val="nil"/>
            </w:tcBorders>
            <w:shd w:val="clear" w:color="auto" w:fill="auto"/>
            <w:noWrap/>
            <w:vAlign w:val="bottom"/>
            <w:hideMark/>
          </w:tcPr>
          <w:p w14:paraId="2F4E0226"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04ACDDB5"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67EAC2E4" w14:textId="77777777" w:rsidR="007E3DBA" w:rsidRPr="000621D5" w:rsidRDefault="007E3DBA" w:rsidP="00730717">
            <w:pPr>
              <w:spacing w:before="0" w:line="240" w:lineRule="auto"/>
              <w:rPr>
                <w:rFonts w:cs="Calibri"/>
                <w:color w:val="000000"/>
                <w:sz w:val="16"/>
                <w:szCs w:val="16"/>
                <w:lang w:eastAsia="en-GB"/>
              </w:rPr>
            </w:pPr>
            <w:r w:rsidRPr="000621D5">
              <w:rPr>
                <w:rFonts w:cs="Calibri"/>
                <w:color w:val="000000"/>
                <w:sz w:val="16"/>
                <w:szCs w:val="16"/>
                <w:lang w:eastAsia="en-GB"/>
              </w:rPr>
              <w:t>ypT</w:t>
            </w:r>
          </w:p>
        </w:tc>
        <w:tc>
          <w:tcPr>
            <w:tcW w:w="2976" w:type="dxa"/>
            <w:tcBorders>
              <w:top w:val="nil"/>
              <w:left w:val="nil"/>
              <w:bottom w:val="nil"/>
              <w:right w:val="nil"/>
            </w:tcBorders>
            <w:shd w:val="clear" w:color="auto" w:fill="auto"/>
            <w:noWrap/>
            <w:vAlign w:val="bottom"/>
            <w:hideMark/>
          </w:tcPr>
          <w:p w14:paraId="34439CCA"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0</w:t>
            </w:r>
          </w:p>
        </w:tc>
        <w:tc>
          <w:tcPr>
            <w:tcW w:w="1786" w:type="dxa"/>
            <w:tcBorders>
              <w:top w:val="nil"/>
              <w:left w:val="nil"/>
              <w:bottom w:val="nil"/>
              <w:right w:val="nil"/>
            </w:tcBorders>
            <w:shd w:val="clear" w:color="auto" w:fill="auto"/>
            <w:noWrap/>
            <w:vAlign w:val="bottom"/>
            <w:hideMark/>
          </w:tcPr>
          <w:p w14:paraId="20E2C3CE"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279 (7.0) </w:t>
            </w:r>
          </w:p>
        </w:tc>
        <w:tc>
          <w:tcPr>
            <w:tcW w:w="1823" w:type="dxa"/>
            <w:tcBorders>
              <w:top w:val="nil"/>
              <w:left w:val="nil"/>
              <w:bottom w:val="nil"/>
              <w:right w:val="nil"/>
            </w:tcBorders>
            <w:shd w:val="clear" w:color="auto" w:fill="auto"/>
            <w:noWrap/>
            <w:vAlign w:val="bottom"/>
            <w:hideMark/>
          </w:tcPr>
          <w:p w14:paraId="367E882F"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181 (7.4) </w:t>
            </w:r>
          </w:p>
        </w:tc>
        <w:tc>
          <w:tcPr>
            <w:tcW w:w="1823" w:type="dxa"/>
            <w:tcBorders>
              <w:top w:val="nil"/>
              <w:left w:val="nil"/>
              <w:bottom w:val="nil"/>
              <w:right w:val="nil"/>
            </w:tcBorders>
            <w:shd w:val="clear" w:color="auto" w:fill="auto"/>
            <w:noWrap/>
            <w:vAlign w:val="bottom"/>
            <w:hideMark/>
          </w:tcPr>
          <w:p w14:paraId="2F3B3E74"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98 (6.4) </w:t>
            </w:r>
          </w:p>
        </w:tc>
        <w:tc>
          <w:tcPr>
            <w:tcW w:w="965" w:type="dxa"/>
            <w:tcBorders>
              <w:top w:val="nil"/>
              <w:left w:val="nil"/>
              <w:bottom w:val="nil"/>
              <w:right w:val="nil"/>
            </w:tcBorders>
            <w:shd w:val="clear" w:color="auto" w:fill="auto"/>
            <w:noWrap/>
            <w:vAlign w:val="bottom"/>
            <w:hideMark/>
          </w:tcPr>
          <w:p w14:paraId="0ED7B7A5"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0.064</w:t>
            </w:r>
          </w:p>
        </w:tc>
      </w:tr>
      <w:tr w:rsidR="007E3DBA" w:rsidRPr="000621D5" w14:paraId="0FD859EC"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76C21509" w14:textId="77777777" w:rsidR="007E3DBA" w:rsidRPr="000621D5" w:rsidRDefault="007E3DBA" w:rsidP="00730717">
            <w:pPr>
              <w:spacing w:before="0" w:line="240" w:lineRule="auto"/>
              <w:jc w:val="center"/>
              <w:rPr>
                <w:rFonts w:cs="Calibri"/>
                <w:color w:val="000000"/>
                <w:sz w:val="16"/>
                <w:szCs w:val="16"/>
                <w:lang w:eastAsia="en-GB"/>
              </w:rPr>
            </w:pPr>
          </w:p>
        </w:tc>
        <w:tc>
          <w:tcPr>
            <w:tcW w:w="2976" w:type="dxa"/>
            <w:tcBorders>
              <w:top w:val="nil"/>
              <w:left w:val="nil"/>
              <w:bottom w:val="nil"/>
              <w:right w:val="nil"/>
            </w:tcBorders>
            <w:shd w:val="clear" w:color="auto" w:fill="auto"/>
            <w:noWrap/>
            <w:vAlign w:val="bottom"/>
            <w:hideMark/>
          </w:tcPr>
          <w:p w14:paraId="0EADE186"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1</w:t>
            </w:r>
          </w:p>
        </w:tc>
        <w:tc>
          <w:tcPr>
            <w:tcW w:w="1786" w:type="dxa"/>
            <w:tcBorders>
              <w:top w:val="nil"/>
              <w:left w:val="nil"/>
              <w:bottom w:val="nil"/>
              <w:right w:val="nil"/>
            </w:tcBorders>
            <w:shd w:val="clear" w:color="auto" w:fill="auto"/>
            <w:noWrap/>
            <w:vAlign w:val="bottom"/>
            <w:hideMark/>
          </w:tcPr>
          <w:p w14:paraId="3FB190D8"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515 (13.0) </w:t>
            </w:r>
          </w:p>
        </w:tc>
        <w:tc>
          <w:tcPr>
            <w:tcW w:w="1823" w:type="dxa"/>
            <w:tcBorders>
              <w:top w:val="nil"/>
              <w:left w:val="nil"/>
              <w:bottom w:val="nil"/>
              <w:right w:val="nil"/>
            </w:tcBorders>
            <w:shd w:val="clear" w:color="auto" w:fill="auto"/>
            <w:noWrap/>
            <w:vAlign w:val="bottom"/>
            <w:hideMark/>
          </w:tcPr>
          <w:p w14:paraId="1A0E8D08"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323 (13.3) </w:t>
            </w:r>
          </w:p>
        </w:tc>
        <w:tc>
          <w:tcPr>
            <w:tcW w:w="1823" w:type="dxa"/>
            <w:tcBorders>
              <w:top w:val="nil"/>
              <w:left w:val="nil"/>
              <w:bottom w:val="nil"/>
              <w:right w:val="nil"/>
            </w:tcBorders>
            <w:shd w:val="clear" w:color="auto" w:fill="auto"/>
            <w:noWrap/>
            <w:vAlign w:val="bottom"/>
            <w:hideMark/>
          </w:tcPr>
          <w:p w14:paraId="3B452839"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192 (12.5) </w:t>
            </w:r>
          </w:p>
        </w:tc>
        <w:tc>
          <w:tcPr>
            <w:tcW w:w="965" w:type="dxa"/>
            <w:tcBorders>
              <w:top w:val="nil"/>
              <w:left w:val="nil"/>
              <w:bottom w:val="nil"/>
              <w:right w:val="nil"/>
            </w:tcBorders>
            <w:shd w:val="clear" w:color="auto" w:fill="auto"/>
            <w:noWrap/>
            <w:vAlign w:val="bottom"/>
            <w:hideMark/>
          </w:tcPr>
          <w:p w14:paraId="6724F503"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6C27EF24"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79FE6070" w14:textId="77777777" w:rsidR="007E3DBA" w:rsidRPr="000621D5" w:rsidRDefault="007E3DBA" w:rsidP="00730717">
            <w:pPr>
              <w:spacing w:before="0" w:line="240" w:lineRule="auto"/>
              <w:jc w:val="center"/>
              <w:rPr>
                <w:rFonts w:ascii="Times New Roman" w:hAnsi="Times New Roman"/>
                <w:sz w:val="20"/>
                <w:szCs w:val="20"/>
                <w:lang w:eastAsia="en-GB"/>
              </w:rPr>
            </w:pPr>
          </w:p>
        </w:tc>
        <w:tc>
          <w:tcPr>
            <w:tcW w:w="2976" w:type="dxa"/>
            <w:tcBorders>
              <w:top w:val="nil"/>
              <w:left w:val="nil"/>
              <w:bottom w:val="nil"/>
              <w:right w:val="nil"/>
            </w:tcBorders>
            <w:shd w:val="clear" w:color="auto" w:fill="auto"/>
            <w:noWrap/>
            <w:vAlign w:val="bottom"/>
            <w:hideMark/>
          </w:tcPr>
          <w:p w14:paraId="2EC6A140"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2</w:t>
            </w:r>
          </w:p>
        </w:tc>
        <w:tc>
          <w:tcPr>
            <w:tcW w:w="1786" w:type="dxa"/>
            <w:tcBorders>
              <w:top w:val="nil"/>
              <w:left w:val="nil"/>
              <w:bottom w:val="nil"/>
              <w:right w:val="nil"/>
            </w:tcBorders>
            <w:shd w:val="clear" w:color="auto" w:fill="auto"/>
            <w:noWrap/>
            <w:vAlign w:val="bottom"/>
            <w:hideMark/>
          </w:tcPr>
          <w:p w14:paraId="1524D1C5"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531 (13.4) </w:t>
            </w:r>
          </w:p>
        </w:tc>
        <w:tc>
          <w:tcPr>
            <w:tcW w:w="1823" w:type="dxa"/>
            <w:tcBorders>
              <w:top w:val="nil"/>
              <w:left w:val="nil"/>
              <w:bottom w:val="nil"/>
              <w:right w:val="nil"/>
            </w:tcBorders>
            <w:shd w:val="clear" w:color="auto" w:fill="auto"/>
            <w:noWrap/>
            <w:vAlign w:val="bottom"/>
            <w:hideMark/>
          </w:tcPr>
          <w:p w14:paraId="40902AEA"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318 (13.1) </w:t>
            </w:r>
          </w:p>
        </w:tc>
        <w:tc>
          <w:tcPr>
            <w:tcW w:w="1823" w:type="dxa"/>
            <w:tcBorders>
              <w:top w:val="nil"/>
              <w:left w:val="nil"/>
              <w:bottom w:val="nil"/>
              <w:right w:val="nil"/>
            </w:tcBorders>
            <w:shd w:val="clear" w:color="auto" w:fill="auto"/>
            <w:noWrap/>
            <w:vAlign w:val="bottom"/>
            <w:hideMark/>
          </w:tcPr>
          <w:p w14:paraId="75CB1D42"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213 (13.9) </w:t>
            </w:r>
          </w:p>
        </w:tc>
        <w:tc>
          <w:tcPr>
            <w:tcW w:w="965" w:type="dxa"/>
            <w:tcBorders>
              <w:top w:val="nil"/>
              <w:left w:val="nil"/>
              <w:bottom w:val="nil"/>
              <w:right w:val="nil"/>
            </w:tcBorders>
            <w:shd w:val="clear" w:color="auto" w:fill="auto"/>
            <w:noWrap/>
            <w:vAlign w:val="bottom"/>
            <w:hideMark/>
          </w:tcPr>
          <w:p w14:paraId="0C2E6D68"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3A5CCF7B"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530E3967" w14:textId="77777777" w:rsidR="007E3DBA" w:rsidRPr="000621D5" w:rsidRDefault="007E3DBA" w:rsidP="00730717">
            <w:pPr>
              <w:spacing w:before="0" w:line="240" w:lineRule="auto"/>
              <w:jc w:val="center"/>
              <w:rPr>
                <w:rFonts w:ascii="Times New Roman" w:hAnsi="Times New Roman"/>
                <w:sz w:val="20"/>
                <w:szCs w:val="20"/>
                <w:lang w:eastAsia="en-GB"/>
              </w:rPr>
            </w:pPr>
          </w:p>
        </w:tc>
        <w:tc>
          <w:tcPr>
            <w:tcW w:w="2976" w:type="dxa"/>
            <w:tcBorders>
              <w:top w:val="nil"/>
              <w:left w:val="nil"/>
              <w:bottom w:val="nil"/>
              <w:right w:val="nil"/>
            </w:tcBorders>
            <w:shd w:val="clear" w:color="auto" w:fill="auto"/>
            <w:noWrap/>
            <w:vAlign w:val="bottom"/>
            <w:hideMark/>
          </w:tcPr>
          <w:p w14:paraId="63BD1209"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3</w:t>
            </w:r>
          </w:p>
        </w:tc>
        <w:tc>
          <w:tcPr>
            <w:tcW w:w="1786" w:type="dxa"/>
            <w:tcBorders>
              <w:top w:val="nil"/>
              <w:left w:val="nil"/>
              <w:bottom w:val="nil"/>
              <w:right w:val="nil"/>
            </w:tcBorders>
            <w:shd w:val="clear" w:color="auto" w:fill="auto"/>
            <w:noWrap/>
            <w:vAlign w:val="bottom"/>
            <w:hideMark/>
          </w:tcPr>
          <w:p w14:paraId="6769D981"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2203 (55.6) </w:t>
            </w:r>
          </w:p>
        </w:tc>
        <w:tc>
          <w:tcPr>
            <w:tcW w:w="1823" w:type="dxa"/>
            <w:tcBorders>
              <w:top w:val="nil"/>
              <w:left w:val="nil"/>
              <w:bottom w:val="nil"/>
              <w:right w:val="nil"/>
            </w:tcBorders>
            <w:shd w:val="clear" w:color="auto" w:fill="auto"/>
            <w:noWrap/>
            <w:vAlign w:val="bottom"/>
            <w:hideMark/>
          </w:tcPr>
          <w:p w14:paraId="62CA1BD4"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1321 (54.3) </w:t>
            </w:r>
          </w:p>
        </w:tc>
        <w:tc>
          <w:tcPr>
            <w:tcW w:w="1823" w:type="dxa"/>
            <w:tcBorders>
              <w:top w:val="nil"/>
              <w:left w:val="nil"/>
              <w:bottom w:val="nil"/>
              <w:right w:val="nil"/>
            </w:tcBorders>
            <w:shd w:val="clear" w:color="auto" w:fill="auto"/>
            <w:noWrap/>
            <w:vAlign w:val="bottom"/>
            <w:hideMark/>
          </w:tcPr>
          <w:p w14:paraId="7E9A786B"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882 (57.6) </w:t>
            </w:r>
          </w:p>
        </w:tc>
        <w:tc>
          <w:tcPr>
            <w:tcW w:w="965" w:type="dxa"/>
            <w:tcBorders>
              <w:top w:val="nil"/>
              <w:left w:val="nil"/>
              <w:bottom w:val="nil"/>
              <w:right w:val="nil"/>
            </w:tcBorders>
            <w:shd w:val="clear" w:color="auto" w:fill="auto"/>
            <w:noWrap/>
            <w:vAlign w:val="bottom"/>
            <w:hideMark/>
          </w:tcPr>
          <w:p w14:paraId="070A8A00"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1B884C91"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15908557" w14:textId="77777777" w:rsidR="007E3DBA" w:rsidRPr="000621D5" w:rsidRDefault="007E3DBA" w:rsidP="00730717">
            <w:pPr>
              <w:spacing w:before="0" w:line="240" w:lineRule="auto"/>
              <w:jc w:val="center"/>
              <w:rPr>
                <w:rFonts w:ascii="Times New Roman" w:hAnsi="Times New Roman"/>
                <w:sz w:val="20"/>
                <w:szCs w:val="20"/>
                <w:lang w:eastAsia="en-GB"/>
              </w:rPr>
            </w:pPr>
          </w:p>
        </w:tc>
        <w:tc>
          <w:tcPr>
            <w:tcW w:w="2976" w:type="dxa"/>
            <w:tcBorders>
              <w:top w:val="nil"/>
              <w:left w:val="nil"/>
              <w:bottom w:val="nil"/>
              <w:right w:val="nil"/>
            </w:tcBorders>
            <w:shd w:val="clear" w:color="auto" w:fill="auto"/>
            <w:noWrap/>
            <w:vAlign w:val="bottom"/>
            <w:hideMark/>
          </w:tcPr>
          <w:p w14:paraId="64582468"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4</w:t>
            </w:r>
          </w:p>
        </w:tc>
        <w:tc>
          <w:tcPr>
            <w:tcW w:w="1786" w:type="dxa"/>
            <w:tcBorders>
              <w:top w:val="nil"/>
              <w:left w:val="nil"/>
              <w:bottom w:val="nil"/>
              <w:right w:val="nil"/>
            </w:tcBorders>
            <w:shd w:val="clear" w:color="auto" w:fill="auto"/>
            <w:noWrap/>
            <w:vAlign w:val="bottom"/>
            <w:hideMark/>
          </w:tcPr>
          <w:p w14:paraId="2479A6C3"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435 (11.0) </w:t>
            </w:r>
          </w:p>
        </w:tc>
        <w:tc>
          <w:tcPr>
            <w:tcW w:w="1823" w:type="dxa"/>
            <w:tcBorders>
              <w:top w:val="nil"/>
              <w:left w:val="nil"/>
              <w:bottom w:val="nil"/>
              <w:right w:val="nil"/>
            </w:tcBorders>
            <w:shd w:val="clear" w:color="auto" w:fill="auto"/>
            <w:noWrap/>
            <w:vAlign w:val="bottom"/>
            <w:hideMark/>
          </w:tcPr>
          <w:p w14:paraId="69FF5FC7"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289 (11.9) </w:t>
            </w:r>
          </w:p>
        </w:tc>
        <w:tc>
          <w:tcPr>
            <w:tcW w:w="1823" w:type="dxa"/>
            <w:tcBorders>
              <w:top w:val="nil"/>
              <w:left w:val="nil"/>
              <w:bottom w:val="nil"/>
              <w:right w:val="nil"/>
            </w:tcBorders>
            <w:shd w:val="clear" w:color="auto" w:fill="auto"/>
            <w:noWrap/>
            <w:vAlign w:val="bottom"/>
            <w:hideMark/>
          </w:tcPr>
          <w:p w14:paraId="050A4670"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146 (9.5) </w:t>
            </w:r>
          </w:p>
        </w:tc>
        <w:tc>
          <w:tcPr>
            <w:tcW w:w="965" w:type="dxa"/>
            <w:tcBorders>
              <w:top w:val="nil"/>
              <w:left w:val="nil"/>
              <w:bottom w:val="nil"/>
              <w:right w:val="nil"/>
            </w:tcBorders>
            <w:shd w:val="clear" w:color="auto" w:fill="auto"/>
            <w:noWrap/>
            <w:vAlign w:val="bottom"/>
            <w:hideMark/>
          </w:tcPr>
          <w:p w14:paraId="763CF4CD"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320EF022"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56EE2653" w14:textId="77777777" w:rsidR="007E3DBA" w:rsidRPr="000621D5" w:rsidRDefault="007E3DBA" w:rsidP="00730717">
            <w:pPr>
              <w:spacing w:before="0" w:line="240" w:lineRule="auto"/>
              <w:rPr>
                <w:rFonts w:cs="Calibri"/>
                <w:color w:val="000000"/>
                <w:sz w:val="16"/>
                <w:szCs w:val="16"/>
                <w:lang w:eastAsia="en-GB"/>
              </w:rPr>
            </w:pPr>
            <w:r w:rsidRPr="000621D5">
              <w:rPr>
                <w:rFonts w:cs="Calibri"/>
                <w:color w:val="000000"/>
                <w:sz w:val="16"/>
                <w:szCs w:val="16"/>
                <w:lang w:eastAsia="en-GB"/>
              </w:rPr>
              <w:t>ypN</w:t>
            </w:r>
          </w:p>
        </w:tc>
        <w:tc>
          <w:tcPr>
            <w:tcW w:w="2976" w:type="dxa"/>
            <w:tcBorders>
              <w:top w:val="nil"/>
              <w:left w:val="nil"/>
              <w:bottom w:val="nil"/>
              <w:right w:val="nil"/>
            </w:tcBorders>
            <w:shd w:val="clear" w:color="auto" w:fill="auto"/>
            <w:noWrap/>
            <w:vAlign w:val="bottom"/>
            <w:hideMark/>
          </w:tcPr>
          <w:p w14:paraId="09411B38"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0</w:t>
            </w:r>
          </w:p>
        </w:tc>
        <w:tc>
          <w:tcPr>
            <w:tcW w:w="1786" w:type="dxa"/>
            <w:tcBorders>
              <w:top w:val="nil"/>
              <w:left w:val="nil"/>
              <w:bottom w:val="nil"/>
              <w:right w:val="nil"/>
            </w:tcBorders>
            <w:shd w:val="clear" w:color="auto" w:fill="auto"/>
            <w:noWrap/>
            <w:vAlign w:val="bottom"/>
            <w:hideMark/>
          </w:tcPr>
          <w:p w14:paraId="21BDD763"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1708 (43.2) </w:t>
            </w:r>
          </w:p>
        </w:tc>
        <w:tc>
          <w:tcPr>
            <w:tcW w:w="1823" w:type="dxa"/>
            <w:tcBorders>
              <w:top w:val="nil"/>
              <w:left w:val="nil"/>
              <w:bottom w:val="nil"/>
              <w:right w:val="nil"/>
            </w:tcBorders>
            <w:shd w:val="clear" w:color="auto" w:fill="auto"/>
            <w:noWrap/>
            <w:vAlign w:val="bottom"/>
            <w:hideMark/>
          </w:tcPr>
          <w:p w14:paraId="0AFCB29B"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1063 (43.8) </w:t>
            </w:r>
          </w:p>
        </w:tc>
        <w:tc>
          <w:tcPr>
            <w:tcW w:w="1823" w:type="dxa"/>
            <w:tcBorders>
              <w:top w:val="nil"/>
              <w:left w:val="nil"/>
              <w:bottom w:val="nil"/>
              <w:right w:val="nil"/>
            </w:tcBorders>
            <w:shd w:val="clear" w:color="auto" w:fill="auto"/>
            <w:noWrap/>
            <w:vAlign w:val="bottom"/>
            <w:hideMark/>
          </w:tcPr>
          <w:p w14:paraId="1B5C9C48"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645 (42.2) </w:t>
            </w:r>
          </w:p>
        </w:tc>
        <w:tc>
          <w:tcPr>
            <w:tcW w:w="965" w:type="dxa"/>
            <w:tcBorders>
              <w:top w:val="nil"/>
              <w:left w:val="nil"/>
              <w:bottom w:val="nil"/>
              <w:right w:val="nil"/>
            </w:tcBorders>
            <w:shd w:val="clear" w:color="auto" w:fill="auto"/>
            <w:noWrap/>
            <w:vAlign w:val="bottom"/>
            <w:hideMark/>
          </w:tcPr>
          <w:p w14:paraId="4AE443EE"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0.416</w:t>
            </w:r>
          </w:p>
        </w:tc>
      </w:tr>
      <w:tr w:rsidR="007E3DBA" w:rsidRPr="000621D5" w14:paraId="012B34CD"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021F06B2" w14:textId="77777777" w:rsidR="007E3DBA" w:rsidRPr="000621D5" w:rsidRDefault="007E3DBA" w:rsidP="00730717">
            <w:pPr>
              <w:spacing w:before="0" w:line="240" w:lineRule="auto"/>
              <w:jc w:val="center"/>
              <w:rPr>
                <w:rFonts w:cs="Calibri"/>
                <w:color w:val="000000"/>
                <w:sz w:val="16"/>
                <w:szCs w:val="16"/>
                <w:lang w:eastAsia="en-GB"/>
              </w:rPr>
            </w:pPr>
          </w:p>
        </w:tc>
        <w:tc>
          <w:tcPr>
            <w:tcW w:w="2976" w:type="dxa"/>
            <w:tcBorders>
              <w:top w:val="nil"/>
              <w:left w:val="nil"/>
              <w:bottom w:val="nil"/>
              <w:right w:val="nil"/>
            </w:tcBorders>
            <w:shd w:val="clear" w:color="auto" w:fill="auto"/>
            <w:noWrap/>
            <w:vAlign w:val="bottom"/>
            <w:hideMark/>
          </w:tcPr>
          <w:p w14:paraId="7B5092EF"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1</w:t>
            </w:r>
          </w:p>
        </w:tc>
        <w:tc>
          <w:tcPr>
            <w:tcW w:w="1786" w:type="dxa"/>
            <w:tcBorders>
              <w:top w:val="nil"/>
              <w:left w:val="nil"/>
              <w:bottom w:val="nil"/>
              <w:right w:val="nil"/>
            </w:tcBorders>
            <w:shd w:val="clear" w:color="auto" w:fill="auto"/>
            <w:noWrap/>
            <w:vAlign w:val="bottom"/>
            <w:hideMark/>
          </w:tcPr>
          <w:p w14:paraId="5D21C479"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851 (21.5) </w:t>
            </w:r>
          </w:p>
        </w:tc>
        <w:tc>
          <w:tcPr>
            <w:tcW w:w="1823" w:type="dxa"/>
            <w:tcBorders>
              <w:top w:val="nil"/>
              <w:left w:val="nil"/>
              <w:bottom w:val="nil"/>
              <w:right w:val="nil"/>
            </w:tcBorders>
            <w:shd w:val="clear" w:color="auto" w:fill="auto"/>
            <w:noWrap/>
            <w:vAlign w:val="bottom"/>
            <w:hideMark/>
          </w:tcPr>
          <w:p w14:paraId="737B4B38"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526 (21.7) </w:t>
            </w:r>
          </w:p>
        </w:tc>
        <w:tc>
          <w:tcPr>
            <w:tcW w:w="1823" w:type="dxa"/>
            <w:tcBorders>
              <w:top w:val="nil"/>
              <w:left w:val="nil"/>
              <w:bottom w:val="nil"/>
              <w:right w:val="nil"/>
            </w:tcBorders>
            <w:shd w:val="clear" w:color="auto" w:fill="auto"/>
            <w:noWrap/>
            <w:vAlign w:val="bottom"/>
            <w:hideMark/>
          </w:tcPr>
          <w:p w14:paraId="5C018772"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325 (21.3) </w:t>
            </w:r>
          </w:p>
        </w:tc>
        <w:tc>
          <w:tcPr>
            <w:tcW w:w="965" w:type="dxa"/>
            <w:tcBorders>
              <w:top w:val="nil"/>
              <w:left w:val="nil"/>
              <w:bottom w:val="nil"/>
              <w:right w:val="nil"/>
            </w:tcBorders>
            <w:shd w:val="clear" w:color="auto" w:fill="auto"/>
            <w:noWrap/>
            <w:vAlign w:val="bottom"/>
            <w:hideMark/>
          </w:tcPr>
          <w:p w14:paraId="41B61407"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65D358BB"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7195514B" w14:textId="77777777" w:rsidR="007E3DBA" w:rsidRPr="000621D5" w:rsidRDefault="007E3DBA" w:rsidP="00730717">
            <w:pPr>
              <w:spacing w:before="0" w:line="240" w:lineRule="auto"/>
              <w:jc w:val="center"/>
              <w:rPr>
                <w:rFonts w:ascii="Times New Roman" w:hAnsi="Times New Roman"/>
                <w:sz w:val="20"/>
                <w:szCs w:val="20"/>
                <w:lang w:eastAsia="en-GB"/>
              </w:rPr>
            </w:pPr>
          </w:p>
        </w:tc>
        <w:tc>
          <w:tcPr>
            <w:tcW w:w="2976" w:type="dxa"/>
            <w:tcBorders>
              <w:top w:val="nil"/>
              <w:left w:val="nil"/>
              <w:bottom w:val="nil"/>
              <w:right w:val="nil"/>
            </w:tcBorders>
            <w:shd w:val="clear" w:color="auto" w:fill="auto"/>
            <w:noWrap/>
            <w:vAlign w:val="bottom"/>
            <w:hideMark/>
          </w:tcPr>
          <w:p w14:paraId="085CACA0"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2</w:t>
            </w:r>
          </w:p>
        </w:tc>
        <w:tc>
          <w:tcPr>
            <w:tcW w:w="1786" w:type="dxa"/>
            <w:tcBorders>
              <w:top w:val="nil"/>
              <w:left w:val="nil"/>
              <w:bottom w:val="nil"/>
              <w:right w:val="nil"/>
            </w:tcBorders>
            <w:shd w:val="clear" w:color="auto" w:fill="auto"/>
            <w:noWrap/>
            <w:vAlign w:val="bottom"/>
            <w:hideMark/>
          </w:tcPr>
          <w:p w14:paraId="6657373C"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776 (19.6) </w:t>
            </w:r>
          </w:p>
        </w:tc>
        <w:tc>
          <w:tcPr>
            <w:tcW w:w="1823" w:type="dxa"/>
            <w:tcBorders>
              <w:top w:val="nil"/>
              <w:left w:val="nil"/>
              <w:bottom w:val="nil"/>
              <w:right w:val="nil"/>
            </w:tcBorders>
            <w:shd w:val="clear" w:color="auto" w:fill="auto"/>
            <w:noWrap/>
            <w:vAlign w:val="bottom"/>
            <w:hideMark/>
          </w:tcPr>
          <w:p w14:paraId="3AEEF315"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456 (18.8) </w:t>
            </w:r>
          </w:p>
        </w:tc>
        <w:tc>
          <w:tcPr>
            <w:tcW w:w="1823" w:type="dxa"/>
            <w:tcBorders>
              <w:top w:val="nil"/>
              <w:left w:val="nil"/>
              <w:bottom w:val="nil"/>
              <w:right w:val="nil"/>
            </w:tcBorders>
            <w:shd w:val="clear" w:color="auto" w:fill="auto"/>
            <w:noWrap/>
            <w:vAlign w:val="bottom"/>
            <w:hideMark/>
          </w:tcPr>
          <w:p w14:paraId="7BF030E3"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320 (20.9) </w:t>
            </w:r>
          </w:p>
        </w:tc>
        <w:tc>
          <w:tcPr>
            <w:tcW w:w="965" w:type="dxa"/>
            <w:tcBorders>
              <w:top w:val="nil"/>
              <w:left w:val="nil"/>
              <w:bottom w:val="nil"/>
              <w:right w:val="nil"/>
            </w:tcBorders>
            <w:shd w:val="clear" w:color="auto" w:fill="auto"/>
            <w:noWrap/>
            <w:vAlign w:val="bottom"/>
            <w:hideMark/>
          </w:tcPr>
          <w:p w14:paraId="48906083"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3AEA2591"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77FFE149" w14:textId="77777777" w:rsidR="007E3DBA" w:rsidRPr="000621D5" w:rsidRDefault="007E3DBA" w:rsidP="00730717">
            <w:pPr>
              <w:spacing w:before="0" w:line="240" w:lineRule="auto"/>
              <w:jc w:val="center"/>
              <w:rPr>
                <w:rFonts w:ascii="Times New Roman" w:hAnsi="Times New Roman"/>
                <w:sz w:val="20"/>
                <w:szCs w:val="20"/>
                <w:lang w:eastAsia="en-GB"/>
              </w:rPr>
            </w:pPr>
          </w:p>
        </w:tc>
        <w:tc>
          <w:tcPr>
            <w:tcW w:w="2976" w:type="dxa"/>
            <w:tcBorders>
              <w:top w:val="nil"/>
              <w:left w:val="nil"/>
              <w:bottom w:val="nil"/>
              <w:right w:val="nil"/>
            </w:tcBorders>
            <w:shd w:val="clear" w:color="auto" w:fill="auto"/>
            <w:noWrap/>
            <w:vAlign w:val="bottom"/>
            <w:hideMark/>
          </w:tcPr>
          <w:p w14:paraId="2E72A82E"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3</w:t>
            </w:r>
          </w:p>
        </w:tc>
        <w:tc>
          <w:tcPr>
            <w:tcW w:w="1786" w:type="dxa"/>
            <w:tcBorders>
              <w:top w:val="nil"/>
              <w:left w:val="nil"/>
              <w:bottom w:val="nil"/>
              <w:right w:val="nil"/>
            </w:tcBorders>
            <w:shd w:val="clear" w:color="auto" w:fill="auto"/>
            <w:noWrap/>
            <w:vAlign w:val="bottom"/>
            <w:hideMark/>
          </w:tcPr>
          <w:p w14:paraId="7FAAAD85"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622 (15.7) </w:t>
            </w:r>
          </w:p>
        </w:tc>
        <w:tc>
          <w:tcPr>
            <w:tcW w:w="1823" w:type="dxa"/>
            <w:tcBorders>
              <w:top w:val="nil"/>
              <w:left w:val="nil"/>
              <w:bottom w:val="nil"/>
              <w:right w:val="nil"/>
            </w:tcBorders>
            <w:shd w:val="clear" w:color="auto" w:fill="auto"/>
            <w:noWrap/>
            <w:vAlign w:val="bottom"/>
            <w:hideMark/>
          </w:tcPr>
          <w:p w14:paraId="51CFCC17"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383 (15.8) </w:t>
            </w:r>
          </w:p>
        </w:tc>
        <w:tc>
          <w:tcPr>
            <w:tcW w:w="1823" w:type="dxa"/>
            <w:tcBorders>
              <w:top w:val="nil"/>
              <w:left w:val="nil"/>
              <w:bottom w:val="nil"/>
              <w:right w:val="nil"/>
            </w:tcBorders>
            <w:shd w:val="clear" w:color="auto" w:fill="auto"/>
            <w:noWrap/>
            <w:vAlign w:val="bottom"/>
            <w:hideMark/>
          </w:tcPr>
          <w:p w14:paraId="2BD5631A"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239 (15.6) </w:t>
            </w:r>
          </w:p>
        </w:tc>
        <w:tc>
          <w:tcPr>
            <w:tcW w:w="965" w:type="dxa"/>
            <w:tcBorders>
              <w:top w:val="nil"/>
              <w:left w:val="nil"/>
              <w:bottom w:val="nil"/>
              <w:right w:val="nil"/>
            </w:tcBorders>
            <w:shd w:val="clear" w:color="auto" w:fill="auto"/>
            <w:noWrap/>
            <w:vAlign w:val="bottom"/>
            <w:hideMark/>
          </w:tcPr>
          <w:p w14:paraId="3447A0A2"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5DE3517D" w14:textId="77777777" w:rsidTr="00730717">
        <w:trPr>
          <w:gridAfter w:val="1"/>
          <w:wAfter w:w="237" w:type="dxa"/>
          <w:trHeight w:val="200"/>
        </w:trPr>
        <w:tc>
          <w:tcPr>
            <w:tcW w:w="4537" w:type="dxa"/>
            <w:gridSpan w:val="2"/>
            <w:tcBorders>
              <w:top w:val="nil"/>
              <w:left w:val="nil"/>
              <w:bottom w:val="nil"/>
              <w:right w:val="nil"/>
            </w:tcBorders>
            <w:shd w:val="clear" w:color="auto" w:fill="auto"/>
            <w:noWrap/>
            <w:vAlign w:val="bottom"/>
            <w:hideMark/>
          </w:tcPr>
          <w:p w14:paraId="43B006CA" w14:textId="77777777" w:rsidR="007E3DBA" w:rsidRPr="000621D5" w:rsidRDefault="007E3DBA" w:rsidP="00730717">
            <w:pPr>
              <w:spacing w:before="0" w:line="240" w:lineRule="auto"/>
              <w:rPr>
                <w:rFonts w:cs="Calibri"/>
                <w:color w:val="000000"/>
                <w:sz w:val="16"/>
                <w:szCs w:val="16"/>
                <w:lang w:eastAsia="en-GB"/>
              </w:rPr>
            </w:pPr>
            <w:r w:rsidRPr="000621D5">
              <w:rPr>
                <w:rFonts w:cs="Calibri"/>
                <w:color w:val="000000"/>
                <w:sz w:val="16"/>
                <w:szCs w:val="16"/>
                <w:lang w:eastAsia="en-GB"/>
              </w:rPr>
              <w:t>CRM positive</w:t>
            </w:r>
          </w:p>
        </w:tc>
        <w:tc>
          <w:tcPr>
            <w:tcW w:w="1786" w:type="dxa"/>
            <w:tcBorders>
              <w:top w:val="nil"/>
              <w:left w:val="nil"/>
              <w:bottom w:val="nil"/>
              <w:right w:val="nil"/>
            </w:tcBorders>
            <w:shd w:val="clear" w:color="auto" w:fill="auto"/>
            <w:noWrap/>
            <w:vAlign w:val="bottom"/>
            <w:hideMark/>
          </w:tcPr>
          <w:p w14:paraId="5301486D"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791 (22.8) </w:t>
            </w:r>
          </w:p>
        </w:tc>
        <w:tc>
          <w:tcPr>
            <w:tcW w:w="1823" w:type="dxa"/>
            <w:tcBorders>
              <w:top w:val="nil"/>
              <w:left w:val="nil"/>
              <w:bottom w:val="nil"/>
              <w:right w:val="nil"/>
            </w:tcBorders>
            <w:shd w:val="clear" w:color="auto" w:fill="auto"/>
            <w:noWrap/>
            <w:vAlign w:val="bottom"/>
            <w:hideMark/>
          </w:tcPr>
          <w:p w14:paraId="73445DA7"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512 (24.0) </w:t>
            </w:r>
          </w:p>
        </w:tc>
        <w:tc>
          <w:tcPr>
            <w:tcW w:w="1823" w:type="dxa"/>
            <w:tcBorders>
              <w:top w:val="nil"/>
              <w:left w:val="nil"/>
              <w:bottom w:val="nil"/>
              <w:right w:val="nil"/>
            </w:tcBorders>
            <w:shd w:val="clear" w:color="auto" w:fill="auto"/>
            <w:noWrap/>
            <w:vAlign w:val="bottom"/>
            <w:hideMark/>
          </w:tcPr>
          <w:p w14:paraId="20C9CAA1"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279 (20.8) </w:t>
            </w:r>
          </w:p>
        </w:tc>
        <w:tc>
          <w:tcPr>
            <w:tcW w:w="965" w:type="dxa"/>
            <w:tcBorders>
              <w:top w:val="nil"/>
              <w:left w:val="nil"/>
              <w:bottom w:val="nil"/>
              <w:right w:val="nil"/>
            </w:tcBorders>
            <w:shd w:val="clear" w:color="auto" w:fill="auto"/>
            <w:noWrap/>
            <w:vAlign w:val="bottom"/>
            <w:hideMark/>
          </w:tcPr>
          <w:p w14:paraId="786F38CF"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0.036</w:t>
            </w:r>
          </w:p>
        </w:tc>
      </w:tr>
      <w:tr w:rsidR="007E3DBA" w:rsidRPr="000621D5" w14:paraId="586EE7D2"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74B9FEA6" w14:textId="77777777" w:rsidR="007E3DBA" w:rsidRPr="000621D5" w:rsidRDefault="007E3DBA" w:rsidP="00730717">
            <w:pPr>
              <w:spacing w:before="0" w:line="240" w:lineRule="auto"/>
              <w:rPr>
                <w:rFonts w:cs="Calibri"/>
                <w:color w:val="000000"/>
                <w:sz w:val="16"/>
                <w:szCs w:val="16"/>
                <w:lang w:eastAsia="en-GB"/>
              </w:rPr>
            </w:pPr>
            <w:r w:rsidRPr="000621D5">
              <w:rPr>
                <w:rFonts w:cs="Calibri"/>
                <w:color w:val="000000"/>
                <w:sz w:val="16"/>
                <w:szCs w:val="16"/>
                <w:lang w:eastAsia="en-GB"/>
              </w:rPr>
              <w:t>Grade</w:t>
            </w:r>
          </w:p>
        </w:tc>
        <w:tc>
          <w:tcPr>
            <w:tcW w:w="2976" w:type="dxa"/>
            <w:tcBorders>
              <w:top w:val="nil"/>
              <w:left w:val="nil"/>
              <w:bottom w:val="nil"/>
              <w:right w:val="nil"/>
            </w:tcBorders>
            <w:shd w:val="clear" w:color="auto" w:fill="auto"/>
            <w:noWrap/>
            <w:vAlign w:val="bottom"/>
            <w:hideMark/>
          </w:tcPr>
          <w:p w14:paraId="1E6B2922"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G1</w:t>
            </w:r>
          </w:p>
        </w:tc>
        <w:tc>
          <w:tcPr>
            <w:tcW w:w="1786" w:type="dxa"/>
            <w:tcBorders>
              <w:top w:val="nil"/>
              <w:left w:val="nil"/>
              <w:bottom w:val="nil"/>
              <w:right w:val="nil"/>
            </w:tcBorders>
            <w:shd w:val="clear" w:color="auto" w:fill="auto"/>
            <w:noWrap/>
            <w:vAlign w:val="bottom"/>
            <w:hideMark/>
          </w:tcPr>
          <w:p w14:paraId="1015B686"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116 (2.8) </w:t>
            </w:r>
          </w:p>
        </w:tc>
        <w:tc>
          <w:tcPr>
            <w:tcW w:w="1823" w:type="dxa"/>
            <w:tcBorders>
              <w:top w:val="nil"/>
              <w:left w:val="nil"/>
              <w:bottom w:val="nil"/>
              <w:right w:val="nil"/>
            </w:tcBorders>
            <w:shd w:val="clear" w:color="auto" w:fill="auto"/>
            <w:noWrap/>
            <w:vAlign w:val="bottom"/>
            <w:hideMark/>
          </w:tcPr>
          <w:p w14:paraId="2C07FCDC"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71 (2.8) </w:t>
            </w:r>
          </w:p>
        </w:tc>
        <w:tc>
          <w:tcPr>
            <w:tcW w:w="1823" w:type="dxa"/>
            <w:tcBorders>
              <w:top w:val="nil"/>
              <w:left w:val="nil"/>
              <w:bottom w:val="nil"/>
              <w:right w:val="nil"/>
            </w:tcBorders>
            <w:shd w:val="clear" w:color="auto" w:fill="auto"/>
            <w:noWrap/>
            <w:vAlign w:val="bottom"/>
            <w:hideMark/>
          </w:tcPr>
          <w:p w14:paraId="497C5704"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45 (2.8) </w:t>
            </w:r>
          </w:p>
        </w:tc>
        <w:tc>
          <w:tcPr>
            <w:tcW w:w="965" w:type="dxa"/>
            <w:tcBorders>
              <w:top w:val="nil"/>
              <w:left w:val="nil"/>
              <w:bottom w:val="nil"/>
              <w:right w:val="nil"/>
            </w:tcBorders>
            <w:shd w:val="clear" w:color="auto" w:fill="auto"/>
            <w:noWrap/>
            <w:vAlign w:val="bottom"/>
            <w:hideMark/>
          </w:tcPr>
          <w:p w14:paraId="42231F27"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0.852</w:t>
            </w:r>
          </w:p>
        </w:tc>
      </w:tr>
      <w:tr w:rsidR="007E3DBA" w:rsidRPr="000621D5" w14:paraId="10DF022F"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31C03629" w14:textId="77777777" w:rsidR="007E3DBA" w:rsidRPr="000621D5" w:rsidRDefault="007E3DBA" w:rsidP="00730717">
            <w:pPr>
              <w:spacing w:before="0" w:line="240" w:lineRule="auto"/>
              <w:jc w:val="center"/>
              <w:rPr>
                <w:rFonts w:cs="Calibri"/>
                <w:color w:val="000000"/>
                <w:sz w:val="16"/>
                <w:szCs w:val="16"/>
                <w:lang w:eastAsia="en-GB"/>
              </w:rPr>
            </w:pPr>
          </w:p>
        </w:tc>
        <w:tc>
          <w:tcPr>
            <w:tcW w:w="2976" w:type="dxa"/>
            <w:tcBorders>
              <w:top w:val="nil"/>
              <w:left w:val="nil"/>
              <w:bottom w:val="nil"/>
              <w:right w:val="nil"/>
            </w:tcBorders>
            <w:shd w:val="clear" w:color="auto" w:fill="auto"/>
            <w:noWrap/>
            <w:vAlign w:val="bottom"/>
            <w:hideMark/>
          </w:tcPr>
          <w:p w14:paraId="35EA98B0"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G2</w:t>
            </w:r>
          </w:p>
        </w:tc>
        <w:tc>
          <w:tcPr>
            <w:tcW w:w="1786" w:type="dxa"/>
            <w:tcBorders>
              <w:top w:val="nil"/>
              <w:left w:val="nil"/>
              <w:bottom w:val="nil"/>
              <w:right w:val="nil"/>
            </w:tcBorders>
            <w:shd w:val="clear" w:color="auto" w:fill="auto"/>
            <w:noWrap/>
            <w:vAlign w:val="bottom"/>
            <w:hideMark/>
          </w:tcPr>
          <w:p w14:paraId="03F070F5"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1409 (34.4) </w:t>
            </w:r>
          </w:p>
        </w:tc>
        <w:tc>
          <w:tcPr>
            <w:tcW w:w="1823" w:type="dxa"/>
            <w:tcBorders>
              <w:top w:val="nil"/>
              <w:left w:val="nil"/>
              <w:bottom w:val="nil"/>
              <w:right w:val="nil"/>
            </w:tcBorders>
            <w:shd w:val="clear" w:color="auto" w:fill="auto"/>
            <w:noWrap/>
            <w:vAlign w:val="bottom"/>
            <w:hideMark/>
          </w:tcPr>
          <w:p w14:paraId="3A2A1263"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872 (34.7) </w:t>
            </w:r>
          </w:p>
        </w:tc>
        <w:tc>
          <w:tcPr>
            <w:tcW w:w="1823" w:type="dxa"/>
            <w:tcBorders>
              <w:top w:val="nil"/>
              <w:left w:val="nil"/>
              <w:bottom w:val="nil"/>
              <w:right w:val="nil"/>
            </w:tcBorders>
            <w:shd w:val="clear" w:color="auto" w:fill="auto"/>
            <w:noWrap/>
            <w:vAlign w:val="bottom"/>
            <w:hideMark/>
          </w:tcPr>
          <w:p w14:paraId="7B104052"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537 (33.9) </w:t>
            </w:r>
          </w:p>
        </w:tc>
        <w:tc>
          <w:tcPr>
            <w:tcW w:w="965" w:type="dxa"/>
            <w:tcBorders>
              <w:top w:val="nil"/>
              <w:left w:val="nil"/>
              <w:bottom w:val="nil"/>
              <w:right w:val="nil"/>
            </w:tcBorders>
            <w:shd w:val="clear" w:color="auto" w:fill="auto"/>
            <w:noWrap/>
            <w:vAlign w:val="bottom"/>
            <w:hideMark/>
          </w:tcPr>
          <w:p w14:paraId="39807A42"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04BF7271"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56636E22" w14:textId="77777777" w:rsidR="007E3DBA" w:rsidRPr="000621D5" w:rsidRDefault="007E3DBA" w:rsidP="00730717">
            <w:pPr>
              <w:spacing w:before="0" w:line="240" w:lineRule="auto"/>
              <w:jc w:val="center"/>
              <w:rPr>
                <w:rFonts w:ascii="Times New Roman" w:hAnsi="Times New Roman"/>
                <w:sz w:val="20"/>
                <w:szCs w:val="20"/>
                <w:lang w:eastAsia="en-GB"/>
              </w:rPr>
            </w:pPr>
          </w:p>
        </w:tc>
        <w:tc>
          <w:tcPr>
            <w:tcW w:w="2976" w:type="dxa"/>
            <w:tcBorders>
              <w:top w:val="nil"/>
              <w:left w:val="nil"/>
              <w:bottom w:val="nil"/>
              <w:right w:val="nil"/>
            </w:tcBorders>
            <w:shd w:val="clear" w:color="auto" w:fill="auto"/>
            <w:noWrap/>
            <w:vAlign w:val="bottom"/>
            <w:hideMark/>
          </w:tcPr>
          <w:p w14:paraId="3F84FCDF"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G3/4</w:t>
            </w:r>
          </w:p>
        </w:tc>
        <w:tc>
          <w:tcPr>
            <w:tcW w:w="1786" w:type="dxa"/>
            <w:tcBorders>
              <w:top w:val="nil"/>
              <w:left w:val="nil"/>
              <w:bottom w:val="nil"/>
              <w:right w:val="nil"/>
            </w:tcBorders>
            <w:shd w:val="clear" w:color="auto" w:fill="auto"/>
            <w:noWrap/>
            <w:vAlign w:val="bottom"/>
            <w:hideMark/>
          </w:tcPr>
          <w:p w14:paraId="6BE5CDC7"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2124 (51.8) </w:t>
            </w:r>
          </w:p>
        </w:tc>
        <w:tc>
          <w:tcPr>
            <w:tcW w:w="1823" w:type="dxa"/>
            <w:tcBorders>
              <w:top w:val="nil"/>
              <w:left w:val="nil"/>
              <w:bottom w:val="nil"/>
              <w:right w:val="nil"/>
            </w:tcBorders>
            <w:shd w:val="clear" w:color="auto" w:fill="auto"/>
            <w:noWrap/>
            <w:vAlign w:val="bottom"/>
            <w:hideMark/>
          </w:tcPr>
          <w:p w14:paraId="6A14322B"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1289 (51.3) </w:t>
            </w:r>
          </w:p>
        </w:tc>
        <w:tc>
          <w:tcPr>
            <w:tcW w:w="1823" w:type="dxa"/>
            <w:tcBorders>
              <w:top w:val="nil"/>
              <w:left w:val="nil"/>
              <w:bottom w:val="nil"/>
              <w:right w:val="nil"/>
            </w:tcBorders>
            <w:shd w:val="clear" w:color="auto" w:fill="auto"/>
            <w:noWrap/>
            <w:vAlign w:val="bottom"/>
            <w:hideMark/>
          </w:tcPr>
          <w:p w14:paraId="23D58499"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835 (52.6) </w:t>
            </w:r>
          </w:p>
        </w:tc>
        <w:tc>
          <w:tcPr>
            <w:tcW w:w="965" w:type="dxa"/>
            <w:tcBorders>
              <w:top w:val="nil"/>
              <w:left w:val="nil"/>
              <w:bottom w:val="nil"/>
              <w:right w:val="nil"/>
            </w:tcBorders>
            <w:shd w:val="clear" w:color="auto" w:fill="auto"/>
            <w:noWrap/>
            <w:vAlign w:val="bottom"/>
            <w:hideMark/>
          </w:tcPr>
          <w:p w14:paraId="514CA76A"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21181754" w14:textId="77777777" w:rsidTr="00730717">
        <w:trPr>
          <w:gridAfter w:val="1"/>
          <w:wAfter w:w="237" w:type="dxa"/>
          <w:trHeight w:val="200"/>
        </w:trPr>
        <w:tc>
          <w:tcPr>
            <w:tcW w:w="1561" w:type="dxa"/>
            <w:tcBorders>
              <w:top w:val="nil"/>
              <w:left w:val="nil"/>
              <w:bottom w:val="nil"/>
              <w:right w:val="nil"/>
            </w:tcBorders>
            <w:shd w:val="clear" w:color="auto" w:fill="auto"/>
            <w:noWrap/>
            <w:vAlign w:val="bottom"/>
            <w:hideMark/>
          </w:tcPr>
          <w:p w14:paraId="3F95FFDD" w14:textId="77777777" w:rsidR="007E3DBA" w:rsidRPr="000621D5" w:rsidRDefault="007E3DBA" w:rsidP="00730717">
            <w:pPr>
              <w:spacing w:before="0" w:line="240" w:lineRule="auto"/>
              <w:jc w:val="center"/>
              <w:rPr>
                <w:rFonts w:ascii="Times New Roman" w:hAnsi="Times New Roman"/>
                <w:sz w:val="20"/>
                <w:szCs w:val="20"/>
                <w:lang w:eastAsia="en-GB"/>
              </w:rPr>
            </w:pPr>
          </w:p>
        </w:tc>
        <w:tc>
          <w:tcPr>
            <w:tcW w:w="2976" w:type="dxa"/>
            <w:tcBorders>
              <w:top w:val="nil"/>
              <w:left w:val="nil"/>
              <w:bottom w:val="nil"/>
              <w:right w:val="nil"/>
            </w:tcBorders>
            <w:shd w:val="clear" w:color="auto" w:fill="auto"/>
            <w:noWrap/>
            <w:vAlign w:val="bottom"/>
            <w:hideMark/>
          </w:tcPr>
          <w:p w14:paraId="78859E91"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GX</w:t>
            </w:r>
          </w:p>
        </w:tc>
        <w:tc>
          <w:tcPr>
            <w:tcW w:w="1786" w:type="dxa"/>
            <w:tcBorders>
              <w:top w:val="nil"/>
              <w:left w:val="nil"/>
              <w:bottom w:val="nil"/>
              <w:right w:val="nil"/>
            </w:tcBorders>
            <w:shd w:val="clear" w:color="auto" w:fill="auto"/>
            <w:noWrap/>
            <w:vAlign w:val="bottom"/>
            <w:hideMark/>
          </w:tcPr>
          <w:p w14:paraId="39212659"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450 (11.0) </w:t>
            </w:r>
          </w:p>
        </w:tc>
        <w:tc>
          <w:tcPr>
            <w:tcW w:w="1823" w:type="dxa"/>
            <w:tcBorders>
              <w:top w:val="nil"/>
              <w:left w:val="nil"/>
              <w:bottom w:val="nil"/>
              <w:right w:val="nil"/>
            </w:tcBorders>
            <w:shd w:val="clear" w:color="auto" w:fill="auto"/>
            <w:noWrap/>
            <w:vAlign w:val="bottom"/>
            <w:hideMark/>
          </w:tcPr>
          <w:p w14:paraId="47C8FFF8"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281 (11.2) </w:t>
            </w:r>
          </w:p>
        </w:tc>
        <w:tc>
          <w:tcPr>
            <w:tcW w:w="1823" w:type="dxa"/>
            <w:tcBorders>
              <w:top w:val="nil"/>
              <w:left w:val="nil"/>
              <w:bottom w:val="nil"/>
              <w:right w:val="nil"/>
            </w:tcBorders>
            <w:shd w:val="clear" w:color="auto" w:fill="auto"/>
            <w:noWrap/>
            <w:vAlign w:val="bottom"/>
            <w:hideMark/>
          </w:tcPr>
          <w:p w14:paraId="0510AC8E"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169 (10.7) </w:t>
            </w:r>
          </w:p>
        </w:tc>
        <w:tc>
          <w:tcPr>
            <w:tcW w:w="965" w:type="dxa"/>
            <w:tcBorders>
              <w:top w:val="nil"/>
              <w:left w:val="nil"/>
              <w:bottom w:val="nil"/>
              <w:right w:val="nil"/>
            </w:tcBorders>
            <w:shd w:val="clear" w:color="auto" w:fill="auto"/>
            <w:noWrap/>
            <w:vAlign w:val="bottom"/>
            <w:hideMark/>
          </w:tcPr>
          <w:p w14:paraId="6BB886CB"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224A86E7" w14:textId="77777777" w:rsidTr="00730717">
        <w:trPr>
          <w:gridAfter w:val="1"/>
          <w:wAfter w:w="237" w:type="dxa"/>
          <w:trHeight w:val="200"/>
        </w:trPr>
        <w:tc>
          <w:tcPr>
            <w:tcW w:w="1561" w:type="dxa"/>
            <w:vMerge w:val="restart"/>
            <w:tcBorders>
              <w:top w:val="nil"/>
              <w:left w:val="nil"/>
              <w:right w:val="nil"/>
            </w:tcBorders>
            <w:shd w:val="clear" w:color="auto" w:fill="auto"/>
            <w:noWrap/>
            <w:vAlign w:val="bottom"/>
            <w:hideMark/>
          </w:tcPr>
          <w:p w14:paraId="3443B57A" w14:textId="77777777" w:rsidR="007E3DBA" w:rsidRPr="000621D5" w:rsidRDefault="007E3DBA" w:rsidP="00730717">
            <w:pPr>
              <w:spacing w:before="0" w:line="240" w:lineRule="auto"/>
              <w:rPr>
                <w:rFonts w:cs="Calibri"/>
                <w:color w:val="000000"/>
                <w:sz w:val="16"/>
                <w:szCs w:val="16"/>
                <w:lang w:eastAsia="en-GB"/>
              </w:rPr>
            </w:pPr>
            <w:r w:rsidRPr="000621D5">
              <w:rPr>
                <w:rFonts w:cs="Calibri"/>
                <w:color w:val="000000"/>
                <w:sz w:val="16"/>
                <w:szCs w:val="16"/>
                <w:lang w:eastAsia="en-GB"/>
              </w:rPr>
              <w:t>Preoperative Regime</w:t>
            </w:r>
          </w:p>
        </w:tc>
        <w:tc>
          <w:tcPr>
            <w:tcW w:w="2976" w:type="dxa"/>
            <w:tcBorders>
              <w:top w:val="nil"/>
              <w:left w:val="nil"/>
              <w:bottom w:val="nil"/>
              <w:right w:val="nil"/>
            </w:tcBorders>
            <w:shd w:val="clear" w:color="auto" w:fill="auto"/>
            <w:noWrap/>
            <w:vAlign w:val="bottom"/>
            <w:hideMark/>
          </w:tcPr>
          <w:p w14:paraId="2495D97F" w14:textId="77777777" w:rsidR="007E3DBA" w:rsidRPr="000621D5" w:rsidRDefault="007E3DBA" w:rsidP="00730717">
            <w:pPr>
              <w:spacing w:before="0" w:line="240" w:lineRule="auto"/>
              <w:jc w:val="right"/>
              <w:rPr>
                <w:rFonts w:cs="Calibri"/>
                <w:color w:val="000000"/>
                <w:sz w:val="16"/>
                <w:szCs w:val="16"/>
                <w:lang w:eastAsia="en-GB"/>
              </w:rPr>
            </w:pPr>
            <w:r w:rsidRPr="000621D5">
              <w:rPr>
                <w:rFonts w:cs="Calibri"/>
                <w:color w:val="000000"/>
                <w:sz w:val="16"/>
                <w:szCs w:val="16"/>
                <w:lang w:eastAsia="en-GB"/>
              </w:rPr>
              <w:t>FLOT</w:t>
            </w:r>
          </w:p>
        </w:tc>
        <w:tc>
          <w:tcPr>
            <w:tcW w:w="1786" w:type="dxa"/>
            <w:tcBorders>
              <w:top w:val="nil"/>
              <w:left w:val="nil"/>
              <w:bottom w:val="nil"/>
              <w:right w:val="nil"/>
            </w:tcBorders>
            <w:shd w:val="clear" w:color="auto" w:fill="auto"/>
            <w:noWrap/>
            <w:vAlign w:val="bottom"/>
            <w:hideMark/>
          </w:tcPr>
          <w:p w14:paraId="23C59E40"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135 (3.3) </w:t>
            </w:r>
          </w:p>
        </w:tc>
        <w:tc>
          <w:tcPr>
            <w:tcW w:w="1823" w:type="dxa"/>
            <w:tcBorders>
              <w:top w:val="nil"/>
              <w:left w:val="nil"/>
              <w:bottom w:val="nil"/>
              <w:right w:val="nil"/>
            </w:tcBorders>
            <w:shd w:val="clear" w:color="auto" w:fill="auto"/>
            <w:noWrap/>
            <w:vAlign w:val="bottom"/>
            <w:hideMark/>
          </w:tcPr>
          <w:p w14:paraId="6F54D12B"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118 (4.6) </w:t>
            </w:r>
          </w:p>
        </w:tc>
        <w:tc>
          <w:tcPr>
            <w:tcW w:w="1823" w:type="dxa"/>
            <w:tcBorders>
              <w:top w:val="nil"/>
              <w:left w:val="nil"/>
              <w:bottom w:val="nil"/>
              <w:right w:val="nil"/>
            </w:tcBorders>
            <w:shd w:val="clear" w:color="auto" w:fill="auto"/>
            <w:noWrap/>
            <w:vAlign w:val="bottom"/>
            <w:hideMark/>
          </w:tcPr>
          <w:p w14:paraId="23E9493F"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17 (1.1) </w:t>
            </w:r>
          </w:p>
        </w:tc>
        <w:tc>
          <w:tcPr>
            <w:tcW w:w="965" w:type="dxa"/>
            <w:tcBorders>
              <w:top w:val="nil"/>
              <w:left w:val="nil"/>
              <w:bottom w:val="nil"/>
              <w:right w:val="nil"/>
            </w:tcBorders>
            <w:shd w:val="clear" w:color="auto" w:fill="auto"/>
            <w:noWrap/>
            <w:vAlign w:val="bottom"/>
            <w:hideMark/>
          </w:tcPr>
          <w:p w14:paraId="47ABBBA5"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&lt;0.001</w:t>
            </w:r>
          </w:p>
        </w:tc>
      </w:tr>
      <w:tr w:rsidR="007E3DBA" w:rsidRPr="000621D5" w14:paraId="381316C9" w14:textId="77777777" w:rsidTr="00730717">
        <w:trPr>
          <w:gridAfter w:val="1"/>
          <w:wAfter w:w="237" w:type="dxa"/>
          <w:trHeight w:val="200"/>
        </w:trPr>
        <w:tc>
          <w:tcPr>
            <w:tcW w:w="1561" w:type="dxa"/>
            <w:vMerge/>
            <w:tcBorders>
              <w:left w:val="nil"/>
              <w:bottom w:val="nil"/>
              <w:right w:val="nil"/>
            </w:tcBorders>
            <w:shd w:val="clear" w:color="auto" w:fill="auto"/>
            <w:noWrap/>
            <w:vAlign w:val="bottom"/>
            <w:hideMark/>
          </w:tcPr>
          <w:p w14:paraId="20261D38" w14:textId="77777777" w:rsidR="007E3DBA" w:rsidRPr="000621D5" w:rsidRDefault="007E3DBA" w:rsidP="00730717">
            <w:pPr>
              <w:spacing w:before="0" w:line="240" w:lineRule="auto"/>
              <w:jc w:val="center"/>
              <w:rPr>
                <w:rFonts w:cs="Calibri"/>
                <w:color w:val="000000"/>
                <w:sz w:val="16"/>
                <w:szCs w:val="16"/>
                <w:lang w:eastAsia="en-GB"/>
              </w:rPr>
            </w:pPr>
          </w:p>
        </w:tc>
        <w:tc>
          <w:tcPr>
            <w:tcW w:w="2976" w:type="dxa"/>
            <w:tcBorders>
              <w:top w:val="nil"/>
              <w:left w:val="nil"/>
              <w:bottom w:val="nil"/>
              <w:right w:val="nil"/>
            </w:tcBorders>
            <w:shd w:val="clear" w:color="auto" w:fill="auto"/>
            <w:noWrap/>
            <w:vAlign w:val="bottom"/>
            <w:hideMark/>
          </w:tcPr>
          <w:p w14:paraId="713BA3E4" w14:textId="77777777" w:rsidR="007E3DBA" w:rsidRPr="000621D5" w:rsidRDefault="007E3DBA" w:rsidP="00730717">
            <w:pPr>
              <w:spacing w:before="0" w:line="240" w:lineRule="auto"/>
              <w:jc w:val="right"/>
              <w:rPr>
                <w:rFonts w:cs="Calibri"/>
                <w:color w:val="000000"/>
                <w:sz w:val="16"/>
                <w:szCs w:val="16"/>
                <w:lang w:eastAsia="en-GB"/>
              </w:rPr>
            </w:pPr>
            <w:r>
              <w:rPr>
                <w:rFonts w:cs="Calibri"/>
                <w:color w:val="000000"/>
                <w:sz w:val="16"/>
                <w:szCs w:val="16"/>
                <w:lang w:eastAsia="en-GB"/>
              </w:rPr>
              <w:t>Platinum</w:t>
            </w:r>
            <w:r w:rsidRPr="000621D5">
              <w:rPr>
                <w:rFonts w:cs="Calibri"/>
                <w:color w:val="000000"/>
                <w:sz w:val="16"/>
                <w:szCs w:val="16"/>
                <w:lang w:eastAsia="en-GB"/>
              </w:rPr>
              <w:t>-based triplet</w:t>
            </w:r>
          </w:p>
        </w:tc>
        <w:tc>
          <w:tcPr>
            <w:tcW w:w="1786" w:type="dxa"/>
            <w:tcBorders>
              <w:top w:val="nil"/>
              <w:left w:val="nil"/>
              <w:bottom w:val="nil"/>
              <w:right w:val="nil"/>
            </w:tcBorders>
            <w:shd w:val="clear" w:color="auto" w:fill="auto"/>
            <w:noWrap/>
            <w:vAlign w:val="bottom"/>
            <w:hideMark/>
          </w:tcPr>
          <w:p w14:paraId="180B44A9"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4004 (96.7)</w:t>
            </w:r>
          </w:p>
        </w:tc>
        <w:tc>
          <w:tcPr>
            <w:tcW w:w="1823" w:type="dxa"/>
            <w:tcBorders>
              <w:top w:val="nil"/>
              <w:left w:val="nil"/>
              <w:bottom w:val="nil"/>
              <w:right w:val="nil"/>
            </w:tcBorders>
            <w:shd w:val="clear" w:color="auto" w:fill="auto"/>
            <w:noWrap/>
            <w:vAlign w:val="bottom"/>
            <w:hideMark/>
          </w:tcPr>
          <w:p w14:paraId="0355D15A"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2428 (95.4)</w:t>
            </w:r>
          </w:p>
        </w:tc>
        <w:tc>
          <w:tcPr>
            <w:tcW w:w="1823" w:type="dxa"/>
            <w:tcBorders>
              <w:top w:val="nil"/>
              <w:left w:val="nil"/>
              <w:bottom w:val="nil"/>
              <w:right w:val="nil"/>
            </w:tcBorders>
            <w:shd w:val="clear" w:color="auto" w:fill="auto"/>
            <w:noWrap/>
            <w:vAlign w:val="bottom"/>
            <w:hideMark/>
          </w:tcPr>
          <w:p w14:paraId="0E4D27E4"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1576 (98.9)</w:t>
            </w:r>
          </w:p>
        </w:tc>
        <w:tc>
          <w:tcPr>
            <w:tcW w:w="965" w:type="dxa"/>
            <w:tcBorders>
              <w:top w:val="nil"/>
              <w:left w:val="nil"/>
              <w:bottom w:val="nil"/>
              <w:right w:val="nil"/>
            </w:tcBorders>
            <w:shd w:val="clear" w:color="auto" w:fill="auto"/>
            <w:noWrap/>
            <w:vAlign w:val="bottom"/>
            <w:hideMark/>
          </w:tcPr>
          <w:p w14:paraId="4100002A" w14:textId="77777777" w:rsidR="007E3DBA" w:rsidRPr="000621D5" w:rsidRDefault="007E3DBA" w:rsidP="00730717">
            <w:pPr>
              <w:spacing w:before="0" w:line="240" w:lineRule="auto"/>
              <w:jc w:val="center"/>
              <w:rPr>
                <w:rFonts w:cs="Calibri"/>
                <w:color w:val="000000"/>
                <w:sz w:val="16"/>
                <w:szCs w:val="16"/>
                <w:lang w:eastAsia="en-GB"/>
              </w:rPr>
            </w:pPr>
          </w:p>
        </w:tc>
      </w:tr>
      <w:tr w:rsidR="007E3DBA" w:rsidRPr="000621D5" w14:paraId="11579A30" w14:textId="77777777" w:rsidTr="00730717">
        <w:trPr>
          <w:gridAfter w:val="1"/>
          <w:wAfter w:w="237" w:type="dxa"/>
          <w:trHeight w:val="200"/>
        </w:trPr>
        <w:tc>
          <w:tcPr>
            <w:tcW w:w="4537" w:type="dxa"/>
            <w:gridSpan w:val="2"/>
            <w:tcBorders>
              <w:top w:val="nil"/>
              <w:left w:val="nil"/>
              <w:bottom w:val="nil"/>
              <w:right w:val="nil"/>
            </w:tcBorders>
            <w:shd w:val="clear" w:color="auto" w:fill="auto"/>
            <w:noWrap/>
            <w:vAlign w:val="bottom"/>
            <w:hideMark/>
          </w:tcPr>
          <w:p w14:paraId="4F5DFA74" w14:textId="77777777" w:rsidR="007E3DBA" w:rsidRPr="000621D5" w:rsidRDefault="007E3DBA" w:rsidP="00730717">
            <w:pPr>
              <w:spacing w:before="0" w:line="240" w:lineRule="auto"/>
              <w:rPr>
                <w:rFonts w:cs="Calibri"/>
                <w:color w:val="000000"/>
                <w:sz w:val="16"/>
                <w:szCs w:val="16"/>
                <w:lang w:eastAsia="en-GB"/>
              </w:rPr>
            </w:pPr>
            <w:r w:rsidRPr="000621D5">
              <w:rPr>
                <w:rFonts w:cs="Calibri"/>
                <w:color w:val="000000"/>
                <w:sz w:val="16"/>
                <w:szCs w:val="16"/>
                <w:lang w:eastAsia="en-GB"/>
              </w:rPr>
              <w:t>Pre-surgery treatment not completed</w:t>
            </w:r>
          </w:p>
        </w:tc>
        <w:tc>
          <w:tcPr>
            <w:tcW w:w="1786" w:type="dxa"/>
            <w:tcBorders>
              <w:top w:val="nil"/>
              <w:left w:val="nil"/>
              <w:bottom w:val="nil"/>
              <w:right w:val="nil"/>
            </w:tcBorders>
            <w:shd w:val="clear" w:color="auto" w:fill="auto"/>
            <w:noWrap/>
            <w:vAlign w:val="bottom"/>
            <w:hideMark/>
          </w:tcPr>
          <w:p w14:paraId="635E2162"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1114 (26.9)</w:t>
            </w:r>
          </w:p>
        </w:tc>
        <w:tc>
          <w:tcPr>
            <w:tcW w:w="1823" w:type="dxa"/>
            <w:tcBorders>
              <w:top w:val="nil"/>
              <w:left w:val="nil"/>
              <w:bottom w:val="nil"/>
              <w:right w:val="nil"/>
            </w:tcBorders>
            <w:shd w:val="clear" w:color="auto" w:fill="auto"/>
            <w:noWrap/>
            <w:vAlign w:val="bottom"/>
            <w:hideMark/>
          </w:tcPr>
          <w:p w14:paraId="2D33A65D"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854 (33.5)</w:t>
            </w:r>
          </w:p>
        </w:tc>
        <w:tc>
          <w:tcPr>
            <w:tcW w:w="1823" w:type="dxa"/>
            <w:tcBorders>
              <w:top w:val="nil"/>
              <w:left w:val="nil"/>
              <w:bottom w:val="nil"/>
              <w:right w:val="nil"/>
            </w:tcBorders>
            <w:shd w:val="clear" w:color="auto" w:fill="auto"/>
            <w:noWrap/>
            <w:vAlign w:val="bottom"/>
            <w:hideMark/>
          </w:tcPr>
          <w:p w14:paraId="3181F7A2"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260 (16.3)</w:t>
            </w:r>
          </w:p>
        </w:tc>
        <w:tc>
          <w:tcPr>
            <w:tcW w:w="965" w:type="dxa"/>
            <w:tcBorders>
              <w:top w:val="nil"/>
              <w:left w:val="nil"/>
              <w:bottom w:val="nil"/>
              <w:right w:val="nil"/>
            </w:tcBorders>
            <w:shd w:val="clear" w:color="auto" w:fill="auto"/>
            <w:noWrap/>
            <w:vAlign w:val="bottom"/>
            <w:hideMark/>
          </w:tcPr>
          <w:p w14:paraId="6205BE04"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&lt;0.001</w:t>
            </w:r>
          </w:p>
        </w:tc>
      </w:tr>
      <w:tr w:rsidR="007E3DBA" w:rsidRPr="000621D5" w14:paraId="48775460" w14:textId="77777777" w:rsidTr="00730717">
        <w:trPr>
          <w:gridAfter w:val="1"/>
          <w:wAfter w:w="237" w:type="dxa"/>
          <w:trHeight w:val="200"/>
        </w:trPr>
        <w:tc>
          <w:tcPr>
            <w:tcW w:w="4537" w:type="dxa"/>
            <w:gridSpan w:val="2"/>
            <w:tcBorders>
              <w:top w:val="nil"/>
              <w:left w:val="nil"/>
              <w:bottom w:val="nil"/>
              <w:right w:val="nil"/>
            </w:tcBorders>
            <w:shd w:val="clear" w:color="auto" w:fill="auto"/>
            <w:noWrap/>
            <w:vAlign w:val="bottom"/>
            <w:hideMark/>
          </w:tcPr>
          <w:p w14:paraId="68C2EB24" w14:textId="77777777" w:rsidR="007E3DBA" w:rsidRPr="000621D5" w:rsidRDefault="007E3DBA" w:rsidP="00730717">
            <w:pPr>
              <w:spacing w:before="0" w:line="240" w:lineRule="auto"/>
              <w:rPr>
                <w:rFonts w:cs="Calibri"/>
                <w:color w:val="000000"/>
                <w:sz w:val="16"/>
                <w:szCs w:val="16"/>
                <w:lang w:eastAsia="en-GB"/>
              </w:rPr>
            </w:pPr>
            <w:r w:rsidRPr="000621D5">
              <w:rPr>
                <w:rFonts w:cs="Calibri"/>
                <w:color w:val="000000"/>
                <w:sz w:val="16"/>
                <w:szCs w:val="16"/>
                <w:lang w:eastAsia="en-GB"/>
              </w:rPr>
              <w:t>Any Complication</w:t>
            </w:r>
          </w:p>
        </w:tc>
        <w:tc>
          <w:tcPr>
            <w:tcW w:w="1786" w:type="dxa"/>
            <w:tcBorders>
              <w:top w:val="nil"/>
              <w:left w:val="nil"/>
              <w:bottom w:val="nil"/>
              <w:right w:val="nil"/>
            </w:tcBorders>
            <w:shd w:val="clear" w:color="auto" w:fill="auto"/>
            <w:noWrap/>
            <w:vAlign w:val="bottom"/>
            <w:hideMark/>
          </w:tcPr>
          <w:p w14:paraId="18C3BDC4"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1331 (32.4) </w:t>
            </w:r>
          </w:p>
        </w:tc>
        <w:tc>
          <w:tcPr>
            <w:tcW w:w="1823" w:type="dxa"/>
            <w:tcBorders>
              <w:top w:val="nil"/>
              <w:left w:val="nil"/>
              <w:bottom w:val="nil"/>
              <w:right w:val="nil"/>
            </w:tcBorders>
            <w:shd w:val="clear" w:color="auto" w:fill="auto"/>
            <w:noWrap/>
            <w:vAlign w:val="bottom"/>
            <w:hideMark/>
          </w:tcPr>
          <w:p w14:paraId="2853BB15"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935 (37.0) </w:t>
            </w:r>
          </w:p>
        </w:tc>
        <w:tc>
          <w:tcPr>
            <w:tcW w:w="1823" w:type="dxa"/>
            <w:tcBorders>
              <w:top w:val="nil"/>
              <w:left w:val="nil"/>
              <w:bottom w:val="nil"/>
              <w:right w:val="nil"/>
            </w:tcBorders>
            <w:shd w:val="clear" w:color="auto" w:fill="auto"/>
            <w:noWrap/>
            <w:vAlign w:val="bottom"/>
            <w:hideMark/>
          </w:tcPr>
          <w:p w14:paraId="2F3CD4EB"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396 (24.9) </w:t>
            </w:r>
          </w:p>
        </w:tc>
        <w:tc>
          <w:tcPr>
            <w:tcW w:w="965" w:type="dxa"/>
            <w:tcBorders>
              <w:top w:val="nil"/>
              <w:left w:val="nil"/>
              <w:bottom w:val="nil"/>
              <w:right w:val="nil"/>
            </w:tcBorders>
            <w:shd w:val="clear" w:color="auto" w:fill="auto"/>
            <w:noWrap/>
            <w:vAlign w:val="bottom"/>
            <w:hideMark/>
          </w:tcPr>
          <w:p w14:paraId="4BC10F5E"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&lt;0.001</w:t>
            </w:r>
          </w:p>
        </w:tc>
      </w:tr>
      <w:tr w:rsidR="007E3DBA" w:rsidRPr="000621D5" w14:paraId="088BE4D6" w14:textId="77777777" w:rsidTr="00730717">
        <w:trPr>
          <w:gridAfter w:val="1"/>
          <w:wAfter w:w="237" w:type="dxa"/>
          <w:trHeight w:val="200"/>
        </w:trPr>
        <w:tc>
          <w:tcPr>
            <w:tcW w:w="4537" w:type="dxa"/>
            <w:gridSpan w:val="2"/>
            <w:tcBorders>
              <w:top w:val="nil"/>
              <w:left w:val="nil"/>
              <w:bottom w:val="nil"/>
              <w:right w:val="nil"/>
            </w:tcBorders>
            <w:shd w:val="clear" w:color="auto" w:fill="auto"/>
            <w:noWrap/>
            <w:vAlign w:val="bottom"/>
            <w:hideMark/>
          </w:tcPr>
          <w:p w14:paraId="24ECCECD" w14:textId="77777777" w:rsidR="007E3DBA" w:rsidRPr="000621D5" w:rsidRDefault="007E3DBA" w:rsidP="00730717">
            <w:pPr>
              <w:spacing w:before="0" w:line="240" w:lineRule="auto"/>
              <w:rPr>
                <w:rFonts w:cs="Calibri"/>
                <w:color w:val="000000"/>
                <w:sz w:val="16"/>
                <w:szCs w:val="16"/>
                <w:lang w:eastAsia="en-GB"/>
              </w:rPr>
            </w:pPr>
            <w:r w:rsidRPr="000621D5">
              <w:rPr>
                <w:rFonts w:cs="Calibri"/>
                <w:color w:val="000000"/>
                <w:sz w:val="16"/>
                <w:szCs w:val="16"/>
                <w:lang w:eastAsia="en-GB"/>
              </w:rPr>
              <w:t>Respiratory Complication</w:t>
            </w:r>
          </w:p>
        </w:tc>
        <w:tc>
          <w:tcPr>
            <w:tcW w:w="1786" w:type="dxa"/>
            <w:tcBorders>
              <w:top w:val="nil"/>
              <w:left w:val="nil"/>
              <w:bottom w:val="nil"/>
              <w:right w:val="nil"/>
            </w:tcBorders>
            <w:shd w:val="clear" w:color="auto" w:fill="auto"/>
            <w:noWrap/>
            <w:vAlign w:val="bottom"/>
            <w:hideMark/>
          </w:tcPr>
          <w:p w14:paraId="2BC665D7"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614 (14.8) </w:t>
            </w:r>
          </w:p>
        </w:tc>
        <w:tc>
          <w:tcPr>
            <w:tcW w:w="1823" w:type="dxa"/>
            <w:tcBorders>
              <w:top w:val="nil"/>
              <w:left w:val="nil"/>
              <w:bottom w:val="nil"/>
              <w:right w:val="nil"/>
            </w:tcBorders>
            <w:shd w:val="clear" w:color="auto" w:fill="auto"/>
            <w:noWrap/>
            <w:vAlign w:val="bottom"/>
            <w:hideMark/>
          </w:tcPr>
          <w:p w14:paraId="753DBB00"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434 (17.0) </w:t>
            </w:r>
          </w:p>
        </w:tc>
        <w:tc>
          <w:tcPr>
            <w:tcW w:w="1823" w:type="dxa"/>
            <w:tcBorders>
              <w:top w:val="nil"/>
              <w:left w:val="nil"/>
              <w:bottom w:val="nil"/>
              <w:right w:val="nil"/>
            </w:tcBorders>
            <w:shd w:val="clear" w:color="auto" w:fill="auto"/>
            <w:noWrap/>
            <w:vAlign w:val="bottom"/>
            <w:hideMark/>
          </w:tcPr>
          <w:p w14:paraId="5C3BDD4B"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180 (11.3) </w:t>
            </w:r>
          </w:p>
        </w:tc>
        <w:tc>
          <w:tcPr>
            <w:tcW w:w="965" w:type="dxa"/>
            <w:tcBorders>
              <w:top w:val="nil"/>
              <w:left w:val="nil"/>
              <w:bottom w:val="nil"/>
              <w:right w:val="nil"/>
            </w:tcBorders>
            <w:shd w:val="clear" w:color="auto" w:fill="auto"/>
            <w:noWrap/>
            <w:vAlign w:val="bottom"/>
            <w:hideMark/>
          </w:tcPr>
          <w:p w14:paraId="7FA56E78"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&lt;0.001</w:t>
            </w:r>
          </w:p>
        </w:tc>
      </w:tr>
      <w:tr w:rsidR="007E3DBA" w:rsidRPr="000621D5" w14:paraId="4F4EB0AA" w14:textId="77777777" w:rsidTr="00730717">
        <w:trPr>
          <w:gridAfter w:val="1"/>
          <w:wAfter w:w="237" w:type="dxa"/>
          <w:trHeight w:val="200"/>
        </w:trPr>
        <w:tc>
          <w:tcPr>
            <w:tcW w:w="4537" w:type="dxa"/>
            <w:gridSpan w:val="2"/>
            <w:tcBorders>
              <w:top w:val="nil"/>
              <w:left w:val="nil"/>
              <w:bottom w:val="nil"/>
              <w:right w:val="nil"/>
            </w:tcBorders>
            <w:shd w:val="clear" w:color="auto" w:fill="auto"/>
            <w:noWrap/>
            <w:vAlign w:val="bottom"/>
            <w:hideMark/>
          </w:tcPr>
          <w:p w14:paraId="79D6A74D" w14:textId="77777777" w:rsidR="007E3DBA" w:rsidRPr="000621D5" w:rsidRDefault="007E3DBA" w:rsidP="00730717">
            <w:pPr>
              <w:spacing w:before="0" w:line="240" w:lineRule="auto"/>
              <w:rPr>
                <w:rFonts w:cs="Calibri"/>
                <w:color w:val="000000"/>
                <w:sz w:val="16"/>
                <w:szCs w:val="16"/>
                <w:lang w:eastAsia="en-GB"/>
              </w:rPr>
            </w:pPr>
            <w:r w:rsidRPr="000621D5">
              <w:rPr>
                <w:rFonts w:cs="Calibri"/>
                <w:color w:val="000000"/>
                <w:sz w:val="16"/>
                <w:szCs w:val="16"/>
                <w:lang w:eastAsia="en-GB"/>
              </w:rPr>
              <w:t>Anastomotic Leak</w:t>
            </w:r>
          </w:p>
        </w:tc>
        <w:tc>
          <w:tcPr>
            <w:tcW w:w="1786" w:type="dxa"/>
            <w:tcBorders>
              <w:top w:val="nil"/>
              <w:left w:val="nil"/>
              <w:bottom w:val="nil"/>
              <w:right w:val="nil"/>
            </w:tcBorders>
            <w:shd w:val="clear" w:color="auto" w:fill="auto"/>
            <w:noWrap/>
            <w:vAlign w:val="bottom"/>
            <w:hideMark/>
          </w:tcPr>
          <w:p w14:paraId="3ADD32B4"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219 (5.3) </w:t>
            </w:r>
          </w:p>
        </w:tc>
        <w:tc>
          <w:tcPr>
            <w:tcW w:w="1823" w:type="dxa"/>
            <w:tcBorders>
              <w:top w:val="nil"/>
              <w:left w:val="nil"/>
              <w:bottom w:val="nil"/>
              <w:right w:val="nil"/>
            </w:tcBorders>
            <w:shd w:val="clear" w:color="auto" w:fill="auto"/>
            <w:noWrap/>
            <w:vAlign w:val="bottom"/>
            <w:hideMark/>
          </w:tcPr>
          <w:p w14:paraId="52EEF570"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186 (7.4) </w:t>
            </w:r>
          </w:p>
        </w:tc>
        <w:tc>
          <w:tcPr>
            <w:tcW w:w="1823" w:type="dxa"/>
            <w:tcBorders>
              <w:top w:val="nil"/>
              <w:left w:val="nil"/>
              <w:bottom w:val="nil"/>
              <w:right w:val="nil"/>
            </w:tcBorders>
            <w:shd w:val="clear" w:color="auto" w:fill="auto"/>
            <w:noWrap/>
            <w:vAlign w:val="bottom"/>
            <w:hideMark/>
          </w:tcPr>
          <w:p w14:paraId="344A9F8E"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33 (2.1) </w:t>
            </w:r>
          </w:p>
        </w:tc>
        <w:tc>
          <w:tcPr>
            <w:tcW w:w="965" w:type="dxa"/>
            <w:tcBorders>
              <w:top w:val="nil"/>
              <w:left w:val="nil"/>
              <w:bottom w:val="nil"/>
              <w:right w:val="nil"/>
            </w:tcBorders>
            <w:shd w:val="clear" w:color="auto" w:fill="auto"/>
            <w:noWrap/>
            <w:vAlign w:val="bottom"/>
            <w:hideMark/>
          </w:tcPr>
          <w:p w14:paraId="2DD7EA92"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&lt;0.001</w:t>
            </w:r>
          </w:p>
        </w:tc>
      </w:tr>
      <w:tr w:rsidR="007E3DBA" w:rsidRPr="000621D5" w14:paraId="72A8F11D" w14:textId="77777777" w:rsidTr="00730717">
        <w:trPr>
          <w:gridAfter w:val="1"/>
          <w:wAfter w:w="237" w:type="dxa"/>
          <w:trHeight w:val="200"/>
        </w:trPr>
        <w:tc>
          <w:tcPr>
            <w:tcW w:w="4537" w:type="dxa"/>
            <w:gridSpan w:val="2"/>
            <w:tcBorders>
              <w:top w:val="nil"/>
              <w:left w:val="nil"/>
              <w:bottom w:val="nil"/>
              <w:right w:val="nil"/>
            </w:tcBorders>
            <w:shd w:val="clear" w:color="auto" w:fill="auto"/>
            <w:noWrap/>
            <w:vAlign w:val="bottom"/>
            <w:hideMark/>
          </w:tcPr>
          <w:p w14:paraId="18DC4A7E" w14:textId="77777777" w:rsidR="007E3DBA" w:rsidRPr="000621D5" w:rsidRDefault="007E3DBA" w:rsidP="00730717">
            <w:pPr>
              <w:spacing w:before="0" w:line="240" w:lineRule="auto"/>
              <w:rPr>
                <w:rFonts w:cs="Calibri"/>
                <w:color w:val="000000"/>
                <w:sz w:val="16"/>
                <w:szCs w:val="16"/>
                <w:lang w:eastAsia="en-GB"/>
              </w:rPr>
            </w:pPr>
            <w:r w:rsidRPr="000621D5">
              <w:rPr>
                <w:rFonts w:cs="Calibri"/>
                <w:color w:val="000000"/>
                <w:sz w:val="16"/>
                <w:szCs w:val="16"/>
                <w:lang w:eastAsia="en-GB"/>
              </w:rPr>
              <w:t>Length of stay (days)</w:t>
            </w:r>
          </w:p>
        </w:tc>
        <w:tc>
          <w:tcPr>
            <w:tcW w:w="1786" w:type="dxa"/>
            <w:tcBorders>
              <w:top w:val="nil"/>
              <w:left w:val="nil"/>
              <w:bottom w:val="nil"/>
              <w:right w:val="nil"/>
            </w:tcBorders>
            <w:shd w:val="clear" w:color="auto" w:fill="auto"/>
            <w:noWrap/>
            <w:vAlign w:val="bottom"/>
            <w:hideMark/>
          </w:tcPr>
          <w:p w14:paraId="56228A5B"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11.00 [9.00, 15.00]</w:t>
            </w:r>
          </w:p>
        </w:tc>
        <w:tc>
          <w:tcPr>
            <w:tcW w:w="1823" w:type="dxa"/>
            <w:tcBorders>
              <w:top w:val="nil"/>
              <w:left w:val="nil"/>
              <w:bottom w:val="nil"/>
              <w:right w:val="nil"/>
            </w:tcBorders>
            <w:shd w:val="clear" w:color="auto" w:fill="auto"/>
            <w:noWrap/>
            <w:vAlign w:val="bottom"/>
            <w:hideMark/>
          </w:tcPr>
          <w:p w14:paraId="0622A2F3"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12.00 [9.00, 19.00]</w:t>
            </w:r>
          </w:p>
        </w:tc>
        <w:tc>
          <w:tcPr>
            <w:tcW w:w="1823" w:type="dxa"/>
            <w:tcBorders>
              <w:top w:val="nil"/>
              <w:left w:val="nil"/>
              <w:bottom w:val="nil"/>
              <w:right w:val="nil"/>
            </w:tcBorders>
            <w:shd w:val="clear" w:color="auto" w:fill="auto"/>
            <w:noWrap/>
            <w:vAlign w:val="bottom"/>
            <w:hideMark/>
          </w:tcPr>
          <w:p w14:paraId="79D1E83D"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10.00 [8.00, 13.00]</w:t>
            </w:r>
          </w:p>
        </w:tc>
        <w:tc>
          <w:tcPr>
            <w:tcW w:w="965" w:type="dxa"/>
            <w:tcBorders>
              <w:top w:val="nil"/>
              <w:left w:val="nil"/>
              <w:bottom w:val="nil"/>
              <w:right w:val="nil"/>
            </w:tcBorders>
            <w:shd w:val="clear" w:color="auto" w:fill="auto"/>
            <w:noWrap/>
            <w:vAlign w:val="bottom"/>
            <w:hideMark/>
          </w:tcPr>
          <w:p w14:paraId="04C7738F"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&lt;0.001¶</w:t>
            </w:r>
          </w:p>
        </w:tc>
      </w:tr>
      <w:tr w:rsidR="007E3DBA" w:rsidRPr="000621D5" w14:paraId="0A740B8C" w14:textId="77777777" w:rsidTr="00730717">
        <w:trPr>
          <w:gridAfter w:val="1"/>
          <w:wAfter w:w="237" w:type="dxa"/>
          <w:trHeight w:val="200"/>
        </w:trPr>
        <w:tc>
          <w:tcPr>
            <w:tcW w:w="4537" w:type="dxa"/>
            <w:gridSpan w:val="2"/>
            <w:tcBorders>
              <w:top w:val="nil"/>
              <w:left w:val="nil"/>
              <w:bottom w:val="nil"/>
              <w:right w:val="nil"/>
            </w:tcBorders>
            <w:shd w:val="clear" w:color="auto" w:fill="auto"/>
            <w:noWrap/>
            <w:vAlign w:val="bottom"/>
            <w:hideMark/>
          </w:tcPr>
          <w:p w14:paraId="5636E044" w14:textId="77777777" w:rsidR="007E3DBA" w:rsidRPr="000621D5" w:rsidRDefault="007E3DBA" w:rsidP="00730717">
            <w:pPr>
              <w:spacing w:before="0" w:line="240" w:lineRule="auto"/>
              <w:rPr>
                <w:rFonts w:cs="Calibri"/>
                <w:color w:val="000000"/>
                <w:sz w:val="16"/>
                <w:szCs w:val="16"/>
                <w:lang w:eastAsia="en-GB"/>
              </w:rPr>
            </w:pPr>
            <w:r w:rsidRPr="000621D5">
              <w:rPr>
                <w:rFonts w:cs="Calibri"/>
                <w:color w:val="000000"/>
                <w:sz w:val="16"/>
                <w:szCs w:val="16"/>
                <w:lang w:eastAsia="en-GB"/>
              </w:rPr>
              <w:t>Diagnosis to resection (days)</w:t>
            </w:r>
          </w:p>
        </w:tc>
        <w:tc>
          <w:tcPr>
            <w:tcW w:w="1786" w:type="dxa"/>
            <w:tcBorders>
              <w:top w:val="nil"/>
              <w:left w:val="nil"/>
              <w:bottom w:val="nil"/>
              <w:right w:val="nil"/>
            </w:tcBorders>
            <w:shd w:val="clear" w:color="auto" w:fill="auto"/>
            <w:noWrap/>
            <w:vAlign w:val="bottom"/>
            <w:hideMark/>
          </w:tcPr>
          <w:p w14:paraId="12467EED"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153.00 [139.00, 171.00]</w:t>
            </w:r>
          </w:p>
        </w:tc>
        <w:tc>
          <w:tcPr>
            <w:tcW w:w="1823" w:type="dxa"/>
            <w:tcBorders>
              <w:top w:val="nil"/>
              <w:left w:val="nil"/>
              <w:bottom w:val="nil"/>
              <w:right w:val="nil"/>
            </w:tcBorders>
            <w:shd w:val="clear" w:color="auto" w:fill="auto"/>
            <w:noWrap/>
            <w:vAlign w:val="bottom"/>
            <w:hideMark/>
          </w:tcPr>
          <w:p w14:paraId="358004FE"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153.00 [138.00, 173.00]</w:t>
            </w:r>
          </w:p>
        </w:tc>
        <w:tc>
          <w:tcPr>
            <w:tcW w:w="1823" w:type="dxa"/>
            <w:tcBorders>
              <w:top w:val="nil"/>
              <w:left w:val="nil"/>
              <w:bottom w:val="nil"/>
              <w:right w:val="nil"/>
            </w:tcBorders>
            <w:shd w:val="clear" w:color="auto" w:fill="auto"/>
            <w:noWrap/>
            <w:vAlign w:val="bottom"/>
            <w:hideMark/>
          </w:tcPr>
          <w:p w14:paraId="0B4C5546"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153.00 [140.00, 168.00]</w:t>
            </w:r>
          </w:p>
        </w:tc>
        <w:tc>
          <w:tcPr>
            <w:tcW w:w="965" w:type="dxa"/>
            <w:tcBorders>
              <w:top w:val="nil"/>
              <w:left w:val="nil"/>
              <w:bottom w:val="nil"/>
              <w:right w:val="nil"/>
            </w:tcBorders>
            <w:shd w:val="clear" w:color="auto" w:fill="auto"/>
            <w:noWrap/>
            <w:vAlign w:val="bottom"/>
            <w:hideMark/>
          </w:tcPr>
          <w:p w14:paraId="0A701F79" w14:textId="77777777" w:rsidR="007E3DBA" w:rsidRPr="000621D5" w:rsidRDefault="007E3DBA" w:rsidP="00730717">
            <w:pPr>
              <w:spacing w:before="0" w:line="240" w:lineRule="auto"/>
              <w:jc w:val="center"/>
              <w:rPr>
                <w:rFonts w:cs="Calibri"/>
                <w:color w:val="000000"/>
                <w:sz w:val="16"/>
                <w:szCs w:val="16"/>
                <w:lang w:eastAsia="en-GB"/>
              </w:rPr>
            </w:pPr>
            <w:r w:rsidRPr="000621D5">
              <w:rPr>
                <w:rFonts w:cs="Calibri"/>
                <w:color w:val="000000"/>
                <w:sz w:val="16"/>
                <w:szCs w:val="16"/>
                <w:lang w:eastAsia="en-GB"/>
              </w:rPr>
              <w:t xml:space="preserve"> 0.296¶</w:t>
            </w:r>
          </w:p>
        </w:tc>
      </w:tr>
      <w:tr w:rsidR="007E3DBA" w:rsidRPr="000621D5" w14:paraId="0F8789D6" w14:textId="77777777" w:rsidTr="00730717">
        <w:trPr>
          <w:gridAfter w:val="1"/>
          <w:wAfter w:w="237" w:type="dxa"/>
          <w:trHeight w:val="276"/>
        </w:trPr>
        <w:tc>
          <w:tcPr>
            <w:tcW w:w="10934" w:type="dxa"/>
            <w:gridSpan w:val="6"/>
            <w:vMerge w:val="restart"/>
            <w:tcBorders>
              <w:top w:val="single" w:sz="8" w:space="0" w:color="auto"/>
              <w:left w:val="nil"/>
              <w:bottom w:val="single" w:sz="8" w:space="0" w:color="000000"/>
              <w:right w:val="nil"/>
            </w:tcBorders>
            <w:shd w:val="clear" w:color="auto" w:fill="auto"/>
            <w:vAlign w:val="center"/>
            <w:hideMark/>
          </w:tcPr>
          <w:p w14:paraId="20EBC23E" w14:textId="77777777" w:rsidR="007E3DBA" w:rsidRPr="000621D5" w:rsidRDefault="007E3DBA" w:rsidP="00730717">
            <w:pPr>
              <w:spacing w:before="0" w:line="240" w:lineRule="auto"/>
              <w:rPr>
                <w:rFonts w:asciiTheme="minorHAnsi" w:hAnsiTheme="minorHAnsi" w:cstheme="minorHAnsi"/>
                <w:color w:val="000000"/>
                <w:sz w:val="16"/>
                <w:szCs w:val="16"/>
                <w:lang w:eastAsia="en-GB"/>
              </w:rPr>
            </w:pPr>
            <w:r w:rsidRPr="000621D5">
              <w:rPr>
                <w:rFonts w:asciiTheme="minorHAnsi" w:hAnsiTheme="minorHAnsi" w:cstheme="minorHAnsi"/>
                <w:color w:val="000000"/>
                <w:sz w:val="16"/>
                <w:szCs w:val="16"/>
                <w:lang w:eastAsia="en-GB"/>
              </w:rPr>
              <w:t>Data presented as absolute number (%) and median (IQR), § χ2 test, except ¶ MWU test. G</w:t>
            </w:r>
            <w:r>
              <w:rPr>
                <w:rFonts w:asciiTheme="minorHAnsi" w:hAnsiTheme="minorHAnsi" w:cstheme="minorHAnsi"/>
                <w:color w:val="000000"/>
                <w:sz w:val="16"/>
                <w:szCs w:val="16"/>
                <w:lang w:eastAsia="en-GB"/>
              </w:rPr>
              <w:t>O</w:t>
            </w:r>
            <w:r w:rsidRPr="000621D5">
              <w:rPr>
                <w:rFonts w:asciiTheme="minorHAnsi" w:hAnsiTheme="minorHAnsi" w:cstheme="minorHAnsi"/>
                <w:color w:val="000000"/>
                <w:sz w:val="16"/>
                <w:szCs w:val="16"/>
                <w:lang w:eastAsia="en-GB"/>
              </w:rPr>
              <w:t>J = Gastro-</w:t>
            </w:r>
            <w:r>
              <w:rPr>
                <w:rFonts w:asciiTheme="minorHAnsi" w:hAnsiTheme="minorHAnsi" w:cstheme="minorHAnsi"/>
                <w:color w:val="000000"/>
                <w:sz w:val="16"/>
                <w:szCs w:val="16"/>
                <w:lang w:eastAsia="en-GB"/>
              </w:rPr>
              <w:t>o</w:t>
            </w:r>
            <w:r w:rsidRPr="000621D5">
              <w:rPr>
                <w:rFonts w:asciiTheme="minorHAnsi" w:hAnsiTheme="minorHAnsi" w:cstheme="minorHAnsi"/>
                <w:color w:val="000000"/>
                <w:sz w:val="16"/>
                <w:szCs w:val="16"/>
                <w:lang w:eastAsia="en-GB"/>
              </w:rPr>
              <w:t>esophageal junction, CRM = Circumferential resection margin, *Index of multiple deprivation</w:t>
            </w:r>
          </w:p>
        </w:tc>
      </w:tr>
      <w:tr w:rsidR="007E3DBA" w:rsidRPr="000621D5" w14:paraId="728523DB" w14:textId="77777777" w:rsidTr="00730717">
        <w:trPr>
          <w:trHeight w:val="200"/>
        </w:trPr>
        <w:tc>
          <w:tcPr>
            <w:tcW w:w="10934" w:type="dxa"/>
            <w:gridSpan w:val="6"/>
            <w:vMerge/>
            <w:tcBorders>
              <w:top w:val="single" w:sz="8" w:space="0" w:color="auto"/>
              <w:left w:val="nil"/>
              <w:bottom w:val="single" w:sz="8" w:space="0" w:color="000000"/>
              <w:right w:val="nil"/>
            </w:tcBorders>
            <w:vAlign w:val="center"/>
            <w:hideMark/>
          </w:tcPr>
          <w:p w14:paraId="5DBF8AE4" w14:textId="77777777" w:rsidR="007E3DBA" w:rsidRPr="000621D5" w:rsidRDefault="007E3DBA" w:rsidP="00730717">
            <w:pPr>
              <w:spacing w:before="0" w:line="240" w:lineRule="auto"/>
              <w:rPr>
                <w:rFonts w:ascii="Helvetica Neue" w:hAnsi="Helvetica Neue" w:cs="Calibri"/>
                <w:color w:val="000000"/>
                <w:sz w:val="16"/>
                <w:szCs w:val="16"/>
                <w:lang w:eastAsia="en-GB"/>
              </w:rPr>
            </w:pPr>
          </w:p>
        </w:tc>
        <w:tc>
          <w:tcPr>
            <w:tcW w:w="237" w:type="dxa"/>
            <w:tcBorders>
              <w:top w:val="nil"/>
              <w:left w:val="nil"/>
              <w:bottom w:val="nil"/>
              <w:right w:val="nil"/>
            </w:tcBorders>
            <w:shd w:val="clear" w:color="auto" w:fill="auto"/>
            <w:noWrap/>
            <w:vAlign w:val="bottom"/>
            <w:hideMark/>
          </w:tcPr>
          <w:p w14:paraId="184036DB" w14:textId="77777777" w:rsidR="007E3DBA" w:rsidRPr="000621D5" w:rsidRDefault="007E3DBA" w:rsidP="00730717">
            <w:pPr>
              <w:spacing w:before="0" w:line="240" w:lineRule="auto"/>
              <w:jc w:val="center"/>
              <w:rPr>
                <w:rFonts w:ascii="Helvetica Neue" w:hAnsi="Helvetica Neue" w:cs="Calibri"/>
                <w:color w:val="000000"/>
                <w:sz w:val="16"/>
                <w:szCs w:val="16"/>
                <w:lang w:eastAsia="en-GB"/>
              </w:rPr>
            </w:pPr>
          </w:p>
        </w:tc>
      </w:tr>
    </w:tbl>
    <w:p w14:paraId="78BD8084" w14:textId="77777777" w:rsidR="007E3DBA" w:rsidRDefault="007E3DBA" w:rsidP="007E3DBA">
      <w:pPr>
        <w:spacing w:before="0" w:line="240" w:lineRule="auto"/>
        <w:rPr>
          <w:sz w:val="24"/>
          <w:szCs w:val="24"/>
        </w:rPr>
        <w:sectPr w:rsidR="007E3DBA" w:rsidSect="009B06D7">
          <w:headerReference w:type="default" r:id="rId15"/>
          <w:footerReference w:type="default" r:id="rId16"/>
          <w:pgSz w:w="11900" w:h="16840"/>
          <w:pgMar w:top="720" w:right="720" w:bottom="720" w:left="720" w:header="708" w:footer="708" w:gutter="0"/>
          <w:cols w:space="708"/>
          <w:docGrid w:linePitch="360"/>
        </w:sectPr>
      </w:pPr>
    </w:p>
    <w:p w14:paraId="18F840D1" w14:textId="77777777" w:rsidR="007E3DBA" w:rsidRDefault="007E3DBA" w:rsidP="007E3DBA">
      <w:pPr>
        <w:spacing w:before="0" w:line="240" w:lineRule="auto"/>
        <w:rPr>
          <w:color w:val="000000" w:themeColor="text1"/>
          <w:sz w:val="24"/>
          <w:szCs w:val="24"/>
        </w:rPr>
      </w:pPr>
      <w:r>
        <w:rPr>
          <w:color w:val="000000" w:themeColor="text1"/>
          <w:sz w:val="24"/>
          <w:szCs w:val="24"/>
        </w:rPr>
        <w:lastRenderedPageBreak/>
        <w:t>Table 3: Estimated benefit of receiving postoperative chemotherapy for different patient subgroups, estimated using IPTW propensity analysis. Life expectancy (LE) difference (in months) gives difference in restricted mean survival times from 3 years follow-up.</w:t>
      </w:r>
    </w:p>
    <w:p w14:paraId="06DB44F5" w14:textId="77777777" w:rsidR="007E3DBA" w:rsidRPr="00691A00" w:rsidRDefault="007E3DBA" w:rsidP="007E3DBA">
      <w:pPr>
        <w:spacing w:before="0" w:line="240" w:lineRule="auto"/>
        <w:rPr>
          <w:color w:val="000000" w:themeColor="text1"/>
          <w:sz w:val="24"/>
          <w:szCs w:val="24"/>
        </w:rPr>
      </w:pPr>
    </w:p>
    <w:tbl>
      <w:tblPr>
        <w:tblW w:w="9855" w:type="dxa"/>
        <w:tblLook w:val="04A0" w:firstRow="1" w:lastRow="0" w:firstColumn="1" w:lastColumn="0" w:noHBand="0" w:noVBand="1"/>
      </w:tblPr>
      <w:tblGrid>
        <w:gridCol w:w="1561"/>
        <w:gridCol w:w="1417"/>
        <w:gridCol w:w="1134"/>
        <w:gridCol w:w="1134"/>
        <w:gridCol w:w="1418"/>
        <w:gridCol w:w="661"/>
        <w:gridCol w:w="1645"/>
        <w:gridCol w:w="661"/>
        <w:gridCol w:w="224"/>
      </w:tblGrid>
      <w:tr w:rsidR="007E3DBA" w:rsidRPr="008D19BC" w14:paraId="58EA951D" w14:textId="77777777" w:rsidTr="00730717">
        <w:trPr>
          <w:gridAfter w:val="1"/>
          <w:wAfter w:w="224" w:type="dxa"/>
          <w:trHeight w:val="540"/>
        </w:trPr>
        <w:tc>
          <w:tcPr>
            <w:tcW w:w="1561" w:type="dxa"/>
            <w:vMerge w:val="restart"/>
            <w:tcBorders>
              <w:top w:val="single" w:sz="8" w:space="0" w:color="auto"/>
              <w:left w:val="nil"/>
              <w:bottom w:val="single" w:sz="8" w:space="0" w:color="000000"/>
              <w:right w:val="nil"/>
            </w:tcBorders>
            <w:shd w:val="clear" w:color="auto" w:fill="auto"/>
            <w:vAlign w:val="center"/>
            <w:hideMark/>
          </w:tcPr>
          <w:p w14:paraId="24F112DE"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 xml:space="preserve">Cohort </w:t>
            </w:r>
          </w:p>
        </w:tc>
        <w:tc>
          <w:tcPr>
            <w:tcW w:w="1417" w:type="dxa"/>
            <w:vMerge w:val="restart"/>
            <w:tcBorders>
              <w:top w:val="single" w:sz="8" w:space="0" w:color="auto"/>
              <w:left w:val="nil"/>
              <w:bottom w:val="single" w:sz="8" w:space="0" w:color="000000"/>
              <w:right w:val="nil"/>
            </w:tcBorders>
            <w:shd w:val="clear" w:color="auto" w:fill="auto"/>
            <w:vAlign w:val="center"/>
            <w:hideMark/>
          </w:tcPr>
          <w:p w14:paraId="4F6D9A66"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 xml:space="preserve">Cases </w:t>
            </w:r>
            <w:r w:rsidRPr="006501C3">
              <w:rPr>
                <w:rFonts w:cs="Calibri"/>
                <w:i/>
                <w:iCs/>
                <w:color w:val="000000"/>
                <w:sz w:val="16"/>
                <w:szCs w:val="16"/>
                <w:lang w:eastAsia="en-GB"/>
              </w:rPr>
              <w:t>(n^)</w:t>
            </w:r>
            <w:r w:rsidRPr="008D19BC">
              <w:rPr>
                <w:rFonts w:cs="Calibri"/>
                <w:color w:val="000000"/>
                <w:sz w:val="16"/>
                <w:szCs w:val="16"/>
                <w:lang w:eastAsia="en-GB"/>
              </w:rPr>
              <w:t xml:space="preserve"> Observed/Treated </w:t>
            </w:r>
          </w:p>
        </w:tc>
        <w:tc>
          <w:tcPr>
            <w:tcW w:w="1134" w:type="dxa"/>
            <w:vMerge w:val="restart"/>
            <w:tcBorders>
              <w:top w:val="single" w:sz="8" w:space="0" w:color="auto"/>
              <w:left w:val="nil"/>
              <w:bottom w:val="single" w:sz="8" w:space="0" w:color="000000"/>
              <w:right w:val="nil"/>
            </w:tcBorders>
            <w:shd w:val="clear" w:color="auto" w:fill="auto"/>
            <w:vAlign w:val="center"/>
            <w:hideMark/>
          </w:tcPr>
          <w:p w14:paraId="3AC92D65"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3-year Survival Observed (%)</w:t>
            </w:r>
          </w:p>
        </w:tc>
        <w:tc>
          <w:tcPr>
            <w:tcW w:w="1134" w:type="dxa"/>
            <w:vMerge w:val="restart"/>
            <w:tcBorders>
              <w:top w:val="single" w:sz="8" w:space="0" w:color="auto"/>
              <w:left w:val="nil"/>
              <w:bottom w:val="single" w:sz="8" w:space="0" w:color="000000"/>
              <w:right w:val="nil"/>
            </w:tcBorders>
            <w:shd w:val="clear" w:color="auto" w:fill="auto"/>
            <w:vAlign w:val="center"/>
            <w:hideMark/>
          </w:tcPr>
          <w:p w14:paraId="52DF5C93"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3-year Survival Treated (%)</w:t>
            </w:r>
          </w:p>
        </w:tc>
        <w:tc>
          <w:tcPr>
            <w:tcW w:w="1418" w:type="dxa"/>
            <w:vMerge w:val="restart"/>
            <w:tcBorders>
              <w:top w:val="single" w:sz="8" w:space="0" w:color="auto"/>
              <w:left w:val="nil"/>
              <w:bottom w:val="single" w:sz="8" w:space="0" w:color="000000"/>
              <w:right w:val="nil"/>
            </w:tcBorders>
            <w:shd w:val="clear" w:color="auto" w:fill="auto"/>
            <w:vAlign w:val="center"/>
            <w:hideMark/>
          </w:tcPr>
          <w:p w14:paraId="5DEF47EC"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3-year LED (95% CI)</w:t>
            </w:r>
          </w:p>
        </w:tc>
        <w:tc>
          <w:tcPr>
            <w:tcW w:w="661" w:type="dxa"/>
            <w:vMerge w:val="restart"/>
            <w:tcBorders>
              <w:top w:val="single" w:sz="8" w:space="0" w:color="auto"/>
              <w:left w:val="nil"/>
              <w:bottom w:val="single" w:sz="8" w:space="0" w:color="000000"/>
              <w:right w:val="nil"/>
            </w:tcBorders>
            <w:shd w:val="clear" w:color="auto" w:fill="auto"/>
            <w:vAlign w:val="center"/>
            <w:hideMark/>
          </w:tcPr>
          <w:p w14:paraId="3FA6FE61" w14:textId="77777777" w:rsidR="007E3DBA" w:rsidRPr="006501C3" w:rsidRDefault="007E3DBA" w:rsidP="00730717">
            <w:pPr>
              <w:spacing w:before="0" w:line="240" w:lineRule="auto"/>
              <w:jc w:val="center"/>
              <w:rPr>
                <w:rFonts w:cs="Calibri"/>
                <w:i/>
                <w:iCs/>
                <w:color w:val="000000"/>
                <w:sz w:val="16"/>
                <w:szCs w:val="16"/>
                <w:lang w:eastAsia="en-GB"/>
              </w:rPr>
            </w:pPr>
            <w:r w:rsidRPr="006501C3">
              <w:rPr>
                <w:rFonts w:cs="Calibri"/>
                <w:i/>
                <w:iCs/>
                <w:color w:val="000000"/>
                <w:sz w:val="16"/>
                <w:szCs w:val="16"/>
                <w:lang w:eastAsia="en-GB"/>
              </w:rPr>
              <w:t>P</w:t>
            </w:r>
          </w:p>
        </w:tc>
        <w:tc>
          <w:tcPr>
            <w:tcW w:w="1645" w:type="dxa"/>
            <w:vMerge w:val="restart"/>
            <w:tcBorders>
              <w:top w:val="single" w:sz="8" w:space="0" w:color="auto"/>
              <w:left w:val="nil"/>
              <w:bottom w:val="single" w:sz="8" w:space="0" w:color="000000"/>
              <w:right w:val="nil"/>
            </w:tcBorders>
            <w:shd w:val="clear" w:color="auto" w:fill="auto"/>
            <w:vAlign w:val="center"/>
            <w:hideMark/>
          </w:tcPr>
          <w:p w14:paraId="04799A52"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HR (95% CI)</w:t>
            </w:r>
          </w:p>
        </w:tc>
        <w:tc>
          <w:tcPr>
            <w:tcW w:w="661" w:type="dxa"/>
            <w:vMerge w:val="restart"/>
            <w:tcBorders>
              <w:top w:val="single" w:sz="8" w:space="0" w:color="auto"/>
              <w:left w:val="nil"/>
              <w:bottom w:val="single" w:sz="8" w:space="0" w:color="000000"/>
              <w:right w:val="nil"/>
            </w:tcBorders>
            <w:shd w:val="clear" w:color="auto" w:fill="auto"/>
            <w:vAlign w:val="center"/>
            <w:hideMark/>
          </w:tcPr>
          <w:p w14:paraId="4821EF6A" w14:textId="77777777" w:rsidR="007E3DBA" w:rsidRPr="006501C3" w:rsidRDefault="007E3DBA" w:rsidP="00730717">
            <w:pPr>
              <w:spacing w:before="0" w:line="240" w:lineRule="auto"/>
              <w:jc w:val="center"/>
              <w:rPr>
                <w:rFonts w:cs="Calibri"/>
                <w:i/>
                <w:iCs/>
                <w:color w:val="000000"/>
                <w:sz w:val="16"/>
                <w:szCs w:val="16"/>
                <w:lang w:eastAsia="en-GB"/>
              </w:rPr>
            </w:pPr>
            <w:r w:rsidRPr="006501C3">
              <w:rPr>
                <w:rFonts w:cs="Calibri"/>
                <w:i/>
                <w:iCs/>
                <w:color w:val="000000"/>
                <w:sz w:val="16"/>
                <w:szCs w:val="16"/>
                <w:lang w:eastAsia="en-GB"/>
              </w:rPr>
              <w:t>P</w:t>
            </w:r>
          </w:p>
        </w:tc>
      </w:tr>
      <w:tr w:rsidR="007E3DBA" w:rsidRPr="008D19BC" w14:paraId="013356D1" w14:textId="77777777" w:rsidTr="00730717">
        <w:trPr>
          <w:trHeight w:val="340"/>
        </w:trPr>
        <w:tc>
          <w:tcPr>
            <w:tcW w:w="1561" w:type="dxa"/>
            <w:vMerge/>
            <w:tcBorders>
              <w:top w:val="single" w:sz="8" w:space="0" w:color="auto"/>
              <w:left w:val="nil"/>
              <w:bottom w:val="single" w:sz="8" w:space="0" w:color="000000"/>
              <w:right w:val="nil"/>
            </w:tcBorders>
            <w:vAlign w:val="center"/>
            <w:hideMark/>
          </w:tcPr>
          <w:p w14:paraId="3A67710C" w14:textId="77777777" w:rsidR="007E3DBA" w:rsidRPr="008D19BC" w:rsidRDefault="007E3DBA" w:rsidP="00730717">
            <w:pPr>
              <w:spacing w:before="0" w:line="240" w:lineRule="auto"/>
              <w:rPr>
                <w:rFonts w:cs="Calibri"/>
                <w:color w:val="000000"/>
                <w:sz w:val="16"/>
                <w:szCs w:val="16"/>
                <w:lang w:eastAsia="en-GB"/>
              </w:rPr>
            </w:pPr>
          </w:p>
        </w:tc>
        <w:tc>
          <w:tcPr>
            <w:tcW w:w="1417" w:type="dxa"/>
            <w:vMerge/>
            <w:tcBorders>
              <w:top w:val="single" w:sz="8" w:space="0" w:color="auto"/>
              <w:left w:val="nil"/>
              <w:bottom w:val="single" w:sz="8" w:space="0" w:color="000000"/>
              <w:right w:val="nil"/>
            </w:tcBorders>
            <w:vAlign w:val="center"/>
            <w:hideMark/>
          </w:tcPr>
          <w:p w14:paraId="2D68A856" w14:textId="77777777" w:rsidR="007E3DBA" w:rsidRPr="008D19BC" w:rsidRDefault="007E3DBA" w:rsidP="00730717">
            <w:pPr>
              <w:spacing w:before="0" w:line="240" w:lineRule="auto"/>
              <w:rPr>
                <w:rFonts w:cs="Calibri"/>
                <w:color w:val="000000"/>
                <w:sz w:val="16"/>
                <w:szCs w:val="16"/>
                <w:lang w:eastAsia="en-GB"/>
              </w:rPr>
            </w:pPr>
          </w:p>
        </w:tc>
        <w:tc>
          <w:tcPr>
            <w:tcW w:w="1134" w:type="dxa"/>
            <w:vMerge/>
            <w:tcBorders>
              <w:top w:val="single" w:sz="8" w:space="0" w:color="auto"/>
              <w:left w:val="nil"/>
              <w:bottom w:val="single" w:sz="8" w:space="0" w:color="000000"/>
              <w:right w:val="nil"/>
            </w:tcBorders>
            <w:vAlign w:val="center"/>
            <w:hideMark/>
          </w:tcPr>
          <w:p w14:paraId="230EAFF4" w14:textId="77777777" w:rsidR="007E3DBA" w:rsidRPr="008D19BC" w:rsidRDefault="007E3DBA" w:rsidP="00730717">
            <w:pPr>
              <w:spacing w:before="0" w:line="240" w:lineRule="auto"/>
              <w:rPr>
                <w:rFonts w:cs="Calibri"/>
                <w:color w:val="000000"/>
                <w:sz w:val="16"/>
                <w:szCs w:val="16"/>
                <w:lang w:eastAsia="en-GB"/>
              </w:rPr>
            </w:pPr>
          </w:p>
        </w:tc>
        <w:tc>
          <w:tcPr>
            <w:tcW w:w="1134" w:type="dxa"/>
            <w:vMerge/>
            <w:tcBorders>
              <w:top w:val="single" w:sz="8" w:space="0" w:color="auto"/>
              <w:left w:val="nil"/>
              <w:bottom w:val="single" w:sz="8" w:space="0" w:color="000000"/>
              <w:right w:val="nil"/>
            </w:tcBorders>
            <w:vAlign w:val="center"/>
            <w:hideMark/>
          </w:tcPr>
          <w:p w14:paraId="0580ECC6" w14:textId="77777777" w:rsidR="007E3DBA" w:rsidRPr="008D19BC" w:rsidRDefault="007E3DBA" w:rsidP="00730717">
            <w:pPr>
              <w:spacing w:before="0" w:line="240" w:lineRule="auto"/>
              <w:rPr>
                <w:rFonts w:cs="Calibri"/>
                <w:color w:val="000000"/>
                <w:sz w:val="16"/>
                <w:szCs w:val="16"/>
                <w:lang w:eastAsia="en-GB"/>
              </w:rPr>
            </w:pPr>
          </w:p>
        </w:tc>
        <w:tc>
          <w:tcPr>
            <w:tcW w:w="1418" w:type="dxa"/>
            <w:vMerge/>
            <w:tcBorders>
              <w:top w:val="single" w:sz="8" w:space="0" w:color="auto"/>
              <w:left w:val="nil"/>
              <w:bottom w:val="single" w:sz="8" w:space="0" w:color="000000"/>
              <w:right w:val="nil"/>
            </w:tcBorders>
            <w:vAlign w:val="center"/>
            <w:hideMark/>
          </w:tcPr>
          <w:p w14:paraId="3E082632" w14:textId="77777777" w:rsidR="007E3DBA" w:rsidRPr="008D19BC" w:rsidRDefault="007E3DBA" w:rsidP="00730717">
            <w:pPr>
              <w:spacing w:before="0" w:line="240" w:lineRule="auto"/>
              <w:rPr>
                <w:rFonts w:cs="Calibri"/>
                <w:color w:val="000000"/>
                <w:sz w:val="16"/>
                <w:szCs w:val="16"/>
                <w:lang w:eastAsia="en-GB"/>
              </w:rPr>
            </w:pPr>
          </w:p>
        </w:tc>
        <w:tc>
          <w:tcPr>
            <w:tcW w:w="661" w:type="dxa"/>
            <w:vMerge/>
            <w:tcBorders>
              <w:top w:val="single" w:sz="8" w:space="0" w:color="auto"/>
              <w:left w:val="nil"/>
              <w:bottom w:val="single" w:sz="8" w:space="0" w:color="000000"/>
              <w:right w:val="nil"/>
            </w:tcBorders>
            <w:vAlign w:val="center"/>
            <w:hideMark/>
          </w:tcPr>
          <w:p w14:paraId="59AE23D4" w14:textId="77777777" w:rsidR="007E3DBA" w:rsidRPr="008D19BC" w:rsidRDefault="007E3DBA" w:rsidP="00730717">
            <w:pPr>
              <w:spacing w:before="0" w:line="240" w:lineRule="auto"/>
              <w:rPr>
                <w:rFonts w:cs="Calibri"/>
                <w:color w:val="000000"/>
                <w:sz w:val="16"/>
                <w:szCs w:val="16"/>
                <w:lang w:eastAsia="en-GB"/>
              </w:rPr>
            </w:pPr>
          </w:p>
        </w:tc>
        <w:tc>
          <w:tcPr>
            <w:tcW w:w="1645" w:type="dxa"/>
            <w:vMerge/>
            <w:tcBorders>
              <w:top w:val="single" w:sz="8" w:space="0" w:color="auto"/>
              <w:left w:val="nil"/>
              <w:bottom w:val="single" w:sz="8" w:space="0" w:color="000000"/>
              <w:right w:val="nil"/>
            </w:tcBorders>
            <w:vAlign w:val="center"/>
            <w:hideMark/>
          </w:tcPr>
          <w:p w14:paraId="08A169CA" w14:textId="77777777" w:rsidR="007E3DBA" w:rsidRPr="008D19BC" w:rsidRDefault="007E3DBA" w:rsidP="00730717">
            <w:pPr>
              <w:spacing w:before="0" w:line="240" w:lineRule="auto"/>
              <w:rPr>
                <w:rFonts w:cs="Calibri"/>
                <w:color w:val="000000"/>
                <w:sz w:val="16"/>
                <w:szCs w:val="16"/>
                <w:lang w:eastAsia="en-GB"/>
              </w:rPr>
            </w:pPr>
          </w:p>
        </w:tc>
        <w:tc>
          <w:tcPr>
            <w:tcW w:w="661" w:type="dxa"/>
            <w:vMerge/>
            <w:tcBorders>
              <w:top w:val="single" w:sz="8" w:space="0" w:color="auto"/>
              <w:left w:val="nil"/>
              <w:bottom w:val="single" w:sz="8" w:space="0" w:color="000000"/>
              <w:right w:val="nil"/>
            </w:tcBorders>
            <w:vAlign w:val="center"/>
            <w:hideMark/>
          </w:tcPr>
          <w:p w14:paraId="336421D5" w14:textId="77777777" w:rsidR="007E3DBA" w:rsidRPr="008D19BC" w:rsidRDefault="007E3DBA" w:rsidP="00730717">
            <w:pPr>
              <w:spacing w:before="0" w:line="240" w:lineRule="auto"/>
              <w:rPr>
                <w:rFonts w:cs="Calibri"/>
                <w:color w:val="000000"/>
                <w:sz w:val="16"/>
                <w:szCs w:val="16"/>
                <w:lang w:eastAsia="en-GB"/>
              </w:rPr>
            </w:pPr>
          </w:p>
        </w:tc>
        <w:tc>
          <w:tcPr>
            <w:tcW w:w="224" w:type="dxa"/>
            <w:tcBorders>
              <w:top w:val="nil"/>
              <w:left w:val="nil"/>
              <w:bottom w:val="nil"/>
              <w:right w:val="nil"/>
            </w:tcBorders>
            <w:shd w:val="clear" w:color="auto" w:fill="auto"/>
            <w:noWrap/>
            <w:vAlign w:val="bottom"/>
            <w:hideMark/>
          </w:tcPr>
          <w:p w14:paraId="2372ABBE" w14:textId="77777777" w:rsidR="007E3DBA" w:rsidRPr="008D19BC" w:rsidRDefault="007E3DBA" w:rsidP="00730717">
            <w:pPr>
              <w:spacing w:before="0" w:line="240" w:lineRule="auto"/>
              <w:jc w:val="center"/>
              <w:rPr>
                <w:rFonts w:cs="Calibri"/>
                <w:color w:val="000000"/>
                <w:sz w:val="16"/>
                <w:szCs w:val="16"/>
                <w:lang w:eastAsia="en-GB"/>
              </w:rPr>
            </w:pPr>
          </w:p>
        </w:tc>
      </w:tr>
      <w:tr w:rsidR="007E3DBA" w:rsidRPr="008D19BC" w14:paraId="43D7DDA5" w14:textId="77777777" w:rsidTr="00730717">
        <w:trPr>
          <w:trHeight w:val="320"/>
        </w:trPr>
        <w:tc>
          <w:tcPr>
            <w:tcW w:w="1561" w:type="dxa"/>
            <w:tcBorders>
              <w:top w:val="nil"/>
              <w:left w:val="nil"/>
              <w:bottom w:val="nil"/>
              <w:right w:val="nil"/>
            </w:tcBorders>
            <w:shd w:val="clear" w:color="auto" w:fill="auto"/>
            <w:noWrap/>
            <w:vAlign w:val="center"/>
            <w:hideMark/>
          </w:tcPr>
          <w:p w14:paraId="29964BA5" w14:textId="77777777" w:rsidR="007E3DBA" w:rsidRPr="008D19BC" w:rsidRDefault="007E3DBA" w:rsidP="00730717">
            <w:pPr>
              <w:spacing w:before="0" w:line="240" w:lineRule="auto"/>
              <w:rPr>
                <w:rFonts w:cs="Calibri"/>
                <w:color w:val="000000"/>
                <w:sz w:val="16"/>
                <w:szCs w:val="16"/>
                <w:lang w:eastAsia="en-GB"/>
              </w:rPr>
            </w:pPr>
            <w:r w:rsidRPr="008D19BC">
              <w:rPr>
                <w:rFonts w:cs="Calibri"/>
                <w:color w:val="000000"/>
                <w:sz w:val="16"/>
                <w:szCs w:val="16"/>
                <w:lang w:eastAsia="en-GB"/>
              </w:rPr>
              <w:t>ypN0</w:t>
            </w:r>
          </w:p>
        </w:tc>
        <w:tc>
          <w:tcPr>
            <w:tcW w:w="1417" w:type="dxa"/>
            <w:tcBorders>
              <w:top w:val="nil"/>
              <w:left w:val="nil"/>
              <w:bottom w:val="nil"/>
              <w:right w:val="nil"/>
            </w:tcBorders>
            <w:shd w:val="clear" w:color="auto" w:fill="auto"/>
            <w:noWrap/>
            <w:vAlign w:val="center"/>
            <w:hideMark/>
          </w:tcPr>
          <w:p w14:paraId="05E0C9DE"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1119/671</w:t>
            </w:r>
          </w:p>
        </w:tc>
        <w:tc>
          <w:tcPr>
            <w:tcW w:w="1134" w:type="dxa"/>
            <w:tcBorders>
              <w:top w:val="nil"/>
              <w:left w:val="nil"/>
              <w:bottom w:val="nil"/>
              <w:right w:val="nil"/>
            </w:tcBorders>
            <w:shd w:val="clear" w:color="auto" w:fill="auto"/>
            <w:noWrap/>
            <w:vAlign w:val="center"/>
            <w:hideMark/>
          </w:tcPr>
          <w:p w14:paraId="1BAD0F39"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82.4</w:t>
            </w:r>
          </w:p>
        </w:tc>
        <w:tc>
          <w:tcPr>
            <w:tcW w:w="1134" w:type="dxa"/>
            <w:tcBorders>
              <w:top w:val="nil"/>
              <w:left w:val="nil"/>
              <w:bottom w:val="nil"/>
              <w:right w:val="nil"/>
            </w:tcBorders>
            <w:shd w:val="clear" w:color="auto" w:fill="auto"/>
            <w:vAlign w:val="center"/>
            <w:hideMark/>
          </w:tcPr>
          <w:p w14:paraId="592DB710"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89.9</w:t>
            </w:r>
          </w:p>
        </w:tc>
        <w:tc>
          <w:tcPr>
            <w:tcW w:w="1418" w:type="dxa"/>
            <w:tcBorders>
              <w:top w:val="nil"/>
              <w:left w:val="nil"/>
              <w:bottom w:val="nil"/>
              <w:right w:val="nil"/>
            </w:tcBorders>
            <w:shd w:val="clear" w:color="auto" w:fill="auto"/>
            <w:noWrap/>
            <w:vAlign w:val="center"/>
            <w:hideMark/>
          </w:tcPr>
          <w:p w14:paraId="49D4CF98"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0.95 (0.26 - 1.63)</w:t>
            </w:r>
          </w:p>
        </w:tc>
        <w:tc>
          <w:tcPr>
            <w:tcW w:w="661" w:type="dxa"/>
            <w:tcBorders>
              <w:top w:val="nil"/>
              <w:left w:val="nil"/>
              <w:bottom w:val="nil"/>
              <w:right w:val="nil"/>
            </w:tcBorders>
            <w:shd w:val="clear" w:color="auto" w:fill="auto"/>
            <w:noWrap/>
            <w:vAlign w:val="center"/>
            <w:hideMark/>
          </w:tcPr>
          <w:p w14:paraId="042CD63C"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0.007</w:t>
            </w:r>
          </w:p>
        </w:tc>
        <w:tc>
          <w:tcPr>
            <w:tcW w:w="1645" w:type="dxa"/>
            <w:tcBorders>
              <w:top w:val="nil"/>
              <w:left w:val="nil"/>
              <w:bottom w:val="nil"/>
              <w:right w:val="nil"/>
            </w:tcBorders>
            <w:shd w:val="clear" w:color="auto" w:fill="auto"/>
            <w:noWrap/>
            <w:vAlign w:val="center"/>
            <w:hideMark/>
          </w:tcPr>
          <w:p w14:paraId="4723715F"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0.846 (0.609 - 1.174)</w:t>
            </w:r>
          </w:p>
        </w:tc>
        <w:tc>
          <w:tcPr>
            <w:tcW w:w="661" w:type="dxa"/>
            <w:tcBorders>
              <w:top w:val="nil"/>
              <w:left w:val="nil"/>
              <w:bottom w:val="nil"/>
              <w:right w:val="nil"/>
            </w:tcBorders>
            <w:shd w:val="clear" w:color="auto" w:fill="auto"/>
            <w:noWrap/>
            <w:vAlign w:val="center"/>
            <w:hideMark/>
          </w:tcPr>
          <w:p w14:paraId="35C11E7B"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0.322</w:t>
            </w:r>
          </w:p>
        </w:tc>
        <w:tc>
          <w:tcPr>
            <w:tcW w:w="224" w:type="dxa"/>
            <w:vAlign w:val="center"/>
            <w:hideMark/>
          </w:tcPr>
          <w:p w14:paraId="4CBB2DC6" w14:textId="77777777" w:rsidR="007E3DBA" w:rsidRPr="008D19BC" w:rsidRDefault="007E3DBA" w:rsidP="00730717">
            <w:pPr>
              <w:spacing w:before="0" w:line="240" w:lineRule="auto"/>
              <w:rPr>
                <w:rFonts w:ascii="Times New Roman" w:hAnsi="Times New Roman"/>
                <w:sz w:val="20"/>
                <w:szCs w:val="20"/>
                <w:lang w:eastAsia="en-GB"/>
              </w:rPr>
            </w:pPr>
          </w:p>
        </w:tc>
      </w:tr>
      <w:tr w:rsidR="007E3DBA" w:rsidRPr="008D19BC" w14:paraId="6498718B" w14:textId="77777777" w:rsidTr="00730717">
        <w:trPr>
          <w:trHeight w:val="320"/>
        </w:trPr>
        <w:tc>
          <w:tcPr>
            <w:tcW w:w="1561" w:type="dxa"/>
            <w:tcBorders>
              <w:top w:val="nil"/>
              <w:left w:val="nil"/>
              <w:bottom w:val="nil"/>
              <w:right w:val="nil"/>
            </w:tcBorders>
            <w:shd w:val="clear" w:color="auto" w:fill="auto"/>
            <w:noWrap/>
            <w:vAlign w:val="center"/>
            <w:hideMark/>
          </w:tcPr>
          <w:p w14:paraId="4B5EDF2E" w14:textId="77777777" w:rsidR="007E3DBA" w:rsidRPr="008D19BC" w:rsidRDefault="007E3DBA" w:rsidP="00730717">
            <w:pPr>
              <w:spacing w:before="0" w:line="240" w:lineRule="auto"/>
              <w:rPr>
                <w:rFonts w:cs="Calibri"/>
                <w:color w:val="000000"/>
                <w:sz w:val="16"/>
                <w:szCs w:val="16"/>
                <w:lang w:eastAsia="en-GB"/>
              </w:rPr>
            </w:pPr>
            <w:r w:rsidRPr="008D19BC">
              <w:rPr>
                <w:rFonts w:cs="Calibri"/>
                <w:color w:val="000000"/>
                <w:sz w:val="16"/>
                <w:szCs w:val="16"/>
                <w:lang w:eastAsia="en-GB"/>
              </w:rPr>
              <w:t>ypN+</w:t>
            </w:r>
          </w:p>
        </w:tc>
        <w:tc>
          <w:tcPr>
            <w:tcW w:w="1417" w:type="dxa"/>
            <w:tcBorders>
              <w:top w:val="nil"/>
              <w:left w:val="nil"/>
              <w:bottom w:val="nil"/>
              <w:right w:val="nil"/>
            </w:tcBorders>
            <w:shd w:val="clear" w:color="auto" w:fill="auto"/>
            <w:noWrap/>
            <w:vAlign w:val="center"/>
            <w:hideMark/>
          </w:tcPr>
          <w:p w14:paraId="11A4B231"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1427/922</w:t>
            </w:r>
          </w:p>
        </w:tc>
        <w:tc>
          <w:tcPr>
            <w:tcW w:w="1134" w:type="dxa"/>
            <w:tcBorders>
              <w:top w:val="nil"/>
              <w:left w:val="nil"/>
              <w:bottom w:val="nil"/>
              <w:right w:val="nil"/>
            </w:tcBorders>
            <w:shd w:val="clear" w:color="auto" w:fill="auto"/>
            <w:noWrap/>
            <w:vAlign w:val="center"/>
            <w:hideMark/>
          </w:tcPr>
          <w:p w14:paraId="7654CA67"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39.8</w:t>
            </w:r>
          </w:p>
        </w:tc>
        <w:tc>
          <w:tcPr>
            <w:tcW w:w="1134" w:type="dxa"/>
            <w:tcBorders>
              <w:top w:val="nil"/>
              <w:left w:val="nil"/>
              <w:bottom w:val="nil"/>
              <w:right w:val="nil"/>
            </w:tcBorders>
            <w:shd w:val="clear" w:color="auto" w:fill="auto"/>
            <w:vAlign w:val="center"/>
            <w:hideMark/>
          </w:tcPr>
          <w:p w14:paraId="2DE5D1FF"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51.2</w:t>
            </w:r>
          </w:p>
        </w:tc>
        <w:tc>
          <w:tcPr>
            <w:tcW w:w="1418" w:type="dxa"/>
            <w:tcBorders>
              <w:top w:val="nil"/>
              <w:left w:val="nil"/>
              <w:bottom w:val="nil"/>
              <w:right w:val="nil"/>
            </w:tcBorders>
            <w:shd w:val="clear" w:color="auto" w:fill="auto"/>
            <w:noWrap/>
            <w:vAlign w:val="center"/>
            <w:hideMark/>
          </w:tcPr>
          <w:p w14:paraId="64B5F1C9"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2.11 (1.2 - 3.02)</w:t>
            </w:r>
          </w:p>
        </w:tc>
        <w:tc>
          <w:tcPr>
            <w:tcW w:w="661" w:type="dxa"/>
            <w:tcBorders>
              <w:top w:val="nil"/>
              <w:left w:val="nil"/>
              <w:bottom w:val="nil"/>
              <w:right w:val="nil"/>
            </w:tcBorders>
            <w:shd w:val="clear" w:color="auto" w:fill="auto"/>
            <w:noWrap/>
            <w:vAlign w:val="center"/>
            <w:hideMark/>
          </w:tcPr>
          <w:p w14:paraId="3309972B"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0.000</w:t>
            </w:r>
          </w:p>
        </w:tc>
        <w:tc>
          <w:tcPr>
            <w:tcW w:w="1645" w:type="dxa"/>
            <w:tcBorders>
              <w:top w:val="nil"/>
              <w:left w:val="nil"/>
              <w:bottom w:val="nil"/>
              <w:right w:val="nil"/>
            </w:tcBorders>
            <w:shd w:val="clear" w:color="auto" w:fill="auto"/>
            <w:noWrap/>
            <w:vAlign w:val="center"/>
            <w:hideMark/>
          </w:tcPr>
          <w:p w14:paraId="11F91CB9"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0.803 (0.703 - 0.918)</w:t>
            </w:r>
          </w:p>
        </w:tc>
        <w:tc>
          <w:tcPr>
            <w:tcW w:w="661" w:type="dxa"/>
            <w:tcBorders>
              <w:top w:val="nil"/>
              <w:left w:val="nil"/>
              <w:bottom w:val="nil"/>
              <w:right w:val="nil"/>
            </w:tcBorders>
            <w:shd w:val="clear" w:color="auto" w:fill="auto"/>
            <w:noWrap/>
            <w:vAlign w:val="center"/>
            <w:hideMark/>
          </w:tcPr>
          <w:p w14:paraId="1CCF9F5B"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0.001</w:t>
            </w:r>
          </w:p>
        </w:tc>
        <w:tc>
          <w:tcPr>
            <w:tcW w:w="224" w:type="dxa"/>
            <w:vAlign w:val="center"/>
            <w:hideMark/>
          </w:tcPr>
          <w:p w14:paraId="642117BC" w14:textId="77777777" w:rsidR="007E3DBA" w:rsidRPr="008D19BC" w:rsidRDefault="007E3DBA" w:rsidP="00730717">
            <w:pPr>
              <w:spacing w:before="0" w:line="240" w:lineRule="auto"/>
              <w:rPr>
                <w:rFonts w:ascii="Times New Roman" w:hAnsi="Times New Roman"/>
                <w:sz w:val="20"/>
                <w:szCs w:val="20"/>
                <w:lang w:eastAsia="en-GB"/>
              </w:rPr>
            </w:pPr>
          </w:p>
        </w:tc>
      </w:tr>
      <w:tr w:rsidR="007E3DBA" w:rsidRPr="008D19BC" w14:paraId="6C53006E" w14:textId="77777777" w:rsidTr="00730717">
        <w:trPr>
          <w:trHeight w:val="320"/>
        </w:trPr>
        <w:tc>
          <w:tcPr>
            <w:tcW w:w="1561" w:type="dxa"/>
            <w:tcBorders>
              <w:top w:val="nil"/>
              <w:left w:val="nil"/>
              <w:bottom w:val="nil"/>
              <w:right w:val="nil"/>
            </w:tcBorders>
            <w:shd w:val="clear" w:color="auto" w:fill="auto"/>
            <w:noWrap/>
            <w:vAlign w:val="center"/>
            <w:hideMark/>
          </w:tcPr>
          <w:p w14:paraId="4748D110" w14:textId="77777777" w:rsidR="007E3DBA" w:rsidRPr="008D19BC" w:rsidRDefault="007E3DBA" w:rsidP="00730717">
            <w:pPr>
              <w:spacing w:before="0" w:line="240" w:lineRule="auto"/>
              <w:rPr>
                <w:rFonts w:cs="Calibri"/>
                <w:color w:val="000000"/>
                <w:sz w:val="16"/>
                <w:szCs w:val="16"/>
                <w:lang w:eastAsia="en-GB"/>
              </w:rPr>
            </w:pPr>
            <w:r>
              <w:rPr>
                <w:rFonts w:cs="Calibri"/>
                <w:color w:val="000000"/>
                <w:sz w:val="16"/>
                <w:szCs w:val="16"/>
                <w:lang w:eastAsia="en-GB"/>
              </w:rPr>
              <w:t>Oe</w:t>
            </w:r>
            <w:r w:rsidRPr="008D19BC">
              <w:rPr>
                <w:rFonts w:cs="Calibri"/>
                <w:color w:val="000000"/>
                <w:sz w:val="16"/>
                <w:szCs w:val="16"/>
                <w:lang w:eastAsia="en-GB"/>
              </w:rPr>
              <w:t>sophagus</w:t>
            </w:r>
          </w:p>
        </w:tc>
        <w:tc>
          <w:tcPr>
            <w:tcW w:w="1417" w:type="dxa"/>
            <w:tcBorders>
              <w:top w:val="nil"/>
              <w:left w:val="nil"/>
              <w:bottom w:val="nil"/>
              <w:right w:val="nil"/>
            </w:tcBorders>
            <w:shd w:val="clear" w:color="auto" w:fill="auto"/>
            <w:noWrap/>
            <w:vAlign w:val="center"/>
            <w:hideMark/>
          </w:tcPr>
          <w:p w14:paraId="4F893E69"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1235/750</w:t>
            </w:r>
          </w:p>
        </w:tc>
        <w:tc>
          <w:tcPr>
            <w:tcW w:w="1134" w:type="dxa"/>
            <w:tcBorders>
              <w:top w:val="nil"/>
              <w:left w:val="nil"/>
              <w:bottom w:val="nil"/>
              <w:right w:val="nil"/>
            </w:tcBorders>
            <w:shd w:val="clear" w:color="auto" w:fill="auto"/>
            <w:vAlign w:val="center"/>
            <w:hideMark/>
          </w:tcPr>
          <w:p w14:paraId="5F2C15B0"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55.4</w:t>
            </w:r>
          </w:p>
        </w:tc>
        <w:tc>
          <w:tcPr>
            <w:tcW w:w="1134" w:type="dxa"/>
            <w:tcBorders>
              <w:top w:val="nil"/>
              <w:left w:val="nil"/>
              <w:bottom w:val="nil"/>
              <w:right w:val="nil"/>
            </w:tcBorders>
            <w:shd w:val="clear" w:color="auto" w:fill="auto"/>
            <w:noWrap/>
            <w:vAlign w:val="center"/>
            <w:hideMark/>
          </w:tcPr>
          <w:p w14:paraId="3948EF15"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65.8</w:t>
            </w:r>
          </w:p>
        </w:tc>
        <w:tc>
          <w:tcPr>
            <w:tcW w:w="1418" w:type="dxa"/>
            <w:tcBorders>
              <w:top w:val="nil"/>
              <w:left w:val="nil"/>
              <w:bottom w:val="nil"/>
              <w:right w:val="nil"/>
            </w:tcBorders>
            <w:shd w:val="clear" w:color="auto" w:fill="auto"/>
            <w:noWrap/>
            <w:vAlign w:val="center"/>
            <w:hideMark/>
          </w:tcPr>
          <w:p w14:paraId="3E08D2EB"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1.82 (0.89 - 2.76)</w:t>
            </w:r>
          </w:p>
        </w:tc>
        <w:tc>
          <w:tcPr>
            <w:tcW w:w="661" w:type="dxa"/>
            <w:tcBorders>
              <w:top w:val="nil"/>
              <w:left w:val="nil"/>
              <w:bottom w:val="nil"/>
              <w:right w:val="nil"/>
            </w:tcBorders>
            <w:shd w:val="clear" w:color="auto" w:fill="auto"/>
            <w:noWrap/>
            <w:vAlign w:val="center"/>
            <w:hideMark/>
          </w:tcPr>
          <w:p w14:paraId="7390567D"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0.000</w:t>
            </w:r>
          </w:p>
        </w:tc>
        <w:tc>
          <w:tcPr>
            <w:tcW w:w="1645" w:type="dxa"/>
            <w:tcBorders>
              <w:top w:val="nil"/>
              <w:left w:val="nil"/>
              <w:bottom w:val="nil"/>
              <w:right w:val="nil"/>
            </w:tcBorders>
            <w:shd w:val="clear" w:color="auto" w:fill="auto"/>
            <w:noWrap/>
            <w:vAlign w:val="center"/>
            <w:hideMark/>
          </w:tcPr>
          <w:p w14:paraId="0352E071"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0.785 (0.684 - 0.901)</w:t>
            </w:r>
          </w:p>
        </w:tc>
        <w:tc>
          <w:tcPr>
            <w:tcW w:w="661" w:type="dxa"/>
            <w:tcBorders>
              <w:top w:val="nil"/>
              <w:left w:val="nil"/>
              <w:bottom w:val="nil"/>
              <w:right w:val="nil"/>
            </w:tcBorders>
            <w:shd w:val="clear" w:color="auto" w:fill="auto"/>
            <w:noWrap/>
            <w:vAlign w:val="center"/>
            <w:hideMark/>
          </w:tcPr>
          <w:p w14:paraId="1D78F93D"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0.001</w:t>
            </w:r>
          </w:p>
        </w:tc>
        <w:tc>
          <w:tcPr>
            <w:tcW w:w="224" w:type="dxa"/>
            <w:vAlign w:val="center"/>
            <w:hideMark/>
          </w:tcPr>
          <w:p w14:paraId="44FE56C1" w14:textId="77777777" w:rsidR="007E3DBA" w:rsidRPr="008D19BC" w:rsidRDefault="007E3DBA" w:rsidP="00730717">
            <w:pPr>
              <w:spacing w:before="0" w:line="240" w:lineRule="auto"/>
              <w:rPr>
                <w:rFonts w:ascii="Times New Roman" w:hAnsi="Times New Roman"/>
                <w:sz w:val="20"/>
                <w:szCs w:val="20"/>
                <w:lang w:eastAsia="en-GB"/>
              </w:rPr>
            </w:pPr>
          </w:p>
        </w:tc>
      </w:tr>
      <w:tr w:rsidR="007E3DBA" w:rsidRPr="008D19BC" w14:paraId="458C64A0" w14:textId="77777777" w:rsidTr="00730717">
        <w:trPr>
          <w:trHeight w:val="320"/>
        </w:trPr>
        <w:tc>
          <w:tcPr>
            <w:tcW w:w="1561" w:type="dxa"/>
            <w:tcBorders>
              <w:top w:val="nil"/>
              <w:left w:val="nil"/>
              <w:bottom w:val="nil"/>
              <w:right w:val="nil"/>
            </w:tcBorders>
            <w:shd w:val="clear" w:color="auto" w:fill="auto"/>
            <w:noWrap/>
            <w:vAlign w:val="center"/>
            <w:hideMark/>
          </w:tcPr>
          <w:p w14:paraId="47445F64" w14:textId="77777777" w:rsidR="007E3DBA" w:rsidRPr="008D19BC" w:rsidRDefault="007E3DBA" w:rsidP="00730717">
            <w:pPr>
              <w:spacing w:before="0" w:line="240" w:lineRule="auto"/>
              <w:rPr>
                <w:rFonts w:cs="Calibri"/>
                <w:color w:val="000000"/>
                <w:sz w:val="16"/>
                <w:szCs w:val="16"/>
                <w:lang w:eastAsia="en-GB"/>
              </w:rPr>
            </w:pPr>
            <w:r w:rsidRPr="008D19BC">
              <w:rPr>
                <w:rFonts w:cs="Calibri"/>
                <w:color w:val="000000"/>
                <w:sz w:val="16"/>
                <w:szCs w:val="16"/>
                <w:lang w:eastAsia="en-GB"/>
              </w:rPr>
              <w:t>Gastro-</w:t>
            </w:r>
            <w:r>
              <w:rPr>
                <w:rFonts w:cs="Calibri"/>
                <w:color w:val="000000"/>
                <w:sz w:val="16"/>
                <w:szCs w:val="16"/>
                <w:lang w:eastAsia="en-GB"/>
              </w:rPr>
              <w:t>o</w:t>
            </w:r>
            <w:r w:rsidRPr="008D19BC">
              <w:rPr>
                <w:rFonts w:cs="Calibri"/>
                <w:color w:val="000000"/>
                <w:sz w:val="16"/>
                <w:szCs w:val="16"/>
                <w:lang w:eastAsia="en-GB"/>
              </w:rPr>
              <w:t xml:space="preserve">esophageal junction </w:t>
            </w:r>
            <w:r>
              <w:rPr>
                <w:rFonts w:cs="Calibri"/>
                <w:color w:val="000000"/>
                <w:sz w:val="16"/>
                <w:szCs w:val="16"/>
                <w:lang w:eastAsia="en-GB"/>
              </w:rPr>
              <w:t>(</w:t>
            </w:r>
            <w:r w:rsidRPr="008D19BC">
              <w:rPr>
                <w:rFonts w:cs="Calibri"/>
                <w:color w:val="000000"/>
                <w:sz w:val="16"/>
                <w:szCs w:val="16"/>
                <w:lang w:eastAsia="en-GB"/>
              </w:rPr>
              <w:t>SI-III)</w:t>
            </w:r>
          </w:p>
        </w:tc>
        <w:tc>
          <w:tcPr>
            <w:tcW w:w="1417" w:type="dxa"/>
            <w:tcBorders>
              <w:top w:val="nil"/>
              <w:left w:val="nil"/>
              <w:bottom w:val="nil"/>
              <w:right w:val="nil"/>
            </w:tcBorders>
            <w:shd w:val="clear" w:color="auto" w:fill="auto"/>
            <w:noWrap/>
            <w:vAlign w:val="center"/>
            <w:hideMark/>
          </w:tcPr>
          <w:p w14:paraId="250C5AAB"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771/437</w:t>
            </w:r>
          </w:p>
        </w:tc>
        <w:tc>
          <w:tcPr>
            <w:tcW w:w="1134" w:type="dxa"/>
            <w:tcBorders>
              <w:top w:val="nil"/>
              <w:left w:val="nil"/>
              <w:bottom w:val="nil"/>
              <w:right w:val="nil"/>
            </w:tcBorders>
            <w:shd w:val="clear" w:color="auto" w:fill="auto"/>
            <w:noWrap/>
            <w:vAlign w:val="center"/>
            <w:hideMark/>
          </w:tcPr>
          <w:p w14:paraId="65FF15B4"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57.4</w:t>
            </w:r>
          </w:p>
        </w:tc>
        <w:tc>
          <w:tcPr>
            <w:tcW w:w="1134" w:type="dxa"/>
            <w:tcBorders>
              <w:top w:val="nil"/>
              <w:left w:val="nil"/>
              <w:bottom w:val="nil"/>
              <w:right w:val="nil"/>
            </w:tcBorders>
            <w:shd w:val="clear" w:color="auto" w:fill="auto"/>
            <w:vAlign w:val="center"/>
            <w:hideMark/>
          </w:tcPr>
          <w:p w14:paraId="05F09474"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73.8</w:t>
            </w:r>
          </w:p>
        </w:tc>
        <w:tc>
          <w:tcPr>
            <w:tcW w:w="1418" w:type="dxa"/>
            <w:tcBorders>
              <w:top w:val="nil"/>
              <w:left w:val="nil"/>
              <w:bottom w:val="nil"/>
              <w:right w:val="nil"/>
            </w:tcBorders>
            <w:shd w:val="clear" w:color="auto" w:fill="auto"/>
            <w:noWrap/>
            <w:vAlign w:val="center"/>
            <w:hideMark/>
          </w:tcPr>
          <w:p w14:paraId="797BD57E"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1.69 (0.42 - 2.96)</w:t>
            </w:r>
          </w:p>
        </w:tc>
        <w:tc>
          <w:tcPr>
            <w:tcW w:w="661" w:type="dxa"/>
            <w:tcBorders>
              <w:top w:val="nil"/>
              <w:left w:val="nil"/>
              <w:bottom w:val="nil"/>
              <w:right w:val="nil"/>
            </w:tcBorders>
            <w:shd w:val="clear" w:color="auto" w:fill="auto"/>
            <w:noWrap/>
            <w:vAlign w:val="center"/>
            <w:hideMark/>
          </w:tcPr>
          <w:p w14:paraId="1EBA3B30"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0.009</w:t>
            </w:r>
          </w:p>
        </w:tc>
        <w:tc>
          <w:tcPr>
            <w:tcW w:w="1645" w:type="dxa"/>
            <w:tcBorders>
              <w:top w:val="nil"/>
              <w:left w:val="nil"/>
              <w:bottom w:val="nil"/>
              <w:right w:val="nil"/>
            </w:tcBorders>
            <w:shd w:val="clear" w:color="auto" w:fill="auto"/>
            <w:noWrap/>
            <w:vAlign w:val="center"/>
            <w:hideMark/>
          </w:tcPr>
          <w:p w14:paraId="697D5004"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0.863 (0.704 - 1.057)</w:t>
            </w:r>
          </w:p>
        </w:tc>
        <w:tc>
          <w:tcPr>
            <w:tcW w:w="661" w:type="dxa"/>
            <w:tcBorders>
              <w:top w:val="nil"/>
              <w:left w:val="nil"/>
              <w:bottom w:val="nil"/>
              <w:right w:val="nil"/>
            </w:tcBorders>
            <w:shd w:val="clear" w:color="auto" w:fill="auto"/>
            <w:noWrap/>
            <w:vAlign w:val="center"/>
            <w:hideMark/>
          </w:tcPr>
          <w:p w14:paraId="07739069"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0.156</w:t>
            </w:r>
          </w:p>
        </w:tc>
        <w:tc>
          <w:tcPr>
            <w:tcW w:w="224" w:type="dxa"/>
            <w:vAlign w:val="center"/>
            <w:hideMark/>
          </w:tcPr>
          <w:p w14:paraId="7777AF48" w14:textId="77777777" w:rsidR="007E3DBA" w:rsidRPr="008D19BC" w:rsidRDefault="007E3DBA" w:rsidP="00730717">
            <w:pPr>
              <w:spacing w:before="0" w:line="240" w:lineRule="auto"/>
              <w:rPr>
                <w:rFonts w:ascii="Times New Roman" w:hAnsi="Times New Roman"/>
                <w:sz w:val="20"/>
                <w:szCs w:val="20"/>
                <w:lang w:eastAsia="en-GB"/>
              </w:rPr>
            </w:pPr>
          </w:p>
        </w:tc>
      </w:tr>
      <w:tr w:rsidR="007E3DBA" w:rsidRPr="008D19BC" w14:paraId="1B2F0D0F" w14:textId="77777777" w:rsidTr="00730717">
        <w:trPr>
          <w:trHeight w:val="340"/>
        </w:trPr>
        <w:tc>
          <w:tcPr>
            <w:tcW w:w="1561" w:type="dxa"/>
            <w:tcBorders>
              <w:top w:val="nil"/>
              <w:left w:val="nil"/>
              <w:bottom w:val="nil"/>
              <w:right w:val="nil"/>
            </w:tcBorders>
            <w:shd w:val="clear" w:color="auto" w:fill="auto"/>
            <w:noWrap/>
            <w:vAlign w:val="center"/>
            <w:hideMark/>
          </w:tcPr>
          <w:p w14:paraId="35FD378D" w14:textId="77777777" w:rsidR="007E3DBA" w:rsidRPr="008D19BC" w:rsidRDefault="007E3DBA" w:rsidP="00730717">
            <w:pPr>
              <w:spacing w:before="0" w:line="240" w:lineRule="auto"/>
              <w:rPr>
                <w:rFonts w:cs="Calibri"/>
                <w:color w:val="000000"/>
                <w:sz w:val="16"/>
                <w:szCs w:val="16"/>
                <w:lang w:eastAsia="en-GB"/>
              </w:rPr>
            </w:pPr>
            <w:r w:rsidRPr="008D19BC">
              <w:rPr>
                <w:rFonts w:cs="Calibri"/>
                <w:color w:val="000000"/>
                <w:sz w:val="16"/>
                <w:szCs w:val="16"/>
                <w:lang w:eastAsia="en-GB"/>
              </w:rPr>
              <w:t>Gastric</w:t>
            </w:r>
          </w:p>
        </w:tc>
        <w:tc>
          <w:tcPr>
            <w:tcW w:w="1417" w:type="dxa"/>
            <w:tcBorders>
              <w:top w:val="nil"/>
              <w:left w:val="nil"/>
              <w:bottom w:val="nil"/>
              <w:right w:val="nil"/>
            </w:tcBorders>
            <w:shd w:val="clear" w:color="auto" w:fill="auto"/>
            <w:noWrap/>
            <w:vAlign w:val="center"/>
            <w:hideMark/>
          </w:tcPr>
          <w:p w14:paraId="4E48E581"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540/406</w:t>
            </w:r>
          </w:p>
        </w:tc>
        <w:tc>
          <w:tcPr>
            <w:tcW w:w="1134" w:type="dxa"/>
            <w:tcBorders>
              <w:top w:val="nil"/>
              <w:left w:val="nil"/>
              <w:bottom w:val="nil"/>
              <w:right w:val="nil"/>
            </w:tcBorders>
            <w:shd w:val="clear" w:color="auto" w:fill="auto"/>
            <w:noWrap/>
            <w:vAlign w:val="center"/>
            <w:hideMark/>
          </w:tcPr>
          <w:p w14:paraId="5D995210"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66.3</w:t>
            </w:r>
          </w:p>
        </w:tc>
        <w:tc>
          <w:tcPr>
            <w:tcW w:w="1134" w:type="dxa"/>
            <w:tcBorders>
              <w:top w:val="nil"/>
              <w:left w:val="nil"/>
              <w:bottom w:val="nil"/>
              <w:right w:val="nil"/>
            </w:tcBorders>
            <w:shd w:val="clear" w:color="auto" w:fill="auto"/>
            <w:vAlign w:val="center"/>
            <w:hideMark/>
          </w:tcPr>
          <w:p w14:paraId="5DEE2599"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76.3</w:t>
            </w:r>
          </w:p>
        </w:tc>
        <w:tc>
          <w:tcPr>
            <w:tcW w:w="1418" w:type="dxa"/>
            <w:tcBorders>
              <w:top w:val="nil"/>
              <w:left w:val="nil"/>
              <w:bottom w:val="nil"/>
              <w:right w:val="nil"/>
            </w:tcBorders>
            <w:shd w:val="clear" w:color="auto" w:fill="auto"/>
            <w:noWrap/>
            <w:vAlign w:val="center"/>
            <w:hideMark/>
          </w:tcPr>
          <w:p w14:paraId="14254D1B"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0.72 (-0.51 - 1.95)</w:t>
            </w:r>
          </w:p>
        </w:tc>
        <w:tc>
          <w:tcPr>
            <w:tcW w:w="661" w:type="dxa"/>
            <w:tcBorders>
              <w:top w:val="nil"/>
              <w:left w:val="nil"/>
              <w:bottom w:val="nil"/>
              <w:right w:val="nil"/>
            </w:tcBorders>
            <w:shd w:val="clear" w:color="auto" w:fill="auto"/>
            <w:noWrap/>
            <w:vAlign w:val="center"/>
            <w:hideMark/>
          </w:tcPr>
          <w:p w14:paraId="760BB536"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0.251</w:t>
            </w:r>
          </w:p>
        </w:tc>
        <w:tc>
          <w:tcPr>
            <w:tcW w:w="1645" w:type="dxa"/>
            <w:tcBorders>
              <w:top w:val="nil"/>
              <w:left w:val="nil"/>
              <w:bottom w:val="nil"/>
              <w:right w:val="nil"/>
            </w:tcBorders>
            <w:shd w:val="clear" w:color="auto" w:fill="auto"/>
            <w:noWrap/>
            <w:vAlign w:val="center"/>
            <w:hideMark/>
          </w:tcPr>
          <w:p w14:paraId="3A33BF7F"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0.951 (0.754 - 1.199)</w:t>
            </w:r>
          </w:p>
        </w:tc>
        <w:tc>
          <w:tcPr>
            <w:tcW w:w="661" w:type="dxa"/>
            <w:tcBorders>
              <w:top w:val="nil"/>
              <w:left w:val="nil"/>
              <w:bottom w:val="nil"/>
              <w:right w:val="nil"/>
            </w:tcBorders>
            <w:shd w:val="clear" w:color="auto" w:fill="auto"/>
            <w:noWrap/>
            <w:vAlign w:val="center"/>
            <w:hideMark/>
          </w:tcPr>
          <w:p w14:paraId="6E462DBF" w14:textId="77777777" w:rsidR="007E3DBA" w:rsidRPr="008D19BC" w:rsidRDefault="007E3DBA" w:rsidP="00730717">
            <w:pPr>
              <w:spacing w:before="0" w:line="240" w:lineRule="auto"/>
              <w:jc w:val="center"/>
              <w:rPr>
                <w:rFonts w:cs="Calibri"/>
                <w:color w:val="000000"/>
                <w:sz w:val="16"/>
                <w:szCs w:val="16"/>
                <w:lang w:eastAsia="en-GB"/>
              </w:rPr>
            </w:pPr>
            <w:r w:rsidRPr="008D19BC">
              <w:rPr>
                <w:rFonts w:cs="Calibri"/>
                <w:color w:val="000000"/>
                <w:sz w:val="16"/>
                <w:szCs w:val="16"/>
                <w:lang w:eastAsia="en-GB"/>
              </w:rPr>
              <w:t>0.686</w:t>
            </w:r>
          </w:p>
        </w:tc>
        <w:tc>
          <w:tcPr>
            <w:tcW w:w="224" w:type="dxa"/>
            <w:vAlign w:val="center"/>
            <w:hideMark/>
          </w:tcPr>
          <w:p w14:paraId="1555E496" w14:textId="77777777" w:rsidR="007E3DBA" w:rsidRPr="008D19BC" w:rsidRDefault="007E3DBA" w:rsidP="00730717">
            <w:pPr>
              <w:spacing w:before="0" w:line="240" w:lineRule="auto"/>
              <w:rPr>
                <w:rFonts w:ascii="Times New Roman" w:hAnsi="Times New Roman"/>
                <w:sz w:val="20"/>
                <w:szCs w:val="20"/>
                <w:lang w:eastAsia="en-GB"/>
              </w:rPr>
            </w:pPr>
          </w:p>
        </w:tc>
      </w:tr>
      <w:tr w:rsidR="007E3DBA" w:rsidRPr="008D19BC" w14:paraId="3F286387" w14:textId="77777777" w:rsidTr="00730717">
        <w:trPr>
          <w:trHeight w:val="340"/>
        </w:trPr>
        <w:tc>
          <w:tcPr>
            <w:tcW w:w="9631" w:type="dxa"/>
            <w:gridSpan w:val="8"/>
            <w:tcBorders>
              <w:top w:val="single" w:sz="8" w:space="0" w:color="auto"/>
              <w:left w:val="nil"/>
              <w:bottom w:val="single" w:sz="8" w:space="0" w:color="auto"/>
              <w:right w:val="nil"/>
            </w:tcBorders>
            <w:shd w:val="clear" w:color="auto" w:fill="auto"/>
            <w:vAlign w:val="center"/>
            <w:hideMark/>
          </w:tcPr>
          <w:p w14:paraId="7714C59F" w14:textId="77777777" w:rsidR="007E3DBA" w:rsidRPr="008D19BC" w:rsidRDefault="007E3DBA" w:rsidP="00730717">
            <w:pPr>
              <w:spacing w:before="0" w:line="240" w:lineRule="auto"/>
              <w:rPr>
                <w:rFonts w:cs="Calibri"/>
                <w:color w:val="000000"/>
                <w:sz w:val="16"/>
                <w:szCs w:val="16"/>
                <w:lang w:eastAsia="en-GB"/>
              </w:rPr>
            </w:pPr>
            <w:r w:rsidRPr="008D19BC">
              <w:rPr>
                <w:rFonts w:cs="Calibri"/>
                <w:color w:val="000000"/>
                <w:sz w:val="16"/>
                <w:szCs w:val="16"/>
                <w:lang w:eastAsia="en-GB"/>
              </w:rPr>
              <w:t xml:space="preserve">HR = Hazard Ratio, LED = Life Expectancy Difference (months), CRM = circumferential resection margin, </w:t>
            </w:r>
            <w:r w:rsidRPr="006501C3">
              <w:rPr>
                <w:rFonts w:cs="Calibri"/>
                <w:i/>
                <w:iCs/>
                <w:color w:val="000000"/>
                <w:sz w:val="16"/>
                <w:szCs w:val="16"/>
                <w:lang w:eastAsia="en-GB"/>
              </w:rPr>
              <w:t>n</w:t>
            </w:r>
            <w:r w:rsidRPr="008D19BC">
              <w:rPr>
                <w:rFonts w:cs="Calibri"/>
                <w:color w:val="000000"/>
                <w:sz w:val="16"/>
                <w:szCs w:val="16"/>
                <w:lang w:eastAsia="en-GB"/>
              </w:rPr>
              <w:t>^</w:t>
            </w:r>
            <w:r>
              <w:rPr>
                <w:rFonts w:cs="Calibri"/>
                <w:color w:val="000000"/>
                <w:sz w:val="16"/>
                <w:szCs w:val="16"/>
                <w:lang w:eastAsia="en-GB"/>
              </w:rPr>
              <w:t xml:space="preserve"> </w:t>
            </w:r>
            <w:r w:rsidRPr="008D19BC">
              <w:rPr>
                <w:rFonts w:cs="Calibri"/>
                <w:color w:val="000000"/>
                <w:sz w:val="16"/>
                <w:szCs w:val="16"/>
                <w:lang w:eastAsia="en-GB"/>
              </w:rPr>
              <w:t>Mean number of cases across imputed datasets</w:t>
            </w:r>
          </w:p>
        </w:tc>
        <w:tc>
          <w:tcPr>
            <w:tcW w:w="224" w:type="dxa"/>
            <w:vAlign w:val="center"/>
            <w:hideMark/>
          </w:tcPr>
          <w:p w14:paraId="72EE6868" w14:textId="77777777" w:rsidR="007E3DBA" w:rsidRPr="008D19BC" w:rsidRDefault="007E3DBA" w:rsidP="00730717">
            <w:pPr>
              <w:spacing w:before="0" w:line="240" w:lineRule="auto"/>
              <w:rPr>
                <w:rFonts w:ascii="Times New Roman" w:hAnsi="Times New Roman"/>
                <w:sz w:val="20"/>
                <w:szCs w:val="20"/>
                <w:lang w:eastAsia="en-GB"/>
              </w:rPr>
            </w:pPr>
          </w:p>
        </w:tc>
      </w:tr>
    </w:tbl>
    <w:p w14:paraId="7550794D" w14:textId="3C4A3F91" w:rsidR="004906E5" w:rsidRDefault="004906E5" w:rsidP="007E3DBA">
      <w:pPr>
        <w:spacing w:before="0" w:line="240" w:lineRule="auto"/>
        <w:rPr>
          <w:sz w:val="40"/>
          <w:szCs w:val="40"/>
        </w:rPr>
      </w:pPr>
    </w:p>
    <w:p w14:paraId="077578A4" w14:textId="77777777" w:rsidR="004906E5" w:rsidRDefault="004906E5">
      <w:pPr>
        <w:spacing w:before="0" w:line="240" w:lineRule="auto"/>
        <w:rPr>
          <w:sz w:val="40"/>
          <w:szCs w:val="40"/>
        </w:rPr>
      </w:pPr>
      <w:r>
        <w:rPr>
          <w:sz w:val="40"/>
          <w:szCs w:val="40"/>
        </w:rPr>
        <w:br w:type="page"/>
      </w:r>
    </w:p>
    <w:p w14:paraId="40A1F2AF" w14:textId="77777777" w:rsidR="004906E5" w:rsidRPr="00DE3C9A" w:rsidRDefault="004906E5" w:rsidP="004906E5">
      <w:pPr>
        <w:pStyle w:val="Default"/>
        <w:rPr>
          <w:sz w:val="24"/>
        </w:rPr>
      </w:pPr>
      <w:r>
        <w:rPr>
          <w:sz w:val="24"/>
        </w:rPr>
        <w:t>Supplementary Table 1: Target Trial Protocol</w:t>
      </w:r>
    </w:p>
    <w:tbl>
      <w:tblPr>
        <w:tblStyle w:val="TableGrid"/>
        <w:tblW w:w="8897" w:type="dxa"/>
        <w:tblLayout w:type="fixed"/>
        <w:tblLook w:val="0000" w:firstRow="0" w:lastRow="0" w:firstColumn="0" w:lastColumn="0" w:noHBand="0" w:noVBand="0"/>
      </w:tblPr>
      <w:tblGrid>
        <w:gridCol w:w="1809"/>
        <w:gridCol w:w="7088"/>
      </w:tblGrid>
      <w:tr w:rsidR="004906E5" w:rsidRPr="00EB1F49" w14:paraId="703D9BFF" w14:textId="77777777" w:rsidTr="00507A14">
        <w:trPr>
          <w:trHeight w:val="660"/>
        </w:trPr>
        <w:tc>
          <w:tcPr>
            <w:tcW w:w="1809" w:type="dxa"/>
          </w:tcPr>
          <w:p w14:paraId="1FE80BE0" w14:textId="77777777" w:rsidR="004906E5" w:rsidRPr="00EB1F49" w:rsidRDefault="004906E5" w:rsidP="00507A14">
            <w:r w:rsidRPr="00EB1F49">
              <w:t>Eligibility criteria</w:t>
            </w:r>
          </w:p>
        </w:tc>
        <w:tc>
          <w:tcPr>
            <w:tcW w:w="7088" w:type="dxa"/>
          </w:tcPr>
          <w:p w14:paraId="241C6439" w14:textId="77777777" w:rsidR="004906E5" w:rsidRPr="00EB1F49" w:rsidRDefault="004906E5" w:rsidP="00507A14">
            <w:r w:rsidRPr="00EB1F49">
              <w:t xml:space="preserve">Individuals at age 18 years or older </w:t>
            </w:r>
            <w:r>
              <w:t>with stage I-IVa oe</w:t>
            </w:r>
            <w:r w:rsidRPr="00EB1F49">
              <w:t xml:space="preserve">sophageal </w:t>
            </w:r>
            <w:r>
              <w:t>or gastric adenocarcinoma</w:t>
            </w:r>
            <w:r w:rsidRPr="00EB1F49">
              <w:t xml:space="preserve"> diagnosed and treated in England, who underwent curative </w:t>
            </w:r>
            <w:r>
              <w:t>surgery</w:t>
            </w:r>
            <w:r w:rsidRPr="00EB1F49">
              <w:t xml:space="preserve"> following </w:t>
            </w:r>
            <w:r>
              <w:t>preoperative</w:t>
            </w:r>
            <w:r w:rsidRPr="00EB1F49">
              <w:t xml:space="preserve"> chemotherapy</w:t>
            </w:r>
            <w:r>
              <w:t xml:space="preserve"> with ECX, ECF, EOX, EOF or FLOT</w:t>
            </w:r>
            <w:r w:rsidRPr="00EB1F49">
              <w:t>.</w:t>
            </w:r>
          </w:p>
        </w:tc>
      </w:tr>
      <w:tr w:rsidR="004906E5" w:rsidRPr="00EB1F49" w14:paraId="205E2F4D" w14:textId="77777777" w:rsidTr="00507A14">
        <w:trPr>
          <w:trHeight w:val="660"/>
        </w:trPr>
        <w:tc>
          <w:tcPr>
            <w:tcW w:w="1809" w:type="dxa"/>
          </w:tcPr>
          <w:p w14:paraId="069675CF" w14:textId="77777777" w:rsidR="004906E5" w:rsidRPr="00EB1F49" w:rsidRDefault="004906E5" w:rsidP="00507A14">
            <w:r w:rsidRPr="00EB1F49">
              <w:t>Treatment strategies</w:t>
            </w:r>
          </w:p>
        </w:tc>
        <w:tc>
          <w:tcPr>
            <w:tcW w:w="7088" w:type="dxa"/>
          </w:tcPr>
          <w:p w14:paraId="55323687" w14:textId="77777777" w:rsidR="004906E5" w:rsidRPr="00EB1F49" w:rsidRDefault="004906E5" w:rsidP="00507A14">
            <w:r w:rsidRPr="00EB1F49">
              <w:t xml:space="preserve">1. </w:t>
            </w:r>
            <w:r>
              <w:t>Postoperative systemic</w:t>
            </w:r>
            <w:r w:rsidRPr="00EB1F49">
              <w:t xml:space="preserve"> chemotherapy </w:t>
            </w:r>
            <w:r>
              <w:t xml:space="preserve">administered </w:t>
            </w:r>
            <w:r w:rsidRPr="00EB1F49">
              <w:t xml:space="preserve">within 90 days of curative </w:t>
            </w:r>
            <w:r>
              <w:t>surgery</w:t>
            </w:r>
          </w:p>
          <w:p w14:paraId="0262B8F5" w14:textId="77777777" w:rsidR="004906E5" w:rsidRPr="00EB1F49" w:rsidRDefault="004906E5" w:rsidP="00507A14">
            <w:r w:rsidRPr="00EB1F49">
              <w:t xml:space="preserve">2. No </w:t>
            </w:r>
            <w:r>
              <w:t>postoperative systemic</w:t>
            </w:r>
            <w:r w:rsidRPr="00EB1F49">
              <w:t xml:space="preserve"> chemotherapy </w:t>
            </w:r>
            <w:r>
              <w:t xml:space="preserve">administered </w:t>
            </w:r>
            <w:r w:rsidRPr="00EB1F49">
              <w:t xml:space="preserve">within 90 days of curative </w:t>
            </w:r>
            <w:r>
              <w:t>surgery</w:t>
            </w:r>
          </w:p>
        </w:tc>
      </w:tr>
      <w:tr w:rsidR="004906E5" w:rsidRPr="00EB1F49" w14:paraId="6277E464" w14:textId="77777777" w:rsidTr="00507A14">
        <w:trPr>
          <w:trHeight w:val="440"/>
        </w:trPr>
        <w:tc>
          <w:tcPr>
            <w:tcW w:w="1809" w:type="dxa"/>
          </w:tcPr>
          <w:p w14:paraId="58495B77" w14:textId="77777777" w:rsidR="004906E5" w:rsidRPr="00EB1F49" w:rsidRDefault="004906E5" w:rsidP="00507A14">
            <w:r w:rsidRPr="00EB1F49">
              <w:t>Assignment procedures</w:t>
            </w:r>
          </w:p>
        </w:tc>
        <w:tc>
          <w:tcPr>
            <w:tcW w:w="7088" w:type="dxa"/>
          </w:tcPr>
          <w:p w14:paraId="1146C172" w14:textId="77777777" w:rsidR="004906E5" w:rsidRPr="00EB1F49" w:rsidRDefault="004906E5" w:rsidP="00507A14">
            <w:r w:rsidRPr="00EB1F49">
              <w:t xml:space="preserve">Participants will be randomly assigned to either strategy after </w:t>
            </w:r>
            <w:r>
              <w:t>surgery</w:t>
            </w:r>
            <w:r w:rsidRPr="00EB1F49">
              <w:t xml:space="preserve">, and will be aware of the strategy they have been assigned to. </w:t>
            </w:r>
            <w:r>
              <w:t xml:space="preserve"> </w:t>
            </w:r>
          </w:p>
        </w:tc>
      </w:tr>
      <w:tr w:rsidR="004906E5" w:rsidRPr="00EB1F49" w14:paraId="571494FF" w14:textId="77777777" w:rsidTr="00507A14">
        <w:trPr>
          <w:trHeight w:val="440"/>
        </w:trPr>
        <w:tc>
          <w:tcPr>
            <w:tcW w:w="1809" w:type="dxa"/>
          </w:tcPr>
          <w:p w14:paraId="2C81B017" w14:textId="77777777" w:rsidR="004906E5" w:rsidRPr="00EB1F49" w:rsidRDefault="004906E5" w:rsidP="00507A14">
            <w:r w:rsidRPr="00EB1F49">
              <w:t>Follow-up period</w:t>
            </w:r>
          </w:p>
        </w:tc>
        <w:tc>
          <w:tcPr>
            <w:tcW w:w="7088" w:type="dxa"/>
          </w:tcPr>
          <w:p w14:paraId="064D1B14" w14:textId="77777777" w:rsidR="004906E5" w:rsidRPr="00EB1F49" w:rsidRDefault="004906E5" w:rsidP="00507A14">
            <w:r w:rsidRPr="00EB1F49">
              <w:t xml:space="preserve">Starts at randomization and ends at death, or censoring date, whichever occurs earlier.  No knowledge of loss to follow-up.  </w:t>
            </w:r>
            <w:r>
              <w:t>No loss to follow up is assumed due to the use of the national death register</w:t>
            </w:r>
            <w:r w:rsidRPr="00EB1F49">
              <w:t>.</w:t>
            </w:r>
          </w:p>
        </w:tc>
      </w:tr>
      <w:tr w:rsidR="004906E5" w:rsidRPr="00EB1F49" w14:paraId="067DE2A7" w14:textId="77777777" w:rsidTr="00507A14">
        <w:trPr>
          <w:trHeight w:val="219"/>
        </w:trPr>
        <w:tc>
          <w:tcPr>
            <w:tcW w:w="1809" w:type="dxa"/>
          </w:tcPr>
          <w:p w14:paraId="4BA4E675" w14:textId="77777777" w:rsidR="004906E5" w:rsidRPr="00EB1F49" w:rsidRDefault="004906E5" w:rsidP="00507A14">
            <w:r w:rsidRPr="00EB1F49">
              <w:t>Outcome</w:t>
            </w:r>
          </w:p>
        </w:tc>
        <w:tc>
          <w:tcPr>
            <w:tcW w:w="7088" w:type="dxa"/>
          </w:tcPr>
          <w:p w14:paraId="1029FEF5" w14:textId="77777777" w:rsidR="004906E5" w:rsidRPr="00EB1F49" w:rsidRDefault="004906E5" w:rsidP="00507A14">
            <w:r w:rsidRPr="00EB1F49">
              <w:t>All-cause mortality</w:t>
            </w:r>
          </w:p>
          <w:p w14:paraId="3626B86C" w14:textId="77777777" w:rsidR="004906E5" w:rsidRPr="00EB1F49" w:rsidRDefault="004906E5" w:rsidP="00507A14">
            <w:r w:rsidRPr="00EB1F49">
              <w:t>Objective outcome – lack of blinding to treatment allocation unlikely to introduce bias</w:t>
            </w:r>
          </w:p>
        </w:tc>
      </w:tr>
      <w:tr w:rsidR="004906E5" w:rsidRPr="00EB1F49" w14:paraId="7A650D3A" w14:textId="77777777" w:rsidTr="00507A14">
        <w:trPr>
          <w:trHeight w:val="219"/>
        </w:trPr>
        <w:tc>
          <w:tcPr>
            <w:tcW w:w="1809" w:type="dxa"/>
          </w:tcPr>
          <w:p w14:paraId="266CC4DC" w14:textId="77777777" w:rsidR="004906E5" w:rsidRPr="00EB1F49" w:rsidRDefault="004906E5" w:rsidP="00507A14">
            <w:r w:rsidRPr="00EB1F49">
              <w:t>Causal contrasts</w:t>
            </w:r>
          </w:p>
        </w:tc>
        <w:tc>
          <w:tcPr>
            <w:tcW w:w="7088" w:type="dxa"/>
          </w:tcPr>
          <w:p w14:paraId="35C8FB7F" w14:textId="77777777" w:rsidR="004906E5" w:rsidRPr="00EB1F49" w:rsidRDefault="004906E5" w:rsidP="00507A14">
            <w:r w:rsidRPr="00EB1F49">
              <w:t>Per-protocol effect</w:t>
            </w:r>
          </w:p>
        </w:tc>
      </w:tr>
      <w:tr w:rsidR="004906E5" w:rsidRPr="00EB1F49" w14:paraId="40903658" w14:textId="77777777" w:rsidTr="00507A14">
        <w:trPr>
          <w:trHeight w:val="219"/>
        </w:trPr>
        <w:tc>
          <w:tcPr>
            <w:tcW w:w="1809" w:type="dxa"/>
          </w:tcPr>
          <w:p w14:paraId="11B95EF6" w14:textId="77777777" w:rsidR="004906E5" w:rsidRPr="00EB1F49" w:rsidRDefault="004906E5" w:rsidP="00507A14">
            <w:r w:rsidRPr="00EB1F49">
              <w:t>Analysis plan</w:t>
            </w:r>
          </w:p>
        </w:tc>
        <w:tc>
          <w:tcPr>
            <w:tcW w:w="7088" w:type="dxa"/>
          </w:tcPr>
          <w:p w14:paraId="0F7CC4A2" w14:textId="77777777" w:rsidR="004906E5" w:rsidRPr="00EB1F49" w:rsidRDefault="004906E5" w:rsidP="00507A14">
            <w:r w:rsidRPr="00EB1F49">
              <w:t>Per-protocol analysis</w:t>
            </w:r>
          </w:p>
        </w:tc>
      </w:tr>
    </w:tbl>
    <w:p w14:paraId="7781B059" w14:textId="77777777" w:rsidR="004906E5" w:rsidRDefault="004906E5" w:rsidP="004906E5">
      <w:pPr>
        <w:widowControl w:val="0"/>
        <w:autoSpaceDE w:val="0"/>
        <w:autoSpaceDN w:val="0"/>
        <w:adjustRightInd w:val="0"/>
        <w:rPr>
          <w:sz w:val="24"/>
          <w:szCs w:val="24"/>
        </w:rPr>
      </w:pPr>
    </w:p>
    <w:p w14:paraId="45573321" w14:textId="77777777" w:rsidR="004906E5" w:rsidRDefault="004906E5" w:rsidP="004906E5">
      <w:pPr>
        <w:widowControl w:val="0"/>
        <w:autoSpaceDE w:val="0"/>
        <w:autoSpaceDN w:val="0"/>
        <w:adjustRightInd w:val="0"/>
        <w:rPr>
          <w:sz w:val="24"/>
          <w:szCs w:val="24"/>
        </w:rPr>
      </w:pPr>
      <w:r>
        <w:rPr>
          <w:sz w:val="24"/>
          <w:szCs w:val="24"/>
        </w:rPr>
        <w:t>This study deviates from the target trial protocol primarily in assignment, which is not random. IPTW minimises the effect of this deviation to more closely approximate the target trial.</w:t>
      </w:r>
    </w:p>
    <w:p w14:paraId="3D5148F0" w14:textId="77777777" w:rsidR="004906E5" w:rsidRDefault="004906E5" w:rsidP="004906E5">
      <w:pPr>
        <w:spacing w:before="0" w:line="240" w:lineRule="auto"/>
        <w:rPr>
          <w:sz w:val="24"/>
          <w:szCs w:val="24"/>
        </w:rPr>
      </w:pPr>
      <w:r>
        <w:rPr>
          <w:sz w:val="24"/>
          <w:szCs w:val="24"/>
        </w:rPr>
        <w:br w:type="page"/>
      </w:r>
    </w:p>
    <w:p w14:paraId="7267F1C1" w14:textId="77777777" w:rsidR="004906E5" w:rsidRDefault="004906E5" w:rsidP="004906E5">
      <w:pPr>
        <w:widowControl w:val="0"/>
        <w:autoSpaceDE w:val="0"/>
        <w:autoSpaceDN w:val="0"/>
        <w:adjustRightInd w:val="0"/>
        <w:ind w:left="640" w:hanging="640"/>
        <w:rPr>
          <w:sz w:val="24"/>
          <w:szCs w:val="24"/>
        </w:rPr>
      </w:pPr>
      <w:r>
        <w:rPr>
          <w:sz w:val="24"/>
          <w:szCs w:val="24"/>
        </w:rPr>
        <w:t>Supplementary Figure 1: Distribution of inverse propensity scores weights for treated and observation patients</w:t>
      </w:r>
    </w:p>
    <w:p w14:paraId="18B27FC3" w14:textId="77777777" w:rsidR="004906E5" w:rsidRDefault="004906E5" w:rsidP="004906E5">
      <w:pPr>
        <w:widowControl w:val="0"/>
        <w:autoSpaceDE w:val="0"/>
        <w:autoSpaceDN w:val="0"/>
        <w:adjustRightInd w:val="0"/>
        <w:ind w:left="640" w:hanging="640"/>
        <w:rPr>
          <w:sz w:val="24"/>
          <w:szCs w:val="24"/>
        </w:rPr>
      </w:pPr>
      <w:r>
        <w:rPr>
          <w:noProof/>
          <w:sz w:val="24"/>
          <w:szCs w:val="24"/>
          <w:lang w:eastAsia="en-GB"/>
        </w:rPr>
        <w:drawing>
          <wp:inline distT="0" distB="0" distL="0" distR="0" wp14:anchorId="5C43D2DE" wp14:editId="30FD7AD9">
            <wp:extent cx="5576552" cy="3922817"/>
            <wp:effectExtent l="0" t="0" r="0" b="1905"/>
            <wp:docPr id="9" name="Picture 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histogram&#10;&#10;Description automatically generated"/>
                    <pic:cNvPicPr/>
                  </pic:nvPicPr>
                  <pic:blipFill>
                    <a:blip r:embed="rId17">
                      <a:extLst>
                        <a:ext uri="{28A0092B-C50C-407E-A947-70E740481C1C}">
                          <a14:useLocalDpi xmlns:a14="http://schemas.microsoft.com/office/drawing/2010/main"/>
                        </a:ext>
                      </a:extLst>
                    </a:blip>
                    <a:stretch>
                      <a:fillRect/>
                    </a:stretch>
                  </pic:blipFill>
                  <pic:spPr>
                    <a:xfrm>
                      <a:off x="0" y="0"/>
                      <a:ext cx="5582103" cy="3926722"/>
                    </a:xfrm>
                    <a:prstGeom prst="rect">
                      <a:avLst/>
                    </a:prstGeom>
                  </pic:spPr>
                </pic:pic>
              </a:graphicData>
            </a:graphic>
          </wp:inline>
        </w:drawing>
      </w:r>
    </w:p>
    <w:p w14:paraId="12DC1F0E" w14:textId="77777777" w:rsidR="004906E5" w:rsidRDefault="004906E5" w:rsidP="004906E5">
      <w:pPr>
        <w:widowControl w:val="0"/>
        <w:autoSpaceDE w:val="0"/>
        <w:autoSpaceDN w:val="0"/>
        <w:adjustRightInd w:val="0"/>
        <w:rPr>
          <w:sz w:val="24"/>
          <w:szCs w:val="24"/>
        </w:rPr>
      </w:pPr>
    </w:p>
    <w:p w14:paraId="21A00CF1" w14:textId="77777777" w:rsidR="004906E5" w:rsidRDefault="004906E5" w:rsidP="004906E5">
      <w:pPr>
        <w:spacing w:before="0" w:line="240" w:lineRule="auto"/>
        <w:rPr>
          <w:sz w:val="24"/>
          <w:szCs w:val="24"/>
        </w:rPr>
      </w:pPr>
    </w:p>
    <w:p w14:paraId="141D3D84" w14:textId="77777777" w:rsidR="004906E5" w:rsidRDefault="004906E5" w:rsidP="004906E5">
      <w:pPr>
        <w:spacing w:before="0" w:line="240" w:lineRule="auto"/>
        <w:rPr>
          <w:sz w:val="24"/>
          <w:szCs w:val="24"/>
        </w:rPr>
      </w:pPr>
      <w:r>
        <w:rPr>
          <w:sz w:val="24"/>
          <w:szCs w:val="24"/>
        </w:rPr>
        <w:br w:type="page"/>
      </w:r>
    </w:p>
    <w:p w14:paraId="40CD9AC3" w14:textId="77777777" w:rsidR="004906E5" w:rsidRDefault="004906E5" w:rsidP="004906E5">
      <w:pPr>
        <w:widowControl w:val="0"/>
        <w:autoSpaceDE w:val="0"/>
        <w:autoSpaceDN w:val="0"/>
        <w:adjustRightInd w:val="0"/>
        <w:rPr>
          <w:sz w:val="24"/>
          <w:szCs w:val="24"/>
        </w:rPr>
      </w:pPr>
      <w:r>
        <w:rPr>
          <w:sz w:val="24"/>
          <w:szCs w:val="24"/>
        </w:rPr>
        <w:t>Supplementary Table 2: Landmark time sensitivity analysis: Effect is preserved with increasing landmark time to 6 months</w:t>
      </w:r>
    </w:p>
    <w:tbl>
      <w:tblPr>
        <w:tblW w:w="11292" w:type="dxa"/>
        <w:tblLook w:val="04A0" w:firstRow="1" w:lastRow="0" w:firstColumn="1" w:lastColumn="0" w:noHBand="0" w:noVBand="1"/>
      </w:tblPr>
      <w:tblGrid>
        <w:gridCol w:w="861"/>
        <w:gridCol w:w="1012"/>
        <w:gridCol w:w="1166"/>
        <w:gridCol w:w="1402"/>
        <w:gridCol w:w="777"/>
        <w:gridCol w:w="1565"/>
        <w:gridCol w:w="1049"/>
        <w:gridCol w:w="1268"/>
        <w:gridCol w:w="1168"/>
        <w:gridCol w:w="1369"/>
      </w:tblGrid>
      <w:tr w:rsidR="004906E5" w:rsidRPr="005464EA" w14:paraId="1B047A6A" w14:textId="77777777" w:rsidTr="00507A14">
        <w:trPr>
          <w:gridAfter w:val="1"/>
          <w:wAfter w:w="1369" w:type="dxa"/>
          <w:trHeight w:val="320"/>
        </w:trPr>
        <w:tc>
          <w:tcPr>
            <w:tcW w:w="861" w:type="dxa"/>
            <w:vMerge w:val="restart"/>
            <w:tcBorders>
              <w:top w:val="single" w:sz="8" w:space="0" w:color="auto"/>
              <w:left w:val="nil"/>
              <w:bottom w:val="single" w:sz="8" w:space="0" w:color="000000"/>
              <w:right w:val="nil"/>
            </w:tcBorders>
            <w:shd w:val="clear" w:color="auto" w:fill="auto"/>
            <w:vAlign w:val="center"/>
            <w:hideMark/>
          </w:tcPr>
          <w:p w14:paraId="2AB71251" w14:textId="77777777" w:rsidR="004906E5" w:rsidRPr="005464EA" w:rsidRDefault="004906E5" w:rsidP="00507A14">
            <w:pPr>
              <w:spacing w:before="0" w:line="240" w:lineRule="auto"/>
              <w:jc w:val="center"/>
              <w:rPr>
                <w:rFonts w:cs="Calibri"/>
                <w:color w:val="000000"/>
                <w:sz w:val="16"/>
                <w:szCs w:val="16"/>
                <w:lang w:eastAsia="en-GB"/>
              </w:rPr>
            </w:pPr>
            <w:r w:rsidRPr="005464EA">
              <w:rPr>
                <w:rFonts w:cs="Calibri"/>
                <w:color w:val="000000"/>
                <w:sz w:val="16"/>
                <w:szCs w:val="16"/>
                <w:lang w:eastAsia="en-GB"/>
              </w:rPr>
              <w:t>Landmark Time</w:t>
            </w:r>
          </w:p>
        </w:tc>
        <w:tc>
          <w:tcPr>
            <w:tcW w:w="1012" w:type="dxa"/>
            <w:vMerge w:val="restart"/>
            <w:tcBorders>
              <w:top w:val="single" w:sz="8" w:space="0" w:color="auto"/>
              <w:left w:val="nil"/>
              <w:bottom w:val="single" w:sz="8" w:space="0" w:color="000000"/>
              <w:right w:val="nil"/>
            </w:tcBorders>
            <w:shd w:val="clear" w:color="auto" w:fill="auto"/>
            <w:vAlign w:val="center"/>
            <w:hideMark/>
          </w:tcPr>
          <w:p w14:paraId="4C468158" w14:textId="77777777" w:rsidR="004906E5" w:rsidRPr="005464EA" w:rsidRDefault="004906E5" w:rsidP="00507A14">
            <w:pPr>
              <w:spacing w:before="0" w:line="240" w:lineRule="auto"/>
              <w:jc w:val="center"/>
              <w:rPr>
                <w:rFonts w:cs="Calibri"/>
                <w:color w:val="000000"/>
                <w:sz w:val="16"/>
                <w:szCs w:val="16"/>
                <w:lang w:eastAsia="en-GB"/>
              </w:rPr>
            </w:pPr>
            <w:r w:rsidRPr="005464EA">
              <w:rPr>
                <w:rFonts w:cs="Calibri"/>
                <w:color w:val="000000"/>
                <w:sz w:val="16"/>
                <w:szCs w:val="16"/>
                <w:lang w:eastAsia="en-GB"/>
              </w:rPr>
              <w:t xml:space="preserve">Observation </w:t>
            </w:r>
            <w:r>
              <w:rPr>
                <w:rFonts w:cs="Calibri"/>
                <w:color w:val="000000"/>
                <w:sz w:val="16"/>
                <w:szCs w:val="16"/>
                <w:lang w:eastAsia="en-GB"/>
              </w:rPr>
              <w:t>(n)</w:t>
            </w:r>
          </w:p>
        </w:tc>
        <w:tc>
          <w:tcPr>
            <w:tcW w:w="821" w:type="dxa"/>
            <w:vMerge w:val="restart"/>
            <w:tcBorders>
              <w:top w:val="single" w:sz="8" w:space="0" w:color="auto"/>
              <w:left w:val="nil"/>
              <w:bottom w:val="single" w:sz="8" w:space="0" w:color="000000"/>
              <w:right w:val="nil"/>
            </w:tcBorders>
            <w:shd w:val="clear" w:color="auto" w:fill="auto"/>
            <w:vAlign w:val="center"/>
            <w:hideMark/>
          </w:tcPr>
          <w:p w14:paraId="47DCF797" w14:textId="77777777" w:rsidR="004906E5" w:rsidRPr="005464EA" w:rsidRDefault="004906E5" w:rsidP="00507A14">
            <w:pPr>
              <w:spacing w:before="0" w:line="240" w:lineRule="auto"/>
              <w:jc w:val="center"/>
              <w:rPr>
                <w:rFonts w:cs="Calibri"/>
                <w:color w:val="000000"/>
                <w:sz w:val="16"/>
                <w:szCs w:val="16"/>
                <w:lang w:eastAsia="en-GB"/>
              </w:rPr>
            </w:pPr>
            <w:r>
              <w:rPr>
                <w:rFonts w:cs="Calibri"/>
                <w:color w:val="000000"/>
                <w:sz w:val="16"/>
                <w:szCs w:val="16"/>
                <w:lang w:eastAsia="en-GB"/>
              </w:rPr>
              <w:t>Postoperative chemotherapy (n)</w:t>
            </w:r>
          </w:p>
        </w:tc>
        <w:tc>
          <w:tcPr>
            <w:tcW w:w="1402" w:type="dxa"/>
            <w:vMerge w:val="restart"/>
            <w:tcBorders>
              <w:top w:val="single" w:sz="8" w:space="0" w:color="auto"/>
              <w:left w:val="nil"/>
              <w:bottom w:val="single" w:sz="8" w:space="0" w:color="000000"/>
              <w:right w:val="nil"/>
            </w:tcBorders>
            <w:shd w:val="clear" w:color="auto" w:fill="auto"/>
            <w:vAlign w:val="center"/>
            <w:hideMark/>
          </w:tcPr>
          <w:p w14:paraId="031347E8" w14:textId="77777777" w:rsidR="004906E5" w:rsidRPr="005464EA" w:rsidRDefault="004906E5" w:rsidP="00507A14">
            <w:pPr>
              <w:spacing w:before="0" w:line="240" w:lineRule="auto"/>
              <w:jc w:val="center"/>
              <w:rPr>
                <w:rFonts w:cs="Calibri"/>
                <w:color w:val="000000"/>
                <w:sz w:val="16"/>
                <w:szCs w:val="16"/>
                <w:lang w:eastAsia="en-GB"/>
              </w:rPr>
            </w:pPr>
            <w:r w:rsidRPr="005464EA">
              <w:rPr>
                <w:rFonts w:cs="Calibri"/>
                <w:color w:val="000000"/>
                <w:sz w:val="16"/>
                <w:szCs w:val="16"/>
                <w:lang w:eastAsia="en-GB"/>
              </w:rPr>
              <w:t>HR (95% CI)</w:t>
            </w:r>
          </w:p>
        </w:tc>
        <w:tc>
          <w:tcPr>
            <w:tcW w:w="777" w:type="dxa"/>
            <w:vMerge w:val="restart"/>
            <w:tcBorders>
              <w:top w:val="single" w:sz="8" w:space="0" w:color="auto"/>
              <w:left w:val="nil"/>
              <w:bottom w:val="single" w:sz="8" w:space="0" w:color="000000"/>
              <w:right w:val="nil"/>
            </w:tcBorders>
            <w:shd w:val="clear" w:color="auto" w:fill="auto"/>
            <w:vAlign w:val="center"/>
            <w:hideMark/>
          </w:tcPr>
          <w:p w14:paraId="15BA3FEA" w14:textId="77777777" w:rsidR="004906E5" w:rsidRPr="005464EA" w:rsidRDefault="004906E5" w:rsidP="00507A14">
            <w:pPr>
              <w:spacing w:before="0" w:line="240" w:lineRule="auto"/>
              <w:jc w:val="center"/>
              <w:rPr>
                <w:rFonts w:cs="Calibri"/>
                <w:color w:val="000000"/>
                <w:sz w:val="16"/>
                <w:szCs w:val="16"/>
                <w:lang w:eastAsia="en-GB"/>
              </w:rPr>
            </w:pPr>
            <w:r w:rsidRPr="005464EA">
              <w:rPr>
                <w:rFonts w:cs="Calibri"/>
                <w:color w:val="000000"/>
                <w:sz w:val="16"/>
                <w:szCs w:val="16"/>
                <w:lang w:eastAsia="en-GB"/>
              </w:rPr>
              <w:t>P-value</w:t>
            </w:r>
          </w:p>
        </w:tc>
        <w:tc>
          <w:tcPr>
            <w:tcW w:w="1565" w:type="dxa"/>
            <w:vMerge w:val="restart"/>
            <w:tcBorders>
              <w:top w:val="single" w:sz="8" w:space="0" w:color="auto"/>
              <w:left w:val="nil"/>
              <w:bottom w:val="single" w:sz="8" w:space="0" w:color="000000"/>
              <w:right w:val="nil"/>
            </w:tcBorders>
            <w:shd w:val="clear" w:color="auto" w:fill="auto"/>
            <w:vAlign w:val="center"/>
            <w:hideMark/>
          </w:tcPr>
          <w:p w14:paraId="2532A311" w14:textId="77777777" w:rsidR="004906E5" w:rsidRPr="005464EA" w:rsidRDefault="004906E5" w:rsidP="00507A14">
            <w:pPr>
              <w:spacing w:before="0" w:line="240" w:lineRule="auto"/>
              <w:jc w:val="center"/>
              <w:rPr>
                <w:rFonts w:cs="Calibri"/>
                <w:color w:val="000000"/>
                <w:sz w:val="16"/>
                <w:szCs w:val="16"/>
                <w:lang w:eastAsia="en-GB"/>
              </w:rPr>
            </w:pPr>
            <w:r>
              <w:rPr>
                <w:rFonts w:cs="Calibri"/>
                <w:color w:val="000000"/>
                <w:sz w:val="16"/>
                <w:szCs w:val="16"/>
                <w:lang w:eastAsia="en-GB"/>
              </w:rPr>
              <w:t>3</w:t>
            </w:r>
            <w:r w:rsidRPr="005464EA">
              <w:rPr>
                <w:rFonts w:cs="Calibri"/>
                <w:color w:val="000000"/>
                <w:sz w:val="16"/>
                <w:szCs w:val="16"/>
                <w:lang w:eastAsia="en-GB"/>
              </w:rPr>
              <w:t>-year LED (95% CI)</w:t>
            </w:r>
          </w:p>
        </w:tc>
        <w:tc>
          <w:tcPr>
            <w:tcW w:w="1049" w:type="dxa"/>
            <w:vMerge w:val="restart"/>
            <w:tcBorders>
              <w:top w:val="single" w:sz="8" w:space="0" w:color="auto"/>
              <w:left w:val="nil"/>
              <w:bottom w:val="single" w:sz="8" w:space="0" w:color="000000"/>
              <w:right w:val="nil"/>
            </w:tcBorders>
            <w:shd w:val="clear" w:color="auto" w:fill="auto"/>
            <w:vAlign w:val="center"/>
            <w:hideMark/>
          </w:tcPr>
          <w:p w14:paraId="22A6905B" w14:textId="77777777" w:rsidR="004906E5" w:rsidRPr="005464EA" w:rsidRDefault="004906E5" w:rsidP="00507A14">
            <w:pPr>
              <w:spacing w:before="0" w:line="240" w:lineRule="auto"/>
              <w:jc w:val="center"/>
              <w:rPr>
                <w:rFonts w:cs="Calibri"/>
                <w:color w:val="000000"/>
                <w:sz w:val="16"/>
                <w:szCs w:val="16"/>
                <w:lang w:eastAsia="en-GB"/>
              </w:rPr>
            </w:pPr>
            <w:r w:rsidRPr="005464EA">
              <w:rPr>
                <w:rFonts w:cs="Calibri"/>
                <w:color w:val="000000"/>
                <w:sz w:val="16"/>
                <w:szCs w:val="16"/>
                <w:lang w:eastAsia="en-GB"/>
              </w:rPr>
              <w:t>P-value</w:t>
            </w:r>
          </w:p>
        </w:tc>
        <w:tc>
          <w:tcPr>
            <w:tcW w:w="1268" w:type="dxa"/>
            <w:vMerge w:val="restart"/>
            <w:tcBorders>
              <w:top w:val="single" w:sz="8" w:space="0" w:color="auto"/>
              <w:left w:val="nil"/>
              <w:bottom w:val="single" w:sz="8" w:space="0" w:color="000000"/>
              <w:right w:val="nil"/>
            </w:tcBorders>
            <w:shd w:val="clear" w:color="auto" w:fill="auto"/>
            <w:vAlign w:val="center"/>
            <w:hideMark/>
          </w:tcPr>
          <w:p w14:paraId="6AFCA9FB" w14:textId="77777777" w:rsidR="004906E5" w:rsidRPr="005464EA" w:rsidRDefault="004906E5" w:rsidP="00507A14">
            <w:pPr>
              <w:spacing w:before="0" w:line="240" w:lineRule="auto"/>
              <w:jc w:val="center"/>
              <w:rPr>
                <w:rFonts w:cs="Calibri"/>
                <w:color w:val="000000"/>
                <w:sz w:val="16"/>
                <w:szCs w:val="16"/>
                <w:lang w:eastAsia="en-GB"/>
              </w:rPr>
            </w:pPr>
            <w:r w:rsidRPr="005464EA">
              <w:rPr>
                <w:rFonts w:cs="Calibri"/>
                <w:color w:val="000000"/>
                <w:sz w:val="16"/>
                <w:szCs w:val="16"/>
                <w:lang w:eastAsia="en-GB"/>
              </w:rPr>
              <w:t>Mean Weighted SMD</w:t>
            </w:r>
          </w:p>
        </w:tc>
        <w:tc>
          <w:tcPr>
            <w:tcW w:w="1168" w:type="dxa"/>
            <w:vMerge w:val="restart"/>
            <w:tcBorders>
              <w:top w:val="single" w:sz="8" w:space="0" w:color="auto"/>
              <w:left w:val="nil"/>
              <w:bottom w:val="single" w:sz="8" w:space="0" w:color="000000"/>
              <w:right w:val="nil"/>
            </w:tcBorders>
            <w:shd w:val="clear" w:color="auto" w:fill="auto"/>
            <w:vAlign w:val="center"/>
            <w:hideMark/>
          </w:tcPr>
          <w:p w14:paraId="7A11E17D" w14:textId="77777777" w:rsidR="004906E5" w:rsidRPr="005464EA" w:rsidRDefault="004906E5" w:rsidP="00507A14">
            <w:pPr>
              <w:spacing w:before="0" w:line="240" w:lineRule="auto"/>
              <w:jc w:val="center"/>
              <w:rPr>
                <w:rFonts w:cs="Calibri"/>
                <w:color w:val="000000"/>
                <w:sz w:val="16"/>
                <w:szCs w:val="16"/>
                <w:lang w:eastAsia="en-GB"/>
              </w:rPr>
            </w:pPr>
            <w:r w:rsidRPr="005464EA">
              <w:rPr>
                <w:rFonts w:cs="Calibri"/>
                <w:color w:val="000000"/>
                <w:sz w:val="16"/>
                <w:szCs w:val="16"/>
                <w:lang w:eastAsia="en-GB"/>
              </w:rPr>
              <w:t>Variables with SMD&gt;0.1</w:t>
            </w:r>
          </w:p>
        </w:tc>
      </w:tr>
      <w:tr w:rsidR="004906E5" w:rsidRPr="005464EA" w14:paraId="3BAD11AA" w14:textId="77777777" w:rsidTr="00507A14">
        <w:trPr>
          <w:trHeight w:val="340"/>
        </w:trPr>
        <w:tc>
          <w:tcPr>
            <w:tcW w:w="861" w:type="dxa"/>
            <w:vMerge/>
            <w:tcBorders>
              <w:top w:val="single" w:sz="8" w:space="0" w:color="auto"/>
              <w:left w:val="nil"/>
              <w:bottom w:val="single" w:sz="8" w:space="0" w:color="000000"/>
              <w:right w:val="nil"/>
            </w:tcBorders>
            <w:vAlign w:val="center"/>
            <w:hideMark/>
          </w:tcPr>
          <w:p w14:paraId="15D8EDAE" w14:textId="77777777" w:rsidR="004906E5" w:rsidRPr="005464EA" w:rsidRDefault="004906E5" w:rsidP="00507A14">
            <w:pPr>
              <w:spacing w:before="0" w:line="240" w:lineRule="auto"/>
              <w:rPr>
                <w:rFonts w:cs="Calibri"/>
                <w:color w:val="000000"/>
                <w:sz w:val="16"/>
                <w:szCs w:val="16"/>
                <w:lang w:eastAsia="en-GB"/>
              </w:rPr>
            </w:pPr>
          </w:p>
        </w:tc>
        <w:tc>
          <w:tcPr>
            <w:tcW w:w="1012" w:type="dxa"/>
            <w:vMerge/>
            <w:tcBorders>
              <w:top w:val="single" w:sz="8" w:space="0" w:color="auto"/>
              <w:left w:val="nil"/>
              <w:bottom w:val="single" w:sz="8" w:space="0" w:color="000000"/>
              <w:right w:val="nil"/>
            </w:tcBorders>
            <w:vAlign w:val="center"/>
            <w:hideMark/>
          </w:tcPr>
          <w:p w14:paraId="3E22F664" w14:textId="77777777" w:rsidR="004906E5" w:rsidRPr="005464EA" w:rsidRDefault="004906E5" w:rsidP="00507A14">
            <w:pPr>
              <w:spacing w:before="0" w:line="240" w:lineRule="auto"/>
              <w:rPr>
                <w:rFonts w:cs="Calibri"/>
                <w:color w:val="000000"/>
                <w:sz w:val="16"/>
                <w:szCs w:val="16"/>
                <w:lang w:eastAsia="en-GB"/>
              </w:rPr>
            </w:pPr>
          </w:p>
        </w:tc>
        <w:tc>
          <w:tcPr>
            <w:tcW w:w="821" w:type="dxa"/>
            <w:vMerge/>
            <w:tcBorders>
              <w:top w:val="single" w:sz="8" w:space="0" w:color="auto"/>
              <w:left w:val="nil"/>
              <w:bottom w:val="single" w:sz="8" w:space="0" w:color="000000"/>
              <w:right w:val="nil"/>
            </w:tcBorders>
            <w:vAlign w:val="center"/>
            <w:hideMark/>
          </w:tcPr>
          <w:p w14:paraId="5E532D6C" w14:textId="77777777" w:rsidR="004906E5" w:rsidRPr="005464EA" w:rsidRDefault="004906E5" w:rsidP="00507A14">
            <w:pPr>
              <w:spacing w:before="0" w:line="240" w:lineRule="auto"/>
              <w:rPr>
                <w:rFonts w:cs="Calibri"/>
                <w:color w:val="000000"/>
                <w:sz w:val="16"/>
                <w:szCs w:val="16"/>
                <w:lang w:eastAsia="en-GB"/>
              </w:rPr>
            </w:pPr>
          </w:p>
        </w:tc>
        <w:tc>
          <w:tcPr>
            <w:tcW w:w="1402" w:type="dxa"/>
            <w:vMerge/>
            <w:tcBorders>
              <w:top w:val="single" w:sz="8" w:space="0" w:color="auto"/>
              <w:left w:val="nil"/>
              <w:bottom w:val="single" w:sz="8" w:space="0" w:color="000000"/>
              <w:right w:val="nil"/>
            </w:tcBorders>
            <w:vAlign w:val="center"/>
            <w:hideMark/>
          </w:tcPr>
          <w:p w14:paraId="380272EF" w14:textId="77777777" w:rsidR="004906E5" w:rsidRPr="005464EA" w:rsidRDefault="004906E5" w:rsidP="00507A14">
            <w:pPr>
              <w:spacing w:before="0" w:line="240" w:lineRule="auto"/>
              <w:rPr>
                <w:rFonts w:cs="Calibri"/>
                <w:color w:val="000000"/>
                <w:sz w:val="16"/>
                <w:szCs w:val="16"/>
                <w:lang w:eastAsia="en-GB"/>
              </w:rPr>
            </w:pPr>
          </w:p>
        </w:tc>
        <w:tc>
          <w:tcPr>
            <w:tcW w:w="777" w:type="dxa"/>
            <w:vMerge/>
            <w:tcBorders>
              <w:top w:val="single" w:sz="8" w:space="0" w:color="auto"/>
              <w:left w:val="nil"/>
              <w:bottom w:val="single" w:sz="8" w:space="0" w:color="000000"/>
              <w:right w:val="nil"/>
            </w:tcBorders>
            <w:vAlign w:val="center"/>
            <w:hideMark/>
          </w:tcPr>
          <w:p w14:paraId="5100077A" w14:textId="77777777" w:rsidR="004906E5" w:rsidRPr="005464EA" w:rsidRDefault="004906E5" w:rsidP="00507A14">
            <w:pPr>
              <w:spacing w:before="0" w:line="240" w:lineRule="auto"/>
              <w:rPr>
                <w:rFonts w:cs="Calibri"/>
                <w:color w:val="000000"/>
                <w:sz w:val="16"/>
                <w:szCs w:val="16"/>
                <w:lang w:eastAsia="en-GB"/>
              </w:rPr>
            </w:pPr>
          </w:p>
        </w:tc>
        <w:tc>
          <w:tcPr>
            <w:tcW w:w="1565" w:type="dxa"/>
            <w:vMerge/>
            <w:tcBorders>
              <w:top w:val="single" w:sz="8" w:space="0" w:color="auto"/>
              <w:left w:val="nil"/>
              <w:bottom w:val="single" w:sz="8" w:space="0" w:color="000000"/>
              <w:right w:val="nil"/>
            </w:tcBorders>
            <w:vAlign w:val="center"/>
            <w:hideMark/>
          </w:tcPr>
          <w:p w14:paraId="092BA632" w14:textId="77777777" w:rsidR="004906E5" w:rsidRPr="005464EA" w:rsidRDefault="004906E5" w:rsidP="00507A14">
            <w:pPr>
              <w:spacing w:before="0" w:line="240" w:lineRule="auto"/>
              <w:rPr>
                <w:rFonts w:cs="Calibri"/>
                <w:color w:val="000000"/>
                <w:sz w:val="16"/>
                <w:szCs w:val="16"/>
                <w:lang w:eastAsia="en-GB"/>
              </w:rPr>
            </w:pPr>
          </w:p>
        </w:tc>
        <w:tc>
          <w:tcPr>
            <w:tcW w:w="1049" w:type="dxa"/>
            <w:vMerge/>
            <w:tcBorders>
              <w:top w:val="single" w:sz="8" w:space="0" w:color="auto"/>
              <w:left w:val="nil"/>
              <w:bottom w:val="single" w:sz="8" w:space="0" w:color="000000"/>
              <w:right w:val="nil"/>
            </w:tcBorders>
            <w:vAlign w:val="center"/>
            <w:hideMark/>
          </w:tcPr>
          <w:p w14:paraId="6A937B97" w14:textId="77777777" w:rsidR="004906E5" w:rsidRPr="005464EA" w:rsidRDefault="004906E5" w:rsidP="00507A14">
            <w:pPr>
              <w:spacing w:before="0" w:line="240" w:lineRule="auto"/>
              <w:rPr>
                <w:rFonts w:cs="Calibri"/>
                <w:color w:val="000000"/>
                <w:sz w:val="16"/>
                <w:szCs w:val="16"/>
                <w:lang w:eastAsia="en-GB"/>
              </w:rPr>
            </w:pPr>
          </w:p>
        </w:tc>
        <w:tc>
          <w:tcPr>
            <w:tcW w:w="1268" w:type="dxa"/>
            <w:vMerge/>
            <w:tcBorders>
              <w:top w:val="single" w:sz="8" w:space="0" w:color="auto"/>
              <w:left w:val="nil"/>
              <w:bottom w:val="single" w:sz="8" w:space="0" w:color="000000"/>
              <w:right w:val="nil"/>
            </w:tcBorders>
            <w:vAlign w:val="center"/>
            <w:hideMark/>
          </w:tcPr>
          <w:p w14:paraId="36F94F3C" w14:textId="77777777" w:rsidR="004906E5" w:rsidRPr="005464EA" w:rsidRDefault="004906E5" w:rsidP="00507A14">
            <w:pPr>
              <w:spacing w:before="0" w:line="240" w:lineRule="auto"/>
              <w:rPr>
                <w:rFonts w:cs="Calibri"/>
                <w:color w:val="000000"/>
                <w:sz w:val="16"/>
                <w:szCs w:val="16"/>
                <w:lang w:eastAsia="en-GB"/>
              </w:rPr>
            </w:pPr>
          </w:p>
        </w:tc>
        <w:tc>
          <w:tcPr>
            <w:tcW w:w="1168" w:type="dxa"/>
            <w:vMerge/>
            <w:tcBorders>
              <w:top w:val="single" w:sz="8" w:space="0" w:color="auto"/>
              <w:left w:val="nil"/>
              <w:bottom w:val="single" w:sz="8" w:space="0" w:color="000000"/>
              <w:right w:val="nil"/>
            </w:tcBorders>
            <w:vAlign w:val="center"/>
            <w:hideMark/>
          </w:tcPr>
          <w:p w14:paraId="1561828C" w14:textId="77777777" w:rsidR="004906E5" w:rsidRPr="005464EA" w:rsidRDefault="004906E5" w:rsidP="00507A14">
            <w:pPr>
              <w:spacing w:before="0" w:line="240" w:lineRule="auto"/>
              <w:rPr>
                <w:rFonts w:cs="Calibri"/>
                <w:color w:val="000000"/>
                <w:sz w:val="16"/>
                <w:szCs w:val="16"/>
                <w:lang w:eastAsia="en-GB"/>
              </w:rPr>
            </w:pPr>
          </w:p>
        </w:tc>
        <w:tc>
          <w:tcPr>
            <w:tcW w:w="1369" w:type="dxa"/>
            <w:tcBorders>
              <w:top w:val="nil"/>
              <w:left w:val="nil"/>
              <w:bottom w:val="nil"/>
              <w:right w:val="nil"/>
            </w:tcBorders>
            <w:shd w:val="clear" w:color="auto" w:fill="auto"/>
            <w:noWrap/>
            <w:vAlign w:val="bottom"/>
            <w:hideMark/>
          </w:tcPr>
          <w:p w14:paraId="58D9EEDA" w14:textId="77777777" w:rsidR="004906E5" w:rsidRPr="005464EA" w:rsidRDefault="004906E5" w:rsidP="00507A14">
            <w:pPr>
              <w:spacing w:before="0" w:line="240" w:lineRule="auto"/>
              <w:jc w:val="center"/>
              <w:rPr>
                <w:rFonts w:cs="Calibri"/>
                <w:color w:val="000000"/>
                <w:sz w:val="16"/>
                <w:szCs w:val="16"/>
                <w:lang w:eastAsia="en-GB"/>
              </w:rPr>
            </w:pPr>
          </w:p>
        </w:tc>
      </w:tr>
      <w:tr w:rsidR="004906E5" w:rsidRPr="005464EA" w14:paraId="2F9CEEA5" w14:textId="77777777" w:rsidTr="00507A14">
        <w:trPr>
          <w:trHeight w:val="320"/>
        </w:trPr>
        <w:tc>
          <w:tcPr>
            <w:tcW w:w="861" w:type="dxa"/>
            <w:tcBorders>
              <w:top w:val="nil"/>
              <w:left w:val="nil"/>
              <w:bottom w:val="nil"/>
              <w:right w:val="nil"/>
            </w:tcBorders>
            <w:shd w:val="clear" w:color="auto" w:fill="auto"/>
            <w:noWrap/>
            <w:vAlign w:val="bottom"/>
            <w:hideMark/>
          </w:tcPr>
          <w:p w14:paraId="798B72E2" w14:textId="77777777" w:rsidR="004906E5" w:rsidRPr="005464EA" w:rsidRDefault="004906E5" w:rsidP="00507A14">
            <w:pPr>
              <w:spacing w:before="0" w:line="240" w:lineRule="auto"/>
              <w:rPr>
                <w:rFonts w:cs="Calibri"/>
                <w:color w:val="000000"/>
                <w:sz w:val="16"/>
                <w:szCs w:val="16"/>
                <w:lang w:eastAsia="en-GB"/>
              </w:rPr>
            </w:pPr>
            <w:r w:rsidRPr="005464EA">
              <w:rPr>
                <w:rFonts w:cs="Calibri"/>
                <w:color w:val="000000"/>
                <w:sz w:val="16"/>
                <w:szCs w:val="16"/>
                <w:lang w:eastAsia="en-GB"/>
              </w:rPr>
              <w:t>3 months</w:t>
            </w:r>
          </w:p>
        </w:tc>
        <w:tc>
          <w:tcPr>
            <w:tcW w:w="1012" w:type="dxa"/>
            <w:tcBorders>
              <w:top w:val="nil"/>
              <w:left w:val="nil"/>
              <w:bottom w:val="nil"/>
              <w:right w:val="nil"/>
            </w:tcBorders>
            <w:shd w:val="clear" w:color="auto" w:fill="auto"/>
            <w:noWrap/>
            <w:vAlign w:val="bottom"/>
            <w:hideMark/>
          </w:tcPr>
          <w:p w14:paraId="75C336EB" w14:textId="77777777" w:rsidR="004906E5" w:rsidRPr="005464EA" w:rsidRDefault="004906E5" w:rsidP="00507A14">
            <w:pPr>
              <w:spacing w:before="0" w:line="240" w:lineRule="auto"/>
              <w:jc w:val="center"/>
              <w:rPr>
                <w:rFonts w:cs="Calibri"/>
                <w:color w:val="000000"/>
                <w:sz w:val="16"/>
                <w:szCs w:val="16"/>
                <w:lang w:eastAsia="en-GB"/>
              </w:rPr>
            </w:pPr>
            <w:r w:rsidRPr="005464EA">
              <w:rPr>
                <w:rFonts w:cs="Calibri"/>
                <w:color w:val="000000"/>
                <w:sz w:val="16"/>
                <w:szCs w:val="16"/>
                <w:lang w:eastAsia="en-GB"/>
              </w:rPr>
              <w:t>1760</w:t>
            </w:r>
          </w:p>
        </w:tc>
        <w:tc>
          <w:tcPr>
            <w:tcW w:w="821" w:type="dxa"/>
            <w:tcBorders>
              <w:top w:val="nil"/>
              <w:left w:val="nil"/>
              <w:bottom w:val="nil"/>
              <w:right w:val="nil"/>
            </w:tcBorders>
            <w:shd w:val="clear" w:color="auto" w:fill="auto"/>
            <w:noWrap/>
            <w:vAlign w:val="bottom"/>
            <w:hideMark/>
          </w:tcPr>
          <w:p w14:paraId="5D1EC816" w14:textId="77777777" w:rsidR="004906E5" w:rsidRPr="005464EA" w:rsidRDefault="004906E5" w:rsidP="00507A14">
            <w:pPr>
              <w:spacing w:before="0" w:line="240" w:lineRule="auto"/>
              <w:jc w:val="center"/>
              <w:rPr>
                <w:rFonts w:cs="Calibri"/>
                <w:color w:val="000000"/>
                <w:sz w:val="16"/>
                <w:szCs w:val="16"/>
                <w:lang w:eastAsia="en-GB"/>
              </w:rPr>
            </w:pPr>
            <w:r w:rsidRPr="005464EA">
              <w:rPr>
                <w:rFonts w:cs="Calibri"/>
                <w:color w:val="000000"/>
                <w:sz w:val="16"/>
                <w:szCs w:val="16"/>
                <w:lang w:eastAsia="en-GB"/>
              </w:rPr>
              <w:t>1054</w:t>
            </w:r>
          </w:p>
        </w:tc>
        <w:tc>
          <w:tcPr>
            <w:tcW w:w="1402" w:type="dxa"/>
            <w:tcBorders>
              <w:top w:val="nil"/>
              <w:left w:val="nil"/>
              <w:bottom w:val="nil"/>
              <w:right w:val="nil"/>
            </w:tcBorders>
            <w:shd w:val="clear" w:color="auto" w:fill="auto"/>
            <w:noWrap/>
            <w:vAlign w:val="bottom"/>
            <w:hideMark/>
          </w:tcPr>
          <w:p w14:paraId="00EED16F" w14:textId="77777777" w:rsidR="004906E5" w:rsidRPr="005464EA" w:rsidRDefault="004906E5" w:rsidP="00507A14">
            <w:pPr>
              <w:spacing w:before="0" w:line="240" w:lineRule="auto"/>
              <w:jc w:val="center"/>
              <w:rPr>
                <w:rFonts w:cs="Calibri"/>
                <w:color w:val="000000"/>
                <w:sz w:val="16"/>
                <w:szCs w:val="16"/>
                <w:lang w:eastAsia="en-GB"/>
              </w:rPr>
            </w:pPr>
            <w:r w:rsidRPr="005464EA">
              <w:rPr>
                <w:rFonts w:cs="Calibri"/>
                <w:color w:val="000000"/>
                <w:sz w:val="16"/>
                <w:szCs w:val="16"/>
                <w:lang w:eastAsia="en-GB"/>
              </w:rPr>
              <w:t>0.8</w:t>
            </w:r>
            <w:r>
              <w:rPr>
                <w:rFonts w:cs="Calibri"/>
                <w:color w:val="000000"/>
                <w:sz w:val="16"/>
                <w:szCs w:val="16"/>
                <w:lang w:eastAsia="en-GB"/>
              </w:rPr>
              <w:t>0</w:t>
            </w:r>
            <w:r w:rsidRPr="005464EA">
              <w:rPr>
                <w:rFonts w:cs="Calibri"/>
                <w:color w:val="000000"/>
                <w:sz w:val="16"/>
                <w:szCs w:val="16"/>
                <w:lang w:eastAsia="en-GB"/>
              </w:rPr>
              <w:t xml:space="preserve"> (0.7</w:t>
            </w:r>
            <w:r>
              <w:rPr>
                <w:rFonts w:cs="Calibri"/>
                <w:color w:val="000000"/>
                <w:sz w:val="16"/>
                <w:szCs w:val="16"/>
                <w:lang w:eastAsia="en-GB"/>
              </w:rPr>
              <w:t>0</w:t>
            </w:r>
            <w:r w:rsidRPr="005464EA">
              <w:rPr>
                <w:rFonts w:cs="Calibri"/>
                <w:color w:val="000000"/>
                <w:sz w:val="16"/>
                <w:szCs w:val="16"/>
                <w:lang w:eastAsia="en-GB"/>
              </w:rPr>
              <w:t xml:space="preserve"> - 0.9</w:t>
            </w:r>
            <w:r>
              <w:rPr>
                <w:rFonts w:cs="Calibri"/>
                <w:color w:val="000000"/>
                <w:sz w:val="16"/>
                <w:szCs w:val="16"/>
                <w:lang w:eastAsia="en-GB"/>
              </w:rPr>
              <w:t>1</w:t>
            </w:r>
            <w:r w:rsidRPr="005464EA">
              <w:rPr>
                <w:rFonts w:cs="Calibri"/>
                <w:color w:val="000000"/>
                <w:sz w:val="16"/>
                <w:szCs w:val="16"/>
                <w:lang w:eastAsia="en-GB"/>
              </w:rPr>
              <w:t>)</w:t>
            </w:r>
          </w:p>
        </w:tc>
        <w:tc>
          <w:tcPr>
            <w:tcW w:w="777" w:type="dxa"/>
            <w:tcBorders>
              <w:top w:val="nil"/>
              <w:left w:val="nil"/>
              <w:bottom w:val="nil"/>
              <w:right w:val="nil"/>
            </w:tcBorders>
            <w:shd w:val="clear" w:color="auto" w:fill="auto"/>
            <w:noWrap/>
            <w:vAlign w:val="bottom"/>
            <w:hideMark/>
          </w:tcPr>
          <w:p w14:paraId="64E52FD7" w14:textId="77777777" w:rsidR="004906E5" w:rsidRPr="005464EA" w:rsidRDefault="004906E5" w:rsidP="00507A14">
            <w:pPr>
              <w:spacing w:before="0" w:line="240" w:lineRule="auto"/>
              <w:jc w:val="center"/>
              <w:rPr>
                <w:rFonts w:cs="Calibri"/>
                <w:color w:val="000000"/>
                <w:sz w:val="16"/>
                <w:szCs w:val="16"/>
                <w:lang w:eastAsia="en-GB"/>
              </w:rPr>
            </w:pPr>
            <w:r w:rsidRPr="005464EA">
              <w:rPr>
                <w:rFonts w:cs="Calibri"/>
                <w:color w:val="000000"/>
                <w:sz w:val="16"/>
                <w:szCs w:val="16"/>
                <w:lang w:eastAsia="en-GB"/>
              </w:rPr>
              <w:t>0.00</w:t>
            </w:r>
            <w:r>
              <w:rPr>
                <w:rFonts w:cs="Calibri"/>
                <w:color w:val="000000"/>
                <w:sz w:val="16"/>
                <w:szCs w:val="16"/>
                <w:lang w:eastAsia="en-GB"/>
              </w:rPr>
              <w:t>2</w:t>
            </w:r>
          </w:p>
        </w:tc>
        <w:tc>
          <w:tcPr>
            <w:tcW w:w="1565" w:type="dxa"/>
            <w:tcBorders>
              <w:top w:val="nil"/>
              <w:left w:val="nil"/>
              <w:bottom w:val="nil"/>
              <w:right w:val="nil"/>
            </w:tcBorders>
            <w:shd w:val="clear" w:color="auto" w:fill="auto"/>
            <w:noWrap/>
            <w:vAlign w:val="bottom"/>
            <w:hideMark/>
          </w:tcPr>
          <w:p w14:paraId="476944DD" w14:textId="77777777" w:rsidR="004906E5" w:rsidRPr="005464EA" w:rsidRDefault="004906E5" w:rsidP="00507A14">
            <w:pPr>
              <w:spacing w:before="0" w:line="240" w:lineRule="auto"/>
              <w:jc w:val="center"/>
              <w:rPr>
                <w:rFonts w:cs="Calibri"/>
                <w:color w:val="000000"/>
                <w:sz w:val="16"/>
                <w:szCs w:val="16"/>
                <w:lang w:eastAsia="en-GB"/>
              </w:rPr>
            </w:pPr>
            <w:r>
              <w:rPr>
                <w:rFonts w:cs="Calibri"/>
                <w:color w:val="000000"/>
                <w:sz w:val="16"/>
                <w:szCs w:val="16"/>
                <w:lang w:eastAsia="en-GB"/>
              </w:rPr>
              <w:t>1.8 (1.0 - 2.6)</w:t>
            </w:r>
          </w:p>
        </w:tc>
        <w:tc>
          <w:tcPr>
            <w:tcW w:w="1049" w:type="dxa"/>
            <w:tcBorders>
              <w:top w:val="nil"/>
              <w:left w:val="nil"/>
              <w:bottom w:val="nil"/>
              <w:right w:val="nil"/>
            </w:tcBorders>
            <w:shd w:val="clear" w:color="auto" w:fill="auto"/>
            <w:noWrap/>
            <w:vAlign w:val="bottom"/>
            <w:hideMark/>
          </w:tcPr>
          <w:p w14:paraId="2C83BDF5" w14:textId="77777777" w:rsidR="004906E5" w:rsidRPr="005464EA" w:rsidRDefault="004906E5" w:rsidP="00507A14">
            <w:pPr>
              <w:spacing w:before="0" w:line="240" w:lineRule="auto"/>
              <w:jc w:val="center"/>
              <w:rPr>
                <w:rFonts w:cs="Calibri"/>
                <w:color w:val="000000"/>
                <w:sz w:val="16"/>
                <w:szCs w:val="16"/>
                <w:lang w:eastAsia="en-GB"/>
              </w:rPr>
            </w:pPr>
            <w:r>
              <w:rPr>
                <w:rFonts w:cs="Calibri"/>
                <w:color w:val="000000"/>
                <w:sz w:val="16"/>
                <w:szCs w:val="16"/>
                <w:lang w:eastAsia="en-GB"/>
              </w:rPr>
              <w:t>&lt;0.001</w:t>
            </w:r>
          </w:p>
        </w:tc>
        <w:tc>
          <w:tcPr>
            <w:tcW w:w="1268" w:type="dxa"/>
            <w:tcBorders>
              <w:top w:val="nil"/>
              <w:left w:val="nil"/>
              <w:bottom w:val="nil"/>
              <w:right w:val="nil"/>
            </w:tcBorders>
            <w:shd w:val="clear" w:color="auto" w:fill="auto"/>
            <w:noWrap/>
            <w:vAlign w:val="bottom"/>
            <w:hideMark/>
          </w:tcPr>
          <w:p w14:paraId="551B3A84" w14:textId="77777777" w:rsidR="004906E5" w:rsidRPr="005464EA" w:rsidRDefault="004906E5" w:rsidP="00507A14">
            <w:pPr>
              <w:spacing w:before="0" w:line="240" w:lineRule="auto"/>
              <w:jc w:val="center"/>
              <w:rPr>
                <w:rFonts w:cs="Calibri"/>
                <w:color w:val="000000"/>
                <w:sz w:val="16"/>
                <w:szCs w:val="16"/>
                <w:lang w:eastAsia="en-GB"/>
              </w:rPr>
            </w:pPr>
            <w:r w:rsidRPr="005464EA">
              <w:rPr>
                <w:rFonts w:cs="Calibri"/>
                <w:color w:val="000000"/>
                <w:sz w:val="16"/>
                <w:szCs w:val="16"/>
                <w:lang w:eastAsia="en-GB"/>
              </w:rPr>
              <w:t>0.023</w:t>
            </w:r>
          </w:p>
        </w:tc>
        <w:tc>
          <w:tcPr>
            <w:tcW w:w="1168" w:type="dxa"/>
            <w:tcBorders>
              <w:top w:val="nil"/>
              <w:left w:val="nil"/>
              <w:bottom w:val="nil"/>
              <w:right w:val="nil"/>
            </w:tcBorders>
            <w:shd w:val="clear" w:color="auto" w:fill="auto"/>
            <w:noWrap/>
            <w:vAlign w:val="bottom"/>
            <w:hideMark/>
          </w:tcPr>
          <w:p w14:paraId="10A0C3FB" w14:textId="77777777" w:rsidR="004906E5" w:rsidRPr="005464EA" w:rsidRDefault="004906E5" w:rsidP="00507A14">
            <w:pPr>
              <w:spacing w:before="0" w:line="240" w:lineRule="auto"/>
              <w:jc w:val="center"/>
              <w:rPr>
                <w:rFonts w:cs="Calibri"/>
                <w:color w:val="000000"/>
                <w:sz w:val="16"/>
                <w:szCs w:val="16"/>
                <w:lang w:eastAsia="en-GB"/>
              </w:rPr>
            </w:pPr>
            <w:r w:rsidRPr="005464EA">
              <w:rPr>
                <w:rFonts w:cs="Calibri"/>
                <w:color w:val="000000"/>
                <w:sz w:val="16"/>
                <w:szCs w:val="16"/>
                <w:lang w:eastAsia="en-GB"/>
              </w:rPr>
              <w:t>0</w:t>
            </w:r>
          </w:p>
        </w:tc>
        <w:tc>
          <w:tcPr>
            <w:tcW w:w="1369" w:type="dxa"/>
            <w:vAlign w:val="center"/>
            <w:hideMark/>
          </w:tcPr>
          <w:p w14:paraId="028B287D" w14:textId="77777777" w:rsidR="004906E5" w:rsidRPr="005464EA" w:rsidRDefault="004906E5" w:rsidP="00507A14">
            <w:pPr>
              <w:spacing w:before="0" w:line="240" w:lineRule="auto"/>
              <w:rPr>
                <w:rFonts w:ascii="Times New Roman" w:hAnsi="Times New Roman"/>
                <w:sz w:val="20"/>
                <w:szCs w:val="20"/>
                <w:lang w:eastAsia="en-GB"/>
              </w:rPr>
            </w:pPr>
          </w:p>
        </w:tc>
      </w:tr>
      <w:tr w:rsidR="004906E5" w:rsidRPr="005464EA" w14:paraId="278A7746" w14:textId="77777777" w:rsidTr="00507A14">
        <w:trPr>
          <w:trHeight w:val="340"/>
        </w:trPr>
        <w:tc>
          <w:tcPr>
            <w:tcW w:w="861" w:type="dxa"/>
            <w:tcBorders>
              <w:top w:val="nil"/>
              <w:left w:val="nil"/>
              <w:bottom w:val="nil"/>
              <w:right w:val="nil"/>
            </w:tcBorders>
            <w:shd w:val="clear" w:color="auto" w:fill="auto"/>
            <w:noWrap/>
            <w:vAlign w:val="bottom"/>
            <w:hideMark/>
          </w:tcPr>
          <w:p w14:paraId="327C025E" w14:textId="77777777" w:rsidR="004906E5" w:rsidRPr="005464EA" w:rsidRDefault="004906E5" w:rsidP="00507A14">
            <w:pPr>
              <w:spacing w:before="0" w:line="240" w:lineRule="auto"/>
              <w:rPr>
                <w:rFonts w:cs="Calibri"/>
                <w:color w:val="000000"/>
                <w:sz w:val="16"/>
                <w:szCs w:val="16"/>
                <w:lang w:eastAsia="en-GB"/>
              </w:rPr>
            </w:pPr>
            <w:r w:rsidRPr="005464EA">
              <w:rPr>
                <w:rFonts w:cs="Calibri"/>
                <w:color w:val="000000"/>
                <w:sz w:val="16"/>
                <w:szCs w:val="16"/>
                <w:lang w:eastAsia="en-GB"/>
              </w:rPr>
              <w:t>4 months</w:t>
            </w:r>
          </w:p>
        </w:tc>
        <w:tc>
          <w:tcPr>
            <w:tcW w:w="1012" w:type="dxa"/>
            <w:tcBorders>
              <w:top w:val="nil"/>
              <w:left w:val="nil"/>
              <w:bottom w:val="nil"/>
              <w:right w:val="nil"/>
            </w:tcBorders>
            <w:shd w:val="clear" w:color="auto" w:fill="auto"/>
            <w:noWrap/>
            <w:vAlign w:val="bottom"/>
            <w:hideMark/>
          </w:tcPr>
          <w:p w14:paraId="5A739322" w14:textId="77777777" w:rsidR="004906E5" w:rsidRPr="005464EA" w:rsidRDefault="004906E5" w:rsidP="00507A14">
            <w:pPr>
              <w:spacing w:before="0" w:line="240" w:lineRule="auto"/>
              <w:jc w:val="center"/>
              <w:rPr>
                <w:rFonts w:cs="Calibri"/>
                <w:color w:val="000000"/>
                <w:sz w:val="16"/>
                <w:szCs w:val="16"/>
                <w:lang w:eastAsia="en-GB"/>
              </w:rPr>
            </w:pPr>
            <w:r w:rsidRPr="005464EA">
              <w:rPr>
                <w:rFonts w:cs="Calibri"/>
                <w:color w:val="000000"/>
                <w:sz w:val="16"/>
                <w:szCs w:val="16"/>
                <w:lang w:eastAsia="en-GB"/>
              </w:rPr>
              <w:t>1729</w:t>
            </w:r>
          </w:p>
        </w:tc>
        <w:tc>
          <w:tcPr>
            <w:tcW w:w="821" w:type="dxa"/>
            <w:tcBorders>
              <w:top w:val="nil"/>
              <w:left w:val="nil"/>
              <w:bottom w:val="nil"/>
              <w:right w:val="nil"/>
            </w:tcBorders>
            <w:shd w:val="clear" w:color="auto" w:fill="auto"/>
            <w:noWrap/>
            <w:vAlign w:val="bottom"/>
            <w:hideMark/>
          </w:tcPr>
          <w:p w14:paraId="1EE06807" w14:textId="77777777" w:rsidR="004906E5" w:rsidRPr="005464EA" w:rsidRDefault="004906E5" w:rsidP="00507A14">
            <w:pPr>
              <w:spacing w:before="0" w:line="240" w:lineRule="auto"/>
              <w:jc w:val="center"/>
              <w:rPr>
                <w:rFonts w:cs="Calibri"/>
                <w:color w:val="000000"/>
                <w:sz w:val="16"/>
                <w:szCs w:val="16"/>
                <w:lang w:eastAsia="en-GB"/>
              </w:rPr>
            </w:pPr>
            <w:r w:rsidRPr="005464EA">
              <w:rPr>
                <w:rFonts w:cs="Calibri"/>
                <w:color w:val="000000"/>
                <w:sz w:val="16"/>
                <w:szCs w:val="16"/>
                <w:lang w:eastAsia="en-GB"/>
              </w:rPr>
              <w:t>1052</w:t>
            </w:r>
          </w:p>
        </w:tc>
        <w:tc>
          <w:tcPr>
            <w:tcW w:w="1402" w:type="dxa"/>
            <w:tcBorders>
              <w:top w:val="nil"/>
              <w:left w:val="nil"/>
              <w:bottom w:val="nil"/>
              <w:right w:val="nil"/>
            </w:tcBorders>
            <w:shd w:val="clear" w:color="auto" w:fill="auto"/>
            <w:noWrap/>
            <w:vAlign w:val="bottom"/>
            <w:hideMark/>
          </w:tcPr>
          <w:p w14:paraId="2203A4DE" w14:textId="77777777" w:rsidR="004906E5" w:rsidRPr="005464EA" w:rsidRDefault="004906E5" w:rsidP="00507A14">
            <w:pPr>
              <w:spacing w:before="0" w:line="240" w:lineRule="auto"/>
              <w:jc w:val="center"/>
              <w:rPr>
                <w:rFonts w:cs="Calibri"/>
                <w:color w:val="000000"/>
                <w:sz w:val="16"/>
                <w:szCs w:val="16"/>
                <w:lang w:eastAsia="en-GB"/>
              </w:rPr>
            </w:pPr>
            <w:r w:rsidRPr="005464EA">
              <w:rPr>
                <w:rFonts w:cs="Calibri"/>
                <w:color w:val="000000"/>
                <w:sz w:val="16"/>
                <w:szCs w:val="16"/>
                <w:lang w:eastAsia="en-GB"/>
              </w:rPr>
              <w:t>0.82 (0.7</w:t>
            </w:r>
            <w:r>
              <w:rPr>
                <w:rFonts w:cs="Calibri"/>
                <w:color w:val="000000"/>
                <w:sz w:val="16"/>
                <w:szCs w:val="16"/>
                <w:lang w:eastAsia="en-GB"/>
              </w:rPr>
              <w:t>1</w:t>
            </w:r>
            <w:r w:rsidRPr="005464EA">
              <w:rPr>
                <w:rFonts w:cs="Calibri"/>
                <w:color w:val="000000"/>
                <w:sz w:val="16"/>
                <w:szCs w:val="16"/>
                <w:lang w:eastAsia="en-GB"/>
              </w:rPr>
              <w:t xml:space="preserve"> - 0.9</w:t>
            </w:r>
            <w:r>
              <w:rPr>
                <w:rFonts w:cs="Calibri"/>
                <w:color w:val="000000"/>
                <w:sz w:val="16"/>
                <w:szCs w:val="16"/>
                <w:lang w:eastAsia="en-GB"/>
              </w:rPr>
              <w:t>4</w:t>
            </w:r>
            <w:r w:rsidRPr="005464EA">
              <w:rPr>
                <w:rFonts w:cs="Calibri"/>
                <w:color w:val="000000"/>
                <w:sz w:val="16"/>
                <w:szCs w:val="16"/>
                <w:lang w:eastAsia="en-GB"/>
              </w:rPr>
              <w:t>)</w:t>
            </w:r>
          </w:p>
        </w:tc>
        <w:tc>
          <w:tcPr>
            <w:tcW w:w="777" w:type="dxa"/>
            <w:tcBorders>
              <w:top w:val="nil"/>
              <w:left w:val="nil"/>
              <w:bottom w:val="nil"/>
              <w:right w:val="nil"/>
            </w:tcBorders>
            <w:shd w:val="clear" w:color="auto" w:fill="auto"/>
            <w:noWrap/>
            <w:vAlign w:val="bottom"/>
            <w:hideMark/>
          </w:tcPr>
          <w:p w14:paraId="00D8A7B4" w14:textId="77777777" w:rsidR="004906E5" w:rsidRPr="005464EA" w:rsidRDefault="004906E5" w:rsidP="00507A14">
            <w:pPr>
              <w:spacing w:before="0" w:line="240" w:lineRule="auto"/>
              <w:jc w:val="center"/>
              <w:rPr>
                <w:rFonts w:cs="Calibri"/>
                <w:color w:val="000000"/>
                <w:sz w:val="16"/>
                <w:szCs w:val="16"/>
                <w:lang w:eastAsia="en-GB"/>
              </w:rPr>
            </w:pPr>
            <w:r w:rsidRPr="005464EA">
              <w:rPr>
                <w:rFonts w:cs="Calibri"/>
                <w:color w:val="000000"/>
                <w:sz w:val="16"/>
                <w:szCs w:val="16"/>
                <w:lang w:eastAsia="en-GB"/>
              </w:rPr>
              <w:t>0.00</w:t>
            </w:r>
            <w:r>
              <w:rPr>
                <w:rFonts w:cs="Calibri"/>
                <w:color w:val="000000"/>
                <w:sz w:val="16"/>
                <w:szCs w:val="16"/>
                <w:lang w:eastAsia="en-GB"/>
              </w:rPr>
              <w:t>6</w:t>
            </w:r>
          </w:p>
        </w:tc>
        <w:tc>
          <w:tcPr>
            <w:tcW w:w="1565" w:type="dxa"/>
            <w:tcBorders>
              <w:top w:val="nil"/>
              <w:left w:val="nil"/>
              <w:bottom w:val="nil"/>
              <w:right w:val="nil"/>
            </w:tcBorders>
            <w:shd w:val="clear" w:color="auto" w:fill="auto"/>
            <w:noWrap/>
            <w:vAlign w:val="bottom"/>
            <w:hideMark/>
          </w:tcPr>
          <w:p w14:paraId="12A649B5" w14:textId="77777777" w:rsidR="004906E5" w:rsidRPr="005464EA" w:rsidRDefault="004906E5" w:rsidP="00507A14">
            <w:pPr>
              <w:spacing w:before="0" w:line="240" w:lineRule="auto"/>
              <w:jc w:val="center"/>
              <w:rPr>
                <w:rFonts w:cs="Calibri"/>
                <w:color w:val="000000"/>
                <w:sz w:val="16"/>
                <w:szCs w:val="16"/>
                <w:lang w:eastAsia="en-GB"/>
              </w:rPr>
            </w:pPr>
            <w:r>
              <w:rPr>
                <w:rFonts w:cs="Calibri"/>
                <w:color w:val="000000"/>
                <w:sz w:val="16"/>
                <w:szCs w:val="16"/>
                <w:lang w:eastAsia="en-GB"/>
              </w:rPr>
              <w:t>1.5 (0.7 - 2.4)</w:t>
            </w:r>
          </w:p>
        </w:tc>
        <w:tc>
          <w:tcPr>
            <w:tcW w:w="1049" w:type="dxa"/>
            <w:tcBorders>
              <w:top w:val="nil"/>
              <w:left w:val="nil"/>
              <w:bottom w:val="nil"/>
              <w:right w:val="nil"/>
            </w:tcBorders>
            <w:shd w:val="clear" w:color="auto" w:fill="auto"/>
            <w:noWrap/>
            <w:vAlign w:val="bottom"/>
            <w:hideMark/>
          </w:tcPr>
          <w:p w14:paraId="106669C4" w14:textId="77777777" w:rsidR="004906E5" w:rsidRPr="005464EA" w:rsidRDefault="004906E5" w:rsidP="00507A14">
            <w:pPr>
              <w:spacing w:before="0" w:line="240" w:lineRule="auto"/>
              <w:jc w:val="center"/>
              <w:rPr>
                <w:rFonts w:cs="Calibri"/>
                <w:color w:val="000000"/>
                <w:sz w:val="16"/>
                <w:szCs w:val="16"/>
                <w:lang w:eastAsia="en-GB"/>
              </w:rPr>
            </w:pPr>
            <w:r>
              <w:rPr>
                <w:rFonts w:cs="Calibri"/>
                <w:color w:val="000000"/>
                <w:sz w:val="16"/>
                <w:szCs w:val="16"/>
                <w:lang w:eastAsia="en-GB"/>
              </w:rPr>
              <w:t>&lt;0.001</w:t>
            </w:r>
          </w:p>
        </w:tc>
        <w:tc>
          <w:tcPr>
            <w:tcW w:w="1268" w:type="dxa"/>
            <w:tcBorders>
              <w:top w:val="nil"/>
              <w:left w:val="nil"/>
              <w:bottom w:val="nil"/>
              <w:right w:val="nil"/>
            </w:tcBorders>
            <w:shd w:val="clear" w:color="auto" w:fill="auto"/>
            <w:noWrap/>
            <w:vAlign w:val="bottom"/>
            <w:hideMark/>
          </w:tcPr>
          <w:p w14:paraId="43F44E58" w14:textId="77777777" w:rsidR="004906E5" w:rsidRPr="005464EA" w:rsidRDefault="004906E5" w:rsidP="00507A14">
            <w:pPr>
              <w:spacing w:before="0" w:line="240" w:lineRule="auto"/>
              <w:jc w:val="center"/>
              <w:rPr>
                <w:rFonts w:cs="Calibri"/>
                <w:color w:val="000000"/>
                <w:sz w:val="16"/>
                <w:szCs w:val="16"/>
                <w:lang w:eastAsia="en-GB"/>
              </w:rPr>
            </w:pPr>
            <w:r w:rsidRPr="005464EA">
              <w:rPr>
                <w:rFonts w:cs="Calibri"/>
                <w:color w:val="000000"/>
                <w:sz w:val="16"/>
                <w:szCs w:val="16"/>
                <w:lang w:eastAsia="en-GB"/>
              </w:rPr>
              <w:t>0.023</w:t>
            </w:r>
          </w:p>
        </w:tc>
        <w:tc>
          <w:tcPr>
            <w:tcW w:w="1168" w:type="dxa"/>
            <w:tcBorders>
              <w:top w:val="nil"/>
              <w:left w:val="nil"/>
              <w:bottom w:val="nil"/>
              <w:right w:val="nil"/>
            </w:tcBorders>
            <w:shd w:val="clear" w:color="auto" w:fill="auto"/>
            <w:noWrap/>
            <w:vAlign w:val="bottom"/>
            <w:hideMark/>
          </w:tcPr>
          <w:p w14:paraId="0E6E68C4" w14:textId="77777777" w:rsidR="004906E5" w:rsidRPr="005464EA" w:rsidRDefault="004906E5" w:rsidP="00507A14">
            <w:pPr>
              <w:spacing w:before="0" w:line="240" w:lineRule="auto"/>
              <w:jc w:val="center"/>
              <w:rPr>
                <w:rFonts w:cs="Calibri"/>
                <w:color w:val="000000"/>
                <w:sz w:val="16"/>
                <w:szCs w:val="16"/>
                <w:lang w:eastAsia="en-GB"/>
              </w:rPr>
            </w:pPr>
            <w:r w:rsidRPr="005464EA">
              <w:rPr>
                <w:rFonts w:cs="Calibri"/>
                <w:color w:val="000000"/>
                <w:sz w:val="16"/>
                <w:szCs w:val="16"/>
                <w:lang w:eastAsia="en-GB"/>
              </w:rPr>
              <w:t>0</w:t>
            </w:r>
          </w:p>
        </w:tc>
        <w:tc>
          <w:tcPr>
            <w:tcW w:w="1369" w:type="dxa"/>
            <w:vAlign w:val="center"/>
            <w:hideMark/>
          </w:tcPr>
          <w:p w14:paraId="3CB5DA74" w14:textId="77777777" w:rsidR="004906E5" w:rsidRPr="005464EA" w:rsidRDefault="004906E5" w:rsidP="00507A14">
            <w:pPr>
              <w:spacing w:before="0" w:line="240" w:lineRule="auto"/>
              <w:rPr>
                <w:rFonts w:ascii="Times New Roman" w:hAnsi="Times New Roman"/>
                <w:sz w:val="20"/>
                <w:szCs w:val="20"/>
                <w:lang w:eastAsia="en-GB"/>
              </w:rPr>
            </w:pPr>
          </w:p>
        </w:tc>
      </w:tr>
      <w:tr w:rsidR="004906E5" w:rsidRPr="005464EA" w14:paraId="4B9F0CF8" w14:textId="77777777" w:rsidTr="00507A14">
        <w:trPr>
          <w:trHeight w:val="320"/>
        </w:trPr>
        <w:tc>
          <w:tcPr>
            <w:tcW w:w="861" w:type="dxa"/>
            <w:tcBorders>
              <w:top w:val="nil"/>
              <w:left w:val="nil"/>
              <w:bottom w:val="nil"/>
              <w:right w:val="nil"/>
            </w:tcBorders>
            <w:shd w:val="clear" w:color="auto" w:fill="auto"/>
            <w:noWrap/>
            <w:vAlign w:val="bottom"/>
            <w:hideMark/>
          </w:tcPr>
          <w:p w14:paraId="060E77D3" w14:textId="77777777" w:rsidR="004906E5" w:rsidRPr="005464EA" w:rsidRDefault="004906E5" w:rsidP="00507A14">
            <w:pPr>
              <w:spacing w:before="0" w:line="240" w:lineRule="auto"/>
              <w:rPr>
                <w:rFonts w:cs="Calibri"/>
                <w:color w:val="000000"/>
                <w:sz w:val="16"/>
                <w:szCs w:val="16"/>
                <w:lang w:eastAsia="en-GB"/>
              </w:rPr>
            </w:pPr>
            <w:r w:rsidRPr="005464EA">
              <w:rPr>
                <w:rFonts w:cs="Calibri"/>
                <w:color w:val="000000"/>
                <w:sz w:val="16"/>
                <w:szCs w:val="16"/>
                <w:lang w:eastAsia="en-GB"/>
              </w:rPr>
              <w:t>5 months</w:t>
            </w:r>
          </w:p>
        </w:tc>
        <w:tc>
          <w:tcPr>
            <w:tcW w:w="1012" w:type="dxa"/>
            <w:tcBorders>
              <w:top w:val="nil"/>
              <w:left w:val="nil"/>
              <w:bottom w:val="nil"/>
              <w:right w:val="nil"/>
            </w:tcBorders>
            <w:shd w:val="clear" w:color="auto" w:fill="auto"/>
            <w:noWrap/>
            <w:vAlign w:val="bottom"/>
            <w:hideMark/>
          </w:tcPr>
          <w:p w14:paraId="74178063" w14:textId="77777777" w:rsidR="004906E5" w:rsidRPr="005464EA" w:rsidRDefault="004906E5" w:rsidP="00507A14">
            <w:pPr>
              <w:spacing w:before="0" w:line="240" w:lineRule="auto"/>
              <w:jc w:val="center"/>
              <w:rPr>
                <w:rFonts w:cs="Calibri"/>
                <w:color w:val="000000"/>
                <w:sz w:val="16"/>
                <w:szCs w:val="16"/>
                <w:lang w:eastAsia="en-GB"/>
              </w:rPr>
            </w:pPr>
            <w:r w:rsidRPr="005464EA">
              <w:rPr>
                <w:rFonts w:cs="Calibri"/>
                <w:color w:val="000000"/>
                <w:sz w:val="16"/>
                <w:szCs w:val="16"/>
                <w:lang w:eastAsia="en-GB"/>
              </w:rPr>
              <w:t>1696</w:t>
            </w:r>
          </w:p>
        </w:tc>
        <w:tc>
          <w:tcPr>
            <w:tcW w:w="821" w:type="dxa"/>
            <w:tcBorders>
              <w:top w:val="nil"/>
              <w:left w:val="nil"/>
              <w:bottom w:val="nil"/>
              <w:right w:val="nil"/>
            </w:tcBorders>
            <w:shd w:val="clear" w:color="auto" w:fill="auto"/>
            <w:noWrap/>
            <w:vAlign w:val="bottom"/>
            <w:hideMark/>
          </w:tcPr>
          <w:p w14:paraId="44A552A5" w14:textId="77777777" w:rsidR="004906E5" w:rsidRPr="005464EA" w:rsidRDefault="004906E5" w:rsidP="00507A14">
            <w:pPr>
              <w:spacing w:before="0" w:line="240" w:lineRule="auto"/>
              <w:jc w:val="center"/>
              <w:rPr>
                <w:rFonts w:cs="Calibri"/>
                <w:color w:val="000000"/>
                <w:sz w:val="16"/>
                <w:szCs w:val="16"/>
                <w:lang w:eastAsia="en-GB"/>
              </w:rPr>
            </w:pPr>
            <w:r w:rsidRPr="005464EA">
              <w:rPr>
                <w:rFonts w:cs="Calibri"/>
                <w:color w:val="000000"/>
                <w:sz w:val="16"/>
                <w:szCs w:val="16"/>
                <w:lang w:eastAsia="en-GB"/>
              </w:rPr>
              <w:t>1046</w:t>
            </w:r>
          </w:p>
        </w:tc>
        <w:tc>
          <w:tcPr>
            <w:tcW w:w="1402" w:type="dxa"/>
            <w:tcBorders>
              <w:top w:val="nil"/>
              <w:left w:val="nil"/>
              <w:bottom w:val="nil"/>
              <w:right w:val="nil"/>
            </w:tcBorders>
            <w:shd w:val="clear" w:color="auto" w:fill="auto"/>
            <w:noWrap/>
            <w:vAlign w:val="bottom"/>
            <w:hideMark/>
          </w:tcPr>
          <w:p w14:paraId="15606760" w14:textId="77777777" w:rsidR="004906E5" w:rsidRPr="005464EA" w:rsidRDefault="004906E5" w:rsidP="00507A14">
            <w:pPr>
              <w:spacing w:before="0" w:line="240" w:lineRule="auto"/>
              <w:jc w:val="center"/>
              <w:rPr>
                <w:rFonts w:cs="Calibri"/>
                <w:color w:val="000000"/>
                <w:sz w:val="16"/>
                <w:szCs w:val="16"/>
                <w:lang w:eastAsia="en-GB"/>
              </w:rPr>
            </w:pPr>
            <w:r w:rsidRPr="005464EA">
              <w:rPr>
                <w:rFonts w:cs="Calibri"/>
                <w:color w:val="000000"/>
                <w:sz w:val="16"/>
                <w:szCs w:val="16"/>
                <w:lang w:eastAsia="en-GB"/>
              </w:rPr>
              <w:t>0.84 (0.7</w:t>
            </w:r>
            <w:r>
              <w:rPr>
                <w:rFonts w:cs="Calibri"/>
                <w:color w:val="000000"/>
                <w:sz w:val="16"/>
                <w:szCs w:val="16"/>
                <w:lang w:eastAsia="en-GB"/>
              </w:rPr>
              <w:t>3</w:t>
            </w:r>
            <w:r w:rsidRPr="005464EA">
              <w:rPr>
                <w:rFonts w:cs="Calibri"/>
                <w:color w:val="000000"/>
                <w:sz w:val="16"/>
                <w:szCs w:val="16"/>
                <w:lang w:eastAsia="en-GB"/>
              </w:rPr>
              <w:t xml:space="preserve"> - 0.96)</w:t>
            </w:r>
          </w:p>
        </w:tc>
        <w:tc>
          <w:tcPr>
            <w:tcW w:w="777" w:type="dxa"/>
            <w:tcBorders>
              <w:top w:val="nil"/>
              <w:left w:val="nil"/>
              <w:bottom w:val="nil"/>
              <w:right w:val="nil"/>
            </w:tcBorders>
            <w:shd w:val="clear" w:color="auto" w:fill="auto"/>
            <w:noWrap/>
            <w:vAlign w:val="bottom"/>
            <w:hideMark/>
          </w:tcPr>
          <w:p w14:paraId="2E6A82C7" w14:textId="77777777" w:rsidR="004906E5" w:rsidRPr="005464EA" w:rsidRDefault="004906E5" w:rsidP="00507A14">
            <w:pPr>
              <w:spacing w:before="0" w:line="240" w:lineRule="auto"/>
              <w:jc w:val="center"/>
              <w:rPr>
                <w:rFonts w:cs="Calibri"/>
                <w:color w:val="000000"/>
                <w:sz w:val="16"/>
                <w:szCs w:val="16"/>
                <w:lang w:eastAsia="en-GB"/>
              </w:rPr>
            </w:pPr>
            <w:r w:rsidRPr="005464EA">
              <w:rPr>
                <w:rFonts w:cs="Calibri"/>
                <w:color w:val="000000"/>
                <w:sz w:val="16"/>
                <w:szCs w:val="16"/>
                <w:lang w:eastAsia="en-GB"/>
              </w:rPr>
              <w:t>0.00</w:t>
            </w:r>
            <w:r>
              <w:rPr>
                <w:rFonts w:cs="Calibri"/>
                <w:color w:val="000000"/>
                <w:sz w:val="16"/>
                <w:szCs w:val="16"/>
                <w:lang w:eastAsia="en-GB"/>
              </w:rPr>
              <w:t>9</w:t>
            </w:r>
          </w:p>
        </w:tc>
        <w:tc>
          <w:tcPr>
            <w:tcW w:w="1565" w:type="dxa"/>
            <w:tcBorders>
              <w:top w:val="nil"/>
              <w:left w:val="nil"/>
              <w:bottom w:val="nil"/>
              <w:right w:val="nil"/>
            </w:tcBorders>
            <w:shd w:val="clear" w:color="auto" w:fill="auto"/>
            <w:noWrap/>
            <w:vAlign w:val="bottom"/>
            <w:hideMark/>
          </w:tcPr>
          <w:p w14:paraId="4727C8E9" w14:textId="77777777" w:rsidR="004906E5" w:rsidRPr="005464EA" w:rsidRDefault="004906E5" w:rsidP="00507A14">
            <w:pPr>
              <w:spacing w:before="0" w:line="240" w:lineRule="auto"/>
              <w:jc w:val="center"/>
              <w:rPr>
                <w:rFonts w:cs="Calibri"/>
                <w:color w:val="000000"/>
                <w:sz w:val="16"/>
                <w:szCs w:val="16"/>
                <w:lang w:eastAsia="en-GB"/>
              </w:rPr>
            </w:pPr>
            <w:r>
              <w:rPr>
                <w:rFonts w:cs="Calibri"/>
                <w:color w:val="000000"/>
                <w:sz w:val="16"/>
                <w:szCs w:val="16"/>
                <w:lang w:eastAsia="en-GB"/>
              </w:rPr>
              <w:t>1.3 (0.6 – 2.1)</w:t>
            </w:r>
          </w:p>
        </w:tc>
        <w:tc>
          <w:tcPr>
            <w:tcW w:w="1049" w:type="dxa"/>
            <w:tcBorders>
              <w:top w:val="nil"/>
              <w:left w:val="nil"/>
              <w:bottom w:val="nil"/>
              <w:right w:val="nil"/>
            </w:tcBorders>
            <w:shd w:val="clear" w:color="auto" w:fill="auto"/>
            <w:noWrap/>
            <w:vAlign w:val="bottom"/>
            <w:hideMark/>
          </w:tcPr>
          <w:p w14:paraId="5C536A76" w14:textId="77777777" w:rsidR="004906E5" w:rsidRPr="005464EA" w:rsidRDefault="004906E5" w:rsidP="00507A14">
            <w:pPr>
              <w:spacing w:before="0" w:line="240" w:lineRule="auto"/>
              <w:jc w:val="center"/>
              <w:rPr>
                <w:rFonts w:cs="Calibri"/>
                <w:color w:val="000000"/>
                <w:sz w:val="16"/>
                <w:szCs w:val="16"/>
                <w:lang w:eastAsia="en-GB"/>
              </w:rPr>
            </w:pPr>
            <w:r>
              <w:rPr>
                <w:rFonts w:cs="Calibri"/>
                <w:color w:val="000000"/>
                <w:sz w:val="16"/>
                <w:szCs w:val="16"/>
                <w:lang w:eastAsia="en-GB"/>
              </w:rPr>
              <w:t>&lt;0.001</w:t>
            </w:r>
          </w:p>
        </w:tc>
        <w:tc>
          <w:tcPr>
            <w:tcW w:w="1268" w:type="dxa"/>
            <w:tcBorders>
              <w:top w:val="nil"/>
              <w:left w:val="nil"/>
              <w:bottom w:val="nil"/>
              <w:right w:val="nil"/>
            </w:tcBorders>
            <w:shd w:val="clear" w:color="auto" w:fill="auto"/>
            <w:noWrap/>
            <w:vAlign w:val="bottom"/>
            <w:hideMark/>
          </w:tcPr>
          <w:p w14:paraId="07280637" w14:textId="77777777" w:rsidR="004906E5" w:rsidRPr="005464EA" w:rsidRDefault="004906E5" w:rsidP="00507A14">
            <w:pPr>
              <w:spacing w:before="0" w:line="240" w:lineRule="auto"/>
              <w:jc w:val="center"/>
              <w:rPr>
                <w:rFonts w:cs="Calibri"/>
                <w:color w:val="000000"/>
                <w:sz w:val="16"/>
                <w:szCs w:val="16"/>
                <w:lang w:eastAsia="en-GB"/>
              </w:rPr>
            </w:pPr>
            <w:r w:rsidRPr="005464EA">
              <w:rPr>
                <w:rFonts w:cs="Calibri"/>
                <w:color w:val="000000"/>
                <w:sz w:val="16"/>
                <w:szCs w:val="16"/>
                <w:lang w:eastAsia="en-GB"/>
              </w:rPr>
              <w:t>0.023</w:t>
            </w:r>
          </w:p>
        </w:tc>
        <w:tc>
          <w:tcPr>
            <w:tcW w:w="1168" w:type="dxa"/>
            <w:tcBorders>
              <w:top w:val="nil"/>
              <w:left w:val="nil"/>
              <w:bottom w:val="nil"/>
              <w:right w:val="nil"/>
            </w:tcBorders>
            <w:shd w:val="clear" w:color="auto" w:fill="auto"/>
            <w:noWrap/>
            <w:vAlign w:val="bottom"/>
            <w:hideMark/>
          </w:tcPr>
          <w:p w14:paraId="25831B30" w14:textId="77777777" w:rsidR="004906E5" w:rsidRPr="005464EA" w:rsidRDefault="004906E5" w:rsidP="00507A14">
            <w:pPr>
              <w:spacing w:before="0" w:line="240" w:lineRule="auto"/>
              <w:jc w:val="center"/>
              <w:rPr>
                <w:rFonts w:cs="Calibri"/>
                <w:color w:val="000000"/>
                <w:sz w:val="16"/>
                <w:szCs w:val="16"/>
                <w:lang w:eastAsia="en-GB"/>
              </w:rPr>
            </w:pPr>
            <w:r w:rsidRPr="005464EA">
              <w:rPr>
                <w:rFonts w:cs="Calibri"/>
                <w:color w:val="000000"/>
                <w:sz w:val="16"/>
                <w:szCs w:val="16"/>
                <w:lang w:eastAsia="en-GB"/>
              </w:rPr>
              <w:t>0</w:t>
            </w:r>
          </w:p>
        </w:tc>
        <w:tc>
          <w:tcPr>
            <w:tcW w:w="1369" w:type="dxa"/>
            <w:vAlign w:val="center"/>
            <w:hideMark/>
          </w:tcPr>
          <w:p w14:paraId="31B6C48C" w14:textId="77777777" w:rsidR="004906E5" w:rsidRPr="005464EA" w:rsidRDefault="004906E5" w:rsidP="00507A14">
            <w:pPr>
              <w:spacing w:before="0" w:line="240" w:lineRule="auto"/>
              <w:rPr>
                <w:rFonts w:ascii="Times New Roman" w:hAnsi="Times New Roman"/>
                <w:sz w:val="20"/>
                <w:szCs w:val="20"/>
                <w:lang w:eastAsia="en-GB"/>
              </w:rPr>
            </w:pPr>
          </w:p>
        </w:tc>
      </w:tr>
      <w:tr w:rsidR="004906E5" w:rsidRPr="005464EA" w14:paraId="565C894E" w14:textId="77777777" w:rsidTr="00507A14">
        <w:trPr>
          <w:trHeight w:val="340"/>
        </w:trPr>
        <w:tc>
          <w:tcPr>
            <w:tcW w:w="861" w:type="dxa"/>
            <w:tcBorders>
              <w:top w:val="nil"/>
              <w:left w:val="nil"/>
              <w:bottom w:val="single" w:sz="8" w:space="0" w:color="auto"/>
              <w:right w:val="nil"/>
            </w:tcBorders>
            <w:shd w:val="clear" w:color="auto" w:fill="auto"/>
            <w:noWrap/>
            <w:vAlign w:val="bottom"/>
            <w:hideMark/>
          </w:tcPr>
          <w:p w14:paraId="2FC16554" w14:textId="77777777" w:rsidR="004906E5" w:rsidRPr="005464EA" w:rsidRDefault="004906E5" w:rsidP="00507A14">
            <w:pPr>
              <w:spacing w:before="0" w:line="240" w:lineRule="auto"/>
              <w:rPr>
                <w:rFonts w:cs="Calibri"/>
                <w:color w:val="000000"/>
                <w:sz w:val="16"/>
                <w:szCs w:val="16"/>
                <w:lang w:eastAsia="en-GB"/>
              </w:rPr>
            </w:pPr>
            <w:r w:rsidRPr="005464EA">
              <w:rPr>
                <w:rFonts w:cs="Calibri"/>
                <w:color w:val="000000"/>
                <w:sz w:val="16"/>
                <w:szCs w:val="16"/>
                <w:lang w:eastAsia="en-GB"/>
              </w:rPr>
              <w:t>6 months</w:t>
            </w:r>
          </w:p>
        </w:tc>
        <w:tc>
          <w:tcPr>
            <w:tcW w:w="1012" w:type="dxa"/>
            <w:tcBorders>
              <w:top w:val="nil"/>
              <w:left w:val="nil"/>
              <w:bottom w:val="single" w:sz="8" w:space="0" w:color="auto"/>
              <w:right w:val="nil"/>
            </w:tcBorders>
            <w:shd w:val="clear" w:color="auto" w:fill="auto"/>
            <w:noWrap/>
            <w:vAlign w:val="bottom"/>
            <w:hideMark/>
          </w:tcPr>
          <w:p w14:paraId="29591C30" w14:textId="77777777" w:rsidR="004906E5" w:rsidRPr="005464EA" w:rsidRDefault="004906E5" w:rsidP="00507A14">
            <w:pPr>
              <w:spacing w:before="0" w:line="240" w:lineRule="auto"/>
              <w:jc w:val="center"/>
              <w:rPr>
                <w:rFonts w:cs="Calibri"/>
                <w:color w:val="000000"/>
                <w:sz w:val="16"/>
                <w:szCs w:val="16"/>
                <w:lang w:eastAsia="en-GB"/>
              </w:rPr>
            </w:pPr>
            <w:r w:rsidRPr="005464EA">
              <w:rPr>
                <w:rFonts w:cs="Calibri"/>
                <w:color w:val="000000"/>
                <w:sz w:val="16"/>
                <w:szCs w:val="16"/>
                <w:lang w:eastAsia="en-GB"/>
              </w:rPr>
              <w:t>1649</w:t>
            </w:r>
          </w:p>
        </w:tc>
        <w:tc>
          <w:tcPr>
            <w:tcW w:w="821" w:type="dxa"/>
            <w:tcBorders>
              <w:top w:val="nil"/>
              <w:left w:val="nil"/>
              <w:bottom w:val="single" w:sz="8" w:space="0" w:color="auto"/>
              <w:right w:val="nil"/>
            </w:tcBorders>
            <w:shd w:val="clear" w:color="auto" w:fill="auto"/>
            <w:noWrap/>
            <w:vAlign w:val="bottom"/>
            <w:hideMark/>
          </w:tcPr>
          <w:p w14:paraId="5A9B1AA7" w14:textId="77777777" w:rsidR="004906E5" w:rsidRPr="005464EA" w:rsidRDefault="004906E5" w:rsidP="00507A14">
            <w:pPr>
              <w:spacing w:before="0" w:line="240" w:lineRule="auto"/>
              <w:jc w:val="center"/>
              <w:rPr>
                <w:rFonts w:cs="Calibri"/>
                <w:color w:val="000000"/>
                <w:sz w:val="16"/>
                <w:szCs w:val="16"/>
                <w:lang w:eastAsia="en-GB"/>
              </w:rPr>
            </w:pPr>
            <w:r w:rsidRPr="005464EA">
              <w:rPr>
                <w:rFonts w:cs="Calibri"/>
                <w:color w:val="000000"/>
                <w:sz w:val="16"/>
                <w:szCs w:val="16"/>
                <w:lang w:eastAsia="en-GB"/>
              </w:rPr>
              <w:t>1037</w:t>
            </w:r>
          </w:p>
        </w:tc>
        <w:tc>
          <w:tcPr>
            <w:tcW w:w="1402" w:type="dxa"/>
            <w:tcBorders>
              <w:top w:val="nil"/>
              <w:left w:val="nil"/>
              <w:bottom w:val="single" w:sz="8" w:space="0" w:color="auto"/>
              <w:right w:val="nil"/>
            </w:tcBorders>
            <w:shd w:val="clear" w:color="auto" w:fill="auto"/>
            <w:noWrap/>
            <w:vAlign w:val="bottom"/>
            <w:hideMark/>
          </w:tcPr>
          <w:p w14:paraId="0B5A61DF" w14:textId="77777777" w:rsidR="004906E5" w:rsidRPr="005464EA" w:rsidRDefault="004906E5" w:rsidP="00507A14">
            <w:pPr>
              <w:spacing w:before="0" w:line="240" w:lineRule="auto"/>
              <w:jc w:val="center"/>
              <w:rPr>
                <w:rFonts w:cs="Calibri"/>
                <w:color w:val="000000"/>
                <w:sz w:val="16"/>
                <w:szCs w:val="16"/>
                <w:lang w:eastAsia="en-GB"/>
              </w:rPr>
            </w:pPr>
            <w:r w:rsidRPr="005464EA">
              <w:rPr>
                <w:rFonts w:cs="Calibri"/>
                <w:color w:val="000000"/>
                <w:sz w:val="16"/>
                <w:szCs w:val="16"/>
                <w:lang w:eastAsia="en-GB"/>
              </w:rPr>
              <w:t>0.86 (0.75 - 0.99)</w:t>
            </w:r>
          </w:p>
        </w:tc>
        <w:tc>
          <w:tcPr>
            <w:tcW w:w="777" w:type="dxa"/>
            <w:tcBorders>
              <w:top w:val="nil"/>
              <w:left w:val="nil"/>
              <w:bottom w:val="single" w:sz="8" w:space="0" w:color="auto"/>
              <w:right w:val="nil"/>
            </w:tcBorders>
            <w:shd w:val="clear" w:color="auto" w:fill="auto"/>
            <w:noWrap/>
            <w:vAlign w:val="bottom"/>
            <w:hideMark/>
          </w:tcPr>
          <w:p w14:paraId="25695C63" w14:textId="77777777" w:rsidR="004906E5" w:rsidRPr="005464EA" w:rsidRDefault="004906E5" w:rsidP="00507A14">
            <w:pPr>
              <w:spacing w:before="0" w:line="240" w:lineRule="auto"/>
              <w:jc w:val="center"/>
              <w:rPr>
                <w:rFonts w:cs="Calibri"/>
                <w:color w:val="000000"/>
                <w:sz w:val="16"/>
                <w:szCs w:val="16"/>
                <w:lang w:eastAsia="en-GB"/>
              </w:rPr>
            </w:pPr>
            <w:r w:rsidRPr="005464EA">
              <w:rPr>
                <w:rFonts w:cs="Calibri"/>
                <w:color w:val="000000"/>
                <w:sz w:val="16"/>
                <w:szCs w:val="16"/>
                <w:lang w:eastAsia="en-GB"/>
              </w:rPr>
              <w:t>0.03</w:t>
            </w:r>
            <w:r>
              <w:rPr>
                <w:rFonts w:cs="Calibri"/>
                <w:color w:val="000000"/>
                <w:sz w:val="16"/>
                <w:szCs w:val="16"/>
                <w:lang w:eastAsia="en-GB"/>
              </w:rPr>
              <w:t>1</w:t>
            </w:r>
          </w:p>
        </w:tc>
        <w:tc>
          <w:tcPr>
            <w:tcW w:w="1565" w:type="dxa"/>
            <w:tcBorders>
              <w:top w:val="nil"/>
              <w:left w:val="nil"/>
              <w:bottom w:val="single" w:sz="8" w:space="0" w:color="auto"/>
              <w:right w:val="nil"/>
            </w:tcBorders>
            <w:shd w:val="clear" w:color="auto" w:fill="auto"/>
            <w:noWrap/>
            <w:vAlign w:val="bottom"/>
            <w:hideMark/>
          </w:tcPr>
          <w:p w14:paraId="560A1A87" w14:textId="77777777" w:rsidR="004906E5" w:rsidRPr="005464EA" w:rsidRDefault="004906E5" w:rsidP="00507A14">
            <w:pPr>
              <w:spacing w:before="0" w:line="240" w:lineRule="auto"/>
              <w:jc w:val="center"/>
              <w:rPr>
                <w:rFonts w:cs="Calibri"/>
                <w:color w:val="000000"/>
                <w:sz w:val="16"/>
                <w:szCs w:val="16"/>
                <w:lang w:eastAsia="en-GB"/>
              </w:rPr>
            </w:pPr>
            <w:r>
              <w:rPr>
                <w:rFonts w:cs="Calibri"/>
                <w:color w:val="000000"/>
                <w:sz w:val="16"/>
                <w:szCs w:val="16"/>
                <w:lang w:eastAsia="en-GB"/>
              </w:rPr>
              <w:t>1.1 (0.3 - 1.82)</w:t>
            </w:r>
          </w:p>
        </w:tc>
        <w:tc>
          <w:tcPr>
            <w:tcW w:w="1049" w:type="dxa"/>
            <w:tcBorders>
              <w:top w:val="nil"/>
              <w:left w:val="nil"/>
              <w:bottom w:val="single" w:sz="8" w:space="0" w:color="auto"/>
              <w:right w:val="nil"/>
            </w:tcBorders>
            <w:shd w:val="clear" w:color="auto" w:fill="auto"/>
            <w:noWrap/>
            <w:vAlign w:val="bottom"/>
            <w:hideMark/>
          </w:tcPr>
          <w:p w14:paraId="5CA8A1B4" w14:textId="77777777" w:rsidR="004906E5" w:rsidRPr="005464EA" w:rsidRDefault="004906E5" w:rsidP="00507A14">
            <w:pPr>
              <w:spacing w:before="0" w:line="240" w:lineRule="auto"/>
              <w:jc w:val="center"/>
              <w:rPr>
                <w:rFonts w:cs="Calibri"/>
                <w:color w:val="000000"/>
                <w:sz w:val="16"/>
                <w:szCs w:val="16"/>
                <w:lang w:eastAsia="en-GB"/>
              </w:rPr>
            </w:pPr>
            <w:r w:rsidRPr="005464EA">
              <w:rPr>
                <w:rFonts w:cs="Calibri"/>
                <w:color w:val="000000"/>
                <w:sz w:val="16"/>
                <w:szCs w:val="16"/>
                <w:lang w:eastAsia="en-GB"/>
              </w:rPr>
              <w:t>0.0</w:t>
            </w:r>
            <w:r>
              <w:rPr>
                <w:rFonts w:cs="Calibri"/>
                <w:color w:val="000000"/>
                <w:sz w:val="16"/>
                <w:szCs w:val="16"/>
                <w:lang w:eastAsia="en-GB"/>
              </w:rPr>
              <w:t>06</w:t>
            </w:r>
          </w:p>
        </w:tc>
        <w:tc>
          <w:tcPr>
            <w:tcW w:w="1268" w:type="dxa"/>
            <w:tcBorders>
              <w:top w:val="nil"/>
              <w:left w:val="nil"/>
              <w:bottom w:val="single" w:sz="8" w:space="0" w:color="auto"/>
              <w:right w:val="nil"/>
            </w:tcBorders>
            <w:shd w:val="clear" w:color="auto" w:fill="auto"/>
            <w:noWrap/>
            <w:vAlign w:val="bottom"/>
            <w:hideMark/>
          </w:tcPr>
          <w:p w14:paraId="4C506F79" w14:textId="77777777" w:rsidR="004906E5" w:rsidRPr="005464EA" w:rsidRDefault="004906E5" w:rsidP="00507A14">
            <w:pPr>
              <w:spacing w:before="0" w:line="240" w:lineRule="auto"/>
              <w:jc w:val="center"/>
              <w:rPr>
                <w:rFonts w:cs="Calibri"/>
                <w:color w:val="000000"/>
                <w:sz w:val="16"/>
                <w:szCs w:val="16"/>
                <w:lang w:eastAsia="en-GB"/>
              </w:rPr>
            </w:pPr>
            <w:r w:rsidRPr="005464EA">
              <w:rPr>
                <w:rFonts w:cs="Calibri"/>
                <w:color w:val="000000"/>
                <w:sz w:val="16"/>
                <w:szCs w:val="16"/>
                <w:lang w:eastAsia="en-GB"/>
              </w:rPr>
              <w:t>0.023</w:t>
            </w:r>
          </w:p>
        </w:tc>
        <w:tc>
          <w:tcPr>
            <w:tcW w:w="1168" w:type="dxa"/>
            <w:tcBorders>
              <w:top w:val="nil"/>
              <w:left w:val="nil"/>
              <w:bottom w:val="single" w:sz="8" w:space="0" w:color="auto"/>
              <w:right w:val="nil"/>
            </w:tcBorders>
            <w:shd w:val="clear" w:color="auto" w:fill="auto"/>
            <w:noWrap/>
            <w:vAlign w:val="bottom"/>
            <w:hideMark/>
          </w:tcPr>
          <w:p w14:paraId="44D1632D" w14:textId="77777777" w:rsidR="004906E5" w:rsidRPr="005464EA" w:rsidRDefault="004906E5" w:rsidP="00507A14">
            <w:pPr>
              <w:spacing w:before="0" w:line="240" w:lineRule="auto"/>
              <w:jc w:val="center"/>
              <w:rPr>
                <w:rFonts w:cs="Calibri"/>
                <w:color w:val="000000"/>
                <w:sz w:val="16"/>
                <w:szCs w:val="16"/>
                <w:lang w:eastAsia="en-GB"/>
              </w:rPr>
            </w:pPr>
            <w:r w:rsidRPr="005464EA">
              <w:rPr>
                <w:rFonts w:cs="Calibri"/>
                <w:color w:val="000000"/>
                <w:sz w:val="16"/>
                <w:szCs w:val="16"/>
                <w:lang w:eastAsia="en-GB"/>
              </w:rPr>
              <w:t>0</w:t>
            </w:r>
          </w:p>
        </w:tc>
        <w:tc>
          <w:tcPr>
            <w:tcW w:w="1369" w:type="dxa"/>
            <w:vAlign w:val="center"/>
            <w:hideMark/>
          </w:tcPr>
          <w:p w14:paraId="2FD6969B" w14:textId="77777777" w:rsidR="004906E5" w:rsidRPr="005464EA" w:rsidRDefault="004906E5" w:rsidP="00507A14">
            <w:pPr>
              <w:spacing w:before="0" w:line="240" w:lineRule="auto"/>
              <w:rPr>
                <w:rFonts w:ascii="Times New Roman" w:hAnsi="Times New Roman"/>
                <w:sz w:val="20"/>
                <w:szCs w:val="20"/>
                <w:lang w:eastAsia="en-GB"/>
              </w:rPr>
            </w:pPr>
          </w:p>
        </w:tc>
      </w:tr>
    </w:tbl>
    <w:p w14:paraId="370C5CBD" w14:textId="77777777" w:rsidR="004906E5" w:rsidRDefault="004906E5" w:rsidP="004906E5">
      <w:pPr>
        <w:widowControl w:val="0"/>
        <w:autoSpaceDE w:val="0"/>
        <w:autoSpaceDN w:val="0"/>
        <w:adjustRightInd w:val="0"/>
        <w:ind w:left="640" w:hanging="640"/>
        <w:rPr>
          <w:sz w:val="24"/>
          <w:szCs w:val="24"/>
        </w:rPr>
      </w:pPr>
    </w:p>
    <w:p w14:paraId="704E8B9C" w14:textId="77777777" w:rsidR="004906E5" w:rsidRDefault="004906E5" w:rsidP="004906E5">
      <w:pPr>
        <w:widowControl w:val="0"/>
        <w:autoSpaceDE w:val="0"/>
        <w:autoSpaceDN w:val="0"/>
        <w:adjustRightInd w:val="0"/>
        <w:ind w:left="640" w:hanging="640"/>
        <w:rPr>
          <w:sz w:val="24"/>
          <w:szCs w:val="24"/>
        </w:rPr>
      </w:pPr>
    </w:p>
    <w:p w14:paraId="104ECE6B" w14:textId="77777777" w:rsidR="004906E5" w:rsidRDefault="004906E5" w:rsidP="004906E5">
      <w:pPr>
        <w:widowControl w:val="0"/>
        <w:autoSpaceDE w:val="0"/>
        <w:autoSpaceDN w:val="0"/>
        <w:adjustRightInd w:val="0"/>
        <w:ind w:left="640" w:hanging="640"/>
        <w:rPr>
          <w:sz w:val="24"/>
          <w:szCs w:val="24"/>
        </w:rPr>
      </w:pPr>
    </w:p>
    <w:p w14:paraId="3A51A455" w14:textId="77777777" w:rsidR="004906E5" w:rsidRDefault="004906E5" w:rsidP="004906E5">
      <w:pPr>
        <w:spacing w:before="0" w:line="240" w:lineRule="auto"/>
        <w:rPr>
          <w:sz w:val="24"/>
          <w:szCs w:val="24"/>
        </w:rPr>
      </w:pPr>
      <w:r>
        <w:rPr>
          <w:sz w:val="24"/>
          <w:szCs w:val="24"/>
        </w:rPr>
        <w:br w:type="page"/>
      </w:r>
    </w:p>
    <w:p w14:paraId="691A12F7" w14:textId="77777777" w:rsidR="004906E5" w:rsidRDefault="004906E5" w:rsidP="004906E5">
      <w:pPr>
        <w:widowControl w:val="0"/>
        <w:autoSpaceDE w:val="0"/>
        <w:autoSpaceDN w:val="0"/>
        <w:adjustRightInd w:val="0"/>
        <w:ind w:left="640" w:hanging="640"/>
        <w:rPr>
          <w:sz w:val="24"/>
          <w:szCs w:val="24"/>
        </w:rPr>
      </w:pPr>
      <w:r>
        <w:rPr>
          <w:sz w:val="24"/>
          <w:szCs w:val="24"/>
        </w:rPr>
        <w:t>Supplementary Figure 2: Weighted Kaplan Meier Chart with varying Landmark time (A) 3 months, (B) 4 months, (C) 5 months, (D) 6 months</w:t>
      </w:r>
    </w:p>
    <w:p w14:paraId="28566F83" w14:textId="77777777" w:rsidR="004906E5" w:rsidRDefault="004906E5" w:rsidP="004906E5">
      <w:pPr>
        <w:widowControl w:val="0"/>
        <w:autoSpaceDE w:val="0"/>
        <w:autoSpaceDN w:val="0"/>
        <w:adjustRightInd w:val="0"/>
        <w:ind w:left="640" w:hanging="640"/>
        <w:rPr>
          <w:sz w:val="24"/>
          <w:szCs w:val="24"/>
        </w:rPr>
      </w:pPr>
      <w:r w:rsidRPr="003528D9">
        <w:rPr>
          <w:noProof/>
          <w:sz w:val="24"/>
          <w:szCs w:val="24"/>
          <w:lang w:eastAsia="en-GB"/>
        </w:rPr>
        <w:drawing>
          <wp:inline distT="0" distB="0" distL="0" distR="0" wp14:anchorId="075E9567" wp14:editId="5296373B">
            <wp:extent cx="5727700" cy="4077335"/>
            <wp:effectExtent l="0" t="0" r="0" b="0"/>
            <wp:docPr id="6" name="Picture 6"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 histogram&#10;&#10;Description automatically generated"/>
                    <pic:cNvPicPr/>
                  </pic:nvPicPr>
                  <pic:blipFill>
                    <a:blip r:embed="rId18" cstate="email">
                      <a:extLst>
                        <a:ext uri="{28A0092B-C50C-407E-A947-70E740481C1C}">
                          <a14:useLocalDpi xmlns:a14="http://schemas.microsoft.com/office/drawing/2010/main"/>
                        </a:ext>
                      </a:extLst>
                    </a:blip>
                    <a:stretch>
                      <a:fillRect/>
                    </a:stretch>
                  </pic:blipFill>
                  <pic:spPr>
                    <a:xfrm>
                      <a:off x="0" y="0"/>
                      <a:ext cx="5727700" cy="4077335"/>
                    </a:xfrm>
                    <a:prstGeom prst="rect">
                      <a:avLst/>
                    </a:prstGeom>
                  </pic:spPr>
                </pic:pic>
              </a:graphicData>
            </a:graphic>
          </wp:inline>
        </w:drawing>
      </w:r>
    </w:p>
    <w:p w14:paraId="1700D001" w14:textId="77777777" w:rsidR="004906E5" w:rsidRDefault="004906E5" w:rsidP="004906E5">
      <w:pPr>
        <w:spacing w:before="0" w:line="240" w:lineRule="auto"/>
        <w:rPr>
          <w:sz w:val="24"/>
          <w:szCs w:val="24"/>
        </w:rPr>
      </w:pPr>
      <w:r>
        <w:rPr>
          <w:sz w:val="24"/>
          <w:szCs w:val="24"/>
        </w:rPr>
        <w:br w:type="page"/>
      </w:r>
    </w:p>
    <w:p w14:paraId="153880EB" w14:textId="77777777" w:rsidR="004906E5" w:rsidRDefault="004906E5" w:rsidP="004906E5">
      <w:pPr>
        <w:widowControl w:val="0"/>
        <w:autoSpaceDE w:val="0"/>
        <w:autoSpaceDN w:val="0"/>
        <w:adjustRightInd w:val="0"/>
        <w:ind w:left="640" w:hanging="640"/>
        <w:rPr>
          <w:sz w:val="24"/>
          <w:szCs w:val="24"/>
        </w:rPr>
      </w:pPr>
      <w:r>
        <w:rPr>
          <w:sz w:val="24"/>
          <w:szCs w:val="24"/>
        </w:rPr>
        <w:t>Supplementary Figure 3: Scaled Schoenfeld residuals from the Cox proportional hazards model</w:t>
      </w:r>
    </w:p>
    <w:p w14:paraId="33B686F2" w14:textId="77777777" w:rsidR="004906E5" w:rsidRDefault="004906E5" w:rsidP="004906E5">
      <w:pPr>
        <w:widowControl w:val="0"/>
        <w:autoSpaceDE w:val="0"/>
        <w:autoSpaceDN w:val="0"/>
        <w:adjustRightInd w:val="0"/>
        <w:ind w:left="640" w:hanging="640"/>
        <w:rPr>
          <w:sz w:val="24"/>
          <w:szCs w:val="24"/>
        </w:rPr>
      </w:pPr>
      <w:r>
        <w:rPr>
          <w:noProof/>
          <w:sz w:val="24"/>
          <w:szCs w:val="24"/>
          <w:lang w:eastAsia="en-GB"/>
        </w:rPr>
        <w:drawing>
          <wp:inline distT="0" distB="0" distL="0" distR="0" wp14:anchorId="67D1AFB8" wp14:editId="724F0526">
            <wp:extent cx="5080000" cy="3175000"/>
            <wp:effectExtent l="0"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9" cstate="email">
                      <a:extLst>
                        <a:ext uri="{28A0092B-C50C-407E-A947-70E740481C1C}">
                          <a14:useLocalDpi xmlns:a14="http://schemas.microsoft.com/office/drawing/2010/main"/>
                        </a:ext>
                      </a:extLst>
                    </a:blip>
                    <a:stretch>
                      <a:fillRect/>
                    </a:stretch>
                  </pic:blipFill>
                  <pic:spPr>
                    <a:xfrm>
                      <a:off x="0" y="0"/>
                      <a:ext cx="5080000" cy="3175000"/>
                    </a:xfrm>
                    <a:prstGeom prst="rect">
                      <a:avLst/>
                    </a:prstGeom>
                  </pic:spPr>
                </pic:pic>
              </a:graphicData>
            </a:graphic>
          </wp:inline>
        </w:drawing>
      </w:r>
    </w:p>
    <w:p w14:paraId="7C63C801" w14:textId="77777777" w:rsidR="004906E5" w:rsidRDefault="004906E5" w:rsidP="004906E5">
      <w:pPr>
        <w:spacing w:before="0" w:line="240" w:lineRule="auto"/>
        <w:rPr>
          <w:sz w:val="24"/>
          <w:szCs w:val="24"/>
        </w:rPr>
      </w:pPr>
      <w:r>
        <w:rPr>
          <w:sz w:val="24"/>
          <w:szCs w:val="24"/>
        </w:rPr>
        <w:br w:type="page"/>
      </w:r>
    </w:p>
    <w:p w14:paraId="1AFCC341" w14:textId="77777777" w:rsidR="004906E5" w:rsidRDefault="004906E5" w:rsidP="004906E5">
      <w:pPr>
        <w:spacing w:before="0" w:line="240" w:lineRule="auto"/>
        <w:rPr>
          <w:sz w:val="24"/>
          <w:szCs w:val="24"/>
        </w:rPr>
      </w:pPr>
      <w:r>
        <w:rPr>
          <w:sz w:val="24"/>
          <w:szCs w:val="24"/>
        </w:rPr>
        <w:t>Supplementary Table 3: Comparison of clinicopathological characteristics by site of tumour</w:t>
      </w:r>
    </w:p>
    <w:p w14:paraId="6DDB55E0" w14:textId="77777777" w:rsidR="004906E5" w:rsidRDefault="004906E5" w:rsidP="004906E5">
      <w:pPr>
        <w:spacing w:before="0" w:line="240" w:lineRule="auto"/>
        <w:rPr>
          <w:sz w:val="24"/>
          <w:szCs w:val="24"/>
        </w:rPr>
      </w:pPr>
    </w:p>
    <w:tbl>
      <w:tblPr>
        <w:tblW w:w="10239" w:type="dxa"/>
        <w:tblLook w:val="04A0" w:firstRow="1" w:lastRow="0" w:firstColumn="1" w:lastColumn="0" w:noHBand="0" w:noVBand="1"/>
      </w:tblPr>
      <w:tblGrid>
        <w:gridCol w:w="2303"/>
        <w:gridCol w:w="1560"/>
        <w:gridCol w:w="6"/>
        <w:gridCol w:w="1838"/>
        <w:gridCol w:w="6"/>
        <w:gridCol w:w="1838"/>
        <w:gridCol w:w="6"/>
        <w:gridCol w:w="1838"/>
        <w:gridCol w:w="6"/>
        <w:gridCol w:w="832"/>
        <w:gridCol w:w="6"/>
      </w:tblGrid>
      <w:tr w:rsidR="004906E5" w:rsidRPr="00803B40" w14:paraId="010F0D3C" w14:textId="77777777" w:rsidTr="00507A14">
        <w:trPr>
          <w:gridAfter w:val="1"/>
          <w:wAfter w:w="6" w:type="dxa"/>
          <w:trHeight w:val="240"/>
        </w:trPr>
        <w:tc>
          <w:tcPr>
            <w:tcW w:w="2303" w:type="dxa"/>
            <w:tcBorders>
              <w:top w:val="single" w:sz="8" w:space="0" w:color="auto"/>
              <w:left w:val="nil"/>
              <w:bottom w:val="nil"/>
              <w:right w:val="nil"/>
            </w:tcBorders>
            <w:shd w:val="clear" w:color="auto" w:fill="auto"/>
            <w:noWrap/>
            <w:vAlign w:val="bottom"/>
            <w:hideMark/>
          </w:tcPr>
          <w:p w14:paraId="127A543C" w14:textId="77777777" w:rsidR="004906E5" w:rsidRPr="00803B40" w:rsidRDefault="004906E5" w:rsidP="00507A14">
            <w:pPr>
              <w:spacing w:before="0" w:line="240" w:lineRule="auto"/>
              <w:rPr>
                <w:rFonts w:cs="Calibri"/>
                <w:color w:val="000000"/>
                <w:sz w:val="16"/>
                <w:szCs w:val="16"/>
                <w:lang w:eastAsia="en-GB"/>
              </w:rPr>
            </w:pPr>
            <w:r w:rsidRPr="00803B40">
              <w:rPr>
                <w:rFonts w:cs="Calibri"/>
                <w:color w:val="000000"/>
                <w:sz w:val="16"/>
                <w:szCs w:val="16"/>
                <w:lang w:eastAsia="en-GB"/>
              </w:rPr>
              <w:t> </w:t>
            </w:r>
          </w:p>
        </w:tc>
        <w:tc>
          <w:tcPr>
            <w:tcW w:w="1560" w:type="dxa"/>
            <w:tcBorders>
              <w:top w:val="single" w:sz="8" w:space="0" w:color="auto"/>
              <w:left w:val="nil"/>
              <w:bottom w:val="nil"/>
              <w:right w:val="nil"/>
            </w:tcBorders>
            <w:shd w:val="clear" w:color="auto" w:fill="auto"/>
            <w:noWrap/>
            <w:vAlign w:val="bottom"/>
            <w:hideMark/>
          </w:tcPr>
          <w:p w14:paraId="79FE3DF6"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 </w:t>
            </w:r>
          </w:p>
        </w:tc>
        <w:tc>
          <w:tcPr>
            <w:tcW w:w="5532" w:type="dxa"/>
            <w:gridSpan w:val="6"/>
            <w:tcBorders>
              <w:top w:val="single" w:sz="8" w:space="0" w:color="auto"/>
              <w:left w:val="nil"/>
              <w:bottom w:val="nil"/>
              <w:right w:val="nil"/>
            </w:tcBorders>
            <w:shd w:val="clear" w:color="auto" w:fill="auto"/>
            <w:noWrap/>
            <w:vAlign w:val="bottom"/>
            <w:hideMark/>
          </w:tcPr>
          <w:p w14:paraId="299C011A"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Site of tumour</w:t>
            </w:r>
          </w:p>
        </w:tc>
        <w:tc>
          <w:tcPr>
            <w:tcW w:w="838" w:type="dxa"/>
            <w:gridSpan w:val="2"/>
            <w:tcBorders>
              <w:top w:val="single" w:sz="8" w:space="0" w:color="auto"/>
              <w:left w:val="nil"/>
              <w:bottom w:val="nil"/>
              <w:right w:val="nil"/>
            </w:tcBorders>
            <w:shd w:val="clear" w:color="auto" w:fill="auto"/>
            <w:noWrap/>
            <w:vAlign w:val="bottom"/>
            <w:hideMark/>
          </w:tcPr>
          <w:p w14:paraId="60E30A4D"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w:t>
            </w:r>
          </w:p>
        </w:tc>
      </w:tr>
      <w:tr w:rsidR="004906E5" w:rsidRPr="00803B40" w14:paraId="48276E50" w14:textId="77777777" w:rsidTr="00507A14">
        <w:trPr>
          <w:gridAfter w:val="1"/>
          <w:wAfter w:w="6" w:type="dxa"/>
          <w:trHeight w:val="240"/>
        </w:trPr>
        <w:tc>
          <w:tcPr>
            <w:tcW w:w="2303" w:type="dxa"/>
            <w:tcBorders>
              <w:top w:val="nil"/>
              <w:left w:val="nil"/>
              <w:bottom w:val="single" w:sz="8" w:space="0" w:color="auto"/>
              <w:right w:val="nil"/>
            </w:tcBorders>
            <w:shd w:val="clear" w:color="auto" w:fill="auto"/>
            <w:noWrap/>
            <w:vAlign w:val="bottom"/>
            <w:hideMark/>
          </w:tcPr>
          <w:p w14:paraId="397B616F" w14:textId="77777777" w:rsidR="004906E5" w:rsidRPr="00803B40" w:rsidRDefault="004906E5" w:rsidP="00507A14">
            <w:pPr>
              <w:spacing w:before="0" w:line="240" w:lineRule="auto"/>
              <w:rPr>
                <w:rFonts w:cs="Calibri"/>
                <w:color w:val="000000"/>
                <w:sz w:val="16"/>
                <w:szCs w:val="16"/>
                <w:lang w:eastAsia="en-GB"/>
              </w:rPr>
            </w:pPr>
            <w:r w:rsidRPr="00803B40">
              <w:rPr>
                <w:rFonts w:cs="Calibri"/>
                <w:color w:val="000000"/>
                <w:sz w:val="16"/>
                <w:szCs w:val="16"/>
                <w:lang w:eastAsia="en-GB"/>
              </w:rPr>
              <w:t> </w:t>
            </w:r>
          </w:p>
        </w:tc>
        <w:tc>
          <w:tcPr>
            <w:tcW w:w="1560" w:type="dxa"/>
            <w:tcBorders>
              <w:top w:val="nil"/>
              <w:left w:val="nil"/>
              <w:bottom w:val="single" w:sz="8" w:space="0" w:color="auto"/>
              <w:right w:val="nil"/>
            </w:tcBorders>
            <w:shd w:val="clear" w:color="auto" w:fill="auto"/>
            <w:noWrap/>
            <w:vAlign w:val="bottom"/>
            <w:hideMark/>
          </w:tcPr>
          <w:p w14:paraId="4D55A05D"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 </w:t>
            </w:r>
          </w:p>
        </w:tc>
        <w:tc>
          <w:tcPr>
            <w:tcW w:w="1844" w:type="dxa"/>
            <w:gridSpan w:val="2"/>
            <w:tcBorders>
              <w:top w:val="nil"/>
              <w:left w:val="nil"/>
              <w:bottom w:val="single" w:sz="8" w:space="0" w:color="auto"/>
              <w:right w:val="nil"/>
            </w:tcBorders>
            <w:shd w:val="clear" w:color="auto" w:fill="auto"/>
            <w:noWrap/>
            <w:vAlign w:val="bottom"/>
            <w:hideMark/>
          </w:tcPr>
          <w:p w14:paraId="68F5E833"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Stomach (n=946)</w:t>
            </w:r>
          </w:p>
        </w:tc>
        <w:tc>
          <w:tcPr>
            <w:tcW w:w="1844" w:type="dxa"/>
            <w:gridSpan w:val="2"/>
            <w:tcBorders>
              <w:top w:val="nil"/>
              <w:left w:val="nil"/>
              <w:bottom w:val="single" w:sz="8" w:space="0" w:color="auto"/>
              <w:right w:val="nil"/>
            </w:tcBorders>
            <w:shd w:val="clear" w:color="auto" w:fill="auto"/>
            <w:noWrap/>
            <w:vAlign w:val="bottom"/>
            <w:hideMark/>
          </w:tcPr>
          <w:p w14:paraId="3CD9D341"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G</w:t>
            </w:r>
            <w:r>
              <w:rPr>
                <w:rFonts w:cs="Calibri"/>
                <w:color w:val="000000"/>
                <w:sz w:val="16"/>
                <w:szCs w:val="16"/>
                <w:lang w:eastAsia="en-GB"/>
              </w:rPr>
              <w:t>O</w:t>
            </w:r>
            <w:r w:rsidRPr="00803B40">
              <w:rPr>
                <w:rFonts w:cs="Calibri"/>
                <w:color w:val="000000"/>
                <w:sz w:val="16"/>
                <w:szCs w:val="16"/>
                <w:lang w:eastAsia="en-GB"/>
              </w:rPr>
              <w:t>J (n=1208)</w:t>
            </w:r>
          </w:p>
        </w:tc>
        <w:tc>
          <w:tcPr>
            <w:tcW w:w="1844" w:type="dxa"/>
            <w:gridSpan w:val="2"/>
            <w:tcBorders>
              <w:top w:val="nil"/>
              <w:left w:val="nil"/>
              <w:bottom w:val="single" w:sz="8" w:space="0" w:color="auto"/>
              <w:right w:val="nil"/>
            </w:tcBorders>
            <w:shd w:val="clear" w:color="auto" w:fill="auto"/>
            <w:noWrap/>
            <w:vAlign w:val="bottom"/>
            <w:hideMark/>
          </w:tcPr>
          <w:p w14:paraId="0B8A3F94" w14:textId="77777777" w:rsidR="004906E5" w:rsidRPr="00803B40" w:rsidRDefault="004906E5" w:rsidP="00507A14">
            <w:pPr>
              <w:spacing w:before="0" w:line="240" w:lineRule="auto"/>
              <w:jc w:val="center"/>
              <w:rPr>
                <w:rFonts w:cs="Calibri"/>
                <w:color w:val="000000"/>
                <w:sz w:val="16"/>
                <w:szCs w:val="16"/>
                <w:lang w:eastAsia="en-GB"/>
              </w:rPr>
            </w:pPr>
            <w:r>
              <w:rPr>
                <w:rFonts w:cs="Calibri"/>
                <w:color w:val="000000"/>
                <w:sz w:val="16"/>
                <w:szCs w:val="16"/>
                <w:lang w:eastAsia="en-GB"/>
              </w:rPr>
              <w:t>Oe</w:t>
            </w:r>
            <w:r w:rsidRPr="00803B40">
              <w:rPr>
                <w:rFonts w:cs="Calibri"/>
                <w:color w:val="000000"/>
                <w:sz w:val="16"/>
                <w:szCs w:val="16"/>
                <w:lang w:eastAsia="en-GB"/>
              </w:rPr>
              <w:t>sophagus (n=1985)</w:t>
            </w:r>
          </w:p>
        </w:tc>
        <w:tc>
          <w:tcPr>
            <w:tcW w:w="838" w:type="dxa"/>
            <w:gridSpan w:val="2"/>
            <w:tcBorders>
              <w:top w:val="nil"/>
              <w:left w:val="nil"/>
              <w:bottom w:val="single" w:sz="8" w:space="0" w:color="auto"/>
              <w:right w:val="nil"/>
            </w:tcBorders>
            <w:shd w:val="clear" w:color="auto" w:fill="auto"/>
            <w:noWrap/>
            <w:vAlign w:val="bottom"/>
            <w:hideMark/>
          </w:tcPr>
          <w:p w14:paraId="51B5D7DF"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p§</w:t>
            </w:r>
          </w:p>
        </w:tc>
      </w:tr>
      <w:tr w:rsidR="004906E5" w:rsidRPr="00803B40" w14:paraId="72B9CC3C" w14:textId="77777777" w:rsidTr="00507A14">
        <w:trPr>
          <w:trHeight w:val="240"/>
        </w:trPr>
        <w:tc>
          <w:tcPr>
            <w:tcW w:w="3869" w:type="dxa"/>
            <w:gridSpan w:val="3"/>
            <w:tcBorders>
              <w:top w:val="nil"/>
              <w:left w:val="nil"/>
              <w:bottom w:val="nil"/>
              <w:right w:val="nil"/>
            </w:tcBorders>
            <w:shd w:val="clear" w:color="auto" w:fill="auto"/>
            <w:noWrap/>
            <w:vAlign w:val="bottom"/>
            <w:hideMark/>
          </w:tcPr>
          <w:p w14:paraId="2BBFC6E9" w14:textId="77777777" w:rsidR="004906E5" w:rsidRPr="00803B40" w:rsidRDefault="004906E5" w:rsidP="00507A14">
            <w:pPr>
              <w:spacing w:before="0" w:line="240" w:lineRule="auto"/>
              <w:rPr>
                <w:rFonts w:cs="Calibri"/>
                <w:color w:val="000000"/>
                <w:sz w:val="16"/>
                <w:szCs w:val="16"/>
                <w:lang w:eastAsia="en-GB"/>
              </w:rPr>
            </w:pPr>
            <w:r w:rsidRPr="00803B40">
              <w:rPr>
                <w:rFonts w:cs="Calibri"/>
                <w:color w:val="000000"/>
                <w:sz w:val="16"/>
                <w:szCs w:val="16"/>
                <w:lang w:eastAsia="en-GB"/>
              </w:rPr>
              <w:t>Female Gender</w:t>
            </w:r>
          </w:p>
        </w:tc>
        <w:tc>
          <w:tcPr>
            <w:tcW w:w="1844" w:type="dxa"/>
            <w:gridSpan w:val="2"/>
            <w:tcBorders>
              <w:top w:val="nil"/>
              <w:left w:val="nil"/>
              <w:bottom w:val="nil"/>
              <w:right w:val="nil"/>
            </w:tcBorders>
            <w:shd w:val="clear" w:color="auto" w:fill="auto"/>
            <w:noWrap/>
            <w:vAlign w:val="bottom"/>
            <w:hideMark/>
          </w:tcPr>
          <w:p w14:paraId="773E95EF"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296 (31.3) </w:t>
            </w:r>
          </w:p>
        </w:tc>
        <w:tc>
          <w:tcPr>
            <w:tcW w:w="1844" w:type="dxa"/>
            <w:gridSpan w:val="2"/>
            <w:tcBorders>
              <w:top w:val="nil"/>
              <w:left w:val="nil"/>
              <w:bottom w:val="nil"/>
              <w:right w:val="nil"/>
            </w:tcBorders>
            <w:shd w:val="clear" w:color="auto" w:fill="auto"/>
            <w:noWrap/>
            <w:vAlign w:val="bottom"/>
            <w:hideMark/>
          </w:tcPr>
          <w:p w14:paraId="370AE1FE"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216 (17.9) </w:t>
            </w:r>
          </w:p>
        </w:tc>
        <w:tc>
          <w:tcPr>
            <w:tcW w:w="1844" w:type="dxa"/>
            <w:gridSpan w:val="2"/>
            <w:tcBorders>
              <w:top w:val="nil"/>
              <w:left w:val="nil"/>
              <w:bottom w:val="nil"/>
              <w:right w:val="nil"/>
            </w:tcBorders>
            <w:shd w:val="clear" w:color="auto" w:fill="auto"/>
            <w:noWrap/>
            <w:vAlign w:val="bottom"/>
            <w:hideMark/>
          </w:tcPr>
          <w:p w14:paraId="378CA3F7"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298 (15.0) </w:t>
            </w:r>
          </w:p>
        </w:tc>
        <w:tc>
          <w:tcPr>
            <w:tcW w:w="838" w:type="dxa"/>
            <w:gridSpan w:val="2"/>
            <w:tcBorders>
              <w:top w:val="nil"/>
              <w:left w:val="nil"/>
              <w:bottom w:val="nil"/>
              <w:right w:val="nil"/>
            </w:tcBorders>
            <w:shd w:val="clear" w:color="auto" w:fill="auto"/>
            <w:noWrap/>
            <w:vAlign w:val="bottom"/>
            <w:hideMark/>
          </w:tcPr>
          <w:p w14:paraId="297B1AA4"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&lt;0.001</w:t>
            </w:r>
          </w:p>
        </w:tc>
      </w:tr>
      <w:tr w:rsidR="004906E5" w:rsidRPr="00803B40" w14:paraId="349950E5" w14:textId="77777777" w:rsidTr="00507A14">
        <w:trPr>
          <w:trHeight w:val="240"/>
        </w:trPr>
        <w:tc>
          <w:tcPr>
            <w:tcW w:w="3869" w:type="dxa"/>
            <w:gridSpan w:val="3"/>
            <w:tcBorders>
              <w:top w:val="nil"/>
              <w:left w:val="nil"/>
              <w:bottom w:val="nil"/>
              <w:right w:val="nil"/>
            </w:tcBorders>
            <w:shd w:val="clear" w:color="auto" w:fill="auto"/>
            <w:noWrap/>
            <w:vAlign w:val="bottom"/>
            <w:hideMark/>
          </w:tcPr>
          <w:p w14:paraId="5CDCFEA6" w14:textId="77777777" w:rsidR="004906E5" w:rsidRPr="00803B40" w:rsidRDefault="004906E5" w:rsidP="00507A14">
            <w:pPr>
              <w:spacing w:before="0" w:line="240" w:lineRule="auto"/>
              <w:rPr>
                <w:rFonts w:cs="Calibri"/>
                <w:color w:val="000000"/>
                <w:sz w:val="16"/>
                <w:szCs w:val="16"/>
                <w:lang w:eastAsia="en-GB"/>
              </w:rPr>
            </w:pPr>
            <w:r w:rsidRPr="00803B40">
              <w:rPr>
                <w:rFonts w:cs="Calibri"/>
                <w:color w:val="000000"/>
                <w:sz w:val="16"/>
                <w:szCs w:val="16"/>
                <w:lang w:eastAsia="en-GB"/>
              </w:rPr>
              <w:t>Age</w:t>
            </w:r>
          </w:p>
        </w:tc>
        <w:tc>
          <w:tcPr>
            <w:tcW w:w="1844" w:type="dxa"/>
            <w:gridSpan w:val="2"/>
            <w:tcBorders>
              <w:top w:val="nil"/>
              <w:left w:val="nil"/>
              <w:bottom w:val="nil"/>
              <w:right w:val="nil"/>
            </w:tcBorders>
            <w:shd w:val="clear" w:color="auto" w:fill="auto"/>
            <w:noWrap/>
            <w:vAlign w:val="bottom"/>
            <w:hideMark/>
          </w:tcPr>
          <w:p w14:paraId="25221307"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66.00 [57.00, 73.00]</w:t>
            </w:r>
          </w:p>
        </w:tc>
        <w:tc>
          <w:tcPr>
            <w:tcW w:w="1844" w:type="dxa"/>
            <w:gridSpan w:val="2"/>
            <w:tcBorders>
              <w:top w:val="nil"/>
              <w:left w:val="nil"/>
              <w:bottom w:val="nil"/>
              <w:right w:val="nil"/>
            </w:tcBorders>
            <w:shd w:val="clear" w:color="auto" w:fill="auto"/>
            <w:noWrap/>
            <w:vAlign w:val="bottom"/>
            <w:hideMark/>
          </w:tcPr>
          <w:p w14:paraId="2740BC86"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66.00 [58.00, 71.00]</w:t>
            </w:r>
          </w:p>
        </w:tc>
        <w:tc>
          <w:tcPr>
            <w:tcW w:w="1844" w:type="dxa"/>
            <w:gridSpan w:val="2"/>
            <w:tcBorders>
              <w:top w:val="nil"/>
              <w:left w:val="nil"/>
              <w:bottom w:val="nil"/>
              <w:right w:val="nil"/>
            </w:tcBorders>
            <w:shd w:val="clear" w:color="auto" w:fill="auto"/>
            <w:noWrap/>
            <w:vAlign w:val="bottom"/>
            <w:hideMark/>
          </w:tcPr>
          <w:p w14:paraId="798D375E"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65.00 [59.00, 71.00]</w:t>
            </w:r>
          </w:p>
        </w:tc>
        <w:tc>
          <w:tcPr>
            <w:tcW w:w="838" w:type="dxa"/>
            <w:gridSpan w:val="2"/>
            <w:tcBorders>
              <w:top w:val="nil"/>
              <w:left w:val="nil"/>
              <w:bottom w:val="nil"/>
              <w:right w:val="nil"/>
            </w:tcBorders>
            <w:shd w:val="clear" w:color="auto" w:fill="auto"/>
            <w:noWrap/>
            <w:vAlign w:val="bottom"/>
            <w:hideMark/>
          </w:tcPr>
          <w:p w14:paraId="3992176C"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0.223¶</w:t>
            </w:r>
          </w:p>
        </w:tc>
      </w:tr>
      <w:tr w:rsidR="004906E5" w:rsidRPr="00803B40" w14:paraId="0BDE0AE5" w14:textId="77777777" w:rsidTr="00507A14">
        <w:trPr>
          <w:gridAfter w:val="1"/>
          <w:wAfter w:w="6" w:type="dxa"/>
          <w:trHeight w:val="240"/>
        </w:trPr>
        <w:tc>
          <w:tcPr>
            <w:tcW w:w="2303" w:type="dxa"/>
            <w:tcBorders>
              <w:top w:val="nil"/>
              <w:left w:val="nil"/>
              <w:bottom w:val="nil"/>
              <w:right w:val="nil"/>
            </w:tcBorders>
            <w:shd w:val="clear" w:color="auto" w:fill="auto"/>
            <w:noWrap/>
            <w:vAlign w:val="bottom"/>
            <w:hideMark/>
          </w:tcPr>
          <w:p w14:paraId="78C11FAE" w14:textId="77777777" w:rsidR="004906E5" w:rsidRPr="00803B40" w:rsidRDefault="004906E5" w:rsidP="00507A14">
            <w:pPr>
              <w:spacing w:before="0" w:line="240" w:lineRule="auto"/>
              <w:rPr>
                <w:rFonts w:cs="Calibri"/>
                <w:color w:val="000000"/>
                <w:sz w:val="16"/>
                <w:szCs w:val="16"/>
                <w:lang w:eastAsia="en-GB"/>
              </w:rPr>
            </w:pPr>
            <w:r w:rsidRPr="00803B40">
              <w:rPr>
                <w:rFonts w:cs="Calibri"/>
                <w:color w:val="000000"/>
                <w:sz w:val="16"/>
                <w:szCs w:val="16"/>
                <w:lang w:eastAsia="en-GB"/>
              </w:rPr>
              <w:t>Performance Status</w:t>
            </w:r>
          </w:p>
        </w:tc>
        <w:tc>
          <w:tcPr>
            <w:tcW w:w="1560" w:type="dxa"/>
            <w:tcBorders>
              <w:top w:val="nil"/>
              <w:left w:val="nil"/>
              <w:bottom w:val="nil"/>
              <w:right w:val="nil"/>
            </w:tcBorders>
            <w:shd w:val="clear" w:color="auto" w:fill="auto"/>
            <w:noWrap/>
            <w:vAlign w:val="bottom"/>
            <w:hideMark/>
          </w:tcPr>
          <w:p w14:paraId="23E942C9"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0</w:t>
            </w:r>
          </w:p>
        </w:tc>
        <w:tc>
          <w:tcPr>
            <w:tcW w:w="1844" w:type="dxa"/>
            <w:gridSpan w:val="2"/>
            <w:tcBorders>
              <w:top w:val="nil"/>
              <w:left w:val="nil"/>
              <w:bottom w:val="nil"/>
              <w:right w:val="nil"/>
            </w:tcBorders>
            <w:shd w:val="clear" w:color="auto" w:fill="auto"/>
            <w:noWrap/>
            <w:vAlign w:val="bottom"/>
            <w:hideMark/>
          </w:tcPr>
          <w:p w14:paraId="46B3D423"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589 (62.3) </w:t>
            </w:r>
          </w:p>
        </w:tc>
        <w:tc>
          <w:tcPr>
            <w:tcW w:w="1844" w:type="dxa"/>
            <w:gridSpan w:val="2"/>
            <w:tcBorders>
              <w:top w:val="nil"/>
              <w:left w:val="nil"/>
              <w:bottom w:val="nil"/>
              <w:right w:val="nil"/>
            </w:tcBorders>
            <w:shd w:val="clear" w:color="auto" w:fill="auto"/>
            <w:noWrap/>
            <w:vAlign w:val="bottom"/>
            <w:hideMark/>
          </w:tcPr>
          <w:p w14:paraId="7BDE289D"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722 (59.8) </w:t>
            </w:r>
          </w:p>
        </w:tc>
        <w:tc>
          <w:tcPr>
            <w:tcW w:w="1844" w:type="dxa"/>
            <w:gridSpan w:val="2"/>
            <w:tcBorders>
              <w:top w:val="nil"/>
              <w:left w:val="nil"/>
              <w:bottom w:val="nil"/>
              <w:right w:val="nil"/>
            </w:tcBorders>
            <w:shd w:val="clear" w:color="auto" w:fill="auto"/>
            <w:noWrap/>
            <w:vAlign w:val="bottom"/>
            <w:hideMark/>
          </w:tcPr>
          <w:p w14:paraId="14C91070"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1276 (64.3) </w:t>
            </w:r>
          </w:p>
        </w:tc>
        <w:tc>
          <w:tcPr>
            <w:tcW w:w="838" w:type="dxa"/>
            <w:gridSpan w:val="2"/>
            <w:tcBorders>
              <w:top w:val="nil"/>
              <w:left w:val="nil"/>
              <w:bottom w:val="nil"/>
              <w:right w:val="nil"/>
            </w:tcBorders>
            <w:shd w:val="clear" w:color="auto" w:fill="auto"/>
            <w:noWrap/>
            <w:vAlign w:val="bottom"/>
            <w:hideMark/>
          </w:tcPr>
          <w:p w14:paraId="008866D8"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0.128</w:t>
            </w:r>
          </w:p>
        </w:tc>
      </w:tr>
      <w:tr w:rsidR="004906E5" w:rsidRPr="00803B40" w14:paraId="1BD05D52" w14:textId="77777777" w:rsidTr="00507A14">
        <w:trPr>
          <w:gridAfter w:val="1"/>
          <w:wAfter w:w="6" w:type="dxa"/>
          <w:trHeight w:val="240"/>
        </w:trPr>
        <w:tc>
          <w:tcPr>
            <w:tcW w:w="2303" w:type="dxa"/>
            <w:tcBorders>
              <w:top w:val="nil"/>
              <w:left w:val="nil"/>
              <w:bottom w:val="nil"/>
              <w:right w:val="nil"/>
            </w:tcBorders>
            <w:shd w:val="clear" w:color="auto" w:fill="auto"/>
            <w:noWrap/>
            <w:vAlign w:val="bottom"/>
            <w:hideMark/>
          </w:tcPr>
          <w:p w14:paraId="60549CED" w14:textId="77777777" w:rsidR="004906E5" w:rsidRPr="00803B40" w:rsidRDefault="004906E5" w:rsidP="00507A14">
            <w:pPr>
              <w:spacing w:before="0" w:line="240" w:lineRule="auto"/>
              <w:jc w:val="center"/>
              <w:rPr>
                <w:rFonts w:cs="Calibri"/>
                <w:color w:val="000000"/>
                <w:sz w:val="16"/>
                <w:szCs w:val="16"/>
                <w:lang w:eastAsia="en-GB"/>
              </w:rPr>
            </w:pPr>
          </w:p>
        </w:tc>
        <w:tc>
          <w:tcPr>
            <w:tcW w:w="1560" w:type="dxa"/>
            <w:tcBorders>
              <w:top w:val="nil"/>
              <w:left w:val="nil"/>
              <w:bottom w:val="nil"/>
              <w:right w:val="nil"/>
            </w:tcBorders>
            <w:shd w:val="clear" w:color="auto" w:fill="auto"/>
            <w:noWrap/>
            <w:vAlign w:val="bottom"/>
            <w:hideMark/>
          </w:tcPr>
          <w:p w14:paraId="29151C1C"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1</w:t>
            </w:r>
          </w:p>
        </w:tc>
        <w:tc>
          <w:tcPr>
            <w:tcW w:w="1844" w:type="dxa"/>
            <w:gridSpan w:val="2"/>
            <w:tcBorders>
              <w:top w:val="nil"/>
              <w:left w:val="nil"/>
              <w:bottom w:val="nil"/>
              <w:right w:val="nil"/>
            </w:tcBorders>
            <w:shd w:val="clear" w:color="auto" w:fill="auto"/>
            <w:noWrap/>
            <w:vAlign w:val="bottom"/>
            <w:hideMark/>
          </w:tcPr>
          <w:p w14:paraId="29E41E76"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314 (33.2) </w:t>
            </w:r>
          </w:p>
        </w:tc>
        <w:tc>
          <w:tcPr>
            <w:tcW w:w="1844" w:type="dxa"/>
            <w:gridSpan w:val="2"/>
            <w:tcBorders>
              <w:top w:val="nil"/>
              <w:left w:val="nil"/>
              <w:bottom w:val="nil"/>
              <w:right w:val="nil"/>
            </w:tcBorders>
            <w:shd w:val="clear" w:color="auto" w:fill="auto"/>
            <w:noWrap/>
            <w:vAlign w:val="bottom"/>
            <w:hideMark/>
          </w:tcPr>
          <w:p w14:paraId="2F7168DD"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425 (35.2) </w:t>
            </w:r>
          </w:p>
        </w:tc>
        <w:tc>
          <w:tcPr>
            <w:tcW w:w="1844" w:type="dxa"/>
            <w:gridSpan w:val="2"/>
            <w:tcBorders>
              <w:top w:val="nil"/>
              <w:left w:val="nil"/>
              <w:bottom w:val="nil"/>
              <w:right w:val="nil"/>
            </w:tcBorders>
            <w:shd w:val="clear" w:color="auto" w:fill="auto"/>
            <w:noWrap/>
            <w:vAlign w:val="bottom"/>
            <w:hideMark/>
          </w:tcPr>
          <w:p w14:paraId="2CD0B184"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630 (31.7) </w:t>
            </w:r>
          </w:p>
        </w:tc>
        <w:tc>
          <w:tcPr>
            <w:tcW w:w="838" w:type="dxa"/>
            <w:gridSpan w:val="2"/>
            <w:tcBorders>
              <w:top w:val="nil"/>
              <w:left w:val="nil"/>
              <w:bottom w:val="nil"/>
              <w:right w:val="nil"/>
            </w:tcBorders>
            <w:shd w:val="clear" w:color="auto" w:fill="auto"/>
            <w:noWrap/>
            <w:vAlign w:val="bottom"/>
            <w:hideMark/>
          </w:tcPr>
          <w:p w14:paraId="5D36D684" w14:textId="77777777" w:rsidR="004906E5" w:rsidRPr="00803B40" w:rsidRDefault="004906E5" w:rsidP="00507A14">
            <w:pPr>
              <w:spacing w:before="0" w:line="240" w:lineRule="auto"/>
              <w:jc w:val="center"/>
              <w:rPr>
                <w:rFonts w:cs="Calibri"/>
                <w:color w:val="000000"/>
                <w:sz w:val="16"/>
                <w:szCs w:val="16"/>
                <w:lang w:eastAsia="en-GB"/>
              </w:rPr>
            </w:pPr>
          </w:p>
        </w:tc>
      </w:tr>
      <w:tr w:rsidR="004906E5" w:rsidRPr="00803B40" w14:paraId="2B126399" w14:textId="77777777" w:rsidTr="00507A14">
        <w:trPr>
          <w:gridAfter w:val="1"/>
          <w:wAfter w:w="6" w:type="dxa"/>
          <w:trHeight w:val="240"/>
        </w:trPr>
        <w:tc>
          <w:tcPr>
            <w:tcW w:w="2303" w:type="dxa"/>
            <w:tcBorders>
              <w:top w:val="nil"/>
              <w:left w:val="nil"/>
              <w:bottom w:val="nil"/>
              <w:right w:val="nil"/>
            </w:tcBorders>
            <w:shd w:val="clear" w:color="auto" w:fill="auto"/>
            <w:noWrap/>
            <w:vAlign w:val="bottom"/>
            <w:hideMark/>
          </w:tcPr>
          <w:p w14:paraId="2398E4B0" w14:textId="77777777" w:rsidR="004906E5" w:rsidRPr="00803B40" w:rsidRDefault="004906E5" w:rsidP="00507A14">
            <w:pPr>
              <w:spacing w:before="0" w:line="240" w:lineRule="auto"/>
              <w:jc w:val="center"/>
              <w:rPr>
                <w:rFonts w:ascii="Times New Roman" w:hAnsi="Times New Roman"/>
                <w:sz w:val="20"/>
                <w:szCs w:val="20"/>
                <w:lang w:eastAsia="en-GB"/>
              </w:rPr>
            </w:pPr>
          </w:p>
        </w:tc>
        <w:tc>
          <w:tcPr>
            <w:tcW w:w="1560" w:type="dxa"/>
            <w:tcBorders>
              <w:top w:val="nil"/>
              <w:left w:val="nil"/>
              <w:bottom w:val="nil"/>
              <w:right w:val="nil"/>
            </w:tcBorders>
            <w:shd w:val="clear" w:color="auto" w:fill="auto"/>
            <w:noWrap/>
            <w:vAlign w:val="bottom"/>
            <w:hideMark/>
          </w:tcPr>
          <w:p w14:paraId="3B89FBDF"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2</w:t>
            </w:r>
          </w:p>
        </w:tc>
        <w:tc>
          <w:tcPr>
            <w:tcW w:w="1844" w:type="dxa"/>
            <w:gridSpan w:val="2"/>
            <w:tcBorders>
              <w:top w:val="nil"/>
              <w:left w:val="nil"/>
              <w:bottom w:val="nil"/>
              <w:right w:val="nil"/>
            </w:tcBorders>
            <w:shd w:val="clear" w:color="auto" w:fill="auto"/>
            <w:noWrap/>
            <w:vAlign w:val="bottom"/>
            <w:hideMark/>
          </w:tcPr>
          <w:p w14:paraId="37905BE0"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43 (4.5) </w:t>
            </w:r>
          </w:p>
        </w:tc>
        <w:tc>
          <w:tcPr>
            <w:tcW w:w="1844" w:type="dxa"/>
            <w:gridSpan w:val="2"/>
            <w:tcBorders>
              <w:top w:val="nil"/>
              <w:left w:val="nil"/>
              <w:bottom w:val="nil"/>
              <w:right w:val="nil"/>
            </w:tcBorders>
            <w:shd w:val="clear" w:color="auto" w:fill="auto"/>
            <w:noWrap/>
            <w:vAlign w:val="bottom"/>
            <w:hideMark/>
          </w:tcPr>
          <w:p w14:paraId="38216D41"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61 (5.0) </w:t>
            </w:r>
          </w:p>
        </w:tc>
        <w:tc>
          <w:tcPr>
            <w:tcW w:w="1844" w:type="dxa"/>
            <w:gridSpan w:val="2"/>
            <w:tcBorders>
              <w:top w:val="nil"/>
              <w:left w:val="nil"/>
              <w:bottom w:val="nil"/>
              <w:right w:val="nil"/>
            </w:tcBorders>
            <w:shd w:val="clear" w:color="auto" w:fill="auto"/>
            <w:noWrap/>
            <w:vAlign w:val="bottom"/>
            <w:hideMark/>
          </w:tcPr>
          <w:p w14:paraId="75691806"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79 (4.0) </w:t>
            </w:r>
          </w:p>
        </w:tc>
        <w:tc>
          <w:tcPr>
            <w:tcW w:w="838" w:type="dxa"/>
            <w:gridSpan w:val="2"/>
            <w:tcBorders>
              <w:top w:val="nil"/>
              <w:left w:val="nil"/>
              <w:bottom w:val="nil"/>
              <w:right w:val="nil"/>
            </w:tcBorders>
            <w:shd w:val="clear" w:color="auto" w:fill="auto"/>
            <w:noWrap/>
            <w:vAlign w:val="bottom"/>
            <w:hideMark/>
          </w:tcPr>
          <w:p w14:paraId="5BCB8DF9" w14:textId="77777777" w:rsidR="004906E5" w:rsidRPr="00803B40" w:rsidRDefault="004906E5" w:rsidP="00507A14">
            <w:pPr>
              <w:spacing w:before="0" w:line="240" w:lineRule="auto"/>
              <w:jc w:val="center"/>
              <w:rPr>
                <w:rFonts w:cs="Calibri"/>
                <w:color w:val="000000"/>
                <w:sz w:val="16"/>
                <w:szCs w:val="16"/>
                <w:lang w:eastAsia="en-GB"/>
              </w:rPr>
            </w:pPr>
          </w:p>
        </w:tc>
      </w:tr>
      <w:tr w:rsidR="004906E5" w:rsidRPr="00803B40" w14:paraId="13F93193" w14:textId="77777777" w:rsidTr="00507A14">
        <w:trPr>
          <w:gridAfter w:val="1"/>
          <w:wAfter w:w="6" w:type="dxa"/>
          <w:trHeight w:val="240"/>
        </w:trPr>
        <w:tc>
          <w:tcPr>
            <w:tcW w:w="2303" w:type="dxa"/>
            <w:tcBorders>
              <w:top w:val="nil"/>
              <w:left w:val="nil"/>
              <w:bottom w:val="nil"/>
              <w:right w:val="nil"/>
            </w:tcBorders>
            <w:shd w:val="clear" w:color="auto" w:fill="auto"/>
            <w:noWrap/>
            <w:vAlign w:val="bottom"/>
            <w:hideMark/>
          </w:tcPr>
          <w:p w14:paraId="7B83ABC3" w14:textId="77777777" w:rsidR="004906E5" w:rsidRPr="00803B40" w:rsidRDefault="004906E5" w:rsidP="00507A14">
            <w:pPr>
              <w:spacing w:before="0" w:line="240" w:lineRule="auto"/>
              <w:rPr>
                <w:rFonts w:cs="Calibri"/>
                <w:color w:val="000000"/>
                <w:sz w:val="16"/>
                <w:szCs w:val="16"/>
                <w:lang w:eastAsia="en-GB"/>
              </w:rPr>
            </w:pPr>
            <w:r w:rsidRPr="00803B40">
              <w:rPr>
                <w:rFonts w:cs="Calibri"/>
                <w:color w:val="000000"/>
                <w:sz w:val="16"/>
                <w:szCs w:val="16"/>
                <w:lang w:eastAsia="en-GB"/>
              </w:rPr>
              <w:t>ASA</w:t>
            </w:r>
          </w:p>
        </w:tc>
        <w:tc>
          <w:tcPr>
            <w:tcW w:w="1560" w:type="dxa"/>
            <w:tcBorders>
              <w:top w:val="nil"/>
              <w:left w:val="nil"/>
              <w:bottom w:val="nil"/>
              <w:right w:val="nil"/>
            </w:tcBorders>
            <w:shd w:val="clear" w:color="auto" w:fill="auto"/>
            <w:noWrap/>
            <w:vAlign w:val="bottom"/>
            <w:hideMark/>
          </w:tcPr>
          <w:p w14:paraId="0561471D"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1</w:t>
            </w:r>
          </w:p>
        </w:tc>
        <w:tc>
          <w:tcPr>
            <w:tcW w:w="1844" w:type="dxa"/>
            <w:gridSpan w:val="2"/>
            <w:tcBorders>
              <w:top w:val="nil"/>
              <w:left w:val="nil"/>
              <w:bottom w:val="nil"/>
              <w:right w:val="nil"/>
            </w:tcBorders>
            <w:shd w:val="clear" w:color="auto" w:fill="auto"/>
            <w:noWrap/>
            <w:vAlign w:val="bottom"/>
            <w:hideMark/>
          </w:tcPr>
          <w:p w14:paraId="7FF1CCF8"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133 (14.1) </w:t>
            </w:r>
          </w:p>
        </w:tc>
        <w:tc>
          <w:tcPr>
            <w:tcW w:w="1844" w:type="dxa"/>
            <w:gridSpan w:val="2"/>
            <w:tcBorders>
              <w:top w:val="nil"/>
              <w:left w:val="nil"/>
              <w:bottom w:val="nil"/>
              <w:right w:val="nil"/>
            </w:tcBorders>
            <w:shd w:val="clear" w:color="auto" w:fill="auto"/>
            <w:noWrap/>
            <w:vAlign w:val="bottom"/>
            <w:hideMark/>
          </w:tcPr>
          <w:p w14:paraId="7A513117"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166 (13.7) </w:t>
            </w:r>
          </w:p>
        </w:tc>
        <w:tc>
          <w:tcPr>
            <w:tcW w:w="1844" w:type="dxa"/>
            <w:gridSpan w:val="2"/>
            <w:tcBorders>
              <w:top w:val="nil"/>
              <w:left w:val="nil"/>
              <w:bottom w:val="nil"/>
              <w:right w:val="nil"/>
            </w:tcBorders>
            <w:shd w:val="clear" w:color="auto" w:fill="auto"/>
            <w:noWrap/>
            <w:vAlign w:val="bottom"/>
            <w:hideMark/>
          </w:tcPr>
          <w:p w14:paraId="17D527E2"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235 (11.8) </w:t>
            </w:r>
          </w:p>
        </w:tc>
        <w:tc>
          <w:tcPr>
            <w:tcW w:w="838" w:type="dxa"/>
            <w:gridSpan w:val="2"/>
            <w:tcBorders>
              <w:top w:val="nil"/>
              <w:left w:val="nil"/>
              <w:bottom w:val="nil"/>
              <w:right w:val="nil"/>
            </w:tcBorders>
            <w:shd w:val="clear" w:color="auto" w:fill="auto"/>
            <w:noWrap/>
            <w:vAlign w:val="bottom"/>
            <w:hideMark/>
          </w:tcPr>
          <w:p w14:paraId="6767CB90"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0.334</w:t>
            </w:r>
          </w:p>
        </w:tc>
      </w:tr>
      <w:tr w:rsidR="004906E5" w:rsidRPr="00803B40" w14:paraId="016CC513" w14:textId="77777777" w:rsidTr="00507A14">
        <w:trPr>
          <w:gridAfter w:val="1"/>
          <w:wAfter w:w="6" w:type="dxa"/>
          <w:trHeight w:val="240"/>
        </w:trPr>
        <w:tc>
          <w:tcPr>
            <w:tcW w:w="2303" w:type="dxa"/>
            <w:tcBorders>
              <w:top w:val="nil"/>
              <w:left w:val="nil"/>
              <w:bottom w:val="nil"/>
              <w:right w:val="nil"/>
            </w:tcBorders>
            <w:shd w:val="clear" w:color="auto" w:fill="auto"/>
            <w:noWrap/>
            <w:vAlign w:val="bottom"/>
            <w:hideMark/>
          </w:tcPr>
          <w:p w14:paraId="59EF9B35" w14:textId="77777777" w:rsidR="004906E5" w:rsidRPr="00803B40" w:rsidRDefault="004906E5" w:rsidP="00507A14">
            <w:pPr>
              <w:spacing w:before="0" w:line="240" w:lineRule="auto"/>
              <w:jc w:val="center"/>
              <w:rPr>
                <w:rFonts w:cs="Calibri"/>
                <w:color w:val="000000"/>
                <w:sz w:val="16"/>
                <w:szCs w:val="16"/>
                <w:lang w:eastAsia="en-GB"/>
              </w:rPr>
            </w:pPr>
          </w:p>
        </w:tc>
        <w:tc>
          <w:tcPr>
            <w:tcW w:w="1560" w:type="dxa"/>
            <w:tcBorders>
              <w:top w:val="nil"/>
              <w:left w:val="nil"/>
              <w:bottom w:val="nil"/>
              <w:right w:val="nil"/>
            </w:tcBorders>
            <w:shd w:val="clear" w:color="auto" w:fill="auto"/>
            <w:noWrap/>
            <w:vAlign w:val="bottom"/>
            <w:hideMark/>
          </w:tcPr>
          <w:p w14:paraId="5822330B"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2</w:t>
            </w:r>
          </w:p>
        </w:tc>
        <w:tc>
          <w:tcPr>
            <w:tcW w:w="1844" w:type="dxa"/>
            <w:gridSpan w:val="2"/>
            <w:tcBorders>
              <w:top w:val="nil"/>
              <w:left w:val="nil"/>
              <w:bottom w:val="nil"/>
              <w:right w:val="nil"/>
            </w:tcBorders>
            <w:shd w:val="clear" w:color="auto" w:fill="auto"/>
            <w:noWrap/>
            <w:vAlign w:val="bottom"/>
            <w:hideMark/>
          </w:tcPr>
          <w:p w14:paraId="330D1154"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570 (60.3) </w:t>
            </w:r>
          </w:p>
        </w:tc>
        <w:tc>
          <w:tcPr>
            <w:tcW w:w="1844" w:type="dxa"/>
            <w:gridSpan w:val="2"/>
            <w:tcBorders>
              <w:top w:val="nil"/>
              <w:left w:val="nil"/>
              <w:bottom w:val="nil"/>
              <w:right w:val="nil"/>
            </w:tcBorders>
            <w:shd w:val="clear" w:color="auto" w:fill="auto"/>
            <w:noWrap/>
            <w:vAlign w:val="bottom"/>
            <w:hideMark/>
          </w:tcPr>
          <w:p w14:paraId="175E7F50"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723 (59.9) </w:t>
            </w:r>
          </w:p>
        </w:tc>
        <w:tc>
          <w:tcPr>
            <w:tcW w:w="1844" w:type="dxa"/>
            <w:gridSpan w:val="2"/>
            <w:tcBorders>
              <w:top w:val="nil"/>
              <w:left w:val="nil"/>
              <w:bottom w:val="nil"/>
              <w:right w:val="nil"/>
            </w:tcBorders>
            <w:shd w:val="clear" w:color="auto" w:fill="auto"/>
            <w:noWrap/>
            <w:vAlign w:val="bottom"/>
            <w:hideMark/>
          </w:tcPr>
          <w:p w14:paraId="1F46D198"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1240 (62.5) </w:t>
            </w:r>
          </w:p>
        </w:tc>
        <w:tc>
          <w:tcPr>
            <w:tcW w:w="838" w:type="dxa"/>
            <w:gridSpan w:val="2"/>
            <w:tcBorders>
              <w:top w:val="nil"/>
              <w:left w:val="nil"/>
              <w:bottom w:val="nil"/>
              <w:right w:val="nil"/>
            </w:tcBorders>
            <w:shd w:val="clear" w:color="auto" w:fill="auto"/>
            <w:noWrap/>
            <w:vAlign w:val="bottom"/>
            <w:hideMark/>
          </w:tcPr>
          <w:p w14:paraId="7AE36A2A" w14:textId="77777777" w:rsidR="004906E5" w:rsidRPr="00803B40" w:rsidRDefault="004906E5" w:rsidP="00507A14">
            <w:pPr>
              <w:spacing w:before="0" w:line="240" w:lineRule="auto"/>
              <w:jc w:val="center"/>
              <w:rPr>
                <w:rFonts w:cs="Calibri"/>
                <w:color w:val="000000"/>
                <w:sz w:val="16"/>
                <w:szCs w:val="16"/>
                <w:lang w:eastAsia="en-GB"/>
              </w:rPr>
            </w:pPr>
          </w:p>
        </w:tc>
      </w:tr>
      <w:tr w:rsidR="004906E5" w:rsidRPr="00803B40" w14:paraId="469E4262" w14:textId="77777777" w:rsidTr="00507A14">
        <w:trPr>
          <w:gridAfter w:val="1"/>
          <w:wAfter w:w="6" w:type="dxa"/>
          <w:trHeight w:val="240"/>
        </w:trPr>
        <w:tc>
          <w:tcPr>
            <w:tcW w:w="2303" w:type="dxa"/>
            <w:tcBorders>
              <w:top w:val="nil"/>
              <w:left w:val="nil"/>
              <w:bottom w:val="nil"/>
              <w:right w:val="nil"/>
            </w:tcBorders>
            <w:shd w:val="clear" w:color="auto" w:fill="auto"/>
            <w:noWrap/>
            <w:vAlign w:val="bottom"/>
            <w:hideMark/>
          </w:tcPr>
          <w:p w14:paraId="44D10819" w14:textId="77777777" w:rsidR="004906E5" w:rsidRPr="00803B40" w:rsidRDefault="004906E5" w:rsidP="00507A14">
            <w:pPr>
              <w:spacing w:before="0" w:line="240" w:lineRule="auto"/>
              <w:jc w:val="center"/>
              <w:rPr>
                <w:rFonts w:ascii="Times New Roman" w:hAnsi="Times New Roman"/>
                <w:sz w:val="20"/>
                <w:szCs w:val="20"/>
                <w:lang w:eastAsia="en-GB"/>
              </w:rPr>
            </w:pPr>
          </w:p>
        </w:tc>
        <w:tc>
          <w:tcPr>
            <w:tcW w:w="1560" w:type="dxa"/>
            <w:tcBorders>
              <w:top w:val="nil"/>
              <w:left w:val="nil"/>
              <w:bottom w:val="nil"/>
              <w:right w:val="nil"/>
            </w:tcBorders>
            <w:shd w:val="clear" w:color="auto" w:fill="auto"/>
            <w:noWrap/>
            <w:vAlign w:val="bottom"/>
            <w:hideMark/>
          </w:tcPr>
          <w:p w14:paraId="223088A4"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3</w:t>
            </w:r>
          </w:p>
        </w:tc>
        <w:tc>
          <w:tcPr>
            <w:tcW w:w="1844" w:type="dxa"/>
            <w:gridSpan w:val="2"/>
            <w:tcBorders>
              <w:top w:val="nil"/>
              <w:left w:val="nil"/>
              <w:bottom w:val="nil"/>
              <w:right w:val="nil"/>
            </w:tcBorders>
            <w:shd w:val="clear" w:color="auto" w:fill="auto"/>
            <w:noWrap/>
            <w:vAlign w:val="bottom"/>
            <w:hideMark/>
          </w:tcPr>
          <w:p w14:paraId="3AF6CD8D"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243 (25.7) </w:t>
            </w:r>
          </w:p>
        </w:tc>
        <w:tc>
          <w:tcPr>
            <w:tcW w:w="1844" w:type="dxa"/>
            <w:gridSpan w:val="2"/>
            <w:tcBorders>
              <w:top w:val="nil"/>
              <w:left w:val="nil"/>
              <w:bottom w:val="nil"/>
              <w:right w:val="nil"/>
            </w:tcBorders>
            <w:shd w:val="clear" w:color="auto" w:fill="auto"/>
            <w:noWrap/>
            <w:vAlign w:val="bottom"/>
            <w:hideMark/>
          </w:tcPr>
          <w:p w14:paraId="29386920"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319 (26.4) </w:t>
            </w:r>
          </w:p>
        </w:tc>
        <w:tc>
          <w:tcPr>
            <w:tcW w:w="1844" w:type="dxa"/>
            <w:gridSpan w:val="2"/>
            <w:tcBorders>
              <w:top w:val="nil"/>
              <w:left w:val="nil"/>
              <w:bottom w:val="nil"/>
              <w:right w:val="nil"/>
            </w:tcBorders>
            <w:shd w:val="clear" w:color="auto" w:fill="auto"/>
            <w:noWrap/>
            <w:vAlign w:val="bottom"/>
            <w:hideMark/>
          </w:tcPr>
          <w:p w14:paraId="7425AE5D"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510 (25.7) </w:t>
            </w:r>
          </w:p>
        </w:tc>
        <w:tc>
          <w:tcPr>
            <w:tcW w:w="838" w:type="dxa"/>
            <w:gridSpan w:val="2"/>
            <w:tcBorders>
              <w:top w:val="nil"/>
              <w:left w:val="nil"/>
              <w:bottom w:val="nil"/>
              <w:right w:val="nil"/>
            </w:tcBorders>
            <w:shd w:val="clear" w:color="auto" w:fill="auto"/>
            <w:noWrap/>
            <w:vAlign w:val="bottom"/>
            <w:hideMark/>
          </w:tcPr>
          <w:p w14:paraId="649F1966" w14:textId="77777777" w:rsidR="004906E5" w:rsidRPr="00803B40" w:rsidRDefault="004906E5" w:rsidP="00507A14">
            <w:pPr>
              <w:spacing w:before="0" w:line="240" w:lineRule="auto"/>
              <w:jc w:val="center"/>
              <w:rPr>
                <w:rFonts w:cs="Calibri"/>
                <w:color w:val="000000"/>
                <w:sz w:val="16"/>
                <w:szCs w:val="16"/>
                <w:lang w:eastAsia="en-GB"/>
              </w:rPr>
            </w:pPr>
          </w:p>
        </w:tc>
      </w:tr>
      <w:tr w:rsidR="004906E5" w:rsidRPr="00803B40" w14:paraId="12864931" w14:textId="77777777" w:rsidTr="00507A14">
        <w:trPr>
          <w:gridAfter w:val="1"/>
          <w:wAfter w:w="6" w:type="dxa"/>
          <w:trHeight w:val="240"/>
        </w:trPr>
        <w:tc>
          <w:tcPr>
            <w:tcW w:w="2303" w:type="dxa"/>
            <w:tcBorders>
              <w:top w:val="nil"/>
              <w:left w:val="nil"/>
              <w:bottom w:val="nil"/>
              <w:right w:val="nil"/>
            </w:tcBorders>
            <w:shd w:val="clear" w:color="auto" w:fill="auto"/>
            <w:noWrap/>
            <w:vAlign w:val="bottom"/>
            <w:hideMark/>
          </w:tcPr>
          <w:p w14:paraId="40658BC2" w14:textId="77777777" w:rsidR="004906E5" w:rsidRPr="00803B40" w:rsidRDefault="004906E5" w:rsidP="00507A14">
            <w:pPr>
              <w:spacing w:before="0" w:line="240" w:lineRule="auto"/>
              <w:rPr>
                <w:rFonts w:cs="Calibri"/>
                <w:color w:val="000000"/>
                <w:sz w:val="16"/>
                <w:szCs w:val="16"/>
                <w:lang w:eastAsia="en-GB"/>
              </w:rPr>
            </w:pPr>
            <w:r w:rsidRPr="00803B40">
              <w:rPr>
                <w:rFonts w:cs="Calibri"/>
                <w:color w:val="000000"/>
                <w:sz w:val="16"/>
                <w:szCs w:val="16"/>
                <w:lang w:eastAsia="en-GB"/>
              </w:rPr>
              <w:t>Social Deprivation Index *</w:t>
            </w:r>
          </w:p>
        </w:tc>
        <w:tc>
          <w:tcPr>
            <w:tcW w:w="1560" w:type="dxa"/>
            <w:tcBorders>
              <w:top w:val="nil"/>
              <w:left w:val="nil"/>
              <w:bottom w:val="nil"/>
              <w:right w:val="nil"/>
            </w:tcBorders>
            <w:shd w:val="clear" w:color="auto" w:fill="auto"/>
            <w:noWrap/>
            <w:vAlign w:val="center"/>
            <w:hideMark/>
          </w:tcPr>
          <w:p w14:paraId="12AF695F"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Least Deprived</w:t>
            </w:r>
          </w:p>
        </w:tc>
        <w:tc>
          <w:tcPr>
            <w:tcW w:w="1844" w:type="dxa"/>
            <w:gridSpan w:val="2"/>
            <w:tcBorders>
              <w:top w:val="nil"/>
              <w:left w:val="nil"/>
              <w:bottom w:val="nil"/>
              <w:right w:val="nil"/>
            </w:tcBorders>
            <w:shd w:val="clear" w:color="auto" w:fill="auto"/>
            <w:noWrap/>
            <w:vAlign w:val="bottom"/>
            <w:hideMark/>
          </w:tcPr>
          <w:p w14:paraId="6E6A1775"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245 (26.0) </w:t>
            </w:r>
          </w:p>
        </w:tc>
        <w:tc>
          <w:tcPr>
            <w:tcW w:w="1844" w:type="dxa"/>
            <w:gridSpan w:val="2"/>
            <w:tcBorders>
              <w:top w:val="nil"/>
              <w:left w:val="nil"/>
              <w:bottom w:val="nil"/>
              <w:right w:val="nil"/>
            </w:tcBorders>
            <w:shd w:val="clear" w:color="auto" w:fill="auto"/>
            <w:noWrap/>
            <w:vAlign w:val="bottom"/>
            <w:hideMark/>
          </w:tcPr>
          <w:p w14:paraId="7712DB50"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237 (19.7) </w:t>
            </w:r>
          </w:p>
        </w:tc>
        <w:tc>
          <w:tcPr>
            <w:tcW w:w="1844" w:type="dxa"/>
            <w:gridSpan w:val="2"/>
            <w:tcBorders>
              <w:top w:val="nil"/>
              <w:left w:val="nil"/>
              <w:bottom w:val="nil"/>
              <w:right w:val="nil"/>
            </w:tcBorders>
            <w:shd w:val="clear" w:color="auto" w:fill="auto"/>
            <w:noWrap/>
            <w:vAlign w:val="bottom"/>
            <w:hideMark/>
          </w:tcPr>
          <w:p w14:paraId="297476FD"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365 (18.4) </w:t>
            </w:r>
          </w:p>
        </w:tc>
        <w:tc>
          <w:tcPr>
            <w:tcW w:w="838" w:type="dxa"/>
            <w:gridSpan w:val="2"/>
            <w:tcBorders>
              <w:top w:val="nil"/>
              <w:left w:val="nil"/>
              <w:bottom w:val="nil"/>
              <w:right w:val="nil"/>
            </w:tcBorders>
            <w:shd w:val="clear" w:color="auto" w:fill="auto"/>
            <w:noWrap/>
            <w:vAlign w:val="bottom"/>
            <w:hideMark/>
          </w:tcPr>
          <w:p w14:paraId="7405832D"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&lt;0.001</w:t>
            </w:r>
          </w:p>
        </w:tc>
      </w:tr>
      <w:tr w:rsidR="004906E5" w:rsidRPr="00803B40" w14:paraId="45A28D2F" w14:textId="77777777" w:rsidTr="00507A14">
        <w:trPr>
          <w:gridAfter w:val="1"/>
          <w:wAfter w:w="6" w:type="dxa"/>
          <w:trHeight w:val="240"/>
        </w:trPr>
        <w:tc>
          <w:tcPr>
            <w:tcW w:w="2303" w:type="dxa"/>
            <w:tcBorders>
              <w:top w:val="nil"/>
              <w:left w:val="nil"/>
              <w:bottom w:val="nil"/>
              <w:right w:val="nil"/>
            </w:tcBorders>
            <w:shd w:val="clear" w:color="auto" w:fill="auto"/>
            <w:noWrap/>
            <w:vAlign w:val="bottom"/>
            <w:hideMark/>
          </w:tcPr>
          <w:p w14:paraId="44B28962" w14:textId="77777777" w:rsidR="004906E5" w:rsidRPr="00803B40" w:rsidRDefault="004906E5" w:rsidP="00507A14">
            <w:pPr>
              <w:spacing w:before="0" w:line="240" w:lineRule="auto"/>
              <w:jc w:val="center"/>
              <w:rPr>
                <w:rFonts w:cs="Calibri"/>
                <w:color w:val="000000"/>
                <w:sz w:val="16"/>
                <w:szCs w:val="16"/>
                <w:lang w:eastAsia="en-GB"/>
              </w:rPr>
            </w:pPr>
          </w:p>
        </w:tc>
        <w:tc>
          <w:tcPr>
            <w:tcW w:w="1560" w:type="dxa"/>
            <w:tcBorders>
              <w:top w:val="nil"/>
              <w:left w:val="nil"/>
              <w:bottom w:val="nil"/>
              <w:right w:val="nil"/>
            </w:tcBorders>
            <w:shd w:val="clear" w:color="auto" w:fill="auto"/>
            <w:noWrap/>
            <w:vAlign w:val="center"/>
            <w:hideMark/>
          </w:tcPr>
          <w:p w14:paraId="104D515E"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2nd Quintile</w:t>
            </w:r>
          </w:p>
        </w:tc>
        <w:tc>
          <w:tcPr>
            <w:tcW w:w="1844" w:type="dxa"/>
            <w:gridSpan w:val="2"/>
            <w:tcBorders>
              <w:top w:val="nil"/>
              <w:left w:val="nil"/>
              <w:bottom w:val="nil"/>
              <w:right w:val="nil"/>
            </w:tcBorders>
            <w:shd w:val="clear" w:color="auto" w:fill="auto"/>
            <w:noWrap/>
            <w:vAlign w:val="bottom"/>
            <w:hideMark/>
          </w:tcPr>
          <w:p w14:paraId="013731AF"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211 (22.4) </w:t>
            </w:r>
          </w:p>
        </w:tc>
        <w:tc>
          <w:tcPr>
            <w:tcW w:w="1844" w:type="dxa"/>
            <w:gridSpan w:val="2"/>
            <w:tcBorders>
              <w:top w:val="nil"/>
              <w:left w:val="nil"/>
              <w:bottom w:val="nil"/>
              <w:right w:val="nil"/>
            </w:tcBorders>
            <w:shd w:val="clear" w:color="auto" w:fill="auto"/>
            <w:noWrap/>
            <w:vAlign w:val="bottom"/>
            <w:hideMark/>
          </w:tcPr>
          <w:p w14:paraId="3D79B255"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230 (19.1) </w:t>
            </w:r>
          </w:p>
        </w:tc>
        <w:tc>
          <w:tcPr>
            <w:tcW w:w="1844" w:type="dxa"/>
            <w:gridSpan w:val="2"/>
            <w:tcBorders>
              <w:top w:val="nil"/>
              <w:left w:val="nil"/>
              <w:bottom w:val="nil"/>
              <w:right w:val="nil"/>
            </w:tcBorders>
            <w:shd w:val="clear" w:color="auto" w:fill="auto"/>
            <w:noWrap/>
            <w:vAlign w:val="bottom"/>
            <w:hideMark/>
          </w:tcPr>
          <w:p w14:paraId="00BB43B8"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397 (20.1) </w:t>
            </w:r>
          </w:p>
        </w:tc>
        <w:tc>
          <w:tcPr>
            <w:tcW w:w="838" w:type="dxa"/>
            <w:gridSpan w:val="2"/>
            <w:tcBorders>
              <w:top w:val="nil"/>
              <w:left w:val="nil"/>
              <w:bottom w:val="nil"/>
              <w:right w:val="nil"/>
            </w:tcBorders>
            <w:shd w:val="clear" w:color="auto" w:fill="auto"/>
            <w:noWrap/>
            <w:vAlign w:val="bottom"/>
            <w:hideMark/>
          </w:tcPr>
          <w:p w14:paraId="2B21AACF" w14:textId="77777777" w:rsidR="004906E5" w:rsidRPr="00803B40" w:rsidRDefault="004906E5" w:rsidP="00507A14">
            <w:pPr>
              <w:spacing w:before="0" w:line="240" w:lineRule="auto"/>
              <w:jc w:val="center"/>
              <w:rPr>
                <w:rFonts w:cs="Calibri"/>
                <w:color w:val="000000"/>
                <w:sz w:val="16"/>
                <w:szCs w:val="16"/>
                <w:lang w:eastAsia="en-GB"/>
              </w:rPr>
            </w:pPr>
          </w:p>
        </w:tc>
      </w:tr>
      <w:tr w:rsidR="004906E5" w:rsidRPr="00803B40" w14:paraId="1CE3D1C5" w14:textId="77777777" w:rsidTr="00507A14">
        <w:trPr>
          <w:gridAfter w:val="1"/>
          <w:wAfter w:w="6" w:type="dxa"/>
          <w:trHeight w:val="240"/>
        </w:trPr>
        <w:tc>
          <w:tcPr>
            <w:tcW w:w="2303" w:type="dxa"/>
            <w:tcBorders>
              <w:top w:val="nil"/>
              <w:left w:val="nil"/>
              <w:bottom w:val="nil"/>
              <w:right w:val="nil"/>
            </w:tcBorders>
            <w:shd w:val="clear" w:color="auto" w:fill="auto"/>
            <w:noWrap/>
            <w:vAlign w:val="bottom"/>
            <w:hideMark/>
          </w:tcPr>
          <w:p w14:paraId="080F1C15" w14:textId="77777777" w:rsidR="004906E5" w:rsidRPr="00803B40" w:rsidRDefault="004906E5" w:rsidP="00507A14">
            <w:pPr>
              <w:spacing w:before="0" w:line="240" w:lineRule="auto"/>
              <w:jc w:val="center"/>
              <w:rPr>
                <w:rFonts w:ascii="Times New Roman" w:hAnsi="Times New Roman"/>
                <w:sz w:val="20"/>
                <w:szCs w:val="20"/>
                <w:lang w:eastAsia="en-GB"/>
              </w:rPr>
            </w:pPr>
          </w:p>
        </w:tc>
        <w:tc>
          <w:tcPr>
            <w:tcW w:w="1560" w:type="dxa"/>
            <w:tcBorders>
              <w:top w:val="nil"/>
              <w:left w:val="nil"/>
              <w:bottom w:val="nil"/>
              <w:right w:val="nil"/>
            </w:tcBorders>
            <w:shd w:val="clear" w:color="auto" w:fill="auto"/>
            <w:noWrap/>
            <w:vAlign w:val="center"/>
            <w:hideMark/>
          </w:tcPr>
          <w:p w14:paraId="46B4FEE3"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3rd Quintile</w:t>
            </w:r>
          </w:p>
        </w:tc>
        <w:tc>
          <w:tcPr>
            <w:tcW w:w="1844" w:type="dxa"/>
            <w:gridSpan w:val="2"/>
            <w:tcBorders>
              <w:top w:val="nil"/>
              <w:left w:val="nil"/>
              <w:bottom w:val="nil"/>
              <w:right w:val="nil"/>
            </w:tcBorders>
            <w:shd w:val="clear" w:color="auto" w:fill="auto"/>
            <w:noWrap/>
            <w:vAlign w:val="bottom"/>
            <w:hideMark/>
          </w:tcPr>
          <w:p w14:paraId="28A31937"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161 (17.1) </w:t>
            </w:r>
          </w:p>
        </w:tc>
        <w:tc>
          <w:tcPr>
            <w:tcW w:w="1844" w:type="dxa"/>
            <w:gridSpan w:val="2"/>
            <w:tcBorders>
              <w:top w:val="nil"/>
              <w:left w:val="nil"/>
              <w:bottom w:val="nil"/>
              <w:right w:val="nil"/>
            </w:tcBorders>
            <w:shd w:val="clear" w:color="auto" w:fill="auto"/>
            <w:noWrap/>
            <w:vAlign w:val="bottom"/>
            <w:hideMark/>
          </w:tcPr>
          <w:p w14:paraId="140B2927"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241 (20.0) </w:t>
            </w:r>
          </w:p>
        </w:tc>
        <w:tc>
          <w:tcPr>
            <w:tcW w:w="1844" w:type="dxa"/>
            <w:gridSpan w:val="2"/>
            <w:tcBorders>
              <w:top w:val="nil"/>
              <w:left w:val="nil"/>
              <w:bottom w:val="nil"/>
              <w:right w:val="nil"/>
            </w:tcBorders>
            <w:shd w:val="clear" w:color="auto" w:fill="auto"/>
            <w:noWrap/>
            <w:vAlign w:val="bottom"/>
            <w:hideMark/>
          </w:tcPr>
          <w:p w14:paraId="0B366C4D"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427 (21.6) </w:t>
            </w:r>
          </w:p>
        </w:tc>
        <w:tc>
          <w:tcPr>
            <w:tcW w:w="838" w:type="dxa"/>
            <w:gridSpan w:val="2"/>
            <w:tcBorders>
              <w:top w:val="nil"/>
              <w:left w:val="nil"/>
              <w:bottom w:val="nil"/>
              <w:right w:val="nil"/>
            </w:tcBorders>
            <w:shd w:val="clear" w:color="auto" w:fill="auto"/>
            <w:noWrap/>
            <w:vAlign w:val="bottom"/>
            <w:hideMark/>
          </w:tcPr>
          <w:p w14:paraId="41E5831D" w14:textId="77777777" w:rsidR="004906E5" w:rsidRPr="00803B40" w:rsidRDefault="004906E5" w:rsidP="00507A14">
            <w:pPr>
              <w:spacing w:before="0" w:line="240" w:lineRule="auto"/>
              <w:jc w:val="center"/>
              <w:rPr>
                <w:rFonts w:cs="Calibri"/>
                <w:color w:val="000000"/>
                <w:sz w:val="16"/>
                <w:szCs w:val="16"/>
                <w:lang w:eastAsia="en-GB"/>
              </w:rPr>
            </w:pPr>
          </w:p>
        </w:tc>
      </w:tr>
      <w:tr w:rsidR="004906E5" w:rsidRPr="00803B40" w14:paraId="7140D109" w14:textId="77777777" w:rsidTr="00507A14">
        <w:trPr>
          <w:gridAfter w:val="1"/>
          <w:wAfter w:w="6" w:type="dxa"/>
          <w:trHeight w:val="240"/>
        </w:trPr>
        <w:tc>
          <w:tcPr>
            <w:tcW w:w="2303" w:type="dxa"/>
            <w:tcBorders>
              <w:top w:val="nil"/>
              <w:left w:val="nil"/>
              <w:bottom w:val="nil"/>
              <w:right w:val="nil"/>
            </w:tcBorders>
            <w:shd w:val="clear" w:color="auto" w:fill="auto"/>
            <w:noWrap/>
            <w:vAlign w:val="bottom"/>
            <w:hideMark/>
          </w:tcPr>
          <w:p w14:paraId="6AF32B0F" w14:textId="77777777" w:rsidR="004906E5" w:rsidRPr="00803B40" w:rsidRDefault="004906E5" w:rsidP="00507A14">
            <w:pPr>
              <w:spacing w:before="0" w:line="240" w:lineRule="auto"/>
              <w:jc w:val="center"/>
              <w:rPr>
                <w:rFonts w:ascii="Times New Roman" w:hAnsi="Times New Roman"/>
                <w:sz w:val="20"/>
                <w:szCs w:val="20"/>
                <w:lang w:eastAsia="en-GB"/>
              </w:rPr>
            </w:pPr>
          </w:p>
        </w:tc>
        <w:tc>
          <w:tcPr>
            <w:tcW w:w="1560" w:type="dxa"/>
            <w:tcBorders>
              <w:top w:val="nil"/>
              <w:left w:val="nil"/>
              <w:bottom w:val="nil"/>
              <w:right w:val="nil"/>
            </w:tcBorders>
            <w:shd w:val="clear" w:color="auto" w:fill="auto"/>
            <w:noWrap/>
            <w:vAlign w:val="center"/>
            <w:hideMark/>
          </w:tcPr>
          <w:p w14:paraId="0DC7DD02"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4th Quintile</w:t>
            </w:r>
          </w:p>
        </w:tc>
        <w:tc>
          <w:tcPr>
            <w:tcW w:w="1844" w:type="dxa"/>
            <w:gridSpan w:val="2"/>
            <w:tcBorders>
              <w:top w:val="nil"/>
              <w:left w:val="nil"/>
              <w:bottom w:val="nil"/>
              <w:right w:val="nil"/>
            </w:tcBorders>
            <w:shd w:val="clear" w:color="auto" w:fill="auto"/>
            <w:noWrap/>
            <w:vAlign w:val="bottom"/>
            <w:hideMark/>
          </w:tcPr>
          <w:p w14:paraId="47764143"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174 (18.4) </w:t>
            </w:r>
          </w:p>
        </w:tc>
        <w:tc>
          <w:tcPr>
            <w:tcW w:w="1844" w:type="dxa"/>
            <w:gridSpan w:val="2"/>
            <w:tcBorders>
              <w:top w:val="nil"/>
              <w:left w:val="nil"/>
              <w:bottom w:val="nil"/>
              <w:right w:val="nil"/>
            </w:tcBorders>
            <w:shd w:val="clear" w:color="auto" w:fill="auto"/>
            <w:noWrap/>
            <w:vAlign w:val="bottom"/>
            <w:hideMark/>
          </w:tcPr>
          <w:p w14:paraId="1EB26F46"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255 (21.2) </w:t>
            </w:r>
          </w:p>
        </w:tc>
        <w:tc>
          <w:tcPr>
            <w:tcW w:w="1844" w:type="dxa"/>
            <w:gridSpan w:val="2"/>
            <w:tcBorders>
              <w:top w:val="nil"/>
              <w:left w:val="nil"/>
              <w:bottom w:val="nil"/>
              <w:right w:val="nil"/>
            </w:tcBorders>
            <w:shd w:val="clear" w:color="auto" w:fill="auto"/>
            <w:noWrap/>
            <w:vAlign w:val="bottom"/>
            <w:hideMark/>
          </w:tcPr>
          <w:p w14:paraId="3E63924B"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396 (20.0) </w:t>
            </w:r>
          </w:p>
        </w:tc>
        <w:tc>
          <w:tcPr>
            <w:tcW w:w="838" w:type="dxa"/>
            <w:gridSpan w:val="2"/>
            <w:tcBorders>
              <w:top w:val="nil"/>
              <w:left w:val="nil"/>
              <w:bottom w:val="nil"/>
              <w:right w:val="nil"/>
            </w:tcBorders>
            <w:shd w:val="clear" w:color="auto" w:fill="auto"/>
            <w:noWrap/>
            <w:vAlign w:val="bottom"/>
            <w:hideMark/>
          </w:tcPr>
          <w:p w14:paraId="0CF01420" w14:textId="77777777" w:rsidR="004906E5" w:rsidRPr="00803B40" w:rsidRDefault="004906E5" w:rsidP="00507A14">
            <w:pPr>
              <w:spacing w:before="0" w:line="240" w:lineRule="auto"/>
              <w:jc w:val="center"/>
              <w:rPr>
                <w:rFonts w:cs="Calibri"/>
                <w:color w:val="000000"/>
                <w:sz w:val="16"/>
                <w:szCs w:val="16"/>
                <w:lang w:eastAsia="en-GB"/>
              </w:rPr>
            </w:pPr>
          </w:p>
        </w:tc>
      </w:tr>
      <w:tr w:rsidR="004906E5" w:rsidRPr="00803B40" w14:paraId="60D8D83C" w14:textId="77777777" w:rsidTr="00507A14">
        <w:trPr>
          <w:gridAfter w:val="1"/>
          <w:wAfter w:w="6" w:type="dxa"/>
          <w:trHeight w:val="240"/>
        </w:trPr>
        <w:tc>
          <w:tcPr>
            <w:tcW w:w="2303" w:type="dxa"/>
            <w:tcBorders>
              <w:top w:val="nil"/>
              <w:left w:val="nil"/>
              <w:bottom w:val="nil"/>
              <w:right w:val="nil"/>
            </w:tcBorders>
            <w:shd w:val="clear" w:color="auto" w:fill="auto"/>
            <w:noWrap/>
            <w:vAlign w:val="bottom"/>
            <w:hideMark/>
          </w:tcPr>
          <w:p w14:paraId="5EA03610" w14:textId="77777777" w:rsidR="004906E5" w:rsidRPr="00803B40" w:rsidRDefault="004906E5" w:rsidP="00507A14">
            <w:pPr>
              <w:spacing w:before="0" w:line="240" w:lineRule="auto"/>
              <w:jc w:val="center"/>
              <w:rPr>
                <w:rFonts w:ascii="Times New Roman" w:hAnsi="Times New Roman"/>
                <w:sz w:val="20"/>
                <w:szCs w:val="20"/>
                <w:lang w:eastAsia="en-GB"/>
              </w:rPr>
            </w:pPr>
          </w:p>
        </w:tc>
        <w:tc>
          <w:tcPr>
            <w:tcW w:w="1560" w:type="dxa"/>
            <w:tcBorders>
              <w:top w:val="nil"/>
              <w:left w:val="nil"/>
              <w:bottom w:val="nil"/>
              <w:right w:val="nil"/>
            </w:tcBorders>
            <w:shd w:val="clear" w:color="auto" w:fill="auto"/>
            <w:noWrap/>
            <w:vAlign w:val="center"/>
            <w:hideMark/>
          </w:tcPr>
          <w:p w14:paraId="4346DDF4"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Most Deprived</w:t>
            </w:r>
          </w:p>
        </w:tc>
        <w:tc>
          <w:tcPr>
            <w:tcW w:w="1844" w:type="dxa"/>
            <w:gridSpan w:val="2"/>
            <w:tcBorders>
              <w:top w:val="nil"/>
              <w:left w:val="nil"/>
              <w:bottom w:val="nil"/>
              <w:right w:val="nil"/>
            </w:tcBorders>
            <w:shd w:val="clear" w:color="auto" w:fill="auto"/>
            <w:noWrap/>
            <w:vAlign w:val="bottom"/>
            <w:hideMark/>
          </w:tcPr>
          <w:p w14:paraId="10BDA0D3"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153 (16.2) </w:t>
            </w:r>
          </w:p>
        </w:tc>
        <w:tc>
          <w:tcPr>
            <w:tcW w:w="1844" w:type="dxa"/>
            <w:gridSpan w:val="2"/>
            <w:tcBorders>
              <w:top w:val="nil"/>
              <w:left w:val="nil"/>
              <w:bottom w:val="nil"/>
              <w:right w:val="nil"/>
            </w:tcBorders>
            <w:shd w:val="clear" w:color="auto" w:fill="auto"/>
            <w:noWrap/>
            <w:vAlign w:val="bottom"/>
            <w:hideMark/>
          </w:tcPr>
          <w:p w14:paraId="55CF878E"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239 (19.9) </w:t>
            </w:r>
          </w:p>
        </w:tc>
        <w:tc>
          <w:tcPr>
            <w:tcW w:w="1844" w:type="dxa"/>
            <w:gridSpan w:val="2"/>
            <w:tcBorders>
              <w:top w:val="nil"/>
              <w:left w:val="nil"/>
              <w:bottom w:val="nil"/>
              <w:right w:val="nil"/>
            </w:tcBorders>
            <w:shd w:val="clear" w:color="auto" w:fill="auto"/>
            <w:noWrap/>
            <w:vAlign w:val="bottom"/>
            <w:hideMark/>
          </w:tcPr>
          <w:p w14:paraId="159048AD"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395 (19.9) </w:t>
            </w:r>
          </w:p>
        </w:tc>
        <w:tc>
          <w:tcPr>
            <w:tcW w:w="838" w:type="dxa"/>
            <w:gridSpan w:val="2"/>
            <w:tcBorders>
              <w:top w:val="nil"/>
              <w:left w:val="nil"/>
              <w:bottom w:val="nil"/>
              <w:right w:val="nil"/>
            </w:tcBorders>
            <w:shd w:val="clear" w:color="auto" w:fill="auto"/>
            <w:noWrap/>
            <w:vAlign w:val="bottom"/>
            <w:hideMark/>
          </w:tcPr>
          <w:p w14:paraId="5B40D283" w14:textId="77777777" w:rsidR="004906E5" w:rsidRPr="00803B40" w:rsidRDefault="004906E5" w:rsidP="00507A14">
            <w:pPr>
              <w:spacing w:before="0" w:line="240" w:lineRule="auto"/>
              <w:jc w:val="center"/>
              <w:rPr>
                <w:rFonts w:cs="Calibri"/>
                <w:color w:val="000000"/>
                <w:sz w:val="16"/>
                <w:szCs w:val="16"/>
                <w:lang w:eastAsia="en-GB"/>
              </w:rPr>
            </w:pPr>
          </w:p>
        </w:tc>
      </w:tr>
      <w:tr w:rsidR="004906E5" w:rsidRPr="00803B40" w14:paraId="21502D55" w14:textId="77777777" w:rsidTr="00507A14">
        <w:trPr>
          <w:gridAfter w:val="1"/>
          <w:wAfter w:w="6" w:type="dxa"/>
          <w:trHeight w:val="240"/>
        </w:trPr>
        <w:tc>
          <w:tcPr>
            <w:tcW w:w="2303" w:type="dxa"/>
            <w:vMerge w:val="restart"/>
            <w:tcBorders>
              <w:top w:val="nil"/>
              <w:left w:val="nil"/>
              <w:bottom w:val="nil"/>
              <w:right w:val="nil"/>
            </w:tcBorders>
            <w:shd w:val="clear" w:color="auto" w:fill="auto"/>
            <w:noWrap/>
            <w:vAlign w:val="center"/>
            <w:hideMark/>
          </w:tcPr>
          <w:p w14:paraId="79EC5E2B" w14:textId="77777777" w:rsidR="004906E5" w:rsidRPr="00803B40" w:rsidRDefault="004906E5" w:rsidP="00507A14">
            <w:pPr>
              <w:spacing w:before="0" w:line="240" w:lineRule="auto"/>
              <w:rPr>
                <w:rFonts w:cs="Calibri"/>
                <w:color w:val="000000"/>
                <w:sz w:val="16"/>
                <w:szCs w:val="16"/>
                <w:lang w:eastAsia="en-GB"/>
              </w:rPr>
            </w:pPr>
            <w:r w:rsidRPr="00803B40">
              <w:rPr>
                <w:rFonts w:cs="Calibri"/>
                <w:color w:val="000000"/>
                <w:sz w:val="16"/>
                <w:szCs w:val="16"/>
                <w:lang w:eastAsia="en-GB"/>
              </w:rPr>
              <w:t>History of Specific Comorbidity</w:t>
            </w:r>
          </w:p>
        </w:tc>
        <w:tc>
          <w:tcPr>
            <w:tcW w:w="1560" w:type="dxa"/>
            <w:tcBorders>
              <w:top w:val="nil"/>
              <w:left w:val="nil"/>
              <w:bottom w:val="nil"/>
              <w:right w:val="nil"/>
            </w:tcBorders>
            <w:shd w:val="clear" w:color="auto" w:fill="auto"/>
            <w:noWrap/>
            <w:vAlign w:val="center"/>
            <w:hideMark/>
          </w:tcPr>
          <w:p w14:paraId="7BE598CB"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IHD</w:t>
            </w:r>
          </w:p>
        </w:tc>
        <w:tc>
          <w:tcPr>
            <w:tcW w:w="1844" w:type="dxa"/>
            <w:gridSpan w:val="2"/>
            <w:tcBorders>
              <w:top w:val="nil"/>
              <w:left w:val="nil"/>
              <w:bottom w:val="nil"/>
              <w:right w:val="nil"/>
            </w:tcBorders>
            <w:shd w:val="clear" w:color="auto" w:fill="auto"/>
            <w:noWrap/>
            <w:vAlign w:val="bottom"/>
            <w:hideMark/>
          </w:tcPr>
          <w:p w14:paraId="3223A9A5"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208 (22.0) </w:t>
            </w:r>
          </w:p>
        </w:tc>
        <w:tc>
          <w:tcPr>
            <w:tcW w:w="1844" w:type="dxa"/>
            <w:gridSpan w:val="2"/>
            <w:tcBorders>
              <w:top w:val="nil"/>
              <w:left w:val="nil"/>
              <w:bottom w:val="nil"/>
              <w:right w:val="nil"/>
            </w:tcBorders>
            <w:shd w:val="clear" w:color="auto" w:fill="auto"/>
            <w:noWrap/>
            <w:vAlign w:val="bottom"/>
            <w:hideMark/>
          </w:tcPr>
          <w:p w14:paraId="1D2FE933"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266 (22.0) </w:t>
            </w:r>
          </w:p>
        </w:tc>
        <w:tc>
          <w:tcPr>
            <w:tcW w:w="1844" w:type="dxa"/>
            <w:gridSpan w:val="2"/>
            <w:tcBorders>
              <w:top w:val="nil"/>
              <w:left w:val="nil"/>
              <w:bottom w:val="nil"/>
              <w:right w:val="nil"/>
            </w:tcBorders>
            <w:shd w:val="clear" w:color="auto" w:fill="auto"/>
            <w:noWrap/>
            <w:vAlign w:val="bottom"/>
            <w:hideMark/>
          </w:tcPr>
          <w:p w14:paraId="5211FD3A"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404 (20.4) </w:t>
            </w:r>
          </w:p>
        </w:tc>
        <w:tc>
          <w:tcPr>
            <w:tcW w:w="838" w:type="dxa"/>
            <w:gridSpan w:val="2"/>
            <w:tcBorders>
              <w:top w:val="nil"/>
              <w:left w:val="nil"/>
              <w:bottom w:val="nil"/>
              <w:right w:val="nil"/>
            </w:tcBorders>
            <w:shd w:val="clear" w:color="auto" w:fill="auto"/>
            <w:noWrap/>
            <w:vAlign w:val="bottom"/>
            <w:hideMark/>
          </w:tcPr>
          <w:p w14:paraId="172C80A6"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0.43</w:t>
            </w:r>
          </w:p>
        </w:tc>
      </w:tr>
      <w:tr w:rsidR="004906E5" w:rsidRPr="00803B40" w14:paraId="3380BB76" w14:textId="77777777" w:rsidTr="00507A14">
        <w:trPr>
          <w:gridAfter w:val="1"/>
          <w:wAfter w:w="6" w:type="dxa"/>
          <w:trHeight w:val="240"/>
        </w:trPr>
        <w:tc>
          <w:tcPr>
            <w:tcW w:w="2303" w:type="dxa"/>
            <w:vMerge/>
            <w:tcBorders>
              <w:top w:val="nil"/>
              <w:left w:val="nil"/>
              <w:bottom w:val="nil"/>
              <w:right w:val="nil"/>
            </w:tcBorders>
            <w:vAlign w:val="center"/>
            <w:hideMark/>
          </w:tcPr>
          <w:p w14:paraId="1BE7E53B" w14:textId="77777777" w:rsidR="004906E5" w:rsidRPr="00803B40" w:rsidRDefault="004906E5" w:rsidP="00507A14">
            <w:pPr>
              <w:spacing w:before="0" w:line="240" w:lineRule="auto"/>
              <w:rPr>
                <w:rFonts w:cs="Calibri"/>
                <w:color w:val="000000"/>
                <w:sz w:val="16"/>
                <w:szCs w:val="16"/>
                <w:lang w:eastAsia="en-GB"/>
              </w:rPr>
            </w:pPr>
          </w:p>
        </w:tc>
        <w:tc>
          <w:tcPr>
            <w:tcW w:w="1560" w:type="dxa"/>
            <w:tcBorders>
              <w:top w:val="nil"/>
              <w:left w:val="nil"/>
              <w:bottom w:val="nil"/>
              <w:right w:val="nil"/>
            </w:tcBorders>
            <w:shd w:val="clear" w:color="auto" w:fill="auto"/>
            <w:noWrap/>
            <w:vAlign w:val="center"/>
            <w:hideMark/>
          </w:tcPr>
          <w:p w14:paraId="2A51C99F"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COPD</w:t>
            </w:r>
          </w:p>
        </w:tc>
        <w:tc>
          <w:tcPr>
            <w:tcW w:w="1844" w:type="dxa"/>
            <w:gridSpan w:val="2"/>
            <w:tcBorders>
              <w:top w:val="nil"/>
              <w:left w:val="nil"/>
              <w:bottom w:val="nil"/>
              <w:right w:val="nil"/>
            </w:tcBorders>
            <w:shd w:val="clear" w:color="auto" w:fill="auto"/>
            <w:noWrap/>
            <w:vAlign w:val="bottom"/>
            <w:hideMark/>
          </w:tcPr>
          <w:p w14:paraId="1EB0B3A7"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82 (8.7) </w:t>
            </w:r>
          </w:p>
        </w:tc>
        <w:tc>
          <w:tcPr>
            <w:tcW w:w="1844" w:type="dxa"/>
            <w:gridSpan w:val="2"/>
            <w:tcBorders>
              <w:top w:val="nil"/>
              <w:left w:val="nil"/>
              <w:bottom w:val="nil"/>
              <w:right w:val="nil"/>
            </w:tcBorders>
            <w:shd w:val="clear" w:color="auto" w:fill="auto"/>
            <w:noWrap/>
            <w:vAlign w:val="bottom"/>
            <w:hideMark/>
          </w:tcPr>
          <w:p w14:paraId="7BE8CDCE"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125 (10.3) </w:t>
            </w:r>
          </w:p>
        </w:tc>
        <w:tc>
          <w:tcPr>
            <w:tcW w:w="1844" w:type="dxa"/>
            <w:gridSpan w:val="2"/>
            <w:tcBorders>
              <w:top w:val="nil"/>
              <w:left w:val="nil"/>
              <w:bottom w:val="nil"/>
              <w:right w:val="nil"/>
            </w:tcBorders>
            <w:shd w:val="clear" w:color="auto" w:fill="auto"/>
            <w:noWrap/>
            <w:vAlign w:val="bottom"/>
            <w:hideMark/>
          </w:tcPr>
          <w:p w14:paraId="2D2C4442"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192 (9.7) </w:t>
            </w:r>
          </w:p>
        </w:tc>
        <w:tc>
          <w:tcPr>
            <w:tcW w:w="838" w:type="dxa"/>
            <w:gridSpan w:val="2"/>
            <w:tcBorders>
              <w:top w:val="nil"/>
              <w:left w:val="nil"/>
              <w:bottom w:val="nil"/>
              <w:right w:val="nil"/>
            </w:tcBorders>
            <w:shd w:val="clear" w:color="auto" w:fill="auto"/>
            <w:noWrap/>
            <w:vAlign w:val="bottom"/>
            <w:hideMark/>
          </w:tcPr>
          <w:p w14:paraId="16436B86"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0.423</w:t>
            </w:r>
          </w:p>
        </w:tc>
      </w:tr>
      <w:tr w:rsidR="004906E5" w:rsidRPr="00803B40" w14:paraId="2A3E0418" w14:textId="77777777" w:rsidTr="00507A14">
        <w:trPr>
          <w:gridAfter w:val="1"/>
          <w:wAfter w:w="6" w:type="dxa"/>
          <w:trHeight w:val="240"/>
        </w:trPr>
        <w:tc>
          <w:tcPr>
            <w:tcW w:w="2303" w:type="dxa"/>
            <w:tcBorders>
              <w:top w:val="nil"/>
              <w:left w:val="nil"/>
              <w:bottom w:val="nil"/>
              <w:right w:val="nil"/>
            </w:tcBorders>
            <w:shd w:val="clear" w:color="auto" w:fill="auto"/>
            <w:noWrap/>
            <w:vAlign w:val="bottom"/>
            <w:hideMark/>
          </w:tcPr>
          <w:p w14:paraId="6CA47827" w14:textId="77777777" w:rsidR="004906E5" w:rsidRPr="00803B40" w:rsidRDefault="004906E5" w:rsidP="00507A14">
            <w:pPr>
              <w:spacing w:before="0" w:line="240" w:lineRule="auto"/>
              <w:jc w:val="center"/>
              <w:rPr>
                <w:rFonts w:cs="Calibri"/>
                <w:color w:val="000000"/>
                <w:sz w:val="16"/>
                <w:szCs w:val="16"/>
                <w:lang w:eastAsia="en-GB"/>
              </w:rPr>
            </w:pPr>
          </w:p>
        </w:tc>
        <w:tc>
          <w:tcPr>
            <w:tcW w:w="1560" w:type="dxa"/>
            <w:tcBorders>
              <w:top w:val="nil"/>
              <w:left w:val="nil"/>
              <w:bottom w:val="nil"/>
              <w:right w:val="nil"/>
            </w:tcBorders>
            <w:shd w:val="clear" w:color="auto" w:fill="auto"/>
            <w:noWrap/>
            <w:vAlign w:val="center"/>
            <w:hideMark/>
          </w:tcPr>
          <w:p w14:paraId="7CA26BA5"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DM</w:t>
            </w:r>
          </w:p>
        </w:tc>
        <w:tc>
          <w:tcPr>
            <w:tcW w:w="1844" w:type="dxa"/>
            <w:gridSpan w:val="2"/>
            <w:tcBorders>
              <w:top w:val="nil"/>
              <w:left w:val="nil"/>
              <w:bottom w:val="nil"/>
              <w:right w:val="nil"/>
            </w:tcBorders>
            <w:shd w:val="clear" w:color="auto" w:fill="auto"/>
            <w:noWrap/>
            <w:vAlign w:val="bottom"/>
            <w:hideMark/>
          </w:tcPr>
          <w:p w14:paraId="7E08A654"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100 (10.6) </w:t>
            </w:r>
          </w:p>
        </w:tc>
        <w:tc>
          <w:tcPr>
            <w:tcW w:w="1844" w:type="dxa"/>
            <w:gridSpan w:val="2"/>
            <w:tcBorders>
              <w:top w:val="nil"/>
              <w:left w:val="nil"/>
              <w:bottom w:val="nil"/>
              <w:right w:val="nil"/>
            </w:tcBorders>
            <w:shd w:val="clear" w:color="auto" w:fill="auto"/>
            <w:noWrap/>
            <w:vAlign w:val="bottom"/>
            <w:hideMark/>
          </w:tcPr>
          <w:p w14:paraId="2CE1DB6E"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116 (9.6) </w:t>
            </w:r>
          </w:p>
        </w:tc>
        <w:tc>
          <w:tcPr>
            <w:tcW w:w="1844" w:type="dxa"/>
            <w:gridSpan w:val="2"/>
            <w:tcBorders>
              <w:top w:val="nil"/>
              <w:left w:val="nil"/>
              <w:bottom w:val="nil"/>
              <w:right w:val="nil"/>
            </w:tcBorders>
            <w:shd w:val="clear" w:color="auto" w:fill="auto"/>
            <w:noWrap/>
            <w:vAlign w:val="bottom"/>
            <w:hideMark/>
          </w:tcPr>
          <w:p w14:paraId="6FABC8A0"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169 (8.5) </w:t>
            </w:r>
          </w:p>
        </w:tc>
        <w:tc>
          <w:tcPr>
            <w:tcW w:w="838" w:type="dxa"/>
            <w:gridSpan w:val="2"/>
            <w:tcBorders>
              <w:top w:val="nil"/>
              <w:left w:val="nil"/>
              <w:bottom w:val="nil"/>
              <w:right w:val="nil"/>
            </w:tcBorders>
            <w:shd w:val="clear" w:color="auto" w:fill="auto"/>
            <w:noWrap/>
            <w:vAlign w:val="bottom"/>
            <w:hideMark/>
          </w:tcPr>
          <w:p w14:paraId="2C3C8EC6"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0.183</w:t>
            </w:r>
          </w:p>
        </w:tc>
      </w:tr>
      <w:tr w:rsidR="004906E5" w:rsidRPr="00803B40" w14:paraId="3E2F9DAD" w14:textId="77777777" w:rsidTr="00507A14">
        <w:trPr>
          <w:trHeight w:val="240"/>
        </w:trPr>
        <w:tc>
          <w:tcPr>
            <w:tcW w:w="3869" w:type="dxa"/>
            <w:gridSpan w:val="3"/>
            <w:tcBorders>
              <w:top w:val="nil"/>
              <w:left w:val="nil"/>
              <w:bottom w:val="nil"/>
              <w:right w:val="nil"/>
            </w:tcBorders>
            <w:shd w:val="clear" w:color="auto" w:fill="auto"/>
            <w:noWrap/>
            <w:vAlign w:val="center"/>
            <w:hideMark/>
          </w:tcPr>
          <w:p w14:paraId="282FCF1B" w14:textId="77777777" w:rsidR="004906E5" w:rsidRPr="00803B40" w:rsidRDefault="004906E5" w:rsidP="00507A14">
            <w:pPr>
              <w:spacing w:before="0" w:line="240" w:lineRule="auto"/>
              <w:rPr>
                <w:rFonts w:cs="Calibri"/>
                <w:color w:val="000000"/>
                <w:sz w:val="16"/>
                <w:szCs w:val="16"/>
                <w:lang w:eastAsia="en-GB"/>
              </w:rPr>
            </w:pPr>
            <w:r w:rsidRPr="00803B40">
              <w:rPr>
                <w:rFonts w:cs="Calibri"/>
                <w:color w:val="000000"/>
                <w:sz w:val="16"/>
                <w:szCs w:val="16"/>
                <w:lang w:eastAsia="en-GB"/>
              </w:rPr>
              <w:t>Number of recorded comorbidities</w:t>
            </w:r>
          </w:p>
        </w:tc>
        <w:tc>
          <w:tcPr>
            <w:tcW w:w="1844" w:type="dxa"/>
            <w:gridSpan w:val="2"/>
            <w:tcBorders>
              <w:top w:val="nil"/>
              <w:left w:val="nil"/>
              <w:bottom w:val="nil"/>
              <w:right w:val="nil"/>
            </w:tcBorders>
            <w:shd w:val="clear" w:color="auto" w:fill="auto"/>
            <w:noWrap/>
            <w:vAlign w:val="bottom"/>
            <w:hideMark/>
          </w:tcPr>
          <w:p w14:paraId="4D291619"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0.00 [0.00, 1.00]</w:t>
            </w:r>
          </w:p>
        </w:tc>
        <w:tc>
          <w:tcPr>
            <w:tcW w:w="1844" w:type="dxa"/>
            <w:gridSpan w:val="2"/>
            <w:tcBorders>
              <w:top w:val="nil"/>
              <w:left w:val="nil"/>
              <w:bottom w:val="nil"/>
              <w:right w:val="nil"/>
            </w:tcBorders>
            <w:shd w:val="clear" w:color="auto" w:fill="auto"/>
            <w:noWrap/>
            <w:vAlign w:val="bottom"/>
            <w:hideMark/>
          </w:tcPr>
          <w:p w14:paraId="3C41AE60"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0.00 [0.00, 1.00]</w:t>
            </w:r>
          </w:p>
        </w:tc>
        <w:tc>
          <w:tcPr>
            <w:tcW w:w="1844" w:type="dxa"/>
            <w:gridSpan w:val="2"/>
            <w:tcBorders>
              <w:top w:val="nil"/>
              <w:left w:val="nil"/>
              <w:bottom w:val="nil"/>
              <w:right w:val="nil"/>
            </w:tcBorders>
            <w:shd w:val="clear" w:color="auto" w:fill="auto"/>
            <w:noWrap/>
            <w:vAlign w:val="bottom"/>
            <w:hideMark/>
          </w:tcPr>
          <w:p w14:paraId="3ECB64ED"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0.00 [0.00, 1.00]</w:t>
            </w:r>
          </w:p>
        </w:tc>
        <w:tc>
          <w:tcPr>
            <w:tcW w:w="838" w:type="dxa"/>
            <w:gridSpan w:val="2"/>
            <w:tcBorders>
              <w:top w:val="nil"/>
              <w:left w:val="nil"/>
              <w:bottom w:val="nil"/>
              <w:right w:val="nil"/>
            </w:tcBorders>
            <w:shd w:val="clear" w:color="auto" w:fill="auto"/>
            <w:noWrap/>
            <w:vAlign w:val="bottom"/>
            <w:hideMark/>
          </w:tcPr>
          <w:p w14:paraId="1BEBBFF3"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0.486¶</w:t>
            </w:r>
          </w:p>
        </w:tc>
      </w:tr>
      <w:tr w:rsidR="004906E5" w:rsidRPr="00803B40" w14:paraId="13B4088F" w14:textId="77777777" w:rsidTr="00507A14">
        <w:trPr>
          <w:gridAfter w:val="1"/>
          <w:wAfter w:w="6" w:type="dxa"/>
          <w:trHeight w:val="240"/>
        </w:trPr>
        <w:tc>
          <w:tcPr>
            <w:tcW w:w="2303" w:type="dxa"/>
            <w:tcBorders>
              <w:top w:val="nil"/>
              <w:left w:val="nil"/>
              <w:bottom w:val="nil"/>
              <w:right w:val="nil"/>
            </w:tcBorders>
            <w:shd w:val="clear" w:color="auto" w:fill="auto"/>
            <w:noWrap/>
            <w:vAlign w:val="bottom"/>
            <w:hideMark/>
          </w:tcPr>
          <w:p w14:paraId="43C0CBDE" w14:textId="77777777" w:rsidR="004906E5" w:rsidRPr="00803B40" w:rsidRDefault="004906E5" w:rsidP="00507A14">
            <w:pPr>
              <w:spacing w:before="0" w:line="240" w:lineRule="auto"/>
              <w:rPr>
                <w:rFonts w:cs="Calibri"/>
                <w:color w:val="000000"/>
                <w:sz w:val="16"/>
                <w:szCs w:val="16"/>
                <w:lang w:eastAsia="en-GB"/>
              </w:rPr>
            </w:pPr>
            <w:r w:rsidRPr="00803B40">
              <w:rPr>
                <w:rFonts w:cs="Calibri"/>
                <w:color w:val="000000"/>
                <w:sz w:val="16"/>
                <w:szCs w:val="16"/>
                <w:lang w:eastAsia="en-GB"/>
              </w:rPr>
              <w:t>Annual Hospital Volume</w:t>
            </w:r>
          </w:p>
        </w:tc>
        <w:tc>
          <w:tcPr>
            <w:tcW w:w="1560" w:type="dxa"/>
            <w:tcBorders>
              <w:top w:val="nil"/>
              <w:left w:val="nil"/>
              <w:bottom w:val="nil"/>
              <w:right w:val="nil"/>
            </w:tcBorders>
            <w:shd w:val="clear" w:color="auto" w:fill="auto"/>
            <w:noWrap/>
            <w:vAlign w:val="bottom"/>
            <w:hideMark/>
          </w:tcPr>
          <w:p w14:paraId="5659CB34"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1 to 30</w:t>
            </w:r>
          </w:p>
        </w:tc>
        <w:tc>
          <w:tcPr>
            <w:tcW w:w="1844" w:type="dxa"/>
            <w:gridSpan w:val="2"/>
            <w:tcBorders>
              <w:top w:val="nil"/>
              <w:left w:val="nil"/>
              <w:bottom w:val="nil"/>
              <w:right w:val="nil"/>
            </w:tcBorders>
            <w:shd w:val="clear" w:color="auto" w:fill="auto"/>
            <w:noWrap/>
            <w:vAlign w:val="bottom"/>
            <w:hideMark/>
          </w:tcPr>
          <w:p w14:paraId="4DD575A3"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68 (7.2) </w:t>
            </w:r>
          </w:p>
        </w:tc>
        <w:tc>
          <w:tcPr>
            <w:tcW w:w="1844" w:type="dxa"/>
            <w:gridSpan w:val="2"/>
            <w:tcBorders>
              <w:top w:val="nil"/>
              <w:left w:val="nil"/>
              <w:bottom w:val="nil"/>
              <w:right w:val="nil"/>
            </w:tcBorders>
            <w:shd w:val="clear" w:color="auto" w:fill="auto"/>
            <w:noWrap/>
            <w:vAlign w:val="bottom"/>
            <w:hideMark/>
          </w:tcPr>
          <w:p w14:paraId="110ECFB3"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97 (8.0) </w:t>
            </w:r>
          </w:p>
        </w:tc>
        <w:tc>
          <w:tcPr>
            <w:tcW w:w="1844" w:type="dxa"/>
            <w:gridSpan w:val="2"/>
            <w:tcBorders>
              <w:top w:val="nil"/>
              <w:left w:val="nil"/>
              <w:bottom w:val="nil"/>
              <w:right w:val="nil"/>
            </w:tcBorders>
            <w:shd w:val="clear" w:color="auto" w:fill="auto"/>
            <w:noWrap/>
            <w:vAlign w:val="bottom"/>
            <w:hideMark/>
          </w:tcPr>
          <w:p w14:paraId="0042C592"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143 (7.2) </w:t>
            </w:r>
          </w:p>
        </w:tc>
        <w:tc>
          <w:tcPr>
            <w:tcW w:w="838" w:type="dxa"/>
            <w:gridSpan w:val="2"/>
            <w:tcBorders>
              <w:top w:val="nil"/>
              <w:left w:val="nil"/>
              <w:bottom w:val="nil"/>
              <w:right w:val="nil"/>
            </w:tcBorders>
            <w:shd w:val="clear" w:color="auto" w:fill="auto"/>
            <w:noWrap/>
            <w:vAlign w:val="bottom"/>
            <w:hideMark/>
          </w:tcPr>
          <w:p w14:paraId="1CA226B7"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0.291</w:t>
            </w:r>
          </w:p>
        </w:tc>
      </w:tr>
      <w:tr w:rsidR="004906E5" w:rsidRPr="00803B40" w14:paraId="1BF116BC" w14:textId="77777777" w:rsidTr="00507A14">
        <w:trPr>
          <w:gridAfter w:val="1"/>
          <w:wAfter w:w="6" w:type="dxa"/>
          <w:trHeight w:val="240"/>
        </w:trPr>
        <w:tc>
          <w:tcPr>
            <w:tcW w:w="2303" w:type="dxa"/>
            <w:tcBorders>
              <w:top w:val="nil"/>
              <w:left w:val="nil"/>
              <w:bottom w:val="nil"/>
              <w:right w:val="nil"/>
            </w:tcBorders>
            <w:shd w:val="clear" w:color="auto" w:fill="auto"/>
            <w:noWrap/>
            <w:vAlign w:val="bottom"/>
            <w:hideMark/>
          </w:tcPr>
          <w:p w14:paraId="7CB92226" w14:textId="77777777" w:rsidR="004906E5" w:rsidRPr="00803B40" w:rsidRDefault="004906E5" w:rsidP="00507A14">
            <w:pPr>
              <w:spacing w:before="0" w:line="240" w:lineRule="auto"/>
              <w:jc w:val="center"/>
              <w:rPr>
                <w:rFonts w:cs="Calibri"/>
                <w:color w:val="000000"/>
                <w:sz w:val="16"/>
                <w:szCs w:val="16"/>
                <w:lang w:eastAsia="en-GB"/>
              </w:rPr>
            </w:pPr>
          </w:p>
        </w:tc>
        <w:tc>
          <w:tcPr>
            <w:tcW w:w="1560" w:type="dxa"/>
            <w:tcBorders>
              <w:top w:val="nil"/>
              <w:left w:val="nil"/>
              <w:bottom w:val="nil"/>
              <w:right w:val="nil"/>
            </w:tcBorders>
            <w:shd w:val="clear" w:color="auto" w:fill="auto"/>
            <w:noWrap/>
            <w:vAlign w:val="bottom"/>
            <w:hideMark/>
          </w:tcPr>
          <w:p w14:paraId="65600197"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31 to 60</w:t>
            </w:r>
          </w:p>
        </w:tc>
        <w:tc>
          <w:tcPr>
            <w:tcW w:w="1844" w:type="dxa"/>
            <w:gridSpan w:val="2"/>
            <w:tcBorders>
              <w:top w:val="nil"/>
              <w:left w:val="nil"/>
              <w:bottom w:val="nil"/>
              <w:right w:val="nil"/>
            </w:tcBorders>
            <w:shd w:val="clear" w:color="auto" w:fill="auto"/>
            <w:noWrap/>
            <w:vAlign w:val="bottom"/>
            <w:hideMark/>
          </w:tcPr>
          <w:p w14:paraId="2F29EC60"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507 (53.6) </w:t>
            </w:r>
          </w:p>
        </w:tc>
        <w:tc>
          <w:tcPr>
            <w:tcW w:w="1844" w:type="dxa"/>
            <w:gridSpan w:val="2"/>
            <w:tcBorders>
              <w:top w:val="nil"/>
              <w:left w:val="nil"/>
              <w:bottom w:val="nil"/>
              <w:right w:val="nil"/>
            </w:tcBorders>
            <w:shd w:val="clear" w:color="auto" w:fill="auto"/>
            <w:noWrap/>
            <w:vAlign w:val="bottom"/>
            <w:hideMark/>
          </w:tcPr>
          <w:p w14:paraId="765DF5A4"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591 (48.9) </w:t>
            </w:r>
          </w:p>
        </w:tc>
        <w:tc>
          <w:tcPr>
            <w:tcW w:w="1844" w:type="dxa"/>
            <w:gridSpan w:val="2"/>
            <w:tcBorders>
              <w:top w:val="nil"/>
              <w:left w:val="nil"/>
              <w:bottom w:val="nil"/>
              <w:right w:val="nil"/>
            </w:tcBorders>
            <w:shd w:val="clear" w:color="auto" w:fill="auto"/>
            <w:noWrap/>
            <w:vAlign w:val="bottom"/>
            <w:hideMark/>
          </w:tcPr>
          <w:p w14:paraId="0DA57B75"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1019 (51.3) </w:t>
            </w:r>
          </w:p>
        </w:tc>
        <w:tc>
          <w:tcPr>
            <w:tcW w:w="838" w:type="dxa"/>
            <w:gridSpan w:val="2"/>
            <w:tcBorders>
              <w:top w:val="nil"/>
              <w:left w:val="nil"/>
              <w:bottom w:val="nil"/>
              <w:right w:val="nil"/>
            </w:tcBorders>
            <w:shd w:val="clear" w:color="auto" w:fill="auto"/>
            <w:noWrap/>
            <w:vAlign w:val="bottom"/>
            <w:hideMark/>
          </w:tcPr>
          <w:p w14:paraId="207DFA1E" w14:textId="77777777" w:rsidR="004906E5" w:rsidRPr="00803B40" w:rsidRDefault="004906E5" w:rsidP="00507A14">
            <w:pPr>
              <w:spacing w:before="0" w:line="240" w:lineRule="auto"/>
              <w:jc w:val="center"/>
              <w:rPr>
                <w:rFonts w:cs="Calibri"/>
                <w:color w:val="000000"/>
                <w:sz w:val="16"/>
                <w:szCs w:val="16"/>
                <w:lang w:eastAsia="en-GB"/>
              </w:rPr>
            </w:pPr>
          </w:p>
        </w:tc>
      </w:tr>
      <w:tr w:rsidR="004906E5" w:rsidRPr="00803B40" w14:paraId="6B12874F" w14:textId="77777777" w:rsidTr="00507A14">
        <w:trPr>
          <w:gridAfter w:val="1"/>
          <w:wAfter w:w="6" w:type="dxa"/>
          <w:trHeight w:val="240"/>
        </w:trPr>
        <w:tc>
          <w:tcPr>
            <w:tcW w:w="2303" w:type="dxa"/>
            <w:tcBorders>
              <w:top w:val="nil"/>
              <w:left w:val="nil"/>
              <w:bottom w:val="nil"/>
              <w:right w:val="nil"/>
            </w:tcBorders>
            <w:shd w:val="clear" w:color="auto" w:fill="auto"/>
            <w:noWrap/>
            <w:vAlign w:val="bottom"/>
            <w:hideMark/>
          </w:tcPr>
          <w:p w14:paraId="0B01E8DE" w14:textId="77777777" w:rsidR="004906E5" w:rsidRPr="00803B40" w:rsidRDefault="004906E5" w:rsidP="00507A14">
            <w:pPr>
              <w:spacing w:before="0" w:line="240" w:lineRule="auto"/>
              <w:jc w:val="center"/>
              <w:rPr>
                <w:rFonts w:ascii="Times New Roman" w:hAnsi="Times New Roman"/>
                <w:sz w:val="20"/>
                <w:szCs w:val="20"/>
                <w:lang w:eastAsia="en-GB"/>
              </w:rPr>
            </w:pPr>
          </w:p>
        </w:tc>
        <w:tc>
          <w:tcPr>
            <w:tcW w:w="1560" w:type="dxa"/>
            <w:tcBorders>
              <w:top w:val="nil"/>
              <w:left w:val="nil"/>
              <w:bottom w:val="nil"/>
              <w:right w:val="nil"/>
            </w:tcBorders>
            <w:shd w:val="clear" w:color="auto" w:fill="auto"/>
            <w:noWrap/>
            <w:vAlign w:val="bottom"/>
            <w:hideMark/>
          </w:tcPr>
          <w:p w14:paraId="634F3376"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&gt;60</w:t>
            </w:r>
          </w:p>
        </w:tc>
        <w:tc>
          <w:tcPr>
            <w:tcW w:w="1844" w:type="dxa"/>
            <w:gridSpan w:val="2"/>
            <w:tcBorders>
              <w:top w:val="nil"/>
              <w:left w:val="nil"/>
              <w:bottom w:val="nil"/>
              <w:right w:val="nil"/>
            </w:tcBorders>
            <w:shd w:val="clear" w:color="auto" w:fill="auto"/>
            <w:noWrap/>
            <w:vAlign w:val="bottom"/>
            <w:hideMark/>
          </w:tcPr>
          <w:p w14:paraId="70761326"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371 (39.2) </w:t>
            </w:r>
          </w:p>
        </w:tc>
        <w:tc>
          <w:tcPr>
            <w:tcW w:w="1844" w:type="dxa"/>
            <w:gridSpan w:val="2"/>
            <w:tcBorders>
              <w:top w:val="nil"/>
              <w:left w:val="nil"/>
              <w:bottom w:val="nil"/>
              <w:right w:val="nil"/>
            </w:tcBorders>
            <w:shd w:val="clear" w:color="auto" w:fill="auto"/>
            <w:noWrap/>
            <w:vAlign w:val="bottom"/>
            <w:hideMark/>
          </w:tcPr>
          <w:p w14:paraId="7CC99E79"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520 (43.0) </w:t>
            </w:r>
          </w:p>
        </w:tc>
        <w:tc>
          <w:tcPr>
            <w:tcW w:w="1844" w:type="dxa"/>
            <w:gridSpan w:val="2"/>
            <w:tcBorders>
              <w:top w:val="nil"/>
              <w:left w:val="nil"/>
              <w:bottom w:val="nil"/>
              <w:right w:val="nil"/>
            </w:tcBorders>
            <w:shd w:val="clear" w:color="auto" w:fill="auto"/>
            <w:noWrap/>
            <w:vAlign w:val="bottom"/>
            <w:hideMark/>
          </w:tcPr>
          <w:p w14:paraId="5DD189F5"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823 (41.5) </w:t>
            </w:r>
          </w:p>
        </w:tc>
        <w:tc>
          <w:tcPr>
            <w:tcW w:w="838" w:type="dxa"/>
            <w:gridSpan w:val="2"/>
            <w:tcBorders>
              <w:top w:val="nil"/>
              <w:left w:val="nil"/>
              <w:bottom w:val="nil"/>
              <w:right w:val="nil"/>
            </w:tcBorders>
            <w:shd w:val="clear" w:color="auto" w:fill="auto"/>
            <w:noWrap/>
            <w:vAlign w:val="bottom"/>
            <w:hideMark/>
          </w:tcPr>
          <w:p w14:paraId="4AA65B8A" w14:textId="77777777" w:rsidR="004906E5" w:rsidRPr="00803B40" w:rsidRDefault="004906E5" w:rsidP="00507A14">
            <w:pPr>
              <w:spacing w:before="0" w:line="240" w:lineRule="auto"/>
              <w:jc w:val="center"/>
              <w:rPr>
                <w:rFonts w:cs="Calibri"/>
                <w:color w:val="000000"/>
                <w:sz w:val="16"/>
                <w:szCs w:val="16"/>
                <w:lang w:eastAsia="en-GB"/>
              </w:rPr>
            </w:pPr>
          </w:p>
        </w:tc>
      </w:tr>
      <w:tr w:rsidR="004906E5" w:rsidRPr="00803B40" w14:paraId="3D277CCF" w14:textId="77777777" w:rsidTr="00507A14">
        <w:trPr>
          <w:gridAfter w:val="1"/>
          <w:wAfter w:w="6" w:type="dxa"/>
          <w:trHeight w:val="240"/>
        </w:trPr>
        <w:tc>
          <w:tcPr>
            <w:tcW w:w="2303" w:type="dxa"/>
            <w:tcBorders>
              <w:top w:val="nil"/>
              <w:left w:val="nil"/>
              <w:bottom w:val="nil"/>
              <w:right w:val="nil"/>
            </w:tcBorders>
            <w:shd w:val="clear" w:color="auto" w:fill="auto"/>
            <w:noWrap/>
            <w:vAlign w:val="bottom"/>
            <w:hideMark/>
          </w:tcPr>
          <w:p w14:paraId="40DDDB29" w14:textId="77777777" w:rsidR="004906E5" w:rsidRPr="00803B40" w:rsidRDefault="004906E5" w:rsidP="00507A14">
            <w:pPr>
              <w:spacing w:before="0" w:line="240" w:lineRule="auto"/>
              <w:rPr>
                <w:rFonts w:cs="Calibri"/>
                <w:color w:val="000000"/>
                <w:sz w:val="16"/>
                <w:szCs w:val="16"/>
                <w:lang w:eastAsia="en-GB"/>
              </w:rPr>
            </w:pPr>
            <w:r w:rsidRPr="00803B40">
              <w:rPr>
                <w:rFonts w:cs="Calibri"/>
                <w:color w:val="000000"/>
                <w:sz w:val="16"/>
                <w:szCs w:val="16"/>
                <w:lang w:eastAsia="en-GB"/>
              </w:rPr>
              <w:t>ypT</w:t>
            </w:r>
          </w:p>
        </w:tc>
        <w:tc>
          <w:tcPr>
            <w:tcW w:w="1560" w:type="dxa"/>
            <w:tcBorders>
              <w:top w:val="nil"/>
              <w:left w:val="nil"/>
              <w:bottom w:val="nil"/>
              <w:right w:val="nil"/>
            </w:tcBorders>
            <w:shd w:val="clear" w:color="auto" w:fill="auto"/>
            <w:noWrap/>
            <w:vAlign w:val="bottom"/>
            <w:hideMark/>
          </w:tcPr>
          <w:p w14:paraId="1A2D784F"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0</w:t>
            </w:r>
          </w:p>
        </w:tc>
        <w:tc>
          <w:tcPr>
            <w:tcW w:w="1844" w:type="dxa"/>
            <w:gridSpan w:val="2"/>
            <w:tcBorders>
              <w:top w:val="nil"/>
              <w:left w:val="nil"/>
              <w:bottom w:val="nil"/>
              <w:right w:val="nil"/>
            </w:tcBorders>
            <w:shd w:val="clear" w:color="auto" w:fill="auto"/>
            <w:noWrap/>
            <w:vAlign w:val="bottom"/>
            <w:hideMark/>
          </w:tcPr>
          <w:p w14:paraId="5D6D1BF4"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56 (6.2) </w:t>
            </w:r>
          </w:p>
        </w:tc>
        <w:tc>
          <w:tcPr>
            <w:tcW w:w="1844" w:type="dxa"/>
            <w:gridSpan w:val="2"/>
            <w:tcBorders>
              <w:top w:val="nil"/>
              <w:left w:val="nil"/>
              <w:bottom w:val="nil"/>
              <w:right w:val="nil"/>
            </w:tcBorders>
            <w:shd w:val="clear" w:color="auto" w:fill="auto"/>
            <w:noWrap/>
            <w:vAlign w:val="bottom"/>
            <w:hideMark/>
          </w:tcPr>
          <w:p w14:paraId="3DD654C1"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89 (7.7) </w:t>
            </w:r>
          </w:p>
        </w:tc>
        <w:tc>
          <w:tcPr>
            <w:tcW w:w="1844" w:type="dxa"/>
            <w:gridSpan w:val="2"/>
            <w:tcBorders>
              <w:top w:val="nil"/>
              <w:left w:val="nil"/>
              <w:bottom w:val="nil"/>
              <w:right w:val="nil"/>
            </w:tcBorders>
            <w:shd w:val="clear" w:color="auto" w:fill="auto"/>
            <w:noWrap/>
            <w:vAlign w:val="bottom"/>
            <w:hideMark/>
          </w:tcPr>
          <w:p w14:paraId="627E4647"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134 (7.0) </w:t>
            </w:r>
          </w:p>
        </w:tc>
        <w:tc>
          <w:tcPr>
            <w:tcW w:w="838" w:type="dxa"/>
            <w:gridSpan w:val="2"/>
            <w:tcBorders>
              <w:top w:val="nil"/>
              <w:left w:val="nil"/>
              <w:bottom w:val="nil"/>
              <w:right w:val="nil"/>
            </w:tcBorders>
            <w:shd w:val="clear" w:color="auto" w:fill="auto"/>
            <w:noWrap/>
            <w:vAlign w:val="bottom"/>
            <w:hideMark/>
          </w:tcPr>
          <w:p w14:paraId="215B0DA7"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&lt;0.001</w:t>
            </w:r>
          </w:p>
        </w:tc>
      </w:tr>
      <w:tr w:rsidR="004906E5" w:rsidRPr="00803B40" w14:paraId="5D1B2D85" w14:textId="77777777" w:rsidTr="00507A14">
        <w:trPr>
          <w:gridAfter w:val="1"/>
          <w:wAfter w:w="6" w:type="dxa"/>
          <w:trHeight w:val="240"/>
        </w:trPr>
        <w:tc>
          <w:tcPr>
            <w:tcW w:w="2303" w:type="dxa"/>
            <w:tcBorders>
              <w:top w:val="nil"/>
              <w:left w:val="nil"/>
              <w:bottom w:val="nil"/>
              <w:right w:val="nil"/>
            </w:tcBorders>
            <w:shd w:val="clear" w:color="auto" w:fill="auto"/>
            <w:noWrap/>
            <w:vAlign w:val="bottom"/>
            <w:hideMark/>
          </w:tcPr>
          <w:p w14:paraId="2EEBF36E" w14:textId="77777777" w:rsidR="004906E5" w:rsidRPr="00803B40" w:rsidRDefault="004906E5" w:rsidP="00507A14">
            <w:pPr>
              <w:spacing w:before="0" w:line="240" w:lineRule="auto"/>
              <w:jc w:val="center"/>
              <w:rPr>
                <w:rFonts w:cs="Calibri"/>
                <w:color w:val="000000"/>
                <w:sz w:val="16"/>
                <w:szCs w:val="16"/>
                <w:lang w:eastAsia="en-GB"/>
              </w:rPr>
            </w:pPr>
          </w:p>
        </w:tc>
        <w:tc>
          <w:tcPr>
            <w:tcW w:w="1560" w:type="dxa"/>
            <w:tcBorders>
              <w:top w:val="nil"/>
              <w:left w:val="nil"/>
              <w:bottom w:val="nil"/>
              <w:right w:val="nil"/>
            </w:tcBorders>
            <w:shd w:val="clear" w:color="auto" w:fill="auto"/>
            <w:noWrap/>
            <w:vAlign w:val="bottom"/>
            <w:hideMark/>
          </w:tcPr>
          <w:p w14:paraId="2CE6A1D2"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1</w:t>
            </w:r>
          </w:p>
        </w:tc>
        <w:tc>
          <w:tcPr>
            <w:tcW w:w="1844" w:type="dxa"/>
            <w:gridSpan w:val="2"/>
            <w:tcBorders>
              <w:top w:val="nil"/>
              <w:left w:val="nil"/>
              <w:bottom w:val="nil"/>
              <w:right w:val="nil"/>
            </w:tcBorders>
            <w:shd w:val="clear" w:color="auto" w:fill="auto"/>
            <w:noWrap/>
            <w:vAlign w:val="bottom"/>
            <w:hideMark/>
          </w:tcPr>
          <w:p w14:paraId="26DACD7B"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136 (15.0) </w:t>
            </w:r>
          </w:p>
        </w:tc>
        <w:tc>
          <w:tcPr>
            <w:tcW w:w="1844" w:type="dxa"/>
            <w:gridSpan w:val="2"/>
            <w:tcBorders>
              <w:top w:val="nil"/>
              <w:left w:val="nil"/>
              <w:bottom w:val="nil"/>
              <w:right w:val="nil"/>
            </w:tcBorders>
            <w:shd w:val="clear" w:color="auto" w:fill="auto"/>
            <w:noWrap/>
            <w:vAlign w:val="bottom"/>
            <w:hideMark/>
          </w:tcPr>
          <w:p w14:paraId="3309B982"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119 (10.3) </w:t>
            </w:r>
          </w:p>
        </w:tc>
        <w:tc>
          <w:tcPr>
            <w:tcW w:w="1844" w:type="dxa"/>
            <w:gridSpan w:val="2"/>
            <w:tcBorders>
              <w:top w:val="nil"/>
              <w:left w:val="nil"/>
              <w:bottom w:val="nil"/>
              <w:right w:val="nil"/>
            </w:tcBorders>
            <w:shd w:val="clear" w:color="auto" w:fill="auto"/>
            <w:noWrap/>
            <w:vAlign w:val="bottom"/>
            <w:hideMark/>
          </w:tcPr>
          <w:p w14:paraId="171E7131"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260 (13.7) </w:t>
            </w:r>
          </w:p>
        </w:tc>
        <w:tc>
          <w:tcPr>
            <w:tcW w:w="838" w:type="dxa"/>
            <w:gridSpan w:val="2"/>
            <w:tcBorders>
              <w:top w:val="nil"/>
              <w:left w:val="nil"/>
              <w:bottom w:val="nil"/>
              <w:right w:val="nil"/>
            </w:tcBorders>
            <w:shd w:val="clear" w:color="auto" w:fill="auto"/>
            <w:noWrap/>
            <w:vAlign w:val="bottom"/>
            <w:hideMark/>
          </w:tcPr>
          <w:p w14:paraId="05E92ACA" w14:textId="77777777" w:rsidR="004906E5" w:rsidRPr="00803B40" w:rsidRDefault="004906E5" w:rsidP="00507A14">
            <w:pPr>
              <w:spacing w:before="0" w:line="240" w:lineRule="auto"/>
              <w:jc w:val="center"/>
              <w:rPr>
                <w:rFonts w:cs="Calibri"/>
                <w:color w:val="000000"/>
                <w:sz w:val="16"/>
                <w:szCs w:val="16"/>
                <w:lang w:eastAsia="en-GB"/>
              </w:rPr>
            </w:pPr>
          </w:p>
        </w:tc>
      </w:tr>
      <w:tr w:rsidR="004906E5" w:rsidRPr="00803B40" w14:paraId="409D544A" w14:textId="77777777" w:rsidTr="00507A14">
        <w:trPr>
          <w:gridAfter w:val="1"/>
          <w:wAfter w:w="6" w:type="dxa"/>
          <w:trHeight w:val="240"/>
        </w:trPr>
        <w:tc>
          <w:tcPr>
            <w:tcW w:w="2303" w:type="dxa"/>
            <w:tcBorders>
              <w:top w:val="nil"/>
              <w:left w:val="nil"/>
              <w:bottom w:val="nil"/>
              <w:right w:val="nil"/>
            </w:tcBorders>
            <w:shd w:val="clear" w:color="auto" w:fill="auto"/>
            <w:noWrap/>
            <w:vAlign w:val="bottom"/>
            <w:hideMark/>
          </w:tcPr>
          <w:p w14:paraId="76AE329C" w14:textId="77777777" w:rsidR="004906E5" w:rsidRPr="00803B40" w:rsidRDefault="004906E5" w:rsidP="00507A14">
            <w:pPr>
              <w:spacing w:before="0" w:line="240" w:lineRule="auto"/>
              <w:jc w:val="center"/>
              <w:rPr>
                <w:rFonts w:ascii="Times New Roman" w:hAnsi="Times New Roman"/>
                <w:sz w:val="20"/>
                <w:szCs w:val="20"/>
                <w:lang w:eastAsia="en-GB"/>
              </w:rPr>
            </w:pPr>
          </w:p>
        </w:tc>
        <w:tc>
          <w:tcPr>
            <w:tcW w:w="1560" w:type="dxa"/>
            <w:tcBorders>
              <w:top w:val="nil"/>
              <w:left w:val="nil"/>
              <w:bottom w:val="nil"/>
              <w:right w:val="nil"/>
            </w:tcBorders>
            <w:shd w:val="clear" w:color="auto" w:fill="auto"/>
            <w:noWrap/>
            <w:vAlign w:val="bottom"/>
            <w:hideMark/>
          </w:tcPr>
          <w:p w14:paraId="13D88F13"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2</w:t>
            </w:r>
          </w:p>
        </w:tc>
        <w:tc>
          <w:tcPr>
            <w:tcW w:w="1844" w:type="dxa"/>
            <w:gridSpan w:val="2"/>
            <w:tcBorders>
              <w:top w:val="nil"/>
              <w:left w:val="nil"/>
              <w:bottom w:val="nil"/>
              <w:right w:val="nil"/>
            </w:tcBorders>
            <w:shd w:val="clear" w:color="auto" w:fill="auto"/>
            <w:noWrap/>
            <w:vAlign w:val="bottom"/>
            <w:hideMark/>
          </w:tcPr>
          <w:p w14:paraId="75F57DE0"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154 (17.0) </w:t>
            </w:r>
          </w:p>
        </w:tc>
        <w:tc>
          <w:tcPr>
            <w:tcW w:w="1844" w:type="dxa"/>
            <w:gridSpan w:val="2"/>
            <w:tcBorders>
              <w:top w:val="nil"/>
              <w:left w:val="nil"/>
              <w:bottom w:val="nil"/>
              <w:right w:val="nil"/>
            </w:tcBorders>
            <w:shd w:val="clear" w:color="auto" w:fill="auto"/>
            <w:noWrap/>
            <w:vAlign w:val="bottom"/>
            <w:hideMark/>
          </w:tcPr>
          <w:p w14:paraId="65EB007F"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142 (12.3) </w:t>
            </w:r>
          </w:p>
        </w:tc>
        <w:tc>
          <w:tcPr>
            <w:tcW w:w="1844" w:type="dxa"/>
            <w:gridSpan w:val="2"/>
            <w:tcBorders>
              <w:top w:val="nil"/>
              <w:left w:val="nil"/>
              <w:bottom w:val="nil"/>
              <w:right w:val="nil"/>
            </w:tcBorders>
            <w:shd w:val="clear" w:color="auto" w:fill="auto"/>
            <w:noWrap/>
            <w:vAlign w:val="bottom"/>
            <w:hideMark/>
          </w:tcPr>
          <w:p w14:paraId="037EE760"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235 (12.4) </w:t>
            </w:r>
          </w:p>
        </w:tc>
        <w:tc>
          <w:tcPr>
            <w:tcW w:w="838" w:type="dxa"/>
            <w:gridSpan w:val="2"/>
            <w:tcBorders>
              <w:top w:val="nil"/>
              <w:left w:val="nil"/>
              <w:bottom w:val="nil"/>
              <w:right w:val="nil"/>
            </w:tcBorders>
            <w:shd w:val="clear" w:color="auto" w:fill="auto"/>
            <w:noWrap/>
            <w:vAlign w:val="bottom"/>
            <w:hideMark/>
          </w:tcPr>
          <w:p w14:paraId="367EFC2E" w14:textId="77777777" w:rsidR="004906E5" w:rsidRPr="00803B40" w:rsidRDefault="004906E5" w:rsidP="00507A14">
            <w:pPr>
              <w:spacing w:before="0" w:line="240" w:lineRule="auto"/>
              <w:jc w:val="center"/>
              <w:rPr>
                <w:rFonts w:cs="Calibri"/>
                <w:color w:val="000000"/>
                <w:sz w:val="16"/>
                <w:szCs w:val="16"/>
                <w:lang w:eastAsia="en-GB"/>
              </w:rPr>
            </w:pPr>
          </w:p>
        </w:tc>
      </w:tr>
      <w:tr w:rsidR="004906E5" w:rsidRPr="00803B40" w14:paraId="30EF7559" w14:textId="77777777" w:rsidTr="00507A14">
        <w:trPr>
          <w:gridAfter w:val="1"/>
          <w:wAfter w:w="6" w:type="dxa"/>
          <w:trHeight w:val="240"/>
        </w:trPr>
        <w:tc>
          <w:tcPr>
            <w:tcW w:w="2303" w:type="dxa"/>
            <w:tcBorders>
              <w:top w:val="nil"/>
              <w:left w:val="nil"/>
              <w:bottom w:val="nil"/>
              <w:right w:val="nil"/>
            </w:tcBorders>
            <w:shd w:val="clear" w:color="auto" w:fill="auto"/>
            <w:noWrap/>
            <w:vAlign w:val="bottom"/>
            <w:hideMark/>
          </w:tcPr>
          <w:p w14:paraId="6EB78414" w14:textId="77777777" w:rsidR="004906E5" w:rsidRPr="00803B40" w:rsidRDefault="004906E5" w:rsidP="00507A14">
            <w:pPr>
              <w:spacing w:before="0" w:line="240" w:lineRule="auto"/>
              <w:jc w:val="center"/>
              <w:rPr>
                <w:rFonts w:ascii="Times New Roman" w:hAnsi="Times New Roman"/>
                <w:sz w:val="20"/>
                <w:szCs w:val="20"/>
                <w:lang w:eastAsia="en-GB"/>
              </w:rPr>
            </w:pPr>
          </w:p>
        </w:tc>
        <w:tc>
          <w:tcPr>
            <w:tcW w:w="1560" w:type="dxa"/>
            <w:tcBorders>
              <w:top w:val="nil"/>
              <w:left w:val="nil"/>
              <w:bottom w:val="nil"/>
              <w:right w:val="nil"/>
            </w:tcBorders>
            <w:shd w:val="clear" w:color="auto" w:fill="auto"/>
            <w:noWrap/>
            <w:vAlign w:val="bottom"/>
            <w:hideMark/>
          </w:tcPr>
          <w:p w14:paraId="1152F45F"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3</w:t>
            </w:r>
          </w:p>
        </w:tc>
        <w:tc>
          <w:tcPr>
            <w:tcW w:w="1844" w:type="dxa"/>
            <w:gridSpan w:val="2"/>
            <w:tcBorders>
              <w:top w:val="nil"/>
              <w:left w:val="nil"/>
              <w:bottom w:val="nil"/>
              <w:right w:val="nil"/>
            </w:tcBorders>
            <w:shd w:val="clear" w:color="auto" w:fill="auto"/>
            <w:noWrap/>
            <w:vAlign w:val="bottom"/>
            <w:hideMark/>
          </w:tcPr>
          <w:p w14:paraId="367592CA"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354 (39.1) </w:t>
            </w:r>
          </w:p>
        </w:tc>
        <w:tc>
          <w:tcPr>
            <w:tcW w:w="1844" w:type="dxa"/>
            <w:gridSpan w:val="2"/>
            <w:tcBorders>
              <w:top w:val="nil"/>
              <w:left w:val="nil"/>
              <w:bottom w:val="nil"/>
              <w:right w:val="nil"/>
            </w:tcBorders>
            <w:shd w:val="clear" w:color="auto" w:fill="auto"/>
            <w:noWrap/>
            <w:vAlign w:val="bottom"/>
            <w:hideMark/>
          </w:tcPr>
          <w:p w14:paraId="578D24A6"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675 (58.4) </w:t>
            </w:r>
          </w:p>
        </w:tc>
        <w:tc>
          <w:tcPr>
            <w:tcW w:w="1844" w:type="dxa"/>
            <w:gridSpan w:val="2"/>
            <w:tcBorders>
              <w:top w:val="nil"/>
              <w:left w:val="nil"/>
              <w:bottom w:val="nil"/>
              <w:right w:val="nil"/>
            </w:tcBorders>
            <w:shd w:val="clear" w:color="auto" w:fill="auto"/>
            <w:noWrap/>
            <w:vAlign w:val="bottom"/>
            <w:hideMark/>
          </w:tcPr>
          <w:p w14:paraId="5CC3E944"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1174 (61.7) </w:t>
            </w:r>
          </w:p>
        </w:tc>
        <w:tc>
          <w:tcPr>
            <w:tcW w:w="838" w:type="dxa"/>
            <w:gridSpan w:val="2"/>
            <w:tcBorders>
              <w:top w:val="nil"/>
              <w:left w:val="nil"/>
              <w:bottom w:val="nil"/>
              <w:right w:val="nil"/>
            </w:tcBorders>
            <w:shd w:val="clear" w:color="auto" w:fill="auto"/>
            <w:noWrap/>
            <w:vAlign w:val="bottom"/>
            <w:hideMark/>
          </w:tcPr>
          <w:p w14:paraId="62D8C44C" w14:textId="77777777" w:rsidR="004906E5" w:rsidRPr="00803B40" w:rsidRDefault="004906E5" w:rsidP="00507A14">
            <w:pPr>
              <w:spacing w:before="0" w:line="240" w:lineRule="auto"/>
              <w:jc w:val="center"/>
              <w:rPr>
                <w:rFonts w:cs="Calibri"/>
                <w:color w:val="000000"/>
                <w:sz w:val="16"/>
                <w:szCs w:val="16"/>
                <w:lang w:eastAsia="en-GB"/>
              </w:rPr>
            </w:pPr>
          </w:p>
        </w:tc>
      </w:tr>
      <w:tr w:rsidR="004906E5" w:rsidRPr="00803B40" w14:paraId="2BE9D028" w14:textId="77777777" w:rsidTr="00507A14">
        <w:trPr>
          <w:gridAfter w:val="1"/>
          <w:wAfter w:w="6" w:type="dxa"/>
          <w:trHeight w:val="240"/>
        </w:trPr>
        <w:tc>
          <w:tcPr>
            <w:tcW w:w="2303" w:type="dxa"/>
            <w:tcBorders>
              <w:top w:val="nil"/>
              <w:left w:val="nil"/>
              <w:bottom w:val="nil"/>
              <w:right w:val="nil"/>
            </w:tcBorders>
            <w:shd w:val="clear" w:color="auto" w:fill="auto"/>
            <w:noWrap/>
            <w:vAlign w:val="bottom"/>
            <w:hideMark/>
          </w:tcPr>
          <w:p w14:paraId="6D7593B9" w14:textId="77777777" w:rsidR="004906E5" w:rsidRPr="00803B40" w:rsidRDefault="004906E5" w:rsidP="00507A14">
            <w:pPr>
              <w:spacing w:before="0" w:line="240" w:lineRule="auto"/>
              <w:jc w:val="center"/>
              <w:rPr>
                <w:rFonts w:ascii="Times New Roman" w:hAnsi="Times New Roman"/>
                <w:sz w:val="20"/>
                <w:szCs w:val="20"/>
                <w:lang w:eastAsia="en-GB"/>
              </w:rPr>
            </w:pPr>
          </w:p>
        </w:tc>
        <w:tc>
          <w:tcPr>
            <w:tcW w:w="1560" w:type="dxa"/>
            <w:tcBorders>
              <w:top w:val="nil"/>
              <w:left w:val="nil"/>
              <w:bottom w:val="nil"/>
              <w:right w:val="nil"/>
            </w:tcBorders>
            <w:shd w:val="clear" w:color="auto" w:fill="auto"/>
            <w:noWrap/>
            <w:vAlign w:val="bottom"/>
            <w:hideMark/>
          </w:tcPr>
          <w:p w14:paraId="52B1097B"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4</w:t>
            </w:r>
          </w:p>
        </w:tc>
        <w:tc>
          <w:tcPr>
            <w:tcW w:w="1844" w:type="dxa"/>
            <w:gridSpan w:val="2"/>
            <w:tcBorders>
              <w:top w:val="nil"/>
              <w:left w:val="nil"/>
              <w:bottom w:val="nil"/>
              <w:right w:val="nil"/>
            </w:tcBorders>
            <w:shd w:val="clear" w:color="auto" w:fill="auto"/>
            <w:noWrap/>
            <w:vAlign w:val="bottom"/>
            <w:hideMark/>
          </w:tcPr>
          <w:p w14:paraId="6CC59576"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206 (22.7) </w:t>
            </w:r>
          </w:p>
        </w:tc>
        <w:tc>
          <w:tcPr>
            <w:tcW w:w="1844" w:type="dxa"/>
            <w:gridSpan w:val="2"/>
            <w:tcBorders>
              <w:top w:val="nil"/>
              <w:left w:val="nil"/>
              <w:bottom w:val="nil"/>
              <w:right w:val="nil"/>
            </w:tcBorders>
            <w:shd w:val="clear" w:color="auto" w:fill="auto"/>
            <w:noWrap/>
            <w:vAlign w:val="bottom"/>
            <w:hideMark/>
          </w:tcPr>
          <w:p w14:paraId="7303D1A4"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130 (11.3) </w:t>
            </w:r>
          </w:p>
        </w:tc>
        <w:tc>
          <w:tcPr>
            <w:tcW w:w="1844" w:type="dxa"/>
            <w:gridSpan w:val="2"/>
            <w:tcBorders>
              <w:top w:val="nil"/>
              <w:left w:val="nil"/>
              <w:bottom w:val="nil"/>
              <w:right w:val="nil"/>
            </w:tcBorders>
            <w:shd w:val="clear" w:color="auto" w:fill="auto"/>
            <w:noWrap/>
            <w:vAlign w:val="bottom"/>
            <w:hideMark/>
          </w:tcPr>
          <w:p w14:paraId="748E717E"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99 (5.2) </w:t>
            </w:r>
          </w:p>
        </w:tc>
        <w:tc>
          <w:tcPr>
            <w:tcW w:w="838" w:type="dxa"/>
            <w:gridSpan w:val="2"/>
            <w:tcBorders>
              <w:top w:val="nil"/>
              <w:left w:val="nil"/>
              <w:bottom w:val="nil"/>
              <w:right w:val="nil"/>
            </w:tcBorders>
            <w:shd w:val="clear" w:color="auto" w:fill="auto"/>
            <w:noWrap/>
            <w:vAlign w:val="bottom"/>
            <w:hideMark/>
          </w:tcPr>
          <w:p w14:paraId="17A4E4CA" w14:textId="77777777" w:rsidR="004906E5" w:rsidRPr="00803B40" w:rsidRDefault="004906E5" w:rsidP="00507A14">
            <w:pPr>
              <w:spacing w:before="0" w:line="240" w:lineRule="auto"/>
              <w:jc w:val="center"/>
              <w:rPr>
                <w:rFonts w:cs="Calibri"/>
                <w:color w:val="000000"/>
                <w:sz w:val="16"/>
                <w:szCs w:val="16"/>
                <w:lang w:eastAsia="en-GB"/>
              </w:rPr>
            </w:pPr>
          </w:p>
        </w:tc>
      </w:tr>
      <w:tr w:rsidR="004906E5" w:rsidRPr="00803B40" w14:paraId="2B079812" w14:textId="77777777" w:rsidTr="00507A14">
        <w:trPr>
          <w:gridAfter w:val="1"/>
          <w:wAfter w:w="6" w:type="dxa"/>
          <w:trHeight w:val="240"/>
        </w:trPr>
        <w:tc>
          <w:tcPr>
            <w:tcW w:w="2303" w:type="dxa"/>
            <w:tcBorders>
              <w:top w:val="nil"/>
              <w:left w:val="nil"/>
              <w:bottom w:val="nil"/>
              <w:right w:val="nil"/>
            </w:tcBorders>
            <w:shd w:val="clear" w:color="auto" w:fill="auto"/>
            <w:noWrap/>
            <w:vAlign w:val="bottom"/>
            <w:hideMark/>
          </w:tcPr>
          <w:p w14:paraId="43E35FE7" w14:textId="77777777" w:rsidR="004906E5" w:rsidRPr="00803B40" w:rsidRDefault="004906E5" w:rsidP="00507A14">
            <w:pPr>
              <w:spacing w:before="0" w:line="240" w:lineRule="auto"/>
              <w:rPr>
                <w:rFonts w:cs="Calibri"/>
                <w:color w:val="000000"/>
                <w:sz w:val="16"/>
                <w:szCs w:val="16"/>
                <w:lang w:eastAsia="en-GB"/>
              </w:rPr>
            </w:pPr>
            <w:r w:rsidRPr="00803B40">
              <w:rPr>
                <w:rFonts w:cs="Calibri"/>
                <w:color w:val="000000"/>
                <w:sz w:val="16"/>
                <w:szCs w:val="16"/>
                <w:lang w:eastAsia="en-GB"/>
              </w:rPr>
              <w:t>ypN</w:t>
            </w:r>
          </w:p>
        </w:tc>
        <w:tc>
          <w:tcPr>
            <w:tcW w:w="1560" w:type="dxa"/>
            <w:tcBorders>
              <w:top w:val="nil"/>
              <w:left w:val="nil"/>
              <w:bottom w:val="nil"/>
              <w:right w:val="nil"/>
            </w:tcBorders>
            <w:shd w:val="clear" w:color="auto" w:fill="auto"/>
            <w:noWrap/>
            <w:vAlign w:val="bottom"/>
            <w:hideMark/>
          </w:tcPr>
          <w:p w14:paraId="04E304CD"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0</w:t>
            </w:r>
          </w:p>
        </w:tc>
        <w:tc>
          <w:tcPr>
            <w:tcW w:w="1844" w:type="dxa"/>
            <w:gridSpan w:val="2"/>
            <w:tcBorders>
              <w:top w:val="nil"/>
              <w:left w:val="nil"/>
              <w:bottom w:val="nil"/>
              <w:right w:val="nil"/>
            </w:tcBorders>
            <w:shd w:val="clear" w:color="auto" w:fill="auto"/>
            <w:noWrap/>
            <w:vAlign w:val="bottom"/>
            <w:hideMark/>
          </w:tcPr>
          <w:p w14:paraId="143BE4D2"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415 (46.0) </w:t>
            </w:r>
          </w:p>
        </w:tc>
        <w:tc>
          <w:tcPr>
            <w:tcW w:w="1844" w:type="dxa"/>
            <w:gridSpan w:val="2"/>
            <w:tcBorders>
              <w:top w:val="nil"/>
              <w:left w:val="nil"/>
              <w:bottom w:val="nil"/>
              <w:right w:val="nil"/>
            </w:tcBorders>
            <w:shd w:val="clear" w:color="auto" w:fill="auto"/>
            <w:noWrap/>
            <w:vAlign w:val="bottom"/>
            <w:hideMark/>
          </w:tcPr>
          <w:p w14:paraId="58C6168B"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486 (42.1) </w:t>
            </w:r>
          </w:p>
        </w:tc>
        <w:tc>
          <w:tcPr>
            <w:tcW w:w="1844" w:type="dxa"/>
            <w:gridSpan w:val="2"/>
            <w:tcBorders>
              <w:top w:val="nil"/>
              <w:left w:val="nil"/>
              <w:bottom w:val="nil"/>
              <w:right w:val="nil"/>
            </w:tcBorders>
            <w:shd w:val="clear" w:color="auto" w:fill="auto"/>
            <w:noWrap/>
            <w:vAlign w:val="bottom"/>
            <w:hideMark/>
          </w:tcPr>
          <w:p w14:paraId="425BAC8F"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807 (42.5) </w:t>
            </w:r>
          </w:p>
        </w:tc>
        <w:tc>
          <w:tcPr>
            <w:tcW w:w="838" w:type="dxa"/>
            <w:gridSpan w:val="2"/>
            <w:tcBorders>
              <w:top w:val="nil"/>
              <w:left w:val="nil"/>
              <w:bottom w:val="nil"/>
              <w:right w:val="nil"/>
            </w:tcBorders>
            <w:shd w:val="clear" w:color="auto" w:fill="auto"/>
            <w:noWrap/>
            <w:vAlign w:val="bottom"/>
            <w:hideMark/>
          </w:tcPr>
          <w:p w14:paraId="51F7D086"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0.111</w:t>
            </w:r>
          </w:p>
        </w:tc>
      </w:tr>
      <w:tr w:rsidR="004906E5" w:rsidRPr="00803B40" w14:paraId="3CF9F018" w14:textId="77777777" w:rsidTr="00507A14">
        <w:trPr>
          <w:gridAfter w:val="1"/>
          <w:wAfter w:w="6" w:type="dxa"/>
          <w:trHeight w:val="240"/>
        </w:trPr>
        <w:tc>
          <w:tcPr>
            <w:tcW w:w="2303" w:type="dxa"/>
            <w:tcBorders>
              <w:top w:val="nil"/>
              <w:left w:val="nil"/>
              <w:bottom w:val="nil"/>
              <w:right w:val="nil"/>
            </w:tcBorders>
            <w:shd w:val="clear" w:color="auto" w:fill="auto"/>
            <w:noWrap/>
            <w:vAlign w:val="bottom"/>
            <w:hideMark/>
          </w:tcPr>
          <w:p w14:paraId="5D61B9E3" w14:textId="77777777" w:rsidR="004906E5" w:rsidRPr="00803B40" w:rsidRDefault="004906E5" w:rsidP="00507A14">
            <w:pPr>
              <w:spacing w:before="0" w:line="240" w:lineRule="auto"/>
              <w:jc w:val="center"/>
              <w:rPr>
                <w:rFonts w:cs="Calibri"/>
                <w:color w:val="000000"/>
                <w:sz w:val="16"/>
                <w:szCs w:val="16"/>
                <w:lang w:eastAsia="en-GB"/>
              </w:rPr>
            </w:pPr>
          </w:p>
        </w:tc>
        <w:tc>
          <w:tcPr>
            <w:tcW w:w="1560" w:type="dxa"/>
            <w:tcBorders>
              <w:top w:val="nil"/>
              <w:left w:val="nil"/>
              <w:bottom w:val="nil"/>
              <w:right w:val="nil"/>
            </w:tcBorders>
            <w:shd w:val="clear" w:color="auto" w:fill="auto"/>
            <w:noWrap/>
            <w:vAlign w:val="bottom"/>
            <w:hideMark/>
          </w:tcPr>
          <w:p w14:paraId="09252105"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1</w:t>
            </w:r>
          </w:p>
        </w:tc>
        <w:tc>
          <w:tcPr>
            <w:tcW w:w="1844" w:type="dxa"/>
            <w:gridSpan w:val="2"/>
            <w:tcBorders>
              <w:top w:val="nil"/>
              <w:left w:val="nil"/>
              <w:bottom w:val="nil"/>
              <w:right w:val="nil"/>
            </w:tcBorders>
            <w:shd w:val="clear" w:color="auto" w:fill="auto"/>
            <w:noWrap/>
            <w:vAlign w:val="bottom"/>
            <w:hideMark/>
          </w:tcPr>
          <w:p w14:paraId="70707157"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169 (18.7) </w:t>
            </w:r>
          </w:p>
        </w:tc>
        <w:tc>
          <w:tcPr>
            <w:tcW w:w="1844" w:type="dxa"/>
            <w:gridSpan w:val="2"/>
            <w:tcBorders>
              <w:top w:val="nil"/>
              <w:left w:val="nil"/>
              <w:bottom w:val="nil"/>
              <w:right w:val="nil"/>
            </w:tcBorders>
            <w:shd w:val="clear" w:color="auto" w:fill="auto"/>
            <w:noWrap/>
            <w:vAlign w:val="bottom"/>
            <w:hideMark/>
          </w:tcPr>
          <w:p w14:paraId="24B8FD1C"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243 (21.1) </w:t>
            </w:r>
          </w:p>
        </w:tc>
        <w:tc>
          <w:tcPr>
            <w:tcW w:w="1844" w:type="dxa"/>
            <w:gridSpan w:val="2"/>
            <w:tcBorders>
              <w:top w:val="nil"/>
              <w:left w:val="nil"/>
              <w:bottom w:val="nil"/>
              <w:right w:val="nil"/>
            </w:tcBorders>
            <w:shd w:val="clear" w:color="auto" w:fill="auto"/>
            <w:noWrap/>
            <w:vAlign w:val="bottom"/>
            <w:hideMark/>
          </w:tcPr>
          <w:p w14:paraId="67D2E13A"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439 (23.1) </w:t>
            </w:r>
          </w:p>
        </w:tc>
        <w:tc>
          <w:tcPr>
            <w:tcW w:w="838" w:type="dxa"/>
            <w:gridSpan w:val="2"/>
            <w:tcBorders>
              <w:top w:val="nil"/>
              <w:left w:val="nil"/>
              <w:bottom w:val="nil"/>
              <w:right w:val="nil"/>
            </w:tcBorders>
            <w:shd w:val="clear" w:color="auto" w:fill="auto"/>
            <w:noWrap/>
            <w:vAlign w:val="bottom"/>
            <w:hideMark/>
          </w:tcPr>
          <w:p w14:paraId="201767E8" w14:textId="77777777" w:rsidR="004906E5" w:rsidRPr="00803B40" w:rsidRDefault="004906E5" w:rsidP="00507A14">
            <w:pPr>
              <w:spacing w:before="0" w:line="240" w:lineRule="auto"/>
              <w:jc w:val="center"/>
              <w:rPr>
                <w:rFonts w:cs="Calibri"/>
                <w:color w:val="000000"/>
                <w:sz w:val="16"/>
                <w:szCs w:val="16"/>
                <w:lang w:eastAsia="en-GB"/>
              </w:rPr>
            </w:pPr>
          </w:p>
        </w:tc>
      </w:tr>
      <w:tr w:rsidR="004906E5" w:rsidRPr="00803B40" w14:paraId="1B4FE1A3" w14:textId="77777777" w:rsidTr="00507A14">
        <w:trPr>
          <w:gridAfter w:val="1"/>
          <w:wAfter w:w="6" w:type="dxa"/>
          <w:trHeight w:val="240"/>
        </w:trPr>
        <w:tc>
          <w:tcPr>
            <w:tcW w:w="2303" w:type="dxa"/>
            <w:tcBorders>
              <w:top w:val="nil"/>
              <w:left w:val="nil"/>
              <w:bottom w:val="nil"/>
              <w:right w:val="nil"/>
            </w:tcBorders>
            <w:shd w:val="clear" w:color="auto" w:fill="auto"/>
            <w:noWrap/>
            <w:vAlign w:val="bottom"/>
            <w:hideMark/>
          </w:tcPr>
          <w:p w14:paraId="5B7CA721" w14:textId="77777777" w:rsidR="004906E5" w:rsidRPr="00803B40" w:rsidRDefault="004906E5" w:rsidP="00507A14">
            <w:pPr>
              <w:spacing w:before="0" w:line="240" w:lineRule="auto"/>
              <w:jc w:val="center"/>
              <w:rPr>
                <w:rFonts w:ascii="Times New Roman" w:hAnsi="Times New Roman"/>
                <w:sz w:val="20"/>
                <w:szCs w:val="20"/>
                <w:lang w:eastAsia="en-GB"/>
              </w:rPr>
            </w:pPr>
          </w:p>
        </w:tc>
        <w:tc>
          <w:tcPr>
            <w:tcW w:w="1560" w:type="dxa"/>
            <w:tcBorders>
              <w:top w:val="nil"/>
              <w:left w:val="nil"/>
              <w:bottom w:val="nil"/>
              <w:right w:val="nil"/>
            </w:tcBorders>
            <w:shd w:val="clear" w:color="auto" w:fill="auto"/>
            <w:noWrap/>
            <w:vAlign w:val="bottom"/>
            <w:hideMark/>
          </w:tcPr>
          <w:p w14:paraId="582471BB"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2</w:t>
            </w:r>
          </w:p>
        </w:tc>
        <w:tc>
          <w:tcPr>
            <w:tcW w:w="1844" w:type="dxa"/>
            <w:gridSpan w:val="2"/>
            <w:tcBorders>
              <w:top w:val="nil"/>
              <w:left w:val="nil"/>
              <w:bottom w:val="nil"/>
              <w:right w:val="nil"/>
            </w:tcBorders>
            <w:shd w:val="clear" w:color="auto" w:fill="auto"/>
            <w:noWrap/>
            <w:vAlign w:val="bottom"/>
            <w:hideMark/>
          </w:tcPr>
          <w:p w14:paraId="092BFD7C"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168 (18.6) </w:t>
            </w:r>
          </w:p>
        </w:tc>
        <w:tc>
          <w:tcPr>
            <w:tcW w:w="1844" w:type="dxa"/>
            <w:gridSpan w:val="2"/>
            <w:tcBorders>
              <w:top w:val="nil"/>
              <w:left w:val="nil"/>
              <w:bottom w:val="nil"/>
              <w:right w:val="nil"/>
            </w:tcBorders>
            <w:shd w:val="clear" w:color="auto" w:fill="auto"/>
            <w:noWrap/>
            <w:vAlign w:val="bottom"/>
            <w:hideMark/>
          </w:tcPr>
          <w:p w14:paraId="77A83CC2"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238 (20.6) </w:t>
            </w:r>
          </w:p>
        </w:tc>
        <w:tc>
          <w:tcPr>
            <w:tcW w:w="1844" w:type="dxa"/>
            <w:gridSpan w:val="2"/>
            <w:tcBorders>
              <w:top w:val="nil"/>
              <w:left w:val="nil"/>
              <w:bottom w:val="nil"/>
              <w:right w:val="nil"/>
            </w:tcBorders>
            <w:shd w:val="clear" w:color="auto" w:fill="auto"/>
            <w:noWrap/>
            <w:vAlign w:val="bottom"/>
            <w:hideMark/>
          </w:tcPr>
          <w:p w14:paraId="0C2FDFF5"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370 (19.5) </w:t>
            </w:r>
          </w:p>
        </w:tc>
        <w:tc>
          <w:tcPr>
            <w:tcW w:w="838" w:type="dxa"/>
            <w:gridSpan w:val="2"/>
            <w:tcBorders>
              <w:top w:val="nil"/>
              <w:left w:val="nil"/>
              <w:bottom w:val="nil"/>
              <w:right w:val="nil"/>
            </w:tcBorders>
            <w:shd w:val="clear" w:color="auto" w:fill="auto"/>
            <w:noWrap/>
            <w:vAlign w:val="bottom"/>
            <w:hideMark/>
          </w:tcPr>
          <w:p w14:paraId="23AF68B0" w14:textId="77777777" w:rsidR="004906E5" w:rsidRPr="00803B40" w:rsidRDefault="004906E5" w:rsidP="00507A14">
            <w:pPr>
              <w:spacing w:before="0" w:line="240" w:lineRule="auto"/>
              <w:jc w:val="center"/>
              <w:rPr>
                <w:rFonts w:cs="Calibri"/>
                <w:color w:val="000000"/>
                <w:sz w:val="16"/>
                <w:szCs w:val="16"/>
                <w:lang w:eastAsia="en-GB"/>
              </w:rPr>
            </w:pPr>
          </w:p>
        </w:tc>
      </w:tr>
      <w:tr w:rsidR="004906E5" w:rsidRPr="00803B40" w14:paraId="4147F3B8" w14:textId="77777777" w:rsidTr="00507A14">
        <w:trPr>
          <w:gridAfter w:val="1"/>
          <w:wAfter w:w="6" w:type="dxa"/>
          <w:trHeight w:val="240"/>
        </w:trPr>
        <w:tc>
          <w:tcPr>
            <w:tcW w:w="2303" w:type="dxa"/>
            <w:tcBorders>
              <w:top w:val="nil"/>
              <w:left w:val="nil"/>
              <w:bottom w:val="nil"/>
              <w:right w:val="nil"/>
            </w:tcBorders>
            <w:shd w:val="clear" w:color="auto" w:fill="auto"/>
            <w:noWrap/>
            <w:vAlign w:val="bottom"/>
            <w:hideMark/>
          </w:tcPr>
          <w:p w14:paraId="628FD872" w14:textId="77777777" w:rsidR="004906E5" w:rsidRPr="00803B40" w:rsidRDefault="004906E5" w:rsidP="00507A14">
            <w:pPr>
              <w:spacing w:before="0" w:line="240" w:lineRule="auto"/>
              <w:jc w:val="center"/>
              <w:rPr>
                <w:rFonts w:ascii="Times New Roman" w:hAnsi="Times New Roman"/>
                <w:sz w:val="20"/>
                <w:szCs w:val="20"/>
                <w:lang w:eastAsia="en-GB"/>
              </w:rPr>
            </w:pPr>
          </w:p>
        </w:tc>
        <w:tc>
          <w:tcPr>
            <w:tcW w:w="1560" w:type="dxa"/>
            <w:tcBorders>
              <w:top w:val="nil"/>
              <w:left w:val="nil"/>
              <w:bottom w:val="nil"/>
              <w:right w:val="nil"/>
            </w:tcBorders>
            <w:shd w:val="clear" w:color="auto" w:fill="auto"/>
            <w:noWrap/>
            <w:vAlign w:val="bottom"/>
            <w:hideMark/>
          </w:tcPr>
          <w:p w14:paraId="436F6A07"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3</w:t>
            </w:r>
          </w:p>
        </w:tc>
        <w:tc>
          <w:tcPr>
            <w:tcW w:w="1844" w:type="dxa"/>
            <w:gridSpan w:val="2"/>
            <w:tcBorders>
              <w:top w:val="nil"/>
              <w:left w:val="nil"/>
              <w:bottom w:val="nil"/>
              <w:right w:val="nil"/>
            </w:tcBorders>
            <w:shd w:val="clear" w:color="auto" w:fill="auto"/>
            <w:noWrap/>
            <w:vAlign w:val="bottom"/>
            <w:hideMark/>
          </w:tcPr>
          <w:p w14:paraId="24435581"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151 (16.7) </w:t>
            </w:r>
          </w:p>
        </w:tc>
        <w:tc>
          <w:tcPr>
            <w:tcW w:w="1844" w:type="dxa"/>
            <w:gridSpan w:val="2"/>
            <w:tcBorders>
              <w:top w:val="nil"/>
              <w:left w:val="nil"/>
              <w:bottom w:val="nil"/>
              <w:right w:val="nil"/>
            </w:tcBorders>
            <w:shd w:val="clear" w:color="auto" w:fill="auto"/>
            <w:noWrap/>
            <w:vAlign w:val="bottom"/>
            <w:hideMark/>
          </w:tcPr>
          <w:p w14:paraId="4633E9DD"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187 (16.2) </w:t>
            </w:r>
          </w:p>
        </w:tc>
        <w:tc>
          <w:tcPr>
            <w:tcW w:w="1844" w:type="dxa"/>
            <w:gridSpan w:val="2"/>
            <w:tcBorders>
              <w:top w:val="nil"/>
              <w:left w:val="nil"/>
              <w:bottom w:val="nil"/>
              <w:right w:val="nil"/>
            </w:tcBorders>
            <w:shd w:val="clear" w:color="auto" w:fill="auto"/>
            <w:noWrap/>
            <w:vAlign w:val="bottom"/>
            <w:hideMark/>
          </w:tcPr>
          <w:p w14:paraId="509F9F5F"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284 (14.9) </w:t>
            </w:r>
          </w:p>
        </w:tc>
        <w:tc>
          <w:tcPr>
            <w:tcW w:w="838" w:type="dxa"/>
            <w:gridSpan w:val="2"/>
            <w:tcBorders>
              <w:top w:val="nil"/>
              <w:left w:val="nil"/>
              <w:bottom w:val="nil"/>
              <w:right w:val="nil"/>
            </w:tcBorders>
            <w:shd w:val="clear" w:color="auto" w:fill="auto"/>
            <w:noWrap/>
            <w:vAlign w:val="bottom"/>
            <w:hideMark/>
          </w:tcPr>
          <w:p w14:paraId="16B1E26B" w14:textId="77777777" w:rsidR="004906E5" w:rsidRPr="00803B40" w:rsidRDefault="004906E5" w:rsidP="00507A14">
            <w:pPr>
              <w:spacing w:before="0" w:line="240" w:lineRule="auto"/>
              <w:jc w:val="center"/>
              <w:rPr>
                <w:rFonts w:cs="Calibri"/>
                <w:color w:val="000000"/>
                <w:sz w:val="16"/>
                <w:szCs w:val="16"/>
                <w:lang w:eastAsia="en-GB"/>
              </w:rPr>
            </w:pPr>
          </w:p>
        </w:tc>
      </w:tr>
      <w:tr w:rsidR="004906E5" w:rsidRPr="00803B40" w14:paraId="36B72A7F" w14:textId="77777777" w:rsidTr="00507A14">
        <w:trPr>
          <w:gridAfter w:val="1"/>
          <w:wAfter w:w="6" w:type="dxa"/>
          <w:trHeight w:val="240"/>
        </w:trPr>
        <w:tc>
          <w:tcPr>
            <w:tcW w:w="2303" w:type="dxa"/>
            <w:tcBorders>
              <w:top w:val="nil"/>
              <w:left w:val="nil"/>
              <w:bottom w:val="nil"/>
              <w:right w:val="nil"/>
            </w:tcBorders>
            <w:shd w:val="clear" w:color="auto" w:fill="auto"/>
            <w:noWrap/>
            <w:vAlign w:val="bottom"/>
            <w:hideMark/>
          </w:tcPr>
          <w:p w14:paraId="005DB350" w14:textId="77777777" w:rsidR="004906E5" w:rsidRPr="00803B40" w:rsidRDefault="004906E5" w:rsidP="00507A14">
            <w:pPr>
              <w:spacing w:before="0" w:line="240" w:lineRule="auto"/>
              <w:rPr>
                <w:rFonts w:cs="Calibri"/>
                <w:color w:val="000000"/>
                <w:sz w:val="16"/>
                <w:szCs w:val="16"/>
                <w:lang w:eastAsia="en-GB"/>
              </w:rPr>
            </w:pPr>
            <w:r w:rsidRPr="00803B40">
              <w:rPr>
                <w:rFonts w:cs="Calibri"/>
                <w:color w:val="000000"/>
                <w:sz w:val="16"/>
                <w:szCs w:val="16"/>
                <w:lang w:eastAsia="en-GB"/>
              </w:rPr>
              <w:t>CRM positive</w:t>
            </w:r>
          </w:p>
        </w:tc>
        <w:tc>
          <w:tcPr>
            <w:tcW w:w="1560" w:type="dxa"/>
            <w:tcBorders>
              <w:top w:val="nil"/>
              <w:left w:val="nil"/>
              <w:bottom w:val="nil"/>
              <w:right w:val="nil"/>
            </w:tcBorders>
            <w:shd w:val="clear" w:color="auto" w:fill="auto"/>
            <w:noWrap/>
            <w:vAlign w:val="bottom"/>
            <w:hideMark/>
          </w:tcPr>
          <w:p w14:paraId="25B4B2E5" w14:textId="77777777" w:rsidR="004906E5" w:rsidRPr="00803B40" w:rsidRDefault="004906E5" w:rsidP="00507A14">
            <w:pPr>
              <w:spacing w:before="0" w:line="240" w:lineRule="auto"/>
              <w:rPr>
                <w:rFonts w:cs="Calibri"/>
                <w:color w:val="000000"/>
                <w:sz w:val="16"/>
                <w:szCs w:val="16"/>
                <w:lang w:eastAsia="en-GB"/>
              </w:rPr>
            </w:pPr>
          </w:p>
        </w:tc>
        <w:tc>
          <w:tcPr>
            <w:tcW w:w="1844" w:type="dxa"/>
            <w:gridSpan w:val="2"/>
            <w:tcBorders>
              <w:top w:val="nil"/>
              <w:left w:val="nil"/>
              <w:bottom w:val="nil"/>
              <w:right w:val="nil"/>
            </w:tcBorders>
            <w:shd w:val="clear" w:color="auto" w:fill="auto"/>
            <w:noWrap/>
            <w:vAlign w:val="bottom"/>
            <w:hideMark/>
          </w:tcPr>
          <w:p w14:paraId="203FC2D4"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w:t>
            </w:r>
            <w:r>
              <w:rPr>
                <w:rFonts w:cs="Calibri"/>
                <w:color w:val="000000"/>
                <w:sz w:val="16"/>
                <w:szCs w:val="16"/>
                <w:lang w:eastAsia="en-GB"/>
              </w:rPr>
              <w:t>N/A</w:t>
            </w:r>
            <w:r w:rsidRPr="00803B40">
              <w:rPr>
                <w:rFonts w:cs="Calibri"/>
                <w:color w:val="000000"/>
                <w:sz w:val="16"/>
                <w:szCs w:val="16"/>
                <w:lang w:eastAsia="en-GB"/>
              </w:rPr>
              <w:t xml:space="preserve"> </w:t>
            </w:r>
          </w:p>
        </w:tc>
        <w:tc>
          <w:tcPr>
            <w:tcW w:w="1844" w:type="dxa"/>
            <w:gridSpan w:val="2"/>
            <w:tcBorders>
              <w:top w:val="nil"/>
              <w:left w:val="nil"/>
              <w:bottom w:val="nil"/>
              <w:right w:val="nil"/>
            </w:tcBorders>
            <w:shd w:val="clear" w:color="auto" w:fill="auto"/>
            <w:noWrap/>
            <w:vAlign w:val="bottom"/>
            <w:hideMark/>
          </w:tcPr>
          <w:p w14:paraId="4921F364"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249 (23.3) </w:t>
            </w:r>
          </w:p>
        </w:tc>
        <w:tc>
          <w:tcPr>
            <w:tcW w:w="1844" w:type="dxa"/>
            <w:gridSpan w:val="2"/>
            <w:tcBorders>
              <w:top w:val="nil"/>
              <w:left w:val="nil"/>
              <w:bottom w:val="nil"/>
              <w:right w:val="nil"/>
            </w:tcBorders>
            <w:shd w:val="clear" w:color="auto" w:fill="auto"/>
            <w:noWrap/>
            <w:vAlign w:val="bottom"/>
            <w:hideMark/>
          </w:tcPr>
          <w:p w14:paraId="36831BE5"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518 (28.2) </w:t>
            </w:r>
          </w:p>
        </w:tc>
        <w:tc>
          <w:tcPr>
            <w:tcW w:w="838" w:type="dxa"/>
            <w:gridSpan w:val="2"/>
            <w:tcBorders>
              <w:top w:val="nil"/>
              <w:left w:val="nil"/>
              <w:bottom w:val="nil"/>
              <w:right w:val="nil"/>
            </w:tcBorders>
            <w:shd w:val="clear" w:color="auto" w:fill="auto"/>
            <w:noWrap/>
            <w:vAlign w:val="bottom"/>
            <w:hideMark/>
          </w:tcPr>
          <w:p w14:paraId="5ED1EE7D"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&lt;0.001</w:t>
            </w:r>
          </w:p>
        </w:tc>
      </w:tr>
      <w:tr w:rsidR="004906E5" w:rsidRPr="00803B40" w14:paraId="77F58696" w14:textId="77777777" w:rsidTr="00507A14">
        <w:trPr>
          <w:gridAfter w:val="1"/>
          <w:wAfter w:w="6" w:type="dxa"/>
          <w:trHeight w:val="240"/>
        </w:trPr>
        <w:tc>
          <w:tcPr>
            <w:tcW w:w="2303" w:type="dxa"/>
            <w:tcBorders>
              <w:top w:val="nil"/>
              <w:left w:val="nil"/>
              <w:bottom w:val="nil"/>
              <w:right w:val="nil"/>
            </w:tcBorders>
            <w:shd w:val="clear" w:color="auto" w:fill="auto"/>
            <w:noWrap/>
            <w:vAlign w:val="bottom"/>
            <w:hideMark/>
          </w:tcPr>
          <w:p w14:paraId="2BE611FF" w14:textId="77777777" w:rsidR="004906E5" w:rsidRPr="00803B40" w:rsidRDefault="004906E5" w:rsidP="00507A14">
            <w:pPr>
              <w:spacing w:before="0" w:line="240" w:lineRule="auto"/>
              <w:jc w:val="center"/>
              <w:rPr>
                <w:rFonts w:cs="Calibri"/>
                <w:color w:val="000000"/>
                <w:sz w:val="16"/>
                <w:szCs w:val="16"/>
                <w:lang w:eastAsia="en-GB"/>
              </w:rPr>
            </w:pPr>
          </w:p>
        </w:tc>
        <w:tc>
          <w:tcPr>
            <w:tcW w:w="1560" w:type="dxa"/>
            <w:tcBorders>
              <w:top w:val="nil"/>
              <w:left w:val="nil"/>
              <w:bottom w:val="nil"/>
              <w:right w:val="nil"/>
            </w:tcBorders>
            <w:shd w:val="clear" w:color="auto" w:fill="auto"/>
            <w:noWrap/>
            <w:vAlign w:val="bottom"/>
            <w:hideMark/>
          </w:tcPr>
          <w:p w14:paraId="344D1E88"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G1</w:t>
            </w:r>
          </w:p>
        </w:tc>
        <w:tc>
          <w:tcPr>
            <w:tcW w:w="1844" w:type="dxa"/>
            <w:gridSpan w:val="2"/>
            <w:tcBorders>
              <w:top w:val="nil"/>
              <w:left w:val="nil"/>
              <w:bottom w:val="nil"/>
              <w:right w:val="nil"/>
            </w:tcBorders>
            <w:shd w:val="clear" w:color="auto" w:fill="auto"/>
            <w:noWrap/>
            <w:vAlign w:val="bottom"/>
            <w:hideMark/>
          </w:tcPr>
          <w:p w14:paraId="0D991868"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12 (1.3) </w:t>
            </w:r>
          </w:p>
        </w:tc>
        <w:tc>
          <w:tcPr>
            <w:tcW w:w="1844" w:type="dxa"/>
            <w:gridSpan w:val="2"/>
            <w:tcBorders>
              <w:top w:val="nil"/>
              <w:left w:val="nil"/>
              <w:bottom w:val="nil"/>
              <w:right w:val="nil"/>
            </w:tcBorders>
            <w:shd w:val="clear" w:color="auto" w:fill="auto"/>
            <w:noWrap/>
            <w:vAlign w:val="bottom"/>
            <w:hideMark/>
          </w:tcPr>
          <w:p w14:paraId="454A0ED2"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32 (</w:t>
            </w:r>
            <w:r>
              <w:rPr>
                <w:rFonts w:cs="Calibri"/>
                <w:color w:val="000000"/>
                <w:sz w:val="16"/>
                <w:szCs w:val="16"/>
                <w:lang w:eastAsia="en-GB"/>
              </w:rPr>
              <w:t>2</w:t>
            </w:r>
            <w:r w:rsidRPr="00803B40">
              <w:rPr>
                <w:rFonts w:cs="Calibri"/>
                <w:color w:val="000000"/>
                <w:sz w:val="16"/>
                <w:szCs w:val="16"/>
                <w:lang w:eastAsia="en-GB"/>
              </w:rPr>
              <w:t xml:space="preserve">.7) </w:t>
            </w:r>
          </w:p>
        </w:tc>
        <w:tc>
          <w:tcPr>
            <w:tcW w:w="1844" w:type="dxa"/>
            <w:gridSpan w:val="2"/>
            <w:tcBorders>
              <w:top w:val="nil"/>
              <w:left w:val="nil"/>
              <w:bottom w:val="nil"/>
              <w:right w:val="nil"/>
            </w:tcBorders>
            <w:shd w:val="clear" w:color="auto" w:fill="auto"/>
            <w:noWrap/>
            <w:vAlign w:val="bottom"/>
            <w:hideMark/>
          </w:tcPr>
          <w:p w14:paraId="45275B3E"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72 (3.7) </w:t>
            </w:r>
          </w:p>
        </w:tc>
        <w:tc>
          <w:tcPr>
            <w:tcW w:w="838" w:type="dxa"/>
            <w:gridSpan w:val="2"/>
            <w:tcBorders>
              <w:top w:val="nil"/>
              <w:left w:val="nil"/>
              <w:bottom w:val="nil"/>
              <w:right w:val="nil"/>
            </w:tcBorders>
            <w:shd w:val="clear" w:color="auto" w:fill="auto"/>
            <w:noWrap/>
            <w:vAlign w:val="bottom"/>
            <w:hideMark/>
          </w:tcPr>
          <w:p w14:paraId="11E421E8"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&lt;0.001</w:t>
            </w:r>
          </w:p>
        </w:tc>
      </w:tr>
      <w:tr w:rsidR="004906E5" w:rsidRPr="00803B40" w14:paraId="2BAD6305" w14:textId="77777777" w:rsidTr="00507A14">
        <w:trPr>
          <w:gridAfter w:val="1"/>
          <w:wAfter w:w="6" w:type="dxa"/>
          <w:trHeight w:val="240"/>
        </w:trPr>
        <w:tc>
          <w:tcPr>
            <w:tcW w:w="2303" w:type="dxa"/>
            <w:tcBorders>
              <w:top w:val="nil"/>
              <w:left w:val="nil"/>
              <w:bottom w:val="nil"/>
              <w:right w:val="nil"/>
            </w:tcBorders>
            <w:shd w:val="clear" w:color="auto" w:fill="auto"/>
            <w:noWrap/>
            <w:vAlign w:val="bottom"/>
            <w:hideMark/>
          </w:tcPr>
          <w:p w14:paraId="2139295F" w14:textId="77777777" w:rsidR="004906E5" w:rsidRPr="00803B40" w:rsidRDefault="004906E5" w:rsidP="00507A14">
            <w:pPr>
              <w:spacing w:before="0" w:line="240" w:lineRule="auto"/>
              <w:jc w:val="center"/>
              <w:rPr>
                <w:rFonts w:cs="Calibri"/>
                <w:color w:val="000000"/>
                <w:sz w:val="16"/>
                <w:szCs w:val="16"/>
                <w:lang w:eastAsia="en-GB"/>
              </w:rPr>
            </w:pPr>
          </w:p>
        </w:tc>
        <w:tc>
          <w:tcPr>
            <w:tcW w:w="1560" w:type="dxa"/>
            <w:tcBorders>
              <w:top w:val="nil"/>
              <w:left w:val="nil"/>
              <w:bottom w:val="nil"/>
              <w:right w:val="nil"/>
            </w:tcBorders>
            <w:shd w:val="clear" w:color="auto" w:fill="auto"/>
            <w:noWrap/>
            <w:vAlign w:val="bottom"/>
            <w:hideMark/>
          </w:tcPr>
          <w:p w14:paraId="28F4E52C"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G2</w:t>
            </w:r>
          </w:p>
        </w:tc>
        <w:tc>
          <w:tcPr>
            <w:tcW w:w="1844" w:type="dxa"/>
            <w:gridSpan w:val="2"/>
            <w:tcBorders>
              <w:top w:val="nil"/>
              <w:left w:val="nil"/>
              <w:bottom w:val="nil"/>
              <w:right w:val="nil"/>
            </w:tcBorders>
            <w:shd w:val="clear" w:color="auto" w:fill="auto"/>
            <w:noWrap/>
            <w:vAlign w:val="bottom"/>
            <w:hideMark/>
          </w:tcPr>
          <w:p w14:paraId="5608A3A6"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230 (24.7) </w:t>
            </w:r>
          </w:p>
        </w:tc>
        <w:tc>
          <w:tcPr>
            <w:tcW w:w="1844" w:type="dxa"/>
            <w:gridSpan w:val="2"/>
            <w:tcBorders>
              <w:top w:val="nil"/>
              <w:left w:val="nil"/>
              <w:bottom w:val="nil"/>
              <w:right w:val="nil"/>
            </w:tcBorders>
            <w:shd w:val="clear" w:color="auto" w:fill="auto"/>
            <w:noWrap/>
            <w:vAlign w:val="bottom"/>
            <w:hideMark/>
          </w:tcPr>
          <w:p w14:paraId="247AE8E7"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446 (37.1) </w:t>
            </w:r>
          </w:p>
        </w:tc>
        <w:tc>
          <w:tcPr>
            <w:tcW w:w="1844" w:type="dxa"/>
            <w:gridSpan w:val="2"/>
            <w:tcBorders>
              <w:top w:val="nil"/>
              <w:left w:val="nil"/>
              <w:bottom w:val="nil"/>
              <w:right w:val="nil"/>
            </w:tcBorders>
            <w:shd w:val="clear" w:color="auto" w:fill="auto"/>
            <w:noWrap/>
            <w:vAlign w:val="bottom"/>
            <w:hideMark/>
          </w:tcPr>
          <w:p w14:paraId="1A45B857"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733 (37.3) </w:t>
            </w:r>
          </w:p>
        </w:tc>
        <w:tc>
          <w:tcPr>
            <w:tcW w:w="838" w:type="dxa"/>
            <w:gridSpan w:val="2"/>
            <w:tcBorders>
              <w:top w:val="nil"/>
              <w:left w:val="nil"/>
              <w:bottom w:val="nil"/>
              <w:right w:val="nil"/>
            </w:tcBorders>
            <w:shd w:val="clear" w:color="auto" w:fill="auto"/>
            <w:noWrap/>
            <w:vAlign w:val="bottom"/>
            <w:hideMark/>
          </w:tcPr>
          <w:p w14:paraId="7FBDB3F3" w14:textId="77777777" w:rsidR="004906E5" w:rsidRPr="00803B40" w:rsidRDefault="004906E5" w:rsidP="00507A14">
            <w:pPr>
              <w:spacing w:before="0" w:line="240" w:lineRule="auto"/>
              <w:jc w:val="center"/>
              <w:rPr>
                <w:rFonts w:cs="Calibri"/>
                <w:color w:val="000000"/>
                <w:sz w:val="16"/>
                <w:szCs w:val="16"/>
                <w:lang w:eastAsia="en-GB"/>
              </w:rPr>
            </w:pPr>
          </w:p>
        </w:tc>
      </w:tr>
      <w:tr w:rsidR="004906E5" w:rsidRPr="00803B40" w14:paraId="450793A6" w14:textId="77777777" w:rsidTr="00507A14">
        <w:trPr>
          <w:gridAfter w:val="1"/>
          <w:wAfter w:w="6" w:type="dxa"/>
          <w:trHeight w:val="240"/>
        </w:trPr>
        <w:tc>
          <w:tcPr>
            <w:tcW w:w="2303" w:type="dxa"/>
            <w:tcBorders>
              <w:top w:val="nil"/>
              <w:left w:val="nil"/>
              <w:bottom w:val="nil"/>
              <w:right w:val="nil"/>
            </w:tcBorders>
            <w:shd w:val="clear" w:color="auto" w:fill="auto"/>
            <w:noWrap/>
            <w:vAlign w:val="bottom"/>
            <w:hideMark/>
          </w:tcPr>
          <w:p w14:paraId="35BC8677" w14:textId="77777777" w:rsidR="004906E5" w:rsidRPr="00803B40" w:rsidRDefault="004906E5" w:rsidP="00507A14">
            <w:pPr>
              <w:spacing w:before="0" w:line="240" w:lineRule="auto"/>
              <w:jc w:val="center"/>
              <w:rPr>
                <w:rFonts w:ascii="Times New Roman" w:hAnsi="Times New Roman"/>
                <w:sz w:val="20"/>
                <w:szCs w:val="20"/>
                <w:lang w:eastAsia="en-GB"/>
              </w:rPr>
            </w:pPr>
          </w:p>
        </w:tc>
        <w:tc>
          <w:tcPr>
            <w:tcW w:w="1560" w:type="dxa"/>
            <w:tcBorders>
              <w:top w:val="nil"/>
              <w:left w:val="nil"/>
              <w:bottom w:val="nil"/>
              <w:right w:val="nil"/>
            </w:tcBorders>
            <w:shd w:val="clear" w:color="auto" w:fill="auto"/>
            <w:noWrap/>
            <w:vAlign w:val="bottom"/>
            <w:hideMark/>
          </w:tcPr>
          <w:p w14:paraId="1C7F604B"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G3/4</w:t>
            </w:r>
          </w:p>
        </w:tc>
        <w:tc>
          <w:tcPr>
            <w:tcW w:w="1844" w:type="dxa"/>
            <w:gridSpan w:val="2"/>
            <w:tcBorders>
              <w:top w:val="nil"/>
              <w:left w:val="nil"/>
              <w:bottom w:val="nil"/>
              <w:right w:val="nil"/>
            </w:tcBorders>
            <w:shd w:val="clear" w:color="auto" w:fill="auto"/>
            <w:noWrap/>
            <w:vAlign w:val="bottom"/>
            <w:hideMark/>
          </w:tcPr>
          <w:p w14:paraId="5D9DE7A6"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596 (63.9) </w:t>
            </w:r>
          </w:p>
        </w:tc>
        <w:tc>
          <w:tcPr>
            <w:tcW w:w="1844" w:type="dxa"/>
            <w:gridSpan w:val="2"/>
            <w:tcBorders>
              <w:top w:val="nil"/>
              <w:left w:val="nil"/>
              <w:bottom w:val="nil"/>
              <w:right w:val="nil"/>
            </w:tcBorders>
            <w:shd w:val="clear" w:color="auto" w:fill="auto"/>
            <w:noWrap/>
            <w:vAlign w:val="bottom"/>
            <w:hideMark/>
          </w:tcPr>
          <w:p w14:paraId="0DCCB34F"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579 (48.2) </w:t>
            </w:r>
          </w:p>
        </w:tc>
        <w:tc>
          <w:tcPr>
            <w:tcW w:w="1844" w:type="dxa"/>
            <w:gridSpan w:val="2"/>
            <w:tcBorders>
              <w:top w:val="nil"/>
              <w:left w:val="nil"/>
              <w:bottom w:val="nil"/>
              <w:right w:val="nil"/>
            </w:tcBorders>
            <w:shd w:val="clear" w:color="auto" w:fill="auto"/>
            <w:noWrap/>
            <w:vAlign w:val="bottom"/>
            <w:hideMark/>
          </w:tcPr>
          <w:p w14:paraId="010795AD"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949 (48.3) </w:t>
            </w:r>
          </w:p>
        </w:tc>
        <w:tc>
          <w:tcPr>
            <w:tcW w:w="838" w:type="dxa"/>
            <w:gridSpan w:val="2"/>
            <w:tcBorders>
              <w:top w:val="nil"/>
              <w:left w:val="nil"/>
              <w:bottom w:val="nil"/>
              <w:right w:val="nil"/>
            </w:tcBorders>
            <w:shd w:val="clear" w:color="auto" w:fill="auto"/>
            <w:noWrap/>
            <w:vAlign w:val="bottom"/>
            <w:hideMark/>
          </w:tcPr>
          <w:p w14:paraId="1B05B543" w14:textId="77777777" w:rsidR="004906E5" w:rsidRPr="00803B40" w:rsidRDefault="004906E5" w:rsidP="00507A14">
            <w:pPr>
              <w:spacing w:before="0" w:line="240" w:lineRule="auto"/>
              <w:jc w:val="center"/>
              <w:rPr>
                <w:rFonts w:cs="Calibri"/>
                <w:color w:val="000000"/>
                <w:sz w:val="16"/>
                <w:szCs w:val="16"/>
                <w:lang w:eastAsia="en-GB"/>
              </w:rPr>
            </w:pPr>
          </w:p>
        </w:tc>
      </w:tr>
      <w:tr w:rsidR="004906E5" w:rsidRPr="00803B40" w14:paraId="60F3F26D" w14:textId="77777777" w:rsidTr="00507A14">
        <w:trPr>
          <w:gridAfter w:val="1"/>
          <w:wAfter w:w="6" w:type="dxa"/>
          <w:trHeight w:val="240"/>
        </w:trPr>
        <w:tc>
          <w:tcPr>
            <w:tcW w:w="2303" w:type="dxa"/>
            <w:tcBorders>
              <w:top w:val="nil"/>
              <w:left w:val="nil"/>
              <w:bottom w:val="nil"/>
              <w:right w:val="nil"/>
            </w:tcBorders>
            <w:shd w:val="clear" w:color="auto" w:fill="auto"/>
            <w:noWrap/>
            <w:vAlign w:val="bottom"/>
            <w:hideMark/>
          </w:tcPr>
          <w:p w14:paraId="4EB81125" w14:textId="77777777" w:rsidR="004906E5" w:rsidRPr="00803B40" w:rsidRDefault="004906E5" w:rsidP="00507A14">
            <w:pPr>
              <w:spacing w:before="0" w:line="240" w:lineRule="auto"/>
              <w:jc w:val="center"/>
              <w:rPr>
                <w:rFonts w:ascii="Times New Roman" w:hAnsi="Times New Roman"/>
                <w:sz w:val="20"/>
                <w:szCs w:val="20"/>
                <w:lang w:eastAsia="en-GB"/>
              </w:rPr>
            </w:pPr>
          </w:p>
        </w:tc>
        <w:tc>
          <w:tcPr>
            <w:tcW w:w="1560" w:type="dxa"/>
            <w:tcBorders>
              <w:top w:val="nil"/>
              <w:left w:val="nil"/>
              <w:bottom w:val="nil"/>
              <w:right w:val="nil"/>
            </w:tcBorders>
            <w:shd w:val="clear" w:color="auto" w:fill="auto"/>
            <w:noWrap/>
            <w:vAlign w:val="bottom"/>
            <w:hideMark/>
          </w:tcPr>
          <w:p w14:paraId="0676A5B1"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GX</w:t>
            </w:r>
          </w:p>
        </w:tc>
        <w:tc>
          <w:tcPr>
            <w:tcW w:w="1844" w:type="dxa"/>
            <w:gridSpan w:val="2"/>
            <w:tcBorders>
              <w:top w:val="nil"/>
              <w:left w:val="nil"/>
              <w:bottom w:val="nil"/>
              <w:right w:val="nil"/>
            </w:tcBorders>
            <w:shd w:val="clear" w:color="auto" w:fill="auto"/>
            <w:noWrap/>
            <w:vAlign w:val="bottom"/>
            <w:hideMark/>
          </w:tcPr>
          <w:p w14:paraId="10BF2456"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95 (10.2) </w:t>
            </w:r>
          </w:p>
        </w:tc>
        <w:tc>
          <w:tcPr>
            <w:tcW w:w="1844" w:type="dxa"/>
            <w:gridSpan w:val="2"/>
            <w:tcBorders>
              <w:top w:val="nil"/>
              <w:left w:val="nil"/>
              <w:bottom w:val="nil"/>
              <w:right w:val="nil"/>
            </w:tcBorders>
            <w:shd w:val="clear" w:color="auto" w:fill="auto"/>
            <w:noWrap/>
            <w:vAlign w:val="bottom"/>
            <w:hideMark/>
          </w:tcPr>
          <w:p w14:paraId="0FE1B117"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144 (12.0) </w:t>
            </w:r>
          </w:p>
        </w:tc>
        <w:tc>
          <w:tcPr>
            <w:tcW w:w="1844" w:type="dxa"/>
            <w:gridSpan w:val="2"/>
            <w:tcBorders>
              <w:top w:val="nil"/>
              <w:left w:val="nil"/>
              <w:bottom w:val="nil"/>
              <w:right w:val="nil"/>
            </w:tcBorders>
            <w:shd w:val="clear" w:color="auto" w:fill="auto"/>
            <w:noWrap/>
            <w:vAlign w:val="bottom"/>
            <w:hideMark/>
          </w:tcPr>
          <w:p w14:paraId="60537B85"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211 (10.7) </w:t>
            </w:r>
          </w:p>
        </w:tc>
        <w:tc>
          <w:tcPr>
            <w:tcW w:w="838" w:type="dxa"/>
            <w:gridSpan w:val="2"/>
            <w:tcBorders>
              <w:top w:val="nil"/>
              <w:left w:val="nil"/>
              <w:bottom w:val="nil"/>
              <w:right w:val="nil"/>
            </w:tcBorders>
            <w:shd w:val="clear" w:color="auto" w:fill="auto"/>
            <w:noWrap/>
            <w:vAlign w:val="bottom"/>
            <w:hideMark/>
          </w:tcPr>
          <w:p w14:paraId="7DB6980C" w14:textId="77777777" w:rsidR="004906E5" w:rsidRPr="00803B40" w:rsidRDefault="004906E5" w:rsidP="00507A14">
            <w:pPr>
              <w:spacing w:before="0" w:line="240" w:lineRule="auto"/>
              <w:jc w:val="center"/>
              <w:rPr>
                <w:rFonts w:cs="Calibri"/>
                <w:color w:val="000000"/>
                <w:sz w:val="16"/>
                <w:szCs w:val="16"/>
                <w:lang w:eastAsia="en-GB"/>
              </w:rPr>
            </w:pPr>
          </w:p>
        </w:tc>
      </w:tr>
      <w:tr w:rsidR="004906E5" w:rsidRPr="00803B40" w14:paraId="79A045FB" w14:textId="77777777" w:rsidTr="00507A14">
        <w:trPr>
          <w:gridAfter w:val="1"/>
          <w:wAfter w:w="6" w:type="dxa"/>
          <w:trHeight w:val="240"/>
        </w:trPr>
        <w:tc>
          <w:tcPr>
            <w:tcW w:w="2303" w:type="dxa"/>
            <w:tcBorders>
              <w:top w:val="nil"/>
              <w:left w:val="nil"/>
              <w:bottom w:val="nil"/>
              <w:right w:val="nil"/>
            </w:tcBorders>
            <w:shd w:val="clear" w:color="auto" w:fill="auto"/>
            <w:noWrap/>
            <w:vAlign w:val="bottom"/>
            <w:hideMark/>
          </w:tcPr>
          <w:p w14:paraId="09A8395C" w14:textId="77777777" w:rsidR="004906E5" w:rsidRPr="00803B40" w:rsidRDefault="004906E5" w:rsidP="00507A14">
            <w:pPr>
              <w:spacing w:before="0" w:line="240" w:lineRule="auto"/>
              <w:rPr>
                <w:rFonts w:cs="Calibri"/>
                <w:color w:val="000000"/>
                <w:sz w:val="16"/>
                <w:szCs w:val="16"/>
                <w:lang w:eastAsia="en-GB"/>
              </w:rPr>
            </w:pPr>
            <w:r w:rsidRPr="00803B40">
              <w:rPr>
                <w:rFonts w:cs="Calibri"/>
                <w:color w:val="000000"/>
                <w:sz w:val="16"/>
                <w:szCs w:val="16"/>
                <w:lang w:eastAsia="en-GB"/>
              </w:rPr>
              <w:t>Preoperative Regime</w:t>
            </w:r>
          </w:p>
        </w:tc>
        <w:tc>
          <w:tcPr>
            <w:tcW w:w="1560" w:type="dxa"/>
            <w:tcBorders>
              <w:top w:val="nil"/>
              <w:left w:val="nil"/>
              <w:bottom w:val="nil"/>
              <w:right w:val="nil"/>
            </w:tcBorders>
            <w:shd w:val="clear" w:color="auto" w:fill="auto"/>
            <w:noWrap/>
            <w:vAlign w:val="bottom"/>
            <w:hideMark/>
          </w:tcPr>
          <w:p w14:paraId="15AD3845"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FLOT</w:t>
            </w:r>
          </w:p>
        </w:tc>
        <w:tc>
          <w:tcPr>
            <w:tcW w:w="1844" w:type="dxa"/>
            <w:gridSpan w:val="2"/>
            <w:tcBorders>
              <w:top w:val="nil"/>
              <w:left w:val="nil"/>
              <w:bottom w:val="nil"/>
              <w:right w:val="nil"/>
            </w:tcBorders>
            <w:shd w:val="clear" w:color="auto" w:fill="auto"/>
            <w:noWrap/>
            <w:vAlign w:val="bottom"/>
            <w:hideMark/>
          </w:tcPr>
          <w:p w14:paraId="31546B3C"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29 (3.1) </w:t>
            </w:r>
          </w:p>
        </w:tc>
        <w:tc>
          <w:tcPr>
            <w:tcW w:w="1844" w:type="dxa"/>
            <w:gridSpan w:val="2"/>
            <w:tcBorders>
              <w:top w:val="nil"/>
              <w:left w:val="nil"/>
              <w:bottom w:val="nil"/>
              <w:right w:val="nil"/>
            </w:tcBorders>
            <w:shd w:val="clear" w:color="auto" w:fill="auto"/>
            <w:noWrap/>
            <w:vAlign w:val="bottom"/>
            <w:hideMark/>
          </w:tcPr>
          <w:p w14:paraId="0EA2B12B"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42 (3.5) </w:t>
            </w:r>
          </w:p>
        </w:tc>
        <w:tc>
          <w:tcPr>
            <w:tcW w:w="1844" w:type="dxa"/>
            <w:gridSpan w:val="2"/>
            <w:tcBorders>
              <w:top w:val="nil"/>
              <w:left w:val="nil"/>
              <w:bottom w:val="nil"/>
              <w:right w:val="nil"/>
            </w:tcBorders>
            <w:shd w:val="clear" w:color="auto" w:fill="auto"/>
            <w:noWrap/>
            <w:vAlign w:val="bottom"/>
            <w:hideMark/>
          </w:tcPr>
          <w:p w14:paraId="12738655"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64 (3.2) </w:t>
            </w:r>
          </w:p>
        </w:tc>
        <w:tc>
          <w:tcPr>
            <w:tcW w:w="838" w:type="dxa"/>
            <w:gridSpan w:val="2"/>
            <w:tcBorders>
              <w:top w:val="nil"/>
              <w:left w:val="nil"/>
              <w:bottom w:val="nil"/>
              <w:right w:val="nil"/>
            </w:tcBorders>
            <w:shd w:val="clear" w:color="auto" w:fill="auto"/>
            <w:noWrap/>
            <w:vAlign w:val="bottom"/>
            <w:hideMark/>
          </w:tcPr>
          <w:p w14:paraId="74F517D5"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0.86</w:t>
            </w:r>
          </w:p>
        </w:tc>
      </w:tr>
      <w:tr w:rsidR="004906E5" w:rsidRPr="00803B40" w14:paraId="5C5B8E4E" w14:textId="77777777" w:rsidTr="00507A14">
        <w:trPr>
          <w:gridAfter w:val="1"/>
          <w:wAfter w:w="6" w:type="dxa"/>
          <w:trHeight w:val="240"/>
        </w:trPr>
        <w:tc>
          <w:tcPr>
            <w:tcW w:w="2303" w:type="dxa"/>
            <w:tcBorders>
              <w:top w:val="nil"/>
              <w:left w:val="nil"/>
              <w:bottom w:val="nil"/>
              <w:right w:val="nil"/>
            </w:tcBorders>
            <w:shd w:val="clear" w:color="auto" w:fill="auto"/>
            <w:noWrap/>
            <w:vAlign w:val="bottom"/>
            <w:hideMark/>
          </w:tcPr>
          <w:p w14:paraId="14A994EA" w14:textId="77777777" w:rsidR="004906E5" w:rsidRPr="00803B40" w:rsidRDefault="004906E5" w:rsidP="00507A14">
            <w:pPr>
              <w:spacing w:before="0" w:line="240" w:lineRule="auto"/>
              <w:jc w:val="center"/>
              <w:rPr>
                <w:rFonts w:cs="Calibri"/>
                <w:color w:val="000000"/>
                <w:sz w:val="16"/>
                <w:szCs w:val="16"/>
                <w:lang w:eastAsia="en-GB"/>
              </w:rPr>
            </w:pPr>
          </w:p>
        </w:tc>
        <w:tc>
          <w:tcPr>
            <w:tcW w:w="1560" w:type="dxa"/>
            <w:tcBorders>
              <w:top w:val="nil"/>
              <w:left w:val="nil"/>
              <w:bottom w:val="nil"/>
              <w:right w:val="nil"/>
            </w:tcBorders>
            <w:shd w:val="clear" w:color="auto" w:fill="auto"/>
            <w:noWrap/>
            <w:vAlign w:val="bottom"/>
            <w:hideMark/>
          </w:tcPr>
          <w:p w14:paraId="48C289AF" w14:textId="77777777" w:rsidR="004906E5" w:rsidRPr="00803B40" w:rsidRDefault="004906E5" w:rsidP="00507A14">
            <w:pPr>
              <w:spacing w:before="0" w:line="240" w:lineRule="auto"/>
              <w:jc w:val="right"/>
              <w:rPr>
                <w:rFonts w:cs="Calibri"/>
                <w:color w:val="000000"/>
                <w:sz w:val="16"/>
                <w:szCs w:val="16"/>
                <w:lang w:eastAsia="en-GB"/>
              </w:rPr>
            </w:pPr>
            <w:r w:rsidRPr="00803B40">
              <w:rPr>
                <w:rFonts w:cs="Calibri"/>
                <w:color w:val="000000"/>
                <w:sz w:val="16"/>
                <w:szCs w:val="16"/>
                <w:lang w:eastAsia="en-GB"/>
              </w:rPr>
              <w:t>Platinum-based triplet</w:t>
            </w:r>
          </w:p>
        </w:tc>
        <w:tc>
          <w:tcPr>
            <w:tcW w:w="1844" w:type="dxa"/>
            <w:gridSpan w:val="2"/>
            <w:tcBorders>
              <w:top w:val="nil"/>
              <w:left w:val="nil"/>
              <w:bottom w:val="nil"/>
              <w:right w:val="nil"/>
            </w:tcBorders>
            <w:shd w:val="clear" w:color="auto" w:fill="auto"/>
            <w:noWrap/>
            <w:vAlign w:val="bottom"/>
            <w:hideMark/>
          </w:tcPr>
          <w:p w14:paraId="6A28CCA6"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917 (96.9)</w:t>
            </w:r>
          </w:p>
        </w:tc>
        <w:tc>
          <w:tcPr>
            <w:tcW w:w="1844" w:type="dxa"/>
            <w:gridSpan w:val="2"/>
            <w:tcBorders>
              <w:top w:val="nil"/>
              <w:left w:val="nil"/>
              <w:bottom w:val="nil"/>
              <w:right w:val="nil"/>
            </w:tcBorders>
            <w:shd w:val="clear" w:color="auto" w:fill="auto"/>
            <w:noWrap/>
            <w:vAlign w:val="bottom"/>
            <w:hideMark/>
          </w:tcPr>
          <w:p w14:paraId="3A3FE07C"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1166 (96.5)</w:t>
            </w:r>
          </w:p>
        </w:tc>
        <w:tc>
          <w:tcPr>
            <w:tcW w:w="1844" w:type="dxa"/>
            <w:gridSpan w:val="2"/>
            <w:tcBorders>
              <w:top w:val="nil"/>
              <w:left w:val="nil"/>
              <w:bottom w:val="nil"/>
              <w:right w:val="nil"/>
            </w:tcBorders>
            <w:shd w:val="clear" w:color="auto" w:fill="auto"/>
            <w:noWrap/>
            <w:vAlign w:val="bottom"/>
            <w:hideMark/>
          </w:tcPr>
          <w:p w14:paraId="3F93C944"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1921 (96.8)</w:t>
            </w:r>
          </w:p>
        </w:tc>
        <w:tc>
          <w:tcPr>
            <w:tcW w:w="838" w:type="dxa"/>
            <w:gridSpan w:val="2"/>
            <w:tcBorders>
              <w:top w:val="nil"/>
              <w:left w:val="nil"/>
              <w:bottom w:val="nil"/>
              <w:right w:val="nil"/>
            </w:tcBorders>
            <w:shd w:val="clear" w:color="auto" w:fill="auto"/>
            <w:noWrap/>
            <w:vAlign w:val="bottom"/>
            <w:hideMark/>
          </w:tcPr>
          <w:p w14:paraId="239D15D7" w14:textId="77777777" w:rsidR="004906E5" w:rsidRPr="00803B40" w:rsidRDefault="004906E5" w:rsidP="00507A14">
            <w:pPr>
              <w:spacing w:before="0" w:line="240" w:lineRule="auto"/>
              <w:jc w:val="center"/>
              <w:rPr>
                <w:rFonts w:cs="Calibri"/>
                <w:color w:val="000000"/>
                <w:sz w:val="16"/>
                <w:szCs w:val="16"/>
                <w:lang w:eastAsia="en-GB"/>
              </w:rPr>
            </w:pPr>
          </w:p>
        </w:tc>
      </w:tr>
      <w:tr w:rsidR="004906E5" w:rsidRPr="00803B40" w14:paraId="67431659" w14:textId="77777777" w:rsidTr="00507A14">
        <w:trPr>
          <w:trHeight w:val="240"/>
        </w:trPr>
        <w:tc>
          <w:tcPr>
            <w:tcW w:w="3869" w:type="dxa"/>
            <w:gridSpan w:val="3"/>
            <w:tcBorders>
              <w:top w:val="nil"/>
              <w:left w:val="nil"/>
              <w:bottom w:val="nil"/>
              <w:right w:val="nil"/>
            </w:tcBorders>
            <w:shd w:val="clear" w:color="auto" w:fill="auto"/>
            <w:noWrap/>
            <w:vAlign w:val="bottom"/>
            <w:hideMark/>
          </w:tcPr>
          <w:p w14:paraId="3F6F1ED4" w14:textId="77777777" w:rsidR="004906E5" w:rsidRPr="00803B40" w:rsidRDefault="004906E5" w:rsidP="00507A14">
            <w:pPr>
              <w:spacing w:before="0" w:line="240" w:lineRule="auto"/>
              <w:rPr>
                <w:rFonts w:cs="Calibri"/>
                <w:color w:val="000000"/>
                <w:sz w:val="16"/>
                <w:szCs w:val="16"/>
                <w:lang w:eastAsia="en-GB"/>
              </w:rPr>
            </w:pPr>
            <w:r w:rsidRPr="00803B40">
              <w:rPr>
                <w:rFonts w:cs="Calibri"/>
                <w:color w:val="000000"/>
                <w:sz w:val="16"/>
                <w:szCs w:val="16"/>
                <w:lang w:eastAsia="en-GB"/>
              </w:rPr>
              <w:t>Any Complication</w:t>
            </w:r>
          </w:p>
        </w:tc>
        <w:tc>
          <w:tcPr>
            <w:tcW w:w="1844" w:type="dxa"/>
            <w:gridSpan w:val="2"/>
            <w:tcBorders>
              <w:top w:val="nil"/>
              <w:left w:val="nil"/>
              <w:bottom w:val="nil"/>
              <w:right w:val="nil"/>
            </w:tcBorders>
            <w:shd w:val="clear" w:color="auto" w:fill="auto"/>
            <w:noWrap/>
            <w:vAlign w:val="bottom"/>
            <w:hideMark/>
          </w:tcPr>
          <w:p w14:paraId="24FE7259"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212 (22.5) </w:t>
            </w:r>
          </w:p>
        </w:tc>
        <w:tc>
          <w:tcPr>
            <w:tcW w:w="1844" w:type="dxa"/>
            <w:gridSpan w:val="2"/>
            <w:tcBorders>
              <w:top w:val="nil"/>
              <w:left w:val="nil"/>
              <w:bottom w:val="nil"/>
              <w:right w:val="nil"/>
            </w:tcBorders>
            <w:shd w:val="clear" w:color="auto" w:fill="auto"/>
            <w:noWrap/>
            <w:vAlign w:val="bottom"/>
            <w:hideMark/>
          </w:tcPr>
          <w:p w14:paraId="5075972C"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407 (33.9) </w:t>
            </w:r>
          </w:p>
        </w:tc>
        <w:tc>
          <w:tcPr>
            <w:tcW w:w="1844" w:type="dxa"/>
            <w:gridSpan w:val="2"/>
            <w:tcBorders>
              <w:top w:val="nil"/>
              <w:left w:val="nil"/>
              <w:bottom w:val="nil"/>
              <w:right w:val="nil"/>
            </w:tcBorders>
            <w:shd w:val="clear" w:color="auto" w:fill="auto"/>
            <w:noWrap/>
            <w:vAlign w:val="bottom"/>
            <w:hideMark/>
          </w:tcPr>
          <w:p w14:paraId="4A3560D4"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712 (36.2) </w:t>
            </w:r>
          </w:p>
        </w:tc>
        <w:tc>
          <w:tcPr>
            <w:tcW w:w="838" w:type="dxa"/>
            <w:gridSpan w:val="2"/>
            <w:tcBorders>
              <w:top w:val="nil"/>
              <w:left w:val="nil"/>
              <w:bottom w:val="nil"/>
              <w:right w:val="nil"/>
            </w:tcBorders>
            <w:shd w:val="clear" w:color="auto" w:fill="auto"/>
            <w:noWrap/>
            <w:vAlign w:val="bottom"/>
            <w:hideMark/>
          </w:tcPr>
          <w:p w14:paraId="7CD089CA"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&lt;0.001</w:t>
            </w:r>
          </w:p>
        </w:tc>
      </w:tr>
      <w:tr w:rsidR="004906E5" w:rsidRPr="00803B40" w14:paraId="3DA0E026" w14:textId="77777777" w:rsidTr="00507A14">
        <w:trPr>
          <w:trHeight w:val="240"/>
        </w:trPr>
        <w:tc>
          <w:tcPr>
            <w:tcW w:w="3869" w:type="dxa"/>
            <w:gridSpan w:val="3"/>
            <w:tcBorders>
              <w:top w:val="nil"/>
              <w:left w:val="nil"/>
              <w:bottom w:val="nil"/>
              <w:right w:val="nil"/>
            </w:tcBorders>
            <w:shd w:val="clear" w:color="auto" w:fill="auto"/>
            <w:noWrap/>
            <w:vAlign w:val="bottom"/>
            <w:hideMark/>
          </w:tcPr>
          <w:p w14:paraId="13BD39DD" w14:textId="77777777" w:rsidR="004906E5" w:rsidRPr="00803B40" w:rsidRDefault="004906E5" w:rsidP="00507A14">
            <w:pPr>
              <w:spacing w:before="0" w:line="240" w:lineRule="auto"/>
              <w:rPr>
                <w:rFonts w:cs="Calibri"/>
                <w:color w:val="000000"/>
                <w:sz w:val="16"/>
                <w:szCs w:val="16"/>
                <w:lang w:eastAsia="en-GB"/>
              </w:rPr>
            </w:pPr>
            <w:r w:rsidRPr="00803B40">
              <w:rPr>
                <w:rFonts w:cs="Calibri"/>
                <w:color w:val="000000"/>
                <w:sz w:val="16"/>
                <w:szCs w:val="16"/>
                <w:lang w:eastAsia="en-GB"/>
              </w:rPr>
              <w:t>Respiratory Complication</w:t>
            </w:r>
          </w:p>
        </w:tc>
        <w:tc>
          <w:tcPr>
            <w:tcW w:w="1844" w:type="dxa"/>
            <w:gridSpan w:val="2"/>
            <w:tcBorders>
              <w:top w:val="nil"/>
              <w:left w:val="nil"/>
              <w:bottom w:val="nil"/>
              <w:right w:val="nil"/>
            </w:tcBorders>
            <w:shd w:val="clear" w:color="auto" w:fill="auto"/>
            <w:noWrap/>
            <w:vAlign w:val="bottom"/>
            <w:hideMark/>
          </w:tcPr>
          <w:p w14:paraId="5D618B7B"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84 (8.9) </w:t>
            </w:r>
          </w:p>
        </w:tc>
        <w:tc>
          <w:tcPr>
            <w:tcW w:w="1844" w:type="dxa"/>
            <w:gridSpan w:val="2"/>
            <w:tcBorders>
              <w:top w:val="nil"/>
              <w:left w:val="nil"/>
              <w:bottom w:val="nil"/>
              <w:right w:val="nil"/>
            </w:tcBorders>
            <w:shd w:val="clear" w:color="auto" w:fill="auto"/>
            <w:noWrap/>
            <w:vAlign w:val="bottom"/>
            <w:hideMark/>
          </w:tcPr>
          <w:p w14:paraId="0230D05E"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197 (16.3) </w:t>
            </w:r>
          </w:p>
        </w:tc>
        <w:tc>
          <w:tcPr>
            <w:tcW w:w="1844" w:type="dxa"/>
            <w:gridSpan w:val="2"/>
            <w:tcBorders>
              <w:top w:val="nil"/>
              <w:left w:val="nil"/>
              <w:bottom w:val="nil"/>
              <w:right w:val="nil"/>
            </w:tcBorders>
            <w:shd w:val="clear" w:color="auto" w:fill="auto"/>
            <w:noWrap/>
            <w:vAlign w:val="bottom"/>
            <w:hideMark/>
          </w:tcPr>
          <w:p w14:paraId="25B66218"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333 (16.8) </w:t>
            </w:r>
          </w:p>
        </w:tc>
        <w:tc>
          <w:tcPr>
            <w:tcW w:w="838" w:type="dxa"/>
            <w:gridSpan w:val="2"/>
            <w:tcBorders>
              <w:top w:val="nil"/>
              <w:left w:val="nil"/>
              <w:bottom w:val="nil"/>
              <w:right w:val="nil"/>
            </w:tcBorders>
            <w:shd w:val="clear" w:color="auto" w:fill="auto"/>
            <w:noWrap/>
            <w:vAlign w:val="bottom"/>
            <w:hideMark/>
          </w:tcPr>
          <w:p w14:paraId="60DDF22F"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&lt;0.001</w:t>
            </w:r>
          </w:p>
        </w:tc>
      </w:tr>
      <w:tr w:rsidR="004906E5" w:rsidRPr="00803B40" w14:paraId="4168D467" w14:textId="77777777" w:rsidTr="00507A14">
        <w:trPr>
          <w:trHeight w:val="240"/>
        </w:trPr>
        <w:tc>
          <w:tcPr>
            <w:tcW w:w="3869" w:type="dxa"/>
            <w:gridSpan w:val="3"/>
            <w:tcBorders>
              <w:top w:val="nil"/>
              <w:left w:val="nil"/>
              <w:bottom w:val="nil"/>
              <w:right w:val="nil"/>
            </w:tcBorders>
            <w:shd w:val="clear" w:color="auto" w:fill="auto"/>
            <w:noWrap/>
            <w:vAlign w:val="bottom"/>
            <w:hideMark/>
          </w:tcPr>
          <w:p w14:paraId="5FC3DAEF" w14:textId="77777777" w:rsidR="004906E5" w:rsidRPr="00803B40" w:rsidRDefault="004906E5" w:rsidP="00507A14">
            <w:pPr>
              <w:spacing w:before="0" w:line="240" w:lineRule="auto"/>
              <w:rPr>
                <w:rFonts w:cs="Calibri"/>
                <w:color w:val="000000"/>
                <w:sz w:val="16"/>
                <w:szCs w:val="16"/>
                <w:lang w:eastAsia="en-GB"/>
              </w:rPr>
            </w:pPr>
            <w:r w:rsidRPr="00803B40">
              <w:rPr>
                <w:rFonts w:cs="Calibri"/>
                <w:color w:val="000000"/>
                <w:sz w:val="16"/>
                <w:szCs w:val="16"/>
                <w:lang w:eastAsia="en-GB"/>
              </w:rPr>
              <w:t>Anastomotic Leak</w:t>
            </w:r>
          </w:p>
        </w:tc>
        <w:tc>
          <w:tcPr>
            <w:tcW w:w="1844" w:type="dxa"/>
            <w:gridSpan w:val="2"/>
            <w:tcBorders>
              <w:top w:val="nil"/>
              <w:left w:val="nil"/>
              <w:bottom w:val="nil"/>
              <w:right w:val="nil"/>
            </w:tcBorders>
            <w:shd w:val="clear" w:color="auto" w:fill="auto"/>
            <w:noWrap/>
            <w:vAlign w:val="bottom"/>
            <w:hideMark/>
          </w:tcPr>
          <w:p w14:paraId="77B2E773"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37 (3.9) </w:t>
            </w:r>
          </w:p>
        </w:tc>
        <w:tc>
          <w:tcPr>
            <w:tcW w:w="1844" w:type="dxa"/>
            <w:gridSpan w:val="2"/>
            <w:tcBorders>
              <w:top w:val="nil"/>
              <w:left w:val="nil"/>
              <w:bottom w:val="nil"/>
              <w:right w:val="nil"/>
            </w:tcBorders>
            <w:shd w:val="clear" w:color="auto" w:fill="auto"/>
            <w:noWrap/>
            <w:vAlign w:val="bottom"/>
            <w:hideMark/>
          </w:tcPr>
          <w:p w14:paraId="256624CF"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67 (5.6) </w:t>
            </w:r>
          </w:p>
        </w:tc>
        <w:tc>
          <w:tcPr>
            <w:tcW w:w="1844" w:type="dxa"/>
            <w:gridSpan w:val="2"/>
            <w:tcBorders>
              <w:top w:val="nil"/>
              <w:left w:val="nil"/>
              <w:bottom w:val="nil"/>
              <w:right w:val="nil"/>
            </w:tcBorders>
            <w:shd w:val="clear" w:color="auto" w:fill="auto"/>
            <w:noWrap/>
            <w:vAlign w:val="bottom"/>
            <w:hideMark/>
          </w:tcPr>
          <w:p w14:paraId="5A9EE0C1"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115 (5.8) </w:t>
            </w:r>
          </w:p>
        </w:tc>
        <w:tc>
          <w:tcPr>
            <w:tcW w:w="838" w:type="dxa"/>
            <w:gridSpan w:val="2"/>
            <w:tcBorders>
              <w:top w:val="nil"/>
              <w:left w:val="nil"/>
              <w:bottom w:val="nil"/>
              <w:right w:val="nil"/>
            </w:tcBorders>
            <w:shd w:val="clear" w:color="auto" w:fill="auto"/>
            <w:noWrap/>
            <w:vAlign w:val="bottom"/>
            <w:hideMark/>
          </w:tcPr>
          <w:p w14:paraId="1C2137DD"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0.088</w:t>
            </w:r>
          </w:p>
        </w:tc>
      </w:tr>
      <w:tr w:rsidR="004906E5" w:rsidRPr="00803B40" w14:paraId="084D5740" w14:textId="77777777" w:rsidTr="00507A14">
        <w:trPr>
          <w:trHeight w:val="240"/>
        </w:trPr>
        <w:tc>
          <w:tcPr>
            <w:tcW w:w="3869" w:type="dxa"/>
            <w:gridSpan w:val="3"/>
            <w:tcBorders>
              <w:top w:val="nil"/>
              <w:left w:val="nil"/>
              <w:bottom w:val="nil"/>
              <w:right w:val="nil"/>
            </w:tcBorders>
            <w:shd w:val="clear" w:color="auto" w:fill="auto"/>
            <w:noWrap/>
            <w:vAlign w:val="bottom"/>
            <w:hideMark/>
          </w:tcPr>
          <w:p w14:paraId="6DA95951" w14:textId="77777777" w:rsidR="004906E5" w:rsidRPr="00803B40" w:rsidRDefault="004906E5" w:rsidP="00507A14">
            <w:pPr>
              <w:spacing w:before="0" w:line="240" w:lineRule="auto"/>
              <w:rPr>
                <w:rFonts w:cs="Calibri"/>
                <w:color w:val="000000"/>
                <w:sz w:val="16"/>
                <w:szCs w:val="16"/>
                <w:lang w:eastAsia="en-GB"/>
              </w:rPr>
            </w:pPr>
            <w:r w:rsidRPr="00803B40">
              <w:rPr>
                <w:rFonts w:cs="Calibri"/>
                <w:color w:val="000000"/>
                <w:sz w:val="16"/>
                <w:szCs w:val="16"/>
                <w:lang w:eastAsia="en-GB"/>
              </w:rPr>
              <w:t>Length of stay (days)</w:t>
            </w:r>
          </w:p>
        </w:tc>
        <w:tc>
          <w:tcPr>
            <w:tcW w:w="1844" w:type="dxa"/>
            <w:gridSpan w:val="2"/>
            <w:tcBorders>
              <w:top w:val="nil"/>
              <w:left w:val="nil"/>
              <w:bottom w:val="nil"/>
              <w:right w:val="nil"/>
            </w:tcBorders>
            <w:shd w:val="clear" w:color="auto" w:fill="auto"/>
            <w:noWrap/>
            <w:vAlign w:val="bottom"/>
            <w:hideMark/>
          </w:tcPr>
          <w:p w14:paraId="14D479D4"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9.00 [7.00, 13.00]</w:t>
            </w:r>
          </w:p>
        </w:tc>
        <w:tc>
          <w:tcPr>
            <w:tcW w:w="1844" w:type="dxa"/>
            <w:gridSpan w:val="2"/>
            <w:tcBorders>
              <w:top w:val="nil"/>
              <w:left w:val="nil"/>
              <w:bottom w:val="nil"/>
              <w:right w:val="nil"/>
            </w:tcBorders>
            <w:shd w:val="clear" w:color="auto" w:fill="auto"/>
            <w:noWrap/>
            <w:vAlign w:val="bottom"/>
            <w:hideMark/>
          </w:tcPr>
          <w:p w14:paraId="3652882B"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12.00 [9.00, 16.00]</w:t>
            </w:r>
          </w:p>
        </w:tc>
        <w:tc>
          <w:tcPr>
            <w:tcW w:w="1844" w:type="dxa"/>
            <w:gridSpan w:val="2"/>
            <w:tcBorders>
              <w:top w:val="nil"/>
              <w:left w:val="nil"/>
              <w:bottom w:val="nil"/>
              <w:right w:val="nil"/>
            </w:tcBorders>
            <w:shd w:val="clear" w:color="auto" w:fill="auto"/>
            <w:noWrap/>
            <w:vAlign w:val="bottom"/>
            <w:hideMark/>
          </w:tcPr>
          <w:p w14:paraId="173E9E68"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 xml:space="preserve"> 12.00 [9.00, 17.00]</w:t>
            </w:r>
          </w:p>
        </w:tc>
        <w:tc>
          <w:tcPr>
            <w:tcW w:w="838" w:type="dxa"/>
            <w:gridSpan w:val="2"/>
            <w:tcBorders>
              <w:top w:val="nil"/>
              <w:left w:val="nil"/>
              <w:bottom w:val="nil"/>
              <w:right w:val="nil"/>
            </w:tcBorders>
            <w:shd w:val="clear" w:color="auto" w:fill="auto"/>
            <w:noWrap/>
            <w:vAlign w:val="bottom"/>
            <w:hideMark/>
          </w:tcPr>
          <w:p w14:paraId="584FCBE1"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&lt;0.001¶</w:t>
            </w:r>
          </w:p>
        </w:tc>
      </w:tr>
      <w:tr w:rsidR="004906E5" w:rsidRPr="00803B40" w14:paraId="63F2F472" w14:textId="77777777" w:rsidTr="00507A14">
        <w:trPr>
          <w:trHeight w:val="240"/>
        </w:trPr>
        <w:tc>
          <w:tcPr>
            <w:tcW w:w="3869" w:type="dxa"/>
            <w:gridSpan w:val="3"/>
            <w:tcBorders>
              <w:top w:val="nil"/>
              <w:left w:val="nil"/>
              <w:bottom w:val="nil"/>
              <w:right w:val="nil"/>
            </w:tcBorders>
            <w:shd w:val="clear" w:color="auto" w:fill="auto"/>
            <w:noWrap/>
            <w:vAlign w:val="bottom"/>
            <w:hideMark/>
          </w:tcPr>
          <w:p w14:paraId="1A18E3EE" w14:textId="77777777" w:rsidR="004906E5" w:rsidRPr="00803B40" w:rsidRDefault="004906E5" w:rsidP="00507A14">
            <w:pPr>
              <w:spacing w:before="0" w:line="240" w:lineRule="auto"/>
              <w:rPr>
                <w:rFonts w:cs="Calibri"/>
                <w:color w:val="000000"/>
                <w:sz w:val="16"/>
                <w:szCs w:val="16"/>
                <w:lang w:eastAsia="en-GB"/>
              </w:rPr>
            </w:pPr>
            <w:r w:rsidRPr="00803B40">
              <w:rPr>
                <w:rFonts w:cs="Calibri"/>
                <w:color w:val="000000"/>
                <w:sz w:val="16"/>
                <w:szCs w:val="16"/>
                <w:lang w:eastAsia="en-GB"/>
              </w:rPr>
              <w:t>Diagnosis to resection (days)</w:t>
            </w:r>
          </w:p>
        </w:tc>
        <w:tc>
          <w:tcPr>
            <w:tcW w:w="1844" w:type="dxa"/>
            <w:gridSpan w:val="2"/>
            <w:tcBorders>
              <w:top w:val="nil"/>
              <w:left w:val="nil"/>
              <w:bottom w:val="nil"/>
              <w:right w:val="nil"/>
            </w:tcBorders>
            <w:shd w:val="clear" w:color="auto" w:fill="auto"/>
            <w:noWrap/>
            <w:vAlign w:val="bottom"/>
            <w:hideMark/>
          </w:tcPr>
          <w:p w14:paraId="47ECE559"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150.00 [136.00, 167.00]</w:t>
            </w:r>
          </w:p>
        </w:tc>
        <w:tc>
          <w:tcPr>
            <w:tcW w:w="1844" w:type="dxa"/>
            <w:gridSpan w:val="2"/>
            <w:tcBorders>
              <w:top w:val="nil"/>
              <w:left w:val="nil"/>
              <w:bottom w:val="nil"/>
              <w:right w:val="nil"/>
            </w:tcBorders>
            <w:shd w:val="clear" w:color="auto" w:fill="auto"/>
            <w:noWrap/>
            <w:vAlign w:val="bottom"/>
            <w:hideMark/>
          </w:tcPr>
          <w:p w14:paraId="66275089"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153.00 [140.00, 171.00]</w:t>
            </w:r>
          </w:p>
        </w:tc>
        <w:tc>
          <w:tcPr>
            <w:tcW w:w="1844" w:type="dxa"/>
            <w:gridSpan w:val="2"/>
            <w:tcBorders>
              <w:top w:val="nil"/>
              <w:left w:val="nil"/>
              <w:bottom w:val="nil"/>
              <w:right w:val="nil"/>
            </w:tcBorders>
            <w:shd w:val="clear" w:color="auto" w:fill="auto"/>
            <w:noWrap/>
            <w:vAlign w:val="bottom"/>
            <w:hideMark/>
          </w:tcPr>
          <w:p w14:paraId="0D49835F"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155.00 [140.00, 173.00]</w:t>
            </w:r>
          </w:p>
        </w:tc>
        <w:tc>
          <w:tcPr>
            <w:tcW w:w="838" w:type="dxa"/>
            <w:gridSpan w:val="2"/>
            <w:tcBorders>
              <w:top w:val="nil"/>
              <w:left w:val="nil"/>
              <w:bottom w:val="nil"/>
              <w:right w:val="nil"/>
            </w:tcBorders>
            <w:shd w:val="clear" w:color="auto" w:fill="auto"/>
            <w:noWrap/>
            <w:vAlign w:val="bottom"/>
            <w:hideMark/>
          </w:tcPr>
          <w:p w14:paraId="584180B1"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&lt;0.001¶</w:t>
            </w:r>
          </w:p>
        </w:tc>
      </w:tr>
      <w:tr w:rsidR="004906E5" w:rsidRPr="00803B40" w14:paraId="32595570" w14:textId="77777777" w:rsidTr="00507A14">
        <w:trPr>
          <w:trHeight w:val="240"/>
        </w:trPr>
        <w:tc>
          <w:tcPr>
            <w:tcW w:w="3869" w:type="dxa"/>
            <w:gridSpan w:val="3"/>
            <w:tcBorders>
              <w:top w:val="nil"/>
              <w:left w:val="nil"/>
              <w:bottom w:val="single" w:sz="8" w:space="0" w:color="auto"/>
              <w:right w:val="nil"/>
            </w:tcBorders>
            <w:shd w:val="clear" w:color="auto" w:fill="auto"/>
            <w:noWrap/>
            <w:vAlign w:val="bottom"/>
            <w:hideMark/>
          </w:tcPr>
          <w:p w14:paraId="7A9893B3" w14:textId="77777777" w:rsidR="004906E5" w:rsidRPr="00803B40" w:rsidRDefault="004906E5" w:rsidP="00507A14">
            <w:pPr>
              <w:spacing w:before="0" w:line="240" w:lineRule="auto"/>
              <w:rPr>
                <w:rFonts w:cs="Calibri"/>
                <w:color w:val="000000"/>
                <w:sz w:val="16"/>
                <w:szCs w:val="16"/>
                <w:lang w:eastAsia="en-GB"/>
              </w:rPr>
            </w:pPr>
            <w:r w:rsidRPr="00803B40">
              <w:rPr>
                <w:rFonts w:cs="Calibri"/>
                <w:color w:val="000000"/>
                <w:sz w:val="16"/>
                <w:szCs w:val="16"/>
                <w:lang w:eastAsia="en-GB"/>
              </w:rPr>
              <w:t>Postoperative Chemotherapy</w:t>
            </w:r>
          </w:p>
        </w:tc>
        <w:tc>
          <w:tcPr>
            <w:tcW w:w="1844" w:type="dxa"/>
            <w:gridSpan w:val="2"/>
            <w:tcBorders>
              <w:top w:val="nil"/>
              <w:left w:val="nil"/>
              <w:bottom w:val="nil"/>
              <w:right w:val="nil"/>
            </w:tcBorders>
            <w:shd w:val="clear" w:color="auto" w:fill="auto"/>
            <w:noWrap/>
            <w:vAlign w:val="bottom"/>
            <w:hideMark/>
          </w:tcPr>
          <w:p w14:paraId="4A673582"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406 (42.9)</w:t>
            </w:r>
          </w:p>
        </w:tc>
        <w:tc>
          <w:tcPr>
            <w:tcW w:w="1844" w:type="dxa"/>
            <w:gridSpan w:val="2"/>
            <w:tcBorders>
              <w:top w:val="nil"/>
              <w:left w:val="nil"/>
              <w:bottom w:val="nil"/>
              <w:right w:val="nil"/>
            </w:tcBorders>
            <w:shd w:val="clear" w:color="auto" w:fill="auto"/>
            <w:noWrap/>
            <w:vAlign w:val="bottom"/>
            <w:hideMark/>
          </w:tcPr>
          <w:p w14:paraId="747CA340"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437 (36.2)</w:t>
            </w:r>
          </w:p>
        </w:tc>
        <w:tc>
          <w:tcPr>
            <w:tcW w:w="1844" w:type="dxa"/>
            <w:gridSpan w:val="2"/>
            <w:tcBorders>
              <w:top w:val="nil"/>
              <w:left w:val="nil"/>
              <w:bottom w:val="nil"/>
              <w:right w:val="nil"/>
            </w:tcBorders>
            <w:shd w:val="clear" w:color="auto" w:fill="auto"/>
            <w:noWrap/>
            <w:vAlign w:val="bottom"/>
            <w:hideMark/>
          </w:tcPr>
          <w:p w14:paraId="6C8FC515"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750 (37.8)</w:t>
            </w:r>
          </w:p>
        </w:tc>
        <w:tc>
          <w:tcPr>
            <w:tcW w:w="838" w:type="dxa"/>
            <w:gridSpan w:val="2"/>
            <w:tcBorders>
              <w:top w:val="nil"/>
              <w:left w:val="nil"/>
              <w:bottom w:val="nil"/>
              <w:right w:val="nil"/>
            </w:tcBorders>
            <w:shd w:val="clear" w:color="auto" w:fill="auto"/>
            <w:noWrap/>
            <w:vAlign w:val="bottom"/>
            <w:hideMark/>
          </w:tcPr>
          <w:p w14:paraId="6288BA20" w14:textId="77777777" w:rsidR="004906E5" w:rsidRPr="00803B40" w:rsidRDefault="004906E5" w:rsidP="00507A14">
            <w:pPr>
              <w:spacing w:before="0" w:line="240" w:lineRule="auto"/>
              <w:jc w:val="center"/>
              <w:rPr>
                <w:rFonts w:cs="Calibri"/>
                <w:color w:val="000000"/>
                <w:sz w:val="16"/>
                <w:szCs w:val="16"/>
                <w:lang w:eastAsia="en-GB"/>
              </w:rPr>
            </w:pPr>
            <w:r w:rsidRPr="00803B40">
              <w:rPr>
                <w:rFonts w:cs="Calibri"/>
                <w:color w:val="000000"/>
                <w:sz w:val="16"/>
                <w:szCs w:val="16"/>
                <w:lang w:eastAsia="en-GB"/>
              </w:rPr>
              <w:t>0.004</w:t>
            </w:r>
          </w:p>
        </w:tc>
      </w:tr>
      <w:tr w:rsidR="004906E5" w:rsidRPr="00803B40" w14:paraId="3EA26893" w14:textId="77777777" w:rsidTr="00507A14">
        <w:trPr>
          <w:trHeight w:val="240"/>
        </w:trPr>
        <w:tc>
          <w:tcPr>
            <w:tcW w:w="10239" w:type="dxa"/>
            <w:gridSpan w:val="11"/>
            <w:tcBorders>
              <w:top w:val="single" w:sz="8" w:space="0" w:color="auto"/>
              <w:left w:val="nil"/>
              <w:bottom w:val="single" w:sz="8" w:space="0" w:color="auto"/>
              <w:right w:val="nil"/>
            </w:tcBorders>
            <w:shd w:val="clear" w:color="auto" w:fill="auto"/>
            <w:vAlign w:val="bottom"/>
            <w:hideMark/>
          </w:tcPr>
          <w:p w14:paraId="282F6E2C" w14:textId="77777777" w:rsidR="004906E5" w:rsidRPr="00803B40" w:rsidRDefault="004906E5" w:rsidP="00507A14">
            <w:pPr>
              <w:spacing w:before="0" w:line="240" w:lineRule="auto"/>
              <w:rPr>
                <w:rFonts w:cs="Calibri"/>
                <w:color w:val="000000"/>
                <w:sz w:val="16"/>
                <w:szCs w:val="16"/>
                <w:lang w:eastAsia="en-GB"/>
              </w:rPr>
            </w:pPr>
            <w:r w:rsidRPr="00803B40">
              <w:rPr>
                <w:rFonts w:cs="Calibri"/>
                <w:color w:val="000000"/>
                <w:sz w:val="16"/>
                <w:szCs w:val="16"/>
                <w:lang w:eastAsia="en-GB"/>
              </w:rPr>
              <w:t>Data presented as absolute number (%) and median (IQR), § χ2 test, except ¶ MWU test. GEJ = Gastro-esophageal junction, CRM = Circumferential resection margin, *Index of multiple deprivation</w:t>
            </w:r>
          </w:p>
        </w:tc>
      </w:tr>
    </w:tbl>
    <w:p w14:paraId="77929A07" w14:textId="77777777" w:rsidR="004906E5" w:rsidRDefault="004906E5" w:rsidP="004906E5">
      <w:pPr>
        <w:widowControl w:val="0"/>
        <w:autoSpaceDE w:val="0"/>
        <w:autoSpaceDN w:val="0"/>
        <w:adjustRightInd w:val="0"/>
        <w:ind w:left="640" w:hanging="640"/>
        <w:rPr>
          <w:sz w:val="24"/>
          <w:szCs w:val="24"/>
        </w:rPr>
      </w:pPr>
    </w:p>
    <w:p w14:paraId="4E2BFB73" w14:textId="77777777" w:rsidR="004906E5" w:rsidRDefault="004906E5" w:rsidP="004906E5">
      <w:pPr>
        <w:widowControl w:val="0"/>
        <w:autoSpaceDE w:val="0"/>
        <w:autoSpaceDN w:val="0"/>
        <w:adjustRightInd w:val="0"/>
        <w:ind w:left="640" w:hanging="640"/>
        <w:rPr>
          <w:sz w:val="24"/>
          <w:szCs w:val="24"/>
        </w:rPr>
      </w:pPr>
    </w:p>
    <w:p w14:paraId="085A3CD4" w14:textId="77777777" w:rsidR="004906E5" w:rsidRDefault="004906E5" w:rsidP="004906E5">
      <w:pPr>
        <w:widowControl w:val="0"/>
        <w:autoSpaceDE w:val="0"/>
        <w:autoSpaceDN w:val="0"/>
        <w:adjustRightInd w:val="0"/>
        <w:ind w:left="640" w:hanging="640"/>
        <w:rPr>
          <w:sz w:val="24"/>
          <w:szCs w:val="24"/>
        </w:rPr>
      </w:pPr>
    </w:p>
    <w:p w14:paraId="08DC4086" w14:textId="77777777" w:rsidR="004906E5" w:rsidRDefault="004906E5" w:rsidP="004906E5">
      <w:pPr>
        <w:widowControl w:val="0"/>
        <w:autoSpaceDE w:val="0"/>
        <w:autoSpaceDN w:val="0"/>
        <w:adjustRightInd w:val="0"/>
        <w:ind w:left="640" w:hanging="640"/>
        <w:rPr>
          <w:sz w:val="24"/>
          <w:szCs w:val="24"/>
        </w:rPr>
      </w:pPr>
      <w:r>
        <w:rPr>
          <w:sz w:val="24"/>
          <w:szCs w:val="24"/>
        </w:rPr>
        <w:t>Supplementary Table 4: Estimated benefit of receipt of postoperative chemotherapy dependent on tumour site and nodal involvement</w:t>
      </w:r>
    </w:p>
    <w:p w14:paraId="04A40E4E" w14:textId="77777777" w:rsidR="004906E5" w:rsidRDefault="004906E5" w:rsidP="004906E5">
      <w:pPr>
        <w:widowControl w:val="0"/>
        <w:autoSpaceDE w:val="0"/>
        <w:autoSpaceDN w:val="0"/>
        <w:adjustRightInd w:val="0"/>
        <w:ind w:left="640" w:hanging="640"/>
        <w:rPr>
          <w:sz w:val="24"/>
          <w:szCs w:val="24"/>
        </w:rPr>
      </w:pPr>
    </w:p>
    <w:tbl>
      <w:tblPr>
        <w:tblW w:w="9272" w:type="dxa"/>
        <w:tblLayout w:type="fixed"/>
        <w:tblLook w:val="04A0" w:firstRow="1" w:lastRow="0" w:firstColumn="1" w:lastColumn="0" w:noHBand="0" w:noVBand="1"/>
      </w:tblPr>
      <w:tblGrid>
        <w:gridCol w:w="1471"/>
        <w:gridCol w:w="927"/>
        <w:gridCol w:w="1106"/>
        <w:gridCol w:w="992"/>
        <w:gridCol w:w="1562"/>
        <w:gridCol w:w="661"/>
        <w:gridCol w:w="1645"/>
        <w:gridCol w:w="664"/>
        <w:gridCol w:w="244"/>
      </w:tblGrid>
      <w:tr w:rsidR="004906E5" w:rsidRPr="00547A4E" w14:paraId="36A2E75C" w14:textId="77777777" w:rsidTr="00507A14">
        <w:trPr>
          <w:gridAfter w:val="1"/>
          <w:wAfter w:w="244" w:type="dxa"/>
          <w:trHeight w:val="320"/>
        </w:trPr>
        <w:tc>
          <w:tcPr>
            <w:tcW w:w="1472" w:type="dxa"/>
            <w:vMerge w:val="restart"/>
            <w:tcBorders>
              <w:top w:val="single" w:sz="8" w:space="0" w:color="auto"/>
              <w:left w:val="nil"/>
              <w:bottom w:val="single" w:sz="8" w:space="0" w:color="000000"/>
              <w:right w:val="nil"/>
            </w:tcBorders>
            <w:shd w:val="clear" w:color="auto" w:fill="auto"/>
            <w:vAlign w:val="center"/>
            <w:hideMark/>
          </w:tcPr>
          <w:p w14:paraId="24C56D9A"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 xml:space="preserve">Cohort </w:t>
            </w:r>
          </w:p>
        </w:tc>
        <w:tc>
          <w:tcPr>
            <w:tcW w:w="928" w:type="dxa"/>
            <w:vMerge w:val="restart"/>
            <w:tcBorders>
              <w:top w:val="single" w:sz="8" w:space="0" w:color="auto"/>
              <w:left w:val="nil"/>
              <w:bottom w:val="single" w:sz="8" w:space="0" w:color="000000"/>
              <w:right w:val="nil"/>
            </w:tcBorders>
            <w:shd w:val="clear" w:color="auto" w:fill="auto"/>
            <w:vAlign w:val="center"/>
            <w:hideMark/>
          </w:tcPr>
          <w:p w14:paraId="450A6751"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Cases (n^) Observed/</w:t>
            </w:r>
            <w:r>
              <w:rPr>
                <w:rFonts w:cs="Calibri"/>
                <w:color w:val="000000"/>
                <w:sz w:val="16"/>
                <w:szCs w:val="16"/>
                <w:lang w:eastAsia="en-GB"/>
              </w:rPr>
              <w:t xml:space="preserve"> </w:t>
            </w:r>
            <w:r w:rsidRPr="00547A4E">
              <w:rPr>
                <w:rFonts w:cs="Calibri"/>
                <w:color w:val="000000"/>
                <w:sz w:val="16"/>
                <w:szCs w:val="16"/>
                <w:lang w:eastAsia="en-GB"/>
              </w:rPr>
              <w:t xml:space="preserve">Treated </w:t>
            </w:r>
          </w:p>
        </w:tc>
        <w:tc>
          <w:tcPr>
            <w:tcW w:w="1106" w:type="dxa"/>
            <w:vMerge w:val="restart"/>
            <w:tcBorders>
              <w:top w:val="single" w:sz="8" w:space="0" w:color="auto"/>
              <w:left w:val="nil"/>
              <w:bottom w:val="single" w:sz="8" w:space="0" w:color="000000"/>
              <w:right w:val="nil"/>
            </w:tcBorders>
            <w:shd w:val="clear" w:color="auto" w:fill="auto"/>
            <w:vAlign w:val="center"/>
            <w:hideMark/>
          </w:tcPr>
          <w:p w14:paraId="3B2A5502"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3-year Survival Observed (%)</w:t>
            </w:r>
          </w:p>
        </w:tc>
        <w:tc>
          <w:tcPr>
            <w:tcW w:w="992" w:type="dxa"/>
            <w:vMerge w:val="restart"/>
            <w:tcBorders>
              <w:top w:val="single" w:sz="8" w:space="0" w:color="auto"/>
              <w:left w:val="nil"/>
              <w:bottom w:val="single" w:sz="8" w:space="0" w:color="000000"/>
              <w:right w:val="nil"/>
            </w:tcBorders>
            <w:shd w:val="clear" w:color="auto" w:fill="auto"/>
            <w:vAlign w:val="center"/>
            <w:hideMark/>
          </w:tcPr>
          <w:p w14:paraId="620C0B9C"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3-year Survival Treated (%)</w:t>
            </w:r>
          </w:p>
        </w:tc>
        <w:tc>
          <w:tcPr>
            <w:tcW w:w="1562" w:type="dxa"/>
            <w:vMerge w:val="restart"/>
            <w:tcBorders>
              <w:top w:val="single" w:sz="8" w:space="0" w:color="auto"/>
              <w:left w:val="nil"/>
              <w:bottom w:val="single" w:sz="8" w:space="0" w:color="000000"/>
              <w:right w:val="nil"/>
            </w:tcBorders>
            <w:shd w:val="clear" w:color="auto" w:fill="auto"/>
            <w:vAlign w:val="center"/>
            <w:hideMark/>
          </w:tcPr>
          <w:p w14:paraId="0326505E"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3-year LED (95% CI)</w:t>
            </w:r>
          </w:p>
        </w:tc>
        <w:tc>
          <w:tcPr>
            <w:tcW w:w="661" w:type="dxa"/>
            <w:vMerge w:val="restart"/>
            <w:tcBorders>
              <w:top w:val="single" w:sz="8" w:space="0" w:color="auto"/>
              <w:left w:val="nil"/>
              <w:bottom w:val="single" w:sz="8" w:space="0" w:color="000000"/>
              <w:right w:val="nil"/>
            </w:tcBorders>
            <w:shd w:val="clear" w:color="auto" w:fill="auto"/>
            <w:vAlign w:val="center"/>
            <w:hideMark/>
          </w:tcPr>
          <w:p w14:paraId="6FE5E0D1"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P</w:t>
            </w:r>
          </w:p>
        </w:tc>
        <w:tc>
          <w:tcPr>
            <w:tcW w:w="1645" w:type="dxa"/>
            <w:vMerge w:val="restart"/>
            <w:tcBorders>
              <w:top w:val="single" w:sz="8" w:space="0" w:color="auto"/>
              <w:left w:val="nil"/>
              <w:bottom w:val="single" w:sz="8" w:space="0" w:color="000000"/>
              <w:right w:val="nil"/>
            </w:tcBorders>
            <w:shd w:val="clear" w:color="auto" w:fill="auto"/>
            <w:vAlign w:val="center"/>
            <w:hideMark/>
          </w:tcPr>
          <w:p w14:paraId="60EE9462"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HR (95% CI)</w:t>
            </w:r>
          </w:p>
        </w:tc>
        <w:tc>
          <w:tcPr>
            <w:tcW w:w="662" w:type="dxa"/>
            <w:vMerge w:val="restart"/>
            <w:tcBorders>
              <w:top w:val="single" w:sz="8" w:space="0" w:color="auto"/>
              <w:left w:val="nil"/>
              <w:bottom w:val="single" w:sz="8" w:space="0" w:color="000000"/>
              <w:right w:val="nil"/>
            </w:tcBorders>
            <w:shd w:val="clear" w:color="auto" w:fill="auto"/>
            <w:vAlign w:val="center"/>
            <w:hideMark/>
          </w:tcPr>
          <w:p w14:paraId="3BBF5815"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P</w:t>
            </w:r>
          </w:p>
        </w:tc>
      </w:tr>
      <w:tr w:rsidR="004906E5" w:rsidRPr="00547A4E" w14:paraId="481A9324" w14:textId="77777777" w:rsidTr="00507A14">
        <w:trPr>
          <w:trHeight w:val="340"/>
        </w:trPr>
        <w:tc>
          <w:tcPr>
            <w:tcW w:w="1472" w:type="dxa"/>
            <w:vMerge/>
            <w:tcBorders>
              <w:top w:val="single" w:sz="8" w:space="0" w:color="auto"/>
              <w:left w:val="nil"/>
              <w:bottom w:val="single" w:sz="8" w:space="0" w:color="000000"/>
              <w:right w:val="nil"/>
            </w:tcBorders>
            <w:vAlign w:val="center"/>
            <w:hideMark/>
          </w:tcPr>
          <w:p w14:paraId="22928413" w14:textId="77777777" w:rsidR="004906E5" w:rsidRPr="00547A4E" w:rsidRDefault="004906E5" w:rsidP="00507A14">
            <w:pPr>
              <w:spacing w:before="0" w:line="240" w:lineRule="auto"/>
              <w:rPr>
                <w:rFonts w:cs="Calibri"/>
                <w:color w:val="000000"/>
                <w:sz w:val="16"/>
                <w:szCs w:val="16"/>
                <w:lang w:eastAsia="en-GB"/>
              </w:rPr>
            </w:pPr>
          </w:p>
        </w:tc>
        <w:tc>
          <w:tcPr>
            <w:tcW w:w="928" w:type="dxa"/>
            <w:vMerge/>
            <w:tcBorders>
              <w:top w:val="single" w:sz="8" w:space="0" w:color="auto"/>
              <w:left w:val="nil"/>
              <w:bottom w:val="single" w:sz="8" w:space="0" w:color="000000"/>
              <w:right w:val="nil"/>
            </w:tcBorders>
            <w:vAlign w:val="center"/>
            <w:hideMark/>
          </w:tcPr>
          <w:p w14:paraId="69E18399" w14:textId="77777777" w:rsidR="004906E5" w:rsidRPr="00547A4E" w:rsidRDefault="004906E5" w:rsidP="00507A14">
            <w:pPr>
              <w:spacing w:before="0" w:line="240" w:lineRule="auto"/>
              <w:rPr>
                <w:rFonts w:cs="Calibri"/>
                <w:color w:val="000000"/>
                <w:sz w:val="16"/>
                <w:szCs w:val="16"/>
                <w:lang w:eastAsia="en-GB"/>
              </w:rPr>
            </w:pPr>
          </w:p>
        </w:tc>
        <w:tc>
          <w:tcPr>
            <w:tcW w:w="1106" w:type="dxa"/>
            <w:vMerge/>
            <w:tcBorders>
              <w:top w:val="single" w:sz="8" w:space="0" w:color="auto"/>
              <w:left w:val="nil"/>
              <w:bottom w:val="single" w:sz="8" w:space="0" w:color="000000"/>
              <w:right w:val="nil"/>
            </w:tcBorders>
            <w:vAlign w:val="center"/>
            <w:hideMark/>
          </w:tcPr>
          <w:p w14:paraId="0B82755A" w14:textId="77777777" w:rsidR="004906E5" w:rsidRPr="00547A4E" w:rsidRDefault="004906E5" w:rsidP="00507A14">
            <w:pPr>
              <w:spacing w:before="0" w:line="240" w:lineRule="auto"/>
              <w:rPr>
                <w:rFonts w:cs="Calibri"/>
                <w:color w:val="000000"/>
                <w:sz w:val="16"/>
                <w:szCs w:val="16"/>
                <w:lang w:eastAsia="en-GB"/>
              </w:rPr>
            </w:pPr>
          </w:p>
        </w:tc>
        <w:tc>
          <w:tcPr>
            <w:tcW w:w="992" w:type="dxa"/>
            <w:vMerge/>
            <w:tcBorders>
              <w:top w:val="single" w:sz="8" w:space="0" w:color="auto"/>
              <w:left w:val="nil"/>
              <w:bottom w:val="single" w:sz="8" w:space="0" w:color="000000"/>
              <w:right w:val="nil"/>
            </w:tcBorders>
            <w:vAlign w:val="center"/>
            <w:hideMark/>
          </w:tcPr>
          <w:p w14:paraId="26DCBF56" w14:textId="77777777" w:rsidR="004906E5" w:rsidRPr="00547A4E" w:rsidRDefault="004906E5" w:rsidP="00507A14">
            <w:pPr>
              <w:spacing w:before="0" w:line="240" w:lineRule="auto"/>
              <w:rPr>
                <w:rFonts w:cs="Calibri"/>
                <w:color w:val="000000"/>
                <w:sz w:val="16"/>
                <w:szCs w:val="16"/>
                <w:lang w:eastAsia="en-GB"/>
              </w:rPr>
            </w:pPr>
          </w:p>
        </w:tc>
        <w:tc>
          <w:tcPr>
            <w:tcW w:w="1562" w:type="dxa"/>
            <w:vMerge/>
            <w:tcBorders>
              <w:top w:val="single" w:sz="8" w:space="0" w:color="auto"/>
              <w:left w:val="nil"/>
              <w:bottom w:val="single" w:sz="8" w:space="0" w:color="000000"/>
              <w:right w:val="nil"/>
            </w:tcBorders>
            <w:vAlign w:val="center"/>
            <w:hideMark/>
          </w:tcPr>
          <w:p w14:paraId="7DA4FE36" w14:textId="77777777" w:rsidR="004906E5" w:rsidRPr="00547A4E" w:rsidRDefault="004906E5" w:rsidP="00507A14">
            <w:pPr>
              <w:spacing w:before="0" w:line="240" w:lineRule="auto"/>
              <w:rPr>
                <w:rFonts w:cs="Calibri"/>
                <w:color w:val="000000"/>
                <w:sz w:val="16"/>
                <w:szCs w:val="16"/>
                <w:lang w:eastAsia="en-GB"/>
              </w:rPr>
            </w:pPr>
          </w:p>
        </w:tc>
        <w:tc>
          <w:tcPr>
            <w:tcW w:w="661" w:type="dxa"/>
            <w:vMerge/>
            <w:tcBorders>
              <w:top w:val="single" w:sz="8" w:space="0" w:color="auto"/>
              <w:left w:val="nil"/>
              <w:bottom w:val="single" w:sz="8" w:space="0" w:color="000000"/>
              <w:right w:val="nil"/>
            </w:tcBorders>
            <w:vAlign w:val="center"/>
            <w:hideMark/>
          </w:tcPr>
          <w:p w14:paraId="3DB951C2" w14:textId="77777777" w:rsidR="004906E5" w:rsidRPr="00547A4E" w:rsidRDefault="004906E5" w:rsidP="00507A14">
            <w:pPr>
              <w:spacing w:before="0" w:line="240" w:lineRule="auto"/>
              <w:rPr>
                <w:rFonts w:cs="Calibri"/>
                <w:color w:val="000000"/>
                <w:sz w:val="16"/>
                <w:szCs w:val="16"/>
                <w:lang w:eastAsia="en-GB"/>
              </w:rPr>
            </w:pPr>
          </w:p>
        </w:tc>
        <w:tc>
          <w:tcPr>
            <w:tcW w:w="1645" w:type="dxa"/>
            <w:vMerge/>
            <w:tcBorders>
              <w:top w:val="single" w:sz="8" w:space="0" w:color="auto"/>
              <w:left w:val="nil"/>
              <w:bottom w:val="single" w:sz="8" w:space="0" w:color="000000"/>
              <w:right w:val="nil"/>
            </w:tcBorders>
            <w:vAlign w:val="center"/>
            <w:hideMark/>
          </w:tcPr>
          <w:p w14:paraId="098247F0" w14:textId="77777777" w:rsidR="004906E5" w:rsidRPr="00547A4E" w:rsidRDefault="004906E5" w:rsidP="00507A14">
            <w:pPr>
              <w:spacing w:before="0" w:line="240" w:lineRule="auto"/>
              <w:rPr>
                <w:rFonts w:cs="Calibri"/>
                <w:color w:val="000000"/>
                <w:sz w:val="16"/>
                <w:szCs w:val="16"/>
                <w:lang w:eastAsia="en-GB"/>
              </w:rPr>
            </w:pPr>
          </w:p>
        </w:tc>
        <w:tc>
          <w:tcPr>
            <w:tcW w:w="662" w:type="dxa"/>
            <w:vMerge/>
            <w:tcBorders>
              <w:top w:val="single" w:sz="8" w:space="0" w:color="auto"/>
              <w:left w:val="nil"/>
              <w:bottom w:val="single" w:sz="8" w:space="0" w:color="000000"/>
              <w:right w:val="nil"/>
            </w:tcBorders>
            <w:vAlign w:val="center"/>
            <w:hideMark/>
          </w:tcPr>
          <w:p w14:paraId="660E6819" w14:textId="77777777" w:rsidR="004906E5" w:rsidRPr="00547A4E" w:rsidRDefault="004906E5" w:rsidP="00507A14">
            <w:pPr>
              <w:spacing w:before="0" w:line="240" w:lineRule="auto"/>
              <w:rPr>
                <w:rFonts w:cs="Calibri"/>
                <w:color w:val="000000"/>
                <w:sz w:val="16"/>
                <w:szCs w:val="16"/>
                <w:lang w:eastAsia="en-GB"/>
              </w:rPr>
            </w:pPr>
          </w:p>
        </w:tc>
        <w:tc>
          <w:tcPr>
            <w:tcW w:w="242" w:type="dxa"/>
            <w:tcBorders>
              <w:top w:val="nil"/>
              <w:left w:val="nil"/>
              <w:bottom w:val="nil"/>
              <w:right w:val="nil"/>
            </w:tcBorders>
            <w:shd w:val="clear" w:color="auto" w:fill="auto"/>
            <w:noWrap/>
            <w:vAlign w:val="bottom"/>
            <w:hideMark/>
          </w:tcPr>
          <w:p w14:paraId="51BC83D6" w14:textId="77777777" w:rsidR="004906E5" w:rsidRPr="00547A4E" w:rsidRDefault="004906E5" w:rsidP="00507A14">
            <w:pPr>
              <w:spacing w:before="0" w:line="240" w:lineRule="auto"/>
              <w:jc w:val="center"/>
              <w:rPr>
                <w:rFonts w:cs="Calibri"/>
                <w:color w:val="000000"/>
                <w:sz w:val="16"/>
                <w:szCs w:val="16"/>
                <w:lang w:eastAsia="en-GB"/>
              </w:rPr>
            </w:pPr>
          </w:p>
        </w:tc>
      </w:tr>
      <w:tr w:rsidR="004906E5" w:rsidRPr="00547A4E" w14:paraId="02E2F6AE" w14:textId="77777777" w:rsidTr="00507A14">
        <w:trPr>
          <w:trHeight w:val="320"/>
        </w:trPr>
        <w:tc>
          <w:tcPr>
            <w:tcW w:w="1472" w:type="dxa"/>
            <w:tcBorders>
              <w:top w:val="nil"/>
              <w:left w:val="nil"/>
              <w:bottom w:val="nil"/>
              <w:right w:val="nil"/>
            </w:tcBorders>
            <w:shd w:val="clear" w:color="auto" w:fill="auto"/>
            <w:noWrap/>
            <w:vAlign w:val="center"/>
            <w:hideMark/>
          </w:tcPr>
          <w:p w14:paraId="3E8BA338" w14:textId="77777777" w:rsidR="004906E5" w:rsidRPr="00547A4E" w:rsidRDefault="004906E5" w:rsidP="00507A14">
            <w:pPr>
              <w:spacing w:before="0" w:line="240" w:lineRule="auto"/>
              <w:rPr>
                <w:rFonts w:cs="Calibri"/>
                <w:color w:val="000000"/>
                <w:sz w:val="16"/>
                <w:szCs w:val="16"/>
                <w:lang w:eastAsia="en-GB"/>
              </w:rPr>
            </w:pPr>
            <w:r>
              <w:rPr>
                <w:rFonts w:cs="Calibri"/>
                <w:color w:val="000000"/>
                <w:sz w:val="16"/>
                <w:szCs w:val="16"/>
                <w:lang w:eastAsia="en-GB"/>
              </w:rPr>
              <w:t>Oe</w:t>
            </w:r>
            <w:r w:rsidRPr="00547A4E">
              <w:rPr>
                <w:rFonts w:cs="Calibri"/>
                <w:color w:val="000000"/>
                <w:sz w:val="16"/>
                <w:szCs w:val="16"/>
                <w:lang w:eastAsia="en-GB"/>
              </w:rPr>
              <w:t>sophagus ypN0</w:t>
            </w:r>
          </w:p>
        </w:tc>
        <w:tc>
          <w:tcPr>
            <w:tcW w:w="928" w:type="dxa"/>
            <w:tcBorders>
              <w:top w:val="nil"/>
              <w:left w:val="nil"/>
              <w:bottom w:val="nil"/>
              <w:right w:val="nil"/>
            </w:tcBorders>
            <w:shd w:val="clear" w:color="auto" w:fill="auto"/>
            <w:noWrap/>
            <w:vAlign w:val="center"/>
            <w:hideMark/>
          </w:tcPr>
          <w:p w14:paraId="0E017EB4"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538/310</w:t>
            </w:r>
          </w:p>
        </w:tc>
        <w:tc>
          <w:tcPr>
            <w:tcW w:w="1106" w:type="dxa"/>
            <w:tcBorders>
              <w:top w:val="nil"/>
              <w:left w:val="nil"/>
              <w:bottom w:val="nil"/>
              <w:right w:val="nil"/>
            </w:tcBorders>
            <w:shd w:val="clear" w:color="auto" w:fill="auto"/>
            <w:noWrap/>
            <w:vAlign w:val="center"/>
            <w:hideMark/>
          </w:tcPr>
          <w:p w14:paraId="6A666D52"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79.5</w:t>
            </w:r>
          </w:p>
        </w:tc>
        <w:tc>
          <w:tcPr>
            <w:tcW w:w="992" w:type="dxa"/>
            <w:tcBorders>
              <w:top w:val="nil"/>
              <w:left w:val="nil"/>
              <w:bottom w:val="nil"/>
              <w:right w:val="nil"/>
            </w:tcBorders>
            <w:shd w:val="clear" w:color="auto" w:fill="auto"/>
            <w:vAlign w:val="center"/>
            <w:hideMark/>
          </w:tcPr>
          <w:p w14:paraId="767CC9E3"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88.2</w:t>
            </w:r>
          </w:p>
        </w:tc>
        <w:tc>
          <w:tcPr>
            <w:tcW w:w="1562" w:type="dxa"/>
            <w:tcBorders>
              <w:top w:val="nil"/>
              <w:left w:val="nil"/>
              <w:bottom w:val="nil"/>
              <w:right w:val="nil"/>
            </w:tcBorders>
            <w:shd w:val="clear" w:color="auto" w:fill="auto"/>
            <w:noWrap/>
            <w:vAlign w:val="center"/>
            <w:hideMark/>
          </w:tcPr>
          <w:p w14:paraId="2C5A0745"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1.58 (0.66 - 2.5)</w:t>
            </w:r>
          </w:p>
        </w:tc>
        <w:tc>
          <w:tcPr>
            <w:tcW w:w="661" w:type="dxa"/>
            <w:tcBorders>
              <w:top w:val="nil"/>
              <w:left w:val="nil"/>
              <w:bottom w:val="nil"/>
              <w:right w:val="nil"/>
            </w:tcBorders>
            <w:shd w:val="clear" w:color="auto" w:fill="auto"/>
            <w:noWrap/>
            <w:vAlign w:val="center"/>
            <w:hideMark/>
          </w:tcPr>
          <w:p w14:paraId="14D5BB02"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0.001</w:t>
            </w:r>
          </w:p>
        </w:tc>
        <w:tc>
          <w:tcPr>
            <w:tcW w:w="1645" w:type="dxa"/>
            <w:tcBorders>
              <w:top w:val="nil"/>
              <w:left w:val="nil"/>
              <w:bottom w:val="nil"/>
              <w:right w:val="nil"/>
            </w:tcBorders>
            <w:shd w:val="clear" w:color="auto" w:fill="auto"/>
            <w:noWrap/>
            <w:vAlign w:val="center"/>
            <w:hideMark/>
          </w:tcPr>
          <w:p w14:paraId="66740681"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0.692 (0.424 - 1.129)</w:t>
            </w:r>
          </w:p>
        </w:tc>
        <w:tc>
          <w:tcPr>
            <w:tcW w:w="662" w:type="dxa"/>
            <w:tcBorders>
              <w:top w:val="nil"/>
              <w:left w:val="nil"/>
              <w:bottom w:val="nil"/>
              <w:right w:val="nil"/>
            </w:tcBorders>
            <w:shd w:val="clear" w:color="auto" w:fill="auto"/>
            <w:noWrap/>
            <w:vAlign w:val="center"/>
            <w:hideMark/>
          </w:tcPr>
          <w:p w14:paraId="0C2A6758"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0.141</w:t>
            </w:r>
          </w:p>
        </w:tc>
        <w:tc>
          <w:tcPr>
            <w:tcW w:w="242" w:type="dxa"/>
            <w:vAlign w:val="center"/>
            <w:hideMark/>
          </w:tcPr>
          <w:p w14:paraId="51CB64B3" w14:textId="77777777" w:rsidR="004906E5" w:rsidRPr="00547A4E" w:rsidRDefault="004906E5" w:rsidP="00507A14">
            <w:pPr>
              <w:spacing w:before="0" w:line="240" w:lineRule="auto"/>
              <w:rPr>
                <w:rFonts w:ascii="Times New Roman" w:hAnsi="Times New Roman"/>
                <w:sz w:val="20"/>
                <w:szCs w:val="20"/>
                <w:lang w:eastAsia="en-GB"/>
              </w:rPr>
            </w:pPr>
          </w:p>
        </w:tc>
      </w:tr>
      <w:tr w:rsidR="004906E5" w:rsidRPr="00547A4E" w14:paraId="6BE67672" w14:textId="77777777" w:rsidTr="00507A14">
        <w:trPr>
          <w:trHeight w:val="320"/>
        </w:trPr>
        <w:tc>
          <w:tcPr>
            <w:tcW w:w="1472" w:type="dxa"/>
            <w:tcBorders>
              <w:top w:val="nil"/>
              <w:left w:val="nil"/>
              <w:bottom w:val="nil"/>
              <w:right w:val="nil"/>
            </w:tcBorders>
            <w:shd w:val="clear" w:color="auto" w:fill="auto"/>
            <w:noWrap/>
            <w:vAlign w:val="center"/>
            <w:hideMark/>
          </w:tcPr>
          <w:p w14:paraId="581E27E8" w14:textId="77777777" w:rsidR="004906E5" w:rsidRPr="00547A4E" w:rsidRDefault="004906E5" w:rsidP="00507A14">
            <w:pPr>
              <w:spacing w:before="0" w:line="240" w:lineRule="auto"/>
              <w:rPr>
                <w:rFonts w:cs="Calibri"/>
                <w:color w:val="000000"/>
                <w:sz w:val="16"/>
                <w:szCs w:val="16"/>
                <w:lang w:eastAsia="en-GB"/>
              </w:rPr>
            </w:pPr>
            <w:r>
              <w:rPr>
                <w:rFonts w:cs="Calibri"/>
                <w:color w:val="000000"/>
                <w:sz w:val="16"/>
                <w:szCs w:val="16"/>
                <w:lang w:eastAsia="en-GB"/>
              </w:rPr>
              <w:t>Oe</w:t>
            </w:r>
            <w:r w:rsidRPr="00547A4E">
              <w:rPr>
                <w:rFonts w:cs="Calibri"/>
                <w:color w:val="000000"/>
                <w:sz w:val="16"/>
                <w:szCs w:val="16"/>
                <w:lang w:eastAsia="en-GB"/>
              </w:rPr>
              <w:t>sophagus ypN+</w:t>
            </w:r>
          </w:p>
        </w:tc>
        <w:tc>
          <w:tcPr>
            <w:tcW w:w="928" w:type="dxa"/>
            <w:tcBorders>
              <w:top w:val="nil"/>
              <w:left w:val="nil"/>
              <w:bottom w:val="nil"/>
              <w:right w:val="nil"/>
            </w:tcBorders>
            <w:shd w:val="clear" w:color="auto" w:fill="auto"/>
            <w:noWrap/>
            <w:vAlign w:val="center"/>
            <w:hideMark/>
          </w:tcPr>
          <w:p w14:paraId="17EDE00E"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697/440</w:t>
            </w:r>
          </w:p>
        </w:tc>
        <w:tc>
          <w:tcPr>
            <w:tcW w:w="1106" w:type="dxa"/>
            <w:tcBorders>
              <w:top w:val="nil"/>
              <w:left w:val="nil"/>
              <w:bottom w:val="nil"/>
              <w:right w:val="nil"/>
            </w:tcBorders>
            <w:shd w:val="clear" w:color="auto" w:fill="auto"/>
            <w:noWrap/>
            <w:vAlign w:val="center"/>
            <w:hideMark/>
          </w:tcPr>
          <w:p w14:paraId="1BB92B5E"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38.9</w:t>
            </w:r>
          </w:p>
        </w:tc>
        <w:tc>
          <w:tcPr>
            <w:tcW w:w="992" w:type="dxa"/>
            <w:tcBorders>
              <w:top w:val="nil"/>
              <w:left w:val="nil"/>
              <w:bottom w:val="nil"/>
              <w:right w:val="nil"/>
            </w:tcBorders>
            <w:shd w:val="clear" w:color="auto" w:fill="auto"/>
            <w:vAlign w:val="center"/>
            <w:hideMark/>
          </w:tcPr>
          <w:p w14:paraId="29C1640E"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40.4</w:t>
            </w:r>
          </w:p>
        </w:tc>
        <w:tc>
          <w:tcPr>
            <w:tcW w:w="1562" w:type="dxa"/>
            <w:tcBorders>
              <w:top w:val="nil"/>
              <w:left w:val="nil"/>
              <w:bottom w:val="nil"/>
              <w:right w:val="nil"/>
            </w:tcBorders>
            <w:shd w:val="clear" w:color="auto" w:fill="auto"/>
            <w:noWrap/>
            <w:vAlign w:val="center"/>
            <w:hideMark/>
          </w:tcPr>
          <w:p w14:paraId="7B283BAF"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1.98 (0.68 - 3.27)</w:t>
            </w:r>
          </w:p>
        </w:tc>
        <w:tc>
          <w:tcPr>
            <w:tcW w:w="661" w:type="dxa"/>
            <w:tcBorders>
              <w:top w:val="nil"/>
              <w:left w:val="nil"/>
              <w:bottom w:val="nil"/>
              <w:right w:val="nil"/>
            </w:tcBorders>
            <w:shd w:val="clear" w:color="auto" w:fill="auto"/>
            <w:noWrap/>
            <w:vAlign w:val="center"/>
            <w:hideMark/>
          </w:tcPr>
          <w:p w14:paraId="5186972B"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0.003</w:t>
            </w:r>
          </w:p>
        </w:tc>
        <w:tc>
          <w:tcPr>
            <w:tcW w:w="1645" w:type="dxa"/>
            <w:tcBorders>
              <w:top w:val="nil"/>
              <w:left w:val="nil"/>
              <w:bottom w:val="nil"/>
              <w:right w:val="nil"/>
            </w:tcBorders>
            <w:shd w:val="clear" w:color="auto" w:fill="auto"/>
            <w:noWrap/>
            <w:vAlign w:val="center"/>
            <w:hideMark/>
          </w:tcPr>
          <w:p w14:paraId="33622A5C"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0.811 (0.694 - 0.949)</w:t>
            </w:r>
          </w:p>
        </w:tc>
        <w:tc>
          <w:tcPr>
            <w:tcW w:w="662" w:type="dxa"/>
            <w:tcBorders>
              <w:top w:val="nil"/>
              <w:left w:val="nil"/>
              <w:bottom w:val="nil"/>
              <w:right w:val="nil"/>
            </w:tcBorders>
            <w:shd w:val="clear" w:color="auto" w:fill="auto"/>
            <w:noWrap/>
            <w:vAlign w:val="center"/>
            <w:hideMark/>
          </w:tcPr>
          <w:p w14:paraId="57FFC7D0"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0.009</w:t>
            </w:r>
          </w:p>
        </w:tc>
        <w:tc>
          <w:tcPr>
            <w:tcW w:w="242" w:type="dxa"/>
            <w:vAlign w:val="center"/>
            <w:hideMark/>
          </w:tcPr>
          <w:p w14:paraId="0AA15FD7" w14:textId="77777777" w:rsidR="004906E5" w:rsidRPr="00547A4E" w:rsidRDefault="004906E5" w:rsidP="00507A14">
            <w:pPr>
              <w:spacing w:before="0" w:line="240" w:lineRule="auto"/>
              <w:rPr>
                <w:rFonts w:ascii="Times New Roman" w:hAnsi="Times New Roman"/>
                <w:sz w:val="20"/>
                <w:szCs w:val="20"/>
                <w:lang w:eastAsia="en-GB"/>
              </w:rPr>
            </w:pPr>
          </w:p>
        </w:tc>
      </w:tr>
      <w:tr w:rsidR="004906E5" w:rsidRPr="00547A4E" w14:paraId="796E7F0A" w14:textId="77777777" w:rsidTr="00507A14">
        <w:trPr>
          <w:trHeight w:val="320"/>
        </w:trPr>
        <w:tc>
          <w:tcPr>
            <w:tcW w:w="1472" w:type="dxa"/>
            <w:tcBorders>
              <w:top w:val="nil"/>
              <w:left w:val="nil"/>
              <w:bottom w:val="nil"/>
              <w:right w:val="nil"/>
            </w:tcBorders>
            <w:shd w:val="clear" w:color="auto" w:fill="auto"/>
            <w:noWrap/>
            <w:vAlign w:val="center"/>
            <w:hideMark/>
          </w:tcPr>
          <w:p w14:paraId="035AEE3A" w14:textId="77777777" w:rsidR="004906E5" w:rsidRPr="00547A4E" w:rsidRDefault="004906E5" w:rsidP="00507A14">
            <w:pPr>
              <w:spacing w:before="0" w:line="240" w:lineRule="auto"/>
              <w:rPr>
                <w:rFonts w:cs="Calibri"/>
                <w:color w:val="000000"/>
                <w:sz w:val="16"/>
                <w:szCs w:val="16"/>
                <w:lang w:eastAsia="en-GB"/>
              </w:rPr>
            </w:pPr>
            <w:r>
              <w:rPr>
                <w:rFonts w:cs="Calibri"/>
                <w:color w:val="000000"/>
                <w:sz w:val="16"/>
                <w:szCs w:val="16"/>
                <w:lang w:eastAsia="en-GB"/>
              </w:rPr>
              <w:t>GOJ</w:t>
            </w:r>
            <w:r w:rsidRPr="00547A4E">
              <w:rPr>
                <w:rFonts w:cs="Calibri"/>
                <w:color w:val="000000"/>
                <w:sz w:val="16"/>
                <w:szCs w:val="16"/>
                <w:lang w:eastAsia="en-GB"/>
              </w:rPr>
              <w:t xml:space="preserve"> SI-III ypN0</w:t>
            </w:r>
          </w:p>
        </w:tc>
        <w:tc>
          <w:tcPr>
            <w:tcW w:w="928" w:type="dxa"/>
            <w:tcBorders>
              <w:top w:val="nil"/>
              <w:left w:val="nil"/>
              <w:bottom w:val="nil"/>
              <w:right w:val="nil"/>
            </w:tcBorders>
            <w:shd w:val="clear" w:color="auto" w:fill="auto"/>
            <w:noWrap/>
            <w:vAlign w:val="center"/>
            <w:hideMark/>
          </w:tcPr>
          <w:p w14:paraId="5271CF75"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332/178</w:t>
            </w:r>
          </w:p>
        </w:tc>
        <w:tc>
          <w:tcPr>
            <w:tcW w:w="1106" w:type="dxa"/>
            <w:tcBorders>
              <w:top w:val="nil"/>
              <w:left w:val="nil"/>
              <w:bottom w:val="nil"/>
              <w:right w:val="nil"/>
            </w:tcBorders>
            <w:shd w:val="clear" w:color="auto" w:fill="auto"/>
            <w:noWrap/>
            <w:vAlign w:val="center"/>
            <w:hideMark/>
          </w:tcPr>
          <w:p w14:paraId="733091AB"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81.1</w:t>
            </w:r>
          </w:p>
        </w:tc>
        <w:tc>
          <w:tcPr>
            <w:tcW w:w="992" w:type="dxa"/>
            <w:tcBorders>
              <w:top w:val="nil"/>
              <w:left w:val="nil"/>
              <w:bottom w:val="nil"/>
              <w:right w:val="nil"/>
            </w:tcBorders>
            <w:shd w:val="clear" w:color="auto" w:fill="auto"/>
            <w:vAlign w:val="center"/>
            <w:hideMark/>
          </w:tcPr>
          <w:p w14:paraId="295148FB"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81.1</w:t>
            </w:r>
          </w:p>
        </w:tc>
        <w:tc>
          <w:tcPr>
            <w:tcW w:w="1562" w:type="dxa"/>
            <w:tcBorders>
              <w:top w:val="nil"/>
              <w:left w:val="nil"/>
              <w:bottom w:val="nil"/>
              <w:right w:val="nil"/>
            </w:tcBorders>
            <w:shd w:val="clear" w:color="auto" w:fill="auto"/>
            <w:noWrap/>
            <w:vAlign w:val="center"/>
            <w:hideMark/>
          </w:tcPr>
          <w:p w14:paraId="2E698267"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0.53 (-1.28 - 2.34)</w:t>
            </w:r>
          </w:p>
        </w:tc>
        <w:tc>
          <w:tcPr>
            <w:tcW w:w="661" w:type="dxa"/>
            <w:tcBorders>
              <w:top w:val="nil"/>
              <w:left w:val="nil"/>
              <w:bottom w:val="nil"/>
              <w:right w:val="nil"/>
            </w:tcBorders>
            <w:shd w:val="clear" w:color="auto" w:fill="auto"/>
            <w:noWrap/>
            <w:vAlign w:val="center"/>
            <w:hideMark/>
          </w:tcPr>
          <w:p w14:paraId="20BC6C42"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0.567</w:t>
            </w:r>
          </w:p>
        </w:tc>
        <w:tc>
          <w:tcPr>
            <w:tcW w:w="1645" w:type="dxa"/>
            <w:tcBorders>
              <w:top w:val="nil"/>
              <w:left w:val="nil"/>
              <w:bottom w:val="nil"/>
              <w:right w:val="nil"/>
            </w:tcBorders>
            <w:shd w:val="clear" w:color="auto" w:fill="auto"/>
            <w:noWrap/>
            <w:vAlign w:val="center"/>
            <w:hideMark/>
          </w:tcPr>
          <w:p w14:paraId="7791D459"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1.148 (0.648 - 2.036)</w:t>
            </w:r>
          </w:p>
        </w:tc>
        <w:tc>
          <w:tcPr>
            <w:tcW w:w="662" w:type="dxa"/>
            <w:tcBorders>
              <w:top w:val="nil"/>
              <w:left w:val="nil"/>
              <w:bottom w:val="nil"/>
              <w:right w:val="nil"/>
            </w:tcBorders>
            <w:shd w:val="clear" w:color="auto" w:fill="auto"/>
            <w:noWrap/>
            <w:vAlign w:val="center"/>
            <w:hideMark/>
          </w:tcPr>
          <w:p w14:paraId="308C5943"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0.649</w:t>
            </w:r>
          </w:p>
        </w:tc>
        <w:tc>
          <w:tcPr>
            <w:tcW w:w="242" w:type="dxa"/>
            <w:vAlign w:val="center"/>
            <w:hideMark/>
          </w:tcPr>
          <w:p w14:paraId="13492DCB" w14:textId="77777777" w:rsidR="004906E5" w:rsidRPr="00547A4E" w:rsidRDefault="004906E5" w:rsidP="00507A14">
            <w:pPr>
              <w:spacing w:before="0" w:line="240" w:lineRule="auto"/>
              <w:rPr>
                <w:rFonts w:ascii="Times New Roman" w:hAnsi="Times New Roman"/>
                <w:sz w:val="20"/>
                <w:szCs w:val="20"/>
                <w:lang w:eastAsia="en-GB"/>
              </w:rPr>
            </w:pPr>
          </w:p>
        </w:tc>
      </w:tr>
      <w:tr w:rsidR="004906E5" w:rsidRPr="00547A4E" w14:paraId="5B1A2CA1" w14:textId="77777777" w:rsidTr="00507A14">
        <w:trPr>
          <w:trHeight w:val="320"/>
        </w:trPr>
        <w:tc>
          <w:tcPr>
            <w:tcW w:w="1472" w:type="dxa"/>
            <w:tcBorders>
              <w:top w:val="nil"/>
              <w:left w:val="nil"/>
              <w:bottom w:val="nil"/>
              <w:right w:val="nil"/>
            </w:tcBorders>
            <w:shd w:val="clear" w:color="auto" w:fill="auto"/>
            <w:noWrap/>
            <w:vAlign w:val="center"/>
            <w:hideMark/>
          </w:tcPr>
          <w:p w14:paraId="1F0C889D" w14:textId="77777777" w:rsidR="004906E5" w:rsidRPr="00547A4E" w:rsidRDefault="004906E5" w:rsidP="00507A14">
            <w:pPr>
              <w:spacing w:before="0" w:line="240" w:lineRule="auto"/>
              <w:rPr>
                <w:rFonts w:cs="Calibri"/>
                <w:color w:val="000000"/>
                <w:sz w:val="16"/>
                <w:szCs w:val="16"/>
                <w:lang w:eastAsia="en-GB"/>
              </w:rPr>
            </w:pPr>
            <w:r>
              <w:rPr>
                <w:rFonts w:cs="Calibri"/>
                <w:color w:val="000000"/>
                <w:sz w:val="16"/>
                <w:szCs w:val="16"/>
                <w:lang w:eastAsia="en-GB"/>
              </w:rPr>
              <w:t>GOJ</w:t>
            </w:r>
            <w:r w:rsidRPr="00547A4E">
              <w:rPr>
                <w:rFonts w:cs="Calibri"/>
                <w:color w:val="000000"/>
                <w:sz w:val="16"/>
                <w:szCs w:val="16"/>
                <w:lang w:eastAsia="en-GB"/>
              </w:rPr>
              <w:t xml:space="preserve"> SI-III ypN+</w:t>
            </w:r>
          </w:p>
        </w:tc>
        <w:tc>
          <w:tcPr>
            <w:tcW w:w="928" w:type="dxa"/>
            <w:tcBorders>
              <w:top w:val="nil"/>
              <w:left w:val="nil"/>
              <w:bottom w:val="nil"/>
              <w:right w:val="nil"/>
            </w:tcBorders>
            <w:shd w:val="clear" w:color="auto" w:fill="auto"/>
            <w:noWrap/>
            <w:vAlign w:val="center"/>
            <w:hideMark/>
          </w:tcPr>
          <w:p w14:paraId="3EE1AAC1"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429/259</w:t>
            </w:r>
          </w:p>
        </w:tc>
        <w:tc>
          <w:tcPr>
            <w:tcW w:w="1106" w:type="dxa"/>
            <w:tcBorders>
              <w:top w:val="nil"/>
              <w:left w:val="nil"/>
              <w:bottom w:val="nil"/>
              <w:right w:val="nil"/>
            </w:tcBorders>
            <w:shd w:val="clear" w:color="auto" w:fill="auto"/>
            <w:vAlign w:val="center"/>
            <w:hideMark/>
          </w:tcPr>
          <w:p w14:paraId="72607F08"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39.5</w:t>
            </w:r>
          </w:p>
        </w:tc>
        <w:tc>
          <w:tcPr>
            <w:tcW w:w="992" w:type="dxa"/>
            <w:tcBorders>
              <w:top w:val="nil"/>
              <w:left w:val="nil"/>
              <w:bottom w:val="nil"/>
              <w:right w:val="nil"/>
            </w:tcBorders>
            <w:shd w:val="clear" w:color="auto" w:fill="auto"/>
            <w:noWrap/>
            <w:vAlign w:val="center"/>
            <w:hideMark/>
          </w:tcPr>
          <w:p w14:paraId="7AF65CB3"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47.6</w:t>
            </w:r>
          </w:p>
        </w:tc>
        <w:tc>
          <w:tcPr>
            <w:tcW w:w="1562" w:type="dxa"/>
            <w:tcBorders>
              <w:top w:val="nil"/>
              <w:left w:val="nil"/>
              <w:bottom w:val="nil"/>
              <w:right w:val="nil"/>
            </w:tcBorders>
            <w:shd w:val="clear" w:color="auto" w:fill="auto"/>
            <w:noWrap/>
            <w:vAlign w:val="center"/>
            <w:hideMark/>
          </w:tcPr>
          <w:p w14:paraId="584F3689"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2.55 (0.98 - 4.12)</w:t>
            </w:r>
          </w:p>
        </w:tc>
        <w:tc>
          <w:tcPr>
            <w:tcW w:w="661" w:type="dxa"/>
            <w:tcBorders>
              <w:top w:val="nil"/>
              <w:left w:val="nil"/>
              <w:bottom w:val="nil"/>
              <w:right w:val="nil"/>
            </w:tcBorders>
            <w:shd w:val="clear" w:color="auto" w:fill="auto"/>
            <w:noWrap/>
            <w:vAlign w:val="center"/>
            <w:hideMark/>
          </w:tcPr>
          <w:p w14:paraId="71EC1B2E"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0.001</w:t>
            </w:r>
          </w:p>
        </w:tc>
        <w:tc>
          <w:tcPr>
            <w:tcW w:w="1645" w:type="dxa"/>
            <w:tcBorders>
              <w:top w:val="nil"/>
              <w:left w:val="nil"/>
              <w:bottom w:val="nil"/>
              <w:right w:val="nil"/>
            </w:tcBorders>
            <w:shd w:val="clear" w:color="auto" w:fill="auto"/>
            <w:noWrap/>
            <w:vAlign w:val="center"/>
            <w:hideMark/>
          </w:tcPr>
          <w:p w14:paraId="09DBA5C1"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0.762 (0.61 - 0.951)</w:t>
            </w:r>
          </w:p>
        </w:tc>
        <w:tc>
          <w:tcPr>
            <w:tcW w:w="662" w:type="dxa"/>
            <w:tcBorders>
              <w:top w:val="nil"/>
              <w:left w:val="nil"/>
              <w:bottom w:val="nil"/>
              <w:right w:val="nil"/>
            </w:tcBorders>
            <w:shd w:val="clear" w:color="auto" w:fill="auto"/>
            <w:noWrap/>
            <w:vAlign w:val="center"/>
            <w:hideMark/>
          </w:tcPr>
          <w:p w14:paraId="4A72A246"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0.016</w:t>
            </w:r>
          </w:p>
        </w:tc>
        <w:tc>
          <w:tcPr>
            <w:tcW w:w="242" w:type="dxa"/>
            <w:vAlign w:val="center"/>
            <w:hideMark/>
          </w:tcPr>
          <w:p w14:paraId="2AC82402" w14:textId="77777777" w:rsidR="004906E5" w:rsidRPr="00547A4E" w:rsidRDefault="004906E5" w:rsidP="00507A14">
            <w:pPr>
              <w:spacing w:before="0" w:line="240" w:lineRule="auto"/>
              <w:rPr>
                <w:rFonts w:ascii="Times New Roman" w:hAnsi="Times New Roman"/>
                <w:sz w:val="20"/>
                <w:szCs w:val="20"/>
                <w:lang w:eastAsia="en-GB"/>
              </w:rPr>
            </w:pPr>
          </w:p>
        </w:tc>
      </w:tr>
      <w:tr w:rsidR="004906E5" w:rsidRPr="00547A4E" w14:paraId="03590244" w14:textId="77777777" w:rsidTr="00507A14">
        <w:trPr>
          <w:trHeight w:val="320"/>
        </w:trPr>
        <w:tc>
          <w:tcPr>
            <w:tcW w:w="1472" w:type="dxa"/>
            <w:tcBorders>
              <w:top w:val="nil"/>
              <w:left w:val="nil"/>
              <w:bottom w:val="nil"/>
              <w:right w:val="nil"/>
            </w:tcBorders>
            <w:shd w:val="clear" w:color="auto" w:fill="auto"/>
            <w:noWrap/>
            <w:vAlign w:val="center"/>
            <w:hideMark/>
          </w:tcPr>
          <w:p w14:paraId="162EF668" w14:textId="77777777" w:rsidR="004906E5" w:rsidRPr="00547A4E" w:rsidRDefault="004906E5" w:rsidP="00507A14">
            <w:pPr>
              <w:spacing w:before="0" w:line="240" w:lineRule="auto"/>
              <w:rPr>
                <w:rFonts w:cs="Calibri"/>
                <w:color w:val="000000"/>
                <w:sz w:val="16"/>
                <w:szCs w:val="16"/>
                <w:lang w:eastAsia="en-GB"/>
              </w:rPr>
            </w:pPr>
            <w:r w:rsidRPr="00547A4E">
              <w:rPr>
                <w:rFonts w:cs="Calibri"/>
                <w:color w:val="000000"/>
                <w:sz w:val="16"/>
                <w:szCs w:val="16"/>
                <w:lang w:eastAsia="en-GB"/>
              </w:rPr>
              <w:t>Gastric ypN0</w:t>
            </w:r>
          </w:p>
        </w:tc>
        <w:tc>
          <w:tcPr>
            <w:tcW w:w="928" w:type="dxa"/>
            <w:tcBorders>
              <w:top w:val="nil"/>
              <w:left w:val="nil"/>
              <w:bottom w:val="nil"/>
              <w:right w:val="nil"/>
            </w:tcBorders>
            <w:shd w:val="clear" w:color="auto" w:fill="auto"/>
            <w:noWrap/>
            <w:vAlign w:val="center"/>
            <w:hideMark/>
          </w:tcPr>
          <w:p w14:paraId="22AFA60F"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249/183</w:t>
            </w:r>
          </w:p>
        </w:tc>
        <w:tc>
          <w:tcPr>
            <w:tcW w:w="1106" w:type="dxa"/>
            <w:tcBorders>
              <w:top w:val="nil"/>
              <w:left w:val="nil"/>
              <w:bottom w:val="nil"/>
              <w:right w:val="nil"/>
            </w:tcBorders>
            <w:shd w:val="clear" w:color="auto" w:fill="auto"/>
            <w:noWrap/>
            <w:vAlign w:val="center"/>
            <w:hideMark/>
          </w:tcPr>
          <w:p w14:paraId="478262B8"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87.5</w:t>
            </w:r>
          </w:p>
        </w:tc>
        <w:tc>
          <w:tcPr>
            <w:tcW w:w="992" w:type="dxa"/>
            <w:tcBorders>
              <w:top w:val="nil"/>
              <w:left w:val="nil"/>
              <w:bottom w:val="nil"/>
              <w:right w:val="nil"/>
            </w:tcBorders>
            <w:shd w:val="clear" w:color="auto" w:fill="auto"/>
            <w:vAlign w:val="center"/>
            <w:hideMark/>
          </w:tcPr>
          <w:p w14:paraId="7011FB71"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90.5</w:t>
            </w:r>
          </w:p>
        </w:tc>
        <w:tc>
          <w:tcPr>
            <w:tcW w:w="1562" w:type="dxa"/>
            <w:tcBorders>
              <w:top w:val="nil"/>
              <w:left w:val="nil"/>
              <w:bottom w:val="nil"/>
              <w:right w:val="nil"/>
            </w:tcBorders>
            <w:shd w:val="clear" w:color="auto" w:fill="auto"/>
            <w:noWrap/>
            <w:vAlign w:val="center"/>
            <w:hideMark/>
          </w:tcPr>
          <w:p w14:paraId="7CE80CA4"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-0.04 (-1.43 - 1.34)</w:t>
            </w:r>
          </w:p>
        </w:tc>
        <w:tc>
          <w:tcPr>
            <w:tcW w:w="661" w:type="dxa"/>
            <w:tcBorders>
              <w:top w:val="nil"/>
              <w:left w:val="nil"/>
              <w:bottom w:val="nil"/>
              <w:right w:val="nil"/>
            </w:tcBorders>
            <w:shd w:val="clear" w:color="auto" w:fill="auto"/>
            <w:noWrap/>
            <w:vAlign w:val="center"/>
            <w:hideMark/>
          </w:tcPr>
          <w:p w14:paraId="6D39F3AD"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0.952</w:t>
            </w:r>
          </w:p>
        </w:tc>
        <w:tc>
          <w:tcPr>
            <w:tcW w:w="1645" w:type="dxa"/>
            <w:tcBorders>
              <w:top w:val="nil"/>
              <w:left w:val="nil"/>
              <w:bottom w:val="nil"/>
              <w:right w:val="nil"/>
            </w:tcBorders>
            <w:shd w:val="clear" w:color="auto" w:fill="auto"/>
            <w:noWrap/>
            <w:vAlign w:val="center"/>
            <w:hideMark/>
          </w:tcPr>
          <w:p w14:paraId="634616AD"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0.823 (0.359 - 1.889)</w:t>
            </w:r>
          </w:p>
        </w:tc>
        <w:tc>
          <w:tcPr>
            <w:tcW w:w="662" w:type="dxa"/>
            <w:tcBorders>
              <w:top w:val="nil"/>
              <w:left w:val="nil"/>
              <w:bottom w:val="nil"/>
              <w:right w:val="nil"/>
            </w:tcBorders>
            <w:shd w:val="clear" w:color="auto" w:fill="auto"/>
            <w:noWrap/>
            <w:vAlign w:val="center"/>
            <w:hideMark/>
          </w:tcPr>
          <w:p w14:paraId="12E0DB2B"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0.659</w:t>
            </w:r>
          </w:p>
        </w:tc>
        <w:tc>
          <w:tcPr>
            <w:tcW w:w="242" w:type="dxa"/>
            <w:vAlign w:val="center"/>
            <w:hideMark/>
          </w:tcPr>
          <w:p w14:paraId="5744BECF" w14:textId="77777777" w:rsidR="004906E5" w:rsidRPr="00547A4E" w:rsidRDefault="004906E5" w:rsidP="00507A14">
            <w:pPr>
              <w:spacing w:before="0" w:line="240" w:lineRule="auto"/>
              <w:rPr>
                <w:rFonts w:ascii="Times New Roman" w:hAnsi="Times New Roman"/>
                <w:sz w:val="20"/>
                <w:szCs w:val="20"/>
                <w:lang w:eastAsia="en-GB"/>
              </w:rPr>
            </w:pPr>
          </w:p>
        </w:tc>
      </w:tr>
      <w:tr w:rsidR="004906E5" w:rsidRPr="00547A4E" w14:paraId="79AB5255" w14:textId="77777777" w:rsidTr="00507A14">
        <w:trPr>
          <w:trHeight w:val="340"/>
        </w:trPr>
        <w:tc>
          <w:tcPr>
            <w:tcW w:w="1472" w:type="dxa"/>
            <w:tcBorders>
              <w:top w:val="nil"/>
              <w:left w:val="nil"/>
              <w:bottom w:val="nil"/>
              <w:right w:val="nil"/>
            </w:tcBorders>
            <w:shd w:val="clear" w:color="auto" w:fill="auto"/>
            <w:noWrap/>
            <w:vAlign w:val="center"/>
            <w:hideMark/>
          </w:tcPr>
          <w:p w14:paraId="08B88FDF" w14:textId="77777777" w:rsidR="004906E5" w:rsidRPr="00547A4E" w:rsidRDefault="004906E5" w:rsidP="00507A14">
            <w:pPr>
              <w:spacing w:before="0" w:line="240" w:lineRule="auto"/>
              <w:rPr>
                <w:rFonts w:cs="Calibri"/>
                <w:color w:val="000000"/>
                <w:sz w:val="16"/>
                <w:szCs w:val="16"/>
                <w:lang w:eastAsia="en-GB"/>
              </w:rPr>
            </w:pPr>
            <w:r w:rsidRPr="00547A4E">
              <w:rPr>
                <w:rFonts w:cs="Calibri"/>
                <w:color w:val="000000"/>
                <w:sz w:val="16"/>
                <w:szCs w:val="16"/>
                <w:lang w:eastAsia="en-GB"/>
              </w:rPr>
              <w:t>Gastric ypN+</w:t>
            </w:r>
          </w:p>
        </w:tc>
        <w:tc>
          <w:tcPr>
            <w:tcW w:w="928" w:type="dxa"/>
            <w:tcBorders>
              <w:top w:val="nil"/>
              <w:left w:val="nil"/>
              <w:bottom w:val="nil"/>
              <w:right w:val="nil"/>
            </w:tcBorders>
            <w:shd w:val="clear" w:color="auto" w:fill="auto"/>
            <w:noWrap/>
            <w:vAlign w:val="center"/>
            <w:hideMark/>
          </w:tcPr>
          <w:p w14:paraId="2B741516"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291/223</w:t>
            </w:r>
          </w:p>
        </w:tc>
        <w:tc>
          <w:tcPr>
            <w:tcW w:w="1106" w:type="dxa"/>
            <w:tcBorders>
              <w:top w:val="nil"/>
              <w:left w:val="nil"/>
              <w:bottom w:val="nil"/>
              <w:right w:val="nil"/>
            </w:tcBorders>
            <w:shd w:val="clear" w:color="auto" w:fill="auto"/>
            <w:noWrap/>
            <w:vAlign w:val="center"/>
            <w:hideMark/>
          </w:tcPr>
          <w:p w14:paraId="1F59B3E0"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49.5</w:t>
            </w:r>
          </w:p>
        </w:tc>
        <w:tc>
          <w:tcPr>
            <w:tcW w:w="992" w:type="dxa"/>
            <w:tcBorders>
              <w:top w:val="nil"/>
              <w:left w:val="nil"/>
              <w:bottom w:val="nil"/>
              <w:right w:val="nil"/>
            </w:tcBorders>
            <w:shd w:val="clear" w:color="auto" w:fill="auto"/>
            <w:vAlign w:val="center"/>
            <w:hideMark/>
          </w:tcPr>
          <w:p w14:paraId="4F566BC5"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51.1</w:t>
            </w:r>
          </w:p>
        </w:tc>
        <w:tc>
          <w:tcPr>
            <w:tcW w:w="1562" w:type="dxa"/>
            <w:tcBorders>
              <w:top w:val="nil"/>
              <w:left w:val="nil"/>
              <w:bottom w:val="nil"/>
              <w:right w:val="nil"/>
            </w:tcBorders>
            <w:shd w:val="clear" w:color="auto" w:fill="auto"/>
            <w:noWrap/>
            <w:vAlign w:val="center"/>
            <w:hideMark/>
          </w:tcPr>
          <w:p w14:paraId="417144C6"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1.08 (-0.98 - 3.14)</w:t>
            </w:r>
          </w:p>
        </w:tc>
        <w:tc>
          <w:tcPr>
            <w:tcW w:w="661" w:type="dxa"/>
            <w:tcBorders>
              <w:top w:val="nil"/>
              <w:left w:val="nil"/>
              <w:bottom w:val="nil"/>
              <w:right w:val="nil"/>
            </w:tcBorders>
            <w:shd w:val="clear" w:color="auto" w:fill="auto"/>
            <w:noWrap/>
            <w:vAlign w:val="center"/>
            <w:hideMark/>
          </w:tcPr>
          <w:p w14:paraId="31684276"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0.305</w:t>
            </w:r>
          </w:p>
        </w:tc>
        <w:tc>
          <w:tcPr>
            <w:tcW w:w="1645" w:type="dxa"/>
            <w:tcBorders>
              <w:top w:val="nil"/>
              <w:left w:val="nil"/>
              <w:bottom w:val="nil"/>
              <w:right w:val="nil"/>
            </w:tcBorders>
            <w:shd w:val="clear" w:color="auto" w:fill="auto"/>
            <w:noWrap/>
            <w:vAlign w:val="center"/>
            <w:hideMark/>
          </w:tcPr>
          <w:p w14:paraId="07CA7D3D"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0.936 (0.69 - 1.271)</w:t>
            </w:r>
          </w:p>
        </w:tc>
        <w:tc>
          <w:tcPr>
            <w:tcW w:w="662" w:type="dxa"/>
            <w:tcBorders>
              <w:top w:val="nil"/>
              <w:left w:val="nil"/>
              <w:bottom w:val="nil"/>
              <w:right w:val="nil"/>
            </w:tcBorders>
            <w:shd w:val="clear" w:color="auto" w:fill="auto"/>
            <w:noWrap/>
            <w:vAlign w:val="center"/>
            <w:hideMark/>
          </w:tcPr>
          <w:p w14:paraId="7E3354DD" w14:textId="77777777" w:rsidR="004906E5" w:rsidRPr="00547A4E" w:rsidRDefault="004906E5" w:rsidP="00507A14">
            <w:pPr>
              <w:spacing w:before="0" w:line="240" w:lineRule="auto"/>
              <w:jc w:val="center"/>
              <w:rPr>
                <w:rFonts w:cs="Calibri"/>
                <w:color w:val="000000"/>
                <w:sz w:val="16"/>
                <w:szCs w:val="16"/>
                <w:lang w:eastAsia="en-GB"/>
              </w:rPr>
            </w:pPr>
            <w:r w:rsidRPr="00547A4E">
              <w:rPr>
                <w:rFonts w:cs="Calibri"/>
                <w:color w:val="000000"/>
                <w:sz w:val="16"/>
                <w:szCs w:val="16"/>
                <w:lang w:eastAsia="en-GB"/>
              </w:rPr>
              <w:t>0.686</w:t>
            </w:r>
          </w:p>
        </w:tc>
        <w:tc>
          <w:tcPr>
            <w:tcW w:w="242" w:type="dxa"/>
            <w:vAlign w:val="center"/>
            <w:hideMark/>
          </w:tcPr>
          <w:p w14:paraId="124B9BF9" w14:textId="77777777" w:rsidR="004906E5" w:rsidRPr="00547A4E" w:rsidRDefault="004906E5" w:rsidP="00507A14">
            <w:pPr>
              <w:spacing w:before="0" w:line="240" w:lineRule="auto"/>
              <w:rPr>
                <w:rFonts w:ascii="Times New Roman" w:hAnsi="Times New Roman"/>
                <w:sz w:val="20"/>
                <w:szCs w:val="20"/>
                <w:lang w:eastAsia="en-GB"/>
              </w:rPr>
            </w:pPr>
          </w:p>
        </w:tc>
      </w:tr>
      <w:tr w:rsidR="004906E5" w:rsidRPr="00547A4E" w14:paraId="03F0D064" w14:textId="77777777" w:rsidTr="00507A14">
        <w:trPr>
          <w:trHeight w:val="340"/>
        </w:trPr>
        <w:tc>
          <w:tcPr>
            <w:tcW w:w="9030" w:type="dxa"/>
            <w:gridSpan w:val="8"/>
            <w:tcBorders>
              <w:top w:val="single" w:sz="8" w:space="0" w:color="auto"/>
              <w:left w:val="nil"/>
              <w:bottom w:val="single" w:sz="8" w:space="0" w:color="auto"/>
              <w:right w:val="nil"/>
            </w:tcBorders>
            <w:shd w:val="clear" w:color="auto" w:fill="auto"/>
            <w:vAlign w:val="center"/>
            <w:hideMark/>
          </w:tcPr>
          <w:p w14:paraId="3C826D88" w14:textId="77777777" w:rsidR="004906E5" w:rsidRPr="00547A4E" w:rsidRDefault="004906E5" w:rsidP="00507A14">
            <w:pPr>
              <w:spacing w:before="0" w:line="240" w:lineRule="auto"/>
              <w:rPr>
                <w:rFonts w:cs="Calibri"/>
                <w:color w:val="000000"/>
                <w:sz w:val="16"/>
                <w:szCs w:val="16"/>
                <w:lang w:eastAsia="en-GB"/>
              </w:rPr>
            </w:pPr>
            <w:r w:rsidRPr="00547A4E">
              <w:rPr>
                <w:rFonts w:cs="Calibri"/>
                <w:color w:val="000000"/>
                <w:sz w:val="16"/>
                <w:szCs w:val="16"/>
                <w:lang w:eastAsia="en-GB"/>
              </w:rPr>
              <w:t xml:space="preserve">HR = Hazard Ratio, LED = Life Expectancy Difference (months), </w:t>
            </w:r>
            <w:r>
              <w:rPr>
                <w:rFonts w:cs="Calibri"/>
                <w:color w:val="000000"/>
                <w:sz w:val="16"/>
                <w:szCs w:val="16"/>
                <w:lang w:eastAsia="en-GB"/>
              </w:rPr>
              <w:t xml:space="preserve">GOJ = Gastro-oesophageal junction, </w:t>
            </w:r>
            <w:r w:rsidRPr="00547A4E">
              <w:rPr>
                <w:rFonts w:cs="Calibri"/>
                <w:color w:val="000000"/>
                <w:sz w:val="16"/>
                <w:szCs w:val="16"/>
                <w:lang w:eastAsia="en-GB"/>
              </w:rPr>
              <w:t>^Mean number of cases across imputed datasets</w:t>
            </w:r>
          </w:p>
        </w:tc>
        <w:tc>
          <w:tcPr>
            <w:tcW w:w="242" w:type="dxa"/>
            <w:vAlign w:val="center"/>
            <w:hideMark/>
          </w:tcPr>
          <w:p w14:paraId="72B0CE8C" w14:textId="77777777" w:rsidR="004906E5" w:rsidRPr="00547A4E" w:rsidRDefault="004906E5" w:rsidP="00507A14">
            <w:pPr>
              <w:spacing w:before="0" w:line="240" w:lineRule="auto"/>
              <w:rPr>
                <w:rFonts w:ascii="Times New Roman" w:hAnsi="Times New Roman"/>
                <w:sz w:val="20"/>
                <w:szCs w:val="20"/>
                <w:lang w:eastAsia="en-GB"/>
              </w:rPr>
            </w:pPr>
          </w:p>
        </w:tc>
      </w:tr>
    </w:tbl>
    <w:p w14:paraId="487745CC" w14:textId="77777777" w:rsidR="004906E5" w:rsidRPr="00DE3C9A" w:rsidRDefault="004906E5" w:rsidP="004906E5">
      <w:pPr>
        <w:widowControl w:val="0"/>
        <w:autoSpaceDE w:val="0"/>
        <w:autoSpaceDN w:val="0"/>
        <w:adjustRightInd w:val="0"/>
        <w:ind w:left="640" w:hanging="640"/>
        <w:rPr>
          <w:sz w:val="24"/>
          <w:szCs w:val="24"/>
        </w:rPr>
      </w:pPr>
    </w:p>
    <w:p w14:paraId="22BD892A" w14:textId="77777777" w:rsidR="004906E5" w:rsidRDefault="004906E5" w:rsidP="004906E5"/>
    <w:p w14:paraId="0F5EA0C4" w14:textId="77777777" w:rsidR="007E3DBA" w:rsidRPr="007E3DBA" w:rsidRDefault="007E3DBA" w:rsidP="007E3DBA">
      <w:pPr>
        <w:spacing w:before="0" w:line="240" w:lineRule="auto"/>
        <w:rPr>
          <w:sz w:val="40"/>
          <w:szCs w:val="40"/>
        </w:rPr>
      </w:pPr>
    </w:p>
    <w:sectPr w:rsidR="007E3DBA" w:rsidRPr="007E3DBA" w:rsidSect="009B06D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FB462" w14:textId="77777777" w:rsidR="00DE515D" w:rsidRDefault="00DE515D" w:rsidP="00171065">
      <w:pPr>
        <w:spacing w:before="0" w:line="240" w:lineRule="auto"/>
      </w:pPr>
      <w:r>
        <w:separator/>
      </w:r>
    </w:p>
  </w:endnote>
  <w:endnote w:type="continuationSeparator" w:id="0">
    <w:p w14:paraId="62A517E9" w14:textId="77777777" w:rsidR="00DE515D" w:rsidRDefault="00DE515D" w:rsidP="00171065">
      <w:pPr>
        <w:spacing w:before="0" w:line="240" w:lineRule="auto"/>
      </w:pPr>
      <w:r>
        <w:continuationSeparator/>
      </w:r>
    </w:p>
  </w:endnote>
  <w:endnote w:type="continuationNotice" w:id="1">
    <w:p w14:paraId="13F489A6" w14:textId="77777777" w:rsidR="00DE515D" w:rsidRDefault="00DE515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6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CF1B6" w14:textId="23F83126" w:rsidR="009B06D7" w:rsidRDefault="004906E5" w:rsidP="00EB1F49">
    <w:pPr>
      <w:pStyle w:val="Footer"/>
      <w:tabs>
        <w:tab w:val="clear" w:pos="8306"/>
        <w:tab w:val="left" w:pos="6795"/>
      </w:tabs>
    </w:pPr>
    <w:sdt>
      <w:sdtPr>
        <w:id w:val="-1299446244"/>
        <w:docPartObj>
          <w:docPartGallery w:val="Page Numbers (Bottom of Page)"/>
          <w:docPartUnique/>
        </w:docPartObj>
      </w:sdtPr>
      <w:sdtEndPr>
        <w:rPr>
          <w:noProof/>
        </w:rPr>
      </w:sdtEndPr>
      <w:sdtContent>
        <w:r w:rsidR="009B06D7">
          <w:tab/>
        </w:r>
        <w:r w:rsidR="009B06D7">
          <w:fldChar w:fldCharType="begin"/>
        </w:r>
        <w:r w:rsidR="009B06D7">
          <w:instrText xml:space="preserve"> PAGE   \* MERGEFORMAT </w:instrText>
        </w:r>
        <w:r w:rsidR="009B06D7">
          <w:fldChar w:fldCharType="separate"/>
        </w:r>
        <w:r w:rsidR="00061298">
          <w:rPr>
            <w:noProof/>
          </w:rPr>
          <w:t>27</w:t>
        </w:r>
        <w:r w:rsidR="009B06D7">
          <w:rPr>
            <w:noProof/>
          </w:rPr>
          <w:fldChar w:fldCharType="end"/>
        </w:r>
      </w:sdtContent>
    </w:sdt>
    <w:r w:rsidR="009B06D7">
      <w:rPr>
        <w:noProof/>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967D0" w14:textId="1E9605C1" w:rsidR="008A3FB5" w:rsidRDefault="004906E5" w:rsidP="00EB1F49">
    <w:pPr>
      <w:pStyle w:val="Footer"/>
      <w:tabs>
        <w:tab w:val="clear" w:pos="8306"/>
        <w:tab w:val="left" w:pos="6795"/>
      </w:tabs>
    </w:pPr>
    <w:sdt>
      <w:sdtPr>
        <w:id w:val="-1973434456"/>
        <w:docPartObj>
          <w:docPartGallery w:val="Page Numbers (Bottom of Page)"/>
          <w:docPartUnique/>
        </w:docPartObj>
      </w:sdtPr>
      <w:sdtEndPr>
        <w:rPr>
          <w:noProof/>
        </w:rPr>
      </w:sdtEndPr>
      <w:sdtContent>
        <w:r w:rsidR="008A3FB5">
          <w:tab/>
        </w:r>
        <w:r w:rsidR="008A3FB5">
          <w:fldChar w:fldCharType="begin"/>
        </w:r>
        <w:r w:rsidR="008A3FB5">
          <w:instrText xml:space="preserve"> PAGE   \* MERGEFORMAT </w:instrText>
        </w:r>
        <w:r w:rsidR="008A3FB5">
          <w:fldChar w:fldCharType="separate"/>
        </w:r>
        <w:r w:rsidR="00061298">
          <w:rPr>
            <w:noProof/>
          </w:rPr>
          <w:t>29</w:t>
        </w:r>
        <w:r w:rsidR="008A3FB5">
          <w:rPr>
            <w:noProof/>
          </w:rPr>
          <w:fldChar w:fldCharType="end"/>
        </w:r>
      </w:sdtContent>
    </w:sdt>
    <w:r w:rsidR="008A3FB5">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CE6E0" w14:textId="77777777" w:rsidR="00DE515D" w:rsidRDefault="00DE515D" w:rsidP="00171065">
      <w:pPr>
        <w:spacing w:before="0" w:line="240" w:lineRule="auto"/>
      </w:pPr>
      <w:r>
        <w:separator/>
      </w:r>
    </w:p>
  </w:footnote>
  <w:footnote w:type="continuationSeparator" w:id="0">
    <w:p w14:paraId="364C9F8E" w14:textId="77777777" w:rsidR="00DE515D" w:rsidRDefault="00DE515D" w:rsidP="00171065">
      <w:pPr>
        <w:spacing w:before="0" w:line="240" w:lineRule="auto"/>
      </w:pPr>
      <w:r>
        <w:continuationSeparator/>
      </w:r>
    </w:p>
  </w:footnote>
  <w:footnote w:type="continuationNotice" w:id="1">
    <w:p w14:paraId="581DE77F" w14:textId="77777777" w:rsidR="00DE515D" w:rsidRDefault="00DE515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2379D" w14:textId="77777777" w:rsidR="009B06D7" w:rsidRPr="009B06D7" w:rsidRDefault="009B06D7" w:rsidP="004A35EC">
    <w:pPr>
      <w:spacing w:before="0" w:line="240" w:lineRule="auto"/>
      <w:rPr>
        <w:i/>
        <w:iCs/>
        <w:sz w:val="16"/>
        <w:szCs w:val="16"/>
      </w:rPr>
    </w:pPr>
    <w:r w:rsidRPr="009B06D7">
      <w:rPr>
        <w:i/>
        <w:iCs/>
        <w:sz w:val="16"/>
        <w:szCs w:val="16"/>
      </w:rPr>
      <w:t>Impact of postoperative systemic treatment on survival for oesophagogastric adenocarcinoma after preoperative chemotherapy and surgery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8F06B" w14:textId="23ECF046" w:rsidR="008A3FB5" w:rsidRPr="009B06D7" w:rsidRDefault="008A3FB5" w:rsidP="004A35EC">
    <w:pPr>
      <w:spacing w:before="0" w:line="240" w:lineRule="auto"/>
      <w:rPr>
        <w:i/>
        <w:iCs/>
        <w:sz w:val="16"/>
        <w:szCs w:val="16"/>
      </w:rPr>
    </w:pPr>
    <w:r w:rsidRPr="009B06D7">
      <w:rPr>
        <w:i/>
        <w:iCs/>
        <w:sz w:val="16"/>
        <w:szCs w:val="16"/>
      </w:rPr>
      <w:t xml:space="preserve">Impact of postoperative systemic treatment on survival for </w:t>
    </w:r>
    <w:r w:rsidR="004C6085" w:rsidRPr="009B06D7">
      <w:rPr>
        <w:i/>
        <w:iCs/>
        <w:sz w:val="16"/>
        <w:szCs w:val="16"/>
      </w:rPr>
      <w:t>o</w:t>
    </w:r>
    <w:r w:rsidRPr="009B06D7">
      <w:rPr>
        <w:i/>
        <w:iCs/>
        <w:sz w:val="16"/>
        <w:szCs w:val="16"/>
      </w:rPr>
      <w:t>esophag</w:t>
    </w:r>
    <w:r w:rsidR="009F5AF4" w:rsidRPr="009B06D7">
      <w:rPr>
        <w:i/>
        <w:iCs/>
        <w:sz w:val="16"/>
        <w:szCs w:val="16"/>
      </w:rPr>
      <w:t>ogastric</w:t>
    </w:r>
    <w:r w:rsidRPr="009B06D7">
      <w:rPr>
        <w:i/>
        <w:iCs/>
        <w:sz w:val="16"/>
        <w:szCs w:val="16"/>
      </w:rPr>
      <w:t xml:space="preserve"> adenocarcinoma after preoperative chemotherapy and </w:t>
    </w:r>
    <w:r w:rsidR="009F5AF4" w:rsidRPr="009B06D7">
      <w:rPr>
        <w:i/>
        <w:iCs/>
        <w:sz w:val="16"/>
        <w:szCs w:val="16"/>
      </w:rPr>
      <w:t>surgery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28059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054E4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792A37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8EE8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2ED6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5AC88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2E116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DE74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2FA15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A082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3A84CF0"/>
    <w:multiLevelType w:val="multilevel"/>
    <w:tmpl w:val="F968B9D6"/>
    <w:lvl w:ilvl="0">
      <w:start w:val="1"/>
      <w:numFmt w:val="decimal"/>
      <w:lvlText w:val="Chapter %1"/>
      <w:lvlJc w:val="left"/>
      <w:pPr>
        <w:tabs>
          <w:tab w:val="num" w:pos="1985"/>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247"/>
        </w:tabs>
        <w:ind w:left="1247" w:hanging="1247"/>
      </w:pPr>
      <w:rPr>
        <w:rFonts w:hint="default"/>
      </w:rPr>
    </w:lvl>
    <w:lvl w:ilvl="5">
      <w:start w:val="1"/>
      <w:numFmt w:val="decimal"/>
      <w:lvlText w:val="%1.%2.%3.%4.%5.%6"/>
      <w:lvlJc w:val="left"/>
      <w:pPr>
        <w:tabs>
          <w:tab w:val="num" w:pos="1361"/>
        </w:tabs>
        <w:ind w:left="1361" w:hanging="1361"/>
      </w:pPr>
      <w:rPr>
        <w:rFonts w:hint="default"/>
      </w:rPr>
    </w:lvl>
    <w:lvl w:ilvl="6">
      <w:start w:val="1"/>
      <w:numFmt w:val="decimal"/>
      <w:lvlText w:val="%1.%2.%3.%4.%5.%6.%7"/>
      <w:lvlJc w:val="left"/>
      <w:pPr>
        <w:tabs>
          <w:tab w:val="num" w:pos="1474"/>
        </w:tabs>
        <w:ind w:left="1474" w:hanging="1474"/>
      </w:pPr>
      <w:rPr>
        <w:rFonts w:hint="default"/>
      </w:rPr>
    </w:lvl>
    <w:lvl w:ilvl="7">
      <w:start w:val="1"/>
      <w:numFmt w:val="decimal"/>
      <w:lvlText w:val="%1.%2.%3.%4.%5.%6.%7.%8"/>
      <w:lvlJc w:val="left"/>
      <w:pPr>
        <w:tabs>
          <w:tab w:val="num" w:pos="1588"/>
        </w:tabs>
        <w:ind w:left="1588" w:hanging="1588"/>
      </w:pPr>
      <w:rPr>
        <w:rFonts w:hint="default"/>
      </w:rPr>
    </w:lvl>
    <w:lvl w:ilvl="8">
      <w:start w:val="1"/>
      <w:numFmt w:val="decimal"/>
      <w:lvlText w:val="%1.%2.%3.%4.%5.%6.%7.%8.%9"/>
      <w:lvlJc w:val="left"/>
      <w:pPr>
        <w:tabs>
          <w:tab w:val="num" w:pos="1701"/>
        </w:tabs>
        <w:ind w:left="1701" w:hanging="1701"/>
      </w:pPr>
      <w:rPr>
        <w:rFonts w:hint="default"/>
      </w:rPr>
    </w:lvl>
  </w:abstractNum>
  <w:abstractNum w:abstractNumId="11" w15:restartNumberingAfterBreak="0">
    <w:nsid w:val="195D34EE"/>
    <w:multiLevelType w:val="hybridMultilevel"/>
    <w:tmpl w:val="83FE0E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DC1247"/>
    <w:multiLevelType w:val="hybridMultilevel"/>
    <w:tmpl w:val="FD1A8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431A4B"/>
    <w:multiLevelType w:val="multilevel"/>
    <w:tmpl w:val="694034CE"/>
    <w:lvl w:ilvl="0">
      <w:start w:val="1"/>
      <w:numFmt w:val="upperLetter"/>
      <w:pStyle w:val="AppendixMain"/>
      <w:lvlText w:val="Appendix %1"/>
      <w:lvlJc w:val="left"/>
      <w:pPr>
        <w:ind w:left="360" w:hanging="360"/>
      </w:pPr>
      <w:rPr>
        <w:rFonts w:hint="default"/>
      </w:rPr>
    </w:lvl>
    <w:lvl w:ilvl="1">
      <w:start w:val="1"/>
      <w:numFmt w:val="decimal"/>
      <w:pStyle w:val="AppendixSubheading"/>
      <w:lvlText w:val="%1.%2"/>
      <w:lvlJc w:val="left"/>
      <w:pPr>
        <w:ind w:left="720" w:hanging="720"/>
      </w:pPr>
      <w:rPr>
        <w:rFonts w:hint="default"/>
      </w:rPr>
    </w:lvl>
    <w:lvl w:ilvl="2">
      <w:start w:val="1"/>
      <w:numFmt w:val="decimal"/>
      <w:pStyle w:val="AppendixThird"/>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11F0023"/>
    <w:multiLevelType w:val="multilevel"/>
    <w:tmpl w:val="D7DA87C8"/>
    <w:lvl w:ilvl="0">
      <w:start w:val="18"/>
      <w:numFmt w:val="upperLetter"/>
      <w:pStyle w:val="Heading1"/>
      <w:lvlText w:val="Chapter %1"/>
      <w:lvlJc w:val="left"/>
      <w:pPr>
        <w:ind w:left="567" w:hanging="567"/>
      </w:pPr>
      <w:rPr>
        <w:rFonts w:hint="default"/>
        <w:color w:val="FFFFFF" w:themeColor="background1"/>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decimal"/>
      <w:pStyle w:val="Heading6"/>
      <w:lvlText w:val="%1.%2.%3.%4.%5.%6"/>
      <w:lvlJc w:val="left"/>
      <w:pPr>
        <w:tabs>
          <w:tab w:val="num" w:pos="1361"/>
        </w:tabs>
        <w:ind w:left="1361" w:hanging="1361"/>
      </w:pPr>
      <w:rPr>
        <w:rFonts w:hint="default"/>
      </w:rPr>
    </w:lvl>
    <w:lvl w:ilvl="6">
      <w:start w:val="1"/>
      <w:numFmt w:val="decimal"/>
      <w:pStyle w:val="Heading7"/>
      <w:lvlText w:val="%1.%2.%3.%4.%5.%6.%7"/>
      <w:lvlJc w:val="left"/>
      <w:pPr>
        <w:tabs>
          <w:tab w:val="num" w:pos="1474"/>
        </w:tabs>
        <w:ind w:left="1474" w:hanging="1474"/>
      </w:pPr>
      <w:rPr>
        <w:rFonts w:hint="default"/>
      </w:rPr>
    </w:lvl>
    <w:lvl w:ilvl="7">
      <w:start w:val="1"/>
      <w:numFmt w:val="decimal"/>
      <w:pStyle w:val="Heading8"/>
      <w:lvlText w:val="%1.%2.%3.%4.%5.%6.%7.%8"/>
      <w:lvlJc w:val="left"/>
      <w:pPr>
        <w:tabs>
          <w:tab w:val="num" w:pos="1588"/>
        </w:tabs>
        <w:ind w:left="1588" w:hanging="1588"/>
      </w:pPr>
      <w:rPr>
        <w:rFonts w:hint="default"/>
      </w:rPr>
    </w:lvl>
    <w:lvl w:ilvl="8">
      <w:start w:val="1"/>
      <w:numFmt w:val="decimal"/>
      <w:pStyle w:val="Heading9"/>
      <w:lvlText w:val="%1.%2.%3.%4.%5.%6.%7.%8.%9"/>
      <w:lvlJc w:val="left"/>
      <w:pPr>
        <w:tabs>
          <w:tab w:val="num" w:pos="1701"/>
        </w:tabs>
        <w:ind w:left="1701" w:hanging="1701"/>
      </w:pPr>
      <w:rPr>
        <w:rFonts w:hint="default"/>
      </w:rPr>
    </w:lvl>
  </w:abstractNum>
  <w:abstractNum w:abstractNumId="15" w15:restartNumberingAfterBreak="0">
    <w:nsid w:val="4CA10F17"/>
    <w:multiLevelType w:val="hybridMultilevel"/>
    <w:tmpl w:val="F0128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7630F7"/>
    <w:multiLevelType w:val="hybridMultilevel"/>
    <w:tmpl w:val="C4601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C45269"/>
    <w:multiLevelType w:val="hybridMultilevel"/>
    <w:tmpl w:val="AF3AC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436F58"/>
    <w:multiLevelType w:val="hybridMultilevel"/>
    <w:tmpl w:val="85B4CE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3"/>
  </w:num>
  <w:num w:numId="3">
    <w:abstractNumId w:val="13"/>
  </w:num>
  <w:num w:numId="4">
    <w:abstractNumId w:val="14"/>
  </w:num>
  <w:num w:numId="5">
    <w:abstractNumId w:val="14"/>
  </w:num>
  <w:num w:numId="6">
    <w:abstractNumId w:val="14"/>
  </w:num>
  <w:num w:numId="7">
    <w:abstractNumId w:val="14"/>
  </w:num>
  <w:num w:numId="8">
    <w:abstractNumId w:val="14"/>
  </w:num>
  <w:num w:numId="9">
    <w:abstractNumId w:val="14"/>
  </w:num>
  <w:num w:numId="10">
    <w:abstractNumId w:val="14"/>
  </w:num>
  <w:num w:numId="11">
    <w:abstractNumId w:val="14"/>
  </w:num>
  <w:num w:numId="12">
    <w:abstractNumId w:val="14"/>
  </w:num>
  <w:num w:numId="13">
    <w:abstractNumId w:val="9"/>
  </w:num>
  <w:num w:numId="14">
    <w:abstractNumId w:val="9"/>
  </w:num>
  <w:num w:numId="15">
    <w:abstractNumId w:val="7"/>
  </w:num>
  <w:num w:numId="16">
    <w:abstractNumId w:val="7"/>
  </w:num>
  <w:num w:numId="17">
    <w:abstractNumId w:val="6"/>
  </w:num>
  <w:num w:numId="18">
    <w:abstractNumId w:val="6"/>
  </w:num>
  <w:num w:numId="19">
    <w:abstractNumId w:val="5"/>
  </w:num>
  <w:num w:numId="20">
    <w:abstractNumId w:val="5"/>
  </w:num>
  <w:num w:numId="21">
    <w:abstractNumId w:val="4"/>
  </w:num>
  <w:num w:numId="22">
    <w:abstractNumId w:val="4"/>
  </w:num>
  <w:num w:numId="23">
    <w:abstractNumId w:val="8"/>
  </w:num>
  <w:num w:numId="24">
    <w:abstractNumId w:val="8"/>
  </w:num>
  <w:num w:numId="25">
    <w:abstractNumId w:val="3"/>
  </w:num>
  <w:num w:numId="26">
    <w:abstractNumId w:val="3"/>
  </w:num>
  <w:num w:numId="27">
    <w:abstractNumId w:val="2"/>
  </w:num>
  <w:num w:numId="28">
    <w:abstractNumId w:val="2"/>
  </w:num>
  <w:num w:numId="29">
    <w:abstractNumId w:val="1"/>
  </w:num>
  <w:num w:numId="30">
    <w:abstractNumId w:val="1"/>
  </w:num>
  <w:num w:numId="31">
    <w:abstractNumId w:val="0"/>
  </w:num>
  <w:num w:numId="32">
    <w:abstractNumId w:val="0"/>
  </w:num>
  <w:num w:numId="33">
    <w:abstractNumId w:val="12"/>
  </w:num>
  <w:num w:numId="34">
    <w:abstractNumId w:val="10"/>
  </w:num>
  <w:num w:numId="35">
    <w:abstractNumId w:val="17"/>
  </w:num>
  <w:num w:numId="36">
    <w:abstractNumId w:val="18"/>
  </w:num>
  <w:num w:numId="37">
    <w:abstractNumId w:val="11"/>
  </w:num>
  <w:num w:numId="38">
    <w:abstractNumId w:val="15"/>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435"/>
    <w:rsid w:val="0000120F"/>
    <w:rsid w:val="00002793"/>
    <w:rsid w:val="000032F0"/>
    <w:rsid w:val="00004AB2"/>
    <w:rsid w:val="00006ECE"/>
    <w:rsid w:val="0001084F"/>
    <w:rsid w:val="00011C5A"/>
    <w:rsid w:val="0001272F"/>
    <w:rsid w:val="00013C95"/>
    <w:rsid w:val="00014DEB"/>
    <w:rsid w:val="000230DB"/>
    <w:rsid w:val="00024146"/>
    <w:rsid w:val="00025EE2"/>
    <w:rsid w:val="00026E33"/>
    <w:rsid w:val="00030E11"/>
    <w:rsid w:val="000316D7"/>
    <w:rsid w:val="00033394"/>
    <w:rsid w:val="000405BA"/>
    <w:rsid w:val="00041834"/>
    <w:rsid w:val="00041FE1"/>
    <w:rsid w:val="0004254C"/>
    <w:rsid w:val="00042C56"/>
    <w:rsid w:val="00044192"/>
    <w:rsid w:val="00044857"/>
    <w:rsid w:val="00050D17"/>
    <w:rsid w:val="00050F00"/>
    <w:rsid w:val="00051812"/>
    <w:rsid w:val="0005249C"/>
    <w:rsid w:val="000542A4"/>
    <w:rsid w:val="000554F8"/>
    <w:rsid w:val="000570FF"/>
    <w:rsid w:val="00060F20"/>
    <w:rsid w:val="00061298"/>
    <w:rsid w:val="00061B25"/>
    <w:rsid w:val="000621D5"/>
    <w:rsid w:val="000659E6"/>
    <w:rsid w:val="000676E7"/>
    <w:rsid w:val="00067926"/>
    <w:rsid w:val="00071016"/>
    <w:rsid w:val="00071933"/>
    <w:rsid w:val="0007393D"/>
    <w:rsid w:val="00075143"/>
    <w:rsid w:val="000804CA"/>
    <w:rsid w:val="000813A9"/>
    <w:rsid w:val="000827DE"/>
    <w:rsid w:val="00083DEA"/>
    <w:rsid w:val="0008400F"/>
    <w:rsid w:val="000841DD"/>
    <w:rsid w:val="00085114"/>
    <w:rsid w:val="00090701"/>
    <w:rsid w:val="00093193"/>
    <w:rsid w:val="00093D06"/>
    <w:rsid w:val="00094008"/>
    <w:rsid w:val="0009409E"/>
    <w:rsid w:val="000948D2"/>
    <w:rsid w:val="00094AB1"/>
    <w:rsid w:val="00096625"/>
    <w:rsid w:val="00097F87"/>
    <w:rsid w:val="000A0977"/>
    <w:rsid w:val="000A0C4D"/>
    <w:rsid w:val="000A30E1"/>
    <w:rsid w:val="000A331B"/>
    <w:rsid w:val="000A3E17"/>
    <w:rsid w:val="000A5548"/>
    <w:rsid w:val="000A63F4"/>
    <w:rsid w:val="000A784F"/>
    <w:rsid w:val="000B16C4"/>
    <w:rsid w:val="000B30C9"/>
    <w:rsid w:val="000B3B63"/>
    <w:rsid w:val="000B509D"/>
    <w:rsid w:val="000B63C4"/>
    <w:rsid w:val="000B76EE"/>
    <w:rsid w:val="000C0D71"/>
    <w:rsid w:val="000C2F49"/>
    <w:rsid w:val="000C43B6"/>
    <w:rsid w:val="000C6C1F"/>
    <w:rsid w:val="000D08B7"/>
    <w:rsid w:val="000D14FF"/>
    <w:rsid w:val="000D398C"/>
    <w:rsid w:val="000D3A4B"/>
    <w:rsid w:val="000D3D1E"/>
    <w:rsid w:val="000D565A"/>
    <w:rsid w:val="000D6146"/>
    <w:rsid w:val="000D6332"/>
    <w:rsid w:val="000D6716"/>
    <w:rsid w:val="000D6D86"/>
    <w:rsid w:val="000D7FF5"/>
    <w:rsid w:val="000E0093"/>
    <w:rsid w:val="000E1613"/>
    <w:rsid w:val="000E1FA3"/>
    <w:rsid w:val="000E21D1"/>
    <w:rsid w:val="000E313D"/>
    <w:rsid w:val="000E392F"/>
    <w:rsid w:val="000E41DC"/>
    <w:rsid w:val="000E4433"/>
    <w:rsid w:val="000E71FB"/>
    <w:rsid w:val="000F009B"/>
    <w:rsid w:val="000F0868"/>
    <w:rsid w:val="000F4A50"/>
    <w:rsid w:val="000F7026"/>
    <w:rsid w:val="0010278E"/>
    <w:rsid w:val="001046CF"/>
    <w:rsid w:val="00105B48"/>
    <w:rsid w:val="00105DF8"/>
    <w:rsid w:val="00110605"/>
    <w:rsid w:val="0011235F"/>
    <w:rsid w:val="0011589C"/>
    <w:rsid w:val="00117FDC"/>
    <w:rsid w:val="00121858"/>
    <w:rsid w:val="0012289C"/>
    <w:rsid w:val="00122E35"/>
    <w:rsid w:val="00127462"/>
    <w:rsid w:val="00130446"/>
    <w:rsid w:val="0013385A"/>
    <w:rsid w:val="00136415"/>
    <w:rsid w:val="00136DFF"/>
    <w:rsid w:val="00143588"/>
    <w:rsid w:val="001467A0"/>
    <w:rsid w:val="00147AA1"/>
    <w:rsid w:val="00152B4D"/>
    <w:rsid w:val="0015650C"/>
    <w:rsid w:val="001577EB"/>
    <w:rsid w:val="0016005A"/>
    <w:rsid w:val="00163DA0"/>
    <w:rsid w:val="00167A42"/>
    <w:rsid w:val="00171065"/>
    <w:rsid w:val="00171987"/>
    <w:rsid w:val="001728E3"/>
    <w:rsid w:val="0018519E"/>
    <w:rsid w:val="001858CF"/>
    <w:rsid w:val="00187369"/>
    <w:rsid w:val="001873CE"/>
    <w:rsid w:val="00190590"/>
    <w:rsid w:val="00194122"/>
    <w:rsid w:val="00195A5C"/>
    <w:rsid w:val="00195F0E"/>
    <w:rsid w:val="00197262"/>
    <w:rsid w:val="001A0343"/>
    <w:rsid w:val="001A0977"/>
    <w:rsid w:val="001A19D0"/>
    <w:rsid w:val="001A2532"/>
    <w:rsid w:val="001A2E62"/>
    <w:rsid w:val="001A3064"/>
    <w:rsid w:val="001A5706"/>
    <w:rsid w:val="001A5858"/>
    <w:rsid w:val="001A6188"/>
    <w:rsid w:val="001A6623"/>
    <w:rsid w:val="001A6B17"/>
    <w:rsid w:val="001B0455"/>
    <w:rsid w:val="001B3531"/>
    <w:rsid w:val="001B43FD"/>
    <w:rsid w:val="001B4859"/>
    <w:rsid w:val="001C1847"/>
    <w:rsid w:val="001C1F17"/>
    <w:rsid w:val="001C21D1"/>
    <w:rsid w:val="001C246E"/>
    <w:rsid w:val="001C28C6"/>
    <w:rsid w:val="001C367A"/>
    <w:rsid w:val="001C50FC"/>
    <w:rsid w:val="001C6F81"/>
    <w:rsid w:val="001D0970"/>
    <w:rsid w:val="001D1414"/>
    <w:rsid w:val="001D4C4D"/>
    <w:rsid w:val="001D58B1"/>
    <w:rsid w:val="001D6917"/>
    <w:rsid w:val="001D6B7D"/>
    <w:rsid w:val="001E063B"/>
    <w:rsid w:val="001E12FE"/>
    <w:rsid w:val="001E2346"/>
    <w:rsid w:val="001E2602"/>
    <w:rsid w:val="001E279C"/>
    <w:rsid w:val="001E27E6"/>
    <w:rsid w:val="001E4C42"/>
    <w:rsid w:val="001E5B37"/>
    <w:rsid w:val="001E5F1F"/>
    <w:rsid w:val="001E6600"/>
    <w:rsid w:val="001E66C3"/>
    <w:rsid w:val="001E6C9E"/>
    <w:rsid w:val="001E73CC"/>
    <w:rsid w:val="001F023C"/>
    <w:rsid w:val="001F0AB2"/>
    <w:rsid w:val="001F1927"/>
    <w:rsid w:val="001F34C0"/>
    <w:rsid w:val="001F38AF"/>
    <w:rsid w:val="001F56CD"/>
    <w:rsid w:val="001F65FC"/>
    <w:rsid w:val="00203405"/>
    <w:rsid w:val="00203507"/>
    <w:rsid w:val="00203634"/>
    <w:rsid w:val="00204226"/>
    <w:rsid w:val="00205639"/>
    <w:rsid w:val="00206F3F"/>
    <w:rsid w:val="00211130"/>
    <w:rsid w:val="002113EF"/>
    <w:rsid w:val="00211FE3"/>
    <w:rsid w:val="0021207B"/>
    <w:rsid w:val="00213022"/>
    <w:rsid w:val="00215CBC"/>
    <w:rsid w:val="00217489"/>
    <w:rsid w:val="002200C4"/>
    <w:rsid w:val="0022093F"/>
    <w:rsid w:val="00220C85"/>
    <w:rsid w:val="002215AD"/>
    <w:rsid w:val="00221D1D"/>
    <w:rsid w:val="00224C45"/>
    <w:rsid w:val="00227061"/>
    <w:rsid w:val="00233850"/>
    <w:rsid w:val="002339FA"/>
    <w:rsid w:val="00235D2A"/>
    <w:rsid w:val="00237125"/>
    <w:rsid w:val="002378F3"/>
    <w:rsid w:val="00240E70"/>
    <w:rsid w:val="00242414"/>
    <w:rsid w:val="00242AC9"/>
    <w:rsid w:val="0024383B"/>
    <w:rsid w:val="00246BE4"/>
    <w:rsid w:val="002502FC"/>
    <w:rsid w:val="00251D80"/>
    <w:rsid w:val="0025358B"/>
    <w:rsid w:val="00253F55"/>
    <w:rsid w:val="00256811"/>
    <w:rsid w:val="00256BD0"/>
    <w:rsid w:val="00261BB1"/>
    <w:rsid w:val="002624C0"/>
    <w:rsid w:val="00263694"/>
    <w:rsid w:val="00263816"/>
    <w:rsid w:val="0026525D"/>
    <w:rsid w:val="00265BBB"/>
    <w:rsid w:val="002660EB"/>
    <w:rsid w:val="00266298"/>
    <w:rsid w:val="00266308"/>
    <w:rsid w:val="00267490"/>
    <w:rsid w:val="0027272F"/>
    <w:rsid w:val="00274DF5"/>
    <w:rsid w:val="00275B59"/>
    <w:rsid w:val="00276221"/>
    <w:rsid w:val="00280B65"/>
    <w:rsid w:val="002837F7"/>
    <w:rsid w:val="00283A06"/>
    <w:rsid w:val="00284AF7"/>
    <w:rsid w:val="00284F5A"/>
    <w:rsid w:val="002850A1"/>
    <w:rsid w:val="00285283"/>
    <w:rsid w:val="00285A10"/>
    <w:rsid w:val="0028721A"/>
    <w:rsid w:val="00292590"/>
    <w:rsid w:val="002964DD"/>
    <w:rsid w:val="002A0432"/>
    <w:rsid w:val="002A23F7"/>
    <w:rsid w:val="002A3F2A"/>
    <w:rsid w:val="002A47C8"/>
    <w:rsid w:val="002A5A41"/>
    <w:rsid w:val="002A6C23"/>
    <w:rsid w:val="002B0E1B"/>
    <w:rsid w:val="002B225C"/>
    <w:rsid w:val="002B3205"/>
    <w:rsid w:val="002B367B"/>
    <w:rsid w:val="002B3E81"/>
    <w:rsid w:val="002B4436"/>
    <w:rsid w:val="002B591D"/>
    <w:rsid w:val="002C2EA3"/>
    <w:rsid w:val="002C306E"/>
    <w:rsid w:val="002C3F1A"/>
    <w:rsid w:val="002C40C8"/>
    <w:rsid w:val="002C5636"/>
    <w:rsid w:val="002C6308"/>
    <w:rsid w:val="002D2A88"/>
    <w:rsid w:val="002D5377"/>
    <w:rsid w:val="002D6EBC"/>
    <w:rsid w:val="002E0108"/>
    <w:rsid w:val="002E22CD"/>
    <w:rsid w:val="002E2693"/>
    <w:rsid w:val="002F1B99"/>
    <w:rsid w:val="002F1F54"/>
    <w:rsid w:val="002F2EC3"/>
    <w:rsid w:val="002F4239"/>
    <w:rsid w:val="002F4DAA"/>
    <w:rsid w:val="002F6810"/>
    <w:rsid w:val="002F69A1"/>
    <w:rsid w:val="002F71BB"/>
    <w:rsid w:val="002F7A54"/>
    <w:rsid w:val="0030235D"/>
    <w:rsid w:val="00302F40"/>
    <w:rsid w:val="0030346E"/>
    <w:rsid w:val="003044E2"/>
    <w:rsid w:val="00305283"/>
    <w:rsid w:val="00305480"/>
    <w:rsid w:val="00305694"/>
    <w:rsid w:val="00306E65"/>
    <w:rsid w:val="00307E67"/>
    <w:rsid w:val="00311101"/>
    <w:rsid w:val="00311B22"/>
    <w:rsid w:val="00312529"/>
    <w:rsid w:val="0031398A"/>
    <w:rsid w:val="00314844"/>
    <w:rsid w:val="003176C6"/>
    <w:rsid w:val="003200D1"/>
    <w:rsid w:val="003201DC"/>
    <w:rsid w:val="00320806"/>
    <w:rsid w:val="00322C51"/>
    <w:rsid w:val="0032319B"/>
    <w:rsid w:val="00324814"/>
    <w:rsid w:val="003250D8"/>
    <w:rsid w:val="0032650D"/>
    <w:rsid w:val="00327523"/>
    <w:rsid w:val="00327D12"/>
    <w:rsid w:val="00332E04"/>
    <w:rsid w:val="00334BF2"/>
    <w:rsid w:val="00336521"/>
    <w:rsid w:val="00337717"/>
    <w:rsid w:val="00337DC7"/>
    <w:rsid w:val="003403E2"/>
    <w:rsid w:val="00343C63"/>
    <w:rsid w:val="003440F9"/>
    <w:rsid w:val="00346BCC"/>
    <w:rsid w:val="00346E2A"/>
    <w:rsid w:val="003472C9"/>
    <w:rsid w:val="00350122"/>
    <w:rsid w:val="003501F4"/>
    <w:rsid w:val="00351ED3"/>
    <w:rsid w:val="00352173"/>
    <w:rsid w:val="003528D9"/>
    <w:rsid w:val="003530A1"/>
    <w:rsid w:val="00356091"/>
    <w:rsid w:val="003576EB"/>
    <w:rsid w:val="00357761"/>
    <w:rsid w:val="00360B81"/>
    <w:rsid w:val="00360DD2"/>
    <w:rsid w:val="0036380B"/>
    <w:rsid w:val="00363C90"/>
    <w:rsid w:val="00364296"/>
    <w:rsid w:val="003653B4"/>
    <w:rsid w:val="00365BB6"/>
    <w:rsid w:val="00367FE3"/>
    <w:rsid w:val="00370C3B"/>
    <w:rsid w:val="00371012"/>
    <w:rsid w:val="00373AE3"/>
    <w:rsid w:val="00374C1B"/>
    <w:rsid w:val="00375245"/>
    <w:rsid w:val="0037542F"/>
    <w:rsid w:val="003823F0"/>
    <w:rsid w:val="00382D09"/>
    <w:rsid w:val="003851D0"/>
    <w:rsid w:val="00386259"/>
    <w:rsid w:val="0039015C"/>
    <w:rsid w:val="00390905"/>
    <w:rsid w:val="003911B6"/>
    <w:rsid w:val="003939AB"/>
    <w:rsid w:val="00394BB5"/>
    <w:rsid w:val="00396FE6"/>
    <w:rsid w:val="003A0572"/>
    <w:rsid w:val="003A11D3"/>
    <w:rsid w:val="003A48DE"/>
    <w:rsid w:val="003A55F0"/>
    <w:rsid w:val="003A6354"/>
    <w:rsid w:val="003A6986"/>
    <w:rsid w:val="003A785C"/>
    <w:rsid w:val="003B020E"/>
    <w:rsid w:val="003B0EC0"/>
    <w:rsid w:val="003B3DFB"/>
    <w:rsid w:val="003C4827"/>
    <w:rsid w:val="003C4956"/>
    <w:rsid w:val="003C5336"/>
    <w:rsid w:val="003C59E1"/>
    <w:rsid w:val="003C64BE"/>
    <w:rsid w:val="003C70D4"/>
    <w:rsid w:val="003C7C81"/>
    <w:rsid w:val="003D06DA"/>
    <w:rsid w:val="003D0C90"/>
    <w:rsid w:val="003D2DE4"/>
    <w:rsid w:val="003D3815"/>
    <w:rsid w:val="003D463F"/>
    <w:rsid w:val="003D52DB"/>
    <w:rsid w:val="003D5A7F"/>
    <w:rsid w:val="003D60B4"/>
    <w:rsid w:val="003D793A"/>
    <w:rsid w:val="003E0F6B"/>
    <w:rsid w:val="003E2308"/>
    <w:rsid w:val="003E3695"/>
    <w:rsid w:val="003E5A51"/>
    <w:rsid w:val="003E65EA"/>
    <w:rsid w:val="003E77B0"/>
    <w:rsid w:val="003F0E54"/>
    <w:rsid w:val="003F15AD"/>
    <w:rsid w:val="003F1E92"/>
    <w:rsid w:val="003F32D9"/>
    <w:rsid w:val="003F4759"/>
    <w:rsid w:val="003F53F2"/>
    <w:rsid w:val="003F59BE"/>
    <w:rsid w:val="003F65B1"/>
    <w:rsid w:val="00404392"/>
    <w:rsid w:val="0040554E"/>
    <w:rsid w:val="0040763A"/>
    <w:rsid w:val="00407E86"/>
    <w:rsid w:val="00414345"/>
    <w:rsid w:val="00416407"/>
    <w:rsid w:val="00417693"/>
    <w:rsid w:val="004200BC"/>
    <w:rsid w:val="004204D9"/>
    <w:rsid w:val="00420EA9"/>
    <w:rsid w:val="004214C2"/>
    <w:rsid w:val="004234CE"/>
    <w:rsid w:val="004250E6"/>
    <w:rsid w:val="004260E0"/>
    <w:rsid w:val="004263D5"/>
    <w:rsid w:val="00426A58"/>
    <w:rsid w:val="0042731D"/>
    <w:rsid w:val="004311C4"/>
    <w:rsid w:val="0043247C"/>
    <w:rsid w:val="004332A7"/>
    <w:rsid w:val="00436957"/>
    <w:rsid w:val="0043711A"/>
    <w:rsid w:val="00440AEA"/>
    <w:rsid w:val="004414A3"/>
    <w:rsid w:val="00443D34"/>
    <w:rsid w:val="00450B75"/>
    <w:rsid w:val="00450C66"/>
    <w:rsid w:val="004526AC"/>
    <w:rsid w:val="00452E81"/>
    <w:rsid w:val="00454071"/>
    <w:rsid w:val="00461276"/>
    <w:rsid w:val="00461B96"/>
    <w:rsid w:val="00462647"/>
    <w:rsid w:val="004628E1"/>
    <w:rsid w:val="00462E95"/>
    <w:rsid w:val="00473510"/>
    <w:rsid w:val="00473974"/>
    <w:rsid w:val="00474AA9"/>
    <w:rsid w:val="004759EA"/>
    <w:rsid w:val="00476674"/>
    <w:rsid w:val="004766D0"/>
    <w:rsid w:val="00476D57"/>
    <w:rsid w:val="004844DD"/>
    <w:rsid w:val="004858CC"/>
    <w:rsid w:val="00485BD0"/>
    <w:rsid w:val="00485D19"/>
    <w:rsid w:val="00485D92"/>
    <w:rsid w:val="004877A3"/>
    <w:rsid w:val="00490565"/>
    <w:rsid w:val="004906E5"/>
    <w:rsid w:val="0049105F"/>
    <w:rsid w:val="00492F15"/>
    <w:rsid w:val="00494957"/>
    <w:rsid w:val="00495F3B"/>
    <w:rsid w:val="00496263"/>
    <w:rsid w:val="004969F5"/>
    <w:rsid w:val="004978AB"/>
    <w:rsid w:val="004A108E"/>
    <w:rsid w:val="004A3348"/>
    <w:rsid w:val="004A35EC"/>
    <w:rsid w:val="004A5B7C"/>
    <w:rsid w:val="004A7C2F"/>
    <w:rsid w:val="004B1C2A"/>
    <w:rsid w:val="004B5A56"/>
    <w:rsid w:val="004C0963"/>
    <w:rsid w:val="004C149C"/>
    <w:rsid w:val="004C1696"/>
    <w:rsid w:val="004C2176"/>
    <w:rsid w:val="004C2508"/>
    <w:rsid w:val="004C306A"/>
    <w:rsid w:val="004C5CAB"/>
    <w:rsid w:val="004C5CF3"/>
    <w:rsid w:val="004C5F44"/>
    <w:rsid w:val="004C6085"/>
    <w:rsid w:val="004C7914"/>
    <w:rsid w:val="004D1AB1"/>
    <w:rsid w:val="004D1B1E"/>
    <w:rsid w:val="004D1FF9"/>
    <w:rsid w:val="004D2342"/>
    <w:rsid w:val="004D247D"/>
    <w:rsid w:val="004D27B4"/>
    <w:rsid w:val="004D28F7"/>
    <w:rsid w:val="004D3633"/>
    <w:rsid w:val="004D4633"/>
    <w:rsid w:val="004D56D0"/>
    <w:rsid w:val="004D5855"/>
    <w:rsid w:val="004D6ACA"/>
    <w:rsid w:val="004D6D89"/>
    <w:rsid w:val="004E00BF"/>
    <w:rsid w:val="004E0ED7"/>
    <w:rsid w:val="004E291D"/>
    <w:rsid w:val="004E3F98"/>
    <w:rsid w:val="004E42A9"/>
    <w:rsid w:val="004E469E"/>
    <w:rsid w:val="004E594E"/>
    <w:rsid w:val="004E6537"/>
    <w:rsid w:val="004E6F67"/>
    <w:rsid w:val="004F1CFC"/>
    <w:rsid w:val="004F5AB6"/>
    <w:rsid w:val="00500267"/>
    <w:rsid w:val="0050123F"/>
    <w:rsid w:val="00501C82"/>
    <w:rsid w:val="005022FA"/>
    <w:rsid w:val="00502A04"/>
    <w:rsid w:val="0050395C"/>
    <w:rsid w:val="00503F13"/>
    <w:rsid w:val="00503F34"/>
    <w:rsid w:val="00506FEE"/>
    <w:rsid w:val="0050741F"/>
    <w:rsid w:val="005126B6"/>
    <w:rsid w:val="00512B55"/>
    <w:rsid w:val="005130CE"/>
    <w:rsid w:val="005134F6"/>
    <w:rsid w:val="00514593"/>
    <w:rsid w:val="00517769"/>
    <w:rsid w:val="005220B3"/>
    <w:rsid w:val="00523A3B"/>
    <w:rsid w:val="00526551"/>
    <w:rsid w:val="00527291"/>
    <w:rsid w:val="0053143F"/>
    <w:rsid w:val="00531E4D"/>
    <w:rsid w:val="005328D6"/>
    <w:rsid w:val="00532CBF"/>
    <w:rsid w:val="00534B6F"/>
    <w:rsid w:val="005352C9"/>
    <w:rsid w:val="005352DA"/>
    <w:rsid w:val="00535F95"/>
    <w:rsid w:val="005400E7"/>
    <w:rsid w:val="005422B4"/>
    <w:rsid w:val="0054238E"/>
    <w:rsid w:val="00543ACC"/>
    <w:rsid w:val="0054634B"/>
    <w:rsid w:val="005464EA"/>
    <w:rsid w:val="00547A4E"/>
    <w:rsid w:val="00551024"/>
    <w:rsid w:val="00551A3E"/>
    <w:rsid w:val="00552AA0"/>
    <w:rsid w:val="0055313D"/>
    <w:rsid w:val="005537F6"/>
    <w:rsid w:val="00554BF8"/>
    <w:rsid w:val="0055626D"/>
    <w:rsid w:val="00557C98"/>
    <w:rsid w:val="00560B93"/>
    <w:rsid w:val="00561DB6"/>
    <w:rsid w:val="005636B8"/>
    <w:rsid w:val="00563B8E"/>
    <w:rsid w:val="0056547C"/>
    <w:rsid w:val="00572B34"/>
    <w:rsid w:val="00572CA8"/>
    <w:rsid w:val="00572DD2"/>
    <w:rsid w:val="00573D04"/>
    <w:rsid w:val="00573EE4"/>
    <w:rsid w:val="005744C7"/>
    <w:rsid w:val="0057640B"/>
    <w:rsid w:val="00576C9F"/>
    <w:rsid w:val="00580976"/>
    <w:rsid w:val="00583280"/>
    <w:rsid w:val="005834AB"/>
    <w:rsid w:val="0058539F"/>
    <w:rsid w:val="00585513"/>
    <w:rsid w:val="00585646"/>
    <w:rsid w:val="005856F3"/>
    <w:rsid w:val="00590E65"/>
    <w:rsid w:val="00591E2F"/>
    <w:rsid w:val="00592435"/>
    <w:rsid w:val="00594DC0"/>
    <w:rsid w:val="00597C88"/>
    <w:rsid w:val="005A1021"/>
    <w:rsid w:val="005A2380"/>
    <w:rsid w:val="005A2E85"/>
    <w:rsid w:val="005B082B"/>
    <w:rsid w:val="005B3105"/>
    <w:rsid w:val="005B3F8B"/>
    <w:rsid w:val="005B7649"/>
    <w:rsid w:val="005C094B"/>
    <w:rsid w:val="005C098E"/>
    <w:rsid w:val="005C204C"/>
    <w:rsid w:val="005C212F"/>
    <w:rsid w:val="005C3200"/>
    <w:rsid w:val="005C3982"/>
    <w:rsid w:val="005C608B"/>
    <w:rsid w:val="005D04B7"/>
    <w:rsid w:val="005D34A4"/>
    <w:rsid w:val="005D4634"/>
    <w:rsid w:val="005D7032"/>
    <w:rsid w:val="005E2373"/>
    <w:rsid w:val="005E2DE9"/>
    <w:rsid w:val="005E43B7"/>
    <w:rsid w:val="005E4B55"/>
    <w:rsid w:val="005E506D"/>
    <w:rsid w:val="005E5514"/>
    <w:rsid w:val="005F0400"/>
    <w:rsid w:val="005F08E6"/>
    <w:rsid w:val="005F31DB"/>
    <w:rsid w:val="005F55B4"/>
    <w:rsid w:val="005F56C5"/>
    <w:rsid w:val="005F5EB4"/>
    <w:rsid w:val="005F72AC"/>
    <w:rsid w:val="00600E37"/>
    <w:rsid w:val="00601228"/>
    <w:rsid w:val="00602087"/>
    <w:rsid w:val="0060269C"/>
    <w:rsid w:val="00607929"/>
    <w:rsid w:val="00611916"/>
    <w:rsid w:val="00611BCD"/>
    <w:rsid w:val="00614D2F"/>
    <w:rsid w:val="00615394"/>
    <w:rsid w:val="0061607D"/>
    <w:rsid w:val="00622E88"/>
    <w:rsid w:val="006242E9"/>
    <w:rsid w:val="00627676"/>
    <w:rsid w:val="00631D5B"/>
    <w:rsid w:val="006330D9"/>
    <w:rsid w:val="00633DFB"/>
    <w:rsid w:val="0063537E"/>
    <w:rsid w:val="006357D8"/>
    <w:rsid w:val="00636680"/>
    <w:rsid w:val="00636859"/>
    <w:rsid w:val="00636F82"/>
    <w:rsid w:val="00637AAF"/>
    <w:rsid w:val="006407E7"/>
    <w:rsid w:val="006417F7"/>
    <w:rsid w:val="006419B2"/>
    <w:rsid w:val="00643D7D"/>
    <w:rsid w:val="0064787D"/>
    <w:rsid w:val="006501C3"/>
    <w:rsid w:val="00651D37"/>
    <w:rsid w:val="00651E19"/>
    <w:rsid w:val="00653A12"/>
    <w:rsid w:val="00657CE2"/>
    <w:rsid w:val="00657E02"/>
    <w:rsid w:val="0066200A"/>
    <w:rsid w:val="00662CC5"/>
    <w:rsid w:val="00663CC1"/>
    <w:rsid w:val="006659B6"/>
    <w:rsid w:val="006714FE"/>
    <w:rsid w:val="00671DCD"/>
    <w:rsid w:val="00672380"/>
    <w:rsid w:val="00672E59"/>
    <w:rsid w:val="00673A62"/>
    <w:rsid w:val="00675193"/>
    <w:rsid w:val="0067591C"/>
    <w:rsid w:val="00676197"/>
    <w:rsid w:val="00676728"/>
    <w:rsid w:val="0068049D"/>
    <w:rsid w:val="00681414"/>
    <w:rsid w:val="00681C52"/>
    <w:rsid w:val="00681C61"/>
    <w:rsid w:val="00681D88"/>
    <w:rsid w:val="0068302B"/>
    <w:rsid w:val="006844F0"/>
    <w:rsid w:val="00685693"/>
    <w:rsid w:val="0068581A"/>
    <w:rsid w:val="00690C73"/>
    <w:rsid w:val="00691A00"/>
    <w:rsid w:val="00692011"/>
    <w:rsid w:val="006953E0"/>
    <w:rsid w:val="00695C0A"/>
    <w:rsid w:val="006A00BE"/>
    <w:rsid w:val="006A28BC"/>
    <w:rsid w:val="006A4A98"/>
    <w:rsid w:val="006A6ECB"/>
    <w:rsid w:val="006A7542"/>
    <w:rsid w:val="006B29AC"/>
    <w:rsid w:val="006B3394"/>
    <w:rsid w:val="006B45CB"/>
    <w:rsid w:val="006B47FB"/>
    <w:rsid w:val="006B4E94"/>
    <w:rsid w:val="006B570F"/>
    <w:rsid w:val="006B66B6"/>
    <w:rsid w:val="006B6A2F"/>
    <w:rsid w:val="006B782B"/>
    <w:rsid w:val="006B79CD"/>
    <w:rsid w:val="006C2DFE"/>
    <w:rsid w:val="006C3F5A"/>
    <w:rsid w:val="006C7286"/>
    <w:rsid w:val="006C7C4A"/>
    <w:rsid w:val="006C7ED4"/>
    <w:rsid w:val="006D5F09"/>
    <w:rsid w:val="006D687A"/>
    <w:rsid w:val="006E1428"/>
    <w:rsid w:val="006E15E8"/>
    <w:rsid w:val="006E1E8C"/>
    <w:rsid w:val="006E2105"/>
    <w:rsid w:val="006E2CE9"/>
    <w:rsid w:val="006E546E"/>
    <w:rsid w:val="006E63FC"/>
    <w:rsid w:val="006E67B8"/>
    <w:rsid w:val="006E7C5E"/>
    <w:rsid w:val="006F35B5"/>
    <w:rsid w:val="006F4D92"/>
    <w:rsid w:val="006F7B61"/>
    <w:rsid w:val="007029D3"/>
    <w:rsid w:val="007036FA"/>
    <w:rsid w:val="00704091"/>
    <w:rsid w:val="00704AC8"/>
    <w:rsid w:val="007050AE"/>
    <w:rsid w:val="00707299"/>
    <w:rsid w:val="00710A10"/>
    <w:rsid w:val="00710F69"/>
    <w:rsid w:val="007113DB"/>
    <w:rsid w:val="00711D17"/>
    <w:rsid w:val="0071249F"/>
    <w:rsid w:val="00713C4D"/>
    <w:rsid w:val="0071523D"/>
    <w:rsid w:val="00716505"/>
    <w:rsid w:val="00716DB6"/>
    <w:rsid w:val="007216EE"/>
    <w:rsid w:val="00721EF9"/>
    <w:rsid w:val="00723478"/>
    <w:rsid w:val="00723F81"/>
    <w:rsid w:val="0072564C"/>
    <w:rsid w:val="0072568C"/>
    <w:rsid w:val="007259EA"/>
    <w:rsid w:val="00731874"/>
    <w:rsid w:val="00733996"/>
    <w:rsid w:val="00734B3B"/>
    <w:rsid w:val="0073573C"/>
    <w:rsid w:val="00740A5F"/>
    <w:rsid w:val="00741611"/>
    <w:rsid w:val="00745851"/>
    <w:rsid w:val="00747584"/>
    <w:rsid w:val="007501A9"/>
    <w:rsid w:val="00750A88"/>
    <w:rsid w:val="00752E28"/>
    <w:rsid w:val="0075456F"/>
    <w:rsid w:val="00754BF2"/>
    <w:rsid w:val="00756AE5"/>
    <w:rsid w:val="00765AB1"/>
    <w:rsid w:val="00767B53"/>
    <w:rsid w:val="007713A3"/>
    <w:rsid w:val="007736D6"/>
    <w:rsid w:val="00775815"/>
    <w:rsid w:val="00780CAF"/>
    <w:rsid w:val="00783A83"/>
    <w:rsid w:val="00785050"/>
    <w:rsid w:val="007850EC"/>
    <w:rsid w:val="007854BA"/>
    <w:rsid w:val="00787786"/>
    <w:rsid w:val="007908AE"/>
    <w:rsid w:val="00791F86"/>
    <w:rsid w:val="007921E3"/>
    <w:rsid w:val="00792BC7"/>
    <w:rsid w:val="007A1A48"/>
    <w:rsid w:val="007A422D"/>
    <w:rsid w:val="007A4FC8"/>
    <w:rsid w:val="007A7583"/>
    <w:rsid w:val="007A77C7"/>
    <w:rsid w:val="007B235D"/>
    <w:rsid w:val="007B5674"/>
    <w:rsid w:val="007B6070"/>
    <w:rsid w:val="007B6310"/>
    <w:rsid w:val="007B6BFC"/>
    <w:rsid w:val="007B7F78"/>
    <w:rsid w:val="007C05D4"/>
    <w:rsid w:val="007C0764"/>
    <w:rsid w:val="007C301B"/>
    <w:rsid w:val="007C32E4"/>
    <w:rsid w:val="007C3DFA"/>
    <w:rsid w:val="007C5288"/>
    <w:rsid w:val="007C52AB"/>
    <w:rsid w:val="007C6603"/>
    <w:rsid w:val="007D321E"/>
    <w:rsid w:val="007D4994"/>
    <w:rsid w:val="007D5BF6"/>
    <w:rsid w:val="007D7509"/>
    <w:rsid w:val="007E2501"/>
    <w:rsid w:val="007E35F0"/>
    <w:rsid w:val="007E3A1E"/>
    <w:rsid w:val="007E3DBA"/>
    <w:rsid w:val="007F1824"/>
    <w:rsid w:val="007F1A52"/>
    <w:rsid w:val="007F2F8D"/>
    <w:rsid w:val="007F4957"/>
    <w:rsid w:val="007F6194"/>
    <w:rsid w:val="007F6783"/>
    <w:rsid w:val="007F7321"/>
    <w:rsid w:val="007F7B08"/>
    <w:rsid w:val="00800E43"/>
    <w:rsid w:val="00801468"/>
    <w:rsid w:val="0080260F"/>
    <w:rsid w:val="008031D5"/>
    <w:rsid w:val="00803B40"/>
    <w:rsid w:val="00803E3D"/>
    <w:rsid w:val="00804763"/>
    <w:rsid w:val="00804F8D"/>
    <w:rsid w:val="00806BCF"/>
    <w:rsid w:val="00806D9B"/>
    <w:rsid w:val="008074FC"/>
    <w:rsid w:val="00807ADE"/>
    <w:rsid w:val="00814DA0"/>
    <w:rsid w:val="00820602"/>
    <w:rsid w:val="0082195A"/>
    <w:rsid w:val="00831B5C"/>
    <w:rsid w:val="00831E5F"/>
    <w:rsid w:val="0083307E"/>
    <w:rsid w:val="0083374B"/>
    <w:rsid w:val="00834C6D"/>
    <w:rsid w:val="008378A6"/>
    <w:rsid w:val="00841432"/>
    <w:rsid w:val="0084230C"/>
    <w:rsid w:val="008423D7"/>
    <w:rsid w:val="00842589"/>
    <w:rsid w:val="008430B9"/>
    <w:rsid w:val="00845A9E"/>
    <w:rsid w:val="00846491"/>
    <w:rsid w:val="00847993"/>
    <w:rsid w:val="00847CB2"/>
    <w:rsid w:val="00847CED"/>
    <w:rsid w:val="0085066B"/>
    <w:rsid w:val="00851506"/>
    <w:rsid w:val="00851652"/>
    <w:rsid w:val="00852561"/>
    <w:rsid w:val="008531DB"/>
    <w:rsid w:val="00855AAC"/>
    <w:rsid w:val="00855E22"/>
    <w:rsid w:val="008562A9"/>
    <w:rsid w:val="008571F9"/>
    <w:rsid w:val="008606C4"/>
    <w:rsid w:val="0086185B"/>
    <w:rsid w:val="00862F38"/>
    <w:rsid w:val="0086319F"/>
    <w:rsid w:val="0086362F"/>
    <w:rsid w:val="0086524A"/>
    <w:rsid w:val="00865E64"/>
    <w:rsid w:val="00866A4E"/>
    <w:rsid w:val="00873F0C"/>
    <w:rsid w:val="008741A6"/>
    <w:rsid w:val="00874825"/>
    <w:rsid w:val="00875F05"/>
    <w:rsid w:val="00877CB0"/>
    <w:rsid w:val="00883975"/>
    <w:rsid w:val="00884B34"/>
    <w:rsid w:val="00884C6C"/>
    <w:rsid w:val="00887AED"/>
    <w:rsid w:val="00891319"/>
    <w:rsid w:val="00892089"/>
    <w:rsid w:val="008928D1"/>
    <w:rsid w:val="00894E6B"/>
    <w:rsid w:val="008955FC"/>
    <w:rsid w:val="00895722"/>
    <w:rsid w:val="00895768"/>
    <w:rsid w:val="008A1FCD"/>
    <w:rsid w:val="008A2083"/>
    <w:rsid w:val="008A2771"/>
    <w:rsid w:val="008A30EC"/>
    <w:rsid w:val="008A3FB5"/>
    <w:rsid w:val="008A4FA5"/>
    <w:rsid w:val="008A67B9"/>
    <w:rsid w:val="008A7149"/>
    <w:rsid w:val="008A73DF"/>
    <w:rsid w:val="008B06A1"/>
    <w:rsid w:val="008B096D"/>
    <w:rsid w:val="008B4321"/>
    <w:rsid w:val="008B599B"/>
    <w:rsid w:val="008B7850"/>
    <w:rsid w:val="008C00E3"/>
    <w:rsid w:val="008C2424"/>
    <w:rsid w:val="008C4475"/>
    <w:rsid w:val="008C7CBA"/>
    <w:rsid w:val="008D19BC"/>
    <w:rsid w:val="008D1BA1"/>
    <w:rsid w:val="008D1BB2"/>
    <w:rsid w:val="008D33BD"/>
    <w:rsid w:val="008D4346"/>
    <w:rsid w:val="008D6933"/>
    <w:rsid w:val="008D7A32"/>
    <w:rsid w:val="008D7DD8"/>
    <w:rsid w:val="008E0BD4"/>
    <w:rsid w:val="008E1906"/>
    <w:rsid w:val="008E1CFE"/>
    <w:rsid w:val="008E2EE5"/>
    <w:rsid w:val="008E3A22"/>
    <w:rsid w:val="008E5C56"/>
    <w:rsid w:val="008F0977"/>
    <w:rsid w:val="008F0BE7"/>
    <w:rsid w:val="008F1F35"/>
    <w:rsid w:val="008F2BB3"/>
    <w:rsid w:val="008F3BAC"/>
    <w:rsid w:val="008F3E0B"/>
    <w:rsid w:val="008F53D3"/>
    <w:rsid w:val="008F70C1"/>
    <w:rsid w:val="008F7948"/>
    <w:rsid w:val="00901EA0"/>
    <w:rsid w:val="0090287D"/>
    <w:rsid w:val="009040B8"/>
    <w:rsid w:val="0090439C"/>
    <w:rsid w:val="00907B1D"/>
    <w:rsid w:val="00910032"/>
    <w:rsid w:val="0091081B"/>
    <w:rsid w:val="0091782C"/>
    <w:rsid w:val="009215A8"/>
    <w:rsid w:val="00921BA5"/>
    <w:rsid w:val="009222CA"/>
    <w:rsid w:val="00922E6D"/>
    <w:rsid w:val="0092694D"/>
    <w:rsid w:val="00926E48"/>
    <w:rsid w:val="009310EE"/>
    <w:rsid w:val="00932537"/>
    <w:rsid w:val="00932BDB"/>
    <w:rsid w:val="009363CE"/>
    <w:rsid w:val="00940CFD"/>
    <w:rsid w:val="00941425"/>
    <w:rsid w:val="0094159E"/>
    <w:rsid w:val="009439C6"/>
    <w:rsid w:val="00945474"/>
    <w:rsid w:val="0094774F"/>
    <w:rsid w:val="00950930"/>
    <w:rsid w:val="009523E0"/>
    <w:rsid w:val="00952765"/>
    <w:rsid w:val="00952ACA"/>
    <w:rsid w:val="00953506"/>
    <w:rsid w:val="009539A2"/>
    <w:rsid w:val="00953BBC"/>
    <w:rsid w:val="0095742D"/>
    <w:rsid w:val="009574EB"/>
    <w:rsid w:val="009577D8"/>
    <w:rsid w:val="00957EDA"/>
    <w:rsid w:val="00964AFF"/>
    <w:rsid w:val="00967C4A"/>
    <w:rsid w:val="00971C7E"/>
    <w:rsid w:val="009722D6"/>
    <w:rsid w:val="009737D6"/>
    <w:rsid w:val="00975801"/>
    <w:rsid w:val="009800DF"/>
    <w:rsid w:val="0098139C"/>
    <w:rsid w:val="00983161"/>
    <w:rsid w:val="0098338D"/>
    <w:rsid w:val="0098528F"/>
    <w:rsid w:val="00985E47"/>
    <w:rsid w:val="009871CE"/>
    <w:rsid w:val="009872D4"/>
    <w:rsid w:val="009907CC"/>
    <w:rsid w:val="00991C03"/>
    <w:rsid w:val="00992115"/>
    <w:rsid w:val="00993033"/>
    <w:rsid w:val="009940ED"/>
    <w:rsid w:val="00995009"/>
    <w:rsid w:val="009954E9"/>
    <w:rsid w:val="009958D9"/>
    <w:rsid w:val="00995EF3"/>
    <w:rsid w:val="009969E4"/>
    <w:rsid w:val="009A2AF5"/>
    <w:rsid w:val="009A42F3"/>
    <w:rsid w:val="009A4B63"/>
    <w:rsid w:val="009A5302"/>
    <w:rsid w:val="009B04AD"/>
    <w:rsid w:val="009B06D7"/>
    <w:rsid w:val="009B0CA4"/>
    <w:rsid w:val="009B1465"/>
    <w:rsid w:val="009B2B5B"/>
    <w:rsid w:val="009B49F1"/>
    <w:rsid w:val="009B4BA9"/>
    <w:rsid w:val="009B4FB8"/>
    <w:rsid w:val="009B7475"/>
    <w:rsid w:val="009C2D93"/>
    <w:rsid w:val="009C317E"/>
    <w:rsid w:val="009C3568"/>
    <w:rsid w:val="009C3727"/>
    <w:rsid w:val="009C43EA"/>
    <w:rsid w:val="009C44E1"/>
    <w:rsid w:val="009C4DE9"/>
    <w:rsid w:val="009C6A37"/>
    <w:rsid w:val="009D02D8"/>
    <w:rsid w:val="009D2452"/>
    <w:rsid w:val="009D2F3D"/>
    <w:rsid w:val="009D3309"/>
    <w:rsid w:val="009D3675"/>
    <w:rsid w:val="009D4127"/>
    <w:rsid w:val="009D513D"/>
    <w:rsid w:val="009D5470"/>
    <w:rsid w:val="009D770E"/>
    <w:rsid w:val="009E2600"/>
    <w:rsid w:val="009E2ECC"/>
    <w:rsid w:val="009E43C3"/>
    <w:rsid w:val="009E58BE"/>
    <w:rsid w:val="009E5BA3"/>
    <w:rsid w:val="009E7863"/>
    <w:rsid w:val="009F0D0D"/>
    <w:rsid w:val="009F2272"/>
    <w:rsid w:val="009F2477"/>
    <w:rsid w:val="009F5AF4"/>
    <w:rsid w:val="009F6661"/>
    <w:rsid w:val="009F777C"/>
    <w:rsid w:val="00A002C5"/>
    <w:rsid w:val="00A00838"/>
    <w:rsid w:val="00A00EF1"/>
    <w:rsid w:val="00A01AB6"/>
    <w:rsid w:val="00A04555"/>
    <w:rsid w:val="00A04E94"/>
    <w:rsid w:val="00A05253"/>
    <w:rsid w:val="00A05F94"/>
    <w:rsid w:val="00A0739C"/>
    <w:rsid w:val="00A076AE"/>
    <w:rsid w:val="00A10C6D"/>
    <w:rsid w:val="00A16870"/>
    <w:rsid w:val="00A177A7"/>
    <w:rsid w:val="00A20C59"/>
    <w:rsid w:val="00A22156"/>
    <w:rsid w:val="00A227B2"/>
    <w:rsid w:val="00A23938"/>
    <w:rsid w:val="00A24D9F"/>
    <w:rsid w:val="00A25BE4"/>
    <w:rsid w:val="00A26D62"/>
    <w:rsid w:val="00A2756B"/>
    <w:rsid w:val="00A3038A"/>
    <w:rsid w:val="00A30A2A"/>
    <w:rsid w:val="00A30A2F"/>
    <w:rsid w:val="00A366DE"/>
    <w:rsid w:val="00A40648"/>
    <w:rsid w:val="00A4122D"/>
    <w:rsid w:val="00A41CDB"/>
    <w:rsid w:val="00A41F09"/>
    <w:rsid w:val="00A43503"/>
    <w:rsid w:val="00A44F69"/>
    <w:rsid w:val="00A45D08"/>
    <w:rsid w:val="00A46AFD"/>
    <w:rsid w:val="00A51A40"/>
    <w:rsid w:val="00A51C3E"/>
    <w:rsid w:val="00A51D8E"/>
    <w:rsid w:val="00A53994"/>
    <w:rsid w:val="00A53A9A"/>
    <w:rsid w:val="00A54549"/>
    <w:rsid w:val="00A54EA1"/>
    <w:rsid w:val="00A6092E"/>
    <w:rsid w:val="00A60A97"/>
    <w:rsid w:val="00A61DE3"/>
    <w:rsid w:val="00A62DDA"/>
    <w:rsid w:val="00A62E3B"/>
    <w:rsid w:val="00A657B3"/>
    <w:rsid w:val="00A660B0"/>
    <w:rsid w:val="00A66306"/>
    <w:rsid w:val="00A676A1"/>
    <w:rsid w:val="00A700A1"/>
    <w:rsid w:val="00A72E6A"/>
    <w:rsid w:val="00A731F7"/>
    <w:rsid w:val="00A748AC"/>
    <w:rsid w:val="00A7778A"/>
    <w:rsid w:val="00A77AEF"/>
    <w:rsid w:val="00A77CC1"/>
    <w:rsid w:val="00A80400"/>
    <w:rsid w:val="00A80BA9"/>
    <w:rsid w:val="00A80F6C"/>
    <w:rsid w:val="00A81D94"/>
    <w:rsid w:val="00A823F9"/>
    <w:rsid w:val="00A828DF"/>
    <w:rsid w:val="00A83125"/>
    <w:rsid w:val="00A8391E"/>
    <w:rsid w:val="00A850CE"/>
    <w:rsid w:val="00A86434"/>
    <w:rsid w:val="00A871CE"/>
    <w:rsid w:val="00A876CD"/>
    <w:rsid w:val="00A90273"/>
    <w:rsid w:val="00A909FC"/>
    <w:rsid w:val="00A91DD3"/>
    <w:rsid w:val="00A92393"/>
    <w:rsid w:val="00A929D9"/>
    <w:rsid w:val="00A92C63"/>
    <w:rsid w:val="00A94E3F"/>
    <w:rsid w:val="00A95187"/>
    <w:rsid w:val="00A95D99"/>
    <w:rsid w:val="00AA1214"/>
    <w:rsid w:val="00AA12D5"/>
    <w:rsid w:val="00AA2533"/>
    <w:rsid w:val="00AA2876"/>
    <w:rsid w:val="00AA2BCA"/>
    <w:rsid w:val="00AA6469"/>
    <w:rsid w:val="00AA7D7B"/>
    <w:rsid w:val="00AB13F9"/>
    <w:rsid w:val="00AC1643"/>
    <w:rsid w:val="00AC4E08"/>
    <w:rsid w:val="00AC5565"/>
    <w:rsid w:val="00AC5D8D"/>
    <w:rsid w:val="00AC692A"/>
    <w:rsid w:val="00AC69C0"/>
    <w:rsid w:val="00AC7CAE"/>
    <w:rsid w:val="00AD02A6"/>
    <w:rsid w:val="00AD02E3"/>
    <w:rsid w:val="00AD05FE"/>
    <w:rsid w:val="00AD2731"/>
    <w:rsid w:val="00AD28BC"/>
    <w:rsid w:val="00AD4D44"/>
    <w:rsid w:val="00AD52AC"/>
    <w:rsid w:val="00AD5710"/>
    <w:rsid w:val="00AD59A6"/>
    <w:rsid w:val="00AD72DA"/>
    <w:rsid w:val="00AE1A8B"/>
    <w:rsid w:val="00AE20C9"/>
    <w:rsid w:val="00AE2865"/>
    <w:rsid w:val="00AE4BB9"/>
    <w:rsid w:val="00AE6478"/>
    <w:rsid w:val="00AE657E"/>
    <w:rsid w:val="00AE6C7F"/>
    <w:rsid w:val="00AE75D7"/>
    <w:rsid w:val="00AF199B"/>
    <w:rsid w:val="00AF3551"/>
    <w:rsid w:val="00AF3796"/>
    <w:rsid w:val="00AF4ECB"/>
    <w:rsid w:val="00AF63E7"/>
    <w:rsid w:val="00B003F8"/>
    <w:rsid w:val="00B00AA6"/>
    <w:rsid w:val="00B016C2"/>
    <w:rsid w:val="00B02405"/>
    <w:rsid w:val="00B03C43"/>
    <w:rsid w:val="00B04A83"/>
    <w:rsid w:val="00B0596C"/>
    <w:rsid w:val="00B07144"/>
    <w:rsid w:val="00B103D6"/>
    <w:rsid w:val="00B14601"/>
    <w:rsid w:val="00B15930"/>
    <w:rsid w:val="00B16748"/>
    <w:rsid w:val="00B17592"/>
    <w:rsid w:val="00B21080"/>
    <w:rsid w:val="00B21CED"/>
    <w:rsid w:val="00B26BA5"/>
    <w:rsid w:val="00B30978"/>
    <w:rsid w:val="00B30F84"/>
    <w:rsid w:val="00B310C9"/>
    <w:rsid w:val="00B325FF"/>
    <w:rsid w:val="00B348CF"/>
    <w:rsid w:val="00B35398"/>
    <w:rsid w:val="00B361E6"/>
    <w:rsid w:val="00B4089E"/>
    <w:rsid w:val="00B40A2A"/>
    <w:rsid w:val="00B50492"/>
    <w:rsid w:val="00B507C4"/>
    <w:rsid w:val="00B50942"/>
    <w:rsid w:val="00B510B4"/>
    <w:rsid w:val="00B53D7D"/>
    <w:rsid w:val="00B6041A"/>
    <w:rsid w:val="00B60AB4"/>
    <w:rsid w:val="00B64874"/>
    <w:rsid w:val="00B65868"/>
    <w:rsid w:val="00B6761F"/>
    <w:rsid w:val="00B67BE4"/>
    <w:rsid w:val="00B70398"/>
    <w:rsid w:val="00B72B8D"/>
    <w:rsid w:val="00B734AD"/>
    <w:rsid w:val="00B7404E"/>
    <w:rsid w:val="00B74F6D"/>
    <w:rsid w:val="00B754A5"/>
    <w:rsid w:val="00B75AB4"/>
    <w:rsid w:val="00B818B2"/>
    <w:rsid w:val="00B82C24"/>
    <w:rsid w:val="00B82F92"/>
    <w:rsid w:val="00B83B94"/>
    <w:rsid w:val="00B902C8"/>
    <w:rsid w:val="00B90860"/>
    <w:rsid w:val="00B9090E"/>
    <w:rsid w:val="00B95543"/>
    <w:rsid w:val="00BA120A"/>
    <w:rsid w:val="00BA3366"/>
    <w:rsid w:val="00BA3792"/>
    <w:rsid w:val="00BA3897"/>
    <w:rsid w:val="00BA3C6D"/>
    <w:rsid w:val="00BA4D26"/>
    <w:rsid w:val="00BA6A62"/>
    <w:rsid w:val="00BA6DF0"/>
    <w:rsid w:val="00BA77CB"/>
    <w:rsid w:val="00BB08CF"/>
    <w:rsid w:val="00BB22B5"/>
    <w:rsid w:val="00BB3772"/>
    <w:rsid w:val="00BC02A4"/>
    <w:rsid w:val="00BC3561"/>
    <w:rsid w:val="00BC3D72"/>
    <w:rsid w:val="00BC445C"/>
    <w:rsid w:val="00BC56D1"/>
    <w:rsid w:val="00BC6558"/>
    <w:rsid w:val="00BC7173"/>
    <w:rsid w:val="00BC7EE0"/>
    <w:rsid w:val="00BD1577"/>
    <w:rsid w:val="00BD1D56"/>
    <w:rsid w:val="00BD2C58"/>
    <w:rsid w:val="00BD3130"/>
    <w:rsid w:val="00BD6C34"/>
    <w:rsid w:val="00BE13A2"/>
    <w:rsid w:val="00BE1CD7"/>
    <w:rsid w:val="00BE2336"/>
    <w:rsid w:val="00BE25C3"/>
    <w:rsid w:val="00BE47B1"/>
    <w:rsid w:val="00BE5181"/>
    <w:rsid w:val="00BF255B"/>
    <w:rsid w:val="00BF3584"/>
    <w:rsid w:val="00BF4E7E"/>
    <w:rsid w:val="00BF5DFF"/>
    <w:rsid w:val="00BF67F5"/>
    <w:rsid w:val="00BF68EB"/>
    <w:rsid w:val="00BF78C6"/>
    <w:rsid w:val="00C01E88"/>
    <w:rsid w:val="00C055B9"/>
    <w:rsid w:val="00C06BB4"/>
    <w:rsid w:val="00C076C7"/>
    <w:rsid w:val="00C1030A"/>
    <w:rsid w:val="00C16630"/>
    <w:rsid w:val="00C20163"/>
    <w:rsid w:val="00C22CA5"/>
    <w:rsid w:val="00C23463"/>
    <w:rsid w:val="00C23C5B"/>
    <w:rsid w:val="00C30CB4"/>
    <w:rsid w:val="00C33F9E"/>
    <w:rsid w:val="00C35172"/>
    <w:rsid w:val="00C3697F"/>
    <w:rsid w:val="00C370AA"/>
    <w:rsid w:val="00C37BB6"/>
    <w:rsid w:val="00C40D52"/>
    <w:rsid w:val="00C4101E"/>
    <w:rsid w:val="00C4358C"/>
    <w:rsid w:val="00C442AA"/>
    <w:rsid w:val="00C45828"/>
    <w:rsid w:val="00C45E3F"/>
    <w:rsid w:val="00C47B2E"/>
    <w:rsid w:val="00C51BCD"/>
    <w:rsid w:val="00C52D0A"/>
    <w:rsid w:val="00C548BE"/>
    <w:rsid w:val="00C55819"/>
    <w:rsid w:val="00C55C5A"/>
    <w:rsid w:val="00C57F59"/>
    <w:rsid w:val="00C609FC"/>
    <w:rsid w:val="00C6101B"/>
    <w:rsid w:val="00C6129F"/>
    <w:rsid w:val="00C62AAF"/>
    <w:rsid w:val="00C65496"/>
    <w:rsid w:val="00C668D9"/>
    <w:rsid w:val="00C6727F"/>
    <w:rsid w:val="00C67CD6"/>
    <w:rsid w:val="00C67F96"/>
    <w:rsid w:val="00C7060A"/>
    <w:rsid w:val="00C72E0B"/>
    <w:rsid w:val="00C731EA"/>
    <w:rsid w:val="00C73BFA"/>
    <w:rsid w:val="00C74508"/>
    <w:rsid w:val="00C7525D"/>
    <w:rsid w:val="00C83A9B"/>
    <w:rsid w:val="00C8649B"/>
    <w:rsid w:val="00C93E06"/>
    <w:rsid w:val="00CA069D"/>
    <w:rsid w:val="00CA09A9"/>
    <w:rsid w:val="00CA302A"/>
    <w:rsid w:val="00CA6903"/>
    <w:rsid w:val="00CA7C93"/>
    <w:rsid w:val="00CA7DE2"/>
    <w:rsid w:val="00CB0305"/>
    <w:rsid w:val="00CB193A"/>
    <w:rsid w:val="00CB24DB"/>
    <w:rsid w:val="00CB5DA2"/>
    <w:rsid w:val="00CB62AF"/>
    <w:rsid w:val="00CB6E37"/>
    <w:rsid w:val="00CB7B96"/>
    <w:rsid w:val="00CC1381"/>
    <w:rsid w:val="00CC15C1"/>
    <w:rsid w:val="00CC1C37"/>
    <w:rsid w:val="00CC3EC4"/>
    <w:rsid w:val="00CC7EF7"/>
    <w:rsid w:val="00CD0A93"/>
    <w:rsid w:val="00CD0DA8"/>
    <w:rsid w:val="00CD3103"/>
    <w:rsid w:val="00CD3347"/>
    <w:rsid w:val="00CD37D6"/>
    <w:rsid w:val="00CD3BCC"/>
    <w:rsid w:val="00CD45F9"/>
    <w:rsid w:val="00CD5D1C"/>
    <w:rsid w:val="00CD71A3"/>
    <w:rsid w:val="00CE0BA6"/>
    <w:rsid w:val="00CE11D1"/>
    <w:rsid w:val="00CE1BA3"/>
    <w:rsid w:val="00CE2951"/>
    <w:rsid w:val="00CE2982"/>
    <w:rsid w:val="00CE3A5C"/>
    <w:rsid w:val="00CE65AE"/>
    <w:rsid w:val="00CF0355"/>
    <w:rsid w:val="00CF1A6E"/>
    <w:rsid w:val="00CF2D93"/>
    <w:rsid w:val="00CF3262"/>
    <w:rsid w:val="00CF3322"/>
    <w:rsid w:val="00CF4724"/>
    <w:rsid w:val="00CF618B"/>
    <w:rsid w:val="00D0086A"/>
    <w:rsid w:val="00D00910"/>
    <w:rsid w:val="00D020F7"/>
    <w:rsid w:val="00D026C4"/>
    <w:rsid w:val="00D05C8C"/>
    <w:rsid w:val="00D06FA0"/>
    <w:rsid w:val="00D10412"/>
    <w:rsid w:val="00D10985"/>
    <w:rsid w:val="00D120BE"/>
    <w:rsid w:val="00D12C3B"/>
    <w:rsid w:val="00D12CA9"/>
    <w:rsid w:val="00D12CC9"/>
    <w:rsid w:val="00D148ED"/>
    <w:rsid w:val="00D15671"/>
    <w:rsid w:val="00D168BE"/>
    <w:rsid w:val="00D20146"/>
    <w:rsid w:val="00D20148"/>
    <w:rsid w:val="00D210B9"/>
    <w:rsid w:val="00D216E1"/>
    <w:rsid w:val="00D24E0B"/>
    <w:rsid w:val="00D27374"/>
    <w:rsid w:val="00D27DA6"/>
    <w:rsid w:val="00D3006E"/>
    <w:rsid w:val="00D32AC4"/>
    <w:rsid w:val="00D341C5"/>
    <w:rsid w:val="00D34926"/>
    <w:rsid w:val="00D34FB9"/>
    <w:rsid w:val="00D35048"/>
    <w:rsid w:val="00D3598C"/>
    <w:rsid w:val="00D35BB8"/>
    <w:rsid w:val="00D3785C"/>
    <w:rsid w:val="00D4139F"/>
    <w:rsid w:val="00D42FF4"/>
    <w:rsid w:val="00D435E8"/>
    <w:rsid w:val="00D43651"/>
    <w:rsid w:val="00D43BB4"/>
    <w:rsid w:val="00D500AE"/>
    <w:rsid w:val="00D51B82"/>
    <w:rsid w:val="00D533FC"/>
    <w:rsid w:val="00D5413B"/>
    <w:rsid w:val="00D5541F"/>
    <w:rsid w:val="00D57D99"/>
    <w:rsid w:val="00D603B6"/>
    <w:rsid w:val="00D61787"/>
    <w:rsid w:val="00D62C40"/>
    <w:rsid w:val="00D64E49"/>
    <w:rsid w:val="00D66769"/>
    <w:rsid w:val="00D7020C"/>
    <w:rsid w:val="00D70598"/>
    <w:rsid w:val="00D71117"/>
    <w:rsid w:val="00D716C4"/>
    <w:rsid w:val="00D72557"/>
    <w:rsid w:val="00D7580B"/>
    <w:rsid w:val="00D76A7D"/>
    <w:rsid w:val="00D76B99"/>
    <w:rsid w:val="00D80C00"/>
    <w:rsid w:val="00D81902"/>
    <w:rsid w:val="00D82BC6"/>
    <w:rsid w:val="00D85252"/>
    <w:rsid w:val="00D90F51"/>
    <w:rsid w:val="00D91FA5"/>
    <w:rsid w:val="00D938A0"/>
    <w:rsid w:val="00D959AA"/>
    <w:rsid w:val="00D96A87"/>
    <w:rsid w:val="00D972B7"/>
    <w:rsid w:val="00D973A0"/>
    <w:rsid w:val="00DA32C0"/>
    <w:rsid w:val="00DA399D"/>
    <w:rsid w:val="00DA7546"/>
    <w:rsid w:val="00DA7E64"/>
    <w:rsid w:val="00DB12A3"/>
    <w:rsid w:val="00DB2375"/>
    <w:rsid w:val="00DB4A4D"/>
    <w:rsid w:val="00DC1B47"/>
    <w:rsid w:val="00DC4123"/>
    <w:rsid w:val="00DC41E7"/>
    <w:rsid w:val="00DC45C0"/>
    <w:rsid w:val="00DC58DA"/>
    <w:rsid w:val="00DC7F74"/>
    <w:rsid w:val="00DD0C9E"/>
    <w:rsid w:val="00DD2C3F"/>
    <w:rsid w:val="00DD58BB"/>
    <w:rsid w:val="00DD6FE8"/>
    <w:rsid w:val="00DE2A78"/>
    <w:rsid w:val="00DE2DFC"/>
    <w:rsid w:val="00DE3C9A"/>
    <w:rsid w:val="00DE4C44"/>
    <w:rsid w:val="00DE515D"/>
    <w:rsid w:val="00DE7FED"/>
    <w:rsid w:val="00DF043A"/>
    <w:rsid w:val="00DF12E9"/>
    <w:rsid w:val="00DF2279"/>
    <w:rsid w:val="00DF67D3"/>
    <w:rsid w:val="00E01266"/>
    <w:rsid w:val="00E04AD0"/>
    <w:rsid w:val="00E05D13"/>
    <w:rsid w:val="00E060CA"/>
    <w:rsid w:val="00E06334"/>
    <w:rsid w:val="00E0675B"/>
    <w:rsid w:val="00E10384"/>
    <w:rsid w:val="00E10E03"/>
    <w:rsid w:val="00E11BD0"/>
    <w:rsid w:val="00E12CB5"/>
    <w:rsid w:val="00E13C23"/>
    <w:rsid w:val="00E13FE1"/>
    <w:rsid w:val="00E14B2A"/>
    <w:rsid w:val="00E1629D"/>
    <w:rsid w:val="00E23A51"/>
    <w:rsid w:val="00E24B5B"/>
    <w:rsid w:val="00E25FF1"/>
    <w:rsid w:val="00E321B5"/>
    <w:rsid w:val="00E4099E"/>
    <w:rsid w:val="00E410D2"/>
    <w:rsid w:val="00E43FB6"/>
    <w:rsid w:val="00E466D3"/>
    <w:rsid w:val="00E46982"/>
    <w:rsid w:val="00E4762B"/>
    <w:rsid w:val="00E54214"/>
    <w:rsid w:val="00E569CF"/>
    <w:rsid w:val="00E56A53"/>
    <w:rsid w:val="00E5761B"/>
    <w:rsid w:val="00E606D8"/>
    <w:rsid w:val="00E60970"/>
    <w:rsid w:val="00E620AE"/>
    <w:rsid w:val="00E673EF"/>
    <w:rsid w:val="00E67A17"/>
    <w:rsid w:val="00E70611"/>
    <w:rsid w:val="00E7063D"/>
    <w:rsid w:val="00E71F80"/>
    <w:rsid w:val="00E73F4B"/>
    <w:rsid w:val="00E741E6"/>
    <w:rsid w:val="00E753A6"/>
    <w:rsid w:val="00E779FA"/>
    <w:rsid w:val="00E8126D"/>
    <w:rsid w:val="00E81D66"/>
    <w:rsid w:val="00E87116"/>
    <w:rsid w:val="00E87809"/>
    <w:rsid w:val="00E87E97"/>
    <w:rsid w:val="00E91C02"/>
    <w:rsid w:val="00E9240C"/>
    <w:rsid w:val="00E92CC8"/>
    <w:rsid w:val="00E93A26"/>
    <w:rsid w:val="00E9505E"/>
    <w:rsid w:val="00E95F1A"/>
    <w:rsid w:val="00EA49F0"/>
    <w:rsid w:val="00EB06A3"/>
    <w:rsid w:val="00EB089F"/>
    <w:rsid w:val="00EB11EE"/>
    <w:rsid w:val="00EB1F49"/>
    <w:rsid w:val="00EB24D3"/>
    <w:rsid w:val="00EB2A53"/>
    <w:rsid w:val="00EB4FC8"/>
    <w:rsid w:val="00EB5467"/>
    <w:rsid w:val="00EB605C"/>
    <w:rsid w:val="00EB6C07"/>
    <w:rsid w:val="00EC260A"/>
    <w:rsid w:val="00EC3C93"/>
    <w:rsid w:val="00EC50F8"/>
    <w:rsid w:val="00EC5DBE"/>
    <w:rsid w:val="00EC6D97"/>
    <w:rsid w:val="00EC7876"/>
    <w:rsid w:val="00ED0641"/>
    <w:rsid w:val="00ED1501"/>
    <w:rsid w:val="00ED1A55"/>
    <w:rsid w:val="00ED1DCD"/>
    <w:rsid w:val="00ED200E"/>
    <w:rsid w:val="00ED2156"/>
    <w:rsid w:val="00ED25E6"/>
    <w:rsid w:val="00ED4BE1"/>
    <w:rsid w:val="00ED5AA1"/>
    <w:rsid w:val="00ED7D85"/>
    <w:rsid w:val="00EE0003"/>
    <w:rsid w:val="00EE1804"/>
    <w:rsid w:val="00EE2BF9"/>
    <w:rsid w:val="00EE4486"/>
    <w:rsid w:val="00EE45E0"/>
    <w:rsid w:val="00EE4CEC"/>
    <w:rsid w:val="00EE51ED"/>
    <w:rsid w:val="00EE5D66"/>
    <w:rsid w:val="00EE7F85"/>
    <w:rsid w:val="00EF088B"/>
    <w:rsid w:val="00EF336A"/>
    <w:rsid w:val="00EF5B54"/>
    <w:rsid w:val="00EF7BAD"/>
    <w:rsid w:val="00F006CD"/>
    <w:rsid w:val="00F03B90"/>
    <w:rsid w:val="00F03D8D"/>
    <w:rsid w:val="00F0463F"/>
    <w:rsid w:val="00F04EA7"/>
    <w:rsid w:val="00F0500B"/>
    <w:rsid w:val="00F05837"/>
    <w:rsid w:val="00F06329"/>
    <w:rsid w:val="00F065E1"/>
    <w:rsid w:val="00F069E9"/>
    <w:rsid w:val="00F07D78"/>
    <w:rsid w:val="00F110AD"/>
    <w:rsid w:val="00F11DB9"/>
    <w:rsid w:val="00F12431"/>
    <w:rsid w:val="00F14401"/>
    <w:rsid w:val="00F1611E"/>
    <w:rsid w:val="00F174EA"/>
    <w:rsid w:val="00F17EBA"/>
    <w:rsid w:val="00F232D3"/>
    <w:rsid w:val="00F25227"/>
    <w:rsid w:val="00F278B4"/>
    <w:rsid w:val="00F302E8"/>
    <w:rsid w:val="00F31B9A"/>
    <w:rsid w:val="00F32CA0"/>
    <w:rsid w:val="00F33125"/>
    <w:rsid w:val="00F338D6"/>
    <w:rsid w:val="00F33BE1"/>
    <w:rsid w:val="00F42A91"/>
    <w:rsid w:val="00F445B1"/>
    <w:rsid w:val="00F45848"/>
    <w:rsid w:val="00F4585C"/>
    <w:rsid w:val="00F47D58"/>
    <w:rsid w:val="00F502CA"/>
    <w:rsid w:val="00F52646"/>
    <w:rsid w:val="00F540C0"/>
    <w:rsid w:val="00F56A29"/>
    <w:rsid w:val="00F57ADD"/>
    <w:rsid w:val="00F619D1"/>
    <w:rsid w:val="00F61C48"/>
    <w:rsid w:val="00F62254"/>
    <w:rsid w:val="00F63763"/>
    <w:rsid w:val="00F64DD6"/>
    <w:rsid w:val="00F65AA1"/>
    <w:rsid w:val="00F666CE"/>
    <w:rsid w:val="00F6781C"/>
    <w:rsid w:val="00F70053"/>
    <w:rsid w:val="00F7005E"/>
    <w:rsid w:val="00F77072"/>
    <w:rsid w:val="00F80073"/>
    <w:rsid w:val="00F90D95"/>
    <w:rsid w:val="00F92749"/>
    <w:rsid w:val="00FA04BD"/>
    <w:rsid w:val="00FA60AD"/>
    <w:rsid w:val="00FB122E"/>
    <w:rsid w:val="00FB15DB"/>
    <w:rsid w:val="00FB3840"/>
    <w:rsid w:val="00FB6B44"/>
    <w:rsid w:val="00FC0DB0"/>
    <w:rsid w:val="00FC498B"/>
    <w:rsid w:val="00FC4CDE"/>
    <w:rsid w:val="00FC6BA4"/>
    <w:rsid w:val="00FD069B"/>
    <w:rsid w:val="00FD0C42"/>
    <w:rsid w:val="00FD3538"/>
    <w:rsid w:val="00FD60A3"/>
    <w:rsid w:val="00FD742A"/>
    <w:rsid w:val="00FE2E17"/>
    <w:rsid w:val="00FE49A7"/>
    <w:rsid w:val="00FE54EA"/>
    <w:rsid w:val="00FE55C8"/>
    <w:rsid w:val="00FF0465"/>
    <w:rsid w:val="00FF230E"/>
    <w:rsid w:val="00FF3C68"/>
    <w:rsid w:val="00FF6124"/>
    <w:rsid w:val="00FF62A5"/>
    <w:rsid w:val="00FF72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2C1EBE"/>
  <w15:chartTrackingRefBased/>
  <w15:docId w15:val="{492CA8EE-81A3-1C41-ABF2-969804159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9" w:unhideWhenUsed="1" w:qFormat="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43F"/>
    <w:pPr>
      <w:spacing w:before="200" w:line="360" w:lineRule="auto"/>
    </w:pPr>
    <w:rPr>
      <w:rFonts w:ascii="Calibri" w:hAnsi="Calibri" w:cs="Times New Roman"/>
      <w:sz w:val="22"/>
      <w:szCs w:val="22"/>
      <w:lang w:eastAsia="zh-CN"/>
    </w:rPr>
  </w:style>
  <w:style w:type="paragraph" w:styleId="Heading1">
    <w:name w:val="heading 1"/>
    <w:basedOn w:val="Normal"/>
    <w:next w:val="Normal"/>
    <w:link w:val="Heading1Char"/>
    <w:uiPriority w:val="9"/>
    <w:qFormat/>
    <w:rsid w:val="0053143F"/>
    <w:pPr>
      <w:keepNext/>
      <w:keepLines/>
      <w:numPr>
        <w:numId w:val="12"/>
      </w:numPr>
      <w:spacing w:after="240"/>
      <w:outlineLvl w:val="0"/>
    </w:pPr>
    <w:rPr>
      <w:rFonts w:cs="Arial"/>
      <w:b/>
      <w:bCs/>
      <w:kern w:val="32"/>
      <w:sz w:val="36"/>
      <w:szCs w:val="32"/>
      <w:lang w:eastAsia="en-US"/>
    </w:rPr>
  </w:style>
  <w:style w:type="paragraph" w:styleId="Heading2">
    <w:name w:val="heading 2"/>
    <w:basedOn w:val="Heading1"/>
    <w:next w:val="Normal"/>
    <w:link w:val="Heading2Char"/>
    <w:uiPriority w:val="9"/>
    <w:qFormat/>
    <w:rsid w:val="0053143F"/>
    <w:pPr>
      <w:numPr>
        <w:ilvl w:val="1"/>
      </w:numPr>
      <w:spacing w:before="360"/>
      <w:outlineLvl w:val="1"/>
    </w:pPr>
    <w:rPr>
      <w:bCs w:val="0"/>
      <w:sz w:val="28"/>
      <w:szCs w:val="24"/>
      <w:lang w:eastAsia="en-GB"/>
    </w:rPr>
  </w:style>
  <w:style w:type="paragraph" w:styleId="Heading3">
    <w:name w:val="heading 3"/>
    <w:basedOn w:val="Heading1"/>
    <w:next w:val="Normal"/>
    <w:link w:val="Heading3Char"/>
    <w:uiPriority w:val="9"/>
    <w:qFormat/>
    <w:rsid w:val="0053143F"/>
    <w:pPr>
      <w:numPr>
        <w:ilvl w:val="2"/>
      </w:numPr>
      <w:spacing w:before="360"/>
      <w:outlineLvl w:val="2"/>
    </w:pPr>
    <w:rPr>
      <w:bCs w:val="0"/>
      <w:sz w:val="22"/>
      <w:szCs w:val="26"/>
    </w:rPr>
  </w:style>
  <w:style w:type="paragraph" w:styleId="Heading4">
    <w:name w:val="heading 4"/>
    <w:basedOn w:val="Heading1"/>
    <w:next w:val="Normal"/>
    <w:link w:val="Heading4Char"/>
    <w:uiPriority w:val="9"/>
    <w:qFormat/>
    <w:rsid w:val="0053143F"/>
    <w:pPr>
      <w:numPr>
        <w:ilvl w:val="3"/>
      </w:numPr>
      <w:outlineLvl w:val="3"/>
    </w:pPr>
    <w:rPr>
      <w:rFonts w:eastAsiaTheme="majorEastAsia" w:cstheme="majorBidi"/>
      <w:bCs w:val="0"/>
      <w:iCs/>
      <w:sz w:val="22"/>
      <w:szCs w:val="24"/>
    </w:rPr>
  </w:style>
  <w:style w:type="paragraph" w:styleId="Heading5">
    <w:name w:val="heading 5"/>
    <w:basedOn w:val="Heading1"/>
    <w:next w:val="Normal"/>
    <w:link w:val="Heading5Char"/>
    <w:uiPriority w:val="9"/>
    <w:qFormat/>
    <w:rsid w:val="0053143F"/>
    <w:pPr>
      <w:numPr>
        <w:ilvl w:val="4"/>
      </w:numPr>
      <w:outlineLvl w:val="4"/>
    </w:pPr>
    <w:rPr>
      <w:rFonts w:eastAsiaTheme="majorEastAsia" w:cstheme="majorBidi"/>
      <w:sz w:val="22"/>
      <w:szCs w:val="24"/>
    </w:rPr>
  </w:style>
  <w:style w:type="paragraph" w:styleId="Heading6">
    <w:name w:val="heading 6"/>
    <w:basedOn w:val="Heading1"/>
    <w:next w:val="Normal"/>
    <w:link w:val="Heading6Char"/>
    <w:uiPriority w:val="9"/>
    <w:qFormat/>
    <w:rsid w:val="0053143F"/>
    <w:pPr>
      <w:numPr>
        <w:ilvl w:val="5"/>
      </w:numPr>
      <w:outlineLvl w:val="5"/>
    </w:pPr>
    <w:rPr>
      <w:rFonts w:eastAsiaTheme="majorEastAsia" w:cstheme="majorBidi"/>
      <w:b w:val="0"/>
      <w:iCs/>
      <w:sz w:val="22"/>
      <w:szCs w:val="24"/>
    </w:rPr>
  </w:style>
  <w:style w:type="paragraph" w:styleId="Heading7">
    <w:name w:val="heading 7"/>
    <w:basedOn w:val="Heading1"/>
    <w:next w:val="Normal"/>
    <w:link w:val="Heading7Char"/>
    <w:qFormat/>
    <w:rsid w:val="0053143F"/>
    <w:pPr>
      <w:numPr>
        <w:ilvl w:val="6"/>
      </w:numPr>
      <w:outlineLvl w:val="6"/>
    </w:pPr>
    <w:rPr>
      <w:rFonts w:eastAsiaTheme="majorEastAsia" w:cstheme="majorBidi"/>
      <w:b w:val="0"/>
      <w:iCs/>
      <w:sz w:val="22"/>
      <w:szCs w:val="24"/>
    </w:rPr>
  </w:style>
  <w:style w:type="paragraph" w:styleId="Heading8">
    <w:name w:val="heading 8"/>
    <w:basedOn w:val="Heading1"/>
    <w:next w:val="Normal"/>
    <w:link w:val="Heading8Char"/>
    <w:qFormat/>
    <w:rsid w:val="0053143F"/>
    <w:pPr>
      <w:numPr>
        <w:ilvl w:val="7"/>
      </w:numPr>
      <w:outlineLvl w:val="7"/>
    </w:pPr>
    <w:rPr>
      <w:rFonts w:eastAsiaTheme="majorEastAsia" w:cstheme="majorBidi"/>
      <w:b w:val="0"/>
      <w:sz w:val="22"/>
    </w:rPr>
  </w:style>
  <w:style w:type="paragraph" w:styleId="Heading9">
    <w:name w:val="heading 9"/>
    <w:basedOn w:val="Heading1"/>
    <w:next w:val="Normal"/>
    <w:link w:val="Heading9Char"/>
    <w:qFormat/>
    <w:rsid w:val="0053143F"/>
    <w:pPr>
      <w:numPr>
        <w:ilvl w:val="8"/>
      </w:numPr>
      <w:outlineLvl w:val="8"/>
    </w:pPr>
    <w:rPr>
      <w:rFonts w:eastAsiaTheme="majorEastAsia" w:cstheme="majorBidi"/>
      <w:b w:val="0"/>
      <w:i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BodyText"/>
    <w:qFormat/>
    <w:rsid w:val="0053143F"/>
    <w:pPr>
      <w:keepNext/>
      <w:keepLines/>
      <w:spacing w:before="300" w:after="300" w:line="240" w:lineRule="auto"/>
    </w:pPr>
    <w:rPr>
      <w:rFonts w:asciiTheme="minorHAnsi" w:eastAsiaTheme="minorHAnsi" w:hAnsiTheme="minorHAnsi" w:cstheme="minorBidi"/>
      <w:sz w:val="20"/>
      <w:szCs w:val="20"/>
      <w:lang w:val="en-US" w:eastAsia="en-US"/>
    </w:rPr>
  </w:style>
  <w:style w:type="paragraph" w:styleId="BodyText">
    <w:name w:val="Body Text"/>
    <w:basedOn w:val="Normal"/>
    <w:link w:val="BodyTextChar"/>
    <w:qFormat/>
    <w:rsid w:val="0053143F"/>
    <w:rPr>
      <w:lang w:eastAsia="en-GB"/>
    </w:rPr>
  </w:style>
  <w:style w:type="character" w:customStyle="1" w:styleId="BodyTextChar">
    <w:name w:val="Body Text Char"/>
    <w:basedOn w:val="DefaultParagraphFont"/>
    <w:link w:val="BodyText"/>
    <w:rsid w:val="0053143F"/>
    <w:rPr>
      <w:rFonts w:ascii="Calibri" w:eastAsia="Times New Roman" w:hAnsi="Calibri" w:cs="Times New Roman"/>
      <w:sz w:val="22"/>
      <w:szCs w:val="22"/>
      <w:lang w:eastAsia="en-GB"/>
    </w:rPr>
  </w:style>
  <w:style w:type="paragraph" w:customStyle="1" w:styleId="AbstractNormal">
    <w:name w:val="Abstract Normal"/>
    <w:basedOn w:val="Normal"/>
    <w:qFormat/>
    <w:rsid w:val="0053143F"/>
    <w:pPr>
      <w:spacing w:before="0" w:line="276" w:lineRule="auto"/>
    </w:pPr>
  </w:style>
  <w:style w:type="character" w:customStyle="1" w:styleId="AlertTok">
    <w:name w:val="AlertTok"/>
    <w:basedOn w:val="DefaultParagraphFont"/>
    <w:rsid w:val="0053143F"/>
    <w:rPr>
      <w:rFonts w:ascii="Consolas" w:hAnsi="Consolas"/>
      <w:color w:val="EF2929"/>
      <w:szCs w:val="26"/>
      <w:shd w:val="clear" w:color="auto" w:fill="F8F8F8"/>
      <w:lang w:eastAsia="en-US"/>
    </w:rPr>
  </w:style>
  <w:style w:type="character" w:customStyle="1" w:styleId="AnnotationTok">
    <w:name w:val="AnnotationTok"/>
    <w:basedOn w:val="DefaultParagraphFont"/>
    <w:rsid w:val="0053143F"/>
    <w:rPr>
      <w:rFonts w:ascii="Consolas" w:hAnsi="Consolas"/>
      <w:b/>
      <w:i/>
      <w:color w:val="8F5902"/>
      <w:szCs w:val="26"/>
      <w:shd w:val="clear" w:color="auto" w:fill="F8F8F8"/>
      <w:lang w:eastAsia="en-US"/>
    </w:rPr>
  </w:style>
  <w:style w:type="paragraph" w:customStyle="1" w:styleId="Contents">
    <w:name w:val="Contents"/>
    <w:basedOn w:val="Normal"/>
    <w:next w:val="Normal"/>
    <w:qFormat/>
    <w:rsid w:val="0053143F"/>
    <w:pPr>
      <w:spacing w:after="240"/>
      <w:outlineLvl w:val="0"/>
    </w:pPr>
    <w:rPr>
      <w:rFonts w:cs="Arial"/>
      <w:b/>
      <w:bCs/>
      <w:kern w:val="32"/>
      <w:sz w:val="36"/>
      <w:szCs w:val="32"/>
      <w:lang w:eastAsia="en-US"/>
    </w:rPr>
  </w:style>
  <w:style w:type="paragraph" w:customStyle="1" w:styleId="AppendixMain">
    <w:name w:val="Appendix Main"/>
    <w:basedOn w:val="Contents"/>
    <w:next w:val="Normal"/>
    <w:qFormat/>
    <w:rsid w:val="0053143F"/>
    <w:pPr>
      <w:keepNext/>
      <w:numPr>
        <w:numId w:val="3"/>
      </w:numPr>
      <w:spacing w:before="360" w:after="0"/>
    </w:pPr>
  </w:style>
  <w:style w:type="paragraph" w:customStyle="1" w:styleId="AppendixSubheading">
    <w:name w:val="Appendix Subheading"/>
    <w:basedOn w:val="AppendixMain"/>
    <w:next w:val="Normal"/>
    <w:qFormat/>
    <w:rsid w:val="0053143F"/>
    <w:pPr>
      <w:numPr>
        <w:ilvl w:val="1"/>
      </w:numPr>
      <w:outlineLvl w:val="1"/>
    </w:pPr>
    <w:rPr>
      <w:sz w:val="28"/>
    </w:rPr>
  </w:style>
  <w:style w:type="paragraph" w:customStyle="1" w:styleId="AppendixThird">
    <w:name w:val="Appendix Third"/>
    <w:basedOn w:val="AppendixMain"/>
    <w:next w:val="Normal"/>
    <w:qFormat/>
    <w:rsid w:val="0053143F"/>
    <w:pPr>
      <w:numPr>
        <w:ilvl w:val="2"/>
      </w:numPr>
      <w:outlineLvl w:val="2"/>
    </w:pPr>
    <w:rPr>
      <w:sz w:val="24"/>
    </w:rPr>
  </w:style>
  <w:style w:type="character" w:customStyle="1" w:styleId="AttributeTok">
    <w:name w:val="AttributeTok"/>
    <w:basedOn w:val="DefaultParagraphFont"/>
    <w:rsid w:val="0053143F"/>
    <w:rPr>
      <w:rFonts w:ascii="Consolas" w:hAnsi="Consolas"/>
      <w:color w:val="C4A000"/>
      <w:szCs w:val="26"/>
      <w:shd w:val="clear" w:color="auto" w:fill="F8F8F8"/>
      <w:lang w:eastAsia="en-US"/>
    </w:rPr>
  </w:style>
  <w:style w:type="paragraph" w:customStyle="1" w:styleId="Author">
    <w:name w:val="Author"/>
    <w:next w:val="BodyText"/>
    <w:qFormat/>
    <w:rsid w:val="0053143F"/>
    <w:pPr>
      <w:keepNext/>
      <w:keepLines/>
      <w:spacing w:after="200"/>
      <w:jc w:val="center"/>
    </w:pPr>
    <w:rPr>
      <w:lang w:val="en-US"/>
    </w:rPr>
  </w:style>
  <w:style w:type="paragraph" w:styleId="BalloonText">
    <w:name w:val="Balloon Text"/>
    <w:basedOn w:val="Normal"/>
    <w:link w:val="BalloonTextChar"/>
    <w:semiHidden/>
    <w:rsid w:val="0053143F"/>
    <w:rPr>
      <w:rFonts w:ascii="Tahoma" w:hAnsi="Tahoma" w:cs="Tahoma"/>
      <w:sz w:val="16"/>
      <w:szCs w:val="16"/>
    </w:rPr>
  </w:style>
  <w:style w:type="character" w:customStyle="1" w:styleId="BalloonTextChar">
    <w:name w:val="Balloon Text Char"/>
    <w:basedOn w:val="DefaultParagraphFont"/>
    <w:link w:val="BalloonText"/>
    <w:semiHidden/>
    <w:rsid w:val="0053143F"/>
    <w:rPr>
      <w:rFonts w:ascii="Tahoma" w:eastAsia="Times New Roman" w:hAnsi="Tahoma" w:cs="Tahoma"/>
      <w:sz w:val="16"/>
      <w:szCs w:val="16"/>
      <w:lang w:eastAsia="zh-CN"/>
    </w:rPr>
  </w:style>
  <w:style w:type="character" w:customStyle="1" w:styleId="BaseNTok">
    <w:name w:val="BaseNTok"/>
    <w:basedOn w:val="DefaultParagraphFont"/>
    <w:rsid w:val="0053143F"/>
    <w:rPr>
      <w:rFonts w:ascii="Consolas" w:hAnsi="Consolas"/>
      <w:color w:val="0000CF"/>
      <w:szCs w:val="26"/>
      <w:shd w:val="clear" w:color="auto" w:fill="F8F8F8"/>
      <w:lang w:eastAsia="en-US"/>
    </w:rPr>
  </w:style>
  <w:style w:type="paragraph" w:styleId="Bibliography">
    <w:name w:val="Bibliography"/>
    <w:basedOn w:val="Normal"/>
    <w:next w:val="Normal"/>
    <w:unhideWhenUsed/>
    <w:qFormat/>
    <w:rsid w:val="0053143F"/>
  </w:style>
  <w:style w:type="paragraph" w:styleId="BlockText">
    <w:name w:val="Block Text"/>
    <w:basedOn w:val="Normal"/>
    <w:uiPriority w:val="9"/>
    <w:unhideWhenUsed/>
    <w:qFormat/>
    <w:rsid w:val="0053143F"/>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semiHidden/>
    <w:unhideWhenUsed/>
    <w:rsid w:val="0053143F"/>
    <w:pPr>
      <w:spacing w:after="120" w:line="480" w:lineRule="auto"/>
    </w:pPr>
  </w:style>
  <w:style w:type="character" w:customStyle="1" w:styleId="BodyText2Char">
    <w:name w:val="Body Text 2 Char"/>
    <w:basedOn w:val="DefaultParagraphFont"/>
    <w:link w:val="BodyText2"/>
    <w:semiHidden/>
    <w:rsid w:val="0053143F"/>
    <w:rPr>
      <w:rFonts w:ascii="Calibri" w:eastAsia="Times New Roman" w:hAnsi="Calibri" w:cs="Times New Roman"/>
      <w:sz w:val="22"/>
      <w:szCs w:val="22"/>
      <w:lang w:eastAsia="zh-CN"/>
    </w:rPr>
  </w:style>
  <w:style w:type="paragraph" w:styleId="BodyText3">
    <w:name w:val="Body Text 3"/>
    <w:basedOn w:val="Normal"/>
    <w:link w:val="BodyText3Char"/>
    <w:semiHidden/>
    <w:unhideWhenUsed/>
    <w:rsid w:val="0053143F"/>
    <w:pPr>
      <w:spacing w:after="120"/>
    </w:pPr>
    <w:rPr>
      <w:sz w:val="16"/>
      <w:szCs w:val="16"/>
    </w:rPr>
  </w:style>
  <w:style w:type="character" w:customStyle="1" w:styleId="BodyText3Char">
    <w:name w:val="Body Text 3 Char"/>
    <w:basedOn w:val="DefaultParagraphFont"/>
    <w:link w:val="BodyText3"/>
    <w:semiHidden/>
    <w:rsid w:val="0053143F"/>
    <w:rPr>
      <w:rFonts w:ascii="Calibri" w:eastAsia="Times New Roman" w:hAnsi="Calibri" w:cs="Times New Roman"/>
      <w:sz w:val="16"/>
      <w:szCs w:val="16"/>
      <w:lang w:eastAsia="zh-CN"/>
    </w:rPr>
  </w:style>
  <w:style w:type="paragraph" w:styleId="BodyTextIndent">
    <w:name w:val="Body Text Indent"/>
    <w:basedOn w:val="Normal"/>
    <w:link w:val="BodyTextIndentChar"/>
    <w:semiHidden/>
    <w:rsid w:val="0053143F"/>
    <w:pPr>
      <w:ind w:left="283"/>
    </w:pPr>
  </w:style>
  <w:style w:type="character" w:customStyle="1" w:styleId="BodyTextIndentChar">
    <w:name w:val="Body Text Indent Char"/>
    <w:basedOn w:val="DefaultParagraphFont"/>
    <w:link w:val="BodyTextIndent"/>
    <w:semiHidden/>
    <w:rsid w:val="0053143F"/>
    <w:rPr>
      <w:rFonts w:ascii="Calibri" w:eastAsia="Times New Roman" w:hAnsi="Calibri" w:cs="Times New Roman"/>
      <w:sz w:val="22"/>
      <w:szCs w:val="22"/>
      <w:lang w:eastAsia="zh-CN"/>
    </w:rPr>
  </w:style>
  <w:style w:type="paragraph" w:styleId="BodyTextFirstIndent2">
    <w:name w:val="Body Text First Indent 2"/>
    <w:basedOn w:val="BodyTextIndent"/>
    <w:link w:val="BodyTextFirstIndent2Char"/>
    <w:semiHidden/>
    <w:unhideWhenUsed/>
    <w:rsid w:val="0053143F"/>
    <w:pPr>
      <w:ind w:left="360" w:firstLine="360"/>
    </w:pPr>
  </w:style>
  <w:style w:type="character" w:customStyle="1" w:styleId="BodyTextFirstIndent2Char">
    <w:name w:val="Body Text First Indent 2 Char"/>
    <w:basedOn w:val="BodyTextIndentChar"/>
    <w:link w:val="BodyTextFirstIndent2"/>
    <w:semiHidden/>
    <w:rsid w:val="0053143F"/>
    <w:rPr>
      <w:rFonts w:ascii="Calibri" w:eastAsia="Times New Roman" w:hAnsi="Calibri" w:cs="Times New Roman"/>
      <w:sz w:val="22"/>
      <w:szCs w:val="22"/>
      <w:lang w:eastAsia="zh-CN"/>
    </w:rPr>
  </w:style>
  <w:style w:type="paragraph" w:styleId="BodyTextIndent2">
    <w:name w:val="Body Text Indent 2"/>
    <w:basedOn w:val="Normal"/>
    <w:link w:val="BodyTextIndent2Char"/>
    <w:semiHidden/>
    <w:unhideWhenUsed/>
    <w:rsid w:val="0053143F"/>
    <w:pPr>
      <w:spacing w:after="120" w:line="480" w:lineRule="auto"/>
      <w:ind w:left="283"/>
    </w:pPr>
  </w:style>
  <w:style w:type="character" w:customStyle="1" w:styleId="BodyTextIndent2Char">
    <w:name w:val="Body Text Indent 2 Char"/>
    <w:basedOn w:val="DefaultParagraphFont"/>
    <w:link w:val="BodyTextIndent2"/>
    <w:semiHidden/>
    <w:rsid w:val="0053143F"/>
    <w:rPr>
      <w:rFonts w:ascii="Calibri" w:eastAsia="Times New Roman" w:hAnsi="Calibri" w:cs="Times New Roman"/>
      <w:sz w:val="22"/>
      <w:szCs w:val="22"/>
      <w:lang w:eastAsia="zh-CN"/>
    </w:rPr>
  </w:style>
  <w:style w:type="paragraph" w:styleId="BodyTextIndent3">
    <w:name w:val="Body Text Indent 3"/>
    <w:basedOn w:val="Normal"/>
    <w:link w:val="BodyTextIndent3Char"/>
    <w:semiHidden/>
    <w:unhideWhenUsed/>
    <w:rsid w:val="0053143F"/>
    <w:pPr>
      <w:spacing w:after="120"/>
      <w:ind w:left="283"/>
    </w:pPr>
    <w:rPr>
      <w:sz w:val="16"/>
      <w:szCs w:val="16"/>
    </w:rPr>
  </w:style>
  <w:style w:type="character" w:customStyle="1" w:styleId="BodyTextIndent3Char">
    <w:name w:val="Body Text Indent 3 Char"/>
    <w:basedOn w:val="DefaultParagraphFont"/>
    <w:link w:val="BodyTextIndent3"/>
    <w:semiHidden/>
    <w:rsid w:val="0053143F"/>
    <w:rPr>
      <w:rFonts w:ascii="Calibri" w:eastAsia="Times New Roman" w:hAnsi="Calibri" w:cs="Times New Roman"/>
      <w:sz w:val="16"/>
      <w:szCs w:val="16"/>
      <w:lang w:eastAsia="zh-CN"/>
    </w:rPr>
  </w:style>
  <w:style w:type="character" w:customStyle="1" w:styleId="BuiltInTok">
    <w:name w:val="BuiltInTok"/>
    <w:basedOn w:val="DefaultParagraphFont"/>
    <w:rsid w:val="0053143F"/>
    <w:rPr>
      <w:rFonts w:ascii="Consolas" w:hAnsi="Consolas"/>
      <w:szCs w:val="26"/>
      <w:shd w:val="clear" w:color="auto" w:fill="F8F8F8"/>
      <w:lang w:eastAsia="en-US"/>
    </w:rPr>
  </w:style>
  <w:style w:type="paragraph" w:styleId="Caption">
    <w:name w:val="caption"/>
    <w:basedOn w:val="Normal"/>
    <w:next w:val="Normal"/>
    <w:link w:val="CaptionChar"/>
    <w:rsid w:val="0053143F"/>
    <w:pPr>
      <w:tabs>
        <w:tab w:val="left" w:pos="1418"/>
      </w:tabs>
      <w:spacing w:before="120" w:after="120"/>
      <w:ind w:left="1134" w:hanging="1134"/>
      <w:contextualSpacing/>
    </w:pPr>
    <w:rPr>
      <w:szCs w:val="26"/>
      <w:lang w:eastAsia="en-US"/>
    </w:rPr>
  </w:style>
  <w:style w:type="character" w:customStyle="1" w:styleId="CaptionChar">
    <w:name w:val="Caption Char"/>
    <w:basedOn w:val="DefaultParagraphFont"/>
    <w:link w:val="Caption"/>
    <w:rsid w:val="0053143F"/>
    <w:rPr>
      <w:rFonts w:ascii="Calibri" w:eastAsia="Times New Roman" w:hAnsi="Calibri" w:cs="Times New Roman"/>
      <w:sz w:val="22"/>
      <w:szCs w:val="26"/>
    </w:rPr>
  </w:style>
  <w:style w:type="paragraph" w:customStyle="1" w:styleId="CaptionFollowon">
    <w:name w:val="Caption Follow on"/>
    <w:basedOn w:val="Caption"/>
    <w:next w:val="Normal"/>
    <w:qFormat/>
    <w:rsid w:val="0053143F"/>
    <w:pPr>
      <w:spacing w:before="0"/>
      <w:ind w:firstLine="0"/>
    </w:pPr>
  </w:style>
  <w:style w:type="character" w:customStyle="1" w:styleId="CharTok">
    <w:name w:val="CharTok"/>
    <w:basedOn w:val="DefaultParagraphFont"/>
    <w:rsid w:val="0053143F"/>
    <w:rPr>
      <w:rFonts w:ascii="Consolas" w:hAnsi="Consolas"/>
      <w:color w:val="4E9A06"/>
      <w:szCs w:val="26"/>
      <w:shd w:val="clear" w:color="auto" w:fill="F8F8F8"/>
      <w:lang w:eastAsia="en-US"/>
    </w:rPr>
  </w:style>
  <w:style w:type="paragraph" w:styleId="Closing">
    <w:name w:val="Closing"/>
    <w:basedOn w:val="Normal"/>
    <w:link w:val="ClosingChar"/>
    <w:semiHidden/>
    <w:unhideWhenUsed/>
    <w:rsid w:val="0053143F"/>
    <w:pPr>
      <w:spacing w:before="0" w:line="240" w:lineRule="auto"/>
      <w:ind w:left="4252"/>
    </w:pPr>
  </w:style>
  <w:style w:type="character" w:customStyle="1" w:styleId="ClosingChar">
    <w:name w:val="Closing Char"/>
    <w:basedOn w:val="DefaultParagraphFont"/>
    <w:link w:val="Closing"/>
    <w:semiHidden/>
    <w:rsid w:val="0053143F"/>
    <w:rPr>
      <w:rFonts w:ascii="Calibri" w:eastAsia="Times New Roman" w:hAnsi="Calibri" w:cs="Times New Roman"/>
      <w:sz w:val="22"/>
      <w:szCs w:val="22"/>
      <w:lang w:eastAsia="zh-CN"/>
    </w:rPr>
  </w:style>
  <w:style w:type="character" w:styleId="CommentReference">
    <w:name w:val="annotation reference"/>
    <w:basedOn w:val="DefaultParagraphFont"/>
    <w:uiPriority w:val="99"/>
    <w:semiHidden/>
    <w:unhideWhenUsed/>
    <w:rsid w:val="0053143F"/>
    <w:rPr>
      <w:sz w:val="16"/>
      <w:szCs w:val="16"/>
    </w:rPr>
  </w:style>
  <w:style w:type="paragraph" w:styleId="CommentText">
    <w:name w:val="annotation text"/>
    <w:basedOn w:val="Normal"/>
    <w:link w:val="CommentTextChar"/>
    <w:uiPriority w:val="99"/>
    <w:unhideWhenUsed/>
    <w:rsid w:val="0053143F"/>
    <w:pPr>
      <w:spacing w:line="240" w:lineRule="auto"/>
    </w:pPr>
    <w:rPr>
      <w:sz w:val="20"/>
      <w:szCs w:val="20"/>
    </w:rPr>
  </w:style>
  <w:style w:type="character" w:customStyle="1" w:styleId="CommentTextChar">
    <w:name w:val="Comment Text Char"/>
    <w:basedOn w:val="DefaultParagraphFont"/>
    <w:link w:val="CommentText"/>
    <w:uiPriority w:val="99"/>
    <w:rsid w:val="0053143F"/>
    <w:rPr>
      <w:rFonts w:ascii="Calibri" w:eastAsia="Times New Roma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53143F"/>
    <w:rPr>
      <w:b/>
      <w:bCs/>
    </w:rPr>
  </w:style>
  <w:style w:type="character" w:customStyle="1" w:styleId="CommentSubjectChar">
    <w:name w:val="Comment Subject Char"/>
    <w:basedOn w:val="CommentTextChar"/>
    <w:link w:val="CommentSubject"/>
    <w:uiPriority w:val="99"/>
    <w:semiHidden/>
    <w:rsid w:val="0053143F"/>
    <w:rPr>
      <w:rFonts w:ascii="Calibri" w:eastAsia="Times New Roman" w:hAnsi="Calibri" w:cs="Times New Roman"/>
      <w:b/>
      <w:bCs/>
      <w:sz w:val="20"/>
      <w:szCs w:val="20"/>
      <w:lang w:eastAsia="zh-CN"/>
    </w:rPr>
  </w:style>
  <w:style w:type="character" w:customStyle="1" w:styleId="CommentTok">
    <w:name w:val="CommentTok"/>
    <w:basedOn w:val="DefaultParagraphFont"/>
    <w:rsid w:val="0053143F"/>
    <w:rPr>
      <w:rFonts w:ascii="Consolas" w:hAnsi="Consolas"/>
      <w:i/>
      <w:color w:val="8F5902"/>
      <w:szCs w:val="26"/>
      <w:shd w:val="clear" w:color="auto" w:fill="F8F8F8"/>
      <w:lang w:eastAsia="en-US"/>
    </w:rPr>
  </w:style>
  <w:style w:type="character" w:customStyle="1" w:styleId="CommentVarTok">
    <w:name w:val="CommentVarTok"/>
    <w:basedOn w:val="DefaultParagraphFont"/>
    <w:rsid w:val="0053143F"/>
    <w:rPr>
      <w:rFonts w:ascii="Consolas" w:hAnsi="Consolas"/>
      <w:b/>
      <w:i/>
      <w:color w:val="8F5902"/>
      <w:szCs w:val="26"/>
      <w:shd w:val="clear" w:color="auto" w:fill="F8F8F8"/>
      <w:lang w:eastAsia="en-US"/>
    </w:rPr>
  </w:style>
  <w:style w:type="paragraph" w:customStyle="1" w:styleId="Compact">
    <w:name w:val="Compact"/>
    <w:basedOn w:val="BodyText"/>
    <w:qFormat/>
    <w:rsid w:val="0053143F"/>
    <w:pPr>
      <w:spacing w:before="36" w:after="36" w:line="240" w:lineRule="auto"/>
    </w:pPr>
    <w:rPr>
      <w:rFonts w:asciiTheme="minorHAnsi" w:eastAsiaTheme="minorHAnsi" w:hAnsiTheme="minorHAnsi" w:cstheme="minorBidi"/>
      <w:sz w:val="24"/>
      <w:szCs w:val="24"/>
      <w:lang w:val="en-US" w:eastAsia="en-US"/>
    </w:rPr>
  </w:style>
  <w:style w:type="character" w:customStyle="1" w:styleId="ConstantTok">
    <w:name w:val="ConstantTok"/>
    <w:basedOn w:val="DefaultParagraphFont"/>
    <w:rsid w:val="0053143F"/>
    <w:rPr>
      <w:rFonts w:ascii="Consolas" w:hAnsi="Consolas"/>
      <w:color w:val="000000"/>
      <w:szCs w:val="26"/>
      <w:shd w:val="clear" w:color="auto" w:fill="F8F8F8"/>
      <w:lang w:eastAsia="en-US"/>
    </w:rPr>
  </w:style>
  <w:style w:type="paragraph" w:customStyle="1" w:styleId="ContentsSubheading">
    <w:name w:val="Contents Subheading"/>
    <w:basedOn w:val="Contents"/>
    <w:next w:val="Normal"/>
    <w:qFormat/>
    <w:rsid w:val="0053143F"/>
    <w:pPr>
      <w:outlineLvl w:val="1"/>
    </w:pPr>
    <w:rPr>
      <w:sz w:val="28"/>
    </w:rPr>
  </w:style>
  <w:style w:type="character" w:customStyle="1" w:styleId="ControlFlowTok">
    <w:name w:val="ControlFlowTok"/>
    <w:basedOn w:val="DefaultParagraphFont"/>
    <w:rsid w:val="0053143F"/>
    <w:rPr>
      <w:rFonts w:ascii="Consolas" w:hAnsi="Consolas"/>
      <w:b/>
      <w:color w:val="204A87"/>
      <w:szCs w:val="26"/>
      <w:shd w:val="clear" w:color="auto" w:fill="F8F8F8"/>
      <w:lang w:eastAsia="en-US"/>
    </w:rPr>
  </w:style>
  <w:style w:type="character" w:customStyle="1" w:styleId="DataTypeTok">
    <w:name w:val="DataTypeTok"/>
    <w:basedOn w:val="DefaultParagraphFont"/>
    <w:rsid w:val="0053143F"/>
    <w:rPr>
      <w:rFonts w:ascii="Consolas" w:hAnsi="Consolas"/>
      <w:color w:val="204A87"/>
      <w:szCs w:val="26"/>
      <w:shd w:val="clear" w:color="auto" w:fill="F8F8F8"/>
      <w:lang w:eastAsia="en-US"/>
    </w:rPr>
  </w:style>
  <w:style w:type="paragraph" w:styleId="Date">
    <w:name w:val="Date"/>
    <w:basedOn w:val="Normal"/>
    <w:next w:val="Normal"/>
    <w:link w:val="DateChar"/>
    <w:qFormat/>
    <w:rsid w:val="0053143F"/>
  </w:style>
  <w:style w:type="character" w:customStyle="1" w:styleId="DateChar">
    <w:name w:val="Date Char"/>
    <w:basedOn w:val="DefaultParagraphFont"/>
    <w:link w:val="Date"/>
    <w:rsid w:val="0053143F"/>
    <w:rPr>
      <w:rFonts w:ascii="Calibri" w:eastAsia="Times New Roman" w:hAnsi="Calibri" w:cs="Times New Roman"/>
      <w:sz w:val="22"/>
      <w:szCs w:val="22"/>
      <w:lang w:eastAsia="zh-CN"/>
    </w:rPr>
  </w:style>
  <w:style w:type="character" w:customStyle="1" w:styleId="DecValTok">
    <w:name w:val="DecValTok"/>
    <w:basedOn w:val="DefaultParagraphFont"/>
    <w:rsid w:val="0053143F"/>
    <w:rPr>
      <w:rFonts w:ascii="Consolas" w:hAnsi="Consolas"/>
      <w:color w:val="0000CF"/>
      <w:szCs w:val="26"/>
      <w:shd w:val="clear" w:color="auto" w:fill="F8F8F8"/>
      <w:lang w:eastAsia="en-US"/>
    </w:rPr>
  </w:style>
  <w:style w:type="paragraph" w:customStyle="1" w:styleId="Default">
    <w:name w:val="Default"/>
    <w:rsid w:val="0053143F"/>
    <w:pPr>
      <w:autoSpaceDE w:val="0"/>
      <w:autoSpaceDN w:val="0"/>
      <w:adjustRightInd w:val="0"/>
      <w:spacing w:line="360" w:lineRule="auto"/>
    </w:pPr>
    <w:rPr>
      <w:rFonts w:ascii="Calibri" w:hAnsi="Calibri" w:cs="Lucida Sans"/>
      <w:color w:val="000000"/>
      <w:sz w:val="22"/>
      <w:lang w:eastAsia="zh-CN"/>
    </w:rPr>
  </w:style>
  <w:style w:type="paragraph" w:customStyle="1" w:styleId="Definition">
    <w:name w:val="Definition"/>
    <w:basedOn w:val="Normal"/>
    <w:rsid w:val="0053143F"/>
    <w:pPr>
      <w:spacing w:before="0" w:after="200" w:line="240" w:lineRule="auto"/>
    </w:pPr>
    <w:rPr>
      <w:rFonts w:asciiTheme="minorHAnsi" w:eastAsiaTheme="minorHAnsi" w:hAnsiTheme="minorHAnsi" w:cstheme="minorBidi"/>
      <w:sz w:val="24"/>
      <w:szCs w:val="24"/>
      <w:lang w:val="en-US" w:eastAsia="en-US"/>
    </w:rPr>
  </w:style>
  <w:style w:type="paragraph" w:customStyle="1" w:styleId="DefinitionTerm">
    <w:name w:val="Definition Term"/>
    <w:basedOn w:val="Normal"/>
    <w:next w:val="Definition"/>
    <w:rsid w:val="0053143F"/>
    <w:pPr>
      <w:keepNext/>
      <w:keepLines/>
      <w:spacing w:before="0" w:line="240" w:lineRule="auto"/>
    </w:pPr>
    <w:rPr>
      <w:rFonts w:asciiTheme="minorHAnsi" w:eastAsiaTheme="minorHAnsi" w:hAnsiTheme="minorHAnsi" w:cstheme="minorBidi"/>
      <w:b/>
      <w:sz w:val="24"/>
      <w:szCs w:val="24"/>
      <w:lang w:val="en-US" w:eastAsia="en-US"/>
    </w:rPr>
  </w:style>
  <w:style w:type="paragraph" w:styleId="DocumentMap">
    <w:name w:val="Document Map"/>
    <w:basedOn w:val="Normal"/>
    <w:link w:val="DocumentMapChar"/>
    <w:semiHidden/>
    <w:rsid w:val="0053143F"/>
    <w:pPr>
      <w:shd w:val="clear" w:color="auto" w:fill="000080"/>
    </w:pPr>
    <w:rPr>
      <w:rFonts w:ascii="Tahoma" w:hAnsi="Tahoma" w:cs="Tahoma"/>
      <w:szCs w:val="20"/>
    </w:rPr>
  </w:style>
  <w:style w:type="character" w:customStyle="1" w:styleId="DocumentMapChar">
    <w:name w:val="Document Map Char"/>
    <w:basedOn w:val="DefaultParagraphFont"/>
    <w:link w:val="DocumentMap"/>
    <w:semiHidden/>
    <w:rsid w:val="0053143F"/>
    <w:rPr>
      <w:rFonts w:ascii="Tahoma" w:eastAsia="Times New Roman" w:hAnsi="Tahoma" w:cs="Tahoma"/>
      <w:sz w:val="22"/>
      <w:szCs w:val="20"/>
      <w:shd w:val="clear" w:color="auto" w:fill="000080"/>
      <w:lang w:eastAsia="zh-CN"/>
    </w:rPr>
  </w:style>
  <w:style w:type="character" w:customStyle="1" w:styleId="DocumentationTok">
    <w:name w:val="DocumentationTok"/>
    <w:basedOn w:val="DefaultParagraphFont"/>
    <w:rsid w:val="0053143F"/>
    <w:rPr>
      <w:rFonts w:ascii="Consolas" w:hAnsi="Consolas"/>
      <w:b/>
      <w:i/>
      <w:color w:val="8F5902"/>
      <w:szCs w:val="26"/>
      <w:shd w:val="clear" w:color="auto" w:fill="F8F8F8"/>
      <w:lang w:eastAsia="en-US"/>
    </w:rPr>
  </w:style>
  <w:style w:type="paragraph" w:styleId="EmailSignature">
    <w:name w:val="E-mail Signature"/>
    <w:basedOn w:val="Normal"/>
    <w:link w:val="EmailSignatureChar"/>
    <w:semiHidden/>
    <w:unhideWhenUsed/>
    <w:rsid w:val="0053143F"/>
    <w:pPr>
      <w:spacing w:before="0" w:line="240" w:lineRule="auto"/>
    </w:pPr>
  </w:style>
  <w:style w:type="character" w:customStyle="1" w:styleId="EmailSignatureChar">
    <w:name w:val="Email Signature Char"/>
    <w:basedOn w:val="DefaultParagraphFont"/>
    <w:link w:val="EmailSignature"/>
    <w:semiHidden/>
    <w:rsid w:val="0053143F"/>
    <w:rPr>
      <w:rFonts w:ascii="Calibri" w:eastAsia="Times New Roman" w:hAnsi="Calibri" w:cs="Times New Roman"/>
      <w:sz w:val="22"/>
      <w:szCs w:val="22"/>
      <w:lang w:eastAsia="zh-CN"/>
    </w:rPr>
  </w:style>
  <w:style w:type="paragraph" w:styleId="EndnoteText">
    <w:name w:val="endnote text"/>
    <w:basedOn w:val="Normal"/>
    <w:link w:val="EndnoteTextChar"/>
    <w:semiHidden/>
    <w:unhideWhenUsed/>
    <w:rsid w:val="0053143F"/>
    <w:pPr>
      <w:spacing w:before="0" w:line="240" w:lineRule="auto"/>
    </w:pPr>
    <w:rPr>
      <w:sz w:val="20"/>
      <w:szCs w:val="20"/>
    </w:rPr>
  </w:style>
  <w:style w:type="character" w:customStyle="1" w:styleId="EndnoteTextChar">
    <w:name w:val="Endnote Text Char"/>
    <w:basedOn w:val="DefaultParagraphFont"/>
    <w:link w:val="EndnoteText"/>
    <w:semiHidden/>
    <w:rsid w:val="0053143F"/>
    <w:rPr>
      <w:rFonts w:ascii="Calibri" w:eastAsia="Times New Roman" w:hAnsi="Calibri" w:cs="Times New Roman"/>
      <w:sz w:val="20"/>
      <w:szCs w:val="20"/>
      <w:lang w:eastAsia="zh-CN"/>
    </w:rPr>
  </w:style>
  <w:style w:type="paragraph" w:styleId="EnvelopeAddress">
    <w:name w:val="envelope address"/>
    <w:basedOn w:val="Normal"/>
    <w:semiHidden/>
    <w:unhideWhenUsed/>
    <w:rsid w:val="0053143F"/>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53143F"/>
    <w:pPr>
      <w:spacing w:before="0" w:line="240" w:lineRule="auto"/>
    </w:pPr>
    <w:rPr>
      <w:rFonts w:asciiTheme="majorHAnsi" w:eastAsiaTheme="majorEastAsia" w:hAnsiTheme="majorHAnsi" w:cstheme="majorBidi"/>
      <w:sz w:val="20"/>
      <w:szCs w:val="20"/>
    </w:rPr>
  </w:style>
  <w:style w:type="character" w:customStyle="1" w:styleId="ErrorTok">
    <w:name w:val="ErrorTok"/>
    <w:basedOn w:val="DefaultParagraphFont"/>
    <w:rsid w:val="0053143F"/>
    <w:rPr>
      <w:rFonts w:ascii="Consolas" w:hAnsi="Consolas"/>
      <w:b/>
      <w:color w:val="A40000"/>
      <w:szCs w:val="26"/>
      <w:shd w:val="clear" w:color="auto" w:fill="F8F8F8"/>
      <w:lang w:eastAsia="en-US"/>
    </w:rPr>
  </w:style>
  <w:style w:type="character" w:customStyle="1" w:styleId="ExtensionTok">
    <w:name w:val="ExtensionTok"/>
    <w:basedOn w:val="DefaultParagraphFont"/>
    <w:rsid w:val="0053143F"/>
    <w:rPr>
      <w:rFonts w:ascii="Consolas" w:hAnsi="Consolas"/>
      <w:szCs w:val="26"/>
      <w:shd w:val="clear" w:color="auto" w:fill="F8F8F8"/>
      <w:lang w:eastAsia="en-US"/>
    </w:rPr>
  </w:style>
  <w:style w:type="paragraph" w:customStyle="1" w:styleId="Figure">
    <w:name w:val="Figure"/>
    <w:basedOn w:val="Normal"/>
    <w:rsid w:val="0053143F"/>
    <w:pPr>
      <w:spacing w:before="0" w:after="200" w:line="240" w:lineRule="auto"/>
    </w:pPr>
    <w:rPr>
      <w:rFonts w:asciiTheme="minorHAnsi" w:eastAsiaTheme="minorHAnsi" w:hAnsiTheme="minorHAnsi" w:cstheme="minorBidi"/>
      <w:sz w:val="24"/>
      <w:szCs w:val="24"/>
      <w:lang w:val="en-US" w:eastAsia="en-US"/>
    </w:rPr>
  </w:style>
  <w:style w:type="table" w:customStyle="1" w:styleId="FigureNoOutline">
    <w:name w:val="Figure No Outline"/>
    <w:basedOn w:val="TableNormal"/>
    <w:rsid w:val="0053143F"/>
    <w:pPr>
      <w:spacing w:before="200" w:line="360" w:lineRule="auto"/>
    </w:pPr>
    <w:rPr>
      <w:rFonts w:ascii="Calibri" w:hAnsi="Calibri" w:cs="Times New Roman"/>
      <w:sz w:val="22"/>
      <w:szCs w:val="22"/>
      <w:lang w:eastAsia="zh-CN"/>
    </w:rPr>
    <w:tblPr>
      <w:tblCellMar>
        <w:left w:w="0" w:type="dxa"/>
        <w:right w:w="0" w:type="dxa"/>
      </w:tblCellMar>
    </w:tblPr>
  </w:style>
  <w:style w:type="table" w:customStyle="1" w:styleId="FigureOutline">
    <w:name w:val="Figure Outline"/>
    <w:basedOn w:val="TableNormal"/>
    <w:rsid w:val="0053143F"/>
    <w:pPr>
      <w:spacing w:before="200" w:line="360" w:lineRule="auto"/>
    </w:pPr>
    <w:rPr>
      <w:rFonts w:ascii="Calibri" w:hAnsi="Calibri" w:cs="Times New Roman"/>
      <w:sz w:val="22"/>
      <w:szCs w:val="22"/>
      <w:lang w:eastAsia="zh-CN"/>
    </w:rPr>
    <w:tblPr>
      <w:tblBorders>
        <w:top w:val="single" w:sz="4" w:space="0" w:color="auto"/>
        <w:left w:val="single" w:sz="4" w:space="0" w:color="auto"/>
        <w:bottom w:val="single" w:sz="4" w:space="0" w:color="auto"/>
        <w:right w:val="single" w:sz="4" w:space="0" w:color="auto"/>
      </w:tblBorders>
      <w:tblCellMar>
        <w:left w:w="0" w:type="dxa"/>
        <w:right w:w="0" w:type="dxa"/>
      </w:tblCellMar>
    </w:tblPr>
  </w:style>
  <w:style w:type="paragraph" w:customStyle="1" w:styleId="FigurewithCaption">
    <w:name w:val="Figure with Caption"/>
    <w:basedOn w:val="Figure"/>
    <w:rsid w:val="0053143F"/>
    <w:pPr>
      <w:keepNext/>
    </w:pPr>
  </w:style>
  <w:style w:type="paragraph" w:customStyle="1" w:styleId="FirstParagraph">
    <w:name w:val="First Paragraph"/>
    <w:basedOn w:val="BodyText"/>
    <w:next w:val="BodyText"/>
    <w:qFormat/>
    <w:rsid w:val="0053143F"/>
    <w:pPr>
      <w:spacing w:before="180" w:after="180" w:line="240" w:lineRule="auto"/>
    </w:pPr>
    <w:rPr>
      <w:rFonts w:asciiTheme="minorHAnsi" w:eastAsiaTheme="minorHAnsi" w:hAnsiTheme="minorHAnsi" w:cstheme="minorBidi"/>
      <w:sz w:val="24"/>
      <w:szCs w:val="24"/>
      <w:lang w:val="en-US" w:eastAsia="en-US"/>
    </w:rPr>
  </w:style>
  <w:style w:type="character" w:customStyle="1" w:styleId="FloatTok">
    <w:name w:val="FloatTok"/>
    <w:basedOn w:val="DefaultParagraphFont"/>
    <w:rsid w:val="0053143F"/>
    <w:rPr>
      <w:rFonts w:ascii="Consolas" w:hAnsi="Consolas"/>
      <w:color w:val="0000CF"/>
      <w:szCs w:val="26"/>
      <w:shd w:val="clear" w:color="auto" w:fill="F8F8F8"/>
      <w:lang w:eastAsia="en-US"/>
    </w:rPr>
  </w:style>
  <w:style w:type="character" w:styleId="FollowedHyperlink">
    <w:name w:val="FollowedHyperlink"/>
    <w:basedOn w:val="DefaultParagraphFont"/>
    <w:semiHidden/>
    <w:unhideWhenUsed/>
    <w:rsid w:val="0053143F"/>
    <w:rPr>
      <w:color w:val="954F72" w:themeColor="followedHyperlink"/>
      <w:u w:val="single"/>
    </w:rPr>
  </w:style>
  <w:style w:type="paragraph" w:styleId="Footer">
    <w:name w:val="footer"/>
    <w:link w:val="FooterChar"/>
    <w:uiPriority w:val="99"/>
    <w:rsid w:val="0053143F"/>
    <w:pPr>
      <w:tabs>
        <w:tab w:val="center" w:pos="4153"/>
        <w:tab w:val="right" w:pos="8306"/>
      </w:tabs>
      <w:spacing w:before="200" w:after="120" w:line="360" w:lineRule="auto"/>
    </w:pPr>
    <w:rPr>
      <w:rFonts w:ascii="Calibri" w:hAnsi="Calibri" w:cs="Times New Roman"/>
      <w:sz w:val="22"/>
    </w:rPr>
  </w:style>
  <w:style w:type="character" w:customStyle="1" w:styleId="FooterChar">
    <w:name w:val="Footer Char"/>
    <w:basedOn w:val="DefaultParagraphFont"/>
    <w:link w:val="Footer"/>
    <w:uiPriority w:val="99"/>
    <w:rsid w:val="0053143F"/>
    <w:rPr>
      <w:rFonts w:ascii="Calibri" w:eastAsia="Times New Roman" w:hAnsi="Calibri" w:cs="Times New Roman"/>
      <w:sz w:val="22"/>
    </w:rPr>
  </w:style>
  <w:style w:type="paragraph" w:customStyle="1" w:styleId="FooterLandscapedEven">
    <w:name w:val="Footer Landscaped Even"/>
    <w:basedOn w:val="Footer"/>
    <w:qFormat/>
    <w:rsid w:val="0053143F"/>
    <w:pPr>
      <w:tabs>
        <w:tab w:val="clear" w:pos="8306"/>
        <w:tab w:val="right" w:pos="8505"/>
      </w:tabs>
      <w:spacing w:before="0" w:after="1800" w:line="240" w:lineRule="auto"/>
      <w:jc w:val="center"/>
    </w:pPr>
    <w:rPr>
      <w:noProof/>
    </w:rPr>
  </w:style>
  <w:style w:type="character" w:styleId="FootnoteReference">
    <w:name w:val="footnote reference"/>
    <w:basedOn w:val="CaptionChar"/>
    <w:rsid w:val="0053143F"/>
    <w:rPr>
      <w:rFonts w:ascii="Calibri" w:eastAsia="Times New Roman" w:hAnsi="Calibri" w:cs="Times New Roman"/>
      <w:sz w:val="22"/>
      <w:szCs w:val="26"/>
      <w:vertAlign w:val="superscript"/>
      <w:lang w:eastAsia="en-US"/>
    </w:rPr>
  </w:style>
  <w:style w:type="paragraph" w:styleId="FootnoteText">
    <w:name w:val="footnote text"/>
    <w:basedOn w:val="Normal"/>
    <w:link w:val="FootnoteTextChar"/>
    <w:uiPriority w:val="9"/>
    <w:unhideWhenUsed/>
    <w:qFormat/>
    <w:rsid w:val="0053143F"/>
    <w:pPr>
      <w:spacing w:before="0" w:line="240" w:lineRule="auto"/>
    </w:pPr>
    <w:rPr>
      <w:sz w:val="20"/>
      <w:szCs w:val="20"/>
    </w:rPr>
  </w:style>
  <w:style w:type="character" w:customStyle="1" w:styleId="FootnoteTextChar">
    <w:name w:val="Footnote Text Char"/>
    <w:basedOn w:val="DefaultParagraphFont"/>
    <w:link w:val="FootnoteText"/>
    <w:uiPriority w:val="9"/>
    <w:rsid w:val="0053143F"/>
    <w:rPr>
      <w:rFonts w:ascii="Calibri" w:eastAsia="Times New Roman" w:hAnsi="Calibri" w:cs="Times New Roman"/>
      <w:sz w:val="20"/>
      <w:szCs w:val="20"/>
      <w:lang w:eastAsia="zh-CN"/>
    </w:rPr>
  </w:style>
  <w:style w:type="character" w:customStyle="1" w:styleId="FunctionTok">
    <w:name w:val="FunctionTok"/>
    <w:basedOn w:val="DefaultParagraphFont"/>
    <w:rsid w:val="0053143F"/>
    <w:rPr>
      <w:rFonts w:ascii="Consolas" w:hAnsi="Consolas"/>
      <w:color w:val="000000"/>
      <w:szCs w:val="26"/>
      <w:shd w:val="clear" w:color="auto" w:fill="F8F8F8"/>
      <w:lang w:eastAsia="en-US"/>
    </w:rPr>
  </w:style>
  <w:style w:type="paragraph" w:styleId="Header">
    <w:name w:val="header"/>
    <w:basedOn w:val="Normal"/>
    <w:link w:val="HeaderChar"/>
    <w:uiPriority w:val="99"/>
    <w:rsid w:val="0053143F"/>
    <w:pPr>
      <w:tabs>
        <w:tab w:val="center" w:pos="4153"/>
        <w:tab w:val="right" w:pos="8306"/>
      </w:tabs>
      <w:spacing w:after="120"/>
    </w:pPr>
    <w:rPr>
      <w:szCs w:val="24"/>
      <w:lang w:eastAsia="en-US"/>
    </w:rPr>
  </w:style>
  <w:style w:type="character" w:customStyle="1" w:styleId="HeaderChar">
    <w:name w:val="Header Char"/>
    <w:basedOn w:val="DefaultParagraphFont"/>
    <w:link w:val="Header"/>
    <w:uiPriority w:val="99"/>
    <w:rsid w:val="0053143F"/>
    <w:rPr>
      <w:rFonts w:ascii="Calibri" w:eastAsia="Times New Roman" w:hAnsi="Calibri" w:cs="Times New Roman"/>
      <w:sz w:val="22"/>
    </w:rPr>
  </w:style>
  <w:style w:type="paragraph" w:customStyle="1" w:styleId="HeaderLandscapedOdd">
    <w:name w:val="Header Landscaped Odd"/>
    <w:basedOn w:val="Header"/>
    <w:qFormat/>
    <w:rsid w:val="0053143F"/>
    <w:pPr>
      <w:tabs>
        <w:tab w:val="clear" w:pos="8306"/>
        <w:tab w:val="right" w:pos="8460"/>
      </w:tabs>
      <w:spacing w:before="1800" w:after="0" w:line="240" w:lineRule="auto"/>
      <w:jc w:val="right"/>
    </w:pPr>
  </w:style>
  <w:style w:type="character" w:customStyle="1" w:styleId="Heading1Char">
    <w:name w:val="Heading 1 Char"/>
    <w:basedOn w:val="DefaultParagraphFont"/>
    <w:link w:val="Heading1"/>
    <w:uiPriority w:val="9"/>
    <w:rsid w:val="0053143F"/>
    <w:rPr>
      <w:rFonts w:ascii="Calibri" w:eastAsia="Times New Roman" w:hAnsi="Calibri" w:cs="Arial"/>
      <w:b/>
      <w:bCs/>
      <w:kern w:val="32"/>
      <w:sz w:val="36"/>
      <w:szCs w:val="32"/>
    </w:rPr>
  </w:style>
  <w:style w:type="character" w:customStyle="1" w:styleId="Heading2Char">
    <w:name w:val="Heading 2 Char"/>
    <w:basedOn w:val="DefaultParagraphFont"/>
    <w:link w:val="Heading2"/>
    <w:uiPriority w:val="9"/>
    <w:rsid w:val="0053143F"/>
    <w:rPr>
      <w:rFonts w:ascii="Calibri" w:eastAsia="Times New Roman" w:hAnsi="Calibri" w:cs="Arial"/>
      <w:b/>
      <w:kern w:val="32"/>
      <w:sz w:val="28"/>
      <w:lang w:eastAsia="en-GB"/>
    </w:rPr>
  </w:style>
  <w:style w:type="character" w:customStyle="1" w:styleId="Heading3Char">
    <w:name w:val="Heading 3 Char"/>
    <w:basedOn w:val="DefaultParagraphFont"/>
    <w:link w:val="Heading3"/>
    <w:uiPriority w:val="9"/>
    <w:rsid w:val="0053143F"/>
    <w:rPr>
      <w:rFonts w:ascii="Calibri" w:eastAsia="Times New Roman" w:hAnsi="Calibri" w:cs="Arial"/>
      <w:b/>
      <w:kern w:val="32"/>
      <w:sz w:val="22"/>
      <w:szCs w:val="26"/>
    </w:rPr>
  </w:style>
  <w:style w:type="character" w:customStyle="1" w:styleId="Heading4Char">
    <w:name w:val="Heading 4 Char"/>
    <w:basedOn w:val="DefaultParagraphFont"/>
    <w:link w:val="Heading4"/>
    <w:uiPriority w:val="9"/>
    <w:rsid w:val="0053143F"/>
    <w:rPr>
      <w:rFonts w:ascii="Calibri" w:eastAsiaTheme="majorEastAsia" w:hAnsi="Calibri" w:cstheme="majorBidi"/>
      <w:b/>
      <w:iCs/>
      <w:kern w:val="32"/>
      <w:sz w:val="22"/>
    </w:rPr>
  </w:style>
  <w:style w:type="character" w:customStyle="1" w:styleId="Heading5Char">
    <w:name w:val="Heading 5 Char"/>
    <w:basedOn w:val="DefaultParagraphFont"/>
    <w:link w:val="Heading5"/>
    <w:uiPriority w:val="9"/>
    <w:rsid w:val="0053143F"/>
    <w:rPr>
      <w:rFonts w:ascii="Calibri" w:eastAsiaTheme="majorEastAsia" w:hAnsi="Calibri" w:cstheme="majorBidi"/>
      <w:b/>
      <w:bCs/>
      <w:kern w:val="32"/>
      <w:sz w:val="22"/>
    </w:rPr>
  </w:style>
  <w:style w:type="character" w:customStyle="1" w:styleId="Heading6Char">
    <w:name w:val="Heading 6 Char"/>
    <w:basedOn w:val="DefaultParagraphFont"/>
    <w:link w:val="Heading6"/>
    <w:uiPriority w:val="9"/>
    <w:rsid w:val="0053143F"/>
    <w:rPr>
      <w:rFonts w:ascii="Calibri" w:eastAsiaTheme="majorEastAsia" w:hAnsi="Calibri" w:cstheme="majorBidi"/>
      <w:bCs/>
      <w:iCs/>
      <w:kern w:val="32"/>
      <w:sz w:val="22"/>
    </w:rPr>
  </w:style>
  <w:style w:type="character" w:customStyle="1" w:styleId="Heading7Char">
    <w:name w:val="Heading 7 Char"/>
    <w:basedOn w:val="DefaultParagraphFont"/>
    <w:link w:val="Heading7"/>
    <w:rsid w:val="0053143F"/>
    <w:rPr>
      <w:rFonts w:ascii="Calibri" w:eastAsiaTheme="majorEastAsia" w:hAnsi="Calibri" w:cstheme="majorBidi"/>
      <w:bCs/>
      <w:iCs/>
      <w:kern w:val="32"/>
      <w:sz w:val="22"/>
    </w:rPr>
  </w:style>
  <w:style w:type="character" w:customStyle="1" w:styleId="Heading8Char">
    <w:name w:val="Heading 8 Char"/>
    <w:basedOn w:val="DefaultParagraphFont"/>
    <w:link w:val="Heading8"/>
    <w:rsid w:val="0053143F"/>
    <w:rPr>
      <w:rFonts w:ascii="Calibri" w:eastAsiaTheme="majorEastAsia" w:hAnsi="Calibri" w:cstheme="majorBidi"/>
      <w:bCs/>
      <w:kern w:val="32"/>
      <w:sz w:val="22"/>
      <w:szCs w:val="32"/>
    </w:rPr>
  </w:style>
  <w:style w:type="character" w:customStyle="1" w:styleId="Heading9Char">
    <w:name w:val="Heading 9 Char"/>
    <w:basedOn w:val="DefaultParagraphFont"/>
    <w:link w:val="Heading9"/>
    <w:rsid w:val="0053143F"/>
    <w:rPr>
      <w:rFonts w:ascii="Calibri" w:eastAsiaTheme="majorEastAsia" w:hAnsi="Calibri" w:cstheme="majorBidi"/>
      <w:bCs/>
      <w:iCs/>
      <w:color w:val="000000" w:themeColor="text1"/>
      <w:kern w:val="32"/>
      <w:sz w:val="22"/>
      <w:szCs w:val="32"/>
    </w:rPr>
  </w:style>
  <w:style w:type="paragraph" w:styleId="HTMLAddress">
    <w:name w:val="HTML Address"/>
    <w:basedOn w:val="Normal"/>
    <w:link w:val="HTMLAddressChar"/>
    <w:semiHidden/>
    <w:unhideWhenUsed/>
    <w:rsid w:val="0053143F"/>
    <w:pPr>
      <w:spacing w:before="0" w:line="240" w:lineRule="auto"/>
    </w:pPr>
    <w:rPr>
      <w:i/>
      <w:iCs/>
    </w:rPr>
  </w:style>
  <w:style w:type="character" w:customStyle="1" w:styleId="HTMLAddressChar">
    <w:name w:val="HTML Address Char"/>
    <w:basedOn w:val="DefaultParagraphFont"/>
    <w:link w:val="HTMLAddress"/>
    <w:semiHidden/>
    <w:rsid w:val="0053143F"/>
    <w:rPr>
      <w:rFonts w:ascii="Calibri" w:eastAsia="Times New Roman" w:hAnsi="Calibri" w:cs="Times New Roman"/>
      <w:i/>
      <w:iCs/>
      <w:sz w:val="22"/>
      <w:szCs w:val="22"/>
      <w:lang w:eastAsia="zh-CN"/>
    </w:rPr>
  </w:style>
  <w:style w:type="paragraph" w:styleId="HTMLPreformatted">
    <w:name w:val="HTML Preformatted"/>
    <w:basedOn w:val="Normal"/>
    <w:link w:val="HTMLPreformattedChar"/>
    <w:semiHidden/>
    <w:unhideWhenUsed/>
    <w:rsid w:val="0053143F"/>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53143F"/>
    <w:rPr>
      <w:rFonts w:ascii="Consolas" w:eastAsia="Times New Roman" w:hAnsi="Consolas" w:cs="Times New Roman"/>
      <w:sz w:val="20"/>
      <w:szCs w:val="20"/>
      <w:lang w:eastAsia="zh-CN"/>
    </w:rPr>
  </w:style>
  <w:style w:type="character" w:styleId="Hyperlink">
    <w:name w:val="Hyperlink"/>
    <w:basedOn w:val="DefaultParagraphFont"/>
    <w:uiPriority w:val="99"/>
    <w:rsid w:val="0053143F"/>
    <w:rPr>
      <w:rFonts w:ascii="Calibri" w:hAnsi="Calibri"/>
      <w:color w:val="0000FF"/>
      <w:sz w:val="22"/>
      <w:u w:val="single"/>
      <w:lang w:val="en-GB"/>
    </w:rPr>
  </w:style>
  <w:style w:type="paragraph" w:customStyle="1" w:styleId="ImageCaption">
    <w:name w:val="Image Caption"/>
    <w:basedOn w:val="Caption"/>
    <w:rsid w:val="0053143F"/>
    <w:pPr>
      <w:tabs>
        <w:tab w:val="clear" w:pos="1418"/>
      </w:tabs>
      <w:spacing w:before="0" w:line="240" w:lineRule="auto"/>
      <w:ind w:left="0" w:firstLine="0"/>
      <w:contextualSpacing w:val="0"/>
    </w:pPr>
    <w:rPr>
      <w:rFonts w:asciiTheme="minorHAnsi" w:eastAsiaTheme="minorHAnsi" w:hAnsiTheme="minorHAnsi" w:cstheme="minorBidi"/>
      <w:i/>
      <w:sz w:val="24"/>
      <w:szCs w:val="24"/>
      <w:lang w:val="en-US"/>
    </w:rPr>
  </w:style>
  <w:style w:type="character" w:customStyle="1" w:styleId="ImportTok">
    <w:name w:val="ImportTok"/>
    <w:basedOn w:val="DefaultParagraphFont"/>
    <w:rsid w:val="0053143F"/>
    <w:rPr>
      <w:rFonts w:ascii="Consolas" w:hAnsi="Consolas"/>
      <w:szCs w:val="26"/>
      <w:shd w:val="clear" w:color="auto" w:fill="F8F8F8"/>
      <w:lang w:eastAsia="en-US"/>
    </w:rPr>
  </w:style>
  <w:style w:type="paragraph" w:styleId="Index1">
    <w:name w:val="index 1"/>
    <w:basedOn w:val="Normal"/>
    <w:next w:val="Normal"/>
    <w:autoRedefine/>
    <w:semiHidden/>
    <w:unhideWhenUsed/>
    <w:rsid w:val="0053143F"/>
    <w:pPr>
      <w:spacing w:before="0" w:line="240" w:lineRule="auto"/>
      <w:ind w:left="220" w:hanging="220"/>
    </w:pPr>
  </w:style>
  <w:style w:type="paragraph" w:styleId="Index2">
    <w:name w:val="index 2"/>
    <w:basedOn w:val="Normal"/>
    <w:next w:val="Normal"/>
    <w:autoRedefine/>
    <w:semiHidden/>
    <w:unhideWhenUsed/>
    <w:rsid w:val="0053143F"/>
    <w:pPr>
      <w:spacing w:before="0" w:line="240" w:lineRule="auto"/>
      <w:ind w:left="440" w:hanging="220"/>
    </w:pPr>
  </w:style>
  <w:style w:type="paragraph" w:styleId="Index3">
    <w:name w:val="index 3"/>
    <w:basedOn w:val="Normal"/>
    <w:next w:val="Normal"/>
    <w:autoRedefine/>
    <w:semiHidden/>
    <w:unhideWhenUsed/>
    <w:rsid w:val="0053143F"/>
    <w:pPr>
      <w:spacing w:before="0" w:line="240" w:lineRule="auto"/>
      <w:ind w:left="660" w:hanging="220"/>
    </w:pPr>
  </w:style>
  <w:style w:type="paragraph" w:styleId="Index4">
    <w:name w:val="index 4"/>
    <w:basedOn w:val="Normal"/>
    <w:next w:val="Normal"/>
    <w:autoRedefine/>
    <w:semiHidden/>
    <w:unhideWhenUsed/>
    <w:rsid w:val="0053143F"/>
    <w:pPr>
      <w:spacing w:before="0" w:line="240" w:lineRule="auto"/>
      <w:ind w:left="880" w:hanging="220"/>
    </w:pPr>
  </w:style>
  <w:style w:type="paragraph" w:styleId="Index5">
    <w:name w:val="index 5"/>
    <w:basedOn w:val="Normal"/>
    <w:next w:val="Normal"/>
    <w:autoRedefine/>
    <w:semiHidden/>
    <w:unhideWhenUsed/>
    <w:rsid w:val="0053143F"/>
    <w:pPr>
      <w:spacing w:before="0" w:line="240" w:lineRule="auto"/>
      <w:ind w:left="1100" w:hanging="220"/>
    </w:pPr>
  </w:style>
  <w:style w:type="paragraph" w:styleId="Index6">
    <w:name w:val="index 6"/>
    <w:basedOn w:val="Normal"/>
    <w:next w:val="Normal"/>
    <w:autoRedefine/>
    <w:semiHidden/>
    <w:unhideWhenUsed/>
    <w:rsid w:val="0053143F"/>
    <w:pPr>
      <w:spacing w:before="0" w:line="240" w:lineRule="auto"/>
      <w:ind w:left="1320" w:hanging="220"/>
    </w:pPr>
  </w:style>
  <w:style w:type="paragraph" w:styleId="Index7">
    <w:name w:val="index 7"/>
    <w:basedOn w:val="Normal"/>
    <w:next w:val="Normal"/>
    <w:autoRedefine/>
    <w:semiHidden/>
    <w:unhideWhenUsed/>
    <w:rsid w:val="0053143F"/>
    <w:pPr>
      <w:spacing w:before="0" w:line="240" w:lineRule="auto"/>
      <w:ind w:left="1540" w:hanging="220"/>
    </w:pPr>
  </w:style>
  <w:style w:type="paragraph" w:styleId="Index8">
    <w:name w:val="index 8"/>
    <w:basedOn w:val="Normal"/>
    <w:next w:val="Normal"/>
    <w:autoRedefine/>
    <w:semiHidden/>
    <w:unhideWhenUsed/>
    <w:rsid w:val="0053143F"/>
    <w:pPr>
      <w:spacing w:before="0" w:line="240" w:lineRule="auto"/>
      <w:ind w:left="1760" w:hanging="220"/>
    </w:pPr>
  </w:style>
  <w:style w:type="paragraph" w:styleId="Index9">
    <w:name w:val="index 9"/>
    <w:basedOn w:val="Normal"/>
    <w:next w:val="Normal"/>
    <w:autoRedefine/>
    <w:semiHidden/>
    <w:unhideWhenUsed/>
    <w:rsid w:val="0053143F"/>
    <w:pPr>
      <w:spacing w:before="0" w:line="240" w:lineRule="auto"/>
      <w:ind w:left="1980" w:hanging="220"/>
    </w:pPr>
  </w:style>
  <w:style w:type="paragraph" w:styleId="IndexHeading">
    <w:name w:val="index heading"/>
    <w:basedOn w:val="Normal"/>
    <w:next w:val="Index1"/>
    <w:semiHidden/>
    <w:unhideWhenUsed/>
    <w:rsid w:val="0053143F"/>
    <w:rPr>
      <w:rFonts w:asciiTheme="majorHAnsi" w:eastAsiaTheme="majorEastAsia" w:hAnsiTheme="majorHAnsi" w:cstheme="majorBidi"/>
      <w:b/>
      <w:bCs/>
    </w:rPr>
  </w:style>
  <w:style w:type="character" w:customStyle="1" w:styleId="InformationTok">
    <w:name w:val="InformationTok"/>
    <w:basedOn w:val="DefaultParagraphFont"/>
    <w:rsid w:val="0053143F"/>
    <w:rPr>
      <w:rFonts w:ascii="Consolas" w:hAnsi="Consolas"/>
      <w:b/>
      <w:i/>
      <w:color w:val="8F5902"/>
      <w:szCs w:val="26"/>
      <w:shd w:val="clear" w:color="auto" w:fill="F8F8F8"/>
      <w:lang w:eastAsia="en-US"/>
    </w:rPr>
  </w:style>
  <w:style w:type="paragraph" w:customStyle="1" w:styleId="Insertedimage">
    <w:name w:val="Inserted image"/>
    <w:basedOn w:val="Normal"/>
    <w:next w:val="Normal"/>
    <w:qFormat/>
    <w:rsid w:val="0053143F"/>
    <w:pPr>
      <w:keepNext/>
      <w:spacing w:before="120" w:after="120" w:line="240" w:lineRule="auto"/>
      <w:jc w:val="center"/>
    </w:pPr>
    <w:rPr>
      <w:noProof/>
    </w:rPr>
  </w:style>
  <w:style w:type="character" w:customStyle="1" w:styleId="KeywordTok">
    <w:name w:val="KeywordTok"/>
    <w:basedOn w:val="DefaultParagraphFont"/>
    <w:rsid w:val="0053143F"/>
    <w:rPr>
      <w:rFonts w:ascii="Consolas" w:hAnsi="Consolas"/>
      <w:b/>
      <w:color w:val="204A87"/>
      <w:szCs w:val="26"/>
      <w:shd w:val="clear" w:color="auto" w:fill="F8F8F8"/>
      <w:lang w:eastAsia="en-US"/>
    </w:rPr>
  </w:style>
  <w:style w:type="paragraph" w:styleId="List">
    <w:name w:val="List"/>
    <w:basedOn w:val="Normal"/>
    <w:semiHidden/>
    <w:unhideWhenUsed/>
    <w:rsid w:val="0053143F"/>
    <w:pPr>
      <w:ind w:left="283" w:hanging="283"/>
      <w:contextualSpacing/>
    </w:pPr>
  </w:style>
  <w:style w:type="paragraph" w:styleId="List2">
    <w:name w:val="List 2"/>
    <w:basedOn w:val="Normal"/>
    <w:semiHidden/>
    <w:unhideWhenUsed/>
    <w:rsid w:val="0053143F"/>
    <w:pPr>
      <w:ind w:left="566" w:hanging="283"/>
      <w:contextualSpacing/>
    </w:pPr>
  </w:style>
  <w:style w:type="paragraph" w:styleId="List3">
    <w:name w:val="List 3"/>
    <w:basedOn w:val="Normal"/>
    <w:semiHidden/>
    <w:unhideWhenUsed/>
    <w:rsid w:val="0053143F"/>
    <w:pPr>
      <w:ind w:left="849" w:hanging="283"/>
      <w:contextualSpacing/>
    </w:pPr>
  </w:style>
  <w:style w:type="paragraph" w:styleId="List4">
    <w:name w:val="List 4"/>
    <w:basedOn w:val="Normal"/>
    <w:semiHidden/>
    <w:rsid w:val="0053143F"/>
    <w:pPr>
      <w:ind w:left="1132" w:hanging="283"/>
      <w:contextualSpacing/>
    </w:pPr>
  </w:style>
  <w:style w:type="paragraph" w:styleId="List5">
    <w:name w:val="List 5"/>
    <w:basedOn w:val="Normal"/>
    <w:semiHidden/>
    <w:rsid w:val="0053143F"/>
    <w:pPr>
      <w:ind w:left="1415" w:hanging="283"/>
      <w:contextualSpacing/>
    </w:pPr>
  </w:style>
  <w:style w:type="paragraph" w:styleId="ListBullet">
    <w:name w:val="List Bullet"/>
    <w:basedOn w:val="Normal"/>
    <w:semiHidden/>
    <w:unhideWhenUsed/>
    <w:rsid w:val="0053143F"/>
    <w:pPr>
      <w:numPr>
        <w:numId w:val="14"/>
      </w:numPr>
      <w:contextualSpacing/>
    </w:pPr>
  </w:style>
  <w:style w:type="paragraph" w:styleId="ListBullet2">
    <w:name w:val="List Bullet 2"/>
    <w:basedOn w:val="Normal"/>
    <w:semiHidden/>
    <w:unhideWhenUsed/>
    <w:rsid w:val="0053143F"/>
    <w:pPr>
      <w:numPr>
        <w:numId w:val="16"/>
      </w:numPr>
      <w:contextualSpacing/>
    </w:pPr>
  </w:style>
  <w:style w:type="paragraph" w:styleId="ListBullet3">
    <w:name w:val="List Bullet 3"/>
    <w:basedOn w:val="Normal"/>
    <w:semiHidden/>
    <w:unhideWhenUsed/>
    <w:rsid w:val="0053143F"/>
    <w:pPr>
      <w:numPr>
        <w:numId w:val="18"/>
      </w:numPr>
      <w:contextualSpacing/>
    </w:pPr>
  </w:style>
  <w:style w:type="paragraph" w:styleId="ListBullet4">
    <w:name w:val="List Bullet 4"/>
    <w:basedOn w:val="Normal"/>
    <w:semiHidden/>
    <w:unhideWhenUsed/>
    <w:rsid w:val="0053143F"/>
    <w:pPr>
      <w:numPr>
        <w:numId w:val="20"/>
      </w:numPr>
      <w:contextualSpacing/>
    </w:pPr>
  </w:style>
  <w:style w:type="paragraph" w:styleId="ListBullet5">
    <w:name w:val="List Bullet 5"/>
    <w:basedOn w:val="Normal"/>
    <w:semiHidden/>
    <w:unhideWhenUsed/>
    <w:rsid w:val="0053143F"/>
    <w:pPr>
      <w:numPr>
        <w:numId w:val="22"/>
      </w:numPr>
      <w:contextualSpacing/>
    </w:pPr>
  </w:style>
  <w:style w:type="paragraph" w:styleId="ListContinue">
    <w:name w:val="List Continue"/>
    <w:basedOn w:val="Normal"/>
    <w:semiHidden/>
    <w:unhideWhenUsed/>
    <w:rsid w:val="0053143F"/>
    <w:pPr>
      <w:spacing w:after="120"/>
      <w:ind w:left="283"/>
      <w:contextualSpacing/>
    </w:pPr>
  </w:style>
  <w:style w:type="paragraph" w:styleId="ListContinue2">
    <w:name w:val="List Continue 2"/>
    <w:basedOn w:val="Normal"/>
    <w:semiHidden/>
    <w:unhideWhenUsed/>
    <w:rsid w:val="0053143F"/>
    <w:pPr>
      <w:spacing w:after="120"/>
      <w:ind w:left="566"/>
      <w:contextualSpacing/>
    </w:pPr>
  </w:style>
  <w:style w:type="paragraph" w:styleId="ListContinue3">
    <w:name w:val="List Continue 3"/>
    <w:basedOn w:val="Normal"/>
    <w:semiHidden/>
    <w:unhideWhenUsed/>
    <w:rsid w:val="0053143F"/>
    <w:pPr>
      <w:spacing w:after="120"/>
      <w:ind w:left="849"/>
      <w:contextualSpacing/>
    </w:pPr>
  </w:style>
  <w:style w:type="paragraph" w:styleId="ListContinue4">
    <w:name w:val="List Continue 4"/>
    <w:basedOn w:val="Normal"/>
    <w:semiHidden/>
    <w:unhideWhenUsed/>
    <w:rsid w:val="0053143F"/>
    <w:pPr>
      <w:spacing w:after="120"/>
      <w:ind w:left="1132"/>
      <w:contextualSpacing/>
    </w:pPr>
  </w:style>
  <w:style w:type="paragraph" w:styleId="ListContinue5">
    <w:name w:val="List Continue 5"/>
    <w:basedOn w:val="Normal"/>
    <w:semiHidden/>
    <w:unhideWhenUsed/>
    <w:rsid w:val="0053143F"/>
    <w:pPr>
      <w:spacing w:after="120"/>
      <w:ind w:left="1415"/>
      <w:contextualSpacing/>
    </w:pPr>
  </w:style>
  <w:style w:type="paragraph" w:styleId="ListNumber">
    <w:name w:val="List Number"/>
    <w:basedOn w:val="Normal"/>
    <w:rsid w:val="0053143F"/>
    <w:pPr>
      <w:numPr>
        <w:numId w:val="24"/>
      </w:numPr>
      <w:contextualSpacing/>
    </w:pPr>
  </w:style>
  <w:style w:type="paragraph" w:styleId="ListNumber2">
    <w:name w:val="List Number 2"/>
    <w:basedOn w:val="Normal"/>
    <w:semiHidden/>
    <w:unhideWhenUsed/>
    <w:rsid w:val="0053143F"/>
    <w:pPr>
      <w:numPr>
        <w:numId w:val="26"/>
      </w:numPr>
      <w:contextualSpacing/>
    </w:pPr>
  </w:style>
  <w:style w:type="paragraph" w:styleId="ListNumber3">
    <w:name w:val="List Number 3"/>
    <w:basedOn w:val="Normal"/>
    <w:semiHidden/>
    <w:unhideWhenUsed/>
    <w:rsid w:val="0053143F"/>
    <w:pPr>
      <w:numPr>
        <w:numId w:val="28"/>
      </w:numPr>
      <w:contextualSpacing/>
    </w:pPr>
  </w:style>
  <w:style w:type="paragraph" w:styleId="ListNumber4">
    <w:name w:val="List Number 4"/>
    <w:basedOn w:val="Normal"/>
    <w:semiHidden/>
    <w:unhideWhenUsed/>
    <w:rsid w:val="0053143F"/>
    <w:pPr>
      <w:numPr>
        <w:numId w:val="30"/>
      </w:numPr>
      <w:contextualSpacing/>
    </w:pPr>
  </w:style>
  <w:style w:type="paragraph" w:styleId="ListNumber5">
    <w:name w:val="List Number 5"/>
    <w:basedOn w:val="Normal"/>
    <w:semiHidden/>
    <w:unhideWhenUsed/>
    <w:rsid w:val="0053143F"/>
    <w:pPr>
      <w:numPr>
        <w:numId w:val="32"/>
      </w:numPr>
      <w:contextualSpacing/>
    </w:pPr>
  </w:style>
  <w:style w:type="paragraph" w:styleId="ListParagraph">
    <w:name w:val="List Paragraph"/>
    <w:basedOn w:val="Normal"/>
    <w:uiPriority w:val="34"/>
    <w:qFormat/>
    <w:rsid w:val="0053143F"/>
    <w:pPr>
      <w:ind w:left="720"/>
      <w:contextualSpacing/>
    </w:pPr>
  </w:style>
  <w:style w:type="paragraph" w:styleId="MacroText">
    <w:name w:val="macro"/>
    <w:link w:val="MacroTextChar"/>
    <w:semiHidden/>
    <w:unhideWhenUsed/>
    <w:rsid w:val="0053143F"/>
    <w:pPr>
      <w:tabs>
        <w:tab w:val="left" w:pos="480"/>
        <w:tab w:val="left" w:pos="960"/>
        <w:tab w:val="left" w:pos="1440"/>
        <w:tab w:val="left" w:pos="1920"/>
        <w:tab w:val="left" w:pos="2400"/>
        <w:tab w:val="left" w:pos="2880"/>
        <w:tab w:val="left" w:pos="3360"/>
        <w:tab w:val="left" w:pos="3840"/>
        <w:tab w:val="left" w:pos="4320"/>
      </w:tabs>
      <w:spacing w:before="200" w:line="360" w:lineRule="auto"/>
    </w:pPr>
    <w:rPr>
      <w:rFonts w:ascii="Consolas" w:hAnsi="Consolas" w:cs="Times New Roman"/>
      <w:sz w:val="20"/>
      <w:szCs w:val="20"/>
      <w:lang w:eastAsia="zh-CN"/>
    </w:rPr>
  </w:style>
  <w:style w:type="character" w:customStyle="1" w:styleId="MacroTextChar">
    <w:name w:val="Macro Text Char"/>
    <w:basedOn w:val="DefaultParagraphFont"/>
    <w:link w:val="MacroText"/>
    <w:semiHidden/>
    <w:rsid w:val="0053143F"/>
    <w:rPr>
      <w:rFonts w:ascii="Consolas" w:eastAsia="Times New Roman" w:hAnsi="Consolas" w:cs="Times New Roman"/>
      <w:sz w:val="20"/>
      <w:szCs w:val="20"/>
      <w:lang w:eastAsia="zh-CN"/>
    </w:rPr>
  </w:style>
  <w:style w:type="paragraph" w:styleId="MessageHeader">
    <w:name w:val="Message Header"/>
    <w:basedOn w:val="Normal"/>
    <w:link w:val="MessageHeaderChar"/>
    <w:semiHidden/>
    <w:unhideWhenUsed/>
    <w:rsid w:val="0053143F"/>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53143F"/>
    <w:rPr>
      <w:rFonts w:asciiTheme="majorHAnsi" w:eastAsiaTheme="majorEastAsia" w:hAnsiTheme="majorHAnsi" w:cstheme="majorBidi"/>
      <w:shd w:val="pct20" w:color="auto" w:fill="auto"/>
      <w:lang w:eastAsia="zh-CN"/>
    </w:rPr>
  </w:style>
  <w:style w:type="paragraph" w:styleId="NoSpacing">
    <w:name w:val="No Spacing"/>
    <w:uiPriority w:val="1"/>
    <w:rsid w:val="0053143F"/>
    <w:rPr>
      <w:rFonts w:ascii="Calibri" w:hAnsi="Calibri" w:cs="Times New Roman"/>
      <w:sz w:val="22"/>
      <w:szCs w:val="22"/>
      <w:lang w:eastAsia="zh-CN"/>
    </w:rPr>
  </w:style>
  <w:style w:type="paragraph" w:styleId="NormalWeb">
    <w:name w:val="Normal (Web)"/>
    <w:basedOn w:val="Normal"/>
    <w:uiPriority w:val="99"/>
    <w:semiHidden/>
    <w:unhideWhenUsed/>
    <w:rsid w:val="0053143F"/>
    <w:rPr>
      <w:rFonts w:ascii="Times New Roman" w:hAnsi="Times New Roman"/>
      <w:sz w:val="24"/>
      <w:szCs w:val="24"/>
    </w:rPr>
  </w:style>
  <w:style w:type="paragraph" w:styleId="NormalIndent">
    <w:name w:val="Normal Indent"/>
    <w:basedOn w:val="Normal"/>
    <w:semiHidden/>
    <w:unhideWhenUsed/>
    <w:rsid w:val="0053143F"/>
    <w:pPr>
      <w:ind w:left="720"/>
    </w:pPr>
  </w:style>
  <w:style w:type="character" w:customStyle="1" w:styleId="NormalTok">
    <w:name w:val="NormalTok"/>
    <w:basedOn w:val="DefaultParagraphFont"/>
    <w:rsid w:val="0053143F"/>
    <w:rPr>
      <w:rFonts w:ascii="Consolas" w:hAnsi="Consolas"/>
      <w:szCs w:val="26"/>
      <w:shd w:val="clear" w:color="auto" w:fill="F8F8F8"/>
      <w:lang w:eastAsia="en-US"/>
    </w:rPr>
  </w:style>
  <w:style w:type="paragraph" w:styleId="NoteHeading">
    <w:name w:val="Note Heading"/>
    <w:basedOn w:val="Normal"/>
    <w:next w:val="Normal"/>
    <w:link w:val="NoteHeadingChar"/>
    <w:semiHidden/>
    <w:unhideWhenUsed/>
    <w:rsid w:val="0053143F"/>
    <w:pPr>
      <w:spacing w:before="0" w:line="240" w:lineRule="auto"/>
    </w:pPr>
  </w:style>
  <w:style w:type="character" w:customStyle="1" w:styleId="NoteHeadingChar">
    <w:name w:val="Note Heading Char"/>
    <w:basedOn w:val="DefaultParagraphFont"/>
    <w:link w:val="NoteHeading"/>
    <w:semiHidden/>
    <w:rsid w:val="0053143F"/>
    <w:rPr>
      <w:rFonts w:ascii="Calibri" w:eastAsia="Times New Roman" w:hAnsi="Calibri" w:cs="Times New Roman"/>
      <w:sz w:val="22"/>
      <w:szCs w:val="22"/>
      <w:lang w:eastAsia="zh-CN"/>
    </w:rPr>
  </w:style>
  <w:style w:type="character" w:customStyle="1" w:styleId="OperatorTok">
    <w:name w:val="OperatorTok"/>
    <w:basedOn w:val="DefaultParagraphFont"/>
    <w:rsid w:val="0053143F"/>
    <w:rPr>
      <w:rFonts w:ascii="Consolas" w:hAnsi="Consolas"/>
      <w:b/>
      <w:color w:val="CE5C00"/>
      <w:szCs w:val="26"/>
      <w:shd w:val="clear" w:color="auto" w:fill="F8F8F8"/>
      <w:lang w:eastAsia="en-US"/>
    </w:rPr>
  </w:style>
  <w:style w:type="character" w:customStyle="1" w:styleId="orcid-id-https">
    <w:name w:val="orcid-id-https"/>
    <w:basedOn w:val="DefaultParagraphFont"/>
    <w:rsid w:val="0053143F"/>
  </w:style>
  <w:style w:type="character" w:customStyle="1" w:styleId="OtherTok">
    <w:name w:val="OtherTok"/>
    <w:basedOn w:val="DefaultParagraphFont"/>
    <w:rsid w:val="0053143F"/>
    <w:rPr>
      <w:rFonts w:ascii="Consolas" w:hAnsi="Consolas"/>
      <w:color w:val="8F5902"/>
      <w:szCs w:val="26"/>
      <w:shd w:val="clear" w:color="auto" w:fill="F8F8F8"/>
      <w:lang w:eastAsia="en-US"/>
    </w:rPr>
  </w:style>
  <w:style w:type="character" w:styleId="PageNumber">
    <w:name w:val="page number"/>
    <w:uiPriority w:val="99"/>
    <w:rsid w:val="0053143F"/>
    <w:rPr>
      <w:rFonts w:ascii="Calibri" w:hAnsi="Calibri"/>
      <w:sz w:val="22"/>
      <w:lang w:val="en-GB"/>
    </w:rPr>
  </w:style>
  <w:style w:type="paragraph" w:styleId="PlainText">
    <w:name w:val="Plain Text"/>
    <w:basedOn w:val="Normal"/>
    <w:link w:val="PlainTextChar"/>
    <w:semiHidden/>
    <w:unhideWhenUsed/>
    <w:rsid w:val="0053143F"/>
    <w:pPr>
      <w:spacing w:before="0" w:line="240" w:lineRule="auto"/>
    </w:pPr>
    <w:rPr>
      <w:rFonts w:ascii="Consolas" w:hAnsi="Consolas"/>
      <w:sz w:val="21"/>
      <w:szCs w:val="21"/>
    </w:rPr>
  </w:style>
  <w:style w:type="character" w:customStyle="1" w:styleId="PlainTextChar">
    <w:name w:val="Plain Text Char"/>
    <w:basedOn w:val="DefaultParagraphFont"/>
    <w:link w:val="PlainText"/>
    <w:semiHidden/>
    <w:rsid w:val="0053143F"/>
    <w:rPr>
      <w:rFonts w:ascii="Consolas" w:eastAsia="Times New Roman" w:hAnsi="Consolas" w:cs="Times New Roman"/>
      <w:sz w:val="21"/>
      <w:szCs w:val="21"/>
      <w:lang w:eastAsia="zh-CN"/>
    </w:rPr>
  </w:style>
  <w:style w:type="character" w:customStyle="1" w:styleId="PreprocessorTok">
    <w:name w:val="PreprocessorTok"/>
    <w:basedOn w:val="DefaultParagraphFont"/>
    <w:rsid w:val="0053143F"/>
    <w:rPr>
      <w:rFonts w:ascii="Consolas" w:hAnsi="Consolas"/>
      <w:i/>
      <w:color w:val="8F5902"/>
      <w:szCs w:val="26"/>
      <w:shd w:val="clear" w:color="auto" w:fill="F8F8F8"/>
      <w:lang w:eastAsia="en-US"/>
    </w:rPr>
  </w:style>
  <w:style w:type="paragraph" w:customStyle="1" w:styleId="Quotation">
    <w:name w:val="Quotation"/>
    <w:basedOn w:val="Normal"/>
    <w:qFormat/>
    <w:rsid w:val="0053143F"/>
    <w:pPr>
      <w:ind w:left="425" w:right="425"/>
    </w:pPr>
    <w:rPr>
      <w:iCs/>
      <w:szCs w:val="24"/>
      <w:lang w:eastAsia="en-US"/>
    </w:rPr>
  </w:style>
  <w:style w:type="paragraph" w:customStyle="1" w:styleId="QuotationAttribution">
    <w:name w:val="Quotation_Attribution"/>
    <w:basedOn w:val="Quotation"/>
    <w:next w:val="Normal"/>
    <w:qFormat/>
    <w:rsid w:val="0053143F"/>
    <w:rPr>
      <w:b/>
    </w:rPr>
  </w:style>
  <w:style w:type="character" w:customStyle="1" w:styleId="RegionMarkerTok">
    <w:name w:val="RegionMarkerTok"/>
    <w:basedOn w:val="DefaultParagraphFont"/>
    <w:rsid w:val="0053143F"/>
    <w:rPr>
      <w:rFonts w:ascii="Consolas" w:hAnsi="Consolas"/>
      <w:szCs w:val="26"/>
      <w:shd w:val="clear" w:color="auto" w:fill="F8F8F8"/>
      <w:lang w:eastAsia="en-US"/>
    </w:rPr>
  </w:style>
  <w:style w:type="paragraph" w:styleId="Signature">
    <w:name w:val="Signature"/>
    <w:basedOn w:val="Normal"/>
    <w:link w:val="SignatureChar"/>
    <w:semiHidden/>
    <w:unhideWhenUsed/>
    <w:rsid w:val="0053143F"/>
    <w:pPr>
      <w:spacing w:before="0" w:line="240" w:lineRule="auto"/>
      <w:ind w:left="4252"/>
    </w:pPr>
  </w:style>
  <w:style w:type="character" w:customStyle="1" w:styleId="SignatureChar">
    <w:name w:val="Signature Char"/>
    <w:basedOn w:val="DefaultParagraphFont"/>
    <w:link w:val="Signature"/>
    <w:semiHidden/>
    <w:rsid w:val="0053143F"/>
    <w:rPr>
      <w:rFonts w:ascii="Calibri" w:eastAsia="Times New Roman" w:hAnsi="Calibri" w:cs="Times New Roman"/>
      <w:sz w:val="22"/>
      <w:szCs w:val="22"/>
      <w:lang w:eastAsia="zh-CN"/>
    </w:rPr>
  </w:style>
  <w:style w:type="paragraph" w:customStyle="1" w:styleId="SourceCode">
    <w:name w:val="Source Code"/>
    <w:basedOn w:val="Normal"/>
    <w:link w:val="VerbatimChar"/>
    <w:rsid w:val="0053143F"/>
    <w:pPr>
      <w:shd w:val="clear" w:color="auto" w:fill="F8F8F8"/>
      <w:wordWrap w:val="0"/>
      <w:spacing w:before="0" w:after="200" w:line="240" w:lineRule="auto"/>
    </w:pPr>
    <w:rPr>
      <w:rFonts w:ascii="Consolas" w:hAnsi="Consolas"/>
      <w:szCs w:val="26"/>
      <w:lang w:eastAsia="en-US"/>
    </w:rPr>
  </w:style>
  <w:style w:type="character" w:customStyle="1" w:styleId="VerbatimChar">
    <w:name w:val="Verbatim Char"/>
    <w:basedOn w:val="CaptionChar"/>
    <w:link w:val="SourceCode"/>
    <w:rsid w:val="0053143F"/>
    <w:rPr>
      <w:rFonts w:ascii="Consolas" w:eastAsia="Times New Roman" w:hAnsi="Consolas" w:cs="Times New Roman"/>
      <w:sz w:val="22"/>
      <w:szCs w:val="26"/>
      <w:shd w:val="clear" w:color="auto" w:fill="F8F8F8"/>
    </w:rPr>
  </w:style>
  <w:style w:type="character" w:customStyle="1" w:styleId="SpecialCharTok">
    <w:name w:val="SpecialCharTok"/>
    <w:basedOn w:val="VerbatimChar"/>
    <w:rsid w:val="0053143F"/>
    <w:rPr>
      <w:rFonts w:ascii="Consolas" w:eastAsia="Times New Roman" w:hAnsi="Consolas" w:cs="Times New Roman"/>
      <w:color w:val="000000"/>
      <w:sz w:val="22"/>
      <w:szCs w:val="26"/>
      <w:shd w:val="clear" w:color="auto" w:fill="F8F8F8"/>
      <w:lang w:eastAsia="en-US"/>
    </w:rPr>
  </w:style>
  <w:style w:type="character" w:customStyle="1" w:styleId="SpecialStringTok">
    <w:name w:val="SpecialStringTok"/>
    <w:basedOn w:val="VerbatimChar"/>
    <w:rsid w:val="0053143F"/>
    <w:rPr>
      <w:rFonts w:ascii="Consolas" w:eastAsia="Times New Roman" w:hAnsi="Consolas" w:cs="Times New Roman"/>
      <w:color w:val="4E9A06"/>
      <w:sz w:val="22"/>
      <w:szCs w:val="26"/>
      <w:shd w:val="clear" w:color="auto" w:fill="F8F8F8"/>
      <w:lang w:eastAsia="en-US"/>
    </w:rPr>
  </w:style>
  <w:style w:type="character" w:customStyle="1" w:styleId="StringTok">
    <w:name w:val="StringTok"/>
    <w:basedOn w:val="VerbatimChar"/>
    <w:rsid w:val="0053143F"/>
    <w:rPr>
      <w:rFonts w:ascii="Consolas" w:eastAsia="Times New Roman" w:hAnsi="Consolas" w:cs="Times New Roman"/>
      <w:color w:val="4E9A06"/>
      <w:sz w:val="22"/>
      <w:szCs w:val="26"/>
      <w:shd w:val="clear" w:color="auto" w:fill="F8F8F8"/>
      <w:lang w:eastAsia="en-US"/>
    </w:rPr>
  </w:style>
  <w:style w:type="paragraph" w:styleId="Title">
    <w:name w:val="Title"/>
    <w:basedOn w:val="Normal"/>
    <w:next w:val="Normal"/>
    <w:link w:val="TitleChar"/>
    <w:qFormat/>
    <w:rsid w:val="0053143F"/>
    <w:pPr>
      <w:spacing w:before="360" w:after="360"/>
      <w:contextualSpacing/>
      <w:jc w:val="center"/>
    </w:pPr>
    <w:rPr>
      <w:rFonts w:asciiTheme="minorHAnsi" w:eastAsiaTheme="majorEastAsia" w:hAnsiTheme="minorHAnsi" w:cstheme="majorBidi"/>
      <w:b/>
      <w:spacing w:val="5"/>
      <w:kern w:val="28"/>
      <w:sz w:val="24"/>
      <w:szCs w:val="52"/>
    </w:rPr>
  </w:style>
  <w:style w:type="character" w:customStyle="1" w:styleId="TitleChar">
    <w:name w:val="Title Char"/>
    <w:basedOn w:val="DefaultParagraphFont"/>
    <w:link w:val="Title"/>
    <w:rsid w:val="0053143F"/>
    <w:rPr>
      <w:rFonts w:eastAsiaTheme="majorEastAsia" w:cstheme="majorBidi"/>
      <w:b/>
      <w:spacing w:val="5"/>
      <w:kern w:val="28"/>
      <w:szCs w:val="52"/>
      <w:lang w:eastAsia="zh-CN"/>
    </w:rPr>
  </w:style>
  <w:style w:type="paragraph" w:styleId="Subtitle">
    <w:name w:val="Subtitle"/>
    <w:basedOn w:val="Title"/>
    <w:next w:val="BodyText"/>
    <w:link w:val="SubtitleChar"/>
    <w:qFormat/>
    <w:rsid w:val="0053143F"/>
    <w:pPr>
      <w:keepNext/>
      <w:keepLines/>
      <w:spacing w:before="240" w:after="240" w:line="240" w:lineRule="auto"/>
      <w:contextualSpacing w:val="0"/>
    </w:pPr>
    <w:rPr>
      <w:rFonts w:asciiTheme="majorHAnsi" w:hAnsiTheme="majorHAnsi"/>
      <w:bCs/>
      <w:color w:val="2D4F8E" w:themeColor="accent1" w:themeShade="B5"/>
      <w:spacing w:val="0"/>
      <w:kern w:val="0"/>
      <w:sz w:val="30"/>
      <w:szCs w:val="30"/>
      <w:lang w:val="en-US" w:eastAsia="en-US"/>
    </w:rPr>
  </w:style>
  <w:style w:type="character" w:customStyle="1" w:styleId="SubtitleChar">
    <w:name w:val="Subtitle Char"/>
    <w:basedOn w:val="DefaultParagraphFont"/>
    <w:link w:val="Subtitle"/>
    <w:rsid w:val="0053143F"/>
    <w:rPr>
      <w:rFonts w:asciiTheme="majorHAnsi" w:eastAsiaTheme="majorEastAsia" w:hAnsiTheme="majorHAnsi" w:cstheme="majorBidi"/>
      <w:b/>
      <w:bCs/>
      <w:color w:val="2D4F8E" w:themeColor="accent1" w:themeShade="B5"/>
      <w:sz w:val="30"/>
      <w:szCs w:val="30"/>
      <w:lang w:val="en-US"/>
    </w:rPr>
  </w:style>
  <w:style w:type="paragraph" w:customStyle="1" w:styleId="TableCaption">
    <w:name w:val="Table Caption"/>
    <w:basedOn w:val="Caption"/>
    <w:rsid w:val="0053143F"/>
    <w:pPr>
      <w:keepNext/>
      <w:tabs>
        <w:tab w:val="clear" w:pos="1418"/>
      </w:tabs>
      <w:spacing w:before="0" w:line="240" w:lineRule="auto"/>
      <w:ind w:left="0" w:firstLine="0"/>
      <w:contextualSpacing w:val="0"/>
    </w:pPr>
    <w:rPr>
      <w:rFonts w:asciiTheme="minorHAnsi" w:eastAsiaTheme="minorHAnsi" w:hAnsiTheme="minorHAnsi" w:cstheme="minorBidi"/>
      <w:i/>
      <w:sz w:val="24"/>
      <w:szCs w:val="24"/>
      <w:lang w:val="en-US"/>
    </w:rPr>
  </w:style>
  <w:style w:type="paragraph" w:customStyle="1" w:styleId="TableCell">
    <w:name w:val="Table Cell"/>
    <w:basedOn w:val="Normal"/>
    <w:link w:val="TableCellChar"/>
    <w:qFormat/>
    <w:rsid w:val="0053143F"/>
    <w:pPr>
      <w:spacing w:before="40" w:after="40"/>
      <w:ind w:left="6"/>
    </w:pPr>
  </w:style>
  <w:style w:type="character" w:customStyle="1" w:styleId="TableCellChar">
    <w:name w:val="Table Cell Char"/>
    <w:basedOn w:val="DefaultParagraphFont"/>
    <w:link w:val="TableCell"/>
    <w:locked/>
    <w:rsid w:val="0053143F"/>
    <w:rPr>
      <w:rFonts w:ascii="Calibri" w:eastAsia="Times New Roman" w:hAnsi="Calibri" w:cs="Times New Roman"/>
      <w:sz w:val="22"/>
      <w:szCs w:val="22"/>
      <w:lang w:eastAsia="zh-CN"/>
    </w:rPr>
  </w:style>
  <w:style w:type="table" w:styleId="TableGrid">
    <w:name w:val="Table Grid"/>
    <w:basedOn w:val="TableNormal"/>
    <w:uiPriority w:val="39"/>
    <w:rsid w:val="0053143F"/>
    <w:pPr>
      <w:adjustRightInd w:val="0"/>
      <w:spacing w:before="40" w:after="40" w:line="360" w:lineRule="auto"/>
    </w:pPr>
    <w:rPr>
      <w:rFonts w:ascii="Calibri" w:hAnsi="Calibri" w:cs="Times New Roman"/>
      <w:sz w:val="22"/>
      <w:szCs w:val="22"/>
      <w:lang w:eastAsia="zh-CN"/>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paragraph" w:customStyle="1" w:styleId="TableHeader">
    <w:name w:val="Table Header"/>
    <w:basedOn w:val="TableCell"/>
    <w:next w:val="TableCell"/>
    <w:link w:val="TableHeaderChar"/>
    <w:qFormat/>
    <w:rsid w:val="0053143F"/>
    <w:pPr>
      <w:adjustRightInd w:val="0"/>
    </w:pPr>
    <w:rPr>
      <w:b/>
      <w:bCs/>
    </w:rPr>
  </w:style>
  <w:style w:type="character" w:customStyle="1" w:styleId="TableHeaderChar">
    <w:name w:val="Table Header Char"/>
    <w:basedOn w:val="TableCellChar"/>
    <w:link w:val="TableHeader"/>
    <w:locked/>
    <w:rsid w:val="0053143F"/>
    <w:rPr>
      <w:rFonts w:ascii="Calibri" w:eastAsia="Times New Roman" w:hAnsi="Calibri" w:cs="Times New Roman"/>
      <w:b/>
      <w:bCs/>
      <w:sz w:val="22"/>
      <w:szCs w:val="22"/>
      <w:lang w:eastAsia="zh-CN"/>
    </w:rPr>
  </w:style>
  <w:style w:type="table" w:styleId="TableList8">
    <w:name w:val="Table List 8"/>
    <w:basedOn w:val="TableNormal"/>
    <w:rsid w:val="0053143F"/>
    <w:pPr>
      <w:spacing w:before="200" w:after="200" w:line="360" w:lineRule="auto"/>
    </w:pPr>
    <w:rPr>
      <w:rFonts w:ascii="Calibri" w:hAnsi="Calibri" w:cs="Times New Roman"/>
      <w:sz w:val="22"/>
      <w:szCs w:val="22"/>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rsid w:val="0053143F"/>
    <w:pPr>
      <w:ind w:left="220" w:hanging="220"/>
    </w:pPr>
  </w:style>
  <w:style w:type="paragraph" w:styleId="TableofFigures">
    <w:name w:val="table of figures"/>
    <w:basedOn w:val="Normal"/>
    <w:next w:val="Normal"/>
    <w:autoRedefine/>
    <w:uiPriority w:val="99"/>
    <w:rsid w:val="0053143F"/>
    <w:pPr>
      <w:tabs>
        <w:tab w:val="left" w:pos="1560"/>
        <w:tab w:val="right" w:leader="dot" w:pos="8505"/>
      </w:tabs>
      <w:ind w:left="1560" w:hanging="1560"/>
    </w:pPr>
    <w:rPr>
      <w:szCs w:val="24"/>
      <w:lang w:eastAsia="en-US"/>
    </w:rPr>
  </w:style>
  <w:style w:type="paragraph" w:styleId="TOAHeading">
    <w:name w:val="toa heading"/>
    <w:basedOn w:val="Normal"/>
    <w:next w:val="Normal"/>
    <w:semiHidden/>
    <w:unhideWhenUsed/>
    <w:rsid w:val="0053143F"/>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rsid w:val="0053143F"/>
    <w:pPr>
      <w:tabs>
        <w:tab w:val="left" w:pos="1218"/>
        <w:tab w:val="right" w:leader="dot" w:pos="8789"/>
      </w:tabs>
      <w:spacing w:after="100"/>
      <w:ind w:left="1204" w:hanging="1204"/>
      <w:contextualSpacing/>
    </w:pPr>
    <w:rPr>
      <w:b/>
      <w:sz w:val="24"/>
    </w:rPr>
  </w:style>
  <w:style w:type="paragraph" w:styleId="TOC2">
    <w:name w:val="toc 2"/>
    <w:basedOn w:val="TOC1"/>
    <w:next w:val="Normal"/>
    <w:autoRedefine/>
    <w:uiPriority w:val="39"/>
    <w:rsid w:val="0053143F"/>
    <w:pPr>
      <w:tabs>
        <w:tab w:val="clear" w:pos="1218"/>
        <w:tab w:val="left" w:pos="709"/>
      </w:tabs>
      <w:spacing w:before="0"/>
      <w:ind w:left="709" w:hanging="567"/>
    </w:pPr>
    <w:rPr>
      <w:b w:val="0"/>
    </w:rPr>
  </w:style>
  <w:style w:type="paragraph" w:styleId="TOC3">
    <w:name w:val="toc 3"/>
    <w:basedOn w:val="TOC1"/>
    <w:next w:val="Normal"/>
    <w:autoRedefine/>
    <w:uiPriority w:val="39"/>
    <w:rsid w:val="0053143F"/>
    <w:pPr>
      <w:spacing w:before="0"/>
      <w:ind w:left="1190" w:hanging="680"/>
    </w:pPr>
    <w:rPr>
      <w:b w:val="0"/>
    </w:rPr>
  </w:style>
  <w:style w:type="paragraph" w:styleId="TOC4">
    <w:name w:val="toc 4"/>
    <w:basedOn w:val="TOC1"/>
    <w:next w:val="Normal"/>
    <w:autoRedefine/>
    <w:uiPriority w:val="39"/>
    <w:rsid w:val="0053143F"/>
    <w:pPr>
      <w:tabs>
        <w:tab w:val="left" w:pos="1843"/>
      </w:tabs>
      <w:spacing w:before="0"/>
      <w:ind w:left="1843" w:hanging="851"/>
    </w:pPr>
    <w:rPr>
      <w:b w:val="0"/>
    </w:rPr>
  </w:style>
  <w:style w:type="paragraph" w:styleId="TOC5">
    <w:name w:val="toc 5"/>
    <w:basedOn w:val="TOC1"/>
    <w:next w:val="Normal"/>
    <w:autoRedefine/>
    <w:uiPriority w:val="39"/>
    <w:rsid w:val="0053143F"/>
    <w:pPr>
      <w:tabs>
        <w:tab w:val="left" w:pos="2127"/>
      </w:tabs>
      <w:spacing w:before="0"/>
      <w:ind w:left="2552" w:hanging="1418"/>
    </w:pPr>
    <w:rPr>
      <w:b w:val="0"/>
      <w:sz w:val="22"/>
    </w:rPr>
  </w:style>
  <w:style w:type="paragraph" w:styleId="TOC6">
    <w:name w:val="toc 6"/>
    <w:basedOn w:val="Normal"/>
    <w:next w:val="Normal"/>
    <w:autoRedefine/>
    <w:uiPriority w:val="39"/>
    <w:unhideWhenUsed/>
    <w:rsid w:val="0053143F"/>
    <w:pPr>
      <w:spacing w:after="100"/>
      <w:ind w:left="1100"/>
    </w:pPr>
  </w:style>
  <w:style w:type="paragraph" w:styleId="TOC7">
    <w:name w:val="toc 7"/>
    <w:basedOn w:val="Normal"/>
    <w:next w:val="Normal"/>
    <w:autoRedefine/>
    <w:uiPriority w:val="39"/>
    <w:unhideWhenUsed/>
    <w:rsid w:val="0053143F"/>
    <w:pPr>
      <w:spacing w:after="100"/>
      <w:ind w:left="1320"/>
    </w:pPr>
  </w:style>
  <w:style w:type="paragraph" w:styleId="TOC8">
    <w:name w:val="toc 8"/>
    <w:basedOn w:val="Normal"/>
    <w:next w:val="Normal"/>
    <w:autoRedefine/>
    <w:uiPriority w:val="39"/>
    <w:unhideWhenUsed/>
    <w:rsid w:val="0053143F"/>
    <w:pPr>
      <w:spacing w:after="100"/>
      <w:ind w:left="1540"/>
    </w:pPr>
  </w:style>
  <w:style w:type="paragraph" w:styleId="TOC9">
    <w:name w:val="toc 9"/>
    <w:basedOn w:val="Normal"/>
    <w:next w:val="Normal"/>
    <w:autoRedefine/>
    <w:uiPriority w:val="39"/>
    <w:unhideWhenUsed/>
    <w:rsid w:val="0053143F"/>
    <w:pPr>
      <w:spacing w:after="100"/>
      <w:ind w:left="1760"/>
    </w:pPr>
  </w:style>
  <w:style w:type="paragraph" w:styleId="TOCHeading">
    <w:name w:val="TOC Heading"/>
    <w:basedOn w:val="Heading1"/>
    <w:next w:val="Normal"/>
    <w:uiPriority w:val="39"/>
    <w:unhideWhenUsed/>
    <w:qFormat/>
    <w:rsid w:val="0053143F"/>
    <w:pPr>
      <w:numPr>
        <w:numId w:val="0"/>
      </w:numPr>
      <w:spacing w:before="480" w:after="0" w:line="276" w:lineRule="auto"/>
      <w:outlineLvl w:val="9"/>
    </w:pPr>
    <w:rPr>
      <w:rFonts w:asciiTheme="majorHAnsi" w:eastAsiaTheme="majorEastAsia" w:hAnsiTheme="majorHAnsi" w:cstheme="majorBidi"/>
      <w:color w:val="2F5496" w:themeColor="accent1" w:themeShade="BF"/>
      <w:kern w:val="0"/>
      <w:sz w:val="28"/>
      <w:szCs w:val="28"/>
      <w:lang w:val="en-US" w:eastAsia="ja-JP"/>
    </w:rPr>
  </w:style>
  <w:style w:type="character" w:customStyle="1" w:styleId="UnresolvedMention1">
    <w:name w:val="Unresolved Mention1"/>
    <w:basedOn w:val="DefaultParagraphFont"/>
    <w:uiPriority w:val="99"/>
    <w:semiHidden/>
    <w:unhideWhenUsed/>
    <w:rsid w:val="0053143F"/>
    <w:rPr>
      <w:color w:val="605E5C"/>
      <w:shd w:val="clear" w:color="auto" w:fill="E1DFDD"/>
    </w:rPr>
  </w:style>
  <w:style w:type="character" w:customStyle="1" w:styleId="VariableTok">
    <w:name w:val="VariableTok"/>
    <w:basedOn w:val="VerbatimChar"/>
    <w:rsid w:val="0053143F"/>
    <w:rPr>
      <w:rFonts w:ascii="Consolas" w:eastAsia="Times New Roman" w:hAnsi="Consolas" w:cs="Times New Roman"/>
      <w:color w:val="000000"/>
      <w:sz w:val="22"/>
      <w:szCs w:val="26"/>
      <w:shd w:val="clear" w:color="auto" w:fill="F8F8F8"/>
      <w:lang w:eastAsia="en-US"/>
    </w:rPr>
  </w:style>
  <w:style w:type="character" w:customStyle="1" w:styleId="VerbatimStringTok">
    <w:name w:val="VerbatimStringTok"/>
    <w:basedOn w:val="VerbatimChar"/>
    <w:rsid w:val="0053143F"/>
    <w:rPr>
      <w:rFonts w:ascii="Consolas" w:eastAsia="Times New Roman" w:hAnsi="Consolas" w:cs="Times New Roman"/>
      <w:color w:val="4E9A06"/>
      <w:sz w:val="22"/>
      <w:szCs w:val="26"/>
      <w:shd w:val="clear" w:color="auto" w:fill="F8F8F8"/>
      <w:lang w:eastAsia="en-US"/>
    </w:rPr>
  </w:style>
  <w:style w:type="character" w:customStyle="1" w:styleId="WarningTok">
    <w:name w:val="WarningTok"/>
    <w:basedOn w:val="VerbatimChar"/>
    <w:rsid w:val="0053143F"/>
    <w:rPr>
      <w:rFonts w:ascii="Consolas" w:eastAsia="Times New Roman" w:hAnsi="Consolas" w:cs="Times New Roman"/>
      <w:b/>
      <w:i/>
      <w:color w:val="8F5902"/>
      <w:sz w:val="22"/>
      <w:szCs w:val="26"/>
      <w:shd w:val="clear" w:color="auto" w:fill="F8F8F8"/>
      <w:lang w:eastAsia="en-US"/>
    </w:rPr>
  </w:style>
  <w:style w:type="paragraph" w:styleId="Revision">
    <w:name w:val="Revision"/>
    <w:hidden/>
    <w:uiPriority w:val="99"/>
    <w:semiHidden/>
    <w:rsid w:val="009222CA"/>
    <w:rPr>
      <w:rFonts w:ascii="Calibri" w:hAnsi="Calibri" w:cs="Times New Roman"/>
      <w:sz w:val="22"/>
      <w:szCs w:val="22"/>
      <w:lang w:eastAsia="zh-CN"/>
    </w:rPr>
  </w:style>
  <w:style w:type="character" w:customStyle="1" w:styleId="UnresolvedMention2">
    <w:name w:val="Unresolved Mention2"/>
    <w:basedOn w:val="DefaultParagraphFont"/>
    <w:uiPriority w:val="99"/>
    <w:semiHidden/>
    <w:unhideWhenUsed/>
    <w:rsid w:val="00A92393"/>
    <w:rPr>
      <w:color w:val="605E5C"/>
      <w:shd w:val="clear" w:color="auto" w:fill="E1DFDD"/>
    </w:rPr>
  </w:style>
  <w:style w:type="character" w:styleId="LineNumber">
    <w:name w:val="line number"/>
    <w:basedOn w:val="DefaultParagraphFont"/>
    <w:uiPriority w:val="99"/>
    <w:semiHidden/>
    <w:unhideWhenUsed/>
    <w:rsid w:val="00904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3582">
      <w:bodyDiv w:val="1"/>
      <w:marLeft w:val="0"/>
      <w:marRight w:val="0"/>
      <w:marTop w:val="0"/>
      <w:marBottom w:val="0"/>
      <w:divBdr>
        <w:top w:val="none" w:sz="0" w:space="0" w:color="auto"/>
        <w:left w:val="none" w:sz="0" w:space="0" w:color="auto"/>
        <w:bottom w:val="none" w:sz="0" w:space="0" w:color="auto"/>
        <w:right w:val="none" w:sz="0" w:space="0" w:color="auto"/>
      </w:divBdr>
    </w:div>
    <w:div w:id="19741596">
      <w:bodyDiv w:val="1"/>
      <w:marLeft w:val="0"/>
      <w:marRight w:val="0"/>
      <w:marTop w:val="0"/>
      <w:marBottom w:val="0"/>
      <w:divBdr>
        <w:top w:val="none" w:sz="0" w:space="0" w:color="auto"/>
        <w:left w:val="none" w:sz="0" w:space="0" w:color="auto"/>
        <w:bottom w:val="none" w:sz="0" w:space="0" w:color="auto"/>
        <w:right w:val="none" w:sz="0" w:space="0" w:color="auto"/>
      </w:divBdr>
    </w:div>
    <w:div w:id="37557763">
      <w:bodyDiv w:val="1"/>
      <w:marLeft w:val="0"/>
      <w:marRight w:val="0"/>
      <w:marTop w:val="0"/>
      <w:marBottom w:val="0"/>
      <w:divBdr>
        <w:top w:val="none" w:sz="0" w:space="0" w:color="auto"/>
        <w:left w:val="none" w:sz="0" w:space="0" w:color="auto"/>
        <w:bottom w:val="none" w:sz="0" w:space="0" w:color="auto"/>
        <w:right w:val="none" w:sz="0" w:space="0" w:color="auto"/>
      </w:divBdr>
    </w:div>
    <w:div w:id="86510746">
      <w:bodyDiv w:val="1"/>
      <w:marLeft w:val="0"/>
      <w:marRight w:val="0"/>
      <w:marTop w:val="0"/>
      <w:marBottom w:val="0"/>
      <w:divBdr>
        <w:top w:val="none" w:sz="0" w:space="0" w:color="auto"/>
        <w:left w:val="none" w:sz="0" w:space="0" w:color="auto"/>
        <w:bottom w:val="none" w:sz="0" w:space="0" w:color="auto"/>
        <w:right w:val="none" w:sz="0" w:space="0" w:color="auto"/>
      </w:divBdr>
    </w:div>
    <w:div w:id="152454892">
      <w:bodyDiv w:val="1"/>
      <w:marLeft w:val="0"/>
      <w:marRight w:val="0"/>
      <w:marTop w:val="0"/>
      <w:marBottom w:val="0"/>
      <w:divBdr>
        <w:top w:val="none" w:sz="0" w:space="0" w:color="auto"/>
        <w:left w:val="none" w:sz="0" w:space="0" w:color="auto"/>
        <w:bottom w:val="none" w:sz="0" w:space="0" w:color="auto"/>
        <w:right w:val="none" w:sz="0" w:space="0" w:color="auto"/>
      </w:divBdr>
    </w:div>
    <w:div w:id="256671735">
      <w:bodyDiv w:val="1"/>
      <w:marLeft w:val="0"/>
      <w:marRight w:val="0"/>
      <w:marTop w:val="0"/>
      <w:marBottom w:val="0"/>
      <w:divBdr>
        <w:top w:val="none" w:sz="0" w:space="0" w:color="auto"/>
        <w:left w:val="none" w:sz="0" w:space="0" w:color="auto"/>
        <w:bottom w:val="none" w:sz="0" w:space="0" w:color="auto"/>
        <w:right w:val="none" w:sz="0" w:space="0" w:color="auto"/>
      </w:divBdr>
    </w:div>
    <w:div w:id="271940789">
      <w:bodyDiv w:val="1"/>
      <w:marLeft w:val="0"/>
      <w:marRight w:val="0"/>
      <w:marTop w:val="0"/>
      <w:marBottom w:val="0"/>
      <w:divBdr>
        <w:top w:val="none" w:sz="0" w:space="0" w:color="auto"/>
        <w:left w:val="none" w:sz="0" w:space="0" w:color="auto"/>
        <w:bottom w:val="none" w:sz="0" w:space="0" w:color="auto"/>
        <w:right w:val="none" w:sz="0" w:space="0" w:color="auto"/>
      </w:divBdr>
    </w:div>
    <w:div w:id="285816631">
      <w:bodyDiv w:val="1"/>
      <w:marLeft w:val="0"/>
      <w:marRight w:val="0"/>
      <w:marTop w:val="0"/>
      <w:marBottom w:val="0"/>
      <w:divBdr>
        <w:top w:val="none" w:sz="0" w:space="0" w:color="auto"/>
        <w:left w:val="none" w:sz="0" w:space="0" w:color="auto"/>
        <w:bottom w:val="none" w:sz="0" w:space="0" w:color="auto"/>
        <w:right w:val="none" w:sz="0" w:space="0" w:color="auto"/>
      </w:divBdr>
    </w:div>
    <w:div w:id="344787072">
      <w:bodyDiv w:val="1"/>
      <w:marLeft w:val="0"/>
      <w:marRight w:val="0"/>
      <w:marTop w:val="0"/>
      <w:marBottom w:val="0"/>
      <w:divBdr>
        <w:top w:val="none" w:sz="0" w:space="0" w:color="auto"/>
        <w:left w:val="none" w:sz="0" w:space="0" w:color="auto"/>
        <w:bottom w:val="none" w:sz="0" w:space="0" w:color="auto"/>
        <w:right w:val="none" w:sz="0" w:space="0" w:color="auto"/>
      </w:divBdr>
    </w:div>
    <w:div w:id="376055611">
      <w:bodyDiv w:val="1"/>
      <w:marLeft w:val="0"/>
      <w:marRight w:val="0"/>
      <w:marTop w:val="0"/>
      <w:marBottom w:val="0"/>
      <w:divBdr>
        <w:top w:val="none" w:sz="0" w:space="0" w:color="auto"/>
        <w:left w:val="none" w:sz="0" w:space="0" w:color="auto"/>
        <w:bottom w:val="none" w:sz="0" w:space="0" w:color="auto"/>
        <w:right w:val="none" w:sz="0" w:space="0" w:color="auto"/>
      </w:divBdr>
    </w:div>
    <w:div w:id="398017781">
      <w:bodyDiv w:val="1"/>
      <w:marLeft w:val="0"/>
      <w:marRight w:val="0"/>
      <w:marTop w:val="0"/>
      <w:marBottom w:val="0"/>
      <w:divBdr>
        <w:top w:val="none" w:sz="0" w:space="0" w:color="auto"/>
        <w:left w:val="none" w:sz="0" w:space="0" w:color="auto"/>
        <w:bottom w:val="none" w:sz="0" w:space="0" w:color="auto"/>
        <w:right w:val="none" w:sz="0" w:space="0" w:color="auto"/>
      </w:divBdr>
    </w:div>
    <w:div w:id="404959868">
      <w:bodyDiv w:val="1"/>
      <w:marLeft w:val="0"/>
      <w:marRight w:val="0"/>
      <w:marTop w:val="0"/>
      <w:marBottom w:val="0"/>
      <w:divBdr>
        <w:top w:val="none" w:sz="0" w:space="0" w:color="auto"/>
        <w:left w:val="none" w:sz="0" w:space="0" w:color="auto"/>
        <w:bottom w:val="none" w:sz="0" w:space="0" w:color="auto"/>
        <w:right w:val="none" w:sz="0" w:space="0" w:color="auto"/>
      </w:divBdr>
    </w:div>
    <w:div w:id="428619549">
      <w:bodyDiv w:val="1"/>
      <w:marLeft w:val="0"/>
      <w:marRight w:val="0"/>
      <w:marTop w:val="0"/>
      <w:marBottom w:val="0"/>
      <w:divBdr>
        <w:top w:val="none" w:sz="0" w:space="0" w:color="auto"/>
        <w:left w:val="none" w:sz="0" w:space="0" w:color="auto"/>
        <w:bottom w:val="none" w:sz="0" w:space="0" w:color="auto"/>
        <w:right w:val="none" w:sz="0" w:space="0" w:color="auto"/>
      </w:divBdr>
    </w:div>
    <w:div w:id="473987625">
      <w:bodyDiv w:val="1"/>
      <w:marLeft w:val="0"/>
      <w:marRight w:val="0"/>
      <w:marTop w:val="0"/>
      <w:marBottom w:val="0"/>
      <w:divBdr>
        <w:top w:val="none" w:sz="0" w:space="0" w:color="auto"/>
        <w:left w:val="none" w:sz="0" w:space="0" w:color="auto"/>
        <w:bottom w:val="none" w:sz="0" w:space="0" w:color="auto"/>
        <w:right w:val="none" w:sz="0" w:space="0" w:color="auto"/>
      </w:divBdr>
    </w:div>
    <w:div w:id="509176320">
      <w:bodyDiv w:val="1"/>
      <w:marLeft w:val="0"/>
      <w:marRight w:val="0"/>
      <w:marTop w:val="0"/>
      <w:marBottom w:val="0"/>
      <w:divBdr>
        <w:top w:val="none" w:sz="0" w:space="0" w:color="auto"/>
        <w:left w:val="none" w:sz="0" w:space="0" w:color="auto"/>
        <w:bottom w:val="none" w:sz="0" w:space="0" w:color="auto"/>
        <w:right w:val="none" w:sz="0" w:space="0" w:color="auto"/>
      </w:divBdr>
    </w:div>
    <w:div w:id="528108089">
      <w:bodyDiv w:val="1"/>
      <w:marLeft w:val="0"/>
      <w:marRight w:val="0"/>
      <w:marTop w:val="0"/>
      <w:marBottom w:val="0"/>
      <w:divBdr>
        <w:top w:val="none" w:sz="0" w:space="0" w:color="auto"/>
        <w:left w:val="none" w:sz="0" w:space="0" w:color="auto"/>
        <w:bottom w:val="none" w:sz="0" w:space="0" w:color="auto"/>
        <w:right w:val="none" w:sz="0" w:space="0" w:color="auto"/>
      </w:divBdr>
    </w:div>
    <w:div w:id="700663285">
      <w:bodyDiv w:val="1"/>
      <w:marLeft w:val="0"/>
      <w:marRight w:val="0"/>
      <w:marTop w:val="0"/>
      <w:marBottom w:val="0"/>
      <w:divBdr>
        <w:top w:val="none" w:sz="0" w:space="0" w:color="auto"/>
        <w:left w:val="none" w:sz="0" w:space="0" w:color="auto"/>
        <w:bottom w:val="none" w:sz="0" w:space="0" w:color="auto"/>
        <w:right w:val="none" w:sz="0" w:space="0" w:color="auto"/>
      </w:divBdr>
    </w:div>
    <w:div w:id="704519529">
      <w:bodyDiv w:val="1"/>
      <w:marLeft w:val="0"/>
      <w:marRight w:val="0"/>
      <w:marTop w:val="0"/>
      <w:marBottom w:val="0"/>
      <w:divBdr>
        <w:top w:val="none" w:sz="0" w:space="0" w:color="auto"/>
        <w:left w:val="none" w:sz="0" w:space="0" w:color="auto"/>
        <w:bottom w:val="none" w:sz="0" w:space="0" w:color="auto"/>
        <w:right w:val="none" w:sz="0" w:space="0" w:color="auto"/>
      </w:divBdr>
    </w:div>
    <w:div w:id="759059629">
      <w:bodyDiv w:val="1"/>
      <w:marLeft w:val="0"/>
      <w:marRight w:val="0"/>
      <w:marTop w:val="0"/>
      <w:marBottom w:val="0"/>
      <w:divBdr>
        <w:top w:val="none" w:sz="0" w:space="0" w:color="auto"/>
        <w:left w:val="none" w:sz="0" w:space="0" w:color="auto"/>
        <w:bottom w:val="none" w:sz="0" w:space="0" w:color="auto"/>
        <w:right w:val="none" w:sz="0" w:space="0" w:color="auto"/>
      </w:divBdr>
    </w:div>
    <w:div w:id="759639989">
      <w:bodyDiv w:val="1"/>
      <w:marLeft w:val="0"/>
      <w:marRight w:val="0"/>
      <w:marTop w:val="0"/>
      <w:marBottom w:val="0"/>
      <w:divBdr>
        <w:top w:val="none" w:sz="0" w:space="0" w:color="auto"/>
        <w:left w:val="none" w:sz="0" w:space="0" w:color="auto"/>
        <w:bottom w:val="none" w:sz="0" w:space="0" w:color="auto"/>
        <w:right w:val="none" w:sz="0" w:space="0" w:color="auto"/>
      </w:divBdr>
    </w:div>
    <w:div w:id="831332204">
      <w:bodyDiv w:val="1"/>
      <w:marLeft w:val="0"/>
      <w:marRight w:val="0"/>
      <w:marTop w:val="0"/>
      <w:marBottom w:val="0"/>
      <w:divBdr>
        <w:top w:val="none" w:sz="0" w:space="0" w:color="auto"/>
        <w:left w:val="none" w:sz="0" w:space="0" w:color="auto"/>
        <w:bottom w:val="none" w:sz="0" w:space="0" w:color="auto"/>
        <w:right w:val="none" w:sz="0" w:space="0" w:color="auto"/>
      </w:divBdr>
    </w:div>
    <w:div w:id="870336624">
      <w:bodyDiv w:val="1"/>
      <w:marLeft w:val="0"/>
      <w:marRight w:val="0"/>
      <w:marTop w:val="0"/>
      <w:marBottom w:val="0"/>
      <w:divBdr>
        <w:top w:val="none" w:sz="0" w:space="0" w:color="auto"/>
        <w:left w:val="none" w:sz="0" w:space="0" w:color="auto"/>
        <w:bottom w:val="none" w:sz="0" w:space="0" w:color="auto"/>
        <w:right w:val="none" w:sz="0" w:space="0" w:color="auto"/>
      </w:divBdr>
    </w:div>
    <w:div w:id="930889991">
      <w:bodyDiv w:val="1"/>
      <w:marLeft w:val="0"/>
      <w:marRight w:val="0"/>
      <w:marTop w:val="0"/>
      <w:marBottom w:val="0"/>
      <w:divBdr>
        <w:top w:val="none" w:sz="0" w:space="0" w:color="auto"/>
        <w:left w:val="none" w:sz="0" w:space="0" w:color="auto"/>
        <w:bottom w:val="none" w:sz="0" w:space="0" w:color="auto"/>
        <w:right w:val="none" w:sz="0" w:space="0" w:color="auto"/>
      </w:divBdr>
    </w:div>
    <w:div w:id="978150764">
      <w:bodyDiv w:val="1"/>
      <w:marLeft w:val="0"/>
      <w:marRight w:val="0"/>
      <w:marTop w:val="0"/>
      <w:marBottom w:val="0"/>
      <w:divBdr>
        <w:top w:val="none" w:sz="0" w:space="0" w:color="auto"/>
        <w:left w:val="none" w:sz="0" w:space="0" w:color="auto"/>
        <w:bottom w:val="none" w:sz="0" w:space="0" w:color="auto"/>
        <w:right w:val="none" w:sz="0" w:space="0" w:color="auto"/>
      </w:divBdr>
    </w:div>
    <w:div w:id="996227857">
      <w:bodyDiv w:val="1"/>
      <w:marLeft w:val="0"/>
      <w:marRight w:val="0"/>
      <w:marTop w:val="0"/>
      <w:marBottom w:val="0"/>
      <w:divBdr>
        <w:top w:val="none" w:sz="0" w:space="0" w:color="auto"/>
        <w:left w:val="none" w:sz="0" w:space="0" w:color="auto"/>
        <w:bottom w:val="none" w:sz="0" w:space="0" w:color="auto"/>
        <w:right w:val="none" w:sz="0" w:space="0" w:color="auto"/>
      </w:divBdr>
    </w:div>
    <w:div w:id="1035472748">
      <w:bodyDiv w:val="1"/>
      <w:marLeft w:val="0"/>
      <w:marRight w:val="0"/>
      <w:marTop w:val="0"/>
      <w:marBottom w:val="0"/>
      <w:divBdr>
        <w:top w:val="none" w:sz="0" w:space="0" w:color="auto"/>
        <w:left w:val="none" w:sz="0" w:space="0" w:color="auto"/>
        <w:bottom w:val="none" w:sz="0" w:space="0" w:color="auto"/>
        <w:right w:val="none" w:sz="0" w:space="0" w:color="auto"/>
      </w:divBdr>
    </w:div>
    <w:div w:id="1060639047">
      <w:bodyDiv w:val="1"/>
      <w:marLeft w:val="0"/>
      <w:marRight w:val="0"/>
      <w:marTop w:val="0"/>
      <w:marBottom w:val="0"/>
      <w:divBdr>
        <w:top w:val="none" w:sz="0" w:space="0" w:color="auto"/>
        <w:left w:val="none" w:sz="0" w:space="0" w:color="auto"/>
        <w:bottom w:val="none" w:sz="0" w:space="0" w:color="auto"/>
        <w:right w:val="none" w:sz="0" w:space="0" w:color="auto"/>
      </w:divBdr>
    </w:div>
    <w:div w:id="1085417806">
      <w:bodyDiv w:val="1"/>
      <w:marLeft w:val="0"/>
      <w:marRight w:val="0"/>
      <w:marTop w:val="0"/>
      <w:marBottom w:val="0"/>
      <w:divBdr>
        <w:top w:val="none" w:sz="0" w:space="0" w:color="auto"/>
        <w:left w:val="none" w:sz="0" w:space="0" w:color="auto"/>
        <w:bottom w:val="none" w:sz="0" w:space="0" w:color="auto"/>
        <w:right w:val="none" w:sz="0" w:space="0" w:color="auto"/>
      </w:divBdr>
    </w:div>
    <w:div w:id="1143237690">
      <w:bodyDiv w:val="1"/>
      <w:marLeft w:val="0"/>
      <w:marRight w:val="0"/>
      <w:marTop w:val="0"/>
      <w:marBottom w:val="0"/>
      <w:divBdr>
        <w:top w:val="none" w:sz="0" w:space="0" w:color="auto"/>
        <w:left w:val="none" w:sz="0" w:space="0" w:color="auto"/>
        <w:bottom w:val="none" w:sz="0" w:space="0" w:color="auto"/>
        <w:right w:val="none" w:sz="0" w:space="0" w:color="auto"/>
      </w:divBdr>
    </w:div>
    <w:div w:id="1155755751">
      <w:bodyDiv w:val="1"/>
      <w:marLeft w:val="0"/>
      <w:marRight w:val="0"/>
      <w:marTop w:val="0"/>
      <w:marBottom w:val="0"/>
      <w:divBdr>
        <w:top w:val="none" w:sz="0" w:space="0" w:color="auto"/>
        <w:left w:val="none" w:sz="0" w:space="0" w:color="auto"/>
        <w:bottom w:val="none" w:sz="0" w:space="0" w:color="auto"/>
        <w:right w:val="none" w:sz="0" w:space="0" w:color="auto"/>
      </w:divBdr>
    </w:div>
    <w:div w:id="1198195960">
      <w:bodyDiv w:val="1"/>
      <w:marLeft w:val="0"/>
      <w:marRight w:val="0"/>
      <w:marTop w:val="0"/>
      <w:marBottom w:val="0"/>
      <w:divBdr>
        <w:top w:val="none" w:sz="0" w:space="0" w:color="auto"/>
        <w:left w:val="none" w:sz="0" w:space="0" w:color="auto"/>
        <w:bottom w:val="none" w:sz="0" w:space="0" w:color="auto"/>
        <w:right w:val="none" w:sz="0" w:space="0" w:color="auto"/>
      </w:divBdr>
    </w:div>
    <w:div w:id="1262450504">
      <w:bodyDiv w:val="1"/>
      <w:marLeft w:val="0"/>
      <w:marRight w:val="0"/>
      <w:marTop w:val="0"/>
      <w:marBottom w:val="0"/>
      <w:divBdr>
        <w:top w:val="none" w:sz="0" w:space="0" w:color="auto"/>
        <w:left w:val="none" w:sz="0" w:space="0" w:color="auto"/>
        <w:bottom w:val="none" w:sz="0" w:space="0" w:color="auto"/>
        <w:right w:val="none" w:sz="0" w:space="0" w:color="auto"/>
      </w:divBdr>
    </w:div>
    <w:div w:id="1280138431">
      <w:bodyDiv w:val="1"/>
      <w:marLeft w:val="0"/>
      <w:marRight w:val="0"/>
      <w:marTop w:val="0"/>
      <w:marBottom w:val="0"/>
      <w:divBdr>
        <w:top w:val="none" w:sz="0" w:space="0" w:color="auto"/>
        <w:left w:val="none" w:sz="0" w:space="0" w:color="auto"/>
        <w:bottom w:val="none" w:sz="0" w:space="0" w:color="auto"/>
        <w:right w:val="none" w:sz="0" w:space="0" w:color="auto"/>
      </w:divBdr>
    </w:div>
    <w:div w:id="1281491915">
      <w:bodyDiv w:val="1"/>
      <w:marLeft w:val="0"/>
      <w:marRight w:val="0"/>
      <w:marTop w:val="0"/>
      <w:marBottom w:val="0"/>
      <w:divBdr>
        <w:top w:val="none" w:sz="0" w:space="0" w:color="auto"/>
        <w:left w:val="none" w:sz="0" w:space="0" w:color="auto"/>
        <w:bottom w:val="none" w:sz="0" w:space="0" w:color="auto"/>
        <w:right w:val="none" w:sz="0" w:space="0" w:color="auto"/>
      </w:divBdr>
    </w:div>
    <w:div w:id="1309239681">
      <w:bodyDiv w:val="1"/>
      <w:marLeft w:val="0"/>
      <w:marRight w:val="0"/>
      <w:marTop w:val="0"/>
      <w:marBottom w:val="0"/>
      <w:divBdr>
        <w:top w:val="none" w:sz="0" w:space="0" w:color="auto"/>
        <w:left w:val="none" w:sz="0" w:space="0" w:color="auto"/>
        <w:bottom w:val="none" w:sz="0" w:space="0" w:color="auto"/>
        <w:right w:val="none" w:sz="0" w:space="0" w:color="auto"/>
      </w:divBdr>
    </w:div>
    <w:div w:id="1312907709">
      <w:bodyDiv w:val="1"/>
      <w:marLeft w:val="0"/>
      <w:marRight w:val="0"/>
      <w:marTop w:val="0"/>
      <w:marBottom w:val="0"/>
      <w:divBdr>
        <w:top w:val="none" w:sz="0" w:space="0" w:color="auto"/>
        <w:left w:val="none" w:sz="0" w:space="0" w:color="auto"/>
        <w:bottom w:val="none" w:sz="0" w:space="0" w:color="auto"/>
        <w:right w:val="none" w:sz="0" w:space="0" w:color="auto"/>
      </w:divBdr>
    </w:div>
    <w:div w:id="1354071345">
      <w:bodyDiv w:val="1"/>
      <w:marLeft w:val="0"/>
      <w:marRight w:val="0"/>
      <w:marTop w:val="0"/>
      <w:marBottom w:val="0"/>
      <w:divBdr>
        <w:top w:val="none" w:sz="0" w:space="0" w:color="auto"/>
        <w:left w:val="none" w:sz="0" w:space="0" w:color="auto"/>
        <w:bottom w:val="none" w:sz="0" w:space="0" w:color="auto"/>
        <w:right w:val="none" w:sz="0" w:space="0" w:color="auto"/>
      </w:divBdr>
    </w:div>
    <w:div w:id="1433278056">
      <w:bodyDiv w:val="1"/>
      <w:marLeft w:val="0"/>
      <w:marRight w:val="0"/>
      <w:marTop w:val="0"/>
      <w:marBottom w:val="0"/>
      <w:divBdr>
        <w:top w:val="none" w:sz="0" w:space="0" w:color="auto"/>
        <w:left w:val="none" w:sz="0" w:space="0" w:color="auto"/>
        <w:bottom w:val="none" w:sz="0" w:space="0" w:color="auto"/>
        <w:right w:val="none" w:sz="0" w:space="0" w:color="auto"/>
      </w:divBdr>
    </w:div>
    <w:div w:id="1460412560">
      <w:bodyDiv w:val="1"/>
      <w:marLeft w:val="0"/>
      <w:marRight w:val="0"/>
      <w:marTop w:val="0"/>
      <w:marBottom w:val="0"/>
      <w:divBdr>
        <w:top w:val="none" w:sz="0" w:space="0" w:color="auto"/>
        <w:left w:val="none" w:sz="0" w:space="0" w:color="auto"/>
        <w:bottom w:val="none" w:sz="0" w:space="0" w:color="auto"/>
        <w:right w:val="none" w:sz="0" w:space="0" w:color="auto"/>
      </w:divBdr>
    </w:div>
    <w:div w:id="1491601150">
      <w:bodyDiv w:val="1"/>
      <w:marLeft w:val="0"/>
      <w:marRight w:val="0"/>
      <w:marTop w:val="0"/>
      <w:marBottom w:val="0"/>
      <w:divBdr>
        <w:top w:val="none" w:sz="0" w:space="0" w:color="auto"/>
        <w:left w:val="none" w:sz="0" w:space="0" w:color="auto"/>
        <w:bottom w:val="none" w:sz="0" w:space="0" w:color="auto"/>
        <w:right w:val="none" w:sz="0" w:space="0" w:color="auto"/>
      </w:divBdr>
    </w:div>
    <w:div w:id="1535658863">
      <w:bodyDiv w:val="1"/>
      <w:marLeft w:val="0"/>
      <w:marRight w:val="0"/>
      <w:marTop w:val="0"/>
      <w:marBottom w:val="0"/>
      <w:divBdr>
        <w:top w:val="none" w:sz="0" w:space="0" w:color="auto"/>
        <w:left w:val="none" w:sz="0" w:space="0" w:color="auto"/>
        <w:bottom w:val="none" w:sz="0" w:space="0" w:color="auto"/>
        <w:right w:val="none" w:sz="0" w:space="0" w:color="auto"/>
      </w:divBdr>
    </w:div>
    <w:div w:id="1557012760">
      <w:bodyDiv w:val="1"/>
      <w:marLeft w:val="0"/>
      <w:marRight w:val="0"/>
      <w:marTop w:val="0"/>
      <w:marBottom w:val="0"/>
      <w:divBdr>
        <w:top w:val="none" w:sz="0" w:space="0" w:color="auto"/>
        <w:left w:val="none" w:sz="0" w:space="0" w:color="auto"/>
        <w:bottom w:val="none" w:sz="0" w:space="0" w:color="auto"/>
        <w:right w:val="none" w:sz="0" w:space="0" w:color="auto"/>
      </w:divBdr>
    </w:div>
    <w:div w:id="1649700351">
      <w:bodyDiv w:val="1"/>
      <w:marLeft w:val="0"/>
      <w:marRight w:val="0"/>
      <w:marTop w:val="0"/>
      <w:marBottom w:val="0"/>
      <w:divBdr>
        <w:top w:val="none" w:sz="0" w:space="0" w:color="auto"/>
        <w:left w:val="none" w:sz="0" w:space="0" w:color="auto"/>
        <w:bottom w:val="none" w:sz="0" w:space="0" w:color="auto"/>
        <w:right w:val="none" w:sz="0" w:space="0" w:color="auto"/>
      </w:divBdr>
    </w:div>
    <w:div w:id="1677728033">
      <w:bodyDiv w:val="1"/>
      <w:marLeft w:val="0"/>
      <w:marRight w:val="0"/>
      <w:marTop w:val="0"/>
      <w:marBottom w:val="0"/>
      <w:divBdr>
        <w:top w:val="none" w:sz="0" w:space="0" w:color="auto"/>
        <w:left w:val="none" w:sz="0" w:space="0" w:color="auto"/>
        <w:bottom w:val="none" w:sz="0" w:space="0" w:color="auto"/>
        <w:right w:val="none" w:sz="0" w:space="0" w:color="auto"/>
      </w:divBdr>
    </w:div>
    <w:div w:id="1694375516">
      <w:bodyDiv w:val="1"/>
      <w:marLeft w:val="0"/>
      <w:marRight w:val="0"/>
      <w:marTop w:val="0"/>
      <w:marBottom w:val="0"/>
      <w:divBdr>
        <w:top w:val="none" w:sz="0" w:space="0" w:color="auto"/>
        <w:left w:val="none" w:sz="0" w:space="0" w:color="auto"/>
        <w:bottom w:val="none" w:sz="0" w:space="0" w:color="auto"/>
        <w:right w:val="none" w:sz="0" w:space="0" w:color="auto"/>
      </w:divBdr>
    </w:div>
    <w:div w:id="1709451044">
      <w:bodyDiv w:val="1"/>
      <w:marLeft w:val="0"/>
      <w:marRight w:val="0"/>
      <w:marTop w:val="0"/>
      <w:marBottom w:val="0"/>
      <w:divBdr>
        <w:top w:val="none" w:sz="0" w:space="0" w:color="auto"/>
        <w:left w:val="none" w:sz="0" w:space="0" w:color="auto"/>
        <w:bottom w:val="none" w:sz="0" w:space="0" w:color="auto"/>
        <w:right w:val="none" w:sz="0" w:space="0" w:color="auto"/>
      </w:divBdr>
    </w:div>
    <w:div w:id="1746149838">
      <w:bodyDiv w:val="1"/>
      <w:marLeft w:val="0"/>
      <w:marRight w:val="0"/>
      <w:marTop w:val="0"/>
      <w:marBottom w:val="0"/>
      <w:divBdr>
        <w:top w:val="none" w:sz="0" w:space="0" w:color="auto"/>
        <w:left w:val="none" w:sz="0" w:space="0" w:color="auto"/>
        <w:bottom w:val="none" w:sz="0" w:space="0" w:color="auto"/>
        <w:right w:val="none" w:sz="0" w:space="0" w:color="auto"/>
      </w:divBdr>
    </w:div>
    <w:div w:id="1838959405">
      <w:bodyDiv w:val="1"/>
      <w:marLeft w:val="0"/>
      <w:marRight w:val="0"/>
      <w:marTop w:val="0"/>
      <w:marBottom w:val="0"/>
      <w:divBdr>
        <w:top w:val="none" w:sz="0" w:space="0" w:color="auto"/>
        <w:left w:val="none" w:sz="0" w:space="0" w:color="auto"/>
        <w:bottom w:val="none" w:sz="0" w:space="0" w:color="auto"/>
        <w:right w:val="none" w:sz="0" w:space="0" w:color="auto"/>
      </w:divBdr>
    </w:div>
    <w:div w:id="1895433066">
      <w:bodyDiv w:val="1"/>
      <w:marLeft w:val="0"/>
      <w:marRight w:val="0"/>
      <w:marTop w:val="0"/>
      <w:marBottom w:val="0"/>
      <w:divBdr>
        <w:top w:val="none" w:sz="0" w:space="0" w:color="auto"/>
        <w:left w:val="none" w:sz="0" w:space="0" w:color="auto"/>
        <w:bottom w:val="none" w:sz="0" w:space="0" w:color="auto"/>
        <w:right w:val="none" w:sz="0" w:space="0" w:color="auto"/>
      </w:divBdr>
    </w:div>
    <w:div w:id="1920823998">
      <w:bodyDiv w:val="1"/>
      <w:marLeft w:val="0"/>
      <w:marRight w:val="0"/>
      <w:marTop w:val="0"/>
      <w:marBottom w:val="0"/>
      <w:divBdr>
        <w:top w:val="none" w:sz="0" w:space="0" w:color="auto"/>
        <w:left w:val="none" w:sz="0" w:space="0" w:color="auto"/>
        <w:bottom w:val="none" w:sz="0" w:space="0" w:color="auto"/>
        <w:right w:val="none" w:sz="0" w:space="0" w:color="auto"/>
      </w:divBdr>
    </w:div>
    <w:div w:id="1945765740">
      <w:bodyDiv w:val="1"/>
      <w:marLeft w:val="0"/>
      <w:marRight w:val="0"/>
      <w:marTop w:val="0"/>
      <w:marBottom w:val="0"/>
      <w:divBdr>
        <w:top w:val="none" w:sz="0" w:space="0" w:color="auto"/>
        <w:left w:val="none" w:sz="0" w:space="0" w:color="auto"/>
        <w:bottom w:val="none" w:sz="0" w:space="0" w:color="auto"/>
        <w:right w:val="none" w:sz="0" w:space="0" w:color="auto"/>
      </w:divBdr>
    </w:div>
    <w:div w:id="1958641041">
      <w:bodyDiv w:val="1"/>
      <w:marLeft w:val="0"/>
      <w:marRight w:val="0"/>
      <w:marTop w:val="0"/>
      <w:marBottom w:val="0"/>
      <w:divBdr>
        <w:top w:val="none" w:sz="0" w:space="0" w:color="auto"/>
        <w:left w:val="none" w:sz="0" w:space="0" w:color="auto"/>
        <w:bottom w:val="none" w:sz="0" w:space="0" w:color="auto"/>
        <w:right w:val="none" w:sz="0" w:space="0" w:color="auto"/>
      </w:divBdr>
    </w:div>
    <w:div w:id="1976369672">
      <w:bodyDiv w:val="1"/>
      <w:marLeft w:val="0"/>
      <w:marRight w:val="0"/>
      <w:marTop w:val="0"/>
      <w:marBottom w:val="0"/>
      <w:divBdr>
        <w:top w:val="none" w:sz="0" w:space="0" w:color="auto"/>
        <w:left w:val="none" w:sz="0" w:space="0" w:color="auto"/>
        <w:bottom w:val="none" w:sz="0" w:space="0" w:color="auto"/>
        <w:right w:val="none" w:sz="0" w:space="0" w:color="auto"/>
      </w:divBdr>
    </w:div>
    <w:div w:id="2009669534">
      <w:bodyDiv w:val="1"/>
      <w:marLeft w:val="0"/>
      <w:marRight w:val="0"/>
      <w:marTop w:val="0"/>
      <w:marBottom w:val="0"/>
      <w:divBdr>
        <w:top w:val="none" w:sz="0" w:space="0" w:color="auto"/>
        <w:left w:val="none" w:sz="0" w:space="0" w:color="auto"/>
        <w:bottom w:val="none" w:sz="0" w:space="0" w:color="auto"/>
        <w:right w:val="none" w:sz="0" w:space="0" w:color="auto"/>
      </w:divBdr>
    </w:div>
    <w:div w:id="2058971591">
      <w:bodyDiv w:val="1"/>
      <w:marLeft w:val="0"/>
      <w:marRight w:val="0"/>
      <w:marTop w:val="0"/>
      <w:marBottom w:val="0"/>
      <w:divBdr>
        <w:top w:val="none" w:sz="0" w:space="0" w:color="auto"/>
        <w:left w:val="none" w:sz="0" w:space="0" w:color="auto"/>
        <w:bottom w:val="none" w:sz="0" w:space="0" w:color="auto"/>
        <w:right w:val="none" w:sz="0" w:space="0" w:color="auto"/>
      </w:divBdr>
    </w:div>
    <w:div w:id="2061636141">
      <w:bodyDiv w:val="1"/>
      <w:marLeft w:val="0"/>
      <w:marRight w:val="0"/>
      <w:marTop w:val="0"/>
      <w:marBottom w:val="0"/>
      <w:divBdr>
        <w:top w:val="none" w:sz="0" w:space="0" w:color="auto"/>
        <w:left w:val="none" w:sz="0" w:space="0" w:color="auto"/>
        <w:bottom w:val="none" w:sz="0" w:space="0" w:color="auto"/>
        <w:right w:val="none" w:sz="0" w:space="0" w:color="auto"/>
      </w:divBdr>
    </w:div>
    <w:div w:id="2064013140">
      <w:bodyDiv w:val="1"/>
      <w:marLeft w:val="0"/>
      <w:marRight w:val="0"/>
      <w:marTop w:val="0"/>
      <w:marBottom w:val="0"/>
      <w:divBdr>
        <w:top w:val="none" w:sz="0" w:space="0" w:color="auto"/>
        <w:left w:val="none" w:sz="0" w:space="0" w:color="auto"/>
        <w:bottom w:val="none" w:sz="0" w:space="0" w:color="auto"/>
        <w:right w:val="none" w:sz="0" w:space="0" w:color="auto"/>
      </w:divBdr>
    </w:div>
    <w:div w:id="2077819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ju@soton.ac.uk" TargetMode="External"/><Relationship Id="rId13" Type="http://schemas.openxmlformats.org/officeDocument/2006/relationships/header" Target="header1.xml"/><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emf"/><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yperlink" Target="http://www.hqip.org.uk/national-programme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E4D5E-8AD3-4703-8981-5CFFDA26A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44287</Words>
  <Characters>256424</Characters>
  <Application>Microsoft Office Word</Application>
  <DocSecurity>0</DocSecurity>
  <Lines>8842</Lines>
  <Paragraphs>6264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294447</CharactersWithSpaces>
  <SharedDoc>false</SharedDoc>
  <HLinks>
    <vt:vector size="12" baseType="variant">
      <vt:variant>
        <vt:i4>6291564</vt:i4>
      </vt:variant>
      <vt:variant>
        <vt:i4>3</vt:i4>
      </vt:variant>
      <vt:variant>
        <vt:i4>0</vt:i4>
      </vt:variant>
      <vt:variant>
        <vt:i4>5</vt:i4>
      </vt:variant>
      <vt:variant>
        <vt:lpwstr>http://www.hqip.org.uk/national-programmes</vt:lpwstr>
      </vt:variant>
      <vt:variant>
        <vt:lpwstr/>
      </vt:variant>
      <vt:variant>
        <vt:i4>3014744</vt:i4>
      </vt:variant>
      <vt:variant>
        <vt:i4>0</vt:i4>
      </vt:variant>
      <vt:variant>
        <vt:i4>0</vt:i4>
      </vt:variant>
      <vt:variant>
        <vt:i4>5</vt:i4>
      </vt:variant>
      <vt:variant>
        <vt:lpwstr>mailto:tju@soton.ac.uk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Saqib Rahman</dc:creator>
  <cp:keywords/>
  <dc:description/>
  <cp:lastModifiedBy>Saqib Rahman</cp:lastModifiedBy>
  <cp:revision>6</cp:revision>
  <cp:lastPrinted>2020-11-03T10:10:00Z</cp:lastPrinted>
  <dcterms:created xsi:type="dcterms:W3CDTF">2021-11-15T20:23:00Z</dcterms:created>
  <dcterms:modified xsi:type="dcterms:W3CDTF">2021-11-15T20:27:00Z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http://www.zotero.org/styles/chicago-note-bibliography</vt:lpwstr>
  </property>
  <property fmtid="{D5CDD505-2E9C-101B-9397-08002B2CF9AE}" pid="11" name="Mendeley Recent Style Name 4_1">
    <vt:lpwstr>Chicago Manual of Style 17th edition (note)</vt:lpwstr>
  </property>
  <property fmtid="{D5CDD505-2E9C-101B-9397-08002B2CF9AE}" pid="12" name="Mendeley Recent Style Id 5_1">
    <vt:lpwstr>http://www.zotero.org/styles/nature</vt:lpwstr>
  </property>
  <property fmtid="{D5CDD505-2E9C-101B-9397-08002B2CF9AE}" pid="13" name="Mendeley Recent Style Name 5_1">
    <vt:lpwstr>Nature</vt:lpwstr>
  </property>
  <property fmtid="{D5CDD505-2E9C-101B-9397-08002B2CF9AE}" pid="14" name="Mendeley Recent Style Id 6_1">
    <vt:lpwstr>http://www.zotero.org/styles/vancouver</vt:lpwstr>
  </property>
  <property fmtid="{D5CDD505-2E9C-101B-9397-08002B2CF9AE}" pid="15" name="Mendeley Recent Style Name 6_1">
    <vt:lpwstr>Vancouver</vt:lpwstr>
  </property>
  <property fmtid="{D5CDD505-2E9C-101B-9397-08002B2CF9AE}" pid="16" name="Mendeley Recent Style Id 7_1">
    <vt:lpwstr>http://csl.mendeley.com/styles/24155501/vancouver-2</vt:lpwstr>
  </property>
  <property fmtid="{D5CDD505-2E9C-101B-9397-08002B2CF9AE}" pid="17" name="Mendeley Recent Style Name 7_1">
    <vt:lpwstr>Vancouver - Saqib Rahman</vt:lpwstr>
  </property>
  <property fmtid="{D5CDD505-2E9C-101B-9397-08002B2CF9AE}" pid="18" name="Mendeley Recent Style Id 8_1">
    <vt:lpwstr>http://csl.mendeley.com/styles/24155501/vancouver</vt:lpwstr>
  </property>
  <property fmtid="{D5CDD505-2E9C-101B-9397-08002B2CF9AE}" pid="19" name="Mendeley Recent Style Name 8_1">
    <vt:lpwstr>Vancouver - Saqib Rahman</vt:lpwstr>
  </property>
  <property fmtid="{D5CDD505-2E9C-101B-9397-08002B2CF9AE}" pid="20" name="Mendeley Recent Style Id 9_1">
    <vt:lpwstr>http://csl.mendeley.com/styles/630546611/vancouver</vt:lpwstr>
  </property>
  <property fmtid="{D5CDD505-2E9C-101B-9397-08002B2CF9AE}" pid="21" name="Mendeley Recent Style Name 9_1">
    <vt:lpwstr>Vancouver - Saqib Rahman BJS - Saqib Rahman</vt:lpwstr>
  </property>
  <property fmtid="{D5CDD505-2E9C-101B-9397-08002B2CF9AE}" pid="22" name="Mendeley Document_1">
    <vt:lpwstr>True</vt:lpwstr>
  </property>
  <property fmtid="{D5CDD505-2E9C-101B-9397-08002B2CF9AE}" pid="23" name="Mendeley Unique User Id_1">
    <vt:lpwstr>3d5767f2-8394-38af-ae3d-a37ae49d0be0</vt:lpwstr>
  </property>
  <property fmtid="{D5CDD505-2E9C-101B-9397-08002B2CF9AE}" pid="24" name="Mendeley Citation Style_1">
    <vt:lpwstr>http://csl.mendeley.com/styles/630546611/vancouver</vt:lpwstr>
  </property>
</Properties>
</file>