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4ECBF" w14:textId="076140A7" w:rsidR="005370C9" w:rsidRPr="008528DC" w:rsidRDefault="005370C9" w:rsidP="005370C9">
      <w:pPr>
        <w:pStyle w:val="NormalWeb"/>
        <w:spacing w:before="0" w:beforeAutospacing="0" w:after="0" w:afterAutospacing="0" w:line="480" w:lineRule="auto"/>
        <w:rPr>
          <w:rFonts w:eastAsia="Calibri"/>
          <w:b/>
          <w:bCs/>
          <w:kern w:val="24"/>
          <w:sz w:val="20"/>
          <w:szCs w:val="20"/>
          <w:lang w:val="en-US"/>
        </w:rPr>
      </w:pPr>
      <w:r w:rsidRPr="008528DC">
        <w:rPr>
          <w:rFonts w:eastAsia="Calibri"/>
          <w:b/>
          <w:bCs/>
          <w:kern w:val="24"/>
          <w:sz w:val="20"/>
          <w:szCs w:val="20"/>
          <w:lang w:val="en-US"/>
        </w:rPr>
        <w:t>The application of FRAX in Ecuador</w:t>
      </w:r>
    </w:p>
    <w:p w14:paraId="7FE5E61E" w14:textId="77777777" w:rsidR="00BB165A" w:rsidRPr="008528DC" w:rsidRDefault="00BB165A">
      <w:pPr>
        <w:rPr>
          <w:rFonts w:ascii="Times New Roman" w:eastAsia="Calibri" w:hAnsi="Times New Roman" w:cs="Times New Roman"/>
          <w:b/>
          <w:bCs/>
          <w:sz w:val="20"/>
          <w:szCs w:val="20"/>
        </w:rPr>
      </w:pPr>
      <w:r w:rsidRPr="008528DC">
        <w:rPr>
          <w:rFonts w:ascii="Times New Roman" w:eastAsia="Calibri" w:hAnsi="Times New Roman" w:cs="Times New Roman"/>
          <w:b/>
          <w:bCs/>
          <w:sz w:val="20"/>
          <w:szCs w:val="20"/>
        </w:rPr>
        <w:br w:type="page"/>
      </w:r>
      <w:bookmarkStart w:id="0" w:name="_GoBack"/>
      <w:bookmarkEnd w:id="0"/>
    </w:p>
    <w:p w14:paraId="127B49DF" w14:textId="0FBAB1D0" w:rsidR="00FE7AD6" w:rsidRPr="004E0EAD" w:rsidRDefault="00FE7AD6" w:rsidP="00077C16">
      <w:pPr>
        <w:spacing w:after="0" w:line="480" w:lineRule="auto"/>
        <w:rPr>
          <w:rFonts w:ascii="Times New Roman" w:eastAsia="Calibri" w:hAnsi="Times New Roman" w:cs="Times New Roman"/>
          <w:b/>
          <w:bCs/>
          <w:sz w:val="20"/>
          <w:szCs w:val="20"/>
          <w:lang w:val="en-US"/>
        </w:rPr>
      </w:pPr>
      <w:r w:rsidRPr="004E0EAD">
        <w:rPr>
          <w:rFonts w:ascii="Times New Roman" w:eastAsia="Calibri" w:hAnsi="Times New Roman" w:cs="Times New Roman"/>
          <w:b/>
          <w:bCs/>
          <w:sz w:val="20"/>
          <w:szCs w:val="20"/>
          <w:lang w:val="en-US"/>
        </w:rPr>
        <w:lastRenderedPageBreak/>
        <w:t>Abstract</w:t>
      </w:r>
      <w:r w:rsidR="003C2EE0" w:rsidRPr="004E0EAD">
        <w:rPr>
          <w:rFonts w:ascii="Times New Roman" w:eastAsia="Calibri" w:hAnsi="Times New Roman" w:cs="Times New Roman"/>
          <w:b/>
          <w:bCs/>
          <w:sz w:val="20"/>
          <w:szCs w:val="20"/>
          <w:lang w:val="en-US"/>
        </w:rPr>
        <w:t xml:space="preserve"> </w:t>
      </w:r>
    </w:p>
    <w:p w14:paraId="13F9192B" w14:textId="028A6914" w:rsidR="00C80BA3" w:rsidRPr="008528DC" w:rsidRDefault="00FA3008" w:rsidP="009C37F2">
      <w:pPr>
        <w:spacing w:after="0" w:line="480" w:lineRule="auto"/>
        <w:rPr>
          <w:rFonts w:ascii="Times New Roman" w:eastAsia="Calibri" w:hAnsi="Times New Roman" w:cs="Times New Roman"/>
          <w:sz w:val="20"/>
          <w:szCs w:val="20"/>
        </w:rPr>
      </w:pPr>
      <w:r w:rsidRPr="008528DC">
        <w:rPr>
          <w:rFonts w:ascii="Times New Roman" w:eastAsia="Calibri" w:hAnsi="Times New Roman" w:cs="Times New Roman"/>
          <w:i/>
          <w:iCs/>
          <w:sz w:val="20"/>
          <w:szCs w:val="20"/>
        </w:rPr>
        <w:t>Introduction</w:t>
      </w:r>
      <w:r w:rsidR="00EA6903" w:rsidRPr="008528DC">
        <w:rPr>
          <w:rFonts w:ascii="Times New Roman" w:eastAsia="Calibri" w:hAnsi="Times New Roman" w:cs="Times New Roman"/>
          <w:sz w:val="20"/>
          <w:szCs w:val="20"/>
        </w:rPr>
        <w:t>:</w:t>
      </w:r>
      <w:r w:rsidR="00FE7AD6" w:rsidRPr="008528DC">
        <w:rPr>
          <w:rFonts w:ascii="Times New Roman" w:eastAsia="Calibri" w:hAnsi="Times New Roman" w:cs="Times New Roman"/>
          <w:sz w:val="20"/>
          <w:szCs w:val="20"/>
        </w:rPr>
        <w:t xml:space="preserve">Intervention thresholds for the treatment of osteoporosis have been based historically on the measurement of bone mineral density.  The development of FRAX® has permitted a more accurate assessment of fracture risk.  The aim of the present study was to explore treatment paths and characteristics of women </w:t>
      </w:r>
      <w:r w:rsidR="004B07FD" w:rsidRPr="008528DC">
        <w:rPr>
          <w:rFonts w:ascii="Times New Roman" w:eastAsia="Calibri" w:hAnsi="Times New Roman" w:cs="Times New Roman"/>
          <w:sz w:val="20"/>
          <w:szCs w:val="20"/>
        </w:rPr>
        <w:t>eligible</w:t>
      </w:r>
      <w:r w:rsidR="00FE7AD6" w:rsidRPr="008528DC">
        <w:rPr>
          <w:rFonts w:ascii="Times New Roman" w:eastAsia="Calibri" w:hAnsi="Times New Roman" w:cs="Times New Roman"/>
          <w:sz w:val="20"/>
          <w:szCs w:val="20"/>
        </w:rPr>
        <w:t xml:space="preserve"> for treatment in </w:t>
      </w:r>
      <w:r w:rsidR="00502636" w:rsidRPr="008528DC">
        <w:rPr>
          <w:rFonts w:ascii="Times New Roman" w:eastAsia="Calibri" w:hAnsi="Times New Roman" w:cs="Times New Roman"/>
          <w:sz w:val="20"/>
          <w:szCs w:val="20"/>
        </w:rPr>
        <w:t>Ecuad</w:t>
      </w:r>
      <w:r w:rsidR="008672B6" w:rsidRPr="008528DC">
        <w:rPr>
          <w:rFonts w:ascii="Times New Roman" w:eastAsia="Calibri" w:hAnsi="Times New Roman" w:cs="Times New Roman"/>
          <w:sz w:val="20"/>
          <w:szCs w:val="20"/>
        </w:rPr>
        <w:t>o</w:t>
      </w:r>
      <w:r w:rsidR="00502636" w:rsidRPr="008528DC">
        <w:rPr>
          <w:rFonts w:ascii="Times New Roman" w:eastAsia="Calibri" w:hAnsi="Times New Roman" w:cs="Times New Roman"/>
          <w:sz w:val="20"/>
          <w:szCs w:val="20"/>
        </w:rPr>
        <w:t>r</w:t>
      </w:r>
      <w:r w:rsidR="00FE7AD6" w:rsidRPr="008528DC">
        <w:rPr>
          <w:rFonts w:ascii="Times New Roman" w:eastAsia="Calibri" w:hAnsi="Times New Roman" w:cs="Times New Roman"/>
          <w:sz w:val="20"/>
          <w:szCs w:val="20"/>
        </w:rPr>
        <w:t xml:space="preserve"> based on FRAX</w:t>
      </w:r>
      <w:r w:rsidR="005D23D6" w:rsidRPr="008528DC">
        <w:rPr>
          <w:rFonts w:ascii="Times New Roman" w:eastAsia="Calibri" w:hAnsi="Times New Roman" w:cs="Times New Roman"/>
          <w:sz w:val="20"/>
          <w:szCs w:val="20"/>
        </w:rPr>
        <w:t>.</w:t>
      </w:r>
    </w:p>
    <w:p w14:paraId="2F88F285" w14:textId="4BC7AB2F" w:rsidR="00D904B8" w:rsidRPr="008528DC" w:rsidRDefault="00FE7AD6" w:rsidP="00077C16">
      <w:pPr>
        <w:spacing w:after="0" w:line="480" w:lineRule="auto"/>
        <w:rPr>
          <w:rFonts w:ascii="Times New Roman" w:eastAsia="Calibri" w:hAnsi="Times New Roman" w:cs="Times New Roman"/>
          <w:sz w:val="20"/>
          <w:szCs w:val="20"/>
        </w:rPr>
      </w:pPr>
      <w:r w:rsidRPr="008528DC">
        <w:rPr>
          <w:rFonts w:ascii="Times New Roman" w:eastAsia="Calibri" w:hAnsi="Times New Roman" w:cs="Times New Roman"/>
          <w:i/>
          <w:iCs/>
          <w:sz w:val="20"/>
          <w:szCs w:val="20"/>
        </w:rPr>
        <w:t>Methods</w:t>
      </w:r>
      <w:r w:rsidR="00EA6903" w:rsidRPr="008528DC">
        <w:rPr>
          <w:rFonts w:ascii="Times New Roman" w:eastAsia="Calibri" w:hAnsi="Times New Roman" w:cs="Times New Roman"/>
          <w:sz w:val="20"/>
          <w:szCs w:val="20"/>
        </w:rPr>
        <w:t>:</w:t>
      </w:r>
      <w:r w:rsidR="005C69F5" w:rsidRPr="008528DC">
        <w:rPr>
          <w:rFonts w:ascii="Times New Roman" w:eastAsia="Calibri" w:hAnsi="Times New Roman" w:cs="Times New Roman"/>
          <w:sz w:val="20"/>
          <w:szCs w:val="20"/>
        </w:rPr>
        <w:t xml:space="preserve">A total of </w:t>
      </w:r>
      <w:r w:rsidR="00923090" w:rsidRPr="008528DC">
        <w:rPr>
          <w:rFonts w:ascii="Times New Roman" w:eastAsia="Calibri" w:hAnsi="Times New Roman" w:cs="Times New Roman"/>
          <w:sz w:val="20"/>
          <w:szCs w:val="20"/>
        </w:rPr>
        <w:t>2367</w:t>
      </w:r>
      <w:r w:rsidR="005C69F5" w:rsidRPr="008528DC">
        <w:rPr>
          <w:rFonts w:ascii="Times New Roman" w:eastAsia="Calibri" w:hAnsi="Times New Roman" w:cs="Times New Roman"/>
          <w:sz w:val="20"/>
          <w:szCs w:val="20"/>
        </w:rPr>
        <w:t xml:space="preserve"> women aged 60–94 years were selected from the National Health, Welfare and Aging Survey (SABE) conducted in Ecuador.</w:t>
      </w:r>
      <w:r w:rsidR="00D904B8" w:rsidRPr="008528DC">
        <w:rPr>
          <w:rFonts w:ascii="Times New Roman" w:eastAsia="Calibri" w:hAnsi="Times New Roman" w:cs="Times New Roman"/>
          <w:sz w:val="20"/>
          <w:szCs w:val="20"/>
        </w:rPr>
        <w:t xml:space="preserve"> Fracture probabilities </w:t>
      </w:r>
      <w:r w:rsidR="00627563" w:rsidRPr="008528DC">
        <w:rPr>
          <w:rFonts w:ascii="Times New Roman" w:eastAsia="Calibri" w:hAnsi="Times New Roman" w:cs="Times New Roman"/>
          <w:sz w:val="20"/>
          <w:szCs w:val="20"/>
        </w:rPr>
        <w:t>of major osteoporotic and hip fracture</w:t>
      </w:r>
      <w:r w:rsidR="000B0B32" w:rsidRPr="008528DC">
        <w:rPr>
          <w:rFonts w:ascii="Times New Roman" w:eastAsia="Calibri" w:hAnsi="Times New Roman" w:cs="Times New Roman"/>
          <w:sz w:val="20"/>
          <w:szCs w:val="20"/>
        </w:rPr>
        <w:t xml:space="preserve"> </w:t>
      </w:r>
      <w:r w:rsidR="00D904B8" w:rsidRPr="008528DC">
        <w:rPr>
          <w:rFonts w:ascii="Times New Roman" w:eastAsia="Calibri" w:hAnsi="Times New Roman" w:cs="Times New Roman"/>
          <w:sz w:val="20"/>
          <w:szCs w:val="20"/>
        </w:rPr>
        <w:t>wer</w:t>
      </w:r>
      <w:r w:rsidR="00D85650" w:rsidRPr="008528DC">
        <w:rPr>
          <w:rFonts w:ascii="Times New Roman" w:eastAsia="Calibri" w:hAnsi="Times New Roman" w:cs="Times New Roman"/>
          <w:sz w:val="20"/>
          <w:szCs w:val="20"/>
        </w:rPr>
        <w:t>e</w:t>
      </w:r>
      <w:r w:rsidR="00D904B8" w:rsidRPr="008528DC">
        <w:rPr>
          <w:rFonts w:ascii="Times New Roman" w:eastAsia="Calibri" w:hAnsi="Times New Roman" w:cs="Times New Roman"/>
          <w:sz w:val="20"/>
          <w:szCs w:val="20"/>
        </w:rPr>
        <w:t xml:space="preserve"> computed</w:t>
      </w:r>
      <w:r w:rsidR="00221A3A" w:rsidRPr="008528DC">
        <w:rPr>
          <w:rFonts w:ascii="Times New Roman" w:hAnsi="Times New Roman" w:cs="Times New Roman"/>
          <w:sz w:val="20"/>
          <w:szCs w:val="20"/>
        </w:rPr>
        <w:t xml:space="preserve"> </w:t>
      </w:r>
      <w:r w:rsidR="00221A3A" w:rsidRPr="008528DC">
        <w:rPr>
          <w:rFonts w:ascii="Times New Roman" w:eastAsia="Calibri" w:hAnsi="Times New Roman" w:cs="Times New Roman"/>
          <w:sz w:val="20"/>
          <w:szCs w:val="20"/>
        </w:rPr>
        <w:t xml:space="preserve">using the Ecuadorian FRAX model. </w:t>
      </w:r>
      <w:r w:rsidR="00DE7132" w:rsidRPr="008528DC">
        <w:rPr>
          <w:rFonts w:ascii="Times New Roman" w:eastAsia="Calibri" w:hAnsi="Times New Roman" w:cs="Times New Roman"/>
          <w:sz w:val="20"/>
          <w:szCs w:val="20"/>
        </w:rPr>
        <w:t xml:space="preserve"> </w:t>
      </w:r>
      <w:r w:rsidR="000B0B32" w:rsidRPr="008528DC">
        <w:rPr>
          <w:rFonts w:ascii="Times New Roman" w:eastAsia="Calibri" w:hAnsi="Times New Roman" w:cs="Times New Roman"/>
          <w:sz w:val="20"/>
          <w:szCs w:val="20"/>
        </w:rPr>
        <w:t>T</w:t>
      </w:r>
      <w:r w:rsidR="00D904B8" w:rsidRPr="008528DC">
        <w:rPr>
          <w:rFonts w:ascii="Times New Roman" w:eastAsia="Calibri" w:hAnsi="Times New Roman" w:cs="Times New Roman"/>
          <w:sz w:val="20"/>
          <w:szCs w:val="20"/>
        </w:rPr>
        <w:t xml:space="preserve">he proportion of </w:t>
      </w:r>
      <w:r w:rsidR="00DE7132" w:rsidRPr="008528DC">
        <w:rPr>
          <w:rFonts w:ascii="Times New Roman" w:eastAsia="Calibri" w:hAnsi="Times New Roman" w:cs="Times New Roman"/>
          <w:sz w:val="20"/>
          <w:szCs w:val="20"/>
        </w:rPr>
        <w:t xml:space="preserve">women </w:t>
      </w:r>
      <w:r w:rsidR="00D904B8" w:rsidRPr="008528DC">
        <w:rPr>
          <w:rFonts w:ascii="Times New Roman" w:eastAsia="Calibri" w:hAnsi="Times New Roman" w:cs="Times New Roman"/>
          <w:sz w:val="20"/>
          <w:szCs w:val="20"/>
        </w:rPr>
        <w:t xml:space="preserve">eligible for treatment and bone mineral density </w:t>
      </w:r>
      <w:r w:rsidR="008A599E" w:rsidRPr="008528DC">
        <w:rPr>
          <w:rFonts w:ascii="Times New Roman" w:eastAsia="Calibri" w:hAnsi="Times New Roman" w:cs="Times New Roman"/>
          <w:sz w:val="20"/>
          <w:szCs w:val="20"/>
        </w:rPr>
        <w:t xml:space="preserve">assessment </w:t>
      </w:r>
      <w:r w:rsidR="00E847AD" w:rsidRPr="008528DC">
        <w:rPr>
          <w:rFonts w:ascii="Times New Roman" w:eastAsia="Calibri" w:hAnsi="Times New Roman" w:cs="Times New Roman"/>
          <w:sz w:val="20"/>
          <w:szCs w:val="20"/>
        </w:rPr>
        <w:t>were</w:t>
      </w:r>
      <w:r w:rsidR="008A599E" w:rsidRPr="008528DC">
        <w:rPr>
          <w:rFonts w:ascii="Times New Roman" w:eastAsia="Calibri" w:hAnsi="Times New Roman" w:cs="Times New Roman"/>
          <w:sz w:val="20"/>
          <w:szCs w:val="20"/>
        </w:rPr>
        <w:t xml:space="preserve"> </w:t>
      </w:r>
      <w:r w:rsidR="00E847AD" w:rsidRPr="008528DC">
        <w:rPr>
          <w:rFonts w:ascii="Times New Roman" w:eastAsia="Calibri" w:hAnsi="Times New Roman" w:cs="Times New Roman"/>
          <w:sz w:val="20"/>
          <w:szCs w:val="20"/>
        </w:rPr>
        <w:t xml:space="preserve">determined </w:t>
      </w:r>
      <w:r w:rsidR="00D904B8" w:rsidRPr="008528DC">
        <w:rPr>
          <w:rFonts w:ascii="Times New Roman" w:eastAsia="Calibri" w:hAnsi="Times New Roman" w:cs="Times New Roman"/>
          <w:sz w:val="20"/>
          <w:szCs w:val="20"/>
        </w:rPr>
        <w:t>based on age</w:t>
      </w:r>
      <w:r w:rsidR="00817216" w:rsidRPr="008528DC">
        <w:rPr>
          <w:rFonts w:ascii="Times New Roman" w:eastAsia="Calibri" w:hAnsi="Times New Roman" w:cs="Times New Roman"/>
          <w:sz w:val="20"/>
          <w:szCs w:val="20"/>
        </w:rPr>
        <w:t xml:space="preserve">-specific intervention </w:t>
      </w:r>
      <w:r w:rsidR="00D904B8" w:rsidRPr="008528DC">
        <w:rPr>
          <w:rFonts w:ascii="Times New Roman" w:eastAsia="Calibri" w:hAnsi="Times New Roman" w:cs="Times New Roman"/>
          <w:sz w:val="20"/>
          <w:szCs w:val="20"/>
        </w:rPr>
        <w:t>thresholds and</w:t>
      </w:r>
      <w:r w:rsidR="00B167E3" w:rsidRPr="008528DC">
        <w:rPr>
          <w:rFonts w:ascii="Times New Roman" w:eastAsia="Calibri" w:hAnsi="Times New Roman" w:cs="Times New Roman"/>
          <w:sz w:val="20"/>
          <w:szCs w:val="20"/>
        </w:rPr>
        <w:t xml:space="preserve"> additionall</w:t>
      </w:r>
      <w:r w:rsidR="001F4A57" w:rsidRPr="008528DC">
        <w:rPr>
          <w:rFonts w:ascii="Times New Roman" w:eastAsia="Calibri" w:hAnsi="Times New Roman" w:cs="Times New Roman"/>
          <w:sz w:val="20"/>
          <w:szCs w:val="20"/>
        </w:rPr>
        <w:t>y,</w:t>
      </w:r>
      <w:r w:rsidR="00D904B8" w:rsidRPr="008528DC">
        <w:rPr>
          <w:rFonts w:ascii="Times New Roman" w:eastAsia="Calibri" w:hAnsi="Times New Roman" w:cs="Times New Roman"/>
          <w:sz w:val="20"/>
          <w:szCs w:val="20"/>
        </w:rPr>
        <w:t xml:space="preserve"> a </w:t>
      </w:r>
      <w:r w:rsidR="00817216" w:rsidRPr="008528DC">
        <w:rPr>
          <w:rFonts w:ascii="Times New Roman" w:eastAsia="Calibri" w:hAnsi="Times New Roman" w:cs="Times New Roman"/>
          <w:sz w:val="20"/>
          <w:szCs w:val="20"/>
        </w:rPr>
        <w:t xml:space="preserve">hybrid </w:t>
      </w:r>
      <w:r w:rsidR="00D904B8" w:rsidRPr="008528DC">
        <w:rPr>
          <w:rFonts w:ascii="Times New Roman" w:eastAsia="Calibri" w:hAnsi="Times New Roman" w:cs="Times New Roman"/>
          <w:sz w:val="20"/>
          <w:szCs w:val="20"/>
        </w:rPr>
        <w:t xml:space="preserve">threshold </w:t>
      </w:r>
      <w:r w:rsidR="006A1CE4" w:rsidRPr="008528DC">
        <w:rPr>
          <w:rFonts w:ascii="Times New Roman" w:eastAsia="Calibri" w:hAnsi="Times New Roman" w:cs="Times New Roman"/>
          <w:sz w:val="20"/>
          <w:szCs w:val="20"/>
        </w:rPr>
        <w:t xml:space="preserve">fixed </w:t>
      </w:r>
      <w:r w:rsidR="00D904B8" w:rsidRPr="008528DC">
        <w:rPr>
          <w:rFonts w:ascii="Times New Roman" w:eastAsia="Calibri" w:hAnsi="Times New Roman" w:cs="Times New Roman"/>
          <w:sz w:val="20"/>
          <w:szCs w:val="20"/>
        </w:rPr>
        <w:t xml:space="preserve">from </w:t>
      </w:r>
      <w:r w:rsidR="009E0A96" w:rsidRPr="008528DC">
        <w:rPr>
          <w:rFonts w:ascii="Times New Roman" w:eastAsia="Calibri" w:hAnsi="Times New Roman" w:cs="Times New Roman"/>
          <w:sz w:val="20"/>
          <w:szCs w:val="20"/>
        </w:rPr>
        <w:t xml:space="preserve">age </w:t>
      </w:r>
      <w:r w:rsidR="00D904B8" w:rsidRPr="008528DC">
        <w:rPr>
          <w:rFonts w:ascii="Times New Roman" w:eastAsia="Calibri" w:hAnsi="Times New Roman" w:cs="Times New Roman"/>
          <w:sz w:val="20"/>
          <w:szCs w:val="20"/>
        </w:rPr>
        <w:t>75 years.</w:t>
      </w:r>
    </w:p>
    <w:p w14:paraId="69280D47" w14:textId="702AC6C0" w:rsidR="00D00675" w:rsidRPr="008528DC" w:rsidRDefault="00FE7AD6" w:rsidP="00077C16">
      <w:pPr>
        <w:spacing w:after="0" w:line="480" w:lineRule="auto"/>
        <w:rPr>
          <w:rFonts w:ascii="Times New Roman" w:eastAsia="Calibri" w:hAnsi="Times New Roman" w:cs="Times New Roman"/>
          <w:sz w:val="20"/>
          <w:szCs w:val="20"/>
          <w:highlight w:val="yellow"/>
        </w:rPr>
      </w:pPr>
      <w:r w:rsidRPr="008528DC">
        <w:rPr>
          <w:rFonts w:ascii="Times New Roman" w:eastAsia="Calibri" w:hAnsi="Times New Roman" w:cs="Times New Roman"/>
          <w:i/>
          <w:iCs/>
          <w:sz w:val="20"/>
          <w:szCs w:val="20"/>
        </w:rPr>
        <w:t>Results</w:t>
      </w:r>
      <w:r w:rsidR="00EA6903" w:rsidRPr="008528DC">
        <w:rPr>
          <w:rFonts w:ascii="Times New Roman" w:eastAsia="Calibri" w:hAnsi="Times New Roman" w:cs="Times New Roman"/>
          <w:sz w:val="20"/>
          <w:szCs w:val="20"/>
        </w:rPr>
        <w:t xml:space="preserve">: </w:t>
      </w:r>
      <w:r w:rsidRPr="008528DC">
        <w:rPr>
          <w:rFonts w:ascii="Times New Roman" w:eastAsia="Calibri" w:hAnsi="Times New Roman" w:cs="Times New Roman"/>
          <w:sz w:val="20"/>
          <w:szCs w:val="20"/>
          <w:lang w:val="en-AU"/>
        </w:rPr>
        <w:t xml:space="preserve">A total of </w:t>
      </w:r>
      <w:r w:rsidR="00F77A92" w:rsidRPr="008528DC">
        <w:rPr>
          <w:rFonts w:ascii="Times New Roman" w:eastAsia="Calibri" w:hAnsi="Times New Roman" w:cs="Times New Roman"/>
          <w:sz w:val="20"/>
          <w:szCs w:val="20"/>
          <w:lang w:val="en-AU"/>
        </w:rPr>
        <w:t>87</w:t>
      </w:r>
      <w:r w:rsidRPr="008528DC">
        <w:rPr>
          <w:rFonts w:ascii="Times New Roman" w:eastAsia="Calibri" w:hAnsi="Times New Roman" w:cs="Times New Roman"/>
          <w:sz w:val="20"/>
          <w:szCs w:val="20"/>
          <w:lang w:val="en-AU"/>
        </w:rPr>
        <w:t xml:space="preserve"> </w:t>
      </w:r>
      <w:r w:rsidRPr="008528DC">
        <w:rPr>
          <w:rFonts w:ascii="Times New Roman" w:eastAsia="Calibri" w:hAnsi="Times New Roman" w:cs="Times New Roman"/>
          <w:sz w:val="20"/>
          <w:szCs w:val="20"/>
        </w:rPr>
        <w:t>women (</w:t>
      </w:r>
      <w:r w:rsidR="00F77A92" w:rsidRPr="008528DC">
        <w:rPr>
          <w:rFonts w:ascii="Times New Roman" w:eastAsia="Calibri" w:hAnsi="Times New Roman" w:cs="Times New Roman"/>
          <w:sz w:val="20"/>
          <w:szCs w:val="20"/>
        </w:rPr>
        <w:t>3.7</w:t>
      </w:r>
      <w:r w:rsidRPr="008528DC">
        <w:rPr>
          <w:rFonts w:ascii="Times New Roman" w:eastAsia="Calibri" w:hAnsi="Times New Roman" w:cs="Times New Roman"/>
          <w:sz w:val="20"/>
          <w:szCs w:val="20"/>
        </w:rPr>
        <w:t>%) had a prior fragility fracture and would be eligible for treatment for this reason.</w:t>
      </w:r>
      <w:r w:rsidRPr="008528DC">
        <w:rPr>
          <w:rFonts w:ascii="Times New Roman" w:eastAsia="Calibri" w:hAnsi="Times New Roman" w:cs="Times New Roman"/>
          <w:sz w:val="20"/>
          <w:szCs w:val="20"/>
          <w:lang w:val="en-AU"/>
        </w:rPr>
        <w:t xml:space="preserve">  </w:t>
      </w:r>
      <w:bookmarkStart w:id="1" w:name="_Hlk54544253"/>
      <w:r w:rsidRPr="008528DC">
        <w:rPr>
          <w:rFonts w:ascii="Times New Roman" w:eastAsia="Calibri" w:hAnsi="Times New Roman" w:cs="Times New Roman"/>
          <w:sz w:val="20"/>
          <w:szCs w:val="20"/>
          <w:lang w:val="en-AU"/>
        </w:rPr>
        <w:t xml:space="preserve">A additional </w:t>
      </w:r>
      <w:r w:rsidR="005D4C2C" w:rsidRPr="008528DC">
        <w:rPr>
          <w:rFonts w:ascii="Times New Roman" w:eastAsia="Calibri" w:hAnsi="Times New Roman" w:cs="Times New Roman"/>
          <w:sz w:val="20"/>
          <w:szCs w:val="20"/>
        </w:rPr>
        <w:t>49</w:t>
      </w:r>
      <w:r w:rsidRPr="008528DC">
        <w:rPr>
          <w:rFonts w:ascii="Times New Roman" w:eastAsia="Calibri" w:hAnsi="Times New Roman" w:cs="Times New Roman"/>
          <w:sz w:val="20"/>
          <w:szCs w:val="20"/>
        </w:rPr>
        <w:t xml:space="preserve"> women</w:t>
      </w:r>
      <w:r w:rsidR="00640C9F" w:rsidRPr="008528DC">
        <w:rPr>
          <w:rFonts w:ascii="Times New Roman" w:eastAsia="Calibri" w:hAnsi="Times New Roman" w:cs="Times New Roman"/>
          <w:sz w:val="20"/>
          <w:szCs w:val="20"/>
        </w:rPr>
        <w:t xml:space="preserve"> were eligible for </w:t>
      </w:r>
      <w:r w:rsidR="001D0C71" w:rsidRPr="008528DC">
        <w:rPr>
          <w:rFonts w:ascii="Times New Roman" w:eastAsia="Calibri" w:hAnsi="Times New Roman" w:cs="Times New Roman"/>
          <w:sz w:val="20"/>
          <w:szCs w:val="20"/>
        </w:rPr>
        <w:t xml:space="preserve">treatment </w:t>
      </w:r>
      <w:bookmarkEnd w:id="1"/>
      <w:r w:rsidR="001D0C71" w:rsidRPr="008528DC">
        <w:rPr>
          <w:rFonts w:ascii="Times New Roman" w:eastAsia="Calibri" w:hAnsi="Times New Roman" w:cs="Times New Roman"/>
          <w:sz w:val="20"/>
          <w:szCs w:val="20"/>
        </w:rPr>
        <w:t xml:space="preserve">in that </w:t>
      </w:r>
      <w:r w:rsidR="00BE1AB9" w:rsidRPr="008528DC">
        <w:rPr>
          <w:rFonts w:ascii="Times New Roman" w:eastAsia="Calibri" w:hAnsi="Times New Roman" w:cs="Times New Roman"/>
          <w:sz w:val="20"/>
          <w:szCs w:val="20"/>
        </w:rPr>
        <w:t>MOF probabilities lay above the upper assessment threshold</w:t>
      </w:r>
      <w:r w:rsidR="002507CB" w:rsidRPr="008528DC">
        <w:rPr>
          <w:rFonts w:ascii="Times New Roman" w:eastAsia="Calibri" w:hAnsi="Times New Roman" w:cs="Times New Roman"/>
          <w:sz w:val="20"/>
          <w:szCs w:val="20"/>
        </w:rPr>
        <w:t xml:space="preserve"> using age-specific thresholds</w:t>
      </w:r>
      <w:r w:rsidR="00E9185A" w:rsidRPr="008528DC">
        <w:rPr>
          <w:rFonts w:ascii="Times New Roman" w:eastAsia="Calibri" w:hAnsi="Times New Roman" w:cs="Times New Roman"/>
          <w:sz w:val="20"/>
          <w:szCs w:val="20"/>
        </w:rPr>
        <w:t>.</w:t>
      </w:r>
      <w:r w:rsidR="001D0C71" w:rsidRPr="008528DC">
        <w:rPr>
          <w:rFonts w:ascii="Times New Roman" w:eastAsia="Calibri" w:hAnsi="Times New Roman" w:cs="Times New Roman"/>
          <w:sz w:val="20"/>
          <w:szCs w:val="20"/>
        </w:rPr>
        <w:t xml:space="preserve"> </w:t>
      </w:r>
      <w:r w:rsidRPr="008528DC">
        <w:rPr>
          <w:rFonts w:ascii="Times New Roman" w:eastAsia="Calibri" w:hAnsi="Times New Roman" w:cs="Times New Roman"/>
          <w:sz w:val="20"/>
          <w:szCs w:val="20"/>
        </w:rPr>
        <w:t xml:space="preserve"> </w:t>
      </w:r>
      <w:r w:rsidR="00943CBE" w:rsidRPr="008528DC">
        <w:rPr>
          <w:rFonts w:ascii="Times New Roman" w:eastAsia="Calibri" w:hAnsi="Times New Roman" w:cs="Times New Roman"/>
          <w:sz w:val="20"/>
          <w:szCs w:val="20"/>
        </w:rPr>
        <w:t>A</w:t>
      </w:r>
      <w:r w:rsidR="00D3003A" w:rsidRPr="008528DC">
        <w:rPr>
          <w:rFonts w:ascii="Times New Roman" w:eastAsia="Calibri" w:hAnsi="Times New Roman" w:cs="Times New Roman"/>
          <w:sz w:val="20"/>
          <w:szCs w:val="20"/>
        </w:rPr>
        <w:t xml:space="preserve"> BMD test would be recommended </w:t>
      </w:r>
      <w:r w:rsidR="00B900AA" w:rsidRPr="008528DC">
        <w:rPr>
          <w:rFonts w:ascii="Times New Roman" w:eastAsia="Calibri" w:hAnsi="Times New Roman" w:cs="Times New Roman"/>
          <w:sz w:val="20"/>
          <w:szCs w:val="20"/>
        </w:rPr>
        <w:t>1131</w:t>
      </w:r>
      <w:r w:rsidR="00D3003A" w:rsidRPr="008528DC">
        <w:rPr>
          <w:rFonts w:ascii="Times New Roman" w:eastAsia="Calibri" w:hAnsi="Times New Roman" w:cs="Times New Roman"/>
          <w:sz w:val="20"/>
          <w:szCs w:val="20"/>
        </w:rPr>
        <w:t xml:space="preserve"> women (</w:t>
      </w:r>
      <w:r w:rsidR="00B900AA" w:rsidRPr="008528DC">
        <w:rPr>
          <w:rFonts w:ascii="Times New Roman" w:eastAsia="Calibri" w:hAnsi="Times New Roman" w:cs="Times New Roman"/>
          <w:sz w:val="20"/>
          <w:szCs w:val="20"/>
        </w:rPr>
        <w:t>48</w:t>
      </w:r>
      <w:r w:rsidR="00D3003A" w:rsidRPr="008528DC">
        <w:rPr>
          <w:rFonts w:ascii="Times New Roman" w:eastAsia="Calibri" w:hAnsi="Times New Roman" w:cs="Times New Roman"/>
          <w:sz w:val="20"/>
          <w:szCs w:val="20"/>
        </w:rPr>
        <w:t>%) so that FRAX could be recalculated with the inclusion of femoral neck BMD.</w:t>
      </w:r>
      <w:r w:rsidR="007029ED" w:rsidRPr="008528DC">
        <w:rPr>
          <w:rFonts w:ascii="Times New Roman" w:hAnsi="Times New Roman" w:cs="Times New Roman"/>
          <w:sz w:val="20"/>
          <w:szCs w:val="20"/>
        </w:rPr>
        <w:t xml:space="preserve">  </w:t>
      </w:r>
      <w:r w:rsidR="007617F0" w:rsidRPr="008528DC">
        <w:rPr>
          <w:rFonts w:ascii="Times New Roman" w:hAnsi="Times New Roman" w:cs="Times New Roman"/>
          <w:sz w:val="20"/>
          <w:szCs w:val="20"/>
        </w:rPr>
        <w:t>With the hy</w:t>
      </w:r>
      <w:r w:rsidR="00237B25" w:rsidRPr="008528DC">
        <w:rPr>
          <w:rFonts w:ascii="Times New Roman" w:hAnsi="Times New Roman" w:cs="Times New Roman"/>
          <w:sz w:val="20"/>
          <w:szCs w:val="20"/>
        </w:rPr>
        <w:t xml:space="preserve">brid threshold, </w:t>
      </w:r>
      <w:r w:rsidR="00237B25" w:rsidRPr="008528DC">
        <w:rPr>
          <w:rFonts w:ascii="Times New Roman" w:eastAsia="Calibri" w:hAnsi="Times New Roman" w:cs="Times New Roman"/>
          <w:sz w:val="20"/>
          <w:szCs w:val="20"/>
          <w:lang w:val="en-AU"/>
        </w:rPr>
        <w:t xml:space="preserve">an additional </w:t>
      </w:r>
      <w:r w:rsidR="00237B25" w:rsidRPr="008528DC">
        <w:rPr>
          <w:rFonts w:ascii="Times New Roman" w:eastAsia="Calibri" w:hAnsi="Times New Roman" w:cs="Times New Roman"/>
          <w:sz w:val="20"/>
          <w:szCs w:val="20"/>
        </w:rPr>
        <w:t>170 women were eligible for treatment</w:t>
      </w:r>
      <w:r w:rsidR="00E82A27" w:rsidRPr="008528DC">
        <w:rPr>
          <w:rFonts w:ascii="Times New Roman" w:eastAsia="Calibri" w:hAnsi="Times New Roman" w:cs="Times New Roman"/>
          <w:sz w:val="20"/>
          <w:szCs w:val="20"/>
        </w:rPr>
        <w:t xml:space="preserve"> </w:t>
      </w:r>
      <w:r w:rsidR="00D71CC5" w:rsidRPr="008528DC">
        <w:rPr>
          <w:rFonts w:ascii="Times New Roman" w:eastAsia="Calibri" w:hAnsi="Times New Roman" w:cs="Times New Roman"/>
          <w:sz w:val="20"/>
          <w:szCs w:val="20"/>
        </w:rPr>
        <w:t>and a</w:t>
      </w:r>
      <w:r w:rsidR="00E82A27" w:rsidRPr="008528DC">
        <w:rPr>
          <w:rFonts w:ascii="Times New Roman" w:eastAsia="Calibri" w:hAnsi="Times New Roman" w:cs="Times New Roman"/>
          <w:sz w:val="20"/>
          <w:szCs w:val="20"/>
        </w:rPr>
        <w:t xml:space="preserve"> BMD test recommended </w:t>
      </w:r>
      <w:r w:rsidR="00C75496" w:rsidRPr="008528DC">
        <w:rPr>
          <w:rFonts w:ascii="Times New Roman" w:eastAsia="Calibri" w:hAnsi="Times New Roman" w:cs="Times New Roman"/>
          <w:sz w:val="20"/>
          <w:szCs w:val="20"/>
        </w:rPr>
        <w:t>1218</w:t>
      </w:r>
      <w:r w:rsidR="00E82A27" w:rsidRPr="008528DC">
        <w:rPr>
          <w:rFonts w:ascii="Times New Roman" w:eastAsia="Calibri" w:hAnsi="Times New Roman" w:cs="Times New Roman"/>
          <w:sz w:val="20"/>
          <w:szCs w:val="20"/>
        </w:rPr>
        <w:t xml:space="preserve"> women</w:t>
      </w:r>
      <w:r w:rsidR="00C75496" w:rsidRPr="008528DC">
        <w:rPr>
          <w:rFonts w:ascii="Times New Roman" w:eastAsia="Calibri" w:hAnsi="Times New Roman" w:cs="Times New Roman"/>
          <w:sz w:val="20"/>
          <w:szCs w:val="20"/>
        </w:rPr>
        <w:t>.</w:t>
      </w:r>
      <w:r w:rsidR="00E82A27" w:rsidRPr="008528DC">
        <w:rPr>
          <w:rFonts w:ascii="Times New Roman" w:eastAsia="Calibri" w:hAnsi="Times New Roman" w:cs="Times New Roman"/>
          <w:sz w:val="20"/>
          <w:szCs w:val="20"/>
        </w:rPr>
        <w:t xml:space="preserve"> </w:t>
      </w:r>
    </w:p>
    <w:p w14:paraId="19C229AA" w14:textId="083BF740" w:rsidR="00FE7AD6" w:rsidRPr="008528DC" w:rsidRDefault="00FE7AD6" w:rsidP="00077C16">
      <w:pPr>
        <w:spacing w:after="0" w:line="480" w:lineRule="auto"/>
        <w:rPr>
          <w:rFonts w:ascii="Times New Roman" w:eastAsia="Calibri" w:hAnsi="Times New Roman" w:cs="Times New Roman"/>
          <w:sz w:val="20"/>
          <w:szCs w:val="20"/>
        </w:rPr>
      </w:pPr>
      <w:r w:rsidRPr="008528DC">
        <w:rPr>
          <w:rFonts w:ascii="Times New Roman" w:eastAsia="Calibri" w:hAnsi="Times New Roman" w:cs="Times New Roman"/>
          <w:i/>
          <w:iCs/>
          <w:sz w:val="20"/>
          <w:szCs w:val="20"/>
        </w:rPr>
        <w:t>Conclusion</w:t>
      </w:r>
      <w:r w:rsidR="00EA6903" w:rsidRPr="008528DC">
        <w:rPr>
          <w:rFonts w:ascii="Times New Roman" w:eastAsia="Calibri" w:hAnsi="Times New Roman" w:cs="Times New Roman"/>
          <w:sz w:val="20"/>
          <w:szCs w:val="20"/>
        </w:rPr>
        <w:t xml:space="preserve">: </w:t>
      </w:r>
      <w:bookmarkStart w:id="2" w:name="_Hlk62754600"/>
      <w:r w:rsidR="00594590" w:rsidRPr="008528DC">
        <w:rPr>
          <w:rFonts w:ascii="Times New Roman" w:eastAsia="Calibri" w:hAnsi="Times New Roman" w:cs="Times New Roman"/>
          <w:sz w:val="20"/>
          <w:szCs w:val="20"/>
        </w:rPr>
        <w:t xml:space="preserve">The hybrid threshold identifies more women eligible for </w:t>
      </w:r>
      <w:r w:rsidR="00F14BE0" w:rsidRPr="008528DC">
        <w:rPr>
          <w:rFonts w:ascii="Times New Roman" w:eastAsia="Calibri" w:hAnsi="Times New Roman" w:cs="Times New Roman"/>
          <w:sz w:val="20"/>
          <w:szCs w:val="20"/>
        </w:rPr>
        <w:t>treatment</w:t>
      </w:r>
      <w:r w:rsidR="00594590" w:rsidRPr="008528DC">
        <w:rPr>
          <w:rFonts w:ascii="Times New Roman" w:eastAsia="Calibri" w:hAnsi="Times New Roman" w:cs="Times New Roman"/>
          <w:sz w:val="20"/>
          <w:szCs w:val="20"/>
        </w:rPr>
        <w:t xml:space="preserve"> than</w:t>
      </w:r>
      <w:r w:rsidR="003575B6" w:rsidRPr="008528DC">
        <w:rPr>
          <w:rFonts w:ascii="Times New Roman" w:eastAsia="Calibri" w:hAnsi="Times New Roman" w:cs="Times New Roman"/>
          <w:sz w:val="20"/>
          <w:szCs w:val="20"/>
        </w:rPr>
        <w:t xml:space="preserve"> </w:t>
      </w:r>
      <w:bookmarkStart w:id="3" w:name="_Hlk54544606"/>
      <w:r w:rsidR="003575B6" w:rsidRPr="008528DC">
        <w:rPr>
          <w:rFonts w:ascii="Times New Roman" w:eastAsia="Calibri" w:hAnsi="Times New Roman" w:cs="Times New Roman"/>
          <w:sz w:val="20"/>
          <w:szCs w:val="20"/>
        </w:rPr>
        <w:t>age-specifi</w:t>
      </w:r>
      <w:r w:rsidR="00D0543C" w:rsidRPr="008528DC">
        <w:rPr>
          <w:rFonts w:ascii="Times New Roman" w:eastAsia="Calibri" w:hAnsi="Times New Roman" w:cs="Times New Roman"/>
          <w:sz w:val="20"/>
          <w:szCs w:val="20"/>
        </w:rPr>
        <w:t>c</w:t>
      </w:r>
      <w:r w:rsidR="003575B6" w:rsidRPr="008528DC">
        <w:rPr>
          <w:rFonts w:ascii="Times New Roman" w:eastAsia="Calibri" w:hAnsi="Times New Roman" w:cs="Times New Roman"/>
          <w:sz w:val="20"/>
          <w:szCs w:val="20"/>
        </w:rPr>
        <w:t xml:space="preserve"> thresholds</w:t>
      </w:r>
      <w:bookmarkEnd w:id="3"/>
      <w:r w:rsidR="00D0543C" w:rsidRPr="008528DC">
        <w:rPr>
          <w:rFonts w:ascii="Times New Roman" w:eastAsia="Calibri" w:hAnsi="Times New Roman" w:cs="Times New Roman"/>
          <w:sz w:val="20"/>
          <w:szCs w:val="20"/>
        </w:rPr>
        <w:t xml:space="preserve">.  Although </w:t>
      </w:r>
      <w:r w:rsidR="00F14BE0" w:rsidRPr="008528DC">
        <w:rPr>
          <w:rFonts w:ascii="Times New Roman" w:eastAsia="Calibri" w:hAnsi="Times New Roman" w:cs="Times New Roman"/>
          <w:sz w:val="20"/>
          <w:szCs w:val="20"/>
        </w:rPr>
        <w:t xml:space="preserve">age-specific thresholds </w:t>
      </w:r>
      <w:r w:rsidR="00D0543C" w:rsidRPr="008528DC">
        <w:rPr>
          <w:rFonts w:ascii="Times New Roman" w:eastAsia="Calibri" w:hAnsi="Times New Roman" w:cs="Times New Roman"/>
          <w:sz w:val="20"/>
          <w:szCs w:val="20"/>
        </w:rPr>
        <w:t>identif</w:t>
      </w:r>
      <w:r w:rsidR="00651038" w:rsidRPr="008528DC">
        <w:rPr>
          <w:rFonts w:ascii="Times New Roman" w:eastAsia="Calibri" w:hAnsi="Times New Roman" w:cs="Times New Roman"/>
          <w:sz w:val="20"/>
          <w:szCs w:val="20"/>
        </w:rPr>
        <w:t>y</w:t>
      </w:r>
      <w:r w:rsidR="00D0543C" w:rsidRPr="008528DC">
        <w:rPr>
          <w:rFonts w:ascii="Times New Roman" w:eastAsia="Calibri" w:hAnsi="Times New Roman" w:cs="Times New Roman"/>
          <w:sz w:val="20"/>
          <w:szCs w:val="20"/>
        </w:rPr>
        <w:t xml:space="preserve"> women at hi</w:t>
      </w:r>
      <w:r w:rsidR="001D5252" w:rsidRPr="008528DC">
        <w:rPr>
          <w:rFonts w:ascii="Times New Roman" w:eastAsia="Calibri" w:hAnsi="Times New Roman" w:cs="Times New Roman"/>
          <w:sz w:val="20"/>
          <w:szCs w:val="20"/>
        </w:rPr>
        <w:t>gher risk of fracture, the lower number o</w:t>
      </w:r>
      <w:r w:rsidR="00F14BE0" w:rsidRPr="008528DC">
        <w:rPr>
          <w:rFonts w:ascii="Times New Roman" w:eastAsia="Calibri" w:hAnsi="Times New Roman" w:cs="Times New Roman"/>
          <w:sz w:val="20"/>
          <w:szCs w:val="20"/>
        </w:rPr>
        <w:t>f</w:t>
      </w:r>
      <w:r w:rsidR="001D5252" w:rsidRPr="008528DC">
        <w:rPr>
          <w:rFonts w:ascii="Times New Roman" w:eastAsia="Calibri" w:hAnsi="Times New Roman" w:cs="Times New Roman"/>
          <w:sz w:val="20"/>
          <w:szCs w:val="20"/>
        </w:rPr>
        <w:t xml:space="preserve"> women identified</w:t>
      </w:r>
      <w:r w:rsidR="003575B6" w:rsidRPr="008528DC">
        <w:rPr>
          <w:rFonts w:ascii="Times New Roman" w:eastAsia="Calibri" w:hAnsi="Times New Roman" w:cs="Times New Roman"/>
          <w:sz w:val="20"/>
          <w:szCs w:val="20"/>
        </w:rPr>
        <w:t xml:space="preserve"> </w:t>
      </w:r>
      <w:r w:rsidR="00651038" w:rsidRPr="008528DC">
        <w:rPr>
          <w:rFonts w:ascii="Times New Roman" w:eastAsia="Calibri" w:hAnsi="Times New Roman" w:cs="Times New Roman"/>
          <w:sz w:val="20"/>
          <w:szCs w:val="20"/>
        </w:rPr>
        <w:t xml:space="preserve">results in fewer </w:t>
      </w:r>
      <w:r w:rsidR="00250ED3" w:rsidRPr="008528DC">
        <w:rPr>
          <w:rFonts w:ascii="Times New Roman" w:eastAsia="Calibri" w:hAnsi="Times New Roman" w:cs="Times New Roman"/>
          <w:sz w:val="20"/>
          <w:szCs w:val="20"/>
        </w:rPr>
        <w:t>identified fracture cases</w:t>
      </w:r>
      <w:bookmarkEnd w:id="2"/>
      <w:r w:rsidR="00250ED3" w:rsidRPr="008528DC">
        <w:rPr>
          <w:rFonts w:ascii="Times New Roman" w:eastAsia="Calibri" w:hAnsi="Times New Roman" w:cs="Times New Roman"/>
          <w:sz w:val="20"/>
          <w:szCs w:val="20"/>
        </w:rPr>
        <w:t xml:space="preserve">. </w:t>
      </w:r>
    </w:p>
    <w:p w14:paraId="36501E97" w14:textId="3AB254B5" w:rsidR="00077C16" w:rsidRPr="008528DC" w:rsidRDefault="00077C16" w:rsidP="00077C16">
      <w:pPr>
        <w:spacing w:after="0" w:line="480" w:lineRule="auto"/>
        <w:rPr>
          <w:rFonts w:ascii="Times New Roman" w:eastAsia="Calibri" w:hAnsi="Times New Roman" w:cs="Times New Roman"/>
          <w:sz w:val="20"/>
          <w:szCs w:val="20"/>
        </w:rPr>
      </w:pPr>
    </w:p>
    <w:p w14:paraId="08CBD0F9" w14:textId="405706E6" w:rsidR="001F58DC" w:rsidRPr="008528DC" w:rsidRDefault="001F58DC" w:rsidP="001F58DC">
      <w:pPr>
        <w:spacing w:after="0" w:line="480" w:lineRule="auto"/>
        <w:rPr>
          <w:rFonts w:ascii="Times New Roman" w:eastAsia="Calibri" w:hAnsi="Times New Roman" w:cs="Times New Roman"/>
          <w:sz w:val="20"/>
          <w:szCs w:val="20"/>
        </w:rPr>
      </w:pPr>
      <w:bookmarkStart w:id="4" w:name="_Hlk57103747"/>
      <w:r w:rsidRPr="008528DC">
        <w:rPr>
          <w:rFonts w:ascii="Times New Roman" w:eastAsia="Calibri" w:hAnsi="Times New Roman" w:cs="Times New Roman"/>
          <w:i/>
          <w:iCs/>
          <w:sz w:val="20"/>
          <w:szCs w:val="20"/>
        </w:rPr>
        <w:t>Keywords</w:t>
      </w:r>
      <w:r w:rsidRPr="008528DC">
        <w:rPr>
          <w:rFonts w:ascii="Times New Roman" w:eastAsia="Calibri" w:hAnsi="Times New Roman" w:cs="Times New Roman"/>
          <w:sz w:val="20"/>
          <w:szCs w:val="20"/>
        </w:rPr>
        <w:t xml:space="preserve">: FRAX, Intervention threshold, Hybrid threshold, </w:t>
      </w:r>
      <w:r w:rsidR="000C40B0" w:rsidRPr="008528DC">
        <w:rPr>
          <w:rFonts w:ascii="Times New Roman" w:eastAsia="Calibri" w:hAnsi="Times New Roman" w:cs="Times New Roman"/>
          <w:sz w:val="20"/>
          <w:szCs w:val="20"/>
        </w:rPr>
        <w:t xml:space="preserve">Assessment thresholds, Osteoporosis, </w:t>
      </w:r>
      <w:r w:rsidRPr="008528DC">
        <w:rPr>
          <w:rFonts w:ascii="Times New Roman" w:eastAsia="Calibri" w:hAnsi="Times New Roman" w:cs="Times New Roman"/>
          <w:sz w:val="20"/>
          <w:szCs w:val="20"/>
        </w:rPr>
        <w:t>Ecuador.</w:t>
      </w:r>
    </w:p>
    <w:bookmarkEnd w:id="4"/>
    <w:p w14:paraId="38461AB6" w14:textId="77777777" w:rsidR="007715A5" w:rsidRPr="008528DC" w:rsidRDefault="007715A5">
      <w:pPr>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br w:type="page"/>
      </w:r>
    </w:p>
    <w:p w14:paraId="0A8EB842" w14:textId="7C1089D1" w:rsidR="007715A5" w:rsidRPr="008528DC" w:rsidRDefault="007715A5" w:rsidP="007715A5">
      <w:pPr>
        <w:spacing w:after="0" w:line="480" w:lineRule="auto"/>
        <w:rPr>
          <w:rFonts w:ascii="Times New Roman" w:eastAsia="Calibri" w:hAnsi="Times New Roman" w:cs="Times New Roman"/>
          <w:b/>
          <w:bCs/>
          <w:sz w:val="20"/>
          <w:szCs w:val="20"/>
          <w:shd w:val="clear" w:color="auto" w:fill="FFFFFF"/>
          <w:lang w:val="es-EC"/>
        </w:rPr>
      </w:pPr>
      <w:r w:rsidRPr="008528DC">
        <w:rPr>
          <w:rFonts w:ascii="Times New Roman" w:eastAsia="Calibri" w:hAnsi="Times New Roman" w:cs="Times New Roman"/>
          <w:b/>
          <w:bCs/>
          <w:sz w:val="20"/>
          <w:szCs w:val="20"/>
          <w:shd w:val="clear" w:color="auto" w:fill="FFFFFF"/>
          <w:lang w:val="es-EC"/>
        </w:rPr>
        <w:lastRenderedPageBreak/>
        <w:t>Resumen</w:t>
      </w:r>
    </w:p>
    <w:p w14:paraId="2114E617" w14:textId="6C6ECBA0" w:rsidR="007715A5" w:rsidRPr="008528DC" w:rsidRDefault="007715A5" w:rsidP="007715A5">
      <w:pPr>
        <w:spacing w:after="0" w:line="480" w:lineRule="auto"/>
        <w:rPr>
          <w:rFonts w:ascii="Times New Roman" w:eastAsia="Calibri" w:hAnsi="Times New Roman" w:cs="Times New Roman"/>
          <w:sz w:val="20"/>
          <w:szCs w:val="20"/>
          <w:shd w:val="clear" w:color="auto" w:fill="FFFFFF"/>
          <w:lang w:val="es-EC"/>
        </w:rPr>
      </w:pPr>
      <w:r w:rsidRPr="008528DC">
        <w:rPr>
          <w:rFonts w:ascii="Times New Roman" w:eastAsia="Calibri" w:hAnsi="Times New Roman" w:cs="Times New Roman"/>
          <w:i/>
          <w:iCs/>
          <w:sz w:val="20"/>
          <w:szCs w:val="20"/>
          <w:shd w:val="clear" w:color="auto" w:fill="FFFFFF"/>
          <w:lang w:val="es-EC"/>
        </w:rPr>
        <w:t>Introducción</w:t>
      </w:r>
      <w:r w:rsidRPr="008528DC">
        <w:rPr>
          <w:rFonts w:ascii="Times New Roman" w:eastAsia="Calibri" w:hAnsi="Times New Roman" w:cs="Times New Roman"/>
          <w:sz w:val="20"/>
          <w:szCs w:val="20"/>
          <w:shd w:val="clear" w:color="auto" w:fill="FFFFFF"/>
          <w:lang w:val="es-EC"/>
        </w:rPr>
        <w:t xml:space="preserve">: Los umbrales de intervención para tratamiento de osteoporosis se han basado históricamente en la medición de la densidad ósea.  El desarrollo de FRAX® ha permitido una evaluación más precisa del riesgo de fractura.  El objetivo del estudio fue  explorar las rutas de tratamiento y las características de las mujeres elegibles para tratamiento en Ecuador basadas en FRAX. </w:t>
      </w:r>
    </w:p>
    <w:p w14:paraId="213D535A" w14:textId="63CA46AF" w:rsidR="007715A5" w:rsidRPr="008528DC" w:rsidRDefault="007715A5" w:rsidP="007715A5">
      <w:pPr>
        <w:spacing w:after="0" w:line="480" w:lineRule="auto"/>
        <w:rPr>
          <w:rFonts w:ascii="Times New Roman" w:eastAsia="Calibri" w:hAnsi="Times New Roman" w:cs="Times New Roman"/>
          <w:sz w:val="20"/>
          <w:szCs w:val="20"/>
          <w:shd w:val="clear" w:color="auto" w:fill="FFFFFF"/>
          <w:lang w:val="es-EC"/>
        </w:rPr>
      </w:pPr>
      <w:r w:rsidRPr="008528DC">
        <w:rPr>
          <w:rFonts w:ascii="Times New Roman" w:eastAsia="Calibri" w:hAnsi="Times New Roman" w:cs="Times New Roman"/>
          <w:i/>
          <w:iCs/>
          <w:sz w:val="20"/>
          <w:szCs w:val="20"/>
          <w:shd w:val="clear" w:color="auto" w:fill="FFFFFF"/>
          <w:lang w:val="es-EC"/>
        </w:rPr>
        <w:t>Métodos</w:t>
      </w:r>
      <w:r w:rsidRPr="008528DC">
        <w:rPr>
          <w:rFonts w:ascii="Times New Roman" w:eastAsia="Calibri" w:hAnsi="Times New Roman" w:cs="Times New Roman"/>
          <w:sz w:val="20"/>
          <w:szCs w:val="20"/>
          <w:shd w:val="clear" w:color="auto" w:fill="FFFFFF"/>
          <w:lang w:val="es-EC"/>
        </w:rPr>
        <w:t xml:space="preserve">: </w:t>
      </w:r>
      <w:r w:rsidR="0074741F" w:rsidRPr="008528DC">
        <w:rPr>
          <w:rFonts w:ascii="Times New Roman" w:eastAsia="Calibri" w:hAnsi="Times New Roman" w:cs="Times New Roman"/>
          <w:sz w:val="20"/>
          <w:szCs w:val="20"/>
          <w:shd w:val="clear" w:color="auto" w:fill="FFFFFF"/>
          <w:lang w:val="es-EC"/>
        </w:rPr>
        <w:t xml:space="preserve">Se selecionaron </w:t>
      </w:r>
      <w:r w:rsidRPr="008528DC">
        <w:rPr>
          <w:rFonts w:ascii="Times New Roman" w:eastAsia="Calibri" w:hAnsi="Times New Roman" w:cs="Times New Roman"/>
          <w:sz w:val="20"/>
          <w:szCs w:val="20"/>
          <w:shd w:val="clear" w:color="auto" w:fill="FFFFFF"/>
          <w:lang w:val="es-EC"/>
        </w:rPr>
        <w:t xml:space="preserve">2367 mujeres de 60 a 94 años de la </w:t>
      </w:r>
      <w:r w:rsidR="0074741F" w:rsidRPr="008528DC">
        <w:rPr>
          <w:rFonts w:ascii="Times New Roman" w:eastAsia="Calibri" w:hAnsi="Times New Roman" w:cs="Times New Roman"/>
          <w:sz w:val="20"/>
          <w:szCs w:val="20"/>
          <w:shd w:val="clear" w:color="auto" w:fill="FFFFFF"/>
          <w:lang w:val="es-EC"/>
        </w:rPr>
        <w:t>e</w:t>
      </w:r>
      <w:r w:rsidRPr="008528DC">
        <w:rPr>
          <w:rFonts w:ascii="Times New Roman" w:eastAsia="Calibri" w:hAnsi="Times New Roman" w:cs="Times New Roman"/>
          <w:sz w:val="20"/>
          <w:szCs w:val="20"/>
          <w:shd w:val="clear" w:color="auto" w:fill="FFFFFF"/>
          <w:lang w:val="es-EC"/>
        </w:rPr>
        <w:t xml:space="preserve">ncuesta SABE. </w:t>
      </w:r>
      <w:r w:rsidR="0074741F" w:rsidRPr="008528DC">
        <w:rPr>
          <w:rFonts w:ascii="Times New Roman" w:eastAsia="Calibri" w:hAnsi="Times New Roman" w:cs="Times New Roman"/>
          <w:sz w:val="20"/>
          <w:szCs w:val="20"/>
          <w:shd w:val="clear" w:color="auto" w:fill="FFFFFF"/>
          <w:lang w:val="es-EC"/>
        </w:rPr>
        <w:t xml:space="preserve">Se calcularon las </w:t>
      </w:r>
      <w:r w:rsidRPr="008528DC">
        <w:rPr>
          <w:rFonts w:ascii="Times New Roman" w:eastAsia="Calibri" w:hAnsi="Times New Roman" w:cs="Times New Roman"/>
          <w:sz w:val="20"/>
          <w:szCs w:val="20"/>
          <w:shd w:val="clear" w:color="auto" w:fill="FFFFFF"/>
          <w:lang w:val="es-EC"/>
        </w:rPr>
        <w:t>probabilidades de fractura</w:t>
      </w:r>
      <w:r w:rsidR="002C13F6" w:rsidRPr="008528DC">
        <w:rPr>
          <w:rFonts w:ascii="Times New Roman" w:eastAsia="Calibri" w:hAnsi="Times New Roman" w:cs="Times New Roman"/>
          <w:sz w:val="20"/>
          <w:szCs w:val="20"/>
          <w:shd w:val="clear" w:color="auto" w:fill="FFFFFF"/>
          <w:lang w:val="es-EC"/>
        </w:rPr>
        <w:t>s</w:t>
      </w:r>
      <w:r w:rsidRPr="008528DC">
        <w:rPr>
          <w:rFonts w:ascii="Times New Roman" w:eastAsia="Calibri" w:hAnsi="Times New Roman" w:cs="Times New Roman"/>
          <w:sz w:val="20"/>
          <w:szCs w:val="20"/>
          <w:shd w:val="clear" w:color="auto" w:fill="FFFFFF"/>
          <w:lang w:val="es-EC"/>
        </w:rPr>
        <w:t xml:space="preserve"> osteoporótica</w:t>
      </w:r>
      <w:r w:rsidR="002C13F6" w:rsidRPr="008528DC">
        <w:rPr>
          <w:rFonts w:ascii="Times New Roman" w:eastAsia="Calibri" w:hAnsi="Times New Roman" w:cs="Times New Roman"/>
          <w:sz w:val="20"/>
          <w:szCs w:val="20"/>
          <w:shd w:val="clear" w:color="auto" w:fill="FFFFFF"/>
          <w:lang w:val="es-EC"/>
        </w:rPr>
        <w:t>s</w:t>
      </w:r>
      <w:r w:rsidRPr="008528DC">
        <w:rPr>
          <w:rFonts w:ascii="Times New Roman" w:eastAsia="Calibri" w:hAnsi="Times New Roman" w:cs="Times New Roman"/>
          <w:sz w:val="20"/>
          <w:szCs w:val="20"/>
          <w:shd w:val="clear" w:color="auto" w:fill="FFFFFF"/>
          <w:lang w:val="es-EC"/>
        </w:rPr>
        <w:t xml:space="preserve"> principal</w:t>
      </w:r>
      <w:r w:rsidR="002C13F6" w:rsidRPr="008528DC">
        <w:rPr>
          <w:rFonts w:ascii="Times New Roman" w:eastAsia="Calibri" w:hAnsi="Times New Roman" w:cs="Times New Roman"/>
          <w:sz w:val="20"/>
          <w:szCs w:val="20"/>
          <w:shd w:val="clear" w:color="auto" w:fill="FFFFFF"/>
          <w:lang w:val="es-EC"/>
        </w:rPr>
        <w:t>es</w:t>
      </w:r>
      <w:r w:rsidRPr="008528DC">
        <w:rPr>
          <w:rFonts w:ascii="Times New Roman" w:eastAsia="Calibri" w:hAnsi="Times New Roman" w:cs="Times New Roman"/>
          <w:sz w:val="20"/>
          <w:szCs w:val="20"/>
          <w:shd w:val="clear" w:color="auto" w:fill="FFFFFF"/>
          <w:lang w:val="es-EC"/>
        </w:rPr>
        <w:t xml:space="preserve"> y de cadera utilizando el modelo FRAX ecuatoriano. </w:t>
      </w:r>
      <w:bookmarkStart w:id="5" w:name="_Hlk62811931"/>
      <w:r w:rsidR="0074741F" w:rsidRPr="008528DC">
        <w:rPr>
          <w:rFonts w:ascii="Times New Roman" w:eastAsia="Calibri" w:hAnsi="Times New Roman" w:cs="Times New Roman"/>
          <w:sz w:val="20"/>
          <w:szCs w:val="20"/>
          <w:shd w:val="clear" w:color="auto" w:fill="FFFFFF"/>
          <w:lang w:val="es-EC"/>
        </w:rPr>
        <w:t>Se calcul</w:t>
      </w:r>
      <w:r w:rsidR="009D0B43">
        <w:rPr>
          <w:rFonts w:ascii="Times New Roman" w:eastAsia="Calibri" w:hAnsi="Times New Roman" w:cs="Times New Roman"/>
          <w:sz w:val="20"/>
          <w:szCs w:val="20"/>
          <w:shd w:val="clear" w:color="auto" w:fill="FFFFFF"/>
          <w:lang w:val="es-EC"/>
        </w:rPr>
        <w:t>ό</w:t>
      </w:r>
      <w:r w:rsidR="0074741F" w:rsidRPr="008528DC">
        <w:rPr>
          <w:rFonts w:ascii="Times New Roman" w:eastAsia="Calibri" w:hAnsi="Times New Roman" w:cs="Times New Roman"/>
          <w:sz w:val="20"/>
          <w:szCs w:val="20"/>
          <w:shd w:val="clear" w:color="auto" w:fill="FFFFFF"/>
          <w:lang w:val="es-EC"/>
        </w:rPr>
        <w:t xml:space="preserve"> </w:t>
      </w:r>
      <w:bookmarkEnd w:id="5"/>
      <w:r w:rsidR="0074741F" w:rsidRPr="008528DC">
        <w:rPr>
          <w:rFonts w:ascii="Times New Roman" w:eastAsia="Calibri" w:hAnsi="Times New Roman" w:cs="Times New Roman"/>
          <w:sz w:val="20"/>
          <w:szCs w:val="20"/>
          <w:shd w:val="clear" w:color="auto" w:fill="FFFFFF"/>
          <w:lang w:val="es-EC"/>
        </w:rPr>
        <w:t>l</w:t>
      </w:r>
      <w:r w:rsidRPr="008528DC">
        <w:rPr>
          <w:rFonts w:ascii="Times New Roman" w:eastAsia="Calibri" w:hAnsi="Times New Roman" w:cs="Times New Roman"/>
          <w:sz w:val="20"/>
          <w:szCs w:val="20"/>
          <w:shd w:val="clear" w:color="auto" w:fill="FFFFFF"/>
          <w:lang w:val="es-EC"/>
        </w:rPr>
        <w:t xml:space="preserve">a proporción de mujeres elegibles para tratamiento y evaluación de la densidad </w:t>
      </w:r>
      <w:bookmarkStart w:id="6" w:name="_Hlk63281604"/>
      <w:r w:rsidRPr="008528DC">
        <w:rPr>
          <w:rFonts w:ascii="Times New Roman" w:eastAsia="Calibri" w:hAnsi="Times New Roman" w:cs="Times New Roman"/>
          <w:sz w:val="20"/>
          <w:szCs w:val="20"/>
          <w:shd w:val="clear" w:color="auto" w:fill="FFFFFF"/>
          <w:lang w:val="es-EC"/>
        </w:rPr>
        <w:t xml:space="preserve">ósea </w:t>
      </w:r>
      <w:bookmarkEnd w:id="6"/>
      <w:r w:rsidR="002C13F6" w:rsidRPr="008528DC">
        <w:rPr>
          <w:rFonts w:ascii="Times New Roman" w:eastAsia="Calibri" w:hAnsi="Times New Roman" w:cs="Times New Roman"/>
          <w:sz w:val="20"/>
          <w:szCs w:val="20"/>
          <w:shd w:val="clear" w:color="auto" w:fill="FFFFFF"/>
          <w:lang w:val="es-EC"/>
        </w:rPr>
        <w:t>en</w:t>
      </w:r>
      <w:r w:rsidRPr="008528DC">
        <w:rPr>
          <w:rFonts w:ascii="Times New Roman" w:eastAsia="Calibri" w:hAnsi="Times New Roman" w:cs="Times New Roman"/>
          <w:sz w:val="20"/>
          <w:szCs w:val="20"/>
          <w:shd w:val="clear" w:color="auto" w:fill="FFFFFF"/>
          <w:lang w:val="es-EC"/>
        </w:rPr>
        <w:t xml:space="preserve"> base </w:t>
      </w:r>
      <w:r w:rsidR="002C13F6" w:rsidRPr="008528DC">
        <w:rPr>
          <w:rFonts w:ascii="Times New Roman" w:eastAsia="Calibri" w:hAnsi="Times New Roman" w:cs="Times New Roman"/>
          <w:sz w:val="20"/>
          <w:szCs w:val="20"/>
          <w:shd w:val="clear" w:color="auto" w:fill="FFFFFF"/>
          <w:lang w:val="es-EC"/>
        </w:rPr>
        <w:t xml:space="preserve">a </w:t>
      </w:r>
      <w:r w:rsidRPr="008528DC">
        <w:rPr>
          <w:rFonts w:ascii="Times New Roman" w:eastAsia="Calibri" w:hAnsi="Times New Roman" w:cs="Times New Roman"/>
          <w:sz w:val="20"/>
          <w:szCs w:val="20"/>
          <w:shd w:val="clear" w:color="auto" w:fill="FFFFFF"/>
          <w:lang w:val="es-EC"/>
        </w:rPr>
        <w:t xml:space="preserve"> umbrales de intervención específicos de la edad y</w:t>
      </w:r>
      <w:r w:rsidR="002C13F6" w:rsidRPr="008528DC">
        <w:rPr>
          <w:rFonts w:ascii="Times New Roman" w:eastAsia="Calibri" w:hAnsi="Times New Roman" w:cs="Times New Roman"/>
          <w:sz w:val="20"/>
          <w:szCs w:val="20"/>
          <w:shd w:val="clear" w:color="auto" w:fill="FFFFFF"/>
          <w:lang w:val="es-EC"/>
        </w:rPr>
        <w:t xml:space="preserve"> de</w:t>
      </w:r>
      <w:r w:rsidRPr="008528DC">
        <w:rPr>
          <w:rFonts w:ascii="Times New Roman" w:eastAsia="Calibri" w:hAnsi="Times New Roman" w:cs="Times New Roman"/>
          <w:sz w:val="20"/>
          <w:szCs w:val="20"/>
          <w:shd w:val="clear" w:color="auto" w:fill="FFFFFF"/>
          <w:lang w:val="es-EC"/>
        </w:rPr>
        <w:t xml:space="preserve"> un umbral fij</w:t>
      </w:r>
      <w:r w:rsidR="002C13F6" w:rsidRPr="008528DC">
        <w:rPr>
          <w:rFonts w:ascii="Times New Roman" w:eastAsia="Calibri" w:hAnsi="Times New Roman" w:cs="Times New Roman"/>
          <w:sz w:val="20"/>
          <w:szCs w:val="20"/>
          <w:shd w:val="clear" w:color="auto" w:fill="FFFFFF"/>
          <w:lang w:val="es-EC"/>
        </w:rPr>
        <w:t>o</w:t>
      </w:r>
      <w:r w:rsidRPr="008528DC">
        <w:rPr>
          <w:rFonts w:ascii="Times New Roman" w:eastAsia="Calibri" w:hAnsi="Times New Roman" w:cs="Times New Roman"/>
          <w:sz w:val="20"/>
          <w:szCs w:val="20"/>
          <w:shd w:val="clear" w:color="auto" w:fill="FFFFFF"/>
          <w:lang w:val="es-EC"/>
        </w:rPr>
        <w:t xml:space="preserve"> a partir de los 75 años. </w:t>
      </w:r>
    </w:p>
    <w:p w14:paraId="46EB7DD3" w14:textId="729208D6" w:rsidR="007715A5" w:rsidRPr="008528DC" w:rsidRDefault="007715A5" w:rsidP="007715A5">
      <w:pPr>
        <w:spacing w:after="0" w:line="480" w:lineRule="auto"/>
        <w:rPr>
          <w:rFonts w:ascii="Times New Roman" w:eastAsia="Calibri" w:hAnsi="Times New Roman" w:cs="Times New Roman"/>
          <w:sz w:val="20"/>
          <w:szCs w:val="20"/>
          <w:shd w:val="clear" w:color="auto" w:fill="FFFFFF"/>
          <w:lang w:val="es-EC"/>
        </w:rPr>
      </w:pPr>
      <w:r w:rsidRPr="008528DC">
        <w:rPr>
          <w:rFonts w:ascii="Times New Roman" w:eastAsia="Calibri" w:hAnsi="Times New Roman" w:cs="Times New Roman"/>
          <w:i/>
          <w:iCs/>
          <w:sz w:val="20"/>
          <w:szCs w:val="20"/>
          <w:shd w:val="clear" w:color="auto" w:fill="FFFFFF"/>
          <w:lang w:val="es-EC"/>
        </w:rPr>
        <w:t>Resultados</w:t>
      </w:r>
      <w:r w:rsidRPr="008528DC">
        <w:rPr>
          <w:rFonts w:ascii="Times New Roman" w:eastAsia="Calibri" w:hAnsi="Times New Roman" w:cs="Times New Roman"/>
          <w:sz w:val="20"/>
          <w:szCs w:val="20"/>
          <w:shd w:val="clear" w:color="auto" w:fill="FFFFFF"/>
          <w:lang w:val="es-EC"/>
        </w:rPr>
        <w:t>: 87 mujeres (3,7%) tenían una fractura previa y serían elegible para tratamiento</w:t>
      </w:r>
      <w:r w:rsidR="0074741F" w:rsidRPr="008528DC">
        <w:rPr>
          <w:rFonts w:ascii="Times New Roman" w:eastAsia="Calibri" w:hAnsi="Times New Roman" w:cs="Times New Roman"/>
          <w:sz w:val="20"/>
          <w:szCs w:val="20"/>
          <w:shd w:val="clear" w:color="auto" w:fill="FFFFFF"/>
          <w:lang w:val="es-EC"/>
        </w:rPr>
        <w:t xml:space="preserve">. </w:t>
      </w:r>
      <w:r w:rsidR="002C13F6" w:rsidRPr="008528DC">
        <w:rPr>
          <w:rFonts w:ascii="Times New Roman" w:eastAsia="Calibri" w:hAnsi="Times New Roman" w:cs="Times New Roman"/>
          <w:sz w:val="20"/>
          <w:szCs w:val="20"/>
          <w:shd w:val="clear" w:color="auto" w:fill="FFFFFF"/>
          <w:lang w:val="es-EC"/>
        </w:rPr>
        <w:t xml:space="preserve">Utilizando umbrales específicos de edad., otras </w:t>
      </w:r>
      <w:r w:rsidRPr="008528DC">
        <w:rPr>
          <w:rFonts w:ascii="Times New Roman" w:eastAsia="Calibri" w:hAnsi="Times New Roman" w:cs="Times New Roman"/>
          <w:sz w:val="20"/>
          <w:szCs w:val="20"/>
          <w:shd w:val="clear" w:color="auto" w:fill="FFFFFF"/>
          <w:lang w:val="es-EC"/>
        </w:rPr>
        <w:t xml:space="preserve">49 mujeres eran elegibles para recibir tratamiento </w:t>
      </w:r>
      <w:r w:rsidR="002C13F6" w:rsidRPr="008528DC">
        <w:rPr>
          <w:rFonts w:ascii="Times New Roman" w:eastAsia="Calibri" w:hAnsi="Times New Roman" w:cs="Times New Roman"/>
          <w:sz w:val="20"/>
          <w:szCs w:val="20"/>
          <w:shd w:val="clear" w:color="auto" w:fill="FFFFFF"/>
          <w:lang w:val="es-EC"/>
        </w:rPr>
        <w:t>debido a</w:t>
      </w:r>
      <w:r w:rsidRPr="008528DC">
        <w:rPr>
          <w:rFonts w:ascii="Times New Roman" w:eastAsia="Calibri" w:hAnsi="Times New Roman" w:cs="Times New Roman"/>
          <w:sz w:val="20"/>
          <w:szCs w:val="20"/>
          <w:shd w:val="clear" w:color="auto" w:fill="FFFFFF"/>
          <w:lang w:val="es-EC"/>
        </w:rPr>
        <w:t xml:space="preserve"> que las probabilidades de </w:t>
      </w:r>
      <w:r w:rsidR="002C13F6" w:rsidRPr="008528DC">
        <w:rPr>
          <w:rFonts w:ascii="Times New Roman" w:eastAsia="Calibri" w:hAnsi="Times New Roman" w:cs="Times New Roman"/>
          <w:sz w:val="20"/>
          <w:szCs w:val="20"/>
          <w:shd w:val="clear" w:color="auto" w:fill="FFFFFF"/>
          <w:lang w:val="es-EC"/>
        </w:rPr>
        <w:t>fractura osteoporótica principal</w:t>
      </w:r>
      <w:r w:rsidRPr="008528DC">
        <w:rPr>
          <w:rFonts w:ascii="Times New Roman" w:eastAsia="Calibri" w:hAnsi="Times New Roman" w:cs="Times New Roman"/>
          <w:sz w:val="20"/>
          <w:szCs w:val="20"/>
          <w:shd w:val="clear" w:color="auto" w:fill="FFFFFF"/>
          <w:lang w:val="es-EC"/>
        </w:rPr>
        <w:t xml:space="preserve"> estaban por encima del umbral de evaluación superior</w:t>
      </w:r>
      <w:r w:rsidR="002C13F6" w:rsidRPr="008528DC">
        <w:rPr>
          <w:rFonts w:ascii="Times New Roman" w:eastAsia="Calibri" w:hAnsi="Times New Roman" w:cs="Times New Roman"/>
          <w:sz w:val="20"/>
          <w:szCs w:val="20"/>
          <w:shd w:val="clear" w:color="auto" w:fill="FFFFFF"/>
          <w:lang w:val="es-EC"/>
        </w:rPr>
        <w:t>.</w:t>
      </w:r>
      <w:r w:rsidRPr="008528DC">
        <w:rPr>
          <w:rFonts w:ascii="Times New Roman" w:eastAsia="Calibri" w:hAnsi="Times New Roman" w:cs="Times New Roman"/>
          <w:sz w:val="20"/>
          <w:szCs w:val="20"/>
          <w:shd w:val="clear" w:color="auto" w:fill="FFFFFF"/>
          <w:lang w:val="es-EC"/>
        </w:rPr>
        <w:t xml:space="preserve"> Se recomienda </w:t>
      </w:r>
      <w:r w:rsidR="002C13F6" w:rsidRPr="008528DC">
        <w:rPr>
          <w:rFonts w:ascii="Times New Roman" w:eastAsia="Calibri" w:hAnsi="Times New Roman" w:cs="Times New Roman"/>
          <w:sz w:val="20"/>
          <w:szCs w:val="20"/>
          <w:shd w:val="clear" w:color="auto" w:fill="FFFFFF"/>
          <w:lang w:val="es-EC"/>
        </w:rPr>
        <w:t xml:space="preserve">medir la </w:t>
      </w:r>
      <w:bookmarkStart w:id="7" w:name="_Hlk62811387"/>
      <w:r w:rsidR="002C13F6" w:rsidRPr="008528DC">
        <w:rPr>
          <w:rFonts w:ascii="Times New Roman" w:eastAsia="Calibri" w:hAnsi="Times New Roman" w:cs="Times New Roman"/>
          <w:sz w:val="20"/>
          <w:szCs w:val="20"/>
          <w:shd w:val="clear" w:color="auto" w:fill="FFFFFF"/>
          <w:lang w:val="es-EC"/>
        </w:rPr>
        <w:t xml:space="preserve">densidad </w:t>
      </w:r>
      <w:bookmarkEnd w:id="7"/>
      <w:r w:rsidR="009D0B43" w:rsidRPr="008528DC">
        <w:rPr>
          <w:rFonts w:ascii="Times New Roman" w:eastAsia="Calibri" w:hAnsi="Times New Roman" w:cs="Times New Roman"/>
          <w:sz w:val="20"/>
          <w:szCs w:val="20"/>
          <w:shd w:val="clear" w:color="auto" w:fill="FFFFFF"/>
          <w:lang w:val="es-EC"/>
        </w:rPr>
        <w:t xml:space="preserve">ósea </w:t>
      </w:r>
      <w:r w:rsidRPr="008528DC">
        <w:rPr>
          <w:rFonts w:ascii="Times New Roman" w:eastAsia="Calibri" w:hAnsi="Times New Roman" w:cs="Times New Roman"/>
          <w:sz w:val="20"/>
          <w:szCs w:val="20"/>
          <w:shd w:val="clear" w:color="auto" w:fill="FFFFFF"/>
          <w:lang w:val="es-EC"/>
        </w:rPr>
        <w:t xml:space="preserve">en 1131 mujeres para que </w:t>
      </w:r>
      <w:r w:rsidR="002C13F6" w:rsidRPr="008528DC">
        <w:rPr>
          <w:rFonts w:ascii="Times New Roman" w:eastAsia="Calibri" w:hAnsi="Times New Roman" w:cs="Times New Roman"/>
          <w:sz w:val="20"/>
          <w:szCs w:val="20"/>
          <w:shd w:val="clear" w:color="auto" w:fill="FFFFFF"/>
          <w:lang w:val="es-EC"/>
        </w:rPr>
        <w:t xml:space="preserve">el </w:t>
      </w:r>
      <w:r w:rsidRPr="008528DC">
        <w:rPr>
          <w:rFonts w:ascii="Times New Roman" w:eastAsia="Calibri" w:hAnsi="Times New Roman" w:cs="Times New Roman"/>
          <w:sz w:val="20"/>
          <w:szCs w:val="20"/>
          <w:shd w:val="clear" w:color="auto" w:fill="FFFFFF"/>
          <w:lang w:val="es-EC"/>
        </w:rPr>
        <w:t xml:space="preserve">FRAX pudiera ser recalculado con la inclusión </w:t>
      </w:r>
      <w:bookmarkStart w:id="8" w:name="_Hlk62811430"/>
      <w:r w:rsidRPr="008528DC">
        <w:rPr>
          <w:rFonts w:ascii="Times New Roman" w:eastAsia="Calibri" w:hAnsi="Times New Roman" w:cs="Times New Roman"/>
          <w:sz w:val="20"/>
          <w:szCs w:val="20"/>
          <w:shd w:val="clear" w:color="auto" w:fill="FFFFFF"/>
          <w:lang w:val="es-EC"/>
        </w:rPr>
        <w:t xml:space="preserve">de la </w:t>
      </w:r>
      <w:r w:rsidR="002C13F6" w:rsidRPr="008528DC">
        <w:rPr>
          <w:rFonts w:ascii="Times New Roman" w:eastAsia="Calibri" w:hAnsi="Times New Roman" w:cs="Times New Roman"/>
          <w:sz w:val="20"/>
          <w:szCs w:val="20"/>
          <w:shd w:val="clear" w:color="auto" w:fill="FFFFFF"/>
          <w:lang w:val="es-EC"/>
        </w:rPr>
        <w:t xml:space="preserve">densidad osea </w:t>
      </w:r>
      <w:bookmarkEnd w:id="8"/>
      <w:r w:rsidRPr="008528DC">
        <w:rPr>
          <w:rFonts w:ascii="Times New Roman" w:eastAsia="Calibri" w:hAnsi="Times New Roman" w:cs="Times New Roman"/>
          <w:sz w:val="20"/>
          <w:szCs w:val="20"/>
          <w:shd w:val="clear" w:color="auto" w:fill="FFFFFF"/>
          <w:lang w:val="es-EC"/>
        </w:rPr>
        <w:t xml:space="preserve">del cuello femoral.  Con el umbral híbrido, otras 170 mujeres fueron elegibles para tratamiento y </w:t>
      </w:r>
      <w:r w:rsidR="002C13F6" w:rsidRPr="008528DC">
        <w:rPr>
          <w:rFonts w:ascii="Times New Roman" w:eastAsia="Calibri" w:hAnsi="Times New Roman" w:cs="Times New Roman"/>
          <w:sz w:val="20"/>
          <w:szCs w:val="20"/>
          <w:shd w:val="clear" w:color="auto" w:fill="FFFFFF"/>
          <w:lang w:val="es-EC"/>
        </w:rPr>
        <w:t xml:space="preserve">la medición de la densidad </w:t>
      </w:r>
      <w:r w:rsidR="009D0B43" w:rsidRPr="008528DC">
        <w:rPr>
          <w:rFonts w:ascii="Times New Roman" w:eastAsia="Calibri" w:hAnsi="Times New Roman" w:cs="Times New Roman"/>
          <w:sz w:val="20"/>
          <w:szCs w:val="20"/>
          <w:shd w:val="clear" w:color="auto" w:fill="FFFFFF"/>
          <w:lang w:val="es-EC"/>
        </w:rPr>
        <w:t xml:space="preserve">ósea </w:t>
      </w:r>
      <w:r w:rsidRPr="008528DC">
        <w:rPr>
          <w:rFonts w:ascii="Times New Roman" w:eastAsia="Calibri" w:hAnsi="Times New Roman" w:cs="Times New Roman"/>
          <w:sz w:val="20"/>
          <w:szCs w:val="20"/>
          <w:shd w:val="clear" w:color="auto" w:fill="FFFFFF"/>
          <w:lang w:val="es-EC"/>
        </w:rPr>
        <w:t xml:space="preserve">se recomendó a 1218 mujeres.  </w:t>
      </w:r>
    </w:p>
    <w:p w14:paraId="20523AB7" w14:textId="31BAF5A7" w:rsidR="007715A5" w:rsidRPr="008528DC" w:rsidRDefault="007715A5" w:rsidP="007715A5">
      <w:pPr>
        <w:spacing w:after="0" w:line="480" w:lineRule="auto"/>
        <w:rPr>
          <w:rFonts w:ascii="Times New Roman" w:eastAsia="Calibri" w:hAnsi="Times New Roman" w:cs="Times New Roman"/>
          <w:b/>
          <w:bCs/>
          <w:sz w:val="20"/>
          <w:szCs w:val="20"/>
          <w:shd w:val="clear" w:color="auto" w:fill="FFFFFF"/>
          <w:lang w:val="es-EC"/>
        </w:rPr>
      </w:pPr>
      <w:r w:rsidRPr="008528DC">
        <w:rPr>
          <w:rFonts w:ascii="Times New Roman" w:eastAsia="Calibri" w:hAnsi="Times New Roman" w:cs="Times New Roman"/>
          <w:i/>
          <w:iCs/>
          <w:sz w:val="20"/>
          <w:szCs w:val="20"/>
          <w:shd w:val="clear" w:color="auto" w:fill="FFFFFF"/>
          <w:lang w:val="es-EC"/>
        </w:rPr>
        <w:t>Conclusión</w:t>
      </w:r>
      <w:r w:rsidRPr="008528DC">
        <w:rPr>
          <w:rFonts w:ascii="Times New Roman" w:eastAsia="Calibri" w:hAnsi="Times New Roman" w:cs="Times New Roman"/>
          <w:sz w:val="20"/>
          <w:szCs w:val="20"/>
          <w:shd w:val="clear" w:color="auto" w:fill="FFFFFF"/>
          <w:lang w:val="es-EC"/>
        </w:rPr>
        <w:t>:</w:t>
      </w:r>
      <w:r w:rsidR="00EA6903" w:rsidRPr="008528DC">
        <w:rPr>
          <w:rFonts w:ascii="Times New Roman" w:eastAsia="Calibri" w:hAnsi="Times New Roman" w:cs="Times New Roman"/>
          <w:sz w:val="20"/>
          <w:szCs w:val="20"/>
          <w:shd w:val="clear" w:color="auto" w:fill="FFFFFF"/>
          <w:lang w:val="es-EC"/>
        </w:rPr>
        <w:t xml:space="preserve"> </w:t>
      </w:r>
      <w:r w:rsidRPr="008528DC">
        <w:rPr>
          <w:rFonts w:ascii="Times New Roman" w:eastAsia="Calibri" w:hAnsi="Times New Roman" w:cs="Times New Roman"/>
          <w:sz w:val="20"/>
          <w:szCs w:val="20"/>
          <w:shd w:val="clear" w:color="auto" w:fill="FFFFFF"/>
          <w:lang w:val="es-EC"/>
        </w:rPr>
        <w:t>El umbral híbrido identifica a más mujeres elegibles para tratamiento que los umbrales específicos de la edad.  Aunque los umbrales específicos de edad identifican a las mujeres con mayor riesgo de fractura, el menor número de mujeres identificadas resulta en menos casos de fractura identificados.</w:t>
      </w:r>
    </w:p>
    <w:p w14:paraId="2BAABA13" w14:textId="77777777" w:rsidR="00CF0302" w:rsidRPr="008528DC" w:rsidRDefault="00CF0302" w:rsidP="007715A5">
      <w:pPr>
        <w:spacing w:after="0" w:line="480" w:lineRule="auto"/>
        <w:rPr>
          <w:rFonts w:ascii="Times New Roman" w:eastAsia="Calibri" w:hAnsi="Times New Roman" w:cs="Times New Roman"/>
          <w:sz w:val="20"/>
          <w:szCs w:val="20"/>
          <w:shd w:val="clear" w:color="auto" w:fill="FFFFFF"/>
          <w:lang w:val="es-EC"/>
        </w:rPr>
      </w:pPr>
    </w:p>
    <w:p w14:paraId="56C2AF22" w14:textId="2B20FD86" w:rsidR="000C40B0" w:rsidRPr="008528DC" w:rsidRDefault="000C40B0" w:rsidP="007715A5">
      <w:pPr>
        <w:spacing w:after="0" w:line="480" w:lineRule="auto"/>
        <w:rPr>
          <w:rFonts w:ascii="Times New Roman" w:eastAsia="Calibri" w:hAnsi="Times New Roman" w:cs="Times New Roman"/>
          <w:sz w:val="20"/>
          <w:szCs w:val="20"/>
          <w:shd w:val="clear" w:color="auto" w:fill="FFFFFF"/>
          <w:lang w:val="es-EC"/>
        </w:rPr>
      </w:pPr>
      <w:r w:rsidRPr="008528DC">
        <w:rPr>
          <w:rFonts w:ascii="Times New Roman" w:eastAsia="Calibri" w:hAnsi="Times New Roman" w:cs="Times New Roman"/>
          <w:sz w:val="20"/>
          <w:szCs w:val="20"/>
          <w:shd w:val="clear" w:color="auto" w:fill="FFFFFF"/>
          <w:lang w:val="es-EC"/>
        </w:rPr>
        <w:t>Palabras clave: FRAX, Umbral de intervención, Umbral híbrido, Umbrales de evaluación, Osteoporosis, Ecuador.</w:t>
      </w:r>
    </w:p>
    <w:p w14:paraId="535A81E5" w14:textId="75299193" w:rsidR="00AA0B68" w:rsidRPr="008528DC" w:rsidRDefault="00AA0B68" w:rsidP="007715A5">
      <w:pPr>
        <w:spacing w:after="0" w:line="480" w:lineRule="auto"/>
        <w:rPr>
          <w:rFonts w:ascii="Times New Roman" w:eastAsia="Calibri" w:hAnsi="Times New Roman" w:cs="Times New Roman"/>
          <w:b/>
          <w:bCs/>
          <w:sz w:val="20"/>
          <w:szCs w:val="20"/>
          <w:shd w:val="clear" w:color="auto" w:fill="FFFFFF"/>
          <w:lang w:val="es-EC"/>
        </w:rPr>
      </w:pPr>
      <w:r w:rsidRPr="008528DC">
        <w:rPr>
          <w:rFonts w:ascii="Times New Roman" w:eastAsia="Calibri" w:hAnsi="Times New Roman" w:cs="Times New Roman"/>
          <w:b/>
          <w:bCs/>
          <w:sz w:val="20"/>
          <w:szCs w:val="20"/>
          <w:shd w:val="clear" w:color="auto" w:fill="FFFFFF"/>
          <w:lang w:val="es-EC"/>
        </w:rPr>
        <w:br w:type="page"/>
      </w:r>
    </w:p>
    <w:p w14:paraId="1E63001C" w14:textId="6C82072F" w:rsidR="00FE7AD6" w:rsidRPr="008528DC" w:rsidRDefault="00FE7AD6" w:rsidP="00077C16">
      <w:pPr>
        <w:spacing w:after="0" w:line="480" w:lineRule="auto"/>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t xml:space="preserve">Introduction </w:t>
      </w:r>
    </w:p>
    <w:p w14:paraId="13D489A4" w14:textId="48F5F0FC" w:rsidR="00DD15DC" w:rsidRPr="008528DC" w:rsidRDefault="00361A5D" w:rsidP="00077C16">
      <w:pPr>
        <w:spacing w:after="0" w:line="480" w:lineRule="auto"/>
        <w:rPr>
          <w:rFonts w:ascii="Times New Roman" w:eastAsia="Calibri" w:hAnsi="Times New Roman" w:cs="Times New Roman"/>
          <w:sz w:val="20"/>
          <w:szCs w:val="20"/>
          <w:shd w:val="clear" w:color="auto" w:fill="FFFFFF"/>
        </w:rPr>
      </w:pPr>
      <w:bookmarkStart w:id="9" w:name="_Hlk24989621"/>
      <w:r w:rsidRPr="008528DC">
        <w:rPr>
          <w:rFonts w:ascii="Times New Roman" w:eastAsia="Calibri" w:hAnsi="Times New Roman" w:cs="Times New Roman"/>
          <w:sz w:val="20"/>
          <w:szCs w:val="20"/>
          <w:shd w:val="clear" w:color="auto" w:fill="FFFFFF"/>
        </w:rPr>
        <w:t>A</w:t>
      </w:r>
      <w:r w:rsidR="00FE7AD6" w:rsidRPr="008528DC">
        <w:rPr>
          <w:rFonts w:ascii="Times New Roman" w:eastAsia="Calibri" w:hAnsi="Times New Roman" w:cs="Times New Roman"/>
          <w:sz w:val="20"/>
          <w:szCs w:val="20"/>
          <w:shd w:val="clear" w:color="auto" w:fill="FFFFFF"/>
        </w:rPr>
        <w:t xml:space="preserve"> wide range of treatments is available that improve bone mass and decrease the risk of fractures associated with osteoporosis </w:t>
      </w:r>
      <w:r w:rsidR="009B55AB" w:rsidRPr="008528DC">
        <w:rPr>
          <w:rFonts w:ascii="Times New Roman" w:eastAsia="Calibri" w:hAnsi="Times New Roman" w:cs="Times New Roman"/>
          <w:sz w:val="20"/>
          <w:szCs w:val="20"/>
          <w:shd w:val="clear" w:color="auto" w:fill="FFFFFF"/>
          <w:vertAlign w:val="superscript"/>
        </w:rPr>
        <w:t>1</w:t>
      </w:r>
      <w:r w:rsidR="00FE7AD6" w:rsidRPr="008528DC">
        <w:rPr>
          <w:rFonts w:ascii="Times New Roman" w:eastAsia="Calibri" w:hAnsi="Times New Roman" w:cs="Times New Roman"/>
          <w:sz w:val="20"/>
          <w:szCs w:val="20"/>
          <w:shd w:val="clear" w:color="auto" w:fill="FFFFFF"/>
        </w:rPr>
        <w:t>.  The use of such interventions by health care practitioners is assisted by instruments that assess patients’ fracture risk to optimise clinical decisions about prevention and treatment. The most widely used web-based tool FRAX® (https://www.sheffield.ac.uk/FRAX/) meets these requirements and computes the 10-year probability of fragility fractures based on several common clinical risk factors and, optionally, a bone densitometry result obtained from dual x-ray absorptiometry (DXA)</w:t>
      </w:r>
      <w:r w:rsidR="00A75744" w:rsidRPr="008528DC">
        <w:rPr>
          <w:rFonts w:ascii="Times New Roman" w:eastAsia="Calibri" w:hAnsi="Times New Roman" w:cs="Times New Roman"/>
          <w:sz w:val="20"/>
          <w:szCs w:val="20"/>
          <w:shd w:val="clear" w:color="auto" w:fill="FFFFFF"/>
          <w:vertAlign w:val="superscript"/>
        </w:rPr>
        <w:t xml:space="preserve"> </w:t>
      </w:r>
      <w:r w:rsidR="009B55AB" w:rsidRPr="008528DC">
        <w:rPr>
          <w:rFonts w:ascii="Times New Roman" w:eastAsia="Calibri" w:hAnsi="Times New Roman" w:cs="Times New Roman"/>
          <w:sz w:val="20"/>
          <w:szCs w:val="20"/>
          <w:shd w:val="clear" w:color="auto" w:fill="FFFFFF"/>
          <w:vertAlign w:val="superscript"/>
        </w:rPr>
        <w:t>2,</w:t>
      </w:r>
      <w:r w:rsidR="000A0320" w:rsidRPr="008528DC">
        <w:rPr>
          <w:rFonts w:ascii="Times New Roman" w:eastAsia="Calibri" w:hAnsi="Times New Roman" w:cs="Times New Roman"/>
          <w:sz w:val="20"/>
          <w:szCs w:val="20"/>
          <w:shd w:val="clear" w:color="auto" w:fill="FFFFFF"/>
          <w:vertAlign w:val="superscript"/>
        </w:rPr>
        <w:t xml:space="preserve"> </w:t>
      </w:r>
      <w:r w:rsidR="009B55AB" w:rsidRPr="008528DC">
        <w:rPr>
          <w:rFonts w:ascii="Times New Roman" w:eastAsia="Calibri" w:hAnsi="Times New Roman" w:cs="Times New Roman"/>
          <w:sz w:val="20"/>
          <w:szCs w:val="20"/>
          <w:shd w:val="clear" w:color="auto" w:fill="FFFFFF"/>
          <w:vertAlign w:val="superscript"/>
        </w:rPr>
        <w:t>3</w:t>
      </w:r>
      <w:r w:rsidR="00FE7AD6" w:rsidRPr="008528DC">
        <w:rPr>
          <w:rFonts w:ascii="Times New Roman" w:eastAsia="Calibri" w:hAnsi="Times New Roman" w:cs="Times New Roman"/>
          <w:sz w:val="20"/>
          <w:szCs w:val="20"/>
          <w:shd w:val="clear" w:color="auto" w:fill="FFFFFF"/>
        </w:rPr>
        <w:t xml:space="preserve">.  FRAX models are available for </w:t>
      </w:r>
      <w:r w:rsidRPr="008528DC">
        <w:rPr>
          <w:rFonts w:ascii="Times New Roman" w:eastAsia="Calibri" w:hAnsi="Times New Roman" w:cs="Times New Roman"/>
          <w:sz w:val="20"/>
          <w:szCs w:val="20"/>
          <w:shd w:val="clear" w:color="auto" w:fill="FFFFFF"/>
        </w:rPr>
        <w:t xml:space="preserve">73 </w:t>
      </w:r>
      <w:r w:rsidR="00FE7AD6" w:rsidRPr="008528DC">
        <w:rPr>
          <w:rFonts w:ascii="Times New Roman" w:eastAsia="Calibri" w:hAnsi="Times New Roman" w:cs="Times New Roman"/>
          <w:sz w:val="20"/>
          <w:szCs w:val="20"/>
          <w:shd w:val="clear" w:color="auto" w:fill="FFFFFF"/>
        </w:rPr>
        <w:t xml:space="preserve">countries covering more than 80% of the world population at risk </w:t>
      </w:r>
      <w:r w:rsidR="009B55AB" w:rsidRPr="008528DC">
        <w:rPr>
          <w:rFonts w:ascii="Times New Roman" w:eastAsia="Calibri" w:hAnsi="Times New Roman" w:cs="Times New Roman"/>
          <w:sz w:val="20"/>
          <w:szCs w:val="20"/>
          <w:shd w:val="clear" w:color="auto" w:fill="FFFFFF"/>
          <w:vertAlign w:val="superscript"/>
        </w:rPr>
        <w:t>4</w:t>
      </w:r>
      <w:r w:rsidR="00FE7AD6" w:rsidRPr="008528DC">
        <w:rPr>
          <w:rFonts w:ascii="Times New Roman" w:eastAsia="Calibri" w:hAnsi="Times New Roman" w:cs="Times New Roman"/>
          <w:sz w:val="20"/>
          <w:szCs w:val="20"/>
          <w:shd w:val="clear" w:color="auto" w:fill="FFFFFF"/>
        </w:rPr>
        <w:t xml:space="preserve"> and have been incorporated into more than 100 guidelines worldwide</w:t>
      </w:r>
      <w:r w:rsidR="00837862" w:rsidRPr="008528DC">
        <w:rPr>
          <w:rFonts w:ascii="Times New Roman" w:eastAsia="Calibri" w:hAnsi="Times New Roman" w:cs="Times New Roman"/>
          <w:sz w:val="20"/>
          <w:szCs w:val="20"/>
          <w:shd w:val="clear" w:color="auto" w:fill="FFFFFF"/>
        </w:rPr>
        <w:t xml:space="preserve"> </w:t>
      </w:r>
      <w:r w:rsidR="009B55AB" w:rsidRPr="008528DC">
        <w:rPr>
          <w:rFonts w:ascii="Times New Roman" w:eastAsia="Calibri" w:hAnsi="Times New Roman" w:cs="Times New Roman"/>
          <w:sz w:val="20"/>
          <w:szCs w:val="20"/>
          <w:shd w:val="clear" w:color="auto" w:fill="FFFFFF"/>
          <w:vertAlign w:val="superscript"/>
        </w:rPr>
        <w:t>5</w:t>
      </w:r>
      <w:r w:rsidR="00FE7AD6" w:rsidRPr="008528DC">
        <w:rPr>
          <w:rFonts w:ascii="Times New Roman" w:eastAsia="Calibri" w:hAnsi="Times New Roman" w:cs="Times New Roman"/>
          <w:sz w:val="20"/>
          <w:szCs w:val="20"/>
          <w:shd w:val="clear" w:color="auto" w:fill="FFFFFF"/>
        </w:rPr>
        <w:t>.</w:t>
      </w:r>
      <w:r w:rsidR="00967F79" w:rsidRPr="008528DC">
        <w:rPr>
          <w:rFonts w:ascii="Times New Roman" w:eastAsia="Calibri" w:hAnsi="Times New Roman" w:cs="Times New Roman"/>
          <w:sz w:val="20"/>
          <w:szCs w:val="20"/>
          <w:shd w:val="clear" w:color="auto" w:fill="FFFFFF"/>
        </w:rPr>
        <w:t xml:space="preserve">  </w:t>
      </w:r>
    </w:p>
    <w:p w14:paraId="5707EB6A" w14:textId="3D808DA2" w:rsidR="00FE7AD6" w:rsidRPr="008528DC" w:rsidRDefault="00C1253E"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The adoption of FRAX demands the de</w:t>
      </w:r>
      <w:r w:rsidR="00EA5047" w:rsidRPr="008528DC">
        <w:rPr>
          <w:rFonts w:ascii="Times New Roman" w:eastAsia="Calibri" w:hAnsi="Times New Roman" w:cs="Times New Roman"/>
          <w:sz w:val="20"/>
          <w:szCs w:val="20"/>
          <w:shd w:val="clear" w:color="auto" w:fill="FFFFFF"/>
        </w:rPr>
        <w:t>velopment of intervention thresholds, namely the fracture probability above which</w:t>
      </w:r>
      <w:r w:rsidR="001A6F03" w:rsidRPr="008528DC">
        <w:rPr>
          <w:rFonts w:ascii="Times New Roman" w:eastAsia="Calibri" w:hAnsi="Times New Roman" w:cs="Times New Roman"/>
          <w:sz w:val="20"/>
          <w:szCs w:val="20"/>
          <w:shd w:val="clear" w:color="auto" w:fill="FFFFFF"/>
        </w:rPr>
        <w:t xml:space="preserve"> treatment should be recommended.  </w:t>
      </w:r>
      <w:r w:rsidR="00967F79" w:rsidRPr="008528DC">
        <w:rPr>
          <w:rFonts w:ascii="Times New Roman" w:eastAsia="Calibri" w:hAnsi="Times New Roman" w:cs="Times New Roman"/>
          <w:sz w:val="20"/>
          <w:szCs w:val="20"/>
          <w:shd w:val="clear" w:color="auto" w:fill="FFFFFF"/>
        </w:rPr>
        <w:t>Many different approaches to intervention thresholds have been adopted</w:t>
      </w:r>
      <w:r w:rsidR="00260B34" w:rsidRPr="008528DC">
        <w:rPr>
          <w:rFonts w:ascii="Times New Roman" w:eastAsia="Calibri" w:hAnsi="Times New Roman" w:cs="Times New Roman"/>
          <w:sz w:val="20"/>
          <w:szCs w:val="20"/>
          <w:shd w:val="clear" w:color="auto" w:fill="FFFFFF"/>
        </w:rPr>
        <w:t xml:space="preserve"> but i</w:t>
      </w:r>
      <w:r w:rsidR="0012514A" w:rsidRPr="008528DC">
        <w:rPr>
          <w:rFonts w:ascii="Times New Roman" w:eastAsia="Calibri" w:hAnsi="Times New Roman" w:cs="Times New Roman"/>
          <w:sz w:val="20"/>
          <w:szCs w:val="20"/>
          <w:shd w:val="clear" w:color="auto" w:fill="FFFFFF"/>
        </w:rPr>
        <w:t>n those countries where FRAX rather than BMD is used as a gateway to patient assessment</w:t>
      </w:r>
      <w:r w:rsidRPr="008528DC">
        <w:rPr>
          <w:rFonts w:ascii="Times New Roman" w:eastAsia="Calibri" w:hAnsi="Times New Roman" w:cs="Times New Roman"/>
          <w:sz w:val="20"/>
          <w:szCs w:val="20"/>
          <w:shd w:val="clear" w:color="auto" w:fill="FFFFFF"/>
        </w:rPr>
        <w:t xml:space="preserve">, </w:t>
      </w:r>
      <w:r w:rsidR="00260B34" w:rsidRPr="008528DC">
        <w:rPr>
          <w:rFonts w:ascii="Times New Roman" w:eastAsia="Calibri" w:hAnsi="Times New Roman" w:cs="Times New Roman"/>
          <w:sz w:val="20"/>
          <w:szCs w:val="20"/>
          <w:shd w:val="clear" w:color="auto" w:fill="FFFFFF"/>
        </w:rPr>
        <w:t>age</w:t>
      </w:r>
      <w:r w:rsidR="00B948AD" w:rsidRPr="008528DC">
        <w:rPr>
          <w:rFonts w:ascii="Times New Roman" w:eastAsia="Calibri" w:hAnsi="Times New Roman" w:cs="Times New Roman"/>
          <w:sz w:val="20"/>
          <w:szCs w:val="20"/>
          <w:shd w:val="clear" w:color="auto" w:fill="FFFFFF"/>
        </w:rPr>
        <w:t xml:space="preserve">-specific thresholds are </w:t>
      </w:r>
      <w:r w:rsidR="00AA3D62" w:rsidRPr="008528DC">
        <w:rPr>
          <w:rFonts w:ascii="Times New Roman" w:eastAsia="Calibri" w:hAnsi="Times New Roman" w:cs="Times New Roman"/>
          <w:sz w:val="20"/>
          <w:szCs w:val="20"/>
          <w:shd w:val="clear" w:color="auto" w:fill="FFFFFF"/>
        </w:rPr>
        <w:t>widely used</w:t>
      </w:r>
      <w:r w:rsidR="00C53C25" w:rsidRPr="008528DC">
        <w:rPr>
          <w:rFonts w:ascii="Times New Roman" w:eastAsia="Calibri" w:hAnsi="Times New Roman" w:cs="Times New Roman"/>
          <w:sz w:val="20"/>
          <w:szCs w:val="20"/>
          <w:shd w:val="clear" w:color="auto" w:fill="FFFFFF"/>
        </w:rPr>
        <w:t xml:space="preserve"> </w:t>
      </w:r>
      <w:r w:rsidR="00C46D53" w:rsidRPr="008528DC">
        <w:rPr>
          <w:rFonts w:ascii="Times New Roman" w:eastAsia="Calibri" w:hAnsi="Times New Roman" w:cs="Times New Roman"/>
          <w:sz w:val="20"/>
          <w:szCs w:val="20"/>
          <w:shd w:val="clear" w:color="auto" w:fill="FFFFFF"/>
          <w:vertAlign w:val="superscript"/>
        </w:rPr>
        <w:t>1,</w:t>
      </w:r>
      <w:r w:rsidR="000A0320" w:rsidRPr="008528DC">
        <w:rPr>
          <w:rFonts w:ascii="Times New Roman" w:eastAsia="Calibri" w:hAnsi="Times New Roman" w:cs="Times New Roman"/>
          <w:sz w:val="20"/>
          <w:szCs w:val="20"/>
          <w:shd w:val="clear" w:color="auto" w:fill="FFFFFF"/>
          <w:vertAlign w:val="superscript"/>
        </w:rPr>
        <w:t xml:space="preserve"> </w:t>
      </w:r>
      <w:r w:rsidR="009B55AB" w:rsidRPr="008528DC">
        <w:rPr>
          <w:rFonts w:ascii="Times New Roman" w:eastAsia="Calibri" w:hAnsi="Times New Roman" w:cs="Times New Roman"/>
          <w:sz w:val="20"/>
          <w:szCs w:val="20"/>
          <w:shd w:val="clear" w:color="auto" w:fill="FFFFFF"/>
          <w:vertAlign w:val="superscript"/>
        </w:rPr>
        <w:t>5,</w:t>
      </w:r>
      <w:r w:rsidR="000A0320" w:rsidRPr="008528DC">
        <w:rPr>
          <w:rFonts w:ascii="Times New Roman" w:eastAsia="Calibri" w:hAnsi="Times New Roman" w:cs="Times New Roman"/>
          <w:sz w:val="20"/>
          <w:szCs w:val="20"/>
          <w:shd w:val="clear" w:color="auto" w:fill="FFFFFF"/>
          <w:vertAlign w:val="superscript"/>
        </w:rPr>
        <w:t xml:space="preserve"> </w:t>
      </w:r>
      <w:r w:rsidR="00C46D53" w:rsidRPr="008528DC">
        <w:rPr>
          <w:rFonts w:ascii="Times New Roman" w:eastAsia="Calibri" w:hAnsi="Times New Roman" w:cs="Times New Roman"/>
          <w:sz w:val="20"/>
          <w:szCs w:val="20"/>
          <w:shd w:val="clear" w:color="auto" w:fill="FFFFFF"/>
          <w:vertAlign w:val="superscript"/>
        </w:rPr>
        <w:t>6</w:t>
      </w:r>
      <w:r w:rsidR="009B55AB" w:rsidRPr="008528DC">
        <w:rPr>
          <w:rFonts w:ascii="Times New Roman" w:eastAsia="Calibri" w:hAnsi="Times New Roman" w:cs="Times New Roman"/>
          <w:sz w:val="20"/>
          <w:szCs w:val="20"/>
          <w:shd w:val="clear" w:color="auto" w:fill="FFFFFF"/>
          <w:vertAlign w:val="superscript"/>
        </w:rPr>
        <w:t>,</w:t>
      </w:r>
      <w:r w:rsidR="000A0320" w:rsidRPr="008528DC">
        <w:rPr>
          <w:rFonts w:ascii="Times New Roman" w:eastAsia="Calibri" w:hAnsi="Times New Roman" w:cs="Times New Roman"/>
          <w:sz w:val="20"/>
          <w:szCs w:val="20"/>
          <w:shd w:val="clear" w:color="auto" w:fill="FFFFFF"/>
          <w:vertAlign w:val="superscript"/>
        </w:rPr>
        <w:t xml:space="preserve"> </w:t>
      </w:r>
      <w:r w:rsidR="009B55AB" w:rsidRPr="008528DC">
        <w:rPr>
          <w:rFonts w:ascii="Times New Roman" w:eastAsia="Calibri" w:hAnsi="Times New Roman" w:cs="Times New Roman"/>
          <w:sz w:val="20"/>
          <w:szCs w:val="20"/>
          <w:shd w:val="clear" w:color="auto" w:fill="FFFFFF"/>
          <w:vertAlign w:val="superscript"/>
        </w:rPr>
        <w:t>7</w:t>
      </w:r>
      <w:r w:rsidR="0010427F" w:rsidRPr="008528DC">
        <w:rPr>
          <w:rFonts w:ascii="Times New Roman" w:eastAsia="Calibri" w:hAnsi="Times New Roman" w:cs="Times New Roman"/>
          <w:sz w:val="20"/>
          <w:szCs w:val="20"/>
          <w:shd w:val="clear" w:color="auto" w:fill="FFFFFF"/>
          <w:vertAlign w:val="superscript"/>
        </w:rPr>
        <w:t xml:space="preserve"> </w:t>
      </w:r>
      <w:r w:rsidR="004F16D7" w:rsidRPr="008528DC">
        <w:rPr>
          <w:rFonts w:ascii="Times New Roman" w:eastAsia="Calibri" w:hAnsi="Times New Roman" w:cs="Times New Roman"/>
          <w:sz w:val="20"/>
          <w:szCs w:val="20"/>
          <w:shd w:val="clear" w:color="auto" w:fill="FFFFFF"/>
        </w:rPr>
        <w:t>based on criteria originally de</w:t>
      </w:r>
      <w:r w:rsidR="00DB46B3" w:rsidRPr="008528DC">
        <w:rPr>
          <w:rFonts w:ascii="Times New Roman" w:eastAsia="Calibri" w:hAnsi="Times New Roman" w:cs="Times New Roman"/>
          <w:sz w:val="20"/>
          <w:szCs w:val="20"/>
          <w:shd w:val="clear" w:color="auto" w:fill="FFFFFF"/>
        </w:rPr>
        <w:t>veloped by the National Osteoporosis Guideline Group (NO</w:t>
      </w:r>
      <w:r w:rsidR="006D22E8" w:rsidRPr="008528DC">
        <w:rPr>
          <w:rFonts w:ascii="Times New Roman" w:eastAsia="Calibri" w:hAnsi="Times New Roman" w:cs="Times New Roman"/>
          <w:sz w:val="20"/>
          <w:szCs w:val="20"/>
          <w:shd w:val="clear" w:color="auto" w:fill="FFFFFF"/>
        </w:rPr>
        <w:t xml:space="preserve">GG) in the UK </w:t>
      </w:r>
      <w:r w:rsidR="00060C85" w:rsidRPr="008528DC">
        <w:rPr>
          <w:rFonts w:ascii="Times New Roman" w:eastAsia="Calibri" w:hAnsi="Times New Roman" w:cs="Times New Roman"/>
          <w:sz w:val="20"/>
          <w:szCs w:val="20"/>
          <w:shd w:val="clear" w:color="auto" w:fill="FFFFFF"/>
          <w:vertAlign w:val="superscript"/>
        </w:rPr>
        <w:t>8,</w:t>
      </w:r>
      <w:r w:rsidR="000A0320" w:rsidRPr="008528DC">
        <w:rPr>
          <w:rFonts w:ascii="Times New Roman" w:eastAsia="Calibri" w:hAnsi="Times New Roman" w:cs="Times New Roman"/>
          <w:sz w:val="20"/>
          <w:szCs w:val="20"/>
          <w:shd w:val="clear" w:color="auto" w:fill="FFFFFF"/>
          <w:vertAlign w:val="superscript"/>
        </w:rPr>
        <w:t xml:space="preserve"> </w:t>
      </w:r>
      <w:r w:rsidR="00060C85" w:rsidRPr="008528DC">
        <w:rPr>
          <w:rFonts w:ascii="Times New Roman" w:eastAsia="Calibri" w:hAnsi="Times New Roman" w:cs="Times New Roman"/>
          <w:sz w:val="20"/>
          <w:szCs w:val="20"/>
          <w:shd w:val="clear" w:color="auto" w:fill="FFFFFF"/>
          <w:vertAlign w:val="superscript"/>
        </w:rPr>
        <w:t>9</w:t>
      </w:r>
      <w:r w:rsidR="006D22E8" w:rsidRPr="008528DC">
        <w:rPr>
          <w:rFonts w:ascii="Times New Roman" w:eastAsia="Calibri" w:hAnsi="Times New Roman" w:cs="Times New Roman"/>
          <w:sz w:val="20"/>
          <w:szCs w:val="20"/>
          <w:shd w:val="clear" w:color="auto" w:fill="FFFFFF"/>
        </w:rPr>
        <w:t xml:space="preserve">.  More </w:t>
      </w:r>
      <w:r w:rsidR="006F5C7A" w:rsidRPr="008528DC">
        <w:rPr>
          <w:rFonts w:ascii="Times New Roman" w:eastAsia="Calibri" w:hAnsi="Times New Roman" w:cs="Times New Roman"/>
          <w:sz w:val="20"/>
          <w:szCs w:val="20"/>
          <w:shd w:val="clear" w:color="auto" w:fill="FFFFFF"/>
        </w:rPr>
        <w:t>recently NOGG modified their age-dependent intervention threshol</w:t>
      </w:r>
      <w:r w:rsidR="00445832" w:rsidRPr="008528DC">
        <w:rPr>
          <w:rFonts w:ascii="Times New Roman" w:eastAsia="Calibri" w:hAnsi="Times New Roman" w:cs="Times New Roman"/>
          <w:sz w:val="20"/>
          <w:szCs w:val="20"/>
          <w:shd w:val="clear" w:color="auto" w:fill="FFFFFF"/>
        </w:rPr>
        <w:t>ds a</w:t>
      </w:r>
      <w:r w:rsidR="004103C7" w:rsidRPr="008528DC">
        <w:rPr>
          <w:rFonts w:ascii="Times New Roman" w:eastAsia="Calibri" w:hAnsi="Times New Roman" w:cs="Times New Roman"/>
          <w:sz w:val="20"/>
          <w:szCs w:val="20"/>
          <w:shd w:val="clear" w:color="auto" w:fill="FFFFFF"/>
        </w:rPr>
        <w:t>n</w:t>
      </w:r>
      <w:r w:rsidR="00445832" w:rsidRPr="008528DC">
        <w:rPr>
          <w:rFonts w:ascii="Times New Roman" w:eastAsia="Calibri" w:hAnsi="Times New Roman" w:cs="Times New Roman"/>
          <w:sz w:val="20"/>
          <w:szCs w:val="20"/>
          <w:shd w:val="clear" w:color="auto" w:fill="FFFFFF"/>
        </w:rPr>
        <w:t>d now use a</w:t>
      </w:r>
      <w:r w:rsidR="00ED6EEA" w:rsidRPr="008528DC">
        <w:rPr>
          <w:rFonts w:ascii="Times New Roman" w:eastAsia="Calibri" w:hAnsi="Times New Roman" w:cs="Times New Roman"/>
          <w:sz w:val="20"/>
          <w:szCs w:val="20"/>
          <w:shd w:val="clear" w:color="auto" w:fill="FFFFFF"/>
        </w:rPr>
        <w:t xml:space="preserve"> ‘hybrid’ threshold</w:t>
      </w:r>
      <w:r w:rsidR="004103C7" w:rsidRPr="008528DC">
        <w:rPr>
          <w:rFonts w:ascii="Times New Roman" w:eastAsia="Calibri" w:hAnsi="Times New Roman" w:cs="Times New Roman"/>
          <w:sz w:val="20"/>
          <w:szCs w:val="20"/>
          <w:shd w:val="clear" w:color="auto" w:fill="FFFFFF"/>
        </w:rPr>
        <w:t xml:space="preserve"> where </w:t>
      </w:r>
      <w:r w:rsidR="00D6698C" w:rsidRPr="008528DC">
        <w:rPr>
          <w:rFonts w:ascii="Times New Roman" w:eastAsia="Calibri" w:hAnsi="Times New Roman" w:cs="Times New Roman"/>
          <w:sz w:val="20"/>
          <w:szCs w:val="20"/>
          <w:shd w:val="clear" w:color="auto" w:fill="FFFFFF"/>
        </w:rPr>
        <w:t xml:space="preserve">the intervention threshold is </w:t>
      </w:r>
      <w:r w:rsidR="00CC7822" w:rsidRPr="008528DC">
        <w:rPr>
          <w:rFonts w:ascii="Times New Roman" w:eastAsia="Calibri" w:hAnsi="Times New Roman" w:cs="Times New Roman"/>
          <w:sz w:val="20"/>
          <w:szCs w:val="20"/>
          <w:shd w:val="clear" w:color="auto" w:fill="FFFFFF"/>
        </w:rPr>
        <w:t>constant</w:t>
      </w:r>
      <w:r w:rsidR="00D6698C" w:rsidRPr="008528DC">
        <w:rPr>
          <w:rFonts w:ascii="Times New Roman" w:eastAsia="Calibri" w:hAnsi="Times New Roman" w:cs="Times New Roman"/>
          <w:sz w:val="20"/>
          <w:szCs w:val="20"/>
          <w:shd w:val="clear" w:color="auto" w:fill="FFFFFF"/>
        </w:rPr>
        <w:t xml:space="preserve"> from the age of</w:t>
      </w:r>
      <w:r w:rsidR="00A2782B" w:rsidRPr="008528DC">
        <w:rPr>
          <w:rFonts w:ascii="Times New Roman" w:eastAsia="Calibri" w:hAnsi="Times New Roman" w:cs="Times New Roman"/>
          <w:sz w:val="20"/>
          <w:szCs w:val="20"/>
          <w:shd w:val="clear" w:color="auto" w:fill="FFFFFF"/>
        </w:rPr>
        <w:t xml:space="preserve"> </w:t>
      </w:r>
      <w:r w:rsidR="00D6698C" w:rsidRPr="008528DC">
        <w:rPr>
          <w:rFonts w:ascii="Times New Roman" w:eastAsia="Calibri" w:hAnsi="Times New Roman" w:cs="Times New Roman"/>
          <w:sz w:val="20"/>
          <w:szCs w:val="20"/>
          <w:shd w:val="clear" w:color="auto" w:fill="FFFFFF"/>
        </w:rPr>
        <w:t xml:space="preserve">70 years </w:t>
      </w:r>
      <w:r w:rsidR="00060C85" w:rsidRPr="008528DC">
        <w:rPr>
          <w:rFonts w:ascii="Times New Roman" w:eastAsia="Calibri" w:hAnsi="Times New Roman" w:cs="Times New Roman"/>
          <w:sz w:val="20"/>
          <w:szCs w:val="20"/>
          <w:shd w:val="clear" w:color="auto" w:fill="FFFFFF"/>
          <w:vertAlign w:val="superscript"/>
        </w:rPr>
        <w:t>10,</w:t>
      </w:r>
      <w:r w:rsidR="000A0320" w:rsidRPr="008528DC">
        <w:rPr>
          <w:rFonts w:ascii="Times New Roman" w:eastAsia="Calibri" w:hAnsi="Times New Roman" w:cs="Times New Roman"/>
          <w:sz w:val="20"/>
          <w:szCs w:val="20"/>
          <w:shd w:val="clear" w:color="auto" w:fill="FFFFFF"/>
          <w:vertAlign w:val="superscript"/>
        </w:rPr>
        <w:t xml:space="preserve"> </w:t>
      </w:r>
      <w:r w:rsidR="00060C85" w:rsidRPr="008528DC">
        <w:rPr>
          <w:rFonts w:ascii="Times New Roman" w:eastAsia="Calibri" w:hAnsi="Times New Roman" w:cs="Times New Roman"/>
          <w:sz w:val="20"/>
          <w:szCs w:val="20"/>
          <w:shd w:val="clear" w:color="auto" w:fill="FFFFFF"/>
          <w:vertAlign w:val="superscript"/>
        </w:rPr>
        <w:t>11</w:t>
      </w:r>
      <w:r w:rsidR="00A2782B" w:rsidRPr="008528DC">
        <w:rPr>
          <w:rFonts w:ascii="Times New Roman" w:eastAsia="Calibri" w:hAnsi="Times New Roman" w:cs="Times New Roman"/>
          <w:sz w:val="20"/>
          <w:szCs w:val="20"/>
          <w:shd w:val="clear" w:color="auto" w:fill="FFFFFF"/>
        </w:rPr>
        <w:t>.</w:t>
      </w:r>
    </w:p>
    <w:bookmarkEnd w:id="9"/>
    <w:p w14:paraId="65DF3904" w14:textId="07C64371" w:rsidR="00FE7AD6" w:rsidRPr="008528DC" w:rsidRDefault="00FE7AD6"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A country specific FRAX model was developed for </w:t>
      </w:r>
      <w:r w:rsidR="001E0EE8" w:rsidRPr="008528DC">
        <w:rPr>
          <w:rFonts w:ascii="Times New Roman" w:eastAsia="Calibri" w:hAnsi="Times New Roman" w:cs="Times New Roman"/>
          <w:sz w:val="20"/>
          <w:szCs w:val="20"/>
          <w:shd w:val="clear" w:color="auto" w:fill="FFFFFF"/>
        </w:rPr>
        <w:t>Ecuador</w:t>
      </w:r>
      <w:r w:rsidRPr="008528DC">
        <w:rPr>
          <w:rFonts w:ascii="Times New Roman" w:eastAsia="Calibri" w:hAnsi="Times New Roman" w:cs="Times New Roman"/>
          <w:sz w:val="20"/>
          <w:szCs w:val="20"/>
          <w:shd w:val="clear" w:color="auto" w:fill="FFFFFF"/>
        </w:rPr>
        <w:t xml:space="preserve"> </w:t>
      </w:r>
      <w:r w:rsidR="00E7762E" w:rsidRPr="008528DC">
        <w:rPr>
          <w:rFonts w:ascii="Times New Roman" w:eastAsia="Calibri" w:hAnsi="Times New Roman" w:cs="Times New Roman"/>
          <w:sz w:val="20"/>
          <w:szCs w:val="20"/>
          <w:shd w:val="clear" w:color="auto" w:fill="FFFFFF"/>
        </w:rPr>
        <w:t>in 2012, subsequently up</w:t>
      </w:r>
      <w:r w:rsidR="008D111D" w:rsidRPr="008528DC">
        <w:rPr>
          <w:rFonts w:ascii="Times New Roman" w:eastAsia="Calibri" w:hAnsi="Times New Roman" w:cs="Times New Roman"/>
          <w:sz w:val="20"/>
          <w:szCs w:val="20"/>
          <w:shd w:val="clear" w:color="auto" w:fill="FFFFFF"/>
        </w:rPr>
        <w:t xml:space="preserve">dated with the availability of more recent </w:t>
      </w:r>
      <w:r w:rsidR="0061119D" w:rsidRPr="008528DC">
        <w:rPr>
          <w:rFonts w:ascii="Times New Roman" w:eastAsia="Calibri" w:hAnsi="Times New Roman" w:cs="Times New Roman"/>
          <w:sz w:val="20"/>
          <w:szCs w:val="20"/>
          <w:shd w:val="clear" w:color="auto" w:fill="FFFFFF"/>
        </w:rPr>
        <w:t>epidemiology</w:t>
      </w:r>
      <w:r w:rsidR="00C47C2E" w:rsidRPr="008528DC">
        <w:rPr>
          <w:rFonts w:ascii="Times New Roman" w:eastAsia="Calibri" w:hAnsi="Times New Roman" w:cs="Times New Roman"/>
          <w:sz w:val="20"/>
          <w:szCs w:val="20"/>
          <w:shd w:val="clear" w:color="auto" w:fill="FFFFFF"/>
        </w:rPr>
        <w:t xml:space="preserve"> of hip fracture and death</w:t>
      </w:r>
      <w:r w:rsidR="00384472" w:rsidRPr="008528DC">
        <w:rPr>
          <w:rFonts w:ascii="Times New Roman" w:eastAsia="Calibri" w:hAnsi="Times New Roman" w:cs="Times New Roman"/>
          <w:sz w:val="20"/>
          <w:szCs w:val="20"/>
          <w:shd w:val="clear" w:color="auto" w:fill="FFFFFF"/>
        </w:rPr>
        <w:t xml:space="preserve"> </w:t>
      </w:r>
      <w:r w:rsidR="00821FAE" w:rsidRPr="008528DC">
        <w:rPr>
          <w:rFonts w:ascii="Times New Roman" w:eastAsia="Calibri" w:hAnsi="Times New Roman" w:cs="Times New Roman"/>
          <w:sz w:val="20"/>
          <w:szCs w:val="20"/>
          <w:shd w:val="clear" w:color="auto" w:fill="FFFFFF"/>
          <w:vertAlign w:val="superscript"/>
        </w:rPr>
        <w:t>12,</w:t>
      </w:r>
      <w:r w:rsidR="000A0320" w:rsidRPr="008528DC">
        <w:rPr>
          <w:rFonts w:ascii="Times New Roman" w:eastAsia="Calibri" w:hAnsi="Times New Roman" w:cs="Times New Roman"/>
          <w:sz w:val="20"/>
          <w:szCs w:val="20"/>
          <w:shd w:val="clear" w:color="auto" w:fill="FFFFFF"/>
          <w:vertAlign w:val="superscript"/>
        </w:rPr>
        <w:t xml:space="preserve"> </w:t>
      </w:r>
      <w:r w:rsidR="00821FAE" w:rsidRPr="008528DC">
        <w:rPr>
          <w:rFonts w:ascii="Times New Roman" w:eastAsia="Calibri" w:hAnsi="Times New Roman" w:cs="Times New Roman"/>
          <w:sz w:val="20"/>
          <w:szCs w:val="20"/>
          <w:shd w:val="clear" w:color="auto" w:fill="FFFFFF"/>
          <w:vertAlign w:val="superscript"/>
        </w:rPr>
        <w:t>13</w:t>
      </w:r>
      <w:r w:rsidR="0061119D" w:rsidRPr="008528DC">
        <w:rPr>
          <w:rFonts w:ascii="Times New Roman" w:eastAsia="Calibri" w:hAnsi="Times New Roman" w:cs="Times New Roman"/>
          <w:sz w:val="20"/>
          <w:szCs w:val="20"/>
          <w:shd w:val="clear" w:color="auto" w:fill="FFFFFF"/>
        </w:rPr>
        <w:t xml:space="preserve">. </w:t>
      </w:r>
      <w:r w:rsidRPr="008528DC">
        <w:rPr>
          <w:rFonts w:ascii="Times New Roman" w:eastAsia="Calibri" w:hAnsi="Times New Roman" w:cs="Times New Roman"/>
          <w:sz w:val="20"/>
          <w:szCs w:val="20"/>
          <w:shd w:val="clear" w:color="auto" w:fill="FFFFFF"/>
        </w:rPr>
        <w:t>The aim of the present study was to explore potential assessment pathway</w:t>
      </w:r>
      <w:r w:rsidR="004101A0" w:rsidRPr="008528DC">
        <w:rPr>
          <w:rFonts w:ascii="Times New Roman" w:eastAsia="Calibri" w:hAnsi="Times New Roman" w:cs="Times New Roman"/>
          <w:sz w:val="20"/>
          <w:szCs w:val="20"/>
          <w:shd w:val="clear" w:color="auto" w:fill="FFFFFF"/>
        </w:rPr>
        <w:t>s</w:t>
      </w:r>
      <w:r w:rsidRPr="008528DC">
        <w:rPr>
          <w:rFonts w:ascii="Times New Roman" w:eastAsia="Calibri" w:hAnsi="Times New Roman" w:cs="Times New Roman"/>
          <w:sz w:val="20"/>
          <w:szCs w:val="20"/>
          <w:shd w:val="clear" w:color="auto" w:fill="FFFFFF"/>
        </w:rPr>
        <w:t xml:space="preserve"> for treatment and characteristics of women selected for treatment in </w:t>
      </w:r>
      <w:r w:rsidR="001E0EE8" w:rsidRPr="008528DC">
        <w:rPr>
          <w:rFonts w:ascii="Times New Roman" w:eastAsia="Calibri" w:hAnsi="Times New Roman" w:cs="Times New Roman"/>
          <w:sz w:val="20"/>
          <w:szCs w:val="20"/>
          <w:shd w:val="clear" w:color="auto" w:fill="FFFFFF"/>
        </w:rPr>
        <w:t>Ecuador</w:t>
      </w:r>
      <w:r w:rsidRPr="008528DC">
        <w:rPr>
          <w:rFonts w:ascii="Times New Roman" w:eastAsia="Calibri" w:hAnsi="Times New Roman" w:cs="Times New Roman"/>
          <w:sz w:val="20"/>
          <w:szCs w:val="20"/>
          <w:shd w:val="clear" w:color="auto" w:fill="FFFFFF"/>
        </w:rPr>
        <w:t xml:space="preserve"> based on FRAX</w:t>
      </w:r>
      <w:r w:rsidR="00A2782B" w:rsidRPr="008528DC">
        <w:rPr>
          <w:rFonts w:ascii="Times New Roman" w:eastAsia="Calibri" w:hAnsi="Times New Roman" w:cs="Times New Roman"/>
          <w:sz w:val="20"/>
          <w:szCs w:val="20"/>
          <w:shd w:val="clear" w:color="auto" w:fill="FFFFFF"/>
        </w:rPr>
        <w:t xml:space="preserve"> </w:t>
      </w:r>
      <w:r w:rsidR="00680E61" w:rsidRPr="008528DC">
        <w:rPr>
          <w:rFonts w:ascii="Times New Roman" w:eastAsia="Calibri" w:hAnsi="Times New Roman" w:cs="Times New Roman"/>
          <w:sz w:val="20"/>
          <w:szCs w:val="20"/>
          <w:shd w:val="clear" w:color="auto" w:fill="FFFFFF"/>
        </w:rPr>
        <w:t xml:space="preserve">using </w:t>
      </w:r>
      <w:r w:rsidR="00790388" w:rsidRPr="008528DC">
        <w:rPr>
          <w:rFonts w:ascii="Times New Roman" w:eastAsia="Calibri" w:hAnsi="Times New Roman" w:cs="Times New Roman"/>
          <w:sz w:val="20"/>
          <w:szCs w:val="20"/>
          <w:shd w:val="clear" w:color="auto" w:fill="FFFFFF"/>
        </w:rPr>
        <w:t xml:space="preserve">either an </w:t>
      </w:r>
      <w:r w:rsidR="00680E61" w:rsidRPr="008528DC">
        <w:rPr>
          <w:rFonts w:ascii="Times New Roman" w:eastAsia="Calibri" w:hAnsi="Times New Roman" w:cs="Times New Roman"/>
          <w:sz w:val="20"/>
          <w:szCs w:val="20"/>
          <w:shd w:val="clear" w:color="auto" w:fill="FFFFFF"/>
        </w:rPr>
        <w:t>age-spe</w:t>
      </w:r>
      <w:r w:rsidR="00C0108F" w:rsidRPr="008528DC">
        <w:rPr>
          <w:rFonts w:ascii="Times New Roman" w:eastAsia="Calibri" w:hAnsi="Times New Roman" w:cs="Times New Roman"/>
          <w:sz w:val="20"/>
          <w:szCs w:val="20"/>
          <w:shd w:val="clear" w:color="auto" w:fill="FFFFFF"/>
        </w:rPr>
        <w:t>ci</w:t>
      </w:r>
      <w:r w:rsidR="00680E61" w:rsidRPr="008528DC">
        <w:rPr>
          <w:rFonts w:ascii="Times New Roman" w:eastAsia="Calibri" w:hAnsi="Times New Roman" w:cs="Times New Roman"/>
          <w:sz w:val="20"/>
          <w:szCs w:val="20"/>
          <w:shd w:val="clear" w:color="auto" w:fill="FFFFFF"/>
        </w:rPr>
        <w:t xml:space="preserve">fic </w:t>
      </w:r>
      <w:r w:rsidR="00C0108F" w:rsidRPr="008528DC">
        <w:rPr>
          <w:rFonts w:ascii="Times New Roman" w:eastAsia="Calibri" w:hAnsi="Times New Roman" w:cs="Times New Roman"/>
          <w:sz w:val="20"/>
          <w:szCs w:val="20"/>
          <w:shd w:val="clear" w:color="auto" w:fill="FFFFFF"/>
        </w:rPr>
        <w:t>intervention threshold</w:t>
      </w:r>
      <w:r w:rsidR="00094C3C" w:rsidRPr="008528DC">
        <w:rPr>
          <w:rFonts w:ascii="Times New Roman" w:eastAsia="Calibri" w:hAnsi="Times New Roman" w:cs="Times New Roman"/>
          <w:sz w:val="20"/>
          <w:szCs w:val="20"/>
          <w:shd w:val="clear" w:color="auto" w:fill="FFFFFF"/>
        </w:rPr>
        <w:t xml:space="preserve"> </w:t>
      </w:r>
      <w:r w:rsidR="00790388" w:rsidRPr="008528DC">
        <w:rPr>
          <w:rFonts w:ascii="Times New Roman" w:eastAsia="Calibri" w:hAnsi="Times New Roman" w:cs="Times New Roman"/>
          <w:sz w:val="20"/>
          <w:szCs w:val="20"/>
          <w:shd w:val="clear" w:color="auto" w:fill="FFFFFF"/>
        </w:rPr>
        <w:t>or a</w:t>
      </w:r>
      <w:r w:rsidR="004101A0" w:rsidRPr="008528DC">
        <w:rPr>
          <w:rFonts w:ascii="Times New Roman" w:eastAsia="Calibri" w:hAnsi="Times New Roman" w:cs="Times New Roman"/>
          <w:sz w:val="20"/>
          <w:szCs w:val="20"/>
          <w:shd w:val="clear" w:color="auto" w:fill="FFFFFF"/>
        </w:rPr>
        <w:t xml:space="preserve"> hybrid</w:t>
      </w:r>
      <w:r w:rsidR="00DD30CE" w:rsidRPr="008528DC">
        <w:rPr>
          <w:rFonts w:ascii="Times New Roman" w:eastAsia="Calibri" w:hAnsi="Times New Roman" w:cs="Times New Roman"/>
          <w:sz w:val="20"/>
          <w:szCs w:val="20"/>
          <w:shd w:val="clear" w:color="auto" w:fill="FFFFFF"/>
        </w:rPr>
        <w:t xml:space="preserve"> threshold.</w:t>
      </w:r>
      <w:r w:rsidR="00C0108F" w:rsidRPr="008528DC">
        <w:rPr>
          <w:rFonts w:ascii="Times New Roman" w:eastAsia="Calibri" w:hAnsi="Times New Roman" w:cs="Times New Roman"/>
          <w:sz w:val="20"/>
          <w:szCs w:val="20"/>
          <w:shd w:val="clear" w:color="auto" w:fill="FFFFFF"/>
        </w:rPr>
        <w:t xml:space="preserve"> </w:t>
      </w:r>
    </w:p>
    <w:p w14:paraId="2D54243B" w14:textId="77777777" w:rsidR="005F07DC" w:rsidRPr="008528DC" w:rsidRDefault="005F07DC" w:rsidP="00077C16">
      <w:pPr>
        <w:spacing w:after="0" w:line="480" w:lineRule="auto"/>
        <w:rPr>
          <w:rFonts w:ascii="Times New Roman" w:eastAsia="Calibri" w:hAnsi="Times New Roman" w:cs="Times New Roman"/>
          <w:sz w:val="20"/>
          <w:szCs w:val="20"/>
          <w:shd w:val="clear" w:color="auto" w:fill="FFFFFF"/>
        </w:rPr>
      </w:pPr>
    </w:p>
    <w:p w14:paraId="36E6283F" w14:textId="77777777" w:rsidR="00A243D1" w:rsidRPr="008528DC" w:rsidRDefault="00A243D1" w:rsidP="00077C16">
      <w:pPr>
        <w:spacing w:after="0" w:line="480" w:lineRule="auto"/>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t>Methods</w:t>
      </w:r>
    </w:p>
    <w:p w14:paraId="36A2D593" w14:textId="77777777" w:rsidR="00A243D1" w:rsidRPr="008528DC" w:rsidRDefault="00A243D1" w:rsidP="00077C16">
      <w:pPr>
        <w:spacing w:after="0" w:line="480" w:lineRule="auto"/>
        <w:rPr>
          <w:rFonts w:ascii="Times New Roman" w:eastAsia="Calibri" w:hAnsi="Times New Roman" w:cs="Times New Roman"/>
          <w:i/>
          <w:iCs/>
          <w:sz w:val="20"/>
          <w:szCs w:val="20"/>
          <w:shd w:val="clear" w:color="auto" w:fill="FFFFFF"/>
        </w:rPr>
      </w:pPr>
      <w:r w:rsidRPr="008528DC">
        <w:rPr>
          <w:rFonts w:ascii="Times New Roman" w:eastAsia="Calibri" w:hAnsi="Times New Roman" w:cs="Times New Roman"/>
          <w:i/>
          <w:iCs/>
          <w:sz w:val="20"/>
          <w:szCs w:val="20"/>
          <w:shd w:val="clear" w:color="auto" w:fill="FFFFFF"/>
        </w:rPr>
        <w:t>Population sample</w:t>
      </w:r>
    </w:p>
    <w:p w14:paraId="068305BF" w14:textId="5126CC52" w:rsidR="0030157F" w:rsidRPr="008528DC" w:rsidRDefault="0030157F"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This study used data from </w:t>
      </w:r>
      <w:r w:rsidR="00AC6C50" w:rsidRPr="008528DC">
        <w:rPr>
          <w:rFonts w:ascii="Times New Roman" w:eastAsia="Calibri" w:hAnsi="Times New Roman" w:cs="Times New Roman"/>
          <w:sz w:val="20"/>
          <w:szCs w:val="20"/>
          <w:shd w:val="clear" w:color="auto" w:fill="FFFFFF"/>
        </w:rPr>
        <w:t>2</w:t>
      </w:r>
      <w:r w:rsidR="009944C7" w:rsidRPr="008528DC">
        <w:rPr>
          <w:rFonts w:ascii="Times New Roman" w:eastAsia="Calibri" w:hAnsi="Times New Roman" w:cs="Times New Roman"/>
          <w:sz w:val="20"/>
          <w:szCs w:val="20"/>
          <w:shd w:val="clear" w:color="auto" w:fill="FFFFFF"/>
        </w:rPr>
        <w:t>370 women age 60 years or more</w:t>
      </w:r>
      <w:r w:rsidRPr="008528DC">
        <w:rPr>
          <w:rFonts w:ascii="Times New Roman" w:eastAsia="Calibri" w:hAnsi="Times New Roman" w:cs="Times New Roman"/>
          <w:sz w:val="20"/>
          <w:szCs w:val="20"/>
          <w:shd w:val="clear" w:color="auto" w:fill="FFFFFF"/>
        </w:rPr>
        <w:t xml:space="preserve"> in the SABE survey</w:t>
      </w:r>
      <w:r w:rsidR="00334B69" w:rsidRPr="008528DC">
        <w:rPr>
          <w:rFonts w:ascii="Times New Roman" w:hAnsi="Times New Roman" w:cs="Times New Roman"/>
          <w:sz w:val="20"/>
          <w:szCs w:val="20"/>
        </w:rPr>
        <w:t xml:space="preserve"> </w:t>
      </w:r>
      <w:r w:rsidRPr="008528DC">
        <w:rPr>
          <w:rFonts w:ascii="Times New Roman" w:eastAsia="Calibri" w:hAnsi="Times New Roman" w:cs="Times New Roman"/>
          <w:sz w:val="20"/>
          <w:szCs w:val="20"/>
          <w:shd w:val="clear" w:color="auto" w:fill="FFFFFF"/>
        </w:rPr>
        <w:t xml:space="preserve">(National Survey of Health, Wellbeing, and Aging) </w:t>
      </w:r>
      <w:r w:rsidR="00821FAE" w:rsidRPr="008528DC">
        <w:rPr>
          <w:rFonts w:ascii="Times New Roman" w:eastAsia="Calibri" w:hAnsi="Times New Roman" w:cs="Times New Roman"/>
          <w:sz w:val="20"/>
          <w:szCs w:val="20"/>
          <w:shd w:val="clear" w:color="auto" w:fill="FFFFFF"/>
          <w:vertAlign w:val="superscript"/>
        </w:rPr>
        <w:t>14</w:t>
      </w:r>
      <w:r w:rsidR="00AD7235" w:rsidRPr="008528DC">
        <w:rPr>
          <w:rFonts w:ascii="Times New Roman" w:hAnsi="Times New Roman" w:cs="Times New Roman"/>
          <w:sz w:val="20"/>
          <w:szCs w:val="20"/>
        </w:rPr>
        <w:t xml:space="preserve"> </w:t>
      </w:r>
      <w:r w:rsidR="00AD7235" w:rsidRPr="008528DC">
        <w:rPr>
          <w:rFonts w:ascii="Times New Roman" w:eastAsia="Calibri" w:hAnsi="Times New Roman" w:cs="Times New Roman"/>
          <w:sz w:val="20"/>
          <w:szCs w:val="20"/>
          <w:shd w:val="clear" w:color="auto" w:fill="FFFFFF"/>
        </w:rPr>
        <w:t>residing in the Andes and the coast of Ecuador</w:t>
      </w:r>
      <w:r w:rsidRPr="008528DC">
        <w:rPr>
          <w:rFonts w:ascii="Times New Roman" w:eastAsia="Calibri" w:hAnsi="Times New Roman" w:cs="Times New Roman"/>
          <w:sz w:val="20"/>
          <w:szCs w:val="20"/>
          <w:shd w:val="clear" w:color="auto" w:fill="FFFFFF"/>
        </w:rPr>
        <w:t>.</w:t>
      </w:r>
      <w:r w:rsidR="000B5150" w:rsidRPr="008528DC">
        <w:rPr>
          <w:rFonts w:ascii="Times New Roman" w:hAnsi="Times New Roman" w:cs="Times New Roman"/>
          <w:sz w:val="24"/>
          <w:szCs w:val="24"/>
        </w:rPr>
        <w:t xml:space="preserve"> </w:t>
      </w:r>
      <w:r w:rsidR="00220CF0" w:rsidRPr="008528DC">
        <w:rPr>
          <w:rFonts w:ascii="Times New Roman" w:eastAsia="Calibri" w:hAnsi="Times New Roman" w:cs="Times New Roman"/>
          <w:sz w:val="20"/>
          <w:szCs w:val="20"/>
          <w:shd w:val="clear" w:color="auto" w:fill="FFFFFF"/>
          <w:lang w:val="en-US"/>
        </w:rPr>
        <w:t>The SABE survey was conducted in the continental regions of Ecuador (only the island territory and Amazon was excluded because of its lower population density, 4.4%), therefore it is a representative sample of the Ecuadorian population.</w:t>
      </w:r>
      <w:r w:rsidR="00A24242" w:rsidRPr="008528DC">
        <w:rPr>
          <w:rFonts w:ascii="Times New Roman" w:eastAsia="Calibri" w:hAnsi="Times New Roman" w:cs="Times New Roman"/>
          <w:sz w:val="20"/>
          <w:szCs w:val="20"/>
          <w:shd w:val="clear" w:color="auto" w:fill="FFFFFF"/>
        </w:rPr>
        <w:t xml:space="preserve">This survey is a probability sample of households with a least one person aged 60 years or older residing in the Andes Mountains and coastal regions of Ecuador. In the primary sampling stage, a total of 317 sectors from rural areas (&lt;2000 inhabitants) and 547 sectors from urban areas of the country were selected from the 2001 population Census cartography. In the secondary sampling stage, 18 households within each sector were randomly selected based on the assumption that at least one person aged 60 years or older live in 24% and 23% of the households along the coast and Andes Mountains region, respectively. Between April and August 2010, participants underwent biochemical evaluation to determine their metabolic risk factors. Survey data and methodology, including operation manuals are publicly available </w:t>
      </w:r>
      <w:r w:rsidR="00821FAE" w:rsidRPr="008528DC">
        <w:rPr>
          <w:rFonts w:ascii="Times New Roman" w:eastAsia="Calibri" w:hAnsi="Times New Roman" w:cs="Times New Roman"/>
          <w:sz w:val="20"/>
          <w:szCs w:val="20"/>
          <w:shd w:val="clear" w:color="auto" w:fill="FFFFFF"/>
          <w:vertAlign w:val="superscript"/>
        </w:rPr>
        <w:t>14</w:t>
      </w:r>
      <w:r w:rsidR="00A24242" w:rsidRPr="008528DC">
        <w:rPr>
          <w:rFonts w:ascii="Times New Roman" w:eastAsia="Calibri" w:hAnsi="Times New Roman" w:cs="Times New Roman"/>
          <w:sz w:val="20"/>
          <w:szCs w:val="20"/>
          <w:shd w:val="clear" w:color="auto" w:fill="FFFFFF"/>
        </w:rPr>
        <w:t>.</w:t>
      </w:r>
      <w:r w:rsidR="00C943E1" w:rsidRPr="008528DC">
        <w:rPr>
          <w:rFonts w:ascii="Times New Roman" w:eastAsia="Calibri" w:hAnsi="Times New Roman" w:cs="Times New Roman"/>
          <w:sz w:val="20"/>
          <w:szCs w:val="20"/>
          <w:shd w:val="clear" w:color="auto" w:fill="FFFFFF"/>
        </w:rPr>
        <w:t xml:space="preserve">   </w:t>
      </w:r>
      <w:r w:rsidR="000B5150" w:rsidRPr="008528DC">
        <w:rPr>
          <w:rFonts w:ascii="Times New Roman" w:eastAsia="Calibri" w:hAnsi="Times New Roman" w:cs="Times New Roman"/>
          <w:sz w:val="20"/>
          <w:szCs w:val="20"/>
          <w:shd w:val="clear" w:color="auto" w:fill="FFFFFF"/>
        </w:rPr>
        <w:t xml:space="preserve"> </w:t>
      </w:r>
    </w:p>
    <w:p w14:paraId="7C80898B" w14:textId="22695AB3" w:rsidR="00DB6F61" w:rsidRPr="008528DC" w:rsidRDefault="00F0560C" w:rsidP="004534A7">
      <w:pPr>
        <w:pStyle w:val="CommentText"/>
        <w:spacing w:after="0" w:line="480" w:lineRule="auto"/>
        <w:rPr>
          <w:lang w:val="en-US"/>
        </w:rPr>
      </w:pPr>
      <w:r w:rsidRPr="008528DC">
        <w:rPr>
          <w:rFonts w:ascii="Times New Roman" w:eastAsia="Calibri" w:hAnsi="Times New Roman" w:cs="Times New Roman"/>
          <w:shd w:val="clear" w:color="auto" w:fill="FFFFFF"/>
        </w:rPr>
        <w:t xml:space="preserve">A structured questionnaire was used to collect information from all participants </w:t>
      </w:r>
      <w:r w:rsidR="00456EB8" w:rsidRPr="008528DC">
        <w:rPr>
          <w:rFonts w:ascii="Times New Roman" w:eastAsia="Calibri" w:hAnsi="Times New Roman" w:cs="Times New Roman"/>
          <w:shd w:val="clear" w:color="auto" w:fill="FFFFFF"/>
        </w:rPr>
        <w:t xml:space="preserve">and used to </w:t>
      </w:r>
      <w:r w:rsidR="00BA1085" w:rsidRPr="008528DC">
        <w:rPr>
          <w:rFonts w:ascii="Times New Roman" w:eastAsia="Calibri" w:hAnsi="Times New Roman" w:cs="Times New Roman"/>
          <w:shd w:val="clear" w:color="auto" w:fill="FFFFFF"/>
        </w:rPr>
        <w:t>provide risk variables for the calculation of FRA</w:t>
      </w:r>
      <w:r w:rsidR="000F735A" w:rsidRPr="008528DC">
        <w:rPr>
          <w:rFonts w:ascii="Times New Roman" w:eastAsia="Calibri" w:hAnsi="Times New Roman" w:cs="Times New Roman"/>
          <w:shd w:val="clear" w:color="auto" w:fill="FFFFFF"/>
        </w:rPr>
        <w:t>X probabilities</w:t>
      </w:r>
      <w:r w:rsidR="00A94507" w:rsidRPr="008528DC">
        <w:rPr>
          <w:rFonts w:ascii="Times New Roman" w:eastAsia="Calibri" w:hAnsi="Times New Roman" w:cs="Times New Roman"/>
          <w:shd w:val="clear" w:color="auto" w:fill="FFFFFF"/>
        </w:rPr>
        <w:t xml:space="preserve"> in the absence of bone mineral density (BMD)</w:t>
      </w:r>
      <w:r w:rsidRPr="008528DC">
        <w:rPr>
          <w:rFonts w:ascii="Times New Roman" w:eastAsia="Calibri" w:hAnsi="Times New Roman" w:cs="Times New Roman"/>
          <w:shd w:val="clear" w:color="auto" w:fill="FFFFFF"/>
        </w:rPr>
        <w:t xml:space="preserve">. </w:t>
      </w:r>
      <w:r w:rsidR="003F0B74" w:rsidRPr="008528DC">
        <w:rPr>
          <w:rFonts w:ascii="Times New Roman" w:eastAsia="Calibri" w:hAnsi="Times New Roman" w:cs="Times New Roman"/>
          <w:shd w:val="clear" w:color="auto" w:fill="FFFFFF"/>
        </w:rPr>
        <w:t xml:space="preserve"> </w:t>
      </w:r>
      <w:r w:rsidR="005F7768" w:rsidRPr="008528DC">
        <w:rPr>
          <w:rFonts w:ascii="Times New Roman" w:eastAsia="Calibri" w:hAnsi="Times New Roman" w:cs="Times New Roman"/>
          <w:shd w:val="clear" w:color="auto" w:fill="FFFFFF"/>
        </w:rPr>
        <w:t>Age and sex were self-reported by survey participants.</w:t>
      </w:r>
      <w:r w:rsidR="002702EF" w:rsidRPr="008528DC">
        <w:rPr>
          <w:rFonts w:ascii="Times New Roman" w:eastAsia="Calibri" w:hAnsi="Times New Roman" w:cs="Times New Roman"/>
          <w:shd w:val="clear" w:color="auto" w:fill="FFFFFF"/>
        </w:rPr>
        <w:t xml:space="preserve"> </w:t>
      </w:r>
      <w:r w:rsidR="00DB6F61" w:rsidRPr="008528DC">
        <w:rPr>
          <w:rFonts w:ascii="Times New Roman" w:hAnsi="Times New Roman" w:cs="Times New Roman"/>
          <w:lang w:val="en-US"/>
        </w:rPr>
        <w:t>Body height in centimeters and weight in kilograms were measured and the body mass index was calculated (kg/m</w:t>
      </w:r>
      <w:r w:rsidR="00DB6F61" w:rsidRPr="008528DC">
        <w:rPr>
          <w:rFonts w:ascii="Times New Roman" w:hAnsi="Times New Roman" w:cs="Times New Roman"/>
          <w:vertAlign w:val="superscript"/>
          <w:lang w:val="en-US"/>
        </w:rPr>
        <w:t>2</w:t>
      </w:r>
      <w:r w:rsidR="00DB6F61" w:rsidRPr="008528DC">
        <w:rPr>
          <w:rFonts w:ascii="Times New Roman" w:hAnsi="Times New Roman" w:cs="Times New Roman"/>
          <w:lang w:val="en-US"/>
        </w:rPr>
        <w:t xml:space="preserve"> ).</w:t>
      </w:r>
    </w:p>
    <w:p w14:paraId="07331504" w14:textId="070217B6" w:rsidR="00EB0F6C" w:rsidRPr="008528DC" w:rsidRDefault="002658A4"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Smoking was classified as current, former, and never. </w:t>
      </w:r>
      <w:r w:rsidR="003F0B74" w:rsidRPr="008528DC">
        <w:rPr>
          <w:rFonts w:ascii="Times New Roman" w:eastAsia="Calibri" w:hAnsi="Times New Roman" w:cs="Times New Roman"/>
          <w:sz w:val="20"/>
          <w:szCs w:val="20"/>
          <w:shd w:val="clear" w:color="auto" w:fill="FFFFFF"/>
        </w:rPr>
        <w:t xml:space="preserve"> </w:t>
      </w:r>
      <w:r w:rsidRPr="008528DC">
        <w:rPr>
          <w:rFonts w:ascii="Times New Roman" w:eastAsia="Calibri" w:hAnsi="Times New Roman" w:cs="Times New Roman"/>
          <w:sz w:val="20"/>
          <w:szCs w:val="20"/>
          <w:shd w:val="clear" w:color="auto" w:fill="FFFFFF"/>
        </w:rPr>
        <w:t>Average alcohol consumption per week during the previous three months was classified as none, one day, or two or more days per week.</w:t>
      </w:r>
      <w:r w:rsidR="003F0B74" w:rsidRPr="008528DC">
        <w:rPr>
          <w:rFonts w:ascii="Times New Roman" w:eastAsia="Calibri" w:hAnsi="Times New Roman" w:cs="Times New Roman"/>
          <w:sz w:val="20"/>
          <w:szCs w:val="20"/>
          <w:shd w:val="clear" w:color="auto" w:fill="FFFFFF"/>
        </w:rPr>
        <w:t xml:space="preserve"> </w:t>
      </w:r>
      <w:r w:rsidRPr="008528DC">
        <w:rPr>
          <w:rFonts w:ascii="Times New Roman" w:eastAsia="Calibri" w:hAnsi="Times New Roman" w:cs="Times New Roman"/>
          <w:sz w:val="20"/>
          <w:szCs w:val="20"/>
          <w:shd w:val="clear" w:color="auto" w:fill="FFFFFF"/>
        </w:rPr>
        <w:t xml:space="preserve"> Participants self-reported forearm and hip fractures in the past year.</w:t>
      </w:r>
      <w:r w:rsidRPr="008528DC">
        <w:rPr>
          <w:rFonts w:ascii="Times New Roman" w:eastAsia="Calibri" w:hAnsi="Times New Roman" w:cs="Times New Roman"/>
          <w:sz w:val="24"/>
          <w:szCs w:val="24"/>
          <w:shd w:val="clear" w:color="auto" w:fill="FFFFFF"/>
        </w:rPr>
        <w:t xml:space="preserve"> </w:t>
      </w:r>
      <w:r w:rsidR="00220CF0" w:rsidRPr="008528DC">
        <w:rPr>
          <w:rFonts w:ascii="Times New Roman" w:eastAsia="Calibri" w:hAnsi="Times New Roman" w:cs="Times New Roman"/>
          <w:sz w:val="20"/>
          <w:szCs w:val="20"/>
          <w:shd w:val="clear" w:color="auto" w:fill="FFFFFF"/>
          <w:lang w:val="en-US"/>
        </w:rPr>
        <w:t xml:space="preserve">The SABE survey questioned participants; Has </w:t>
      </w:r>
      <w:r w:rsidR="00220CF0" w:rsidRPr="006577F4">
        <w:rPr>
          <w:rFonts w:ascii="Times New Roman" w:eastAsia="Calibri" w:hAnsi="Times New Roman" w:cs="Times New Roman"/>
          <w:sz w:val="20"/>
          <w:szCs w:val="20"/>
          <w:highlight w:val="yellow"/>
          <w:shd w:val="clear" w:color="auto" w:fill="FFFFFF"/>
          <w:lang w:val="en-US"/>
        </w:rPr>
        <w:t>he</w:t>
      </w:r>
      <w:r w:rsidR="006577F4" w:rsidRPr="006577F4">
        <w:rPr>
          <w:rFonts w:ascii="Times New Roman" w:eastAsia="Calibri" w:hAnsi="Times New Roman" w:cs="Times New Roman"/>
          <w:sz w:val="20"/>
          <w:szCs w:val="20"/>
          <w:highlight w:val="yellow"/>
          <w:shd w:val="clear" w:color="auto" w:fill="FFFFFF"/>
          <w:lang w:val="en-US"/>
        </w:rPr>
        <w:t>/she</w:t>
      </w:r>
      <w:r w:rsidR="00220CF0" w:rsidRPr="008528DC">
        <w:rPr>
          <w:rFonts w:ascii="Times New Roman" w:eastAsia="Calibri" w:hAnsi="Times New Roman" w:cs="Times New Roman"/>
          <w:sz w:val="20"/>
          <w:szCs w:val="20"/>
          <w:shd w:val="clear" w:color="auto" w:fill="FFFFFF"/>
          <w:lang w:val="en-US"/>
        </w:rPr>
        <w:t xml:space="preserve"> fallen in the last year?</w:t>
      </w:r>
      <w:r w:rsidR="00252262" w:rsidRPr="008528DC">
        <w:rPr>
          <w:rFonts w:ascii="Times New Roman" w:eastAsia="Calibri" w:hAnsi="Times New Roman" w:cs="Times New Roman"/>
          <w:sz w:val="20"/>
          <w:szCs w:val="20"/>
          <w:shd w:val="clear" w:color="auto" w:fill="FFFFFF"/>
          <w:lang w:val="en-US"/>
        </w:rPr>
        <w:t>,</w:t>
      </w:r>
      <w:r w:rsidR="00220CF0" w:rsidRPr="008528DC">
        <w:rPr>
          <w:rFonts w:ascii="Times New Roman" w:eastAsia="Calibri" w:hAnsi="Times New Roman" w:cs="Times New Roman"/>
          <w:sz w:val="20"/>
          <w:szCs w:val="20"/>
          <w:shd w:val="clear" w:color="auto" w:fill="FFFFFF"/>
          <w:lang w:val="en-US"/>
        </w:rPr>
        <w:t xml:space="preserve"> Did he suffer a fracture when </w:t>
      </w:r>
      <w:r w:rsidR="00220CF0" w:rsidRPr="007E117E">
        <w:rPr>
          <w:rFonts w:ascii="Times New Roman" w:eastAsia="Calibri" w:hAnsi="Times New Roman" w:cs="Times New Roman"/>
          <w:sz w:val="20"/>
          <w:szCs w:val="20"/>
          <w:highlight w:val="yellow"/>
          <w:shd w:val="clear" w:color="auto" w:fill="FFFFFF"/>
          <w:lang w:val="en-US"/>
        </w:rPr>
        <w:t>he</w:t>
      </w:r>
      <w:r w:rsidR="007E117E" w:rsidRPr="007E117E">
        <w:rPr>
          <w:rFonts w:ascii="Times New Roman" w:eastAsia="Calibri" w:hAnsi="Times New Roman" w:cs="Times New Roman"/>
          <w:sz w:val="20"/>
          <w:szCs w:val="20"/>
          <w:highlight w:val="yellow"/>
          <w:shd w:val="clear" w:color="auto" w:fill="FFFFFF"/>
          <w:lang w:val="en-US"/>
        </w:rPr>
        <w:t>/she</w:t>
      </w:r>
      <w:r w:rsidR="00220CF0" w:rsidRPr="008528DC">
        <w:rPr>
          <w:rFonts w:ascii="Times New Roman" w:eastAsia="Calibri" w:hAnsi="Times New Roman" w:cs="Times New Roman"/>
          <w:sz w:val="20"/>
          <w:szCs w:val="20"/>
          <w:shd w:val="clear" w:color="auto" w:fill="FFFFFF"/>
          <w:lang w:val="en-US"/>
        </w:rPr>
        <w:t xml:space="preserve"> fell?</w:t>
      </w:r>
      <w:r w:rsidR="00252262" w:rsidRPr="008528DC">
        <w:rPr>
          <w:rFonts w:ascii="Times New Roman" w:eastAsia="Calibri" w:hAnsi="Times New Roman" w:cs="Times New Roman"/>
          <w:sz w:val="20"/>
          <w:szCs w:val="20"/>
          <w:shd w:val="clear" w:color="auto" w:fill="FFFFFF"/>
          <w:lang w:val="en-US"/>
        </w:rPr>
        <w:t>,</w:t>
      </w:r>
      <w:r w:rsidR="00220CF0" w:rsidRPr="008528DC">
        <w:rPr>
          <w:rFonts w:ascii="Times New Roman" w:eastAsia="Calibri" w:hAnsi="Times New Roman" w:cs="Times New Roman"/>
          <w:sz w:val="20"/>
          <w:szCs w:val="20"/>
          <w:shd w:val="clear" w:color="auto" w:fill="FFFFFF"/>
          <w:lang w:val="en-US"/>
        </w:rPr>
        <w:t xml:space="preserve"> In the last year he fractured his hip?</w:t>
      </w:r>
      <w:r w:rsidR="00252262" w:rsidRPr="008528DC">
        <w:rPr>
          <w:rFonts w:ascii="Times New Roman" w:eastAsia="Calibri" w:hAnsi="Times New Roman" w:cs="Times New Roman"/>
          <w:sz w:val="20"/>
          <w:szCs w:val="20"/>
          <w:shd w:val="clear" w:color="auto" w:fill="FFFFFF"/>
          <w:lang w:val="en-US"/>
        </w:rPr>
        <w:t>,</w:t>
      </w:r>
      <w:r w:rsidR="00220CF0" w:rsidRPr="008528DC">
        <w:rPr>
          <w:rFonts w:ascii="Times New Roman" w:eastAsia="Calibri" w:hAnsi="Times New Roman" w:cs="Times New Roman"/>
          <w:sz w:val="20"/>
          <w:szCs w:val="20"/>
          <w:shd w:val="clear" w:color="auto" w:fill="FFFFFF"/>
          <w:lang w:val="en-US"/>
        </w:rPr>
        <w:t xml:space="preserve"> In the last year, </w:t>
      </w:r>
      <w:r w:rsidR="00252262" w:rsidRPr="007E117E">
        <w:rPr>
          <w:rFonts w:ascii="Times New Roman" w:eastAsia="Calibri" w:hAnsi="Times New Roman" w:cs="Times New Roman"/>
          <w:sz w:val="20"/>
          <w:szCs w:val="20"/>
          <w:highlight w:val="yellow"/>
          <w:shd w:val="clear" w:color="auto" w:fill="FFFFFF"/>
          <w:lang w:val="en-US"/>
        </w:rPr>
        <w:t>he</w:t>
      </w:r>
      <w:r w:rsidR="007E117E" w:rsidRPr="007E117E">
        <w:rPr>
          <w:rFonts w:ascii="Times New Roman" w:eastAsia="Calibri" w:hAnsi="Times New Roman" w:cs="Times New Roman"/>
          <w:sz w:val="20"/>
          <w:szCs w:val="20"/>
          <w:highlight w:val="yellow"/>
          <w:shd w:val="clear" w:color="auto" w:fill="FFFFFF"/>
          <w:lang w:val="en-US"/>
        </w:rPr>
        <w:t>/she</w:t>
      </w:r>
      <w:r w:rsidR="00252262" w:rsidRPr="008528DC">
        <w:rPr>
          <w:rFonts w:ascii="Times New Roman" w:eastAsia="Calibri" w:hAnsi="Times New Roman" w:cs="Times New Roman"/>
          <w:sz w:val="20"/>
          <w:szCs w:val="20"/>
          <w:shd w:val="clear" w:color="auto" w:fill="FFFFFF"/>
          <w:lang w:val="en-US"/>
        </w:rPr>
        <w:t xml:space="preserve"> fracture his </w:t>
      </w:r>
      <w:r w:rsidR="00220CF0" w:rsidRPr="008528DC">
        <w:rPr>
          <w:rFonts w:ascii="Times New Roman" w:eastAsia="Calibri" w:hAnsi="Times New Roman" w:cs="Times New Roman"/>
          <w:sz w:val="20"/>
          <w:szCs w:val="20"/>
          <w:shd w:val="clear" w:color="auto" w:fill="FFFFFF"/>
          <w:lang w:val="en-US"/>
        </w:rPr>
        <w:t xml:space="preserve"> wrist</w:t>
      </w:r>
      <w:r w:rsidR="00252262" w:rsidRPr="008528DC">
        <w:rPr>
          <w:rFonts w:ascii="Times New Roman" w:eastAsia="Calibri" w:hAnsi="Times New Roman" w:cs="Times New Roman"/>
          <w:sz w:val="20"/>
          <w:szCs w:val="20"/>
          <w:shd w:val="clear" w:color="auto" w:fill="FFFFFF"/>
          <w:lang w:val="en-US"/>
        </w:rPr>
        <w:t>?</w:t>
      </w:r>
      <w:r w:rsidR="00220CF0" w:rsidRPr="008528DC">
        <w:rPr>
          <w:rFonts w:ascii="Times New Roman" w:eastAsia="Calibri" w:hAnsi="Times New Roman" w:cs="Times New Roman"/>
          <w:sz w:val="20"/>
          <w:szCs w:val="20"/>
          <w:shd w:val="clear" w:color="auto" w:fill="FFFFFF"/>
          <w:lang w:val="en-US"/>
        </w:rPr>
        <w:t xml:space="preserve">, so we assumed it was frailty fractures. </w:t>
      </w:r>
      <w:r w:rsidR="00ED7A74" w:rsidRPr="008528DC">
        <w:rPr>
          <w:rFonts w:ascii="Times New Roman" w:eastAsia="Calibri" w:hAnsi="Times New Roman" w:cs="Times New Roman"/>
          <w:sz w:val="20"/>
          <w:szCs w:val="20"/>
          <w:shd w:val="clear" w:color="auto" w:fill="FFFFFF"/>
        </w:rPr>
        <w:t>T</w:t>
      </w:r>
      <w:r w:rsidRPr="008528DC">
        <w:rPr>
          <w:rFonts w:ascii="Times New Roman" w:eastAsia="Calibri" w:hAnsi="Times New Roman" w:cs="Times New Roman"/>
          <w:sz w:val="20"/>
          <w:szCs w:val="20"/>
          <w:shd w:val="clear" w:color="auto" w:fill="FFFFFF"/>
        </w:rPr>
        <w:t>he SABE survey d</w:t>
      </w:r>
      <w:r w:rsidR="00CB4103" w:rsidRPr="008528DC">
        <w:rPr>
          <w:rFonts w:ascii="Times New Roman" w:eastAsia="Calibri" w:hAnsi="Times New Roman" w:cs="Times New Roman"/>
          <w:sz w:val="20"/>
          <w:szCs w:val="20"/>
          <w:shd w:val="clear" w:color="auto" w:fill="FFFFFF"/>
        </w:rPr>
        <w:t>id</w:t>
      </w:r>
      <w:r w:rsidRPr="008528DC">
        <w:rPr>
          <w:rFonts w:ascii="Times New Roman" w:eastAsia="Calibri" w:hAnsi="Times New Roman" w:cs="Times New Roman"/>
          <w:sz w:val="20"/>
          <w:szCs w:val="20"/>
          <w:shd w:val="clear" w:color="auto" w:fill="FFFFFF"/>
        </w:rPr>
        <w:t xml:space="preserve"> not collect data on the long-term use of glucocorticoids</w:t>
      </w:r>
      <w:r w:rsidR="0045332F" w:rsidRPr="008528DC">
        <w:rPr>
          <w:rFonts w:ascii="Times New Roman" w:eastAsia="Calibri" w:hAnsi="Times New Roman" w:cs="Times New Roman"/>
          <w:sz w:val="20"/>
          <w:szCs w:val="20"/>
          <w:shd w:val="clear" w:color="auto" w:fill="FFFFFF"/>
        </w:rPr>
        <w:t>,</w:t>
      </w:r>
      <w:r w:rsidRPr="008528DC">
        <w:rPr>
          <w:rFonts w:ascii="Times New Roman" w:eastAsia="Calibri" w:hAnsi="Times New Roman" w:cs="Times New Roman"/>
          <w:sz w:val="20"/>
          <w:szCs w:val="20"/>
          <w:shd w:val="clear" w:color="auto" w:fill="FFFFFF"/>
        </w:rPr>
        <w:t xml:space="preserve"> family history of </w:t>
      </w:r>
      <w:r w:rsidR="00CB4103" w:rsidRPr="008528DC">
        <w:rPr>
          <w:rFonts w:ascii="Times New Roman" w:eastAsia="Calibri" w:hAnsi="Times New Roman" w:cs="Times New Roman"/>
          <w:sz w:val="20"/>
          <w:szCs w:val="20"/>
          <w:shd w:val="clear" w:color="auto" w:fill="FFFFFF"/>
        </w:rPr>
        <w:t>hip</w:t>
      </w:r>
      <w:r w:rsidR="009C75AB" w:rsidRPr="008528DC">
        <w:rPr>
          <w:rFonts w:ascii="Times New Roman" w:eastAsia="Calibri" w:hAnsi="Times New Roman" w:cs="Times New Roman"/>
          <w:sz w:val="20"/>
          <w:szCs w:val="20"/>
          <w:shd w:val="clear" w:color="auto" w:fill="FFFFFF"/>
        </w:rPr>
        <w:t xml:space="preserve"> </w:t>
      </w:r>
      <w:r w:rsidRPr="008528DC">
        <w:rPr>
          <w:rFonts w:ascii="Times New Roman" w:eastAsia="Calibri" w:hAnsi="Times New Roman" w:cs="Times New Roman"/>
          <w:sz w:val="20"/>
          <w:szCs w:val="20"/>
          <w:shd w:val="clear" w:color="auto" w:fill="FFFFFF"/>
        </w:rPr>
        <w:t xml:space="preserve">fractures, </w:t>
      </w:r>
      <w:r w:rsidR="0045332F" w:rsidRPr="008528DC">
        <w:rPr>
          <w:rFonts w:ascii="Times New Roman" w:eastAsia="Calibri" w:hAnsi="Times New Roman" w:cs="Times New Roman"/>
          <w:sz w:val="20"/>
          <w:szCs w:val="20"/>
          <w:shd w:val="clear" w:color="auto" w:fill="FFFFFF"/>
        </w:rPr>
        <w:t xml:space="preserve">or </w:t>
      </w:r>
      <w:r w:rsidR="006E615B" w:rsidRPr="008528DC">
        <w:rPr>
          <w:rFonts w:ascii="Times New Roman" w:eastAsia="Calibri" w:hAnsi="Times New Roman" w:cs="Times New Roman"/>
          <w:sz w:val="20"/>
          <w:szCs w:val="20"/>
          <w:shd w:val="clear" w:color="auto" w:fill="FFFFFF"/>
        </w:rPr>
        <w:t xml:space="preserve">secondary osteoporosis. </w:t>
      </w:r>
      <w:r w:rsidR="00257B6E" w:rsidRPr="008528DC">
        <w:rPr>
          <w:rFonts w:ascii="Times New Roman" w:eastAsia="Calibri" w:hAnsi="Times New Roman" w:cs="Times New Roman"/>
          <w:sz w:val="20"/>
          <w:szCs w:val="20"/>
          <w:shd w:val="clear" w:color="auto" w:fill="FFFFFF"/>
        </w:rPr>
        <w:t xml:space="preserve"> These missing data were simulated.  In a sensitivity </w:t>
      </w:r>
      <w:r w:rsidR="00EB0F6C" w:rsidRPr="008528DC">
        <w:rPr>
          <w:rFonts w:ascii="Times New Roman" w:eastAsia="Calibri" w:hAnsi="Times New Roman" w:cs="Times New Roman"/>
          <w:sz w:val="20"/>
          <w:szCs w:val="20"/>
          <w:shd w:val="clear" w:color="auto" w:fill="FFFFFF"/>
        </w:rPr>
        <w:t>analysis</w:t>
      </w:r>
      <w:r w:rsidR="007F4EC3" w:rsidRPr="008528DC">
        <w:rPr>
          <w:rFonts w:ascii="Times New Roman" w:eastAsia="Calibri" w:hAnsi="Times New Roman" w:cs="Times New Roman"/>
          <w:sz w:val="20"/>
          <w:szCs w:val="20"/>
          <w:shd w:val="clear" w:color="auto" w:fill="FFFFFF"/>
        </w:rPr>
        <w:t xml:space="preserve">, missing data were coded as a ‘no’ response to determine </w:t>
      </w:r>
      <w:r w:rsidR="00EB0F6C" w:rsidRPr="008528DC">
        <w:rPr>
          <w:rFonts w:ascii="Times New Roman" w:eastAsia="Calibri" w:hAnsi="Times New Roman" w:cs="Times New Roman"/>
          <w:sz w:val="20"/>
          <w:szCs w:val="20"/>
          <w:shd w:val="clear" w:color="auto" w:fill="FFFFFF"/>
        </w:rPr>
        <w:t>th</w:t>
      </w:r>
      <w:r w:rsidR="007F4EC3" w:rsidRPr="008528DC">
        <w:rPr>
          <w:rFonts w:ascii="Times New Roman" w:eastAsia="Calibri" w:hAnsi="Times New Roman" w:cs="Times New Roman"/>
          <w:sz w:val="20"/>
          <w:szCs w:val="20"/>
          <w:shd w:val="clear" w:color="auto" w:fill="FFFFFF"/>
        </w:rPr>
        <w:t>e impact of missing variables on fracture probability</w:t>
      </w:r>
      <w:r w:rsidR="00EB0F6C" w:rsidRPr="008528DC">
        <w:rPr>
          <w:rFonts w:ascii="Times New Roman" w:eastAsia="Calibri" w:hAnsi="Times New Roman" w:cs="Times New Roman"/>
          <w:sz w:val="20"/>
          <w:szCs w:val="20"/>
          <w:shd w:val="clear" w:color="auto" w:fill="FFFFFF"/>
        </w:rPr>
        <w:t>.</w:t>
      </w:r>
    </w:p>
    <w:p w14:paraId="5E2B2692" w14:textId="23CE0FB0" w:rsidR="00A243D1" w:rsidRPr="008528DC" w:rsidRDefault="00A243D1" w:rsidP="00077C16">
      <w:pPr>
        <w:spacing w:after="0" w:line="480" w:lineRule="auto"/>
        <w:rPr>
          <w:rFonts w:ascii="Times New Roman" w:eastAsia="Calibri" w:hAnsi="Times New Roman" w:cs="Times New Roman"/>
          <w:i/>
          <w:iCs/>
          <w:sz w:val="20"/>
          <w:szCs w:val="20"/>
          <w:shd w:val="clear" w:color="auto" w:fill="FFFFFF"/>
        </w:rPr>
      </w:pPr>
      <w:r w:rsidRPr="008528DC">
        <w:rPr>
          <w:rFonts w:ascii="Times New Roman" w:eastAsia="Calibri" w:hAnsi="Times New Roman" w:cs="Times New Roman"/>
          <w:i/>
          <w:iCs/>
          <w:sz w:val="20"/>
          <w:szCs w:val="20"/>
          <w:shd w:val="clear" w:color="auto" w:fill="FFFFFF"/>
        </w:rPr>
        <w:t>Simulation of variables</w:t>
      </w:r>
    </w:p>
    <w:p w14:paraId="5A7E5799" w14:textId="587937D6" w:rsidR="00613476" w:rsidRPr="008528DC" w:rsidRDefault="00613476" w:rsidP="00077C16">
      <w:pPr>
        <w:autoSpaceDE w:val="0"/>
        <w:autoSpaceDN w:val="0"/>
        <w:adjustRightInd w:val="0"/>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Data from the </w:t>
      </w:r>
      <w:r w:rsidR="009D1BF9" w:rsidRPr="008528DC">
        <w:rPr>
          <w:rFonts w:ascii="Times New Roman" w:eastAsia="Calibri" w:hAnsi="Times New Roman" w:cs="Times New Roman"/>
          <w:sz w:val="20"/>
          <w:szCs w:val="20"/>
          <w:shd w:val="clear" w:color="auto" w:fill="FFFFFF"/>
        </w:rPr>
        <w:t xml:space="preserve">derivation </w:t>
      </w:r>
      <w:r w:rsidRPr="008528DC">
        <w:rPr>
          <w:rFonts w:ascii="Times New Roman" w:eastAsia="Calibri" w:hAnsi="Times New Roman" w:cs="Times New Roman"/>
          <w:sz w:val="20"/>
          <w:szCs w:val="20"/>
          <w:shd w:val="clear" w:color="auto" w:fill="FFFFFF"/>
        </w:rPr>
        <w:t>cohort</w:t>
      </w:r>
      <w:r w:rsidR="00F42A47" w:rsidRPr="008528DC">
        <w:rPr>
          <w:rFonts w:ascii="Times New Roman" w:eastAsia="Calibri" w:hAnsi="Times New Roman" w:cs="Times New Roman"/>
          <w:sz w:val="20"/>
          <w:szCs w:val="20"/>
          <w:shd w:val="clear" w:color="auto" w:fill="FFFFFF"/>
        </w:rPr>
        <w:t xml:space="preserve">s </w:t>
      </w:r>
      <w:r w:rsidR="00F3268D" w:rsidRPr="008528DC">
        <w:rPr>
          <w:rFonts w:ascii="Times New Roman" w:eastAsia="Calibri" w:hAnsi="Times New Roman" w:cs="Times New Roman"/>
          <w:sz w:val="20"/>
          <w:szCs w:val="20"/>
          <w:shd w:val="clear" w:color="auto" w:fill="FFFFFF"/>
        </w:rPr>
        <w:t>used to synthesise</w:t>
      </w:r>
      <w:r w:rsidR="006C30EA" w:rsidRPr="008528DC">
        <w:rPr>
          <w:rFonts w:ascii="Times New Roman" w:eastAsia="Calibri" w:hAnsi="Times New Roman" w:cs="Times New Roman"/>
          <w:sz w:val="20"/>
          <w:szCs w:val="20"/>
          <w:shd w:val="clear" w:color="auto" w:fill="FFFFFF"/>
        </w:rPr>
        <w:t xml:space="preserve"> FRAX</w:t>
      </w:r>
      <w:r w:rsidRPr="008528DC">
        <w:rPr>
          <w:rFonts w:ascii="Times New Roman" w:eastAsia="Calibri" w:hAnsi="Times New Roman" w:cs="Times New Roman"/>
          <w:sz w:val="20"/>
          <w:szCs w:val="20"/>
          <w:shd w:val="clear" w:color="auto" w:fill="FFFFFF"/>
        </w:rPr>
        <w:t xml:space="preserve"> w</w:t>
      </w:r>
      <w:r w:rsidR="003B22AE" w:rsidRPr="008528DC">
        <w:rPr>
          <w:rFonts w:ascii="Times New Roman" w:eastAsia="Calibri" w:hAnsi="Times New Roman" w:cs="Times New Roman"/>
          <w:sz w:val="20"/>
          <w:szCs w:val="20"/>
          <w:shd w:val="clear" w:color="auto" w:fill="FFFFFF"/>
        </w:rPr>
        <w:t>ere</w:t>
      </w:r>
      <w:r w:rsidRPr="008528DC">
        <w:rPr>
          <w:rFonts w:ascii="Times New Roman" w:eastAsia="Calibri" w:hAnsi="Times New Roman" w:cs="Times New Roman"/>
          <w:sz w:val="20"/>
          <w:szCs w:val="20"/>
          <w:shd w:val="clear" w:color="auto" w:fill="FFFFFF"/>
        </w:rPr>
        <w:t xml:space="preserve"> us</w:t>
      </w:r>
      <w:r w:rsidR="009D1BF9" w:rsidRPr="008528DC">
        <w:rPr>
          <w:rFonts w:ascii="Times New Roman" w:eastAsia="Calibri" w:hAnsi="Times New Roman" w:cs="Times New Roman"/>
          <w:sz w:val="20"/>
          <w:szCs w:val="20"/>
          <w:shd w:val="clear" w:color="auto" w:fill="FFFFFF"/>
        </w:rPr>
        <w:t>e</w:t>
      </w:r>
      <w:r w:rsidRPr="008528DC">
        <w:rPr>
          <w:rFonts w:ascii="Times New Roman" w:eastAsia="Calibri" w:hAnsi="Times New Roman" w:cs="Times New Roman"/>
          <w:sz w:val="20"/>
          <w:szCs w:val="20"/>
          <w:shd w:val="clear" w:color="auto" w:fill="FFFFFF"/>
        </w:rPr>
        <w:t xml:space="preserve">d to simulate missing values. </w:t>
      </w:r>
      <w:r w:rsidR="00E37872" w:rsidRPr="008528DC">
        <w:rPr>
          <w:rFonts w:ascii="Times New Roman" w:eastAsia="Calibri" w:hAnsi="Times New Roman" w:cs="Times New Roman"/>
          <w:sz w:val="20"/>
          <w:szCs w:val="20"/>
          <w:shd w:val="clear" w:color="auto" w:fill="FFFFFF"/>
        </w:rPr>
        <w:t>L</w:t>
      </w:r>
      <w:r w:rsidRPr="008528DC">
        <w:rPr>
          <w:rFonts w:ascii="Times New Roman" w:eastAsia="Calibri" w:hAnsi="Times New Roman" w:cs="Times New Roman"/>
          <w:sz w:val="20"/>
          <w:szCs w:val="20"/>
          <w:shd w:val="clear" w:color="auto" w:fill="FFFFFF"/>
        </w:rPr>
        <w:t xml:space="preserve">ogistic regression equations were identified to generate data for the dichotomous FRAX variables as described previously </w:t>
      </w:r>
      <w:r w:rsidR="00821FAE" w:rsidRPr="008528DC">
        <w:rPr>
          <w:rFonts w:ascii="Times New Roman" w:eastAsia="Calibri" w:hAnsi="Times New Roman" w:cs="Times New Roman"/>
          <w:sz w:val="20"/>
          <w:szCs w:val="20"/>
          <w:shd w:val="clear" w:color="auto" w:fill="FFFFFF"/>
          <w:vertAlign w:val="superscript"/>
        </w:rPr>
        <w:t>15,</w:t>
      </w:r>
      <w:r w:rsidR="000A0320" w:rsidRPr="008528DC">
        <w:rPr>
          <w:rFonts w:ascii="Times New Roman" w:eastAsia="Calibri" w:hAnsi="Times New Roman" w:cs="Times New Roman"/>
          <w:sz w:val="20"/>
          <w:szCs w:val="20"/>
          <w:shd w:val="clear" w:color="auto" w:fill="FFFFFF"/>
          <w:vertAlign w:val="superscript"/>
        </w:rPr>
        <w:t xml:space="preserve"> </w:t>
      </w:r>
      <w:r w:rsidR="00821FAE" w:rsidRPr="008528DC">
        <w:rPr>
          <w:rFonts w:ascii="Times New Roman" w:eastAsia="Calibri" w:hAnsi="Times New Roman" w:cs="Times New Roman"/>
          <w:sz w:val="20"/>
          <w:szCs w:val="20"/>
          <w:shd w:val="clear" w:color="auto" w:fill="FFFFFF"/>
          <w:vertAlign w:val="superscript"/>
        </w:rPr>
        <w:t>16,</w:t>
      </w:r>
      <w:r w:rsidR="000A0320" w:rsidRPr="008528DC">
        <w:rPr>
          <w:rFonts w:ascii="Times New Roman" w:eastAsia="Calibri" w:hAnsi="Times New Roman" w:cs="Times New Roman"/>
          <w:sz w:val="20"/>
          <w:szCs w:val="20"/>
          <w:shd w:val="clear" w:color="auto" w:fill="FFFFFF"/>
          <w:vertAlign w:val="superscript"/>
        </w:rPr>
        <w:t xml:space="preserve"> </w:t>
      </w:r>
      <w:r w:rsidR="00821FAE" w:rsidRPr="008528DC">
        <w:rPr>
          <w:rFonts w:ascii="Times New Roman" w:eastAsia="Calibri" w:hAnsi="Times New Roman" w:cs="Times New Roman"/>
          <w:sz w:val="20"/>
          <w:szCs w:val="20"/>
          <w:shd w:val="clear" w:color="auto" w:fill="FFFFFF"/>
          <w:vertAlign w:val="superscript"/>
        </w:rPr>
        <w:t>17</w:t>
      </w:r>
      <w:r w:rsidRPr="008528DC">
        <w:rPr>
          <w:rFonts w:ascii="Times New Roman" w:eastAsia="Calibri" w:hAnsi="Times New Roman" w:cs="Times New Roman"/>
          <w:sz w:val="20"/>
          <w:szCs w:val="20"/>
          <w:shd w:val="clear" w:color="auto" w:fill="FFFFFF"/>
        </w:rPr>
        <w:t xml:space="preserve">.  The equations were applied to the data in the cohort to predict the probability of having a positive value for the missing key risk factor for each individual. </w:t>
      </w:r>
      <w:r w:rsidR="00FC0036" w:rsidRPr="008528DC">
        <w:rPr>
          <w:rFonts w:ascii="Times New Roman" w:eastAsia="Calibri" w:hAnsi="Times New Roman" w:cs="Times New Roman"/>
          <w:sz w:val="20"/>
          <w:szCs w:val="20"/>
          <w:shd w:val="clear" w:color="auto" w:fill="FFFFFF"/>
        </w:rPr>
        <w:t xml:space="preserve"> </w:t>
      </w:r>
      <w:r w:rsidRPr="008528DC">
        <w:rPr>
          <w:rFonts w:ascii="Times New Roman" w:eastAsia="Calibri" w:hAnsi="Times New Roman" w:cs="Times New Roman"/>
          <w:sz w:val="20"/>
          <w:szCs w:val="20"/>
          <w:shd w:val="clear" w:color="auto" w:fill="FFFFFF"/>
        </w:rPr>
        <w:t>Next, a random number was generated using a computer program, which was then compared with the predicted probability for that variable for that individual. If the random number was less than or equal to the predicted probability, the individual was assigned a positive response for the risk factor. If the random number was larger than the predicted probability, the person was assigned a negative response for the risk factor.</w:t>
      </w:r>
    </w:p>
    <w:p w14:paraId="2155DCD8" w14:textId="77777777" w:rsidR="00613476" w:rsidRPr="008528DC" w:rsidRDefault="00613476" w:rsidP="00077C16">
      <w:pPr>
        <w:autoSpaceDE w:val="0"/>
        <w:autoSpaceDN w:val="0"/>
        <w:adjustRightInd w:val="0"/>
        <w:spacing w:after="0" w:line="480" w:lineRule="auto"/>
        <w:rPr>
          <w:rFonts w:ascii="Times New Roman" w:eastAsia="Calibri" w:hAnsi="Times New Roman" w:cs="Times New Roman"/>
          <w:sz w:val="20"/>
          <w:szCs w:val="20"/>
          <w:highlight w:val="yellow"/>
          <w:shd w:val="clear" w:color="auto" w:fill="FFFFFF"/>
        </w:rPr>
      </w:pPr>
    </w:p>
    <w:p w14:paraId="67FF2063" w14:textId="77777777" w:rsidR="00A243D1" w:rsidRPr="008528DC" w:rsidRDefault="00A243D1" w:rsidP="00077C16">
      <w:pPr>
        <w:spacing w:after="0" w:line="480" w:lineRule="auto"/>
        <w:rPr>
          <w:rFonts w:ascii="Times New Roman" w:eastAsia="Calibri" w:hAnsi="Times New Roman" w:cs="Times New Roman"/>
          <w:i/>
          <w:iCs/>
          <w:sz w:val="20"/>
          <w:szCs w:val="20"/>
          <w:shd w:val="clear" w:color="auto" w:fill="FFFFFF"/>
        </w:rPr>
      </w:pPr>
      <w:r w:rsidRPr="008528DC">
        <w:rPr>
          <w:rFonts w:ascii="Times New Roman" w:eastAsia="Calibri" w:hAnsi="Times New Roman" w:cs="Times New Roman"/>
          <w:i/>
          <w:iCs/>
          <w:sz w:val="20"/>
          <w:szCs w:val="20"/>
          <w:shd w:val="clear" w:color="auto" w:fill="FFFFFF"/>
        </w:rPr>
        <w:t>Fracture probabilities</w:t>
      </w:r>
    </w:p>
    <w:p w14:paraId="418A61C9" w14:textId="09BE1504" w:rsidR="00A243D1" w:rsidRPr="008528DC" w:rsidRDefault="00A243D1"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The 10-year probabilities of hip fracture and a major osteoporotic fracture (clinical spine, hip, humerus or distal forearm fracture) were calculated using the FRAX model for </w:t>
      </w:r>
      <w:r w:rsidR="0006743E" w:rsidRPr="008528DC">
        <w:rPr>
          <w:rFonts w:ascii="Times New Roman" w:eastAsia="Calibri" w:hAnsi="Times New Roman" w:cs="Times New Roman"/>
          <w:sz w:val="20"/>
          <w:szCs w:val="20"/>
          <w:shd w:val="clear" w:color="auto" w:fill="FFFFFF"/>
        </w:rPr>
        <w:t>Ecuador (version 4.1)</w:t>
      </w:r>
      <w:r w:rsidRPr="008528DC">
        <w:rPr>
          <w:rFonts w:ascii="Times New Roman" w:eastAsia="Calibri" w:hAnsi="Times New Roman" w:cs="Times New Roman"/>
          <w:sz w:val="20"/>
          <w:szCs w:val="20"/>
          <w:shd w:val="clear" w:color="auto" w:fill="FFFFFF"/>
        </w:rPr>
        <w:t xml:space="preserve">.  Calculations were undertaken without the inclusion of femoral neck BMD. </w:t>
      </w:r>
      <w:r w:rsidR="000022CC" w:rsidRPr="008528DC">
        <w:rPr>
          <w:rFonts w:ascii="Times New Roman" w:eastAsia="Calibri" w:hAnsi="Times New Roman" w:cs="Times New Roman"/>
          <w:sz w:val="20"/>
          <w:szCs w:val="20"/>
          <w:shd w:val="clear" w:color="auto" w:fill="FFFFFF"/>
        </w:rPr>
        <w:t xml:space="preserve"> </w:t>
      </w:r>
      <w:r w:rsidR="00DA3DAD" w:rsidRPr="008528DC">
        <w:rPr>
          <w:rFonts w:ascii="Times New Roman" w:eastAsia="Calibri" w:hAnsi="Times New Roman" w:cs="Times New Roman"/>
          <w:sz w:val="20"/>
          <w:szCs w:val="20"/>
          <w:shd w:val="clear" w:color="auto" w:fill="FFFFFF"/>
        </w:rPr>
        <w:t xml:space="preserve">The upper age limit for the calculation of FRAX probabilities is 90 years.  </w:t>
      </w:r>
      <w:r w:rsidR="000022CC" w:rsidRPr="008528DC">
        <w:rPr>
          <w:rFonts w:ascii="Times New Roman" w:eastAsia="Calibri" w:hAnsi="Times New Roman" w:cs="Times New Roman"/>
          <w:sz w:val="20"/>
          <w:szCs w:val="20"/>
          <w:shd w:val="clear" w:color="auto" w:fill="FFFFFF"/>
        </w:rPr>
        <w:t>FRAX estimates for</w:t>
      </w:r>
      <w:r w:rsidR="0083546E" w:rsidRPr="008528DC">
        <w:rPr>
          <w:rFonts w:ascii="Times New Roman" w:hAnsi="Times New Roman" w:cs="Times New Roman"/>
          <w:sz w:val="20"/>
          <w:szCs w:val="20"/>
        </w:rPr>
        <w:t xml:space="preserve"> </w:t>
      </w:r>
      <w:r w:rsidR="004C5A95" w:rsidRPr="008528DC">
        <w:rPr>
          <w:rFonts w:ascii="Times New Roman" w:eastAsia="Calibri" w:hAnsi="Times New Roman" w:cs="Times New Roman"/>
          <w:sz w:val="20"/>
          <w:szCs w:val="20"/>
          <w:shd w:val="clear" w:color="auto" w:fill="FFFFFF"/>
        </w:rPr>
        <w:t>women</w:t>
      </w:r>
      <w:r w:rsidR="0083546E" w:rsidRPr="008528DC">
        <w:rPr>
          <w:rFonts w:ascii="Times New Roman" w:eastAsia="Calibri" w:hAnsi="Times New Roman" w:cs="Times New Roman"/>
          <w:sz w:val="20"/>
          <w:szCs w:val="20"/>
          <w:shd w:val="clear" w:color="auto" w:fill="FFFFFF"/>
        </w:rPr>
        <w:t xml:space="preserve"> age </w:t>
      </w:r>
      <w:r w:rsidR="004C5A95" w:rsidRPr="008528DC">
        <w:rPr>
          <w:rFonts w:ascii="Times New Roman" w:eastAsia="Calibri" w:hAnsi="Times New Roman" w:cs="Times New Roman"/>
          <w:sz w:val="20"/>
          <w:szCs w:val="20"/>
          <w:shd w:val="clear" w:color="auto" w:fill="FFFFFF"/>
        </w:rPr>
        <w:t xml:space="preserve">greater than </w:t>
      </w:r>
      <w:r w:rsidR="0083546E" w:rsidRPr="008528DC">
        <w:rPr>
          <w:rFonts w:ascii="Times New Roman" w:eastAsia="Calibri" w:hAnsi="Times New Roman" w:cs="Times New Roman"/>
          <w:sz w:val="20"/>
          <w:szCs w:val="20"/>
          <w:shd w:val="clear" w:color="auto" w:fill="FFFFFF"/>
        </w:rPr>
        <w:t>90</w:t>
      </w:r>
      <w:r w:rsidR="004C5A95" w:rsidRPr="008528DC">
        <w:rPr>
          <w:rFonts w:ascii="Times New Roman" w:eastAsia="Calibri" w:hAnsi="Times New Roman" w:cs="Times New Roman"/>
          <w:sz w:val="20"/>
          <w:szCs w:val="20"/>
          <w:shd w:val="clear" w:color="auto" w:fill="FFFFFF"/>
        </w:rPr>
        <w:t xml:space="preserve"> </w:t>
      </w:r>
      <w:r w:rsidR="004D7A3B" w:rsidRPr="008528DC">
        <w:rPr>
          <w:rFonts w:ascii="Times New Roman" w:eastAsia="Calibri" w:hAnsi="Times New Roman" w:cs="Times New Roman"/>
          <w:sz w:val="20"/>
          <w:szCs w:val="20"/>
          <w:shd w:val="clear" w:color="auto" w:fill="FFFFFF"/>
        </w:rPr>
        <w:t>years</w:t>
      </w:r>
      <w:r w:rsidR="0083546E" w:rsidRPr="008528DC">
        <w:rPr>
          <w:rFonts w:ascii="Times New Roman" w:eastAsia="Calibri" w:hAnsi="Times New Roman" w:cs="Times New Roman"/>
          <w:sz w:val="20"/>
          <w:szCs w:val="20"/>
          <w:shd w:val="clear" w:color="auto" w:fill="FFFFFF"/>
        </w:rPr>
        <w:t xml:space="preserve"> </w:t>
      </w:r>
      <w:r w:rsidR="004D7A3B" w:rsidRPr="008528DC">
        <w:rPr>
          <w:rFonts w:ascii="Times New Roman" w:eastAsia="Calibri" w:hAnsi="Times New Roman" w:cs="Times New Roman"/>
          <w:sz w:val="20"/>
          <w:szCs w:val="20"/>
          <w:shd w:val="clear" w:color="auto" w:fill="FFFFFF"/>
        </w:rPr>
        <w:t>was</w:t>
      </w:r>
      <w:r w:rsidR="0083546E" w:rsidRPr="008528DC">
        <w:rPr>
          <w:rFonts w:ascii="Times New Roman" w:eastAsia="Calibri" w:hAnsi="Times New Roman" w:cs="Times New Roman"/>
          <w:sz w:val="20"/>
          <w:szCs w:val="20"/>
          <w:shd w:val="clear" w:color="auto" w:fill="FFFFFF"/>
        </w:rPr>
        <w:t xml:space="preserve"> set </w:t>
      </w:r>
      <w:r w:rsidR="004D7A3B" w:rsidRPr="008528DC">
        <w:rPr>
          <w:rFonts w:ascii="Times New Roman" w:eastAsia="Calibri" w:hAnsi="Times New Roman" w:cs="Times New Roman"/>
          <w:sz w:val="20"/>
          <w:szCs w:val="20"/>
          <w:shd w:val="clear" w:color="auto" w:fill="FFFFFF"/>
        </w:rPr>
        <w:t>at</w:t>
      </w:r>
      <w:r w:rsidR="0083546E" w:rsidRPr="008528DC">
        <w:rPr>
          <w:rFonts w:ascii="Times New Roman" w:eastAsia="Calibri" w:hAnsi="Times New Roman" w:cs="Times New Roman"/>
          <w:sz w:val="20"/>
          <w:szCs w:val="20"/>
          <w:shd w:val="clear" w:color="auto" w:fill="FFFFFF"/>
        </w:rPr>
        <w:t xml:space="preserve"> 90 (28 </w:t>
      </w:r>
      <w:r w:rsidR="002D4AF8" w:rsidRPr="008528DC">
        <w:rPr>
          <w:rFonts w:ascii="Times New Roman" w:eastAsia="Calibri" w:hAnsi="Times New Roman" w:cs="Times New Roman"/>
          <w:sz w:val="20"/>
          <w:szCs w:val="20"/>
          <w:shd w:val="clear" w:color="auto" w:fill="FFFFFF"/>
        </w:rPr>
        <w:t>women</w:t>
      </w:r>
      <w:r w:rsidR="0083546E" w:rsidRPr="008528DC">
        <w:rPr>
          <w:rFonts w:ascii="Times New Roman" w:eastAsia="Calibri" w:hAnsi="Times New Roman" w:cs="Times New Roman"/>
          <w:sz w:val="20"/>
          <w:szCs w:val="20"/>
          <w:shd w:val="clear" w:color="auto" w:fill="FFFFFF"/>
        </w:rPr>
        <w:t>)</w:t>
      </w:r>
      <w:r w:rsidR="002D4AF8" w:rsidRPr="008528DC">
        <w:rPr>
          <w:rFonts w:ascii="Times New Roman" w:eastAsia="Calibri" w:hAnsi="Times New Roman" w:cs="Times New Roman"/>
          <w:sz w:val="20"/>
          <w:szCs w:val="20"/>
          <w:shd w:val="clear" w:color="auto" w:fill="FFFFFF"/>
        </w:rPr>
        <w:t>.</w:t>
      </w:r>
      <w:r w:rsidR="006E7906" w:rsidRPr="008528DC">
        <w:rPr>
          <w:rFonts w:ascii="Times New Roman" w:eastAsia="Calibri" w:hAnsi="Times New Roman" w:cs="Times New Roman"/>
          <w:sz w:val="20"/>
          <w:szCs w:val="20"/>
          <w:shd w:val="clear" w:color="auto" w:fill="FFFFFF"/>
        </w:rPr>
        <w:t xml:space="preserve"> </w:t>
      </w:r>
    </w:p>
    <w:p w14:paraId="74D64477" w14:textId="02355DDC" w:rsidR="00A243D1" w:rsidRPr="008528DC" w:rsidRDefault="00A243D1" w:rsidP="00077C16">
      <w:pPr>
        <w:spacing w:after="0" w:line="480" w:lineRule="auto"/>
        <w:rPr>
          <w:rFonts w:ascii="Times New Roman" w:eastAsia="Calibri" w:hAnsi="Times New Roman" w:cs="Times New Roman"/>
          <w:i/>
          <w:iCs/>
          <w:sz w:val="20"/>
          <w:szCs w:val="20"/>
          <w:shd w:val="clear" w:color="auto" w:fill="FFFFFF"/>
        </w:rPr>
      </w:pPr>
      <w:bookmarkStart w:id="10" w:name="_Hlk27918063"/>
      <w:r w:rsidRPr="008528DC">
        <w:rPr>
          <w:rFonts w:ascii="Times New Roman" w:eastAsia="Calibri" w:hAnsi="Times New Roman" w:cs="Times New Roman"/>
          <w:i/>
          <w:iCs/>
          <w:sz w:val="20"/>
          <w:szCs w:val="20"/>
          <w:shd w:val="clear" w:color="auto" w:fill="FFFFFF"/>
        </w:rPr>
        <w:t>Intervention thresholds based on FRAX</w:t>
      </w:r>
    </w:p>
    <w:p w14:paraId="545E6603" w14:textId="220A6AB4" w:rsidR="0070705A" w:rsidRPr="008528DC" w:rsidRDefault="0070705A"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Two intervention th</w:t>
      </w:r>
      <w:r w:rsidR="008F508B" w:rsidRPr="008528DC">
        <w:rPr>
          <w:rFonts w:ascii="Times New Roman" w:eastAsia="Calibri" w:hAnsi="Times New Roman" w:cs="Times New Roman"/>
          <w:sz w:val="20"/>
          <w:szCs w:val="20"/>
          <w:shd w:val="clear" w:color="auto" w:fill="FFFFFF"/>
        </w:rPr>
        <w:t xml:space="preserve">resholds were </w:t>
      </w:r>
      <w:r w:rsidR="00FC0036" w:rsidRPr="008528DC">
        <w:rPr>
          <w:rFonts w:ascii="Times New Roman" w:eastAsia="Calibri" w:hAnsi="Times New Roman" w:cs="Times New Roman"/>
          <w:sz w:val="20"/>
          <w:szCs w:val="20"/>
          <w:shd w:val="clear" w:color="auto" w:fill="FFFFFF"/>
        </w:rPr>
        <w:t>explored:</w:t>
      </w:r>
      <w:r w:rsidR="008F508B" w:rsidRPr="008528DC">
        <w:rPr>
          <w:rFonts w:ascii="Times New Roman" w:eastAsia="Calibri" w:hAnsi="Times New Roman" w:cs="Times New Roman"/>
          <w:sz w:val="20"/>
          <w:szCs w:val="20"/>
          <w:shd w:val="clear" w:color="auto" w:fill="FFFFFF"/>
        </w:rPr>
        <w:t xml:space="preserve"> an age-specifi</w:t>
      </w:r>
      <w:r w:rsidR="00E63A34" w:rsidRPr="008528DC">
        <w:rPr>
          <w:rFonts w:ascii="Times New Roman" w:eastAsia="Calibri" w:hAnsi="Times New Roman" w:cs="Times New Roman"/>
          <w:sz w:val="20"/>
          <w:szCs w:val="20"/>
          <w:shd w:val="clear" w:color="auto" w:fill="FFFFFF"/>
        </w:rPr>
        <w:t>c</w:t>
      </w:r>
      <w:r w:rsidR="008F508B" w:rsidRPr="008528DC">
        <w:rPr>
          <w:rFonts w:ascii="Times New Roman" w:eastAsia="Calibri" w:hAnsi="Times New Roman" w:cs="Times New Roman"/>
          <w:sz w:val="20"/>
          <w:szCs w:val="20"/>
          <w:shd w:val="clear" w:color="auto" w:fill="FFFFFF"/>
        </w:rPr>
        <w:t xml:space="preserve"> </w:t>
      </w:r>
      <w:r w:rsidR="003C2AE8" w:rsidRPr="008528DC">
        <w:rPr>
          <w:rFonts w:ascii="Times New Roman" w:eastAsia="Calibri" w:hAnsi="Times New Roman" w:cs="Times New Roman"/>
          <w:sz w:val="20"/>
          <w:szCs w:val="20"/>
          <w:shd w:val="clear" w:color="auto" w:fill="FFFFFF"/>
        </w:rPr>
        <w:t>threshold and a hybrid threshold</w:t>
      </w:r>
      <w:r w:rsidR="00E63A34" w:rsidRPr="008528DC">
        <w:rPr>
          <w:rFonts w:ascii="Times New Roman" w:eastAsia="Calibri" w:hAnsi="Times New Roman" w:cs="Times New Roman"/>
          <w:sz w:val="20"/>
          <w:szCs w:val="20"/>
          <w:shd w:val="clear" w:color="auto" w:fill="FFFFFF"/>
        </w:rPr>
        <w:t>, shown in Fi</w:t>
      </w:r>
      <w:r w:rsidR="00DF0351" w:rsidRPr="008528DC">
        <w:rPr>
          <w:rFonts w:ascii="Times New Roman" w:eastAsia="Calibri" w:hAnsi="Times New Roman" w:cs="Times New Roman"/>
          <w:sz w:val="20"/>
          <w:szCs w:val="20"/>
          <w:shd w:val="clear" w:color="auto" w:fill="FFFFFF"/>
        </w:rPr>
        <w:t>g</w:t>
      </w:r>
      <w:r w:rsidR="00E63A34" w:rsidRPr="008528DC">
        <w:rPr>
          <w:rFonts w:ascii="Times New Roman" w:eastAsia="Calibri" w:hAnsi="Times New Roman" w:cs="Times New Roman"/>
          <w:sz w:val="20"/>
          <w:szCs w:val="20"/>
          <w:shd w:val="clear" w:color="auto" w:fill="FFFFFF"/>
        </w:rPr>
        <w:t>ure 1.</w:t>
      </w:r>
    </w:p>
    <w:p w14:paraId="1AA26B71" w14:textId="4E30FDB1" w:rsidR="003F1299" w:rsidRPr="008528DC" w:rsidRDefault="003F1299"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a. Age-specific th</w:t>
      </w:r>
      <w:r w:rsidR="005800BC" w:rsidRPr="008528DC">
        <w:rPr>
          <w:rFonts w:ascii="Times New Roman" w:eastAsia="Calibri" w:hAnsi="Times New Roman" w:cs="Times New Roman"/>
          <w:sz w:val="20"/>
          <w:szCs w:val="20"/>
          <w:shd w:val="clear" w:color="auto" w:fill="FFFFFF"/>
        </w:rPr>
        <w:t>resholds</w:t>
      </w:r>
    </w:p>
    <w:p w14:paraId="0E87FD97" w14:textId="70F3ACA8" w:rsidR="00993AB2" w:rsidRPr="008528DC" w:rsidRDefault="00745E42"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Many guidelines recommend that postmenopausal women with </w:t>
      </w:r>
      <w:r w:rsidR="003955E2" w:rsidRPr="008528DC">
        <w:rPr>
          <w:rFonts w:ascii="Times New Roman" w:eastAsia="Calibri" w:hAnsi="Times New Roman" w:cs="Times New Roman"/>
          <w:sz w:val="20"/>
          <w:szCs w:val="20"/>
          <w:shd w:val="clear" w:color="auto" w:fill="FFFFFF"/>
        </w:rPr>
        <w:t xml:space="preserve">a </w:t>
      </w:r>
      <w:r w:rsidR="008902AC" w:rsidRPr="008528DC">
        <w:rPr>
          <w:rFonts w:ascii="Times New Roman" w:eastAsia="Calibri" w:hAnsi="Times New Roman" w:cs="Times New Roman"/>
          <w:sz w:val="20"/>
          <w:szCs w:val="20"/>
          <w:shd w:val="clear" w:color="auto" w:fill="FFFFFF"/>
        </w:rPr>
        <w:t>prior fragility fracture</w:t>
      </w:r>
      <w:r w:rsidRPr="008528DC">
        <w:rPr>
          <w:rFonts w:ascii="Times New Roman" w:eastAsia="Calibri" w:hAnsi="Times New Roman" w:cs="Times New Roman"/>
          <w:sz w:val="20"/>
          <w:szCs w:val="20"/>
          <w:shd w:val="clear" w:color="auto" w:fill="FFFFFF"/>
        </w:rPr>
        <w:t xml:space="preserve"> may be considered for intervention without the necessity for a BMD test (other than to monitor treatment) </w:t>
      </w:r>
      <w:r w:rsidR="00C23433" w:rsidRPr="008528DC">
        <w:rPr>
          <w:rFonts w:ascii="Times New Roman" w:eastAsia="Calibri" w:hAnsi="Times New Roman" w:cs="Times New Roman"/>
          <w:sz w:val="20"/>
          <w:szCs w:val="20"/>
          <w:shd w:val="clear" w:color="auto" w:fill="FFFFFF"/>
          <w:vertAlign w:val="superscript"/>
        </w:rPr>
        <w:t>5,</w:t>
      </w:r>
      <w:r w:rsidR="000A0320" w:rsidRPr="008528DC">
        <w:rPr>
          <w:rFonts w:ascii="Times New Roman" w:eastAsia="Calibri" w:hAnsi="Times New Roman" w:cs="Times New Roman"/>
          <w:sz w:val="20"/>
          <w:szCs w:val="20"/>
          <w:shd w:val="clear" w:color="auto" w:fill="FFFFFF"/>
          <w:vertAlign w:val="superscript"/>
        </w:rPr>
        <w:t xml:space="preserve"> 7, </w:t>
      </w:r>
      <w:r w:rsidR="00C23433" w:rsidRPr="008528DC">
        <w:rPr>
          <w:rFonts w:ascii="Times New Roman" w:eastAsia="Calibri" w:hAnsi="Times New Roman" w:cs="Times New Roman"/>
          <w:sz w:val="20"/>
          <w:szCs w:val="20"/>
          <w:shd w:val="clear" w:color="auto" w:fill="FFFFFF"/>
          <w:vertAlign w:val="superscript"/>
        </w:rPr>
        <w:t>9,</w:t>
      </w:r>
      <w:r w:rsidR="000A0320" w:rsidRPr="008528DC">
        <w:rPr>
          <w:rFonts w:ascii="Times New Roman" w:eastAsia="Calibri" w:hAnsi="Times New Roman" w:cs="Times New Roman"/>
          <w:sz w:val="20"/>
          <w:szCs w:val="20"/>
          <w:shd w:val="clear" w:color="auto" w:fill="FFFFFF"/>
          <w:vertAlign w:val="superscript"/>
        </w:rPr>
        <w:t xml:space="preserve"> </w:t>
      </w:r>
      <w:r w:rsidR="00C23433" w:rsidRPr="008528DC">
        <w:rPr>
          <w:rFonts w:ascii="Times New Roman" w:eastAsia="Calibri" w:hAnsi="Times New Roman" w:cs="Times New Roman"/>
          <w:sz w:val="20"/>
          <w:szCs w:val="20"/>
          <w:shd w:val="clear" w:color="auto" w:fill="FFFFFF"/>
          <w:vertAlign w:val="superscript"/>
        </w:rPr>
        <w:t>19</w:t>
      </w:r>
      <w:r w:rsidRPr="008528DC">
        <w:rPr>
          <w:rFonts w:ascii="Times New Roman" w:eastAsia="Calibri" w:hAnsi="Times New Roman" w:cs="Times New Roman"/>
          <w:sz w:val="20"/>
          <w:szCs w:val="20"/>
          <w:shd w:val="clear" w:color="auto" w:fill="FFFFFF"/>
        </w:rPr>
        <w:t>.</w:t>
      </w:r>
      <w:r w:rsidR="0028137D" w:rsidRPr="008528DC">
        <w:rPr>
          <w:rFonts w:ascii="Times New Roman" w:eastAsia="Calibri" w:hAnsi="Times New Roman" w:cs="Times New Roman"/>
          <w:sz w:val="20"/>
          <w:szCs w:val="20"/>
          <w:shd w:val="clear" w:color="auto" w:fill="FFFFFF"/>
        </w:rPr>
        <w:t xml:space="preserve">  </w:t>
      </w:r>
      <w:bookmarkEnd w:id="10"/>
      <w:r w:rsidR="00F76212" w:rsidRPr="008528DC">
        <w:rPr>
          <w:rFonts w:ascii="Times New Roman" w:eastAsia="Calibri" w:hAnsi="Times New Roman" w:cs="Times New Roman"/>
          <w:sz w:val="20"/>
          <w:szCs w:val="20"/>
          <w:shd w:val="clear" w:color="auto" w:fill="FFFFFF"/>
        </w:rPr>
        <w:t xml:space="preserve">Given that a prior fracture was considered to carry a sufficient risk to recommend treatment, the intervention threshold in women without a prior fracture </w:t>
      </w:r>
      <w:r w:rsidR="00057555" w:rsidRPr="008528DC">
        <w:rPr>
          <w:rFonts w:ascii="Times New Roman" w:eastAsia="Calibri" w:hAnsi="Times New Roman" w:cs="Times New Roman"/>
          <w:sz w:val="20"/>
          <w:szCs w:val="20"/>
          <w:shd w:val="clear" w:color="auto" w:fill="FFFFFF"/>
        </w:rPr>
        <w:t>can be</w:t>
      </w:r>
      <w:r w:rsidR="00F76212" w:rsidRPr="008528DC">
        <w:rPr>
          <w:rFonts w:ascii="Times New Roman" w:eastAsia="Calibri" w:hAnsi="Times New Roman" w:cs="Times New Roman"/>
          <w:sz w:val="20"/>
          <w:szCs w:val="20"/>
          <w:shd w:val="clear" w:color="auto" w:fill="FFFFFF"/>
        </w:rPr>
        <w:t xml:space="preserve"> set at the age-specific 10-year probability of a major fracture (hip, spine, forearm or humerus) equivalent to women with a prior fragility fracture</w:t>
      </w:r>
      <w:r w:rsidR="0060335E" w:rsidRPr="008528DC">
        <w:rPr>
          <w:rFonts w:ascii="Times New Roman" w:eastAsia="Calibri" w:hAnsi="Times New Roman" w:cs="Times New Roman"/>
          <w:sz w:val="20"/>
          <w:szCs w:val="20"/>
          <w:shd w:val="clear" w:color="auto" w:fill="FFFFFF"/>
        </w:rPr>
        <w:t xml:space="preserve">.  The </w:t>
      </w:r>
      <w:r w:rsidR="00057555" w:rsidRPr="008528DC">
        <w:rPr>
          <w:rFonts w:ascii="Times New Roman" w:eastAsia="Calibri" w:hAnsi="Times New Roman" w:cs="Times New Roman"/>
          <w:sz w:val="20"/>
          <w:szCs w:val="20"/>
          <w:shd w:val="clear" w:color="auto" w:fill="FFFFFF"/>
        </w:rPr>
        <w:t>approach,</w:t>
      </w:r>
      <w:r w:rsidR="0060335E" w:rsidRPr="008528DC">
        <w:rPr>
          <w:rFonts w:ascii="Times New Roman" w:eastAsia="Calibri" w:hAnsi="Times New Roman" w:cs="Times New Roman"/>
          <w:sz w:val="20"/>
          <w:szCs w:val="20"/>
          <w:shd w:val="clear" w:color="auto" w:fill="FFFFFF"/>
        </w:rPr>
        <w:t xml:space="preserve"> originally dev</w:t>
      </w:r>
      <w:r w:rsidR="00F72924" w:rsidRPr="008528DC">
        <w:rPr>
          <w:rFonts w:ascii="Times New Roman" w:eastAsia="Calibri" w:hAnsi="Times New Roman" w:cs="Times New Roman"/>
          <w:sz w:val="20"/>
          <w:szCs w:val="20"/>
          <w:shd w:val="clear" w:color="auto" w:fill="FFFFFF"/>
        </w:rPr>
        <w:t xml:space="preserve">eloped </w:t>
      </w:r>
      <w:r w:rsidR="006A3FB9" w:rsidRPr="008528DC">
        <w:rPr>
          <w:rFonts w:ascii="Times New Roman" w:eastAsia="Calibri" w:hAnsi="Times New Roman" w:cs="Times New Roman"/>
          <w:sz w:val="20"/>
          <w:szCs w:val="20"/>
          <w:shd w:val="clear" w:color="auto" w:fill="FFFFFF"/>
        </w:rPr>
        <w:t>for</w:t>
      </w:r>
      <w:r w:rsidR="00F72924" w:rsidRPr="008528DC">
        <w:rPr>
          <w:rFonts w:ascii="Times New Roman" w:eastAsia="Calibri" w:hAnsi="Times New Roman" w:cs="Times New Roman"/>
          <w:sz w:val="20"/>
          <w:szCs w:val="20"/>
          <w:shd w:val="clear" w:color="auto" w:fill="FFFFFF"/>
        </w:rPr>
        <w:t xml:space="preserve"> NOGG </w:t>
      </w:r>
      <w:r w:rsidR="00C23433" w:rsidRPr="008528DC">
        <w:rPr>
          <w:rFonts w:ascii="Times New Roman" w:eastAsia="Calibri" w:hAnsi="Times New Roman" w:cs="Times New Roman"/>
          <w:sz w:val="20"/>
          <w:szCs w:val="20"/>
          <w:shd w:val="clear" w:color="auto" w:fill="FFFFFF"/>
          <w:vertAlign w:val="superscript"/>
        </w:rPr>
        <w:t>8</w:t>
      </w:r>
      <w:r w:rsidR="00057555" w:rsidRPr="008528DC">
        <w:rPr>
          <w:rFonts w:ascii="Times New Roman" w:eastAsia="Calibri" w:hAnsi="Times New Roman" w:cs="Times New Roman"/>
          <w:sz w:val="20"/>
          <w:szCs w:val="20"/>
          <w:shd w:val="clear" w:color="auto" w:fill="FFFFFF"/>
        </w:rPr>
        <w:t>,</w:t>
      </w:r>
      <w:r w:rsidR="00F72924" w:rsidRPr="008528DC">
        <w:rPr>
          <w:rFonts w:ascii="Times New Roman" w:eastAsia="Calibri" w:hAnsi="Times New Roman" w:cs="Times New Roman"/>
          <w:sz w:val="20"/>
          <w:szCs w:val="20"/>
          <w:shd w:val="clear" w:color="auto" w:fill="FFFFFF"/>
        </w:rPr>
        <w:t xml:space="preserve"> has been</w:t>
      </w:r>
      <w:r w:rsidR="00152C83" w:rsidRPr="008528DC">
        <w:rPr>
          <w:rFonts w:ascii="Times New Roman" w:eastAsia="Calibri" w:hAnsi="Times New Roman" w:cs="Times New Roman"/>
          <w:sz w:val="20"/>
          <w:szCs w:val="20"/>
          <w:shd w:val="clear" w:color="auto" w:fill="FFFFFF"/>
        </w:rPr>
        <w:t xml:space="preserve"> widely adopted </w:t>
      </w:r>
      <w:r w:rsidR="00C23433" w:rsidRPr="008528DC">
        <w:rPr>
          <w:rFonts w:ascii="Times New Roman" w:eastAsia="Calibri" w:hAnsi="Times New Roman" w:cs="Times New Roman"/>
          <w:sz w:val="20"/>
          <w:szCs w:val="20"/>
          <w:shd w:val="clear" w:color="auto" w:fill="FFFFFF"/>
          <w:vertAlign w:val="superscript"/>
        </w:rPr>
        <w:t>1,</w:t>
      </w:r>
      <w:r w:rsidR="000A0320" w:rsidRPr="008528DC">
        <w:rPr>
          <w:rFonts w:ascii="Times New Roman" w:eastAsia="Calibri" w:hAnsi="Times New Roman" w:cs="Times New Roman"/>
          <w:sz w:val="20"/>
          <w:szCs w:val="20"/>
          <w:shd w:val="clear" w:color="auto" w:fill="FFFFFF"/>
          <w:vertAlign w:val="superscript"/>
        </w:rPr>
        <w:t xml:space="preserve"> 5, 7, </w:t>
      </w:r>
      <w:r w:rsidR="00C23433" w:rsidRPr="008528DC">
        <w:rPr>
          <w:rFonts w:ascii="Times New Roman" w:eastAsia="Calibri" w:hAnsi="Times New Roman" w:cs="Times New Roman"/>
          <w:sz w:val="20"/>
          <w:szCs w:val="20"/>
          <w:shd w:val="clear" w:color="auto" w:fill="FFFFFF"/>
          <w:vertAlign w:val="superscript"/>
        </w:rPr>
        <w:t>9</w:t>
      </w:r>
      <w:r w:rsidR="00152C83" w:rsidRPr="008528DC">
        <w:rPr>
          <w:rFonts w:ascii="Times New Roman" w:eastAsia="Calibri" w:hAnsi="Times New Roman" w:cs="Times New Roman"/>
          <w:sz w:val="20"/>
          <w:szCs w:val="20"/>
          <w:shd w:val="clear" w:color="auto" w:fill="FFFFFF"/>
        </w:rPr>
        <w:t xml:space="preserve">.  </w:t>
      </w:r>
      <w:bookmarkStart w:id="11" w:name="_Hlk54529839"/>
      <w:r w:rsidR="00152C83" w:rsidRPr="008528DC">
        <w:rPr>
          <w:rFonts w:ascii="Times New Roman" w:eastAsia="Calibri" w:hAnsi="Times New Roman" w:cs="Times New Roman"/>
          <w:sz w:val="20"/>
          <w:szCs w:val="20"/>
          <w:shd w:val="clear" w:color="auto" w:fill="FFFFFF"/>
        </w:rPr>
        <w:t>The same approach was used in the present study</w:t>
      </w:r>
      <w:r w:rsidR="00181172" w:rsidRPr="008528DC">
        <w:rPr>
          <w:rFonts w:ascii="Times New Roman" w:eastAsia="Calibri" w:hAnsi="Times New Roman" w:cs="Times New Roman"/>
          <w:sz w:val="20"/>
          <w:szCs w:val="20"/>
          <w:shd w:val="clear" w:color="auto" w:fill="FFFFFF"/>
        </w:rPr>
        <w:t xml:space="preserve"> using the </w:t>
      </w:r>
      <w:r w:rsidR="00FE34BE" w:rsidRPr="008528DC">
        <w:rPr>
          <w:rFonts w:ascii="Times New Roman" w:eastAsia="Calibri" w:hAnsi="Times New Roman" w:cs="Times New Roman"/>
          <w:sz w:val="20"/>
          <w:szCs w:val="20"/>
          <w:shd w:val="clear" w:color="auto" w:fill="FFFFFF"/>
        </w:rPr>
        <w:t>Ecuadorian FRAX</w:t>
      </w:r>
      <w:r w:rsidR="00F76212" w:rsidRPr="008528DC">
        <w:rPr>
          <w:rFonts w:ascii="Times New Roman" w:eastAsia="Calibri" w:hAnsi="Times New Roman" w:cs="Times New Roman"/>
          <w:sz w:val="20"/>
          <w:szCs w:val="20"/>
          <w:shd w:val="clear" w:color="auto" w:fill="FFFFFF"/>
        </w:rPr>
        <w:t xml:space="preserve"> model.</w:t>
      </w:r>
      <w:bookmarkEnd w:id="11"/>
      <w:r w:rsidR="00F76212" w:rsidRPr="008528DC">
        <w:rPr>
          <w:rFonts w:ascii="Times New Roman" w:eastAsia="Calibri" w:hAnsi="Times New Roman" w:cs="Times New Roman"/>
          <w:sz w:val="20"/>
          <w:szCs w:val="20"/>
          <w:shd w:val="clear" w:color="auto" w:fill="FFFFFF"/>
        </w:rPr>
        <w:t xml:space="preserve"> Body mass index was set at </w:t>
      </w:r>
      <w:r w:rsidR="00F86C6E" w:rsidRPr="008528DC">
        <w:rPr>
          <w:rFonts w:ascii="Times New Roman" w:eastAsia="Calibri" w:hAnsi="Times New Roman" w:cs="Times New Roman"/>
          <w:sz w:val="20"/>
          <w:szCs w:val="20"/>
          <w:shd w:val="clear" w:color="auto" w:fill="FFFFFF"/>
        </w:rPr>
        <w:t>25</w:t>
      </w:r>
      <w:r w:rsidR="00F76212" w:rsidRPr="008528DC">
        <w:rPr>
          <w:rFonts w:ascii="Times New Roman" w:eastAsia="Calibri" w:hAnsi="Times New Roman" w:cs="Times New Roman"/>
          <w:sz w:val="20"/>
          <w:szCs w:val="20"/>
          <w:shd w:val="clear" w:color="auto" w:fill="FFFFFF"/>
        </w:rPr>
        <w:t xml:space="preserve"> kg/m</w:t>
      </w:r>
      <w:r w:rsidR="00F76212" w:rsidRPr="008528DC">
        <w:rPr>
          <w:rFonts w:ascii="Times New Roman" w:eastAsia="Calibri" w:hAnsi="Times New Roman" w:cs="Times New Roman"/>
          <w:sz w:val="20"/>
          <w:szCs w:val="20"/>
          <w:shd w:val="clear" w:color="auto" w:fill="FFFFFF"/>
          <w:vertAlign w:val="superscript"/>
        </w:rPr>
        <w:t>2</w:t>
      </w:r>
      <w:r w:rsidR="00D62FCF" w:rsidRPr="008528DC">
        <w:rPr>
          <w:rFonts w:ascii="Times New Roman" w:eastAsia="Calibri" w:hAnsi="Times New Roman" w:cs="Times New Roman"/>
          <w:sz w:val="20"/>
          <w:szCs w:val="20"/>
          <w:shd w:val="clear" w:color="auto" w:fill="FFFFFF"/>
        </w:rPr>
        <w:t>.</w:t>
      </w:r>
    </w:p>
    <w:p w14:paraId="22B84223" w14:textId="1010F137" w:rsidR="007B28A4" w:rsidRPr="008528DC" w:rsidRDefault="007B28A4"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b.  Hybrid threshold</w:t>
      </w:r>
    </w:p>
    <w:p w14:paraId="6EB78E57" w14:textId="0738EADD" w:rsidR="00B57E8E" w:rsidRPr="008528DC" w:rsidRDefault="004804C3"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With age-specific thresholds</w:t>
      </w:r>
      <w:r w:rsidR="00B57E8E" w:rsidRPr="008528DC">
        <w:rPr>
          <w:rFonts w:ascii="Times New Roman" w:eastAsia="Calibri" w:hAnsi="Times New Roman" w:cs="Times New Roman"/>
          <w:sz w:val="20"/>
          <w:szCs w:val="20"/>
          <w:shd w:val="clear" w:color="auto" w:fill="FFFFFF"/>
        </w:rPr>
        <w:t>, inequalities in access to therapy ar</w:t>
      </w:r>
      <w:r w:rsidR="002D0FFF" w:rsidRPr="008528DC">
        <w:rPr>
          <w:rFonts w:ascii="Times New Roman" w:eastAsia="Calibri" w:hAnsi="Times New Roman" w:cs="Times New Roman"/>
          <w:sz w:val="20"/>
          <w:szCs w:val="20"/>
          <w:shd w:val="clear" w:color="auto" w:fill="FFFFFF"/>
        </w:rPr>
        <w:t>o</w:t>
      </w:r>
      <w:r w:rsidR="00B57E8E" w:rsidRPr="008528DC">
        <w:rPr>
          <w:rFonts w:ascii="Times New Roman" w:eastAsia="Calibri" w:hAnsi="Times New Roman" w:cs="Times New Roman"/>
          <w:sz w:val="20"/>
          <w:szCs w:val="20"/>
          <w:shd w:val="clear" w:color="auto" w:fill="FFFFFF"/>
        </w:rPr>
        <w:t>se</w:t>
      </w:r>
      <w:r w:rsidR="00EE0088" w:rsidRPr="008528DC">
        <w:rPr>
          <w:rFonts w:ascii="Times New Roman" w:eastAsia="Calibri" w:hAnsi="Times New Roman" w:cs="Times New Roman"/>
          <w:sz w:val="20"/>
          <w:szCs w:val="20"/>
          <w:shd w:val="clear" w:color="auto" w:fill="FFFFFF"/>
        </w:rPr>
        <w:t xml:space="preserve"> in the original</w:t>
      </w:r>
      <w:r w:rsidR="00AE7129" w:rsidRPr="008528DC">
        <w:rPr>
          <w:rFonts w:ascii="Times New Roman" w:eastAsia="Calibri" w:hAnsi="Times New Roman" w:cs="Times New Roman"/>
          <w:sz w:val="20"/>
          <w:szCs w:val="20"/>
          <w:shd w:val="clear" w:color="auto" w:fill="FFFFFF"/>
        </w:rPr>
        <w:t xml:space="preserve"> </w:t>
      </w:r>
      <w:r w:rsidR="00EE0088" w:rsidRPr="008528DC">
        <w:rPr>
          <w:rFonts w:ascii="Times New Roman" w:eastAsia="Calibri" w:hAnsi="Times New Roman" w:cs="Times New Roman"/>
          <w:sz w:val="20"/>
          <w:szCs w:val="20"/>
          <w:shd w:val="clear" w:color="auto" w:fill="FFFFFF"/>
        </w:rPr>
        <w:t>NOGG guidelines</w:t>
      </w:r>
      <w:r w:rsidR="00AE7129" w:rsidRPr="008528DC">
        <w:rPr>
          <w:rFonts w:ascii="Times New Roman" w:eastAsia="Calibri" w:hAnsi="Times New Roman" w:cs="Times New Roman"/>
          <w:sz w:val="20"/>
          <w:szCs w:val="20"/>
          <w:shd w:val="clear" w:color="auto" w:fill="FFFFFF"/>
        </w:rPr>
        <w:t xml:space="preserve"> </w:t>
      </w:r>
      <w:r w:rsidR="00B57E8E" w:rsidRPr="008528DC">
        <w:rPr>
          <w:rFonts w:ascii="Times New Roman" w:eastAsia="Calibri" w:hAnsi="Times New Roman" w:cs="Times New Roman"/>
          <w:sz w:val="20"/>
          <w:szCs w:val="20"/>
          <w:shd w:val="clear" w:color="auto" w:fill="FFFFFF"/>
        </w:rPr>
        <w:t>especially at older ages (≥70 years) depending on the presence</w:t>
      </w:r>
      <w:r w:rsidR="007943BE" w:rsidRPr="008528DC">
        <w:rPr>
          <w:rFonts w:ascii="Times New Roman" w:eastAsia="Calibri" w:hAnsi="Times New Roman" w:cs="Times New Roman"/>
          <w:sz w:val="20"/>
          <w:szCs w:val="20"/>
          <w:shd w:val="clear" w:color="auto" w:fill="FFFFFF"/>
        </w:rPr>
        <w:t xml:space="preserve"> </w:t>
      </w:r>
      <w:r w:rsidR="00B57E8E" w:rsidRPr="008528DC">
        <w:rPr>
          <w:rFonts w:ascii="Times New Roman" w:eastAsia="Calibri" w:hAnsi="Times New Roman" w:cs="Times New Roman"/>
          <w:sz w:val="20"/>
          <w:szCs w:val="20"/>
          <w:shd w:val="clear" w:color="auto" w:fill="FFFFFF"/>
        </w:rPr>
        <w:t>or absence of a prior fracture. An alternative threshold (a fixed</w:t>
      </w:r>
      <w:r w:rsidR="007943BE" w:rsidRPr="008528DC">
        <w:rPr>
          <w:rFonts w:ascii="Times New Roman" w:eastAsia="Calibri" w:hAnsi="Times New Roman" w:cs="Times New Roman"/>
          <w:sz w:val="20"/>
          <w:szCs w:val="20"/>
          <w:shd w:val="clear" w:color="auto" w:fill="FFFFFF"/>
        </w:rPr>
        <w:t xml:space="preserve"> </w:t>
      </w:r>
      <w:r w:rsidR="00B57E8E" w:rsidRPr="008528DC">
        <w:rPr>
          <w:rFonts w:ascii="Times New Roman" w:eastAsia="Calibri" w:hAnsi="Times New Roman" w:cs="Times New Roman"/>
          <w:sz w:val="20"/>
          <w:szCs w:val="20"/>
          <w:shd w:val="clear" w:color="auto" w:fill="FFFFFF"/>
        </w:rPr>
        <w:t>threshold from the age of 70 years) reduce</w:t>
      </w:r>
      <w:r w:rsidR="007943BE" w:rsidRPr="008528DC">
        <w:rPr>
          <w:rFonts w:ascii="Times New Roman" w:eastAsia="Calibri" w:hAnsi="Times New Roman" w:cs="Times New Roman"/>
          <w:sz w:val="20"/>
          <w:szCs w:val="20"/>
          <w:shd w:val="clear" w:color="auto" w:fill="FFFFFF"/>
        </w:rPr>
        <w:t>d</w:t>
      </w:r>
      <w:r w:rsidR="00B57E8E" w:rsidRPr="008528DC">
        <w:rPr>
          <w:rFonts w:ascii="Times New Roman" w:eastAsia="Calibri" w:hAnsi="Times New Roman" w:cs="Times New Roman"/>
          <w:sz w:val="20"/>
          <w:szCs w:val="20"/>
          <w:shd w:val="clear" w:color="auto" w:fill="FFFFFF"/>
        </w:rPr>
        <w:t xml:space="preserve"> this disparity,</w:t>
      </w:r>
      <w:r w:rsidR="007943BE" w:rsidRPr="008528DC">
        <w:rPr>
          <w:rFonts w:ascii="Times New Roman" w:eastAsia="Calibri" w:hAnsi="Times New Roman" w:cs="Times New Roman"/>
          <w:sz w:val="20"/>
          <w:szCs w:val="20"/>
          <w:shd w:val="clear" w:color="auto" w:fill="FFFFFF"/>
        </w:rPr>
        <w:t xml:space="preserve"> </w:t>
      </w:r>
      <w:r w:rsidR="00B57E8E" w:rsidRPr="008528DC">
        <w:rPr>
          <w:rFonts w:ascii="Times New Roman" w:eastAsia="Calibri" w:hAnsi="Times New Roman" w:cs="Times New Roman"/>
          <w:sz w:val="20"/>
          <w:szCs w:val="20"/>
          <w:shd w:val="clear" w:color="auto" w:fill="FFFFFF"/>
        </w:rPr>
        <w:t>increase</w:t>
      </w:r>
      <w:r w:rsidR="00787D71" w:rsidRPr="008528DC">
        <w:rPr>
          <w:rFonts w:ascii="Times New Roman" w:eastAsia="Calibri" w:hAnsi="Times New Roman" w:cs="Times New Roman"/>
          <w:sz w:val="20"/>
          <w:szCs w:val="20"/>
          <w:shd w:val="clear" w:color="auto" w:fill="FFFFFF"/>
        </w:rPr>
        <w:t>d</w:t>
      </w:r>
      <w:r w:rsidR="00B57E8E" w:rsidRPr="008528DC">
        <w:rPr>
          <w:rFonts w:ascii="Times New Roman" w:eastAsia="Calibri" w:hAnsi="Times New Roman" w:cs="Times New Roman"/>
          <w:sz w:val="20"/>
          <w:szCs w:val="20"/>
          <w:shd w:val="clear" w:color="auto" w:fill="FFFFFF"/>
        </w:rPr>
        <w:t xml:space="preserve"> treatment access and decrease the need for bone</w:t>
      </w:r>
      <w:r w:rsidR="00787D71" w:rsidRPr="008528DC">
        <w:rPr>
          <w:rFonts w:ascii="Times New Roman" w:eastAsia="Calibri" w:hAnsi="Times New Roman" w:cs="Times New Roman"/>
          <w:sz w:val="20"/>
          <w:szCs w:val="20"/>
          <w:shd w:val="clear" w:color="auto" w:fill="FFFFFF"/>
        </w:rPr>
        <w:t xml:space="preserve"> </w:t>
      </w:r>
      <w:r w:rsidR="00B57E8E" w:rsidRPr="008528DC">
        <w:rPr>
          <w:rFonts w:ascii="Times New Roman" w:eastAsia="Calibri" w:hAnsi="Times New Roman" w:cs="Times New Roman"/>
          <w:sz w:val="20"/>
          <w:szCs w:val="20"/>
          <w:shd w:val="clear" w:color="auto" w:fill="FFFFFF"/>
        </w:rPr>
        <w:t>densitometry</w:t>
      </w:r>
      <w:r w:rsidR="00787D71" w:rsidRPr="008528DC">
        <w:rPr>
          <w:rFonts w:ascii="Times New Roman" w:eastAsia="Calibri" w:hAnsi="Times New Roman" w:cs="Times New Roman"/>
          <w:sz w:val="20"/>
          <w:szCs w:val="20"/>
          <w:shd w:val="clear" w:color="auto" w:fill="FFFFFF"/>
        </w:rPr>
        <w:t xml:space="preserve"> </w:t>
      </w:r>
      <w:r w:rsidR="00E87802" w:rsidRPr="008528DC">
        <w:rPr>
          <w:rFonts w:ascii="Times New Roman" w:eastAsia="Calibri" w:hAnsi="Times New Roman" w:cs="Times New Roman"/>
          <w:sz w:val="20"/>
          <w:szCs w:val="20"/>
          <w:shd w:val="clear" w:color="auto" w:fill="FFFFFF"/>
          <w:vertAlign w:val="superscript"/>
        </w:rPr>
        <w:t>11</w:t>
      </w:r>
      <w:r w:rsidR="00787D71" w:rsidRPr="008528DC">
        <w:rPr>
          <w:rFonts w:ascii="Times New Roman" w:eastAsia="Calibri" w:hAnsi="Times New Roman" w:cs="Times New Roman"/>
          <w:sz w:val="20"/>
          <w:szCs w:val="20"/>
          <w:shd w:val="clear" w:color="auto" w:fill="FFFFFF"/>
        </w:rPr>
        <w:t>.</w:t>
      </w:r>
      <w:r w:rsidR="00D045EA" w:rsidRPr="008528DC">
        <w:rPr>
          <w:rFonts w:ascii="Times New Roman" w:eastAsia="Calibri" w:hAnsi="Times New Roman" w:cs="Times New Roman"/>
          <w:sz w:val="20"/>
          <w:szCs w:val="20"/>
          <w:shd w:val="clear" w:color="auto" w:fill="FFFFFF"/>
        </w:rPr>
        <w:t xml:space="preserve"> This </w:t>
      </w:r>
      <w:r w:rsidR="00CF1361" w:rsidRPr="008528DC">
        <w:rPr>
          <w:rFonts w:ascii="Times New Roman" w:eastAsia="Calibri" w:hAnsi="Times New Roman" w:cs="Times New Roman"/>
          <w:sz w:val="20"/>
          <w:szCs w:val="20"/>
          <w:shd w:val="clear" w:color="auto" w:fill="FFFFFF"/>
        </w:rPr>
        <w:t>‘</w:t>
      </w:r>
      <w:r w:rsidR="00D045EA" w:rsidRPr="008528DC">
        <w:rPr>
          <w:rFonts w:ascii="Times New Roman" w:eastAsia="Calibri" w:hAnsi="Times New Roman" w:cs="Times New Roman"/>
          <w:sz w:val="20"/>
          <w:szCs w:val="20"/>
          <w:shd w:val="clear" w:color="auto" w:fill="FFFFFF"/>
        </w:rPr>
        <w:t>hybrid</w:t>
      </w:r>
      <w:r w:rsidR="00CF1361" w:rsidRPr="008528DC">
        <w:rPr>
          <w:rFonts w:ascii="Times New Roman" w:eastAsia="Calibri" w:hAnsi="Times New Roman" w:cs="Times New Roman"/>
          <w:sz w:val="20"/>
          <w:szCs w:val="20"/>
          <w:shd w:val="clear" w:color="auto" w:fill="FFFFFF"/>
        </w:rPr>
        <w:t>’</w:t>
      </w:r>
      <w:r w:rsidR="00D045EA" w:rsidRPr="008528DC">
        <w:rPr>
          <w:rFonts w:ascii="Times New Roman" w:eastAsia="Calibri" w:hAnsi="Times New Roman" w:cs="Times New Roman"/>
          <w:sz w:val="20"/>
          <w:szCs w:val="20"/>
          <w:shd w:val="clear" w:color="auto" w:fill="FFFFFF"/>
        </w:rPr>
        <w:t xml:space="preserve"> th</w:t>
      </w:r>
      <w:r w:rsidR="00B934D6" w:rsidRPr="008528DC">
        <w:rPr>
          <w:rFonts w:ascii="Times New Roman" w:eastAsia="Calibri" w:hAnsi="Times New Roman" w:cs="Times New Roman"/>
          <w:sz w:val="20"/>
          <w:szCs w:val="20"/>
          <w:shd w:val="clear" w:color="auto" w:fill="FFFFFF"/>
        </w:rPr>
        <w:t>reshold</w:t>
      </w:r>
      <w:r w:rsidR="00B934D6" w:rsidRPr="008528DC">
        <w:rPr>
          <w:rFonts w:ascii="Times New Roman" w:hAnsi="Times New Roman" w:cs="Times New Roman"/>
          <w:sz w:val="20"/>
          <w:szCs w:val="20"/>
        </w:rPr>
        <w:t xml:space="preserve"> </w:t>
      </w:r>
      <w:r w:rsidR="00B934D6" w:rsidRPr="008528DC">
        <w:rPr>
          <w:rFonts w:ascii="Times New Roman" w:eastAsia="Calibri" w:hAnsi="Times New Roman" w:cs="Times New Roman"/>
          <w:sz w:val="20"/>
          <w:szCs w:val="20"/>
          <w:shd w:val="clear" w:color="auto" w:fill="FFFFFF"/>
        </w:rPr>
        <w:t xml:space="preserve">that combined age-dependent thresholds up to age 70 years and thereafter a fixed threshold with a single probability of fracture </w:t>
      </w:r>
      <w:r w:rsidR="00CF1361" w:rsidRPr="008528DC">
        <w:rPr>
          <w:rFonts w:ascii="Times New Roman" w:eastAsia="Calibri" w:hAnsi="Times New Roman" w:cs="Times New Roman"/>
          <w:sz w:val="20"/>
          <w:szCs w:val="20"/>
          <w:shd w:val="clear" w:color="auto" w:fill="FFFFFF"/>
        </w:rPr>
        <w:t xml:space="preserve">was subsequently adopted by NOGG </w:t>
      </w:r>
      <w:r w:rsidR="00E87802" w:rsidRPr="008528DC">
        <w:rPr>
          <w:rFonts w:ascii="Times New Roman" w:eastAsia="Calibri" w:hAnsi="Times New Roman" w:cs="Times New Roman"/>
          <w:sz w:val="20"/>
          <w:szCs w:val="20"/>
          <w:shd w:val="clear" w:color="auto" w:fill="FFFFFF"/>
          <w:vertAlign w:val="superscript"/>
        </w:rPr>
        <w:t>10</w:t>
      </w:r>
      <w:r w:rsidR="00B77CB3" w:rsidRPr="008528DC">
        <w:rPr>
          <w:rFonts w:ascii="Times New Roman" w:eastAsia="Calibri" w:hAnsi="Times New Roman" w:cs="Times New Roman"/>
          <w:sz w:val="20"/>
          <w:szCs w:val="20"/>
          <w:shd w:val="clear" w:color="auto" w:fill="FFFFFF"/>
        </w:rPr>
        <w:t>.  In the present study, the same approach was used using the Ecuadorian FRAX model</w:t>
      </w:r>
      <w:r w:rsidR="00846AA3" w:rsidRPr="008528DC">
        <w:rPr>
          <w:rFonts w:ascii="Times New Roman" w:eastAsia="Calibri" w:hAnsi="Times New Roman" w:cs="Times New Roman"/>
          <w:sz w:val="20"/>
          <w:szCs w:val="20"/>
          <w:shd w:val="clear" w:color="auto" w:fill="FFFFFF"/>
        </w:rPr>
        <w:t xml:space="preserve"> </w:t>
      </w:r>
      <w:r w:rsidR="00B81F5D" w:rsidRPr="008528DC">
        <w:rPr>
          <w:rFonts w:ascii="Times New Roman" w:eastAsia="Calibri" w:hAnsi="Times New Roman" w:cs="Times New Roman"/>
          <w:sz w:val="20"/>
          <w:szCs w:val="20"/>
          <w:shd w:val="clear" w:color="auto" w:fill="FFFFFF"/>
        </w:rPr>
        <w:t>but with</w:t>
      </w:r>
      <w:r w:rsidR="00846AA3" w:rsidRPr="008528DC">
        <w:rPr>
          <w:rFonts w:ascii="Times New Roman" w:eastAsia="Calibri" w:hAnsi="Times New Roman" w:cs="Times New Roman"/>
          <w:sz w:val="20"/>
          <w:szCs w:val="20"/>
          <w:shd w:val="clear" w:color="auto" w:fill="FFFFFF"/>
        </w:rPr>
        <w:t xml:space="preserve"> a fixed threshold from the age of 75 years.</w:t>
      </w:r>
    </w:p>
    <w:p w14:paraId="247A028E" w14:textId="30DAAC7E" w:rsidR="009D352B" w:rsidRPr="008528DC" w:rsidRDefault="009D352B" w:rsidP="00077C16">
      <w:pPr>
        <w:spacing w:after="0" w:line="480" w:lineRule="auto"/>
        <w:rPr>
          <w:rFonts w:ascii="Times New Roman" w:eastAsia="Calibri" w:hAnsi="Times New Roman" w:cs="Times New Roman"/>
          <w:sz w:val="20"/>
          <w:szCs w:val="20"/>
          <w:highlight w:val="yellow"/>
          <w:shd w:val="clear" w:color="auto" w:fill="FFFFFF"/>
        </w:rPr>
      </w:pPr>
    </w:p>
    <w:p w14:paraId="772C4226" w14:textId="403E23CA" w:rsidR="00A243D1" w:rsidRPr="008528DC" w:rsidRDefault="00A243D1" w:rsidP="00077C16">
      <w:pPr>
        <w:spacing w:after="0" w:line="480" w:lineRule="auto"/>
        <w:rPr>
          <w:rFonts w:ascii="Times New Roman" w:eastAsia="Calibri" w:hAnsi="Times New Roman" w:cs="Times New Roman"/>
          <w:i/>
          <w:iCs/>
          <w:sz w:val="20"/>
          <w:szCs w:val="20"/>
          <w:shd w:val="clear" w:color="auto" w:fill="FFFFFF"/>
        </w:rPr>
      </w:pPr>
      <w:r w:rsidRPr="008528DC">
        <w:rPr>
          <w:rFonts w:ascii="Times New Roman" w:eastAsia="Calibri" w:hAnsi="Times New Roman" w:cs="Times New Roman"/>
          <w:i/>
          <w:iCs/>
          <w:sz w:val="20"/>
          <w:szCs w:val="20"/>
          <w:shd w:val="clear" w:color="auto" w:fill="FFFFFF"/>
        </w:rPr>
        <w:t>Assessment thresholds for BMD testing</w:t>
      </w:r>
    </w:p>
    <w:p w14:paraId="77F2A8A2" w14:textId="2D96DEC7" w:rsidR="00A243D1" w:rsidRPr="008528DC" w:rsidRDefault="00EC424B"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A</w:t>
      </w:r>
      <w:r w:rsidR="00A243D1" w:rsidRPr="008528DC">
        <w:rPr>
          <w:rFonts w:ascii="Times New Roman" w:eastAsia="Calibri" w:hAnsi="Times New Roman" w:cs="Times New Roman"/>
          <w:sz w:val="20"/>
          <w:szCs w:val="20"/>
          <w:shd w:val="clear" w:color="auto" w:fill="FFFFFF"/>
        </w:rPr>
        <w:t xml:space="preserve">ssessment thresholds for making recommendations for the measurement of BMD </w:t>
      </w:r>
      <w:r w:rsidR="001C48C7" w:rsidRPr="008528DC">
        <w:rPr>
          <w:rFonts w:ascii="Times New Roman" w:eastAsia="Calibri" w:hAnsi="Times New Roman" w:cs="Times New Roman"/>
          <w:sz w:val="20"/>
          <w:szCs w:val="20"/>
          <w:shd w:val="clear" w:color="auto" w:fill="FFFFFF"/>
        </w:rPr>
        <w:t>followed the approach of the UK and European guidelines</w:t>
      </w:r>
      <w:r w:rsidR="00A243D1" w:rsidRPr="008528DC">
        <w:rPr>
          <w:rFonts w:ascii="Times New Roman" w:eastAsia="Calibri" w:hAnsi="Times New Roman" w:cs="Times New Roman"/>
          <w:sz w:val="20"/>
          <w:szCs w:val="20"/>
          <w:shd w:val="clear" w:color="auto" w:fill="FFFFFF"/>
        </w:rPr>
        <w:t xml:space="preserve"> </w:t>
      </w:r>
      <w:r w:rsidR="00E87802" w:rsidRPr="008528DC">
        <w:rPr>
          <w:rFonts w:ascii="Times New Roman" w:eastAsia="Calibri" w:hAnsi="Times New Roman" w:cs="Times New Roman"/>
          <w:sz w:val="20"/>
          <w:szCs w:val="20"/>
          <w:shd w:val="clear" w:color="auto" w:fill="FFFFFF"/>
          <w:vertAlign w:val="superscript"/>
        </w:rPr>
        <w:t>5,</w:t>
      </w:r>
      <w:r w:rsidR="000A0320" w:rsidRPr="008528DC">
        <w:rPr>
          <w:rFonts w:ascii="Times New Roman" w:eastAsia="Calibri" w:hAnsi="Times New Roman" w:cs="Times New Roman"/>
          <w:sz w:val="20"/>
          <w:szCs w:val="20"/>
          <w:shd w:val="clear" w:color="auto" w:fill="FFFFFF"/>
          <w:vertAlign w:val="superscript"/>
        </w:rPr>
        <w:t xml:space="preserve"> </w:t>
      </w:r>
      <w:r w:rsidR="00E87802" w:rsidRPr="008528DC">
        <w:rPr>
          <w:rFonts w:ascii="Times New Roman" w:eastAsia="Calibri" w:hAnsi="Times New Roman" w:cs="Times New Roman"/>
          <w:sz w:val="20"/>
          <w:szCs w:val="20"/>
          <w:shd w:val="clear" w:color="auto" w:fill="FFFFFF"/>
          <w:vertAlign w:val="superscript"/>
        </w:rPr>
        <w:t>7</w:t>
      </w:r>
      <w:r w:rsidR="00837862" w:rsidRPr="008528DC">
        <w:rPr>
          <w:rFonts w:ascii="Times New Roman" w:eastAsia="Calibri" w:hAnsi="Times New Roman" w:cs="Times New Roman"/>
          <w:sz w:val="20"/>
          <w:szCs w:val="20"/>
          <w:shd w:val="clear" w:color="auto" w:fill="FFFFFF"/>
          <w:vertAlign w:val="superscript"/>
        </w:rPr>
        <w:t>,</w:t>
      </w:r>
      <w:r w:rsidR="000A0320" w:rsidRPr="008528DC">
        <w:rPr>
          <w:rFonts w:ascii="Times New Roman" w:eastAsia="Calibri" w:hAnsi="Times New Roman" w:cs="Times New Roman"/>
          <w:sz w:val="20"/>
          <w:szCs w:val="20"/>
          <w:shd w:val="clear" w:color="auto" w:fill="FFFFFF"/>
          <w:vertAlign w:val="superscript"/>
        </w:rPr>
        <w:t xml:space="preserve"> </w:t>
      </w:r>
      <w:r w:rsidR="00837862" w:rsidRPr="008528DC">
        <w:rPr>
          <w:rFonts w:ascii="Times New Roman" w:eastAsia="Calibri" w:hAnsi="Times New Roman" w:cs="Times New Roman"/>
          <w:sz w:val="20"/>
          <w:szCs w:val="20"/>
          <w:shd w:val="clear" w:color="auto" w:fill="FFFFFF"/>
          <w:vertAlign w:val="superscript"/>
        </w:rPr>
        <w:t>8</w:t>
      </w:r>
      <w:r w:rsidR="00F1476C" w:rsidRPr="008528DC">
        <w:rPr>
          <w:rFonts w:ascii="Times New Roman" w:eastAsia="Calibri" w:hAnsi="Times New Roman" w:cs="Times New Roman"/>
          <w:sz w:val="20"/>
          <w:szCs w:val="20"/>
          <w:shd w:val="clear" w:color="auto" w:fill="FFFFFF"/>
        </w:rPr>
        <w:t>.  The two thresholds comprised</w:t>
      </w:r>
      <w:r w:rsidR="001D6F1D" w:rsidRPr="008528DC">
        <w:rPr>
          <w:rFonts w:ascii="Times New Roman" w:eastAsia="Calibri" w:hAnsi="Times New Roman" w:cs="Times New Roman"/>
          <w:sz w:val="20"/>
          <w:szCs w:val="20"/>
          <w:shd w:val="clear" w:color="auto" w:fill="FFFFFF"/>
        </w:rPr>
        <w:t>:</w:t>
      </w:r>
    </w:p>
    <w:p w14:paraId="333C405E" w14:textId="77777777" w:rsidR="00A243D1" w:rsidRPr="008528DC" w:rsidRDefault="00A243D1"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A threshold probability below which neither treatment nor a BMD test should be considered (lower assessment threshold). </w:t>
      </w:r>
    </w:p>
    <w:p w14:paraId="297E372F" w14:textId="77777777" w:rsidR="00A243D1" w:rsidRPr="008528DC" w:rsidRDefault="00A243D1"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A threshold probability above which treatment may be recommended irrespective of BMD (upper assessment threshold). </w:t>
      </w:r>
    </w:p>
    <w:p w14:paraId="6A17C22A" w14:textId="1B8395E9" w:rsidR="00A243D1" w:rsidRPr="008528DC" w:rsidRDefault="00A243D1"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The lower assessment threshold was set to exclude a requirement for BMD testing in women without clinical risk factors, as given in current European guidelines </w:t>
      </w:r>
      <w:r w:rsidR="00E87802" w:rsidRPr="008528DC">
        <w:rPr>
          <w:rFonts w:ascii="Times New Roman" w:eastAsia="Calibri" w:hAnsi="Times New Roman" w:cs="Times New Roman"/>
          <w:sz w:val="20"/>
          <w:szCs w:val="20"/>
          <w:shd w:val="clear" w:color="auto" w:fill="FFFFFF"/>
          <w:vertAlign w:val="superscript"/>
        </w:rPr>
        <w:t>1,</w:t>
      </w:r>
      <w:r w:rsidR="000A0320" w:rsidRPr="008528DC">
        <w:rPr>
          <w:rFonts w:ascii="Times New Roman" w:eastAsia="Calibri" w:hAnsi="Times New Roman" w:cs="Times New Roman"/>
          <w:sz w:val="20"/>
          <w:szCs w:val="20"/>
          <w:shd w:val="clear" w:color="auto" w:fill="FFFFFF"/>
          <w:vertAlign w:val="superscript"/>
        </w:rPr>
        <w:t xml:space="preserve"> </w:t>
      </w:r>
      <w:r w:rsidR="00E87802" w:rsidRPr="008528DC">
        <w:rPr>
          <w:rFonts w:ascii="Times New Roman" w:eastAsia="Calibri" w:hAnsi="Times New Roman" w:cs="Times New Roman"/>
          <w:sz w:val="20"/>
          <w:szCs w:val="20"/>
          <w:shd w:val="clear" w:color="auto" w:fill="FFFFFF"/>
          <w:vertAlign w:val="superscript"/>
        </w:rPr>
        <w:t>7</w:t>
      </w:r>
      <w:r w:rsidRPr="008528DC">
        <w:rPr>
          <w:rFonts w:ascii="Times New Roman" w:eastAsia="Calibri" w:hAnsi="Times New Roman" w:cs="Times New Roman"/>
          <w:sz w:val="20"/>
          <w:szCs w:val="20"/>
          <w:shd w:val="clear" w:color="auto" w:fill="FFFFFF"/>
        </w:rPr>
        <w:t xml:space="preserve">.  It was therefore set to the age-specific 10-year probability of a major fracture equivalent to women with no clinical risk factors.  An upper threshold was chosen to minimise the probability that </w:t>
      </w:r>
      <w:r w:rsidR="00D1227F" w:rsidRPr="008528DC">
        <w:rPr>
          <w:rFonts w:ascii="Times New Roman" w:eastAsia="Calibri" w:hAnsi="Times New Roman" w:cs="Times New Roman"/>
          <w:sz w:val="20"/>
          <w:szCs w:val="20"/>
          <w:shd w:val="clear" w:color="auto" w:fill="FFFFFF"/>
        </w:rPr>
        <w:t>an individual</w:t>
      </w:r>
      <w:r w:rsidRPr="008528DC">
        <w:rPr>
          <w:rFonts w:ascii="Times New Roman" w:eastAsia="Calibri" w:hAnsi="Times New Roman" w:cs="Times New Roman"/>
          <w:sz w:val="20"/>
          <w:szCs w:val="20"/>
          <w:shd w:val="clear" w:color="auto" w:fill="FFFFFF"/>
        </w:rPr>
        <w:t xml:space="preserve">, characterised to be at high risk using clinical risk factors alone, would be reclassified to be at low risk with additional information on BMD and vice versa </w:t>
      </w:r>
      <w:r w:rsidR="00E87802" w:rsidRPr="008528DC">
        <w:rPr>
          <w:rFonts w:ascii="Times New Roman" w:eastAsia="Calibri" w:hAnsi="Times New Roman" w:cs="Times New Roman"/>
          <w:sz w:val="20"/>
          <w:szCs w:val="20"/>
          <w:shd w:val="clear" w:color="auto" w:fill="FFFFFF"/>
          <w:vertAlign w:val="superscript"/>
        </w:rPr>
        <w:t>20</w:t>
      </w:r>
      <w:r w:rsidRPr="008528DC">
        <w:rPr>
          <w:rFonts w:ascii="Times New Roman" w:eastAsia="Calibri" w:hAnsi="Times New Roman" w:cs="Times New Roman"/>
          <w:sz w:val="20"/>
          <w:szCs w:val="20"/>
          <w:shd w:val="clear" w:color="auto" w:fill="FFFFFF"/>
        </w:rPr>
        <w:t>. The upper assessment threshold was set at 1.2 times the intervention threshold</w:t>
      </w:r>
      <w:r w:rsidR="0031033D" w:rsidRPr="008528DC">
        <w:rPr>
          <w:rFonts w:ascii="Times New Roman" w:eastAsia="Calibri" w:hAnsi="Times New Roman" w:cs="Times New Roman"/>
          <w:sz w:val="20"/>
          <w:szCs w:val="20"/>
          <w:shd w:val="clear" w:color="auto" w:fill="FFFFFF"/>
        </w:rPr>
        <w:t>.</w:t>
      </w:r>
      <w:r w:rsidRPr="008528DC">
        <w:rPr>
          <w:rFonts w:ascii="Times New Roman" w:eastAsia="Calibri" w:hAnsi="Times New Roman" w:cs="Times New Roman"/>
          <w:sz w:val="20"/>
          <w:szCs w:val="20"/>
          <w:shd w:val="clear" w:color="auto" w:fill="FFFFFF"/>
        </w:rPr>
        <w:t xml:space="preserve"> </w:t>
      </w:r>
    </w:p>
    <w:p w14:paraId="3EDB25A1" w14:textId="77777777" w:rsidR="00400999" w:rsidRPr="008528DC" w:rsidRDefault="00400999" w:rsidP="00077C16">
      <w:pPr>
        <w:spacing w:after="0" w:line="480" w:lineRule="auto"/>
        <w:rPr>
          <w:rFonts w:ascii="Times New Roman" w:eastAsia="Calibri" w:hAnsi="Times New Roman" w:cs="Times New Roman"/>
          <w:sz w:val="20"/>
          <w:szCs w:val="20"/>
          <w:highlight w:val="yellow"/>
          <w:shd w:val="clear" w:color="auto" w:fill="FFFFFF"/>
        </w:rPr>
      </w:pPr>
    </w:p>
    <w:p w14:paraId="2C80B906" w14:textId="77777777" w:rsidR="00A243D1" w:rsidRPr="008528DC" w:rsidRDefault="00A243D1" w:rsidP="00077C16">
      <w:pPr>
        <w:spacing w:after="0" w:line="480" w:lineRule="auto"/>
        <w:rPr>
          <w:rFonts w:ascii="Times New Roman" w:eastAsia="Calibri" w:hAnsi="Times New Roman" w:cs="Times New Roman"/>
          <w:i/>
          <w:iCs/>
          <w:sz w:val="20"/>
          <w:szCs w:val="20"/>
          <w:shd w:val="clear" w:color="auto" w:fill="FFFFFF"/>
        </w:rPr>
      </w:pPr>
      <w:r w:rsidRPr="008528DC">
        <w:rPr>
          <w:rFonts w:ascii="Times New Roman" w:eastAsia="Calibri" w:hAnsi="Times New Roman" w:cs="Times New Roman"/>
          <w:i/>
          <w:iCs/>
          <w:sz w:val="20"/>
          <w:szCs w:val="20"/>
          <w:shd w:val="clear" w:color="auto" w:fill="FFFFFF"/>
        </w:rPr>
        <w:t>Assessment strategy</w:t>
      </w:r>
    </w:p>
    <w:p w14:paraId="6146E701" w14:textId="082E773E" w:rsidR="00A243D1" w:rsidRPr="008528DC" w:rsidRDefault="00A243D1" w:rsidP="00077C16">
      <w:pPr>
        <w:spacing w:after="0" w:line="480" w:lineRule="auto"/>
        <w:rPr>
          <w:rFonts w:ascii="Times New Roman" w:eastAsia="Calibri" w:hAnsi="Times New Roman" w:cs="Times New Roman"/>
          <w:sz w:val="20"/>
          <w:szCs w:val="20"/>
          <w:shd w:val="clear" w:color="auto" w:fill="FFFFFF"/>
        </w:rPr>
      </w:pPr>
      <w:bookmarkStart w:id="12" w:name="_Hlk27918168"/>
      <w:r w:rsidRPr="008528DC">
        <w:rPr>
          <w:rFonts w:ascii="Times New Roman" w:eastAsia="Calibri" w:hAnsi="Times New Roman" w:cs="Times New Roman"/>
          <w:sz w:val="20"/>
          <w:szCs w:val="20"/>
          <w:shd w:val="clear" w:color="auto" w:fill="FFFFFF"/>
        </w:rPr>
        <w:t xml:space="preserve">As noted above, women with a prior fragility fracture were considered to be eligible for treatment without the need for further assessment. In women without a previous fragility fracture, the management strategy was based on </w:t>
      </w:r>
      <w:bookmarkEnd w:id="12"/>
      <w:r w:rsidRPr="008528DC">
        <w:rPr>
          <w:rFonts w:ascii="Times New Roman" w:eastAsia="Calibri" w:hAnsi="Times New Roman" w:cs="Times New Roman"/>
          <w:sz w:val="20"/>
          <w:szCs w:val="20"/>
          <w:shd w:val="clear" w:color="auto" w:fill="FFFFFF"/>
        </w:rPr>
        <w:t>the assessment of the 10-year probability of a major osteoporotic fracture (</w:t>
      </w:r>
      <w:r w:rsidR="00475499" w:rsidRPr="008528DC">
        <w:rPr>
          <w:rFonts w:ascii="Times New Roman" w:eastAsia="Calibri" w:hAnsi="Times New Roman" w:cs="Times New Roman"/>
          <w:sz w:val="20"/>
          <w:szCs w:val="20"/>
          <w:shd w:val="clear" w:color="auto" w:fill="FFFFFF"/>
        </w:rPr>
        <w:t xml:space="preserve">MOF; </w:t>
      </w:r>
      <w:r w:rsidRPr="008528DC">
        <w:rPr>
          <w:rFonts w:ascii="Times New Roman" w:eastAsia="Calibri" w:hAnsi="Times New Roman" w:cs="Times New Roman"/>
          <w:sz w:val="20"/>
          <w:szCs w:val="20"/>
          <w:shd w:val="clear" w:color="auto" w:fill="FFFFFF"/>
        </w:rPr>
        <w:t>clinical spine, hip, forearm or humerus).  Women with probabilities below the lower assessment threshold were not considered eligible for treatment.  Women with probabilities above the upper assessment threshold were eligible for treatment. Women with probabilities between the upper and lower assessment thresholds were to be referred for BMD measurements and their fracture probability reassessed.</w:t>
      </w:r>
    </w:p>
    <w:p w14:paraId="47B44498" w14:textId="221AC438" w:rsidR="000230B6" w:rsidRPr="008528DC" w:rsidRDefault="00295387"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Where BMD is not available</w:t>
      </w:r>
      <w:r w:rsidR="004E696E" w:rsidRPr="008528DC">
        <w:rPr>
          <w:rFonts w:ascii="Times New Roman" w:eastAsia="Calibri" w:hAnsi="Times New Roman" w:cs="Times New Roman"/>
          <w:sz w:val="20"/>
          <w:szCs w:val="20"/>
          <w:shd w:val="clear" w:color="auto" w:fill="FFFFFF"/>
        </w:rPr>
        <w:t>,</w:t>
      </w:r>
      <w:r w:rsidRPr="008528DC">
        <w:rPr>
          <w:rFonts w:ascii="Times New Roman" w:eastAsia="Calibri" w:hAnsi="Times New Roman" w:cs="Times New Roman"/>
          <w:sz w:val="20"/>
          <w:szCs w:val="20"/>
          <w:shd w:val="clear" w:color="auto" w:fill="FFFFFF"/>
        </w:rPr>
        <w:t xml:space="preserve"> FRAX </w:t>
      </w:r>
      <w:r w:rsidR="00E72955" w:rsidRPr="008528DC">
        <w:rPr>
          <w:rFonts w:ascii="Times New Roman" w:eastAsia="Calibri" w:hAnsi="Times New Roman" w:cs="Times New Roman"/>
          <w:sz w:val="20"/>
          <w:szCs w:val="20"/>
          <w:shd w:val="clear" w:color="auto" w:fill="FFFFFF"/>
        </w:rPr>
        <w:t xml:space="preserve">can be </w:t>
      </w:r>
      <w:r w:rsidR="004E696E" w:rsidRPr="008528DC">
        <w:rPr>
          <w:rFonts w:ascii="Times New Roman" w:eastAsia="Calibri" w:hAnsi="Times New Roman" w:cs="Times New Roman"/>
          <w:sz w:val="20"/>
          <w:szCs w:val="20"/>
          <w:shd w:val="clear" w:color="auto" w:fill="FFFFFF"/>
        </w:rPr>
        <w:t>u</w:t>
      </w:r>
      <w:r w:rsidR="00E72955" w:rsidRPr="008528DC">
        <w:rPr>
          <w:rFonts w:ascii="Times New Roman" w:eastAsia="Calibri" w:hAnsi="Times New Roman" w:cs="Times New Roman"/>
          <w:sz w:val="20"/>
          <w:szCs w:val="20"/>
          <w:shd w:val="clear" w:color="auto" w:fill="FFFFFF"/>
        </w:rPr>
        <w:t>sed for the assessment of fracture probability</w:t>
      </w:r>
      <w:r w:rsidR="004E696E" w:rsidRPr="008528DC">
        <w:rPr>
          <w:rFonts w:ascii="Times New Roman" w:eastAsia="Calibri" w:hAnsi="Times New Roman" w:cs="Times New Roman"/>
          <w:sz w:val="20"/>
          <w:szCs w:val="20"/>
          <w:shd w:val="clear" w:color="auto" w:fill="FFFFFF"/>
        </w:rPr>
        <w:t xml:space="preserve">.  The performance characteristics of FRAX without BMD are </w:t>
      </w:r>
      <w:r w:rsidR="00E4358F" w:rsidRPr="008528DC">
        <w:rPr>
          <w:rFonts w:ascii="Times New Roman" w:eastAsia="Calibri" w:hAnsi="Times New Roman" w:cs="Times New Roman"/>
          <w:sz w:val="20"/>
          <w:szCs w:val="20"/>
          <w:shd w:val="clear" w:color="auto" w:fill="FFFFFF"/>
        </w:rPr>
        <w:t xml:space="preserve">approximately equal to BMD without FRAX </w:t>
      </w:r>
      <w:r w:rsidR="001516FF" w:rsidRPr="008528DC">
        <w:rPr>
          <w:rFonts w:ascii="Times New Roman" w:eastAsia="Calibri" w:hAnsi="Times New Roman" w:cs="Times New Roman"/>
          <w:sz w:val="20"/>
          <w:szCs w:val="20"/>
          <w:shd w:val="clear" w:color="auto" w:fill="FFFFFF"/>
          <w:vertAlign w:val="superscript"/>
        </w:rPr>
        <w:t>21</w:t>
      </w:r>
      <w:r w:rsidR="00057C8B" w:rsidRPr="008528DC">
        <w:rPr>
          <w:rFonts w:ascii="Times New Roman" w:eastAsia="Calibri" w:hAnsi="Times New Roman" w:cs="Times New Roman"/>
          <w:sz w:val="20"/>
          <w:szCs w:val="20"/>
          <w:shd w:val="clear" w:color="auto" w:fill="FFFFFF"/>
        </w:rPr>
        <w:t>.  Assessment strategies</w:t>
      </w:r>
      <w:r w:rsidR="00E7576F" w:rsidRPr="008528DC">
        <w:rPr>
          <w:rFonts w:ascii="Times New Roman" w:eastAsia="Calibri" w:hAnsi="Times New Roman" w:cs="Times New Roman"/>
          <w:sz w:val="20"/>
          <w:szCs w:val="20"/>
          <w:shd w:val="clear" w:color="auto" w:fill="FFFFFF"/>
        </w:rPr>
        <w:t xml:space="preserve"> were additionally examined in the absence of BMD</w:t>
      </w:r>
      <w:r w:rsidR="004B24EE" w:rsidRPr="008528DC">
        <w:rPr>
          <w:rFonts w:ascii="Times New Roman" w:eastAsia="Calibri" w:hAnsi="Times New Roman" w:cs="Times New Roman"/>
          <w:sz w:val="20"/>
          <w:szCs w:val="20"/>
          <w:shd w:val="clear" w:color="auto" w:fill="FFFFFF"/>
        </w:rPr>
        <w:t>.</w:t>
      </w:r>
      <w:r w:rsidR="00057C8B" w:rsidRPr="008528DC">
        <w:rPr>
          <w:rFonts w:ascii="Times New Roman" w:eastAsia="Calibri" w:hAnsi="Times New Roman" w:cs="Times New Roman"/>
          <w:sz w:val="20"/>
          <w:szCs w:val="20"/>
          <w:shd w:val="clear" w:color="auto" w:fill="FFFFFF"/>
        </w:rPr>
        <w:t xml:space="preserve"> </w:t>
      </w:r>
      <w:r w:rsidRPr="008528DC">
        <w:rPr>
          <w:rFonts w:ascii="Times New Roman" w:eastAsia="Calibri" w:hAnsi="Times New Roman" w:cs="Times New Roman"/>
          <w:sz w:val="20"/>
          <w:szCs w:val="20"/>
          <w:shd w:val="clear" w:color="auto" w:fill="FFFFFF"/>
        </w:rPr>
        <w:t xml:space="preserve"> </w:t>
      </w:r>
    </w:p>
    <w:p w14:paraId="3C85C548" w14:textId="77777777" w:rsidR="005D23D6" w:rsidRPr="008528DC" w:rsidRDefault="005D23D6" w:rsidP="00077C16">
      <w:pPr>
        <w:spacing w:after="0" w:line="480" w:lineRule="auto"/>
        <w:rPr>
          <w:rFonts w:ascii="Times New Roman" w:eastAsia="Calibri" w:hAnsi="Times New Roman" w:cs="Times New Roman"/>
          <w:b/>
          <w:bCs/>
          <w:sz w:val="20"/>
          <w:szCs w:val="20"/>
          <w:shd w:val="clear" w:color="auto" w:fill="FFFFFF"/>
        </w:rPr>
      </w:pPr>
    </w:p>
    <w:p w14:paraId="3DE28715" w14:textId="329FEE4D" w:rsidR="002B4886" w:rsidRPr="008528DC" w:rsidRDefault="002B4886" w:rsidP="00077C16">
      <w:pPr>
        <w:spacing w:after="0" w:line="480" w:lineRule="auto"/>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t xml:space="preserve">Results </w:t>
      </w:r>
    </w:p>
    <w:p w14:paraId="17CC677C" w14:textId="03DEDD2A" w:rsidR="00E35886" w:rsidRPr="008528DC" w:rsidRDefault="002B4886" w:rsidP="008528DC">
      <w:pPr>
        <w:spacing w:after="0" w:line="480" w:lineRule="auto"/>
        <w:rPr>
          <w:rFonts w:ascii="Times New Roman" w:eastAsia="MS Mincho" w:hAnsi="Times New Roman" w:cs="Times New Roman"/>
          <w:sz w:val="20"/>
          <w:szCs w:val="20"/>
          <w:lang w:eastAsia="ja-JP"/>
        </w:rPr>
      </w:pPr>
      <w:r w:rsidRPr="008528DC">
        <w:rPr>
          <w:rFonts w:ascii="Times New Roman" w:eastAsia="Calibri" w:hAnsi="Times New Roman" w:cs="Times New Roman"/>
          <w:sz w:val="20"/>
          <w:szCs w:val="20"/>
          <w:shd w:val="clear" w:color="auto" w:fill="FFFFFF"/>
        </w:rPr>
        <w:t xml:space="preserve">The baseline characteristics are given in Table 1. </w:t>
      </w:r>
      <w:r w:rsidR="00F37672" w:rsidRPr="008528DC">
        <w:rPr>
          <w:rFonts w:ascii="Times New Roman" w:eastAsia="MS Mincho" w:hAnsi="Times New Roman" w:cs="Times New Roman"/>
          <w:sz w:val="20"/>
          <w:szCs w:val="20"/>
          <w:lang w:eastAsia="ja-JP"/>
        </w:rPr>
        <w:t xml:space="preserve">The </w:t>
      </w:r>
      <w:r w:rsidR="00BD4BF2" w:rsidRPr="008528DC">
        <w:rPr>
          <w:rFonts w:ascii="Times New Roman" w:eastAsia="MS Mincho" w:hAnsi="Times New Roman" w:cs="Times New Roman"/>
          <w:sz w:val="20"/>
          <w:szCs w:val="20"/>
          <w:lang w:eastAsia="ja-JP"/>
        </w:rPr>
        <w:t>ten-year probability of MOF and hip fracture</w:t>
      </w:r>
      <w:r w:rsidR="006D3825" w:rsidRPr="008528DC">
        <w:rPr>
          <w:rFonts w:ascii="Times New Roman" w:eastAsia="MS Mincho" w:hAnsi="Times New Roman" w:cs="Times New Roman"/>
          <w:sz w:val="20"/>
          <w:szCs w:val="20"/>
          <w:lang w:eastAsia="ja-JP"/>
        </w:rPr>
        <w:t xml:space="preserve"> (calculated without BMD)</w:t>
      </w:r>
      <w:r w:rsidR="00BD4BF2" w:rsidRPr="008528DC">
        <w:rPr>
          <w:rFonts w:ascii="Times New Roman" w:eastAsia="MS Mincho" w:hAnsi="Times New Roman" w:cs="Times New Roman"/>
          <w:sz w:val="20"/>
          <w:szCs w:val="20"/>
          <w:lang w:eastAsia="ja-JP"/>
        </w:rPr>
        <w:t xml:space="preserve"> </w:t>
      </w:r>
      <w:r w:rsidR="00A4680D" w:rsidRPr="008528DC">
        <w:rPr>
          <w:rFonts w:ascii="Times New Roman" w:eastAsia="MS Mincho" w:hAnsi="Times New Roman" w:cs="Times New Roman"/>
          <w:sz w:val="20"/>
          <w:szCs w:val="20"/>
          <w:lang w:eastAsia="ja-JP"/>
        </w:rPr>
        <w:t>is shown in Table 2.</w:t>
      </w:r>
      <w:r w:rsidR="005954CD" w:rsidRPr="008528DC">
        <w:rPr>
          <w:rFonts w:ascii="Times New Roman" w:eastAsia="MS Mincho" w:hAnsi="Times New Roman" w:cs="Times New Roman"/>
          <w:sz w:val="20"/>
          <w:szCs w:val="20"/>
          <w:lang w:eastAsia="ja-JP"/>
        </w:rPr>
        <w:t xml:space="preserve">  The distribution of </w:t>
      </w:r>
      <w:r w:rsidR="00537504" w:rsidRPr="008528DC">
        <w:rPr>
          <w:rFonts w:ascii="Times New Roman" w:eastAsia="MS Mincho" w:hAnsi="Times New Roman" w:cs="Times New Roman"/>
          <w:sz w:val="20"/>
          <w:szCs w:val="20"/>
          <w:lang w:eastAsia="ja-JP"/>
        </w:rPr>
        <w:t>f</w:t>
      </w:r>
      <w:r w:rsidR="008F1A51" w:rsidRPr="008528DC">
        <w:rPr>
          <w:rFonts w:ascii="Times New Roman" w:eastAsia="MS Mincho" w:hAnsi="Times New Roman" w:cs="Times New Roman"/>
          <w:sz w:val="20"/>
          <w:szCs w:val="20"/>
          <w:lang w:eastAsia="ja-JP"/>
        </w:rPr>
        <w:t xml:space="preserve">racture probabilities was </w:t>
      </w:r>
      <w:r w:rsidR="00537504" w:rsidRPr="008528DC">
        <w:rPr>
          <w:rFonts w:ascii="Times New Roman" w:eastAsia="MS Mincho" w:hAnsi="Times New Roman" w:cs="Times New Roman"/>
          <w:sz w:val="20"/>
          <w:szCs w:val="20"/>
          <w:lang w:eastAsia="ja-JP"/>
        </w:rPr>
        <w:t>skewed</w:t>
      </w:r>
      <w:r w:rsidR="008F1A51" w:rsidRPr="008528DC">
        <w:rPr>
          <w:rFonts w:ascii="Times New Roman" w:eastAsia="MS Mincho" w:hAnsi="Times New Roman" w:cs="Times New Roman"/>
          <w:sz w:val="20"/>
          <w:szCs w:val="20"/>
          <w:lang w:eastAsia="ja-JP"/>
        </w:rPr>
        <w:t xml:space="preserve"> to the le</w:t>
      </w:r>
      <w:r w:rsidR="00537504" w:rsidRPr="008528DC">
        <w:rPr>
          <w:rFonts w:ascii="Times New Roman" w:eastAsia="MS Mincho" w:hAnsi="Times New Roman" w:cs="Times New Roman"/>
          <w:sz w:val="20"/>
          <w:szCs w:val="20"/>
          <w:lang w:eastAsia="ja-JP"/>
        </w:rPr>
        <w:t>ft</w:t>
      </w:r>
      <w:r w:rsidR="005C776B" w:rsidRPr="008528DC">
        <w:rPr>
          <w:rFonts w:ascii="Times New Roman" w:eastAsia="MS Mincho" w:hAnsi="Times New Roman" w:cs="Times New Roman"/>
          <w:sz w:val="20"/>
          <w:szCs w:val="20"/>
          <w:lang w:eastAsia="ja-JP"/>
        </w:rPr>
        <w:t xml:space="preserve"> both for MOF and hip fracture (</w:t>
      </w:r>
      <w:r w:rsidR="002024EF" w:rsidRPr="008528DC">
        <w:rPr>
          <w:rFonts w:ascii="Times New Roman" w:eastAsia="MS Mincho" w:hAnsi="Times New Roman" w:cs="Times New Roman"/>
          <w:sz w:val="20"/>
          <w:szCs w:val="20"/>
          <w:lang w:eastAsia="ja-JP"/>
        </w:rPr>
        <w:t>Figure 2).</w:t>
      </w:r>
      <w:r w:rsidR="00E624D1" w:rsidRPr="008528DC">
        <w:rPr>
          <w:rFonts w:ascii="Times New Roman" w:eastAsia="MS Mincho" w:hAnsi="Times New Roman" w:cs="Times New Roman"/>
          <w:sz w:val="20"/>
          <w:szCs w:val="20"/>
          <w:lang w:eastAsia="ja-JP"/>
        </w:rPr>
        <w:t xml:space="preserve"> </w:t>
      </w:r>
      <w:r w:rsidR="00A34E7C" w:rsidRPr="008528DC">
        <w:rPr>
          <w:rFonts w:ascii="Times New Roman" w:eastAsia="MS Mincho" w:hAnsi="Times New Roman" w:cs="Times New Roman"/>
          <w:sz w:val="20"/>
          <w:szCs w:val="20"/>
          <w:lang w:eastAsia="ja-JP"/>
        </w:rPr>
        <w:t xml:space="preserve">The effect of simulation uplifted </w:t>
      </w:r>
      <w:r w:rsidR="000E497C" w:rsidRPr="008528DC">
        <w:rPr>
          <w:rFonts w:ascii="Times New Roman" w:eastAsia="MS Mincho" w:hAnsi="Times New Roman" w:cs="Times New Roman"/>
          <w:sz w:val="20"/>
          <w:szCs w:val="20"/>
          <w:lang w:eastAsia="ja-JP"/>
        </w:rPr>
        <w:t>probabilities by more than 20%</w:t>
      </w:r>
      <w:r w:rsidR="006D41C7" w:rsidRPr="008528DC">
        <w:rPr>
          <w:rFonts w:ascii="Times New Roman" w:eastAsia="MS Mincho" w:hAnsi="Times New Roman" w:cs="Times New Roman"/>
          <w:sz w:val="20"/>
          <w:szCs w:val="20"/>
          <w:lang w:eastAsia="ja-JP"/>
        </w:rPr>
        <w:t>.</w:t>
      </w:r>
    </w:p>
    <w:p w14:paraId="19A20FF9" w14:textId="77777777" w:rsidR="00C141F9" w:rsidRPr="008528DC" w:rsidRDefault="00C141F9" w:rsidP="00077C16">
      <w:pPr>
        <w:tabs>
          <w:tab w:val="left" w:pos="3060"/>
        </w:tabs>
        <w:spacing w:after="0" w:line="480" w:lineRule="auto"/>
        <w:rPr>
          <w:rFonts w:ascii="Times New Roman" w:eastAsia="MS Mincho" w:hAnsi="Times New Roman" w:cs="Times New Roman"/>
          <w:i/>
          <w:iCs/>
          <w:sz w:val="20"/>
          <w:szCs w:val="20"/>
          <w:lang w:eastAsia="ja-JP"/>
        </w:rPr>
      </w:pPr>
    </w:p>
    <w:p w14:paraId="1F9C9CA4" w14:textId="021FD103" w:rsidR="00BE6770" w:rsidRPr="008528DC" w:rsidRDefault="00BE6770" w:rsidP="00077C16">
      <w:pPr>
        <w:tabs>
          <w:tab w:val="left" w:pos="3060"/>
        </w:tabs>
        <w:spacing w:after="0" w:line="480" w:lineRule="auto"/>
        <w:rPr>
          <w:rFonts w:ascii="Times New Roman" w:eastAsia="MS Mincho" w:hAnsi="Times New Roman" w:cs="Times New Roman"/>
          <w:i/>
          <w:iCs/>
          <w:sz w:val="20"/>
          <w:szCs w:val="20"/>
          <w:lang w:eastAsia="ja-JP"/>
        </w:rPr>
      </w:pPr>
      <w:r w:rsidRPr="008528DC">
        <w:rPr>
          <w:rFonts w:ascii="Times New Roman" w:eastAsia="MS Mincho" w:hAnsi="Times New Roman" w:cs="Times New Roman"/>
          <w:i/>
          <w:iCs/>
          <w:sz w:val="20"/>
          <w:szCs w:val="20"/>
          <w:lang w:eastAsia="ja-JP"/>
        </w:rPr>
        <w:t>Thresholds</w:t>
      </w:r>
    </w:p>
    <w:p w14:paraId="16C3143E" w14:textId="2A5D46B6" w:rsidR="00E03ADB" w:rsidRPr="008528DC" w:rsidRDefault="00BE6770"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The intervention threshold in women (set at the age specific fracture probability equivalent to women with a</w:t>
      </w:r>
      <w:r w:rsidRPr="008528DC">
        <w:rPr>
          <w:rFonts w:ascii="Times New Roman" w:eastAsia="Calibri" w:hAnsi="Times New Roman" w:cs="Times New Roman"/>
          <w:sz w:val="20"/>
          <w:szCs w:val="20"/>
        </w:rPr>
        <w:t xml:space="preserve"> </w:t>
      </w:r>
      <w:r w:rsidRPr="008528DC">
        <w:rPr>
          <w:rFonts w:ascii="Times New Roman" w:eastAsia="Calibri" w:hAnsi="Times New Roman" w:cs="Times New Roman"/>
          <w:sz w:val="20"/>
          <w:szCs w:val="20"/>
          <w:shd w:val="clear" w:color="auto" w:fill="FFFFFF"/>
        </w:rPr>
        <w:t xml:space="preserve">prior fragility fracture) rose with age from a 10-year probability of </w:t>
      </w:r>
      <w:r w:rsidR="001A30ED" w:rsidRPr="008528DC">
        <w:rPr>
          <w:rFonts w:ascii="Times New Roman" w:eastAsia="Calibri" w:hAnsi="Times New Roman" w:cs="Times New Roman"/>
          <w:sz w:val="20"/>
          <w:szCs w:val="20"/>
          <w:shd w:val="clear" w:color="auto" w:fill="FFFFFF"/>
        </w:rPr>
        <w:t>1.8</w:t>
      </w:r>
      <w:r w:rsidRPr="008528DC">
        <w:rPr>
          <w:rFonts w:ascii="Times New Roman" w:eastAsia="Calibri" w:hAnsi="Times New Roman" w:cs="Times New Roman"/>
          <w:sz w:val="20"/>
          <w:szCs w:val="20"/>
          <w:shd w:val="clear" w:color="auto" w:fill="FFFFFF"/>
        </w:rPr>
        <w:t xml:space="preserve"> % at the age of </w:t>
      </w:r>
      <w:r w:rsidR="0002028A" w:rsidRPr="008528DC">
        <w:rPr>
          <w:rFonts w:ascii="Times New Roman" w:eastAsia="Calibri" w:hAnsi="Times New Roman" w:cs="Times New Roman"/>
          <w:sz w:val="20"/>
          <w:szCs w:val="20"/>
          <w:shd w:val="clear" w:color="auto" w:fill="FFFFFF"/>
        </w:rPr>
        <w:t>6</w:t>
      </w:r>
      <w:r w:rsidRPr="008528DC">
        <w:rPr>
          <w:rFonts w:ascii="Times New Roman" w:eastAsia="Calibri" w:hAnsi="Times New Roman" w:cs="Times New Roman"/>
          <w:sz w:val="20"/>
          <w:szCs w:val="20"/>
          <w:shd w:val="clear" w:color="auto" w:fill="FFFFFF"/>
        </w:rPr>
        <w:t xml:space="preserve">0 years to </w:t>
      </w:r>
      <w:r w:rsidR="00FB28E7" w:rsidRPr="008528DC">
        <w:rPr>
          <w:rFonts w:ascii="Times New Roman" w:eastAsia="Calibri" w:hAnsi="Times New Roman" w:cs="Times New Roman"/>
          <w:sz w:val="20"/>
          <w:szCs w:val="20"/>
          <w:shd w:val="clear" w:color="auto" w:fill="FFFFFF"/>
        </w:rPr>
        <w:t>12.5</w:t>
      </w:r>
      <w:r w:rsidRPr="008528DC">
        <w:rPr>
          <w:rFonts w:ascii="Times New Roman" w:eastAsia="Calibri" w:hAnsi="Times New Roman" w:cs="Times New Roman"/>
          <w:sz w:val="20"/>
          <w:szCs w:val="20"/>
          <w:shd w:val="clear" w:color="auto" w:fill="FFFFFF"/>
        </w:rPr>
        <w:t xml:space="preserve">% at the age of </w:t>
      </w:r>
      <w:r w:rsidR="00FB28E7" w:rsidRPr="008528DC">
        <w:rPr>
          <w:rFonts w:ascii="Times New Roman" w:eastAsia="Calibri" w:hAnsi="Times New Roman" w:cs="Times New Roman"/>
          <w:sz w:val="20"/>
          <w:szCs w:val="20"/>
          <w:shd w:val="clear" w:color="auto" w:fill="FFFFFF"/>
        </w:rPr>
        <w:t>85</w:t>
      </w:r>
      <w:r w:rsidRPr="008528DC">
        <w:rPr>
          <w:rFonts w:ascii="Times New Roman" w:eastAsia="Calibri" w:hAnsi="Times New Roman" w:cs="Times New Roman"/>
          <w:sz w:val="20"/>
          <w:szCs w:val="20"/>
          <w:shd w:val="clear" w:color="auto" w:fill="FFFFFF"/>
        </w:rPr>
        <w:t xml:space="preserve"> years (</w:t>
      </w:r>
      <w:bookmarkStart w:id="13" w:name="_Hlk57114951"/>
      <w:r w:rsidR="00E523ED" w:rsidRPr="008528DC">
        <w:rPr>
          <w:rFonts w:ascii="Times New Roman" w:eastAsia="Calibri" w:hAnsi="Times New Roman" w:cs="Times New Roman"/>
          <w:sz w:val="20"/>
          <w:szCs w:val="20"/>
          <w:shd w:val="clear" w:color="auto" w:fill="FFFFFF"/>
        </w:rPr>
        <w:t xml:space="preserve">Supp Table 1 </w:t>
      </w:r>
      <w:bookmarkEnd w:id="13"/>
      <w:r w:rsidRPr="008528DC">
        <w:rPr>
          <w:rFonts w:ascii="Times New Roman" w:eastAsia="Calibri" w:hAnsi="Times New Roman" w:cs="Times New Roman"/>
          <w:sz w:val="20"/>
          <w:szCs w:val="20"/>
          <w:shd w:val="clear" w:color="auto" w:fill="FFFFFF"/>
        </w:rPr>
        <w:t xml:space="preserve">and Figure </w:t>
      </w:r>
      <w:r w:rsidR="00D34B35" w:rsidRPr="008528DC">
        <w:rPr>
          <w:rFonts w:ascii="Times New Roman" w:eastAsia="Calibri" w:hAnsi="Times New Roman" w:cs="Times New Roman"/>
          <w:sz w:val="20"/>
          <w:szCs w:val="20"/>
          <w:shd w:val="clear" w:color="auto" w:fill="FFFFFF"/>
        </w:rPr>
        <w:t>1</w:t>
      </w:r>
      <w:r w:rsidRPr="008528DC">
        <w:rPr>
          <w:rFonts w:ascii="Times New Roman" w:eastAsia="Calibri" w:hAnsi="Times New Roman" w:cs="Times New Roman"/>
          <w:sz w:val="20"/>
          <w:szCs w:val="20"/>
          <w:shd w:val="clear" w:color="auto" w:fill="FFFFFF"/>
        </w:rPr>
        <w:t xml:space="preserve">). </w:t>
      </w:r>
      <w:r w:rsidR="00E83F83" w:rsidRPr="008528DC">
        <w:rPr>
          <w:rFonts w:ascii="Times New Roman" w:eastAsia="Calibri" w:hAnsi="Times New Roman" w:cs="Times New Roman"/>
          <w:sz w:val="20"/>
          <w:szCs w:val="20"/>
          <w:shd w:val="clear" w:color="auto" w:fill="FFFFFF"/>
        </w:rPr>
        <w:t xml:space="preserve">At older ages, the intervention threshold </w:t>
      </w:r>
      <w:r w:rsidR="00765E83" w:rsidRPr="008528DC">
        <w:rPr>
          <w:rFonts w:ascii="Times New Roman" w:eastAsia="Calibri" w:hAnsi="Times New Roman" w:cs="Times New Roman"/>
          <w:sz w:val="20"/>
          <w:szCs w:val="20"/>
          <w:shd w:val="clear" w:color="auto" w:fill="FFFFFF"/>
        </w:rPr>
        <w:t xml:space="preserve">decreased due to the competing effect of </w:t>
      </w:r>
      <w:r w:rsidR="00CD073E" w:rsidRPr="008528DC">
        <w:rPr>
          <w:rFonts w:ascii="Times New Roman" w:eastAsia="Calibri" w:hAnsi="Times New Roman" w:cs="Times New Roman"/>
          <w:sz w:val="20"/>
          <w:szCs w:val="20"/>
          <w:shd w:val="clear" w:color="auto" w:fill="FFFFFF"/>
        </w:rPr>
        <w:t xml:space="preserve">mortality. </w:t>
      </w:r>
    </w:p>
    <w:p w14:paraId="5631F992" w14:textId="576E6D96" w:rsidR="00BE6770" w:rsidRPr="008528DC" w:rsidRDefault="00954B7B"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Supp Table 1 </w:t>
      </w:r>
      <w:r w:rsidR="00BE6770" w:rsidRPr="008528DC">
        <w:rPr>
          <w:rFonts w:ascii="Times New Roman" w:eastAsia="Calibri" w:hAnsi="Times New Roman" w:cs="Times New Roman"/>
          <w:sz w:val="20"/>
          <w:szCs w:val="20"/>
          <w:shd w:val="clear" w:color="auto" w:fill="FFFFFF"/>
        </w:rPr>
        <w:t xml:space="preserve">and Figure </w:t>
      </w:r>
      <w:r w:rsidR="002B37D8" w:rsidRPr="008528DC">
        <w:rPr>
          <w:rFonts w:ascii="Times New Roman" w:eastAsia="Calibri" w:hAnsi="Times New Roman" w:cs="Times New Roman"/>
          <w:sz w:val="20"/>
          <w:szCs w:val="20"/>
          <w:shd w:val="clear" w:color="auto" w:fill="FFFFFF"/>
        </w:rPr>
        <w:t>1</w:t>
      </w:r>
      <w:r w:rsidR="00BE6770" w:rsidRPr="008528DC">
        <w:rPr>
          <w:rFonts w:ascii="Times New Roman" w:eastAsia="Calibri" w:hAnsi="Times New Roman" w:cs="Times New Roman"/>
          <w:sz w:val="20"/>
          <w:szCs w:val="20"/>
          <w:shd w:val="clear" w:color="auto" w:fill="FFFFFF"/>
        </w:rPr>
        <w:t xml:space="preserve"> also give the age-specific upper and lower assessment thresholds for recommending the measurement of BMD in the assessment of fracture probability.  At the age of 65 years, for example, a BMD test would not be recommended in an individual with a fracture probability below </w:t>
      </w:r>
      <w:r w:rsidR="00F05B24" w:rsidRPr="008528DC">
        <w:rPr>
          <w:rFonts w:ascii="Times New Roman" w:eastAsia="Calibri" w:hAnsi="Times New Roman" w:cs="Times New Roman"/>
          <w:sz w:val="20"/>
          <w:szCs w:val="20"/>
          <w:shd w:val="clear" w:color="auto" w:fill="FFFFFF"/>
        </w:rPr>
        <w:t>1.3</w:t>
      </w:r>
      <w:r w:rsidR="00BE6770" w:rsidRPr="008528DC">
        <w:rPr>
          <w:rFonts w:ascii="Times New Roman" w:eastAsia="Calibri" w:hAnsi="Times New Roman" w:cs="Times New Roman"/>
          <w:sz w:val="20"/>
          <w:szCs w:val="20"/>
          <w:shd w:val="clear" w:color="auto" w:fill="FFFFFF"/>
        </w:rPr>
        <w:t xml:space="preserve">%. At the same age, a BMD test would be recommended with a fracture probability that lay between </w:t>
      </w:r>
      <w:r w:rsidR="00CA158B" w:rsidRPr="008528DC">
        <w:rPr>
          <w:rFonts w:ascii="Times New Roman" w:eastAsia="Calibri" w:hAnsi="Times New Roman" w:cs="Times New Roman"/>
          <w:sz w:val="20"/>
          <w:szCs w:val="20"/>
          <w:shd w:val="clear" w:color="auto" w:fill="FFFFFF"/>
        </w:rPr>
        <w:t>1.3</w:t>
      </w:r>
      <w:r w:rsidR="00BE6770" w:rsidRPr="008528DC">
        <w:rPr>
          <w:rFonts w:ascii="Times New Roman" w:eastAsia="Calibri" w:hAnsi="Times New Roman" w:cs="Times New Roman"/>
          <w:sz w:val="20"/>
          <w:szCs w:val="20"/>
          <w:shd w:val="clear" w:color="auto" w:fill="FFFFFF"/>
        </w:rPr>
        <w:t xml:space="preserve"> and </w:t>
      </w:r>
      <w:r w:rsidR="00CA158B" w:rsidRPr="008528DC">
        <w:rPr>
          <w:rFonts w:ascii="Times New Roman" w:eastAsia="Calibri" w:hAnsi="Times New Roman" w:cs="Times New Roman"/>
          <w:sz w:val="20"/>
          <w:szCs w:val="20"/>
          <w:shd w:val="clear" w:color="auto" w:fill="FFFFFF"/>
        </w:rPr>
        <w:t>3.1</w:t>
      </w:r>
      <w:r w:rsidR="00BE6770" w:rsidRPr="008528DC">
        <w:rPr>
          <w:rFonts w:ascii="Times New Roman" w:eastAsia="Calibri" w:hAnsi="Times New Roman" w:cs="Times New Roman"/>
          <w:sz w:val="20"/>
          <w:szCs w:val="20"/>
          <w:shd w:val="clear" w:color="auto" w:fill="FFFFFF"/>
        </w:rPr>
        <w:t xml:space="preserve">%. Treatment would be recommended without the requirement of a BMD test (for fracture risk assessment, though possibly for monitoring of treatment) in individuals with a fracture probability that exceeded </w:t>
      </w:r>
      <w:r w:rsidR="00CA158B" w:rsidRPr="008528DC">
        <w:rPr>
          <w:rFonts w:ascii="Times New Roman" w:eastAsia="Calibri" w:hAnsi="Times New Roman" w:cs="Times New Roman"/>
          <w:sz w:val="20"/>
          <w:szCs w:val="20"/>
          <w:shd w:val="clear" w:color="auto" w:fill="FFFFFF"/>
        </w:rPr>
        <w:t>3.</w:t>
      </w:r>
      <w:r w:rsidR="00F20F37" w:rsidRPr="008528DC">
        <w:rPr>
          <w:rFonts w:ascii="Times New Roman" w:eastAsia="Calibri" w:hAnsi="Times New Roman" w:cs="Times New Roman"/>
          <w:sz w:val="20"/>
          <w:szCs w:val="20"/>
          <w:shd w:val="clear" w:color="auto" w:fill="FFFFFF"/>
        </w:rPr>
        <w:t>1</w:t>
      </w:r>
      <w:r w:rsidR="00BE6770" w:rsidRPr="008528DC">
        <w:rPr>
          <w:rFonts w:ascii="Times New Roman" w:eastAsia="Calibri" w:hAnsi="Times New Roman" w:cs="Times New Roman"/>
          <w:sz w:val="20"/>
          <w:szCs w:val="20"/>
          <w:shd w:val="clear" w:color="auto" w:fill="FFFFFF"/>
        </w:rPr>
        <w:t xml:space="preserve">%. In </w:t>
      </w:r>
      <w:r w:rsidR="00F20F37" w:rsidRPr="008528DC">
        <w:rPr>
          <w:rFonts w:ascii="Times New Roman" w:eastAsia="Calibri" w:hAnsi="Times New Roman" w:cs="Times New Roman"/>
          <w:sz w:val="20"/>
          <w:szCs w:val="20"/>
          <w:shd w:val="clear" w:color="auto" w:fill="FFFFFF"/>
        </w:rPr>
        <w:t>women</w:t>
      </w:r>
      <w:r w:rsidR="00BE6770" w:rsidRPr="008528DC">
        <w:rPr>
          <w:rFonts w:ascii="Times New Roman" w:eastAsia="Calibri" w:hAnsi="Times New Roman" w:cs="Times New Roman"/>
          <w:sz w:val="20"/>
          <w:szCs w:val="20"/>
          <w:shd w:val="clear" w:color="auto" w:fill="FFFFFF"/>
        </w:rPr>
        <w:t xml:space="preserve"> in whom a BMD test was undertaken, treatment would be recommended in those with a fracture probability that was </w:t>
      </w:r>
      <w:r w:rsidR="00F71CDE" w:rsidRPr="008528DC">
        <w:rPr>
          <w:rFonts w:ascii="Times New Roman" w:eastAsia="Calibri" w:hAnsi="Times New Roman" w:cs="Times New Roman"/>
          <w:sz w:val="20"/>
          <w:szCs w:val="20"/>
          <w:shd w:val="clear" w:color="auto" w:fill="FFFFFF"/>
        </w:rPr>
        <w:t>2.6</w:t>
      </w:r>
      <w:r w:rsidR="00BE6770" w:rsidRPr="008528DC">
        <w:rPr>
          <w:rFonts w:ascii="Times New Roman" w:eastAsia="Calibri" w:hAnsi="Times New Roman" w:cs="Times New Roman"/>
          <w:sz w:val="20"/>
          <w:szCs w:val="20"/>
          <w:shd w:val="clear" w:color="auto" w:fill="FFFFFF"/>
        </w:rPr>
        <w:t>% or greater.</w:t>
      </w:r>
    </w:p>
    <w:p w14:paraId="7ABC0009" w14:textId="77777777" w:rsidR="00153952" w:rsidRPr="008528DC" w:rsidRDefault="00153952" w:rsidP="00077C16">
      <w:pPr>
        <w:spacing w:after="0" w:line="480" w:lineRule="auto"/>
        <w:rPr>
          <w:rFonts w:ascii="Times New Roman" w:eastAsia="Calibri" w:hAnsi="Times New Roman" w:cs="Times New Roman"/>
          <w:sz w:val="20"/>
          <w:szCs w:val="20"/>
          <w:highlight w:val="yellow"/>
          <w:shd w:val="clear" w:color="auto" w:fill="FFFFFF"/>
        </w:rPr>
      </w:pPr>
    </w:p>
    <w:p w14:paraId="34CC4264" w14:textId="68074A58" w:rsidR="00222E7E" w:rsidRPr="008528DC" w:rsidRDefault="00222E7E" w:rsidP="00077C16">
      <w:pPr>
        <w:spacing w:after="0" w:line="480" w:lineRule="auto"/>
        <w:rPr>
          <w:rFonts w:ascii="Times New Roman" w:eastAsia="Calibri" w:hAnsi="Times New Roman" w:cs="Times New Roman"/>
          <w:i/>
          <w:iCs/>
          <w:sz w:val="20"/>
          <w:szCs w:val="20"/>
          <w:shd w:val="clear" w:color="auto" w:fill="FFFFFF"/>
        </w:rPr>
      </w:pPr>
      <w:r w:rsidRPr="008528DC">
        <w:rPr>
          <w:rFonts w:ascii="Times New Roman" w:eastAsia="Calibri" w:hAnsi="Times New Roman" w:cs="Times New Roman"/>
          <w:i/>
          <w:iCs/>
          <w:sz w:val="20"/>
          <w:szCs w:val="20"/>
          <w:shd w:val="clear" w:color="auto" w:fill="FFFFFF"/>
        </w:rPr>
        <w:t>Management pathway</w:t>
      </w:r>
    </w:p>
    <w:p w14:paraId="0ED0B465" w14:textId="426EF98B" w:rsidR="00B458F8" w:rsidRPr="008528DC" w:rsidRDefault="00E523ED"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Suppl Fig.1 </w:t>
      </w:r>
      <w:r w:rsidR="009B5203" w:rsidRPr="008528DC">
        <w:rPr>
          <w:rFonts w:ascii="Times New Roman" w:eastAsia="Calibri" w:hAnsi="Times New Roman" w:cs="Times New Roman"/>
          <w:sz w:val="20"/>
          <w:szCs w:val="20"/>
          <w:shd w:val="clear" w:color="auto" w:fill="FFFFFF"/>
        </w:rPr>
        <w:t>shows the distribution of 10-year</w:t>
      </w:r>
      <w:r w:rsidR="00BA5133" w:rsidRPr="008528DC">
        <w:rPr>
          <w:rFonts w:ascii="Times New Roman" w:eastAsia="Calibri" w:hAnsi="Times New Roman" w:cs="Times New Roman"/>
          <w:sz w:val="20"/>
          <w:szCs w:val="20"/>
          <w:shd w:val="clear" w:color="auto" w:fill="FFFFFF"/>
        </w:rPr>
        <w:t xml:space="preserve"> probabilities of </w:t>
      </w:r>
      <w:r w:rsidR="00F10C24" w:rsidRPr="008528DC">
        <w:rPr>
          <w:rFonts w:ascii="Times New Roman" w:eastAsia="Calibri" w:hAnsi="Times New Roman" w:cs="Times New Roman"/>
          <w:sz w:val="20"/>
          <w:szCs w:val="20"/>
          <w:shd w:val="clear" w:color="auto" w:fill="FFFFFF"/>
        </w:rPr>
        <w:t>a major osteoporotic fracture</w:t>
      </w:r>
      <w:r w:rsidR="004454E9" w:rsidRPr="008528DC">
        <w:rPr>
          <w:rFonts w:ascii="Times New Roman" w:eastAsia="Calibri" w:hAnsi="Times New Roman" w:cs="Times New Roman"/>
          <w:sz w:val="20"/>
          <w:szCs w:val="20"/>
          <w:shd w:val="clear" w:color="auto" w:fill="FFFFFF"/>
        </w:rPr>
        <w:t xml:space="preserve"> set against age-specific thresholds</w:t>
      </w:r>
      <w:bookmarkStart w:id="14" w:name="_Hlk54537783"/>
      <w:r w:rsidR="00F10C24" w:rsidRPr="008528DC">
        <w:rPr>
          <w:rFonts w:ascii="Times New Roman" w:eastAsia="Calibri" w:hAnsi="Times New Roman" w:cs="Times New Roman"/>
          <w:sz w:val="20"/>
          <w:szCs w:val="20"/>
          <w:shd w:val="clear" w:color="auto" w:fill="FFFFFF"/>
        </w:rPr>
        <w:t xml:space="preserve">.  </w:t>
      </w:r>
      <w:r w:rsidR="006B5456" w:rsidRPr="008528DC">
        <w:rPr>
          <w:rFonts w:ascii="Times New Roman" w:eastAsia="Calibri" w:hAnsi="Times New Roman" w:cs="Times New Roman"/>
          <w:sz w:val="20"/>
          <w:szCs w:val="20"/>
          <w:shd w:val="clear" w:color="auto" w:fill="FFFFFF"/>
        </w:rPr>
        <w:t>87</w:t>
      </w:r>
      <w:r w:rsidR="00F06A92" w:rsidRPr="008528DC">
        <w:rPr>
          <w:rFonts w:ascii="Times New Roman" w:eastAsia="Calibri" w:hAnsi="Times New Roman" w:cs="Times New Roman"/>
          <w:sz w:val="20"/>
          <w:szCs w:val="20"/>
          <w:shd w:val="clear" w:color="auto" w:fill="FFFFFF"/>
        </w:rPr>
        <w:t xml:space="preserve"> </w:t>
      </w:r>
      <w:r w:rsidR="0042541E" w:rsidRPr="008528DC">
        <w:rPr>
          <w:rFonts w:ascii="Times New Roman" w:eastAsia="Calibri" w:hAnsi="Times New Roman" w:cs="Times New Roman"/>
          <w:sz w:val="20"/>
          <w:szCs w:val="20"/>
          <w:shd w:val="clear" w:color="auto" w:fill="FFFFFF"/>
        </w:rPr>
        <w:t>women (</w:t>
      </w:r>
      <w:r w:rsidR="00FC7DB2" w:rsidRPr="008528DC">
        <w:rPr>
          <w:rFonts w:ascii="Times New Roman" w:eastAsia="Calibri" w:hAnsi="Times New Roman" w:cs="Times New Roman"/>
          <w:sz w:val="20"/>
          <w:szCs w:val="20"/>
          <w:shd w:val="clear" w:color="auto" w:fill="FFFFFF"/>
        </w:rPr>
        <w:t>3.7</w:t>
      </w:r>
      <w:r w:rsidR="00EE336D" w:rsidRPr="008528DC">
        <w:rPr>
          <w:rFonts w:ascii="Times New Roman" w:eastAsia="Calibri" w:hAnsi="Times New Roman" w:cs="Times New Roman"/>
          <w:sz w:val="20"/>
          <w:szCs w:val="20"/>
          <w:shd w:val="clear" w:color="auto" w:fill="FFFFFF"/>
        </w:rPr>
        <w:t xml:space="preserve">%) </w:t>
      </w:r>
      <w:r w:rsidR="00F06A92" w:rsidRPr="008528DC">
        <w:rPr>
          <w:rFonts w:ascii="Times New Roman" w:eastAsia="Calibri" w:hAnsi="Times New Roman" w:cs="Times New Roman"/>
          <w:sz w:val="20"/>
          <w:szCs w:val="20"/>
          <w:shd w:val="clear" w:color="auto" w:fill="FFFFFF"/>
        </w:rPr>
        <w:t xml:space="preserve">had </w:t>
      </w:r>
      <w:r w:rsidR="00EF59DF" w:rsidRPr="008528DC">
        <w:rPr>
          <w:rFonts w:ascii="Times New Roman" w:eastAsia="Calibri" w:hAnsi="Times New Roman" w:cs="Times New Roman"/>
          <w:sz w:val="20"/>
          <w:szCs w:val="20"/>
          <w:shd w:val="clear" w:color="auto" w:fill="FFFFFF"/>
        </w:rPr>
        <w:t xml:space="preserve">a prior fracture and would thus be eligible for treatment.  </w:t>
      </w:r>
      <w:r w:rsidR="005B2954" w:rsidRPr="008528DC">
        <w:rPr>
          <w:rFonts w:ascii="Times New Roman" w:eastAsia="Calibri" w:hAnsi="Times New Roman" w:cs="Times New Roman"/>
          <w:sz w:val="20"/>
          <w:szCs w:val="20"/>
          <w:shd w:val="clear" w:color="auto" w:fill="FFFFFF"/>
        </w:rPr>
        <w:t xml:space="preserve">1131 </w:t>
      </w:r>
      <w:r w:rsidR="0005469C" w:rsidRPr="008528DC">
        <w:rPr>
          <w:rFonts w:ascii="Times New Roman" w:eastAsia="Calibri" w:hAnsi="Times New Roman" w:cs="Times New Roman"/>
          <w:sz w:val="20"/>
          <w:szCs w:val="20"/>
          <w:shd w:val="clear" w:color="auto" w:fill="FFFFFF"/>
        </w:rPr>
        <w:t xml:space="preserve">women </w:t>
      </w:r>
      <w:r w:rsidR="00DF798E" w:rsidRPr="008528DC">
        <w:rPr>
          <w:rFonts w:ascii="Times New Roman" w:eastAsia="Calibri" w:hAnsi="Times New Roman" w:cs="Times New Roman"/>
          <w:sz w:val="20"/>
          <w:szCs w:val="20"/>
          <w:shd w:val="clear" w:color="auto" w:fill="FFFFFF"/>
        </w:rPr>
        <w:t>(47</w:t>
      </w:r>
      <w:r w:rsidR="007D168D" w:rsidRPr="008528DC">
        <w:rPr>
          <w:rFonts w:ascii="Times New Roman" w:eastAsia="Calibri" w:hAnsi="Times New Roman" w:cs="Times New Roman"/>
          <w:sz w:val="20"/>
          <w:szCs w:val="20"/>
          <w:shd w:val="clear" w:color="auto" w:fill="FFFFFF"/>
        </w:rPr>
        <w:t xml:space="preserve">.8%) </w:t>
      </w:r>
      <w:r w:rsidR="005B2954" w:rsidRPr="008528DC">
        <w:rPr>
          <w:rFonts w:ascii="Times New Roman" w:eastAsia="Calibri" w:hAnsi="Times New Roman" w:cs="Times New Roman"/>
          <w:sz w:val="20"/>
          <w:szCs w:val="20"/>
          <w:shd w:val="clear" w:color="auto" w:fill="FFFFFF"/>
        </w:rPr>
        <w:t>had</w:t>
      </w:r>
      <w:r w:rsidR="00483CD2" w:rsidRPr="008528DC">
        <w:rPr>
          <w:rFonts w:ascii="Times New Roman" w:eastAsia="Calibri" w:hAnsi="Times New Roman" w:cs="Times New Roman"/>
          <w:sz w:val="20"/>
          <w:szCs w:val="20"/>
          <w:shd w:val="clear" w:color="auto" w:fill="FFFFFF"/>
        </w:rPr>
        <w:t xml:space="preserve"> probabilities above the lower assessment threshold b</w:t>
      </w:r>
      <w:r w:rsidR="005B2954" w:rsidRPr="008528DC">
        <w:rPr>
          <w:rFonts w:ascii="Times New Roman" w:eastAsia="Calibri" w:hAnsi="Times New Roman" w:cs="Times New Roman"/>
          <w:sz w:val="20"/>
          <w:szCs w:val="20"/>
          <w:shd w:val="clear" w:color="auto" w:fill="FFFFFF"/>
        </w:rPr>
        <w:t>u</w:t>
      </w:r>
      <w:r w:rsidR="00483CD2" w:rsidRPr="008528DC">
        <w:rPr>
          <w:rFonts w:ascii="Times New Roman" w:eastAsia="Calibri" w:hAnsi="Times New Roman" w:cs="Times New Roman"/>
          <w:sz w:val="20"/>
          <w:szCs w:val="20"/>
          <w:shd w:val="clear" w:color="auto" w:fill="FFFFFF"/>
        </w:rPr>
        <w:t xml:space="preserve">t </w:t>
      </w:r>
      <w:r w:rsidR="00D92DD9" w:rsidRPr="008528DC">
        <w:rPr>
          <w:rFonts w:ascii="Times New Roman" w:eastAsia="Calibri" w:hAnsi="Times New Roman" w:cs="Times New Roman"/>
          <w:sz w:val="20"/>
          <w:szCs w:val="20"/>
          <w:shd w:val="clear" w:color="auto" w:fill="FFFFFF"/>
        </w:rPr>
        <w:t xml:space="preserve">below the upper assessment </w:t>
      </w:r>
      <w:r w:rsidR="008650CB" w:rsidRPr="008528DC">
        <w:rPr>
          <w:rFonts w:ascii="Times New Roman" w:eastAsia="Calibri" w:hAnsi="Times New Roman" w:cs="Times New Roman"/>
          <w:sz w:val="20"/>
          <w:szCs w:val="20"/>
          <w:shd w:val="clear" w:color="auto" w:fill="FFFFFF"/>
        </w:rPr>
        <w:t>threshold,</w:t>
      </w:r>
      <w:r w:rsidR="005B2954" w:rsidRPr="008528DC">
        <w:rPr>
          <w:rFonts w:ascii="Times New Roman" w:eastAsia="Calibri" w:hAnsi="Times New Roman" w:cs="Times New Roman"/>
          <w:sz w:val="20"/>
          <w:szCs w:val="20"/>
          <w:shd w:val="clear" w:color="auto" w:fill="FFFFFF"/>
        </w:rPr>
        <w:t xml:space="preserve"> so that a</w:t>
      </w:r>
      <w:r w:rsidR="002A754A" w:rsidRPr="008528DC">
        <w:rPr>
          <w:rFonts w:ascii="Times New Roman" w:eastAsia="Calibri" w:hAnsi="Times New Roman" w:cs="Times New Roman"/>
          <w:sz w:val="20"/>
          <w:szCs w:val="20"/>
          <w:shd w:val="clear" w:color="auto" w:fill="FFFFFF"/>
        </w:rPr>
        <w:t xml:space="preserve"> BMD test would be recommended</w:t>
      </w:r>
      <w:r w:rsidR="00DF798E" w:rsidRPr="008528DC">
        <w:rPr>
          <w:rFonts w:ascii="Times New Roman" w:eastAsia="Calibri" w:hAnsi="Times New Roman" w:cs="Times New Roman"/>
          <w:sz w:val="20"/>
          <w:szCs w:val="20"/>
          <w:shd w:val="clear" w:color="auto" w:fill="FFFFFF"/>
        </w:rPr>
        <w:t xml:space="preserve">. </w:t>
      </w:r>
      <w:r w:rsidR="002A754A" w:rsidRPr="008528DC">
        <w:rPr>
          <w:rFonts w:ascii="Times New Roman" w:eastAsia="Calibri" w:hAnsi="Times New Roman" w:cs="Times New Roman"/>
          <w:sz w:val="20"/>
          <w:szCs w:val="20"/>
          <w:shd w:val="clear" w:color="auto" w:fill="FFFFFF"/>
        </w:rPr>
        <w:t xml:space="preserve"> </w:t>
      </w:r>
      <w:r w:rsidR="007D168D" w:rsidRPr="008528DC">
        <w:rPr>
          <w:rFonts w:ascii="Times New Roman" w:eastAsia="Calibri" w:hAnsi="Times New Roman" w:cs="Times New Roman"/>
          <w:sz w:val="20"/>
          <w:szCs w:val="20"/>
          <w:shd w:val="clear" w:color="auto" w:fill="FFFFFF"/>
        </w:rPr>
        <w:t>Treatment</w:t>
      </w:r>
      <w:r w:rsidR="000509B4" w:rsidRPr="008528DC">
        <w:rPr>
          <w:rFonts w:ascii="Times New Roman" w:eastAsia="Calibri" w:hAnsi="Times New Roman" w:cs="Times New Roman"/>
          <w:sz w:val="20"/>
          <w:szCs w:val="20"/>
          <w:shd w:val="clear" w:color="auto" w:fill="FFFFFF"/>
        </w:rPr>
        <w:t xml:space="preserve"> without the necessity for a BMD test could be recommended i</w:t>
      </w:r>
      <w:r w:rsidR="00A41561" w:rsidRPr="008528DC">
        <w:rPr>
          <w:rFonts w:ascii="Times New Roman" w:eastAsia="Calibri" w:hAnsi="Times New Roman" w:cs="Times New Roman"/>
          <w:sz w:val="20"/>
          <w:szCs w:val="20"/>
          <w:shd w:val="clear" w:color="auto" w:fill="FFFFFF"/>
        </w:rPr>
        <w:t>n</w:t>
      </w:r>
      <w:r w:rsidR="000509B4" w:rsidRPr="008528DC">
        <w:rPr>
          <w:rFonts w:ascii="Times New Roman" w:eastAsia="Calibri" w:hAnsi="Times New Roman" w:cs="Times New Roman"/>
          <w:sz w:val="20"/>
          <w:szCs w:val="20"/>
          <w:shd w:val="clear" w:color="auto" w:fill="FFFFFF"/>
        </w:rPr>
        <w:t xml:space="preserve"> </w:t>
      </w:r>
      <w:r w:rsidR="00BC0FF7" w:rsidRPr="008528DC">
        <w:rPr>
          <w:rFonts w:ascii="Times New Roman" w:eastAsia="Calibri" w:hAnsi="Times New Roman" w:cs="Times New Roman"/>
          <w:sz w:val="20"/>
          <w:szCs w:val="20"/>
          <w:shd w:val="clear" w:color="auto" w:fill="FFFFFF"/>
        </w:rPr>
        <w:t>49 women (2.1%)</w:t>
      </w:r>
      <w:r w:rsidR="00A41561" w:rsidRPr="008528DC">
        <w:rPr>
          <w:rFonts w:ascii="Times New Roman" w:eastAsia="Calibri" w:hAnsi="Times New Roman" w:cs="Times New Roman"/>
          <w:sz w:val="20"/>
          <w:szCs w:val="20"/>
          <w:shd w:val="clear" w:color="auto" w:fill="FFFFFF"/>
        </w:rPr>
        <w:t xml:space="preserve">. </w:t>
      </w:r>
      <w:bookmarkEnd w:id="14"/>
    </w:p>
    <w:p w14:paraId="4A37D44A" w14:textId="7A1F96D5" w:rsidR="008A7A7F" w:rsidRPr="008528DC" w:rsidRDefault="007E6BFD"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In the case of using a hybrid threshold</w:t>
      </w:r>
      <w:r w:rsidR="004A65D8" w:rsidRPr="008528DC">
        <w:rPr>
          <w:rFonts w:ascii="Times New Roman" w:eastAsia="Calibri" w:hAnsi="Times New Roman" w:cs="Times New Roman"/>
          <w:sz w:val="20"/>
          <w:szCs w:val="20"/>
          <w:shd w:val="clear" w:color="auto" w:fill="FFFFFF"/>
        </w:rPr>
        <w:t>,</w:t>
      </w:r>
      <w:r w:rsidR="008A7A7F" w:rsidRPr="008528DC">
        <w:rPr>
          <w:rFonts w:ascii="Times New Roman" w:eastAsia="Calibri" w:hAnsi="Times New Roman" w:cs="Times New Roman"/>
          <w:sz w:val="20"/>
          <w:szCs w:val="20"/>
          <w:shd w:val="clear" w:color="auto" w:fill="FFFFFF"/>
        </w:rPr>
        <w:t xml:space="preserve"> 87 women (3.7%) had a prior fracture and would thus be eligible for treatment.  </w:t>
      </w:r>
      <w:r w:rsidR="004A65D8" w:rsidRPr="008528DC">
        <w:rPr>
          <w:rFonts w:ascii="Times New Roman" w:eastAsia="Calibri" w:hAnsi="Times New Roman" w:cs="Times New Roman"/>
          <w:sz w:val="20"/>
          <w:szCs w:val="20"/>
          <w:shd w:val="clear" w:color="auto" w:fill="FFFFFF"/>
        </w:rPr>
        <w:t>1218</w:t>
      </w:r>
      <w:r w:rsidR="008A7A7F" w:rsidRPr="008528DC">
        <w:rPr>
          <w:rFonts w:ascii="Times New Roman" w:eastAsia="Calibri" w:hAnsi="Times New Roman" w:cs="Times New Roman"/>
          <w:sz w:val="20"/>
          <w:szCs w:val="20"/>
          <w:shd w:val="clear" w:color="auto" w:fill="FFFFFF"/>
        </w:rPr>
        <w:t xml:space="preserve"> women (</w:t>
      </w:r>
      <w:r w:rsidR="00014601" w:rsidRPr="008528DC">
        <w:rPr>
          <w:rFonts w:ascii="Times New Roman" w:eastAsia="Calibri" w:hAnsi="Times New Roman" w:cs="Times New Roman"/>
          <w:sz w:val="20"/>
          <w:szCs w:val="20"/>
          <w:shd w:val="clear" w:color="auto" w:fill="FFFFFF"/>
        </w:rPr>
        <w:t>51.4</w:t>
      </w:r>
      <w:r w:rsidR="008A7A7F" w:rsidRPr="008528DC">
        <w:rPr>
          <w:rFonts w:ascii="Times New Roman" w:eastAsia="Calibri" w:hAnsi="Times New Roman" w:cs="Times New Roman"/>
          <w:sz w:val="20"/>
          <w:szCs w:val="20"/>
          <w:shd w:val="clear" w:color="auto" w:fill="FFFFFF"/>
        </w:rPr>
        <w:t xml:space="preserve">%) had probabilities above the lower assessment threshold but below the upper assessment </w:t>
      </w:r>
      <w:r w:rsidR="00CA4722" w:rsidRPr="008528DC">
        <w:rPr>
          <w:rFonts w:ascii="Times New Roman" w:eastAsia="Calibri" w:hAnsi="Times New Roman" w:cs="Times New Roman"/>
          <w:sz w:val="20"/>
          <w:szCs w:val="20"/>
          <w:shd w:val="clear" w:color="auto" w:fill="FFFFFF"/>
        </w:rPr>
        <w:t>threshold,</w:t>
      </w:r>
      <w:r w:rsidR="008A7A7F" w:rsidRPr="008528DC">
        <w:rPr>
          <w:rFonts w:ascii="Times New Roman" w:eastAsia="Calibri" w:hAnsi="Times New Roman" w:cs="Times New Roman"/>
          <w:sz w:val="20"/>
          <w:szCs w:val="20"/>
          <w:shd w:val="clear" w:color="auto" w:fill="FFFFFF"/>
        </w:rPr>
        <w:t xml:space="preserve"> so that a BMD test would be recommended.  Treatment without the necessity for a BMD test could be recommended in </w:t>
      </w:r>
      <w:r w:rsidR="004F75D8" w:rsidRPr="008528DC">
        <w:rPr>
          <w:rFonts w:ascii="Times New Roman" w:eastAsia="Calibri" w:hAnsi="Times New Roman" w:cs="Times New Roman"/>
          <w:sz w:val="20"/>
          <w:szCs w:val="20"/>
          <w:shd w:val="clear" w:color="auto" w:fill="FFFFFF"/>
        </w:rPr>
        <w:t>170</w:t>
      </w:r>
      <w:r w:rsidR="008A7A7F" w:rsidRPr="008528DC">
        <w:rPr>
          <w:rFonts w:ascii="Times New Roman" w:eastAsia="Calibri" w:hAnsi="Times New Roman" w:cs="Times New Roman"/>
          <w:sz w:val="20"/>
          <w:szCs w:val="20"/>
          <w:shd w:val="clear" w:color="auto" w:fill="FFFFFF"/>
        </w:rPr>
        <w:t xml:space="preserve"> women (</w:t>
      </w:r>
      <w:r w:rsidR="004F75D8" w:rsidRPr="008528DC">
        <w:rPr>
          <w:rFonts w:ascii="Times New Roman" w:eastAsia="Calibri" w:hAnsi="Times New Roman" w:cs="Times New Roman"/>
          <w:sz w:val="20"/>
          <w:szCs w:val="20"/>
          <w:shd w:val="clear" w:color="auto" w:fill="FFFFFF"/>
        </w:rPr>
        <w:t>7.2</w:t>
      </w:r>
      <w:r w:rsidR="008A7A7F" w:rsidRPr="008528DC">
        <w:rPr>
          <w:rFonts w:ascii="Times New Roman" w:eastAsia="Calibri" w:hAnsi="Times New Roman" w:cs="Times New Roman"/>
          <w:sz w:val="20"/>
          <w:szCs w:val="20"/>
          <w:shd w:val="clear" w:color="auto" w:fill="FFFFFF"/>
        </w:rPr>
        <w:t>%).</w:t>
      </w:r>
    </w:p>
    <w:p w14:paraId="34D9CD95" w14:textId="3672DF56" w:rsidR="00C64F59" w:rsidRPr="008528DC" w:rsidRDefault="00C64F59"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If treatment was allocated</w:t>
      </w:r>
      <w:r w:rsidR="00337604" w:rsidRPr="008528DC">
        <w:rPr>
          <w:rFonts w:ascii="Times New Roman" w:eastAsia="Calibri" w:hAnsi="Times New Roman" w:cs="Times New Roman"/>
          <w:sz w:val="20"/>
          <w:szCs w:val="20"/>
          <w:shd w:val="clear" w:color="auto" w:fill="FFFFFF"/>
        </w:rPr>
        <w:t xml:space="preserve"> solely of FRAX without BMD</w:t>
      </w:r>
      <w:r w:rsidR="00F24D9A" w:rsidRPr="008528DC">
        <w:rPr>
          <w:rFonts w:ascii="Times New Roman" w:eastAsia="Calibri" w:hAnsi="Times New Roman" w:cs="Times New Roman"/>
          <w:sz w:val="20"/>
          <w:szCs w:val="20"/>
          <w:shd w:val="clear" w:color="auto" w:fill="FFFFFF"/>
        </w:rPr>
        <w:t xml:space="preserve"> </w:t>
      </w:r>
      <w:r w:rsidR="00A77615" w:rsidRPr="008528DC">
        <w:rPr>
          <w:rFonts w:ascii="Times New Roman" w:eastAsia="Calibri" w:hAnsi="Times New Roman" w:cs="Times New Roman"/>
          <w:sz w:val="20"/>
          <w:szCs w:val="20"/>
          <w:shd w:val="clear" w:color="auto" w:fill="FFFFFF"/>
        </w:rPr>
        <w:t>(excluding those with a prior fracture)</w:t>
      </w:r>
      <w:r w:rsidR="005624A7" w:rsidRPr="008528DC">
        <w:rPr>
          <w:rFonts w:ascii="Times New Roman" w:eastAsia="Calibri" w:hAnsi="Times New Roman" w:cs="Times New Roman"/>
          <w:sz w:val="20"/>
          <w:szCs w:val="20"/>
          <w:shd w:val="clear" w:color="auto" w:fill="FFFFFF"/>
        </w:rPr>
        <w:t>, the number of women eligible for trea</w:t>
      </w:r>
      <w:r w:rsidR="0018269F" w:rsidRPr="008528DC">
        <w:rPr>
          <w:rFonts w:ascii="Times New Roman" w:eastAsia="Calibri" w:hAnsi="Times New Roman" w:cs="Times New Roman"/>
          <w:sz w:val="20"/>
          <w:szCs w:val="20"/>
          <w:shd w:val="clear" w:color="auto" w:fill="FFFFFF"/>
        </w:rPr>
        <w:t xml:space="preserve">tment was 111 with </w:t>
      </w:r>
      <w:r w:rsidR="00980536" w:rsidRPr="008528DC">
        <w:rPr>
          <w:rFonts w:ascii="Times New Roman" w:eastAsia="Calibri" w:hAnsi="Times New Roman" w:cs="Times New Roman"/>
          <w:sz w:val="20"/>
          <w:szCs w:val="20"/>
          <w:shd w:val="clear" w:color="auto" w:fill="FFFFFF"/>
        </w:rPr>
        <w:t xml:space="preserve">an </w:t>
      </w:r>
      <w:r w:rsidR="0018269F" w:rsidRPr="008528DC">
        <w:rPr>
          <w:rFonts w:ascii="Times New Roman" w:eastAsia="Calibri" w:hAnsi="Times New Roman" w:cs="Times New Roman"/>
          <w:sz w:val="20"/>
          <w:szCs w:val="20"/>
          <w:shd w:val="clear" w:color="auto" w:fill="FFFFFF"/>
        </w:rPr>
        <w:t>age-s</w:t>
      </w:r>
      <w:r w:rsidR="00980536" w:rsidRPr="008528DC">
        <w:rPr>
          <w:rFonts w:ascii="Times New Roman" w:eastAsia="Calibri" w:hAnsi="Times New Roman" w:cs="Times New Roman"/>
          <w:sz w:val="20"/>
          <w:szCs w:val="20"/>
          <w:shd w:val="clear" w:color="auto" w:fill="FFFFFF"/>
        </w:rPr>
        <w:t>p</w:t>
      </w:r>
      <w:r w:rsidR="0018269F" w:rsidRPr="008528DC">
        <w:rPr>
          <w:rFonts w:ascii="Times New Roman" w:eastAsia="Calibri" w:hAnsi="Times New Roman" w:cs="Times New Roman"/>
          <w:sz w:val="20"/>
          <w:szCs w:val="20"/>
          <w:shd w:val="clear" w:color="auto" w:fill="FFFFFF"/>
        </w:rPr>
        <w:t>ecific intervention threshold</w:t>
      </w:r>
      <w:r w:rsidR="00980536" w:rsidRPr="008528DC">
        <w:rPr>
          <w:rFonts w:ascii="Times New Roman" w:eastAsia="Calibri" w:hAnsi="Times New Roman" w:cs="Times New Roman"/>
          <w:sz w:val="20"/>
          <w:szCs w:val="20"/>
          <w:shd w:val="clear" w:color="auto" w:fill="FFFFFF"/>
        </w:rPr>
        <w:t xml:space="preserve"> and 354 </w:t>
      </w:r>
      <w:r w:rsidR="004B6CAC" w:rsidRPr="008528DC">
        <w:rPr>
          <w:rFonts w:ascii="Times New Roman" w:eastAsia="Calibri" w:hAnsi="Times New Roman" w:cs="Times New Roman"/>
          <w:sz w:val="20"/>
          <w:szCs w:val="20"/>
          <w:shd w:val="clear" w:color="auto" w:fill="FFFFFF"/>
        </w:rPr>
        <w:t>with the hybrid threshold.</w:t>
      </w:r>
    </w:p>
    <w:p w14:paraId="6FEEA69A" w14:textId="36683279" w:rsidR="00A75D73" w:rsidRPr="008528DC" w:rsidRDefault="00E02596"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The disposition of the various scenarios is shown in </w:t>
      </w:r>
      <w:r w:rsidR="00E523ED" w:rsidRPr="008528DC">
        <w:rPr>
          <w:rFonts w:ascii="Times New Roman" w:eastAsia="Calibri" w:hAnsi="Times New Roman" w:cs="Times New Roman"/>
          <w:sz w:val="20"/>
          <w:szCs w:val="20"/>
          <w:shd w:val="clear" w:color="auto" w:fill="FFFFFF"/>
        </w:rPr>
        <w:t>Figure 3</w:t>
      </w:r>
      <w:r w:rsidR="00CA4722" w:rsidRPr="008528DC">
        <w:rPr>
          <w:rFonts w:ascii="Times New Roman" w:eastAsia="Calibri" w:hAnsi="Times New Roman" w:cs="Times New Roman"/>
          <w:sz w:val="20"/>
          <w:szCs w:val="20"/>
          <w:shd w:val="clear" w:color="auto" w:fill="FFFFFF"/>
        </w:rPr>
        <w:t>.  The hybri</w:t>
      </w:r>
      <w:r w:rsidR="00743747" w:rsidRPr="008528DC">
        <w:rPr>
          <w:rFonts w:ascii="Times New Roman" w:eastAsia="Calibri" w:hAnsi="Times New Roman" w:cs="Times New Roman"/>
          <w:sz w:val="20"/>
          <w:szCs w:val="20"/>
          <w:shd w:val="clear" w:color="auto" w:fill="FFFFFF"/>
        </w:rPr>
        <w:t xml:space="preserve">d threshold allocated </w:t>
      </w:r>
      <w:r w:rsidR="007F6EAF" w:rsidRPr="008528DC">
        <w:rPr>
          <w:rFonts w:ascii="Times New Roman" w:eastAsia="Calibri" w:hAnsi="Times New Roman" w:cs="Times New Roman"/>
          <w:sz w:val="20"/>
          <w:szCs w:val="20"/>
          <w:shd w:val="clear" w:color="auto" w:fill="FFFFFF"/>
        </w:rPr>
        <w:t xml:space="preserve">substantially more women to treatment than </w:t>
      </w:r>
      <w:r w:rsidR="00CA77DA" w:rsidRPr="008528DC">
        <w:rPr>
          <w:rFonts w:ascii="Times New Roman" w:eastAsia="Calibri" w:hAnsi="Times New Roman" w:cs="Times New Roman"/>
          <w:sz w:val="20"/>
          <w:szCs w:val="20"/>
          <w:shd w:val="clear" w:color="auto" w:fill="FFFFFF"/>
        </w:rPr>
        <w:t>the age-specific threshold.</w:t>
      </w:r>
    </w:p>
    <w:p w14:paraId="1CE51CAE" w14:textId="50CFE07C" w:rsidR="003431F3" w:rsidRPr="008528DC" w:rsidRDefault="00A41561" w:rsidP="00077C16">
      <w:pPr>
        <w:spacing w:after="0" w:line="480" w:lineRule="auto"/>
        <w:rPr>
          <w:rFonts w:ascii="Times New Roman" w:eastAsia="Calibri" w:hAnsi="Times New Roman" w:cs="Times New Roman"/>
          <w:sz w:val="20"/>
          <w:szCs w:val="20"/>
          <w:highlight w:val="yellow"/>
          <w:shd w:val="clear" w:color="auto" w:fill="FFFFFF"/>
        </w:rPr>
      </w:pPr>
      <w:r w:rsidRPr="008528DC">
        <w:rPr>
          <w:rFonts w:ascii="Times New Roman" w:eastAsia="Calibri" w:hAnsi="Times New Roman" w:cs="Times New Roman"/>
          <w:sz w:val="20"/>
          <w:szCs w:val="20"/>
          <w:shd w:val="clear" w:color="auto" w:fill="FFFFFF"/>
        </w:rPr>
        <w:t xml:space="preserve"> </w:t>
      </w:r>
    </w:p>
    <w:p w14:paraId="2BC61BA1" w14:textId="566511CA" w:rsidR="006E5E19" w:rsidRPr="008528DC" w:rsidRDefault="00E523ED" w:rsidP="00077C16">
      <w:pPr>
        <w:spacing w:after="0" w:line="480" w:lineRule="auto"/>
        <w:ind w:right="946"/>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Table 3 </w:t>
      </w:r>
      <w:r w:rsidR="009C36E1" w:rsidRPr="008528DC">
        <w:rPr>
          <w:rFonts w:ascii="Times New Roman" w:eastAsia="Calibri" w:hAnsi="Times New Roman" w:cs="Times New Roman"/>
          <w:sz w:val="20"/>
          <w:szCs w:val="20"/>
          <w:shd w:val="clear" w:color="auto" w:fill="FFFFFF"/>
        </w:rPr>
        <w:t>gives the fracture probabilities</w:t>
      </w:r>
      <w:r w:rsidR="00571F6D" w:rsidRPr="008528DC">
        <w:rPr>
          <w:rFonts w:ascii="Times New Roman" w:eastAsia="Calibri" w:hAnsi="Times New Roman" w:cs="Times New Roman"/>
          <w:sz w:val="20"/>
          <w:szCs w:val="20"/>
          <w:shd w:val="clear" w:color="auto" w:fill="FFFFFF"/>
        </w:rPr>
        <w:t xml:space="preserve"> </w:t>
      </w:r>
      <w:r w:rsidR="00122955" w:rsidRPr="008528DC">
        <w:rPr>
          <w:rFonts w:ascii="Times New Roman" w:eastAsia="Calibri" w:hAnsi="Times New Roman" w:cs="Times New Roman"/>
          <w:sz w:val="20"/>
          <w:szCs w:val="20"/>
          <w:shd w:val="clear" w:color="auto" w:fill="FFFFFF"/>
        </w:rPr>
        <w:t>in women eligible for treatment</w:t>
      </w:r>
      <w:r w:rsidR="00957CAA" w:rsidRPr="008528DC">
        <w:rPr>
          <w:rFonts w:ascii="Times New Roman" w:eastAsia="Calibri" w:hAnsi="Times New Roman" w:cs="Times New Roman"/>
          <w:sz w:val="20"/>
          <w:szCs w:val="20"/>
          <w:shd w:val="clear" w:color="auto" w:fill="FFFFFF"/>
        </w:rPr>
        <w:t xml:space="preserve"> </w:t>
      </w:r>
      <w:r w:rsidR="00571F6D" w:rsidRPr="008528DC">
        <w:rPr>
          <w:rFonts w:ascii="Times New Roman" w:eastAsia="Calibri" w:hAnsi="Times New Roman" w:cs="Times New Roman"/>
          <w:sz w:val="20"/>
          <w:szCs w:val="20"/>
          <w:shd w:val="clear" w:color="auto" w:fill="FFFFFF"/>
        </w:rPr>
        <w:t>according to the categorisation</w:t>
      </w:r>
      <w:r w:rsidR="002916A4" w:rsidRPr="008528DC">
        <w:rPr>
          <w:rFonts w:ascii="Times New Roman" w:eastAsia="Calibri" w:hAnsi="Times New Roman" w:cs="Times New Roman"/>
          <w:sz w:val="20"/>
          <w:szCs w:val="20"/>
          <w:shd w:val="clear" w:color="auto" w:fill="FFFFFF"/>
        </w:rPr>
        <w:t xml:space="preserve">.  </w:t>
      </w:r>
      <w:r w:rsidR="00420E39" w:rsidRPr="008528DC">
        <w:rPr>
          <w:rFonts w:ascii="Times New Roman" w:eastAsia="Calibri" w:hAnsi="Times New Roman" w:cs="Times New Roman"/>
          <w:sz w:val="20"/>
          <w:szCs w:val="20"/>
          <w:shd w:val="clear" w:color="auto" w:fill="FFFFFF"/>
        </w:rPr>
        <w:t xml:space="preserve">Fracture probabilities were highest in </w:t>
      </w:r>
      <w:r w:rsidR="006541BF" w:rsidRPr="008528DC">
        <w:rPr>
          <w:rFonts w:ascii="Times New Roman" w:eastAsia="Calibri" w:hAnsi="Times New Roman" w:cs="Times New Roman"/>
          <w:sz w:val="20"/>
          <w:szCs w:val="20"/>
          <w:shd w:val="clear" w:color="auto" w:fill="FFFFFF"/>
        </w:rPr>
        <w:t>those eligible for treatmen</w:t>
      </w:r>
      <w:r w:rsidR="007D65F3" w:rsidRPr="008528DC">
        <w:rPr>
          <w:rFonts w:ascii="Times New Roman" w:eastAsia="Calibri" w:hAnsi="Times New Roman" w:cs="Times New Roman"/>
          <w:sz w:val="20"/>
          <w:szCs w:val="20"/>
          <w:shd w:val="clear" w:color="auto" w:fill="FFFFFF"/>
        </w:rPr>
        <w:t>t</w:t>
      </w:r>
      <w:r w:rsidR="006541BF" w:rsidRPr="008528DC">
        <w:rPr>
          <w:rFonts w:ascii="Times New Roman" w:eastAsia="Calibri" w:hAnsi="Times New Roman" w:cs="Times New Roman"/>
          <w:sz w:val="20"/>
          <w:szCs w:val="20"/>
          <w:shd w:val="clear" w:color="auto" w:fill="FFFFFF"/>
        </w:rPr>
        <w:t xml:space="preserve"> on the basis of a</w:t>
      </w:r>
      <w:r w:rsidR="007D65F3" w:rsidRPr="008528DC">
        <w:rPr>
          <w:rFonts w:ascii="Times New Roman" w:eastAsia="Calibri" w:hAnsi="Times New Roman" w:cs="Times New Roman"/>
          <w:sz w:val="20"/>
          <w:szCs w:val="20"/>
          <w:shd w:val="clear" w:color="auto" w:fill="FFFFFF"/>
        </w:rPr>
        <w:t xml:space="preserve">ge-specific thresholds, intermediate </w:t>
      </w:r>
      <w:r w:rsidR="00832F25" w:rsidRPr="008528DC">
        <w:rPr>
          <w:rFonts w:ascii="Times New Roman" w:eastAsia="Calibri" w:hAnsi="Times New Roman" w:cs="Times New Roman"/>
          <w:sz w:val="20"/>
          <w:szCs w:val="20"/>
          <w:shd w:val="clear" w:color="auto" w:fill="FFFFFF"/>
        </w:rPr>
        <w:t>with the hybrid threshold and lowest in those with a prior fracture</w:t>
      </w:r>
      <w:r w:rsidR="00125CFB" w:rsidRPr="008528DC">
        <w:rPr>
          <w:rFonts w:ascii="Times New Roman" w:eastAsia="Calibri" w:hAnsi="Times New Roman" w:cs="Times New Roman"/>
          <w:sz w:val="20"/>
          <w:szCs w:val="20"/>
          <w:shd w:val="clear" w:color="auto" w:fill="FFFFFF"/>
        </w:rPr>
        <w:t>.</w:t>
      </w:r>
      <w:r w:rsidR="00643991" w:rsidRPr="008528DC">
        <w:rPr>
          <w:rFonts w:ascii="Times New Roman" w:eastAsia="Calibri" w:hAnsi="Times New Roman" w:cs="Times New Roman"/>
          <w:sz w:val="20"/>
          <w:szCs w:val="20"/>
          <w:shd w:val="clear" w:color="auto" w:fill="FFFFFF"/>
        </w:rPr>
        <w:t xml:space="preserve"> The </w:t>
      </w:r>
      <w:r w:rsidR="00A85107" w:rsidRPr="008528DC">
        <w:rPr>
          <w:rFonts w:ascii="Times New Roman" w:eastAsia="Calibri" w:hAnsi="Times New Roman" w:cs="Times New Roman"/>
          <w:sz w:val="20"/>
          <w:szCs w:val="20"/>
          <w:shd w:val="clear" w:color="auto" w:fill="FFFFFF"/>
        </w:rPr>
        <w:t>table also provides the number of fractures e</w:t>
      </w:r>
      <w:r w:rsidR="00940F9D" w:rsidRPr="008528DC">
        <w:rPr>
          <w:rFonts w:ascii="Times New Roman" w:eastAsia="Calibri" w:hAnsi="Times New Roman" w:cs="Times New Roman"/>
          <w:sz w:val="20"/>
          <w:szCs w:val="20"/>
          <w:shd w:val="clear" w:color="auto" w:fill="FFFFFF"/>
        </w:rPr>
        <w:t>xpected in each category.</w:t>
      </w:r>
      <w:r w:rsidR="0054431F" w:rsidRPr="008528DC">
        <w:rPr>
          <w:rFonts w:ascii="Times New Roman" w:eastAsia="Calibri" w:hAnsi="Times New Roman" w:cs="Times New Roman"/>
          <w:sz w:val="20"/>
          <w:szCs w:val="20"/>
          <w:shd w:val="clear" w:color="auto" w:fill="FFFFFF"/>
        </w:rPr>
        <w:t xml:space="preserve"> Including those with a prior fracture, </w:t>
      </w:r>
      <w:r w:rsidR="00CC37DE" w:rsidRPr="008528DC">
        <w:rPr>
          <w:rFonts w:ascii="Times New Roman" w:eastAsia="Calibri" w:hAnsi="Times New Roman" w:cs="Times New Roman"/>
          <w:sz w:val="20"/>
          <w:szCs w:val="20"/>
          <w:shd w:val="clear" w:color="auto" w:fill="FFFFFF"/>
        </w:rPr>
        <w:t>the age-specific threshold wou</w:t>
      </w:r>
      <w:r w:rsidR="00722F0E" w:rsidRPr="008528DC">
        <w:rPr>
          <w:rFonts w:ascii="Times New Roman" w:eastAsia="Calibri" w:hAnsi="Times New Roman" w:cs="Times New Roman"/>
          <w:sz w:val="20"/>
          <w:szCs w:val="20"/>
          <w:shd w:val="clear" w:color="auto" w:fill="FFFFFF"/>
        </w:rPr>
        <w:t>l</w:t>
      </w:r>
      <w:r w:rsidR="00CC37DE" w:rsidRPr="008528DC">
        <w:rPr>
          <w:rFonts w:ascii="Times New Roman" w:eastAsia="Calibri" w:hAnsi="Times New Roman" w:cs="Times New Roman"/>
          <w:sz w:val="20"/>
          <w:szCs w:val="20"/>
          <w:shd w:val="clear" w:color="auto" w:fill="FFFFFF"/>
        </w:rPr>
        <w:t>d identify</w:t>
      </w:r>
      <w:r w:rsidR="00722F0E" w:rsidRPr="008528DC">
        <w:rPr>
          <w:rFonts w:ascii="Times New Roman" w:eastAsia="Calibri" w:hAnsi="Times New Roman" w:cs="Times New Roman"/>
          <w:sz w:val="20"/>
          <w:szCs w:val="20"/>
          <w:shd w:val="clear" w:color="auto" w:fill="FFFFFF"/>
        </w:rPr>
        <w:t xml:space="preserve"> 12 women who woul</w:t>
      </w:r>
      <w:r w:rsidR="005354F3" w:rsidRPr="008528DC">
        <w:rPr>
          <w:rFonts w:ascii="Times New Roman" w:eastAsia="Calibri" w:hAnsi="Times New Roman" w:cs="Times New Roman"/>
          <w:sz w:val="20"/>
          <w:szCs w:val="20"/>
          <w:shd w:val="clear" w:color="auto" w:fill="FFFFFF"/>
        </w:rPr>
        <w:t>d sustain a MOF in the next 10 yea</w:t>
      </w:r>
      <w:r w:rsidR="007048B0" w:rsidRPr="008528DC">
        <w:rPr>
          <w:rFonts w:ascii="Times New Roman" w:eastAsia="Calibri" w:hAnsi="Times New Roman" w:cs="Times New Roman"/>
          <w:sz w:val="20"/>
          <w:szCs w:val="20"/>
          <w:shd w:val="clear" w:color="auto" w:fill="FFFFFF"/>
        </w:rPr>
        <w:t>r</w:t>
      </w:r>
      <w:r w:rsidR="005354F3" w:rsidRPr="008528DC">
        <w:rPr>
          <w:rFonts w:ascii="Times New Roman" w:eastAsia="Calibri" w:hAnsi="Times New Roman" w:cs="Times New Roman"/>
          <w:sz w:val="20"/>
          <w:szCs w:val="20"/>
          <w:shd w:val="clear" w:color="auto" w:fill="FFFFFF"/>
        </w:rPr>
        <w:t>s</w:t>
      </w:r>
      <w:r w:rsidR="007048B0" w:rsidRPr="008528DC">
        <w:rPr>
          <w:rFonts w:ascii="Times New Roman" w:eastAsia="Calibri" w:hAnsi="Times New Roman" w:cs="Times New Roman"/>
          <w:sz w:val="20"/>
          <w:szCs w:val="20"/>
          <w:shd w:val="clear" w:color="auto" w:fill="FFFFFF"/>
        </w:rPr>
        <w:t xml:space="preserve"> including 7 hip fractures</w:t>
      </w:r>
      <w:r w:rsidR="00E71E28" w:rsidRPr="008528DC">
        <w:rPr>
          <w:rFonts w:ascii="Times New Roman" w:eastAsia="Calibri" w:hAnsi="Times New Roman" w:cs="Times New Roman"/>
          <w:sz w:val="20"/>
          <w:szCs w:val="20"/>
          <w:shd w:val="clear" w:color="auto" w:fill="FFFFFF"/>
        </w:rPr>
        <w:t xml:space="preserve">.  The hybrid threshold would identify </w:t>
      </w:r>
      <w:r w:rsidR="000B74BC" w:rsidRPr="008528DC">
        <w:rPr>
          <w:rFonts w:ascii="Times New Roman" w:eastAsia="Calibri" w:hAnsi="Times New Roman" w:cs="Times New Roman"/>
          <w:sz w:val="20"/>
          <w:szCs w:val="20"/>
          <w:shd w:val="clear" w:color="auto" w:fill="FFFFFF"/>
        </w:rPr>
        <w:t>23</w:t>
      </w:r>
      <w:r w:rsidR="00E71E28" w:rsidRPr="008528DC">
        <w:rPr>
          <w:rFonts w:ascii="Times New Roman" w:eastAsia="Calibri" w:hAnsi="Times New Roman" w:cs="Times New Roman"/>
          <w:sz w:val="20"/>
          <w:szCs w:val="20"/>
          <w:shd w:val="clear" w:color="auto" w:fill="FFFFFF"/>
        </w:rPr>
        <w:t xml:space="preserve"> women who would sustain a MOF in the next 10 years including </w:t>
      </w:r>
      <w:r w:rsidR="00B1569F" w:rsidRPr="008528DC">
        <w:rPr>
          <w:rFonts w:ascii="Times New Roman" w:eastAsia="Calibri" w:hAnsi="Times New Roman" w:cs="Times New Roman"/>
          <w:sz w:val="20"/>
          <w:szCs w:val="20"/>
          <w:shd w:val="clear" w:color="auto" w:fill="FFFFFF"/>
        </w:rPr>
        <w:t>15</w:t>
      </w:r>
      <w:r w:rsidR="00E71E28" w:rsidRPr="008528DC">
        <w:rPr>
          <w:rFonts w:ascii="Times New Roman" w:eastAsia="Calibri" w:hAnsi="Times New Roman" w:cs="Times New Roman"/>
          <w:sz w:val="20"/>
          <w:szCs w:val="20"/>
          <w:shd w:val="clear" w:color="auto" w:fill="FFFFFF"/>
        </w:rPr>
        <w:t xml:space="preserve"> hip fractures.  </w:t>
      </w:r>
    </w:p>
    <w:p w14:paraId="3B1852F3" w14:textId="2F32FEAF" w:rsidR="00125CFB" w:rsidRPr="008528DC" w:rsidRDefault="00125CFB" w:rsidP="00077C16">
      <w:pPr>
        <w:spacing w:after="0" w:line="480" w:lineRule="auto"/>
        <w:ind w:right="946"/>
        <w:rPr>
          <w:rFonts w:ascii="Times New Roman" w:eastAsia="Calibri" w:hAnsi="Times New Roman" w:cs="Times New Roman"/>
          <w:sz w:val="20"/>
          <w:szCs w:val="20"/>
          <w:shd w:val="clear" w:color="auto" w:fill="FFFFFF"/>
        </w:rPr>
      </w:pPr>
    </w:p>
    <w:p w14:paraId="07D0678E" w14:textId="77777777" w:rsidR="00B37789" w:rsidRPr="008528DC" w:rsidRDefault="00B37789" w:rsidP="00077C16">
      <w:pPr>
        <w:spacing w:after="0" w:line="480" w:lineRule="auto"/>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t>Discussion</w:t>
      </w:r>
    </w:p>
    <w:p w14:paraId="61215713" w14:textId="77E65123" w:rsidR="00B37789" w:rsidRPr="008528DC" w:rsidRDefault="00B37789"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 xml:space="preserve">In this report, we present a method of categorising women on the basis of fracture probabilities derived from FRAX.  The categories identified comprised those women at low risk, those at intermediate risk in whom a BMD test might be recommended, and those eligible for treatment. The triage used was similar to that originally adopted by the National Osteoporosis Guideline Group (NOGG) in the UK and more recently in European guidelines </w:t>
      </w:r>
      <w:r w:rsidR="00990B3F" w:rsidRPr="008528DC">
        <w:rPr>
          <w:rFonts w:ascii="Times New Roman" w:eastAsia="Calibri" w:hAnsi="Times New Roman" w:cs="Times New Roman"/>
          <w:bCs/>
          <w:sz w:val="20"/>
          <w:szCs w:val="20"/>
          <w:vertAlign w:val="superscript"/>
        </w:rPr>
        <w:t>1,</w:t>
      </w:r>
      <w:r w:rsidR="000A0320" w:rsidRPr="008528DC">
        <w:rPr>
          <w:rFonts w:ascii="Times New Roman" w:eastAsia="Calibri" w:hAnsi="Times New Roman" w:cs="Times New Roman"/>
          <w:bCs/>
          <w:sz w:val="20"/>
          <w:szCs w:val="20"/>
          <w:vertAlign w:val="superscript"/>
        </w:rPr>
        <w:t xml:space="preserve"> </w:t>
      </w:r>
      <w:r w:rsidR="00837862" w:rsidRPr="008528DC">
        <w:rPr>
          <w:rFonts w:ascii="Times New Roman" w:eastAsia="Calibri" w:hAnsi="Times New Roman" w:cs="Times New Roman"/>
          <w:bCs/>
          <w:sz w:val="20"/>
          <w:szCs w:val="20"/>
          <w:vertAlign w:val="superscript"/>
        </w:rPr>
        <w:t>7,</w:t>
      </w:r>
      <w:r w:rsidR="000A0320" w:rsidRPr="008528DC">
        <w:rPr>
          <w:rFonts w:ascii="Times New Roman" w:eastAsia="Calibri" w:hAnsi="Times New Roman" w:cs="Times New Roman"/>
          <w:bCs/>
          <w:sz w:val="20"/>
          <w:szCs w:val="20"/>
          <w:vertAlign w:val="superscript"/>
        </w:rPr>
        <w:t xml:space="preserve"> </w:t>
      </w:r>
      <w:r w:rsidR="00990B3F" w:rsidRPr="008528DC">
        <w:rPr>
          <w:rFonts w:ascii="Times New Roman" w:eastAsia="Calibri" w:hAnsi="Times New Roman" w:cs="Times New Roman"/>
          <w:bCs/>
          <w:sz w:val="20"/>
          <w:szCs w:val="20"/>
          <w:vertAlign w:val="superscript"/>
        </w:rPr>
        <w:t>8,</w:t>
      </w:r>
      <w:r w:rsidR="000A0320" w:rsidRPr="008528DC">
        <w:rPr>
          <w:rFonts w:ascii="Times New Roman" w:eastAsia="Calibri" w:hAnsi="Times New Roman" w:cs="Times New Roman"/>
          <w:bCs/>
          <w:sz w:val="20"/>
          <w:szCs w:val="20"/>
          <w:vertAlign w:val="superscript"/>
        </w:rPr>
        <w:t xml:space="preserve"> </w:t>
      </w:r>
      <w:r w:rsidR="00990B3F" w:rsidRPr="008528DC">
        <w:rPr>
          <w:rFonts w:ascii="Times New Roman" w:eastAsia="Calibri" w:hAnsi="Times New Roman" w:cs="Times New Roman"/>
          <w:bCs/>
          <w:sz w:val="20"/>
          <w:szCs w:val="20"/>
          <w:vertAlign w:val="superscript"/>
        </w:rPr>
        <w:t>9</w:t>
      </w:r>
      <w:r w:rsidRPr="008528DC">
        <w:rPr>
          <w:rFonts w:ascii="Times New Roman" w:eastAsia="Calibri" w:hAnsi="Times New Roman" w:cs="Times New Roman"/>
          <w:bCs/>
          <w:sz w:val="20"/>
          <w:szCs w:val="20"/>
        </w:rPr>
        <w:t xml:space="preserve"> but applied to the FRAX model for </w:t>
      </w:r>
      <w:r w:rsidR="008968EC" w:rsidRPr="008528DC">
        <w:rPr>
          <w:rFonts w:ascii="Times New Roman" w:eastAsia="Calibri" w:hAnsi="Times New Roman" w:cs="Times New Roman"/>
          <w:bCs/>
          <w:sz w:val="20"/>
          <w:szCs w:val="20"/>
          <w:shd w:val="clear" w:color="auto" w:fill="FFFFFF"/>
        </w:rPr>
        <w:t>Ecuador</w:t>
      </w:r>
      <w:r w:rsidRPr="008528DC">
        <w:rPr>
          <w:rFonts w:ascii="Times New Roman" w:eastAsia="Calibri" w:hAnsi="Times New Roman" w:cs="Times New Roman"/>
          <w:bCs/>
          <w:sz w:val="20"/>
          <w:szCs w:val="20"/>
        </w:rPr>
        <w:t xml:space="preserve">.  As noted above, the intervention threshold </w:t>
      </w:r>
      <w:r w:rsidR="000953C9" w:rsidRPr="008528DC">
        <w:rPr>
          <w:rFonts w:ascii="Times New Roman" w:eastAsia="Calibri" w:hAnsi="Times New Roman" w:cs="Times New Roman"/>
          <w:bCs/>
          <w:sz w:val="20"/>
          <w:szCs w:val="20"/>
        </w:rPr>
        <w:t>was</w:t>
      </w:r>
      <w:r w:rsidRPr="008528DC">
        <w:rPr>
          <w:rFonts w:ascii="Times New Roman" w:eastAsia="Calibri" w:hAnsi="Times New Roman" w:cs="Times New Roman"/>
          <w:bCs/>
          <w:sz w:val="20"/>
          <w:szCs w:val="20"/>
        </w:rPr>
        <w:t xml:space="preserve"> set at a fracture probability equivalent to a woman of the same age with a prior fragility fracture.  The rationale is that if women with a prior fragility fracture are considered eligible for treatment, as commonly considered, then women without fracture but with equivalent probabilities are also eligible for treatment. </w:t>
      </w:r>
    </w:p>
    <w:p w14:paraId="57165F59" w14:textId="592BE4F8" w:rsidR="00B37789" w:rsidRPr="008528DC" w:rsidRDefault="00B37789"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 xml:space="preserve">The starting point in the assessment of women is the presence of a clinical risk factor that alerts the physician to consider osteoporosis. The opportunistic case finding strategy arises because screening the general population is not widely recommended in Europe, though advocated in North America </w:t>
      </w:r>
      <w:r w:rsidR="00990B3F" w:rsidRPr="008528DC">
        <w:rPr>
          <w:rFonts w:ascii="Times New Roman" w:eastAsia="Calibri" w:hAnsi="Times New Roman" w:cs="Times New Roman"/>
          <w:bCs/>
          <w:sz w:val="20"/>
          <w:szCs w:val="20"/>
          <w:vertAlign w:val="superscript"/>
        </w:rPr>
        <w:t>18,</w:t>
      </w:r>
      <w:r w:rsidR="000A0320" w:rsidRPr="008528DC">
        <w:rPr>
          <w:rFonts w:ascii="Times New Roman" w:eastAsia="Calibri" w:hAnsi="Times New Roman" w:cs="Times New Roman"/>
          <w:bCs/>
          <w:sz w:val="20"/>
          <w:szCs w:val="20"/>
          <w:vertAlign w:val="superscript"/>
        </w:rPr>
        <w:t xml:space="preserve"> </w:t>
      </w:r>
      <w:r w:rsidR="00990B3F" w:rsidRPr="008528DC">
        <w:rPr>
          <w:rFonts w:ascii="Times New Roman" w:eastAsia="Calibri" w:hAnsi="Times New Roman" w:cs="Times New Roman"/>
          <w:bCs/>
          <w:sz w:val="20"/>
          <w:szCs w:val="20"/>
          <w:vertAlign w:val="superscript"/>
        </w:rPr>
        <w:t>19</w:t>
      </w:r>
      <w:r w:rsidRPr="008528DC">
        <w:rPr>
          <w:rFonts w:ascii="Times New Roman" w:eastAsia="Calibri" w:hAnsi="Times New Roman" w:cs="Times New Roman"/>
          <w:bCs/>
          <w:sz w:val="20"/>
          <w:szCs w:val="20"/>
        </w:rPr>
        <w:t xml:space="preserve">. In those eligible for assessment and in common with the NOGG guidelines, we limited the use of BMD testing. Those individuals with fracture probabilities equivalent or lower than women with no clinical risk factors (as used in FRAX) would not be assessed with BMD. At the other extreme, BMD testing was not universally recommended in individuals at high risk. The rationale is that reclassification of risk with the addition of a BMD test (from high risk to low risk and vice versa) is high when fracture probabilities estimated without BMD are close to the intervention threshold but the likelihood of reclassification decreases the further away the probability estimate is from the intervention threshold </w:t>
      </w:r>
      <w:r w:rsidR="00933898" w:rsidRPr="008528DC">
        <w:rPr>
          <w:rFonts w:ascii="Times New Roman" w:eastAsia="Calibri" w:hAnsi="Times New Roman" w:cs="Times New Roman"/>
          <w:bCs/>
          <w:sz w:val="20"/>
          <w:szCs w:val="20"/>
          <w:vertAlign w:val="superscript"/>
        </w:rPr>
        <w:t>20</w:t>
      </w:r>
      <w:r w:rsidRPr="008528DC">
        <w:rPr>
          <w:rFonts w:ascii="Times New Roman" w:eastAsia="Calibri" w:hAnsi="Times New Roman" w:cs="Times New Roman"/>
          <w:bCs/>
          <w:sz w:val="20"/>
          <w:szCs w:val="20"/>
        </w:rPr>
        <w:t>. The approach used has been well validated in the UK and Canada</w:t>
      </w:r>
      <w:r w:rsidR="00837862" w:rsidRPr="008528DC">
        <w:rPr>
          <w:rFonts w:ascii="Times New Roman" w:eastAsia="Calibri" w:hAnsi="Times New Roman" w:cs="Times New Roman"/>
          <w:bCs/>
          <w:sz w:val="20"/>
          <w:szCs w:val="20"/>
        </w:rPr>
        <w:t xml:space="preserve"> </w:t>
      </w:r>
      <w:r w:rsidR="00933898" w:rsidRPr="008528DC">
        <w:rPr>
          <w:rFonts w:ascii="Times New Roman" w:eastAsia="Calibri" w:hAnsi="Times New Roman" w:cs="Times New Roman"/>
          <w:bCs/>
          <w:sz w:val="20"/>
          <w:szCs w:val="20"/>
          <w:vertAlign w:val="superscript"/>
        </w:rPr>
        <w:t>20,</w:t>
      </w:r>
      <w:r w:rsidR="000A0320" w:rsidRPr="008528DC">
        <w:rPr>
          <w:rFonts w:ascii="Times New Roman" w:eastAsia="Calibri" w:hAnsi="Times New Roman" w:cs="Times New Roman"/>
          <w:bCs/>
          <w:sz w:val="20"/>
          <w:szCs w:val="20"/>
          <w:vertAlign w:val="superscript"/>
        </w:rPr>
        <w:t xml:space="preserve"> </w:t>
      </w:r>
      <w:r w:rsidR="00933898" w:rsidRPr="008528DC">
        <w:rPr>
          <w:rFonts w:ascii="Times New Roman" w:eastAsia="Calibri" w:hAnsi="Times New Roman" w:cs="Times New Roman"/>
          <w:bCs/>
          <w:sz w:val="20"/>
          <w:szCs w:val="20"/>
          <w:vertAlign w:val="superscript"/>
        </w:rPr>
        <w:t>22,</w:t>
      </w:r>
      <w:r w:rsidR="000A0320" w:rsidRPr="008528DC">
        <w:rPr>
          <w:rFonts w:ascii="Times New Roman" w:eastAsia="Calibri" w:hAnsi="Times New Roman" w:cs="Times New Roman"/>
          <w:bCs/>
          <w:sz w:val="20"/>
          <w:szCs w:val="20"/>
          <w:vertAlign w:val="superscript"/>
        </w:rPr>
        <w:t xml:space="preserve"> </w:t>
      </w:r>
      <w:r w:rsidR="00933898" w:rsidRPr="008528DC">
        <w:rPr>
          <w:rFonts w:ascii="Times New Roman" w:eastAsia="Calibri" w:hAnsi="Times New Roman" w:cs="Times New Roman"/>
          <w:bCs/>
          <w:sz w:val="20"/>
          <w:szCs w:val="20"/>
          <w:vertAlign w:val="superscript"/>
        </w:rPr>
        <w:t>23</w:t>
      </w:r>
      <w:r w:rsidRPr="008528DC">
        <w:rPr>
          <w:rFonts w:ascii="Times New Roman" w:eastAsia="Calibri" w:hAnsi="Times New Roman" w:cs="Times New Roman"/>
          <w:bCs/>
          <w:sz w:val="20"/>
          <w:szCs w:val="20"/>
        </w:rPr>
        <w:t>.</w:t>
      </w:r>
    </w:p>
    <w:p w14:paraId="1054C54F" w14:textId="03FBD83D" w:rsidR="00B37789" w:rsidRPr="008528DC" w:rsidRDefault="00B37789"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 xml:space="preserve">The attraction of this approach is that this makes efficient use of BMD resources. The strategy implies, however, that patients at high risk, but identified without BMD, would respond to pharmacological intervention. The evidence that such patients respond to treatment is strong </w:t>
      </w:r>
      <w:r w:rsidR="006108B6" w:rsidRPr="008528DC">
        <w:rPr>
          <w:rFonts w:ascii="Times New Roman" w:eastAsia="Calibri" w:hAnsi="Times New Roman" w:cs="Times New Roman"/>
          <w:bCs/>
          <w:sz w:val="20"/>
          <w:szCs w:val="20"/>
          <w:vertAlign w:val="superscript"/>
        </w:rPr>
        <w:t>24,</w:t>
      </w:r>
      <w:r w:rsidR="000A0320" w:rsidRPr="008528DC">
        <w:rPr>
          <w:rFonts w:ascii="Times New Roman" w:eastAsia="Calibri" w:hAnsi="Times New Roman" w:cs="Times New Roman"/>
          <w:bCs/>
          <w:sz w:val="20"/>
          <w:szCs w:val="20"/>
          <w:vertAlign w:val="superscript"/>
        </w:rPr>
        <w:t xml:space="preserve"> </w:t>
      </w:r>
      <w:r w:rsidR="006108B6" w:rsidRPr="008528DC">
        <w:rPr>
          <w:rFonts w:ascii="Times New Roman" w:eastAsia="Calibri" w:hAnsi="Times New Roman" w:cs="Times New Roman"/>
          <w:bCs/>
          <w:sz w:val="20"/>
          <w:szCs w:val="20"/>
          <w:vertAlign w:val="superscript"/>
        </w:rPr>
        <w:t>25,</w:t>
      </w:r>
      <w:r w:rsidR="000A0320" w:rsidRPr="008528DC">
        <w:rPr>
          <w:rFonts w:ascii="Times New Roman" w:eastAsia="Calibri" w:hAnsi="Times New Roman" w:cs="Times New Roman"/>
          <w:bCs/>
          <w:sz w:val="20"/>
          <w:szCs w:val="20"/>
          <w:vertAlign w:val="superscript"/>
        </w:rPr>
        <w:t xml:space="preserve"> </w:t>
      </w:r>
      <w:r w:rsidR="00C24302" w:rsidRPr="008528DC">
        <w:rPr>
          <w:rFonts w:ascii="Times New Roman" w:eastAsia="Calibri" w:hAnsi="Times New Roman" w:cs="Times New Roman"/>
          <w:bCs/>
          <w:sz w:val="20"/>
          <w:szCs w:val="20"/>
          <w:vertAlign w:val="superscript"/>
        </w:rPr>
        <w:t>26,</w:t>
      </w:r>
      <w:r w:rsidR="000A0320" w:rsidRPr="008528DC">
        <w:rPr>
          <w:rFonts w:ascii="Times New Roman" w:eastAsia="Calibri" w:hAnsi="Times New Roman" w:cs="Times New Roman"/>
          <w:bCs/>
          <w:sz w:val="20"/>
          <w:szCs w:val="20"/>
          <w:vertAlign w:val="superscript"/>
        </w:rPr>
        <w:t xml:space="preserve"> </w:t>
      </w:r>
      <w:r w:rsidR="00C24302" w:rsidRPr="008528DC">
        <w:rPr>
          <w:rFonts w:ascii="Times New Roman" w:eastAsia="Calibri" w:hAnsi="Times New Roman" w:cs="Times New Roman"/>
          <w:bCs/>
          <w:sz w:val="20"/>
          <w:szCs w:val="20"/>
          <w:vertAlign w:val="superscript"/>
        </w:rPr>
        <w:t>27</w:t>
      </w:r>
      <w:r w:rsidRPr="008528DC">
        <w:rPr>
          <w:rFonts w:ascii="Times New Roman" w:eastAsia="Calibri" w:hAnsi="Times New Roman" w:cs="Times New Roman"/>
          <w:bCs/>
          <w:sz w:val="20"/>
          <w:szCs w:val="20"/>
        </w:rPr>
        <w:t xml:space="preserve">.  The principal reason is that BMD values are low in patients identified with FRAX but without a BMD test. </w:t>
      </w:r>
    </w:p>
    <w:p w14:paraId="1F22115D" w14:textId="69B9CA07" w:rsidR="00B37789" w:rsidRPr="008528DC" w:rsidRDefault="00B37789"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 xml:space="preserve">From the present survey, the proportion of the female population potentially eligible for treatment </w:t>
      </w:r>
      <w:r w:rsidR="006E7304" w:rsidRPr="008528DC">
        <w:rPr>
          <w:rFonts w:ascii="Times New Roman" w:eastAsia="Calibri" w:hAnsi="Times New Roman" w:cs="Times New Roman"/>
          <w:bCs/>
          <w:sz w:val="20"/>
          <w:szCs w:val="20"/>
        </w:rPr>
        <w:t>was</w:t>
      </w:r>
      <w:r w:rsidRPr="008528DC">
        <w:rPr>
          <w:rFonts w:ascii="Times New Roman" w:eastAsia="Calibri" w:hAnsi="Times New Roman" w:cs="Times New Roman"/>
          <w:bCs/>
          <w:sz w:val="20"/>
          <w:szCs w:val="20"/>
        </w:rPr>
        <w:t xml:space="preserve"> </w:t>
      </w:r>
      <w:r w:rsidR="00C21883" w:rsidRPr="008528DC">
        <w:rPr>
          <w:rFonts w:ascii="Times New Roman" w:eastAsia="Calibri" w:hAnsi="Times New Roman" w:cs="Times New Roman"/>
          <w:bCs/>
          <w:sz w:val="20"/>
          <w:szCs w:val="20"/>
        </w:rPr>
        <w:t>5.</w:t>
      </w:r>
      <w:r w:rsidR="00513CEC" w:rsidRPr="008528DC">
        <w:rPr>
          <w:rFonts w:ascii="Times New Roman" w:eastAsia="Calibri" w:hAnsi="Times New Roman" w:cs="Times New Roman"/>
          <w:bCs/>
          <w:sz w:val="20"/>
          <w:szCs w:val="20"/>
        </w:rPr>
        <w:t>8</w:t>
      </w:r>
      <w:r w:rsidRPr="008528DC">
        <w:rPr>
          <w:rFonts w:ascii="Times New Roman" w:eastAsia="Calibri" w:hAnsi="Times New Roman" w:cs="Times New Roman"/>
          <w:bCs/>
          <w:sz w:val="20"/>
          <w:szCs w:val="20"/>
        </w:rPr>
        <w:t xml:space="preserve"> </w:t>
      </w:r>
      <w:r w:rsidR="006E7304" w:rsidRPr="008528DC">
        <w:rPr>
          <w:rFonts w:ascii="Times New Roman" w:eastAsia="Calibri" w:hAnsi="Times New Roman" w:cs="Times New Roman"/>
          <w:bCs/>
          <w:sz w:val="20"/>
          <w:szCs w:val="20"/>
        </w:rPr>
        <w:t>or</w:t>
      </w:r>
      <w:r w:rsidRPr="008528DC">
        <w:rPr>
          <w:rFonts w:ascii="Times New Roman" w:eastAsia="Calibri" w:hAnsi="Times New Roman" w:cs="Times New Roman"/>
          <w:bCs/>
          <w:sz w:val="20"/>
          <w:szCs w:val="20"/>
        </w:rPr>
        <w:t xml:space="preserve"> </w:t>
      </w:r>
      <w:r w:rsidR="00C21883" w:rsidRPr="008528DC">
        <w:rPr>
          <w:rFonts w:ascii="Times New Roman" w:eastAsia="Calibri" w:hAnsi="Times New Roman" w:cs="Times New Roman"/>
          <w:bCs/>
          <w:sz w:val="20"/>
          <w:szCs w:val="20"/>
        </w:rPr>
        <w:t>10.9</w:t>
      </w:r>
      <w:r w:rsidRPr="008528DC">
        <w:rPr>
          <w:rFonts w:ascii="Times New Roman" w:eastAsia="Calibri" w:hAnsi="Times New Roman" w:cs="Times New Roman"/>
          <w:bCs/>
          <w:sz w:val="20"/>
          <w:szCs w:val="20"/>
        </w:rPr>
        <w:t xml:space="preserve">% depending on the </w:t>
      </w:r>
      <w:r w:rsidR="00125DE3" w:rsidRPr="008528DC">
        <w:rPr>
          <w:rFonts w:ascii="Times New Roman" w:eastAsia="Calibri" w:hAnsi="Times New Roman" w:cs="Times New Roman"/>
          <w:bCs/>
          <w:sz w:val="20"/>
          <w:szCs w:val="20"/>
        </w:rPr>
        <w:t>intervention threshold</w:t>
      </w:r>
      <w:r w:rsidRPr="008528DC">
        <w:rPr>
          <w:rFonts w:ascii="Times New Roman" w:eastAsia="Calibri" w:hAnsi="Times New Roman" w:cs="Times New Roman"/>
          <w:bCs/>
          <w:sz w:val="20"/>
          <w:szCs w:val="20"/>
        </w:rPr>
        <w:t xml:space="preserve"> that was applied (</w:t>
      </w:r>
      <w:bookmarkStart w:id="15" w:name="_Hlk54601719"/>
      <w:r w:rsidR="00CC46E4" w:rsidRPr="008528DC">
        <w:rPr>
          <w:rFonts w:ascii="Times New Roman" w:eastAsia="Calibri" w:hAnsi="Times New Roman" w:cs="Times New Roman"/>
          <w:bCs/>
          <w:sz w:val="20"/>
          <w:szCs w:val="20"/>
        </w:rPr>
        <w:t>age-specific or hybrid</w:t>
      </w:r>
      <w:bookmarkEnd w:id="15"/>
      <w:r w:rsidRPr="008528DC">
        <w:rPr>
          <w:rFonts w:ascii="Times New Roman" w:eastAsia="Calibri" w:hAnsi="Times New Roman" w:cs="Times New Roman"/>
          <w:bCs/>
          <w:sz w:val="20"/>
          <w:szCs w:val="20"/>
        </w:rPr>
        <w:t xml:space="preserve">).  </w:t>
      </w:r>
      <w:r w:rsidR="006E7304" w:rsidRPr="008528DC">
        <w:rPr>
          <w:rFonts w:ascii="Times New Roman" w:eastAsia="Calibri" w:hAnsi="Times New Roman" w:cs="Times New Roman"/>
          <w:bCs/>
          <w:sz w:val="20"/>
          <w:szCs w:val="20"/>
        </w:rPr>
        <w:t>As would be expected, t</w:t>
      </w:r>
      <w:r w:rsidR="00A30C52" w:rsidRPr="008528DC">
        <w:rPr>
          <w:rFonts w:ascii="Times New Roman" w:eastAsia="Calibri" w:hAnsi="Times New Roman" w:cs="Times New Roman"/>
          <w:bCs/>
          <w:sz w:val="20"/>
          <w:szCs w:val="20"/>
        </w:rPr>
        <w:t>he proportion of women eligible for treatment</w:t>
      </w:r>
      <w:r w:rsidR="006E7304" w:rsidRPr="008528DC">
        <w:rPr>
          <w:rFonts w:ascii="Times New Roman" w:eastAsia="Calibri" w:hAnsi="Times New Roman" w:cs="Times New Roman"/>
          <w:bCs/>
          <w:sz w:val="20"/>
          <w:szCs w:val="20"/>
        </w:rPr>
        <w:t xml:space="preserve"> was higher with the application of the hybrid thresholds. </w:t>
      </w:r>
      <w:r w:rsidR="00A30C52" w:rsidRPr="008528DC">
        <w:rPr>
          <w:rFonts w:ascii="Times New Roman" w:eastAsia="Calibri" w:hAnsi="Times New Roman" w:cs="Times New Roman"/>
          <w:bCs/>
          <w:sz w:val="20"/>
          <w:szCs w:val="20"/>
        </w:rPr>
        <w:t xml:space="preserve"> </w:t>
      </w:r>
      <w:r w:rsidRPr="008528DC">
        <w:rPr>
          <w:rFonts w:ascii="Times New Roman" w:eastAsia="Calibri" w:hAnsi="Times New Roman" w:cs="Times New Roman"/>
          <w:bCs/>
          <w:sz w:val="20"/>
          <w:szCs w:val="20"/>
        </w:rPr>
        <w:t xml:space="preserve">The proportion of women who would ultimately be treated would be higher. </w:t>
      </w:r>
      <w:r w:rsidR="00C832A1" w:rsidRPr="008528DC">
        <w:rPr>
          <w:rFonts w:ascii="Times New Roman" w:eastAsia="Calibri" w:hAnsi="Times New Roman" w:cs="Times New Roman"/>
          <w:bCs/>
          <w:sz w:val="20"/>
          <w:szCs w:val="20"/>
        </w:rPr>
        <w:t>Approximately</w:t>
      </w:r>
      <w:r w:rsidRPr="008528DC">
        <w:rPr>
          <w:rFonts w:ascii="Times New Roman" w:eastAsia="Calibri" w:hAnsi="Times New Roman" w:cs="Times New Roman"/>
          <w:bCs/>
          <w:sz w:val="20"/>
          <w:szCs w:val="20"/>
        </w:rPr>
        <w:t xml:space="preserve"> 50% of women would be recommended for a BMD test and an uncertain proportion of these would have fracture probabilities above the intervention threshold and be eligible, therefore, for treatment.</w:t>
      </w:r>
      <w:r w:rsidR="00353D0B" w:rsidRPr="008528DC">
        <w:rPr>
          <w:rFonts w:ascii="Times New Roman" w:eastAsia="Calibri" w:hAnsi="Times New Roman" w:cs="Times New Roman"/>
          <w:bCs/>
          <w:sz w:val="20"/>
          <w:szCs w:val="20"/>
        </w:rPr>
        <w:t xml:space="preserve">  The </w:t>
      </w:r>
      <w:r w:rsidR="00673207" w:rsidRPr="008528DC">
        <w:rPr>
          <w:rFonts w:ascii="Times New Roman" w:eastAsia="Calibri" w:hAnsi="Times New Roman" w:cs="Times New Roman"/>
          <w:bCs/>
          <w:sz w:val="20"/>
          <w:szCs w:val="20"/>
        </w:rPr>
        <w:t>uncertainty arises because BMD was not measured in this population sample</w:t>
      </w:r>
      <w:r w:rsidR="009E78FF" w:rsidRPr="008528DC">
        <w:rPr>
          <w:rFonts w:ascii="Times New Roman" w:eastAsia="Calibri" w:hAnsi="Times New Roman" w:cs="Times New Roman"/>
          <w:bCs/>
          <w:sz w:val="20"/>
          <w:szCs w:val="20"/>
        </w:rPr>
        <w:t>.</w:t>
      </w:r>
    </w:p>
    <w:p w14:paraId="691714CC" w14:textId="6FA33CFA" w:rsidR="00DD6C36" w:rsidRPr="008528DC" w:rsidRDefault="009E78FF"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It should be noted that</w:t>
      </w:r>
      <w:r w:rsidR="00DD6C36" w:rsidRPr="008528DC">
        <w:rPr>
          <w:rFonts w:ascii="Times New Roman" w:eastAsia="Calibri" w:hAnsi="Times New Roman" w:cs="Times New Roman"/>
          <w:bCs/>
          <w:sz w:val="20"/>
          <w:szCs w:val="20"/>
        </w:rPr>
        <w:t xml:space="preserve">, where facilities for BMD testing are limited, FRAX can be used without BMD.  The performance characteristics of FRAX without BMD are approximately equivalent to BMD without FRAX </w:t>
      </w:r>
      <w:r w:rsidR="00145A87" w:rsidRPr="008528DC">
        <w:rPr>
          <w:rFonts w:ascii="Times New Roman" w:eastAsia="Calibri" w:hAnsi="Times New Roman" w:cs="Times New Roman"/>
          <w:bCs/>
          <w:sz w:val="20"/>
          <w:szCs w:val="20"/>
          <w:vertAlign w:val="superscript"/>
        </w:rPr>
        <w:t>21</w:t>
      </w:r>
      <w:r w:rsidR="00DD6C36" w:rsidRPr="008528DC">
        <w:rPr>
          <w:rFonts w:ascii="Times New Roman" w:eastAsia="Calibri" w:hAnsi="Times New Roman" w:cs="Times New Roman"/>
          <w:bCs/>
          <w:sz w:val="20"/>
          <w:szCs w:val="20"/>
        </w:rPr>
        <w:t xml:space="preserve">.  When applied to women in the present study, those eligible for treatment increased by </w:t>
      </w:r>
      <w:r w:rsidR="00252E17" w:rsidRPr="008528DC">
        <w:rPr>
          <w:rFonts w:ascii="Times New Roman" w:eastAsia="Calibri" w:hAnsi="Times New Roman" w:cs="Times New Roman"/>
          <w:bCs/>
          <w:sz w:val="20"/>
          <w:szCs w:val="20"/>
        </w:rPr>
        <w:t>46 o</w:t>
      </w:r>
      <w:r w:rsidR="00982578" w:rsidRPr="008528DC">
        <w:rPr>
          <w:rFonts w:ascii="Times New Roman" w:eastAsia="Calibri" w:hAnsi="Times New Roman" w:cs="Times New Roman"/>
          <w:bCs/>
          <w:sz w:val="20"/>
          <w:szCs w:val="20"/>
        </w:rPr>
        <w:t>r 71</w:t>
      </w:r>
      <w:r w:rsidR="00DD6C36" w:rsidRPr="008528DC">
        <w:rPr>
          <w:rFonts w:ascii="Times New Roman" w:eastAsia="Calibri" w:hAnsi="Times New Roman" w:cs="Times New Roman"/>
          <w:bCs/>
          <w:sz w:val="20"/>
          <w:szCs w:val="20"/>
        </w:rPr>
        <w:t xml:space="preserve">% </w:t>
      </w:r>
      <w:r w:rsidR="00982578" w:rsidRPr="008528DC">
        <w:rPr>
          <w:rFonts w:ascii="Times New Roman" w:eastAsia="Calibri" w:hAnsi="Times New Roman" w:cs="Times New Roman"/>
          <w:bCs/>
          <w:sz w:val="20"/>
          <w:szCs w:val="20"/>
        </w:rPr>
        <w:t>dependin</w:t>
      </w:r>
      <w:r w:rsidR="00E012B3" w:rsidRPr="008528DC">
        <w:rPr>
          <w:rFonts w:ascii="Times New Roman" w:eastAsia="Calibri" w:hAnsi="Times New Roman" w:cs="Times New Roman"/>
          <w:bCs/>
          <w:sz w:val="20"/>
          <w:szCs w:val="20"/>
        </w:rPr>
        <w:t xml:space="preserve">g whether the </w:t>
      </w:r>
      <w:r w:rsidR="00982578" w:rsidRPr="008528DC">
        <w:rPr>
          <w:rFonts w:ascii="Times New Roman" w:eastAsia="Calibri" w:hAnsi="Times New Roman" w:cs="Times New Roman"/>
          <w:bCs/>
          <w:sz w:val="20"/>
          <w:szCs w:val="20"/>
        </w:rPr>
        <w:t xml:space="preserve">age-specific or hybrid </w:t>
      </w:r>
      <w:r w:rsidR="00383B23" w:rsidRPr="008528DC">
        <w:rPr>
          <w:rFonts w:ascii="Times New Roman" w:eastAsia="Calibri" w:hAnsi="Times New Roman" w:cs="Times New Roman"/>
          <w:bCs/>
          <w:sz w:val="20"/>
          <w:szCs w:val="20"/>
        </w:rPr>
        <w:t>threshold</w:t>
      </w:r>
      <w:r w:rsidR="00DD6C36" w:rsidRPr="008528DC">
        <w:rPr>
          <w:rFonts w:ascii="Times New Roman" w:eastAsia="Calibri" w:hAnsi="Times New Roman" w:cs="Times New Roman"/>
          <w:bCs/>
          <w:sz w:val="20"/>
          <w:szCs w:val="20"/>
        </w:rPr>
        <w:t xml:space="preserve"> was used.</w:t>
      </w:r>
    </w:p>
    <w:p w14:paraId="7900CFF5" w14:textId="4A114439" w:rsidR="00B37789" w:rsidRPr="008528DC" w:rsidRDefault="00B37789"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The implementation of these thresholds is expected to avoid unnecessary treatment of individuals at low fracture risk and direct treatments to those at high risk but there are a number of limitations of the present study to consider. First</w:t>
      </w:r>
      <w:r w:rsidR="00F95D2C" w:rsidRPr="008528DC">
        <w:rPr>
          <w:rFonts w:ascii="Times New Roman" w:eastAsia="Calibri" w:hAnsi="Times New Roman" w:cs="Times New Roman"/>
          <w:bCs/>
          <w:sz w:val="20"/>
          <w:szCs w:val="20"/>
        </w:rPr>
        <w:t xml:space="preserve">, </w:t>
      </w:r>
      <w:r w:rsidR="005D23D6" w:rsidRPr="008528DC">
        <w:rPr>
          <w:rFonts w:ascii="Times New Roman" w:eastAsia="Calibri" w:hAnsi="Times New Roman" w:cs="Times New Roman"/>
          <w:bCs/>
          <w:sz w:val="20"/>
          <w:szCs w:val="20"/>
        </w:rPr>
        <w:t>t</w:t>
      </w:r>
      <w:r w:rsidR="00194648" w:rsidRPr="008528DC">
        <w:rPr>
          <w:rFonts w:ascii="Times New Roman" w:eastAsia="Calibri" w:hAnsi="Times New Roman" w:cs="Times New Roman"/>
          <w:bCs/>
          <w:sz w:val="20"/>
          <w:szCs w:val="20"/>
        </w:rPr>
        <w:t xml:space="preserve">he cohort itself had missing variables for the </w:t>
      </w:r>
      <w:r w:rsidR="0083405B" w:rsidRPr="008528DC">
        <w:rPr>
          <w:rFonts w:ascii="Times New Roman" w:eastAsia="Calibri" w:hAnsi="Times New Roman" w:cs="Times New Roman"/>
          <w:bCs/>
          <w:sz w:val="20"/>
          <w:szCs w:val="20"/>
        </w:rPr>
        <w:t>calculation of FRAX</w:t>
      </w:r>
      <w:r w:rsidR="0089232B" w:rsidRPr="008528DC">
        <w:rPr>
          <w:rFonts w:ascii="Times New Roman" w:eastAsia="Calibri" w:hAnsi="Times New Roman" w:cs="Times New Roman"/>
          <w:bCs/>
          <w:sz w:val="20"/>
          <w:szCs w:val="20"/>
        </w:rPr>
        <w:t xml:space="preserve"> which were simulated.  </w:t>
      </w:r>
      <w:r w:rsidR="00220110" w:rsidRPr="008528DC">
        <w:rPr>
          <w:rFonts w:ascii="Times New Roman" w:eastAsia="Calibri" w:hAnsi="Times New Roman" w:cs="Times New Roman"/>
          <w:bCs/>
          <w:sz w:val="20"/>
          <w:szCs w:val="20"/>
        </w:rPr>
        <w:t>Simulation cr</w:t>
      </w:r>
      <w:r w:rsidR="002737B7" w:rsidRPr="008528DC">
        <w:rPr>
          <w:rFonts w:ascii="Times New Roman" w:eastAsia="Calibri" w:hAnsi="Times New Roman" w:cs="Times New Roman"/>
          <w:bCs/>
          <w:sz w:val="20"/>
          <w:szCs w:val="20"/>
        </w:rPr>
        <w:t>e</w:t>
      </w:r>
      <w:r w:rsidR="00220110" w:rsidRPr="008528DC">
        <w:rPr>
          <w:rFonts w:ascii="Times New Roman" w:eastAsia="Calibri" w:hAnsi="Times New Roman" w:cs="Times New Roman"/>
          <w:bCs/>
          <w:sz w:val="20"/>
          <w:szCs w:val="20"/>
        </w:rPr>
        <w:t>ate</w:t>
      </w:r>
      <w:r w:rsidR="002737B7" w:rsidRPr="008528DC">
        <w:rPr>
          <w:rFonts w:ascii="Times New Roman" w:eastAsia="Calibri" w:hAnsi="Times New Roman" w:cs="Times New Roman"/>
          <w:bCs/>
          <w:sz w:val="20"/>
          <w:szCs w:val="20"/>
        </w:rPr>
        <w:t>s</w:t>
      </w:r>
      <w:r w:rsidR="00220110" w:rsidRPr="008528DC">
        <w:rPr>
          <w:rFonts w:ascii="Times New Roman" w:eastAsia="Calibri" w:hAnsi="Times New Roman" w:cs="Times New Roman"/>
          <w:bCs/>
          <w:sz w:val="20"/>
          <w:szCs w:val="20"/>
        </w:rPr>
        <w:t xml:space="preserve"> some uncertainty with regard to individual probabilities</w:t>
      </w:r>
      <w:r w:rsidR="002737B7" w:rsidRPr="008528DC">
        <w:rPr>
          <w:rFonts w:ascii="Times New Roman" w:eastAsia="Calibri" w:hAnsi="Times New Roman" w:cs="Times New Roman"/>
          <w:bCs/>
          <w:sz w:val="20"/>
          <w:szCs w:val="20"/>
        </w:rPr>
        <w:t xml:space="preserve"> but improves </w:t>
      </w:r>
      <w:r w:rsidR="008C3BF9" w:rsidRPr="008528DC">
        <w:rPr>
          <w:rFonts w:ascii="Times New Roman" w:eastAsia="Calibri" w:hAnsi="Times New Roman" w:cs="Times New Roman"/>
          <w:bCs/>
          <w:sz w:val="20"/>
          <w:szCs w:val="20"/>
        </w:rPr>
        <w:t>the population estimate.  Indeed</w:t>
      </w:r>
      <w:r w:rsidR="007E241A" w:rsidRPr="008528DC">
        <w:rPr>
          <w:rFonts w:ascii="Times New Roman" w:eastAsia="Calibri" w:hAnsi="Times New Roman" w:cs="Times New Roman"/>
          <w:bCs/>
          <w:sz w:val="20"/>
          <w:szCs w:val="20"/>
        </w:rPr>
        <w:t>,</w:t>
      </w:r>
      <w:r w:rsidR="008C3BF9" w:rsidRPr="008528DC">
        <w:rPr>
          <w:rFonts w:ascii="Times New Roman" w:eastAsia="Calibri" w:hAnsi="Times New Roman" w:cs="Times New Roman"/>
          <w:bCs/>
          <w:sz w:val="20"/>
          <w:szCs w:val="20"/>
        </w:rPr>
        <w:t xml:space="preserve"> the quantum of effect of simulation </w:t>
      </w:r>
      <w:r w:rsidR="002A4A90" w:rsidRPr="008528DC">
        <w:rPr>
          <w:rFonts w:ascii="Times New Roman" w:eastAsia="Calibri" w:hAnsi="Times New Roman" w:cs="Times New Roman"/>
          <w:bCs/>
          <w:sz w:val="20"/>
          <w:szCs w:val="20"/>
        </w:rPr>
        <w:t xml:space="preserve">on fracture probabilities </w:t>
      </w:r>
      <w:r w:rsidR="008C3BF9" w:rsidRPr="008528DC">
        <w:rPr>
          <w:rFonts w:ascii="Times New Roman" w:eastAsia="Calibri" w:hAnsi="Times New Roman" w:cs="Times New Roman"/>
          <w:bCs/>
          <w:sz w:val="20"/>
          <w:szCs w:val="20"/>
        </w:rPr>
        <w:t>was sufficien</w:t>
      </w:r>
      <w:r w:rsidR="002A4A90" w:rsidRPr="008528DC">
        <w:rPr>
          <w:rFonts w:ascii="Times New Roman" w:eastAsia="Calibri" w:hAnsi="Times New Roman" w:cs="Times New Roman"/>
          <w:bCs/>
          <w:sz w:val="20"/>
          <w:szCs w:val="20"/>
        </w:rPr>
        <w:t>t</w:t>
      </w:r>
      <w:r w:rsidR="008C3BF9" w:rsidRPr="008528DC">
        <w:rPr>
          <w:rFonts w:ascii="Times New Roman" w:eastAsia="Calibri" w:hAnsi="Times New Roman" w:cs="Times New Roman"/>
          <w:bCs/>
          <w:sz w:val="20"/>
          <w:szCs w:val="20"/>
        </w:rPr>
        <w:t>l</w:t>
      </w:r>
      <w:r w:rsidR="002A4A90" w:rsidRPr="008528DC">
        <w:rPr>
          <w:rFonts w:ascii="Times New Roman" w:eastAsia="Calibri" w:hAnsi="Times New Roman" w:cs="Times New Roman"/>
          <w:bCs/>
          <w:sz w:val="20"/>
          <w:szCs w:val="20"/>
        </w:rPr>
        <w:t>y</w:t>
      </w:r>
      <w:r w:rsidR="008C3BF9" w:rsidRPr="008528DC">
        <w:rPr>
          <w:rFonts w:ascii="Times New Roman" w:eastAsia="Calibri" w:hAnsi="Times New Roman" w:cs="Times New Roman"/>
          <w:bCs/>
          <w:sz w:val="20"/>
          <w:szCs w:val="20"/>
        </w:rPr>
        <w:t xml:space="preserve"> mar</w:t>
      </w:r>
      <w:r w:rsidR="002A4A90" w:rsidRPr="008528DC">
        <w:rPr>
          <w:rFonts w:ascii="Times New Roman" w:eastAsia="Calibri" w:hAnsi="Times New Roman" w:cs="Times New Roman"/>
          <w:bCs/>
          <w:sz w:val="20"/>
          <w:szCs w:val="20"/>
        </w:rPr>
        <w:t xml:space="preserve">ked that </w:t>
      </w:r>
      <w:r w:rsidR="00056507" w:rsidRPr="008528DC">
        <w:rPr>
          <w:rFonts w:ascii="Times New Roman" w:eastAsia="Calibri" w:hAnsi="Times New Roman" w:cs="Times New Roman"/>
          <w:bCs/>
          <w:sz w:val="20"/>
          <w:szCs w:val="20"/>
        </w:rPr>
        <w:t xml:space="preserve">without </w:t>
      </w:r>
      <w:r w:rsidR="002A4A90" w:rsidRPr="008528DC">
        <w:rPr>
          <w:rFonts w:ascii="Times New Roman" w:eastAsia="Calibri" w:hAnsi="Times New Roman" w:cs="Times New Roman"/>
          <w:bCs/>
          <w:sz w:val="20"/>
          <w:szCs w:val="20"/>
        </w:rPr>
        <w:t>i</w:t>
      </w:r>
      <w:r w:rsidR="00901C22" w:rsidRPr="008528DC">
        <w:rPr>
          <w:rFonts w:ascii="Times New Roman" w:eastAsia="Calibri" w:hAnsi="Times New Roman" w:cs="Times New Roman"/>
          <w:bCs/>
          <w:sz w:val="20"/>
          <w:szCs w:val="20"/>
        </w:rPr>
        <w:t xml:space="preserve">t </w:t>
      </w:r>
      <w:r w:rsidR="002468B9" w:rsidRPr="008528DC">
        <w:rPr>
          <w:rFonts w:ascii="Times New Roman" w:eastAsia="Calibri" w:hAnsi="Times New Roman" w:cs="Times New Roman"/>
          <w:bCs/>
          <w:sz w:val="20"/>
          <w:szCs w:val="20"/>
        </w:rPr>
        <w:t>the</w:t>
      </w:r>
      <w:r w:rsidR="00FB6F76" w:rsidRPr="008528DC">
        <w:rPr>
          <w:rFonts w:ascii="Times New Roman" w:eastAsia="Calibri" w:hAnsi="Times New Roman" w:cs="Times New Roman"/>
          <w:bCs/>
          <w:sz w:val="20"/>
          <w:szCs w:val="20"/>
        </w:rPr>
        <w:t xml:space="preserve"> treatment pathway could not have been assessed.</w:t>
      </w:r>
      <w:r w:rsidR="002468B9" w:rsidRPr="008528DC">
        <w:rPr>
          <w:rFonts w:ascii="Times New Roman" w:eastAsia="Calibri" w:hAnsi="Times New Roman" w:cs="Times New Roman"/>
          <w:bCs/>
          <w:sz w:val="20"/>
          <w:szCs w:val="20"/>
        </w:rPr>
        <w:t xml:space="preserve"> </w:t>
      </w:r>
      <w:r w:rsidR="008D35B2" w:rsidRPr="008528DC">
        <w:rPr>
          <w:rFonts w:ascii="Times New Roman" w:eastAsia="Calibri" w:hAnsi="Times New Roman" w:cs="Times New Roman"/>
          <w:bCs/>
          <w:sz w:val="20"/>
          <w:szCs w:val="20"/>
        </w:rPr>
        <w:t xml:space="preserve"> Several of the other FRAX variables provided limited information</w:t>
      </w:r>
      <w:r w:rsidR="00132440" w:rsidRPr="008528DC">
        <w:rPr>
          <w:rFonts w:ascii="Times New Roman" w:eastAsia="Calibri" w:hAnsi="Times New Roman" w:cs="Times New Roman"/>
          <w:bCs/>
          <w:sz w:val="20"/>
          <w:szCs w:val="20"/>
        </w:rPr>
        <w:t xml:space="preserve"> particularl</w:t>
      </w:r>
      <w:r w:rsidR="00753C89" w:rsidRPr="008528DC">
        <w:rPr>
          <w:rFonts w:ascii="Times New Roman" w:eastAsia="Calibri" w:hAnsi="Times New Roman" w:cs="Times New Roman"/>
          <w:bCs/>
          <w:sz w:val="20"/>
          <w:szCs w:val="20"/>
        </w:rPr>
        <w:t xml:space="preserve">y the history of prior fracture.  This was limited to </w:t>
      </w:r>
      <w:r w:rsidR="002E080E" w:rsidRPr="008528DC">
        <w:rPr>
          <w:rFonts w:ascii="Times New Roman" w:eastAsia="Calibri" w:hAnsi="Times New Roman" w:cs="Times New Roman"/>
          <w:bCs/>
          <w:sz w:val="20"/>
          <w:szCs w:val="20"/>
        </w:rPr>
        <w:t xml:space="preserve">hip and forearm fractures in the previous year and would thus underestimate the </w:t>
      </w:r>
      <w:r w:rsidR="00DE5352" w:rsidRPr="008528DC">
        <w:rPr>
          <w:rFonts w:ascii="Times New Roman" w:eastAsia="Calibri" w:hAnsi="Times New Roman" w:cs="Times New Roman"/>
          <w:bCs/>
          <w:sz w:val="20"/>
          <w:szCs w:val="20"/>
        </w:rPr>
        <w:t>prevalence of prior fragility fracture</w:t>
      </w:r>
      <w:r w:rsidR="00E22C61" w:rsidRPr="008528DC">
        <w:rPr>
          <w:rFonts w:ascii="Times New Roman" w:eastAsia="Calibri" w:hAnsi="Times New Roman" w:cs="Times New Roman"/>
          <w:bCs/>
          <w:sz w:val="20"/>
          <w:szCs w:val="20"/>
        </w:rPr>
        <w:t xml:space="preserve"> and hence, the propo</w:t>
      </w:r>
      <w:r w:rsidR="00790917" w:rsidRPr="008528DC">
        <w:rPr>
          <w:rFonts w:ascii="Times New Roman" w:eastAsia="Calibri" w:hAnsi="Times New Roman" w:cs="Times New Roman"/>
          <w:bCs/>
          <w:sz w:val="20"/>
          <w:szCs w:val="20"/>
        </w:rPr>
        <w:t>r</w:t>
      </w:r>
      <w:r w:rsidR="00E22C61" w:rsidRPr="008528DC">
        <w:rPr>
          <w:rFonts w:ascii="Times New Roman" w:eastAsia="Calibri" w:hAnsi="Times New Roman" w:cs="Times New Roman"/>
          <w:bCs/>
          <w:sz w:val="20"/>
          <w:szCs w:val="20"/>
        </w:rPr>
        <w:t xml:space="preserve">tion of women eligible </w:t>
      </w:r>
      <w:r w:rsidR="00B84320" w:rsidRPr="008528DC">
        <w:rPr>
          <w:rFonts w:ascii="Times New Roman" w:eastAsia="Calibri" w:hAnsi="Times New Roman" w:cs="Times New Roman"/>
          <w:bCs/>
          <w:sz w:val="20"/>
          <w:szCs w:val="20"/>
        </w:rPr>
        <w:t xml:space="preserve">for treatment on this basis.  </w:t>
      </w:r>
      <w:r w:rsidRPr="008528DC">
        <w:rPr>
          <w:rFonts w:ascii="Times New Roman" w:eastAsia="Calibri" w:hAnsi="Times New Roman" w:cs="Times New Roman"/>
          <w:bCs/>
          <w:sz w:val="20"/>
          <w:szCs w:val="20"/>
        </w:rPr>
        <w:t xml:space="preserve">The approach to intervention thresholds is based on the principles of case finding and does not consider a health economic perspective. Although the approach has been shown to be cost-effective in a UK setting </w:t>
      </w:r>
      <w:r w:rsidR="000C4485" w:rsidRPr="008528DC">
        <w:rPr>
          <w:rFonts w:ascii="Times New Roman" w:eastAsia="Calibri" w:hAnsi="Times New Roman" w:cs="Times New Roman"/>
          <w:bCs/>
          <w:sz w:val="20"/>
          <w:szCs w:val="20"/>
          <w:vertAlign w:val="superscript"/>
        </w:rPr>
        <w:t>28</w:t>
      </w:r>
      <w:r w:rsidRPr="008528DC">
        <w:rPr>
          <w:rFonts w:ascii="Times New Roman" w:eastAsia="Calibri" w:hAnsi="Times New Roman" w:cs="Times New Roman"/>
          <w:bCs/>
          <w:sz w:val="20"/>
          <w:szCs w:val="20"/>
        </w:rPr>
        <w:t xml:space="preserve">, cost-effectiveness will necessarily differ in </w:t>
      </w:r>
      <w:r w:rsidR="009D3416" w:rsidRPr="008528DC">
        <w:rPr>
          <w:rFonts w:ascii="Times New Roman" w:eastAsia="Calibri" w:hAnsi="Times New Roman" w:cs="Times New Roman"/>
          <w:bCs/>
          <w:sz w:val="20"/>
          <w:szCs w:val="20"/>
        </w:rPr>
        <w:t>Ecuador</w:t>
      </w:r>
      <w:r w:rsidRPr="008528DC">
        <w:rPr>
          <w:rFonts w:ascii="Times New Roman" w:eastAsia="Calibri" w:hAnsi="Times New Roman" w:cs="Times New Roman"/>
          <w:bCs/>
          <w:sz w:val="20"/>
          <w:szCs w:val="20"/>
        </w:rPr>
        <w:t xml:space="preserve"> because of different fracture risks and cost. </w:t>
      </w:r>
      <w:r w:rsidR="001B3CAE" w:rsidRPr="008528DC">
        <w:rPr>
          <w:rFonts w:ascii="Times New Roman" w:eastAsia="Calibri" w:hAnsi="Times New Roman" w:cs="Times New Roman"/>
          <w:bCs/>
          <w:sz w:val="20"/>
          <w:szCs w:val="20"/>
        </w:rPr>
        <w:t xml:space="preserve"> </w:t>
      </w:r>
      <w:r w:rsidRPr="008528DC">
        <w:rPr>
          <w:rFonts w:ascii="Times New Roman" w:eastAsia="Calibri" w:hAnsi="Times New Roman" w:cs="Times New Roman"/>
          <w:bCs/>
          <w:sz w:val="20"/>
          <w:szCs w:val="20"/>
        </w:rPr>
        <w:t>It will be important</w:t>
      </w:r>
      <w:r w:rsidR="001B3CAE" w:rsidRPr="008528DC">
        <w:rPr>
          <w:rFonts w:ascii="Times New Roman" w:eastAsia="Calibri" w:hAnsi="Times New Roman" w:cs="Times New Roman"/>
          <w:bCs/>
          <w:sz w:val="20"/>
          <w:szCs w:val="20"/>
        </w:rPr>
        <w:t>,</w:t>
      </w:r>
      <w:r w:rsidRPr="008528DC">
        <w:rPr>
          <w:rFonts w:ascii="Times New Roman" w:eastAsia="Calibri" w:hAnsi="Times New Roman" w:cs="Times New Roman"/>
          <w:bCs/>
          <w:sz w:val="20"/>
          <w:szCs w:val="20"/>
        </w:rPr>
        <w:t xml:space="preserve"> therefore</w:t>
      </w:r>
      <w:r w:rsidR="001B3CAE" w:rsidRPr="008528DC">
        <w:rPr>
          <w:rFonts w:ascii="Times New Roman" w:eastAsia="Calibri" w:hAnsi="Times New Roman" w:cs="Times New Roman"/>
          <w:bCs/>
          <w:sz w:val="20"/>
          <w:szCs w:val="20"/>
        </w:rPr>
        <w:t>,</w:t>
      </w:r>
      <w:r w:rsidRPr="008528DC">
        <w:rPr>
          <w:rFonts w:ascii="Times New Roman" w:eastAsia="Calibri" w:hAnsi="Times New Roman" w:cs="Times New Roman"/>
          <w:bCs/>
          <w:sz w:val="20"/>
          <w:szCs w:val="20"/>
        </w:rPr>
        <w:t xml:space="preserve"> to underpin these approaches to fracture risk assessment with an economic assessment.</w:t>
      </w:r>
    </w:p>
    <w:p w14:paraId="0828967A" w14:textId="57DA1250" w:rsidR="006C3CF9" w:rsidRPr="008528DC" w:rsidRDefault="006C3CF9" w:rsidP="00077C16">
      <w:pPr>
        <w:spacing w:after="0" w:line="480" w:lineRule="auto"/>
        <w:rPr>
          <w:rFonts w:ascii="Times New Roman" w:eastAsia="Calibri" w:hAnsi="Times New Roman" w:cs="Times New Roman"/>
          <w:b/>
          <w:sz w:val="20"/>
          <w:szCs w:val="20"/>
        </w:rPr>
      </w:pPr>
      <w:r w:rsidRPr="008528DC">
        <w:rPr>
          <w:rFonts w:ascii="Times New Roman" w:eastAsia="Calibri" w:hAnsi="Times New Roman" w:cs="Times New Roman"/>
          <w:b/>
          <w:sz w:val="20"/>
          <w:szCs w:val="20"/>
        </w:rPr>
        <w:t>Conclusion</w:t>
      </w:r>
    </w:p>
    <w:p w14:paraId="2F36EC88" w14:textId="55AAFD84" w:rsidR="00B37789" w:rsidRPr="008528DC" w:rsidRDefault="00B37789" w:rsidP="00077C16">
      <w:pPr>
        <w:spacing w:after="0" w:line="480" w:lineRule="auto"/>
        <w:rPr>
          <w:rFonts w:ascii="Times New Roman" w:eastAsia="Calibri" w:hAnsi="Times New Roman" w:cs="Times New Roman"/>
          <w:bCs/>
          <w:sz w:val="20"/>
          <w:szCs w:val="20"/>
        </w:rPr>
      </w:pPr>
      <w:r w:rsidRPr="008528DC">
        <w:rPr>
          <w:rFonts w:ascii="Times New Roman" w:eastAsia="Calibri" w:hAnsi="Times New Roman" w:cs="Times New Roman"/>
          <w:bCs/>
          <w:sz w:val="20"/>
          <w:szCs w:val="20"/>
        </w:rPr>
        <w:t>The present study has shown that it is possible to apply FRAX-based assessment guidelines using the same principles that have been applied to guidelines elsewhere but tailored to the epidemiology of</w:t>
      </w:r>
      <w:r w:rsidRPr="008528DC">
        <w:rPr>
          <w:rFonts w:ascii="Times New Roman" w:eastAsia="Calibri" w:hAnsi="Times New Roman" w:cs="Times New Roman"/>
          <w:bCs/>
          <w:sz w:val="20"/>
          <w:szCs w:val="20"/>
          <w:shd w:val="clear" w:color="auto" w:fill="FFFFFF"/>
        </w:rPr>
        <w:t xml:space="preserve"> </w:t>
      </w:r>
      <w:r w:rsidR="003F239B" w:rsidRPr="008528DC">
        <w:rPr>
          <w:rFonts w:ascii="Times New Roman" w:eastAsia="Calibri" w:hAnsi="Times New Roman" w:cs="Times New Roman"/>
          <w:bCs/>
          <w:sz w:val="20"/>
          <w:szCs w:val="20"/>
          <w:shd w:val="clear" w:color="auto" w:fill="FFFFFF"/>
        </w:rPr>
        <w:t>Ecuador</w:t>
      </w:r>
      <w:r w:rsidRPr="008528DC">
        <w:rPr>
          <w:rFonts w:ascii="Times New Roman" w:eastAsia="Calibri" w:hAnsi="Times New Roman" w:cs="Times New Roman"/>
          <w:bCs/>
          <w:sz w:val="20"/>
          <w:szCs w:val="20"/>
        </w:rPr>
        <w:t xml:space="preserve">. </w:t>
      </w:r>
      <w:r w:rsidR="00F95D2C" w:rsidRPr="008528DC">
        <w:rPr>
          <w:rFonts w:ascii="Times New Roman" w:eastAsia="Calibri" w:hAnsi="Times New Roman" w:cs="Times New Roman"/>
          <w:bCs/>
          <w:sz w:val="20"/>
          <w:szCs w:val="20"/>
        </w:rPr>
        <w:t>The hybrid threshold identifies more women eligible for treatment than age-specific thresholds.  Although age-specific thresholds identify women at higher risk of fracture, the lower number of women identified results in fewer identified fracture cases.</w:t>
      </w:r>
    </w:p>
    <w:p w14:paraId="21942D1A" w14:textId="77777777" w:rsidR="00AB1216" w:rsidRPr="008528DC" w:rsidRDefault="00AB1216" w:rsidP="00077C16">
      <w:pPr>
        <w:spacing w:after="0" w:line="480" w:lineRule="auto"/>
        <w:rPr>
          <w:rFonts w:ascii="Times New Roman" w:eastAsia="Calibri" w:hAnsi="Times New Roman" w:cs="Times New Roman"/>
          <w:bCs/>
          <w:sz w:val="20"/>
          <w:szCs w:val="20"/>
        </w:rPr>
      </w:pPr>
    </w:p>
    <w:p w14:paraId="17852091" w14:textId="77777777" w:rsidR="00487E3F" w:rsidRPr="008528DC" w:rsidRDefault="00487E3F">
      <w:pPr>
        <w:rPr>
          <w:rFonts w:ascii="Times New Roman" w:eastAsia="Calibri" w:hAnsi="Times New Roman" w:cs="Times New Roman"/>
          <w:b/>
          <w:bCs/>
          <w:sz w:val="20"/>
          <w:szCs w:val="20"/>
          <w:shd w:val="clear" w:color="auto" w:fill="FFFFFF"/>
        </w:rPr>
      </w:pPr>
    </w:p>
    <w:p w14:paraId="1D222413" w14:textId="77777777" w:rsidR="00487E3F" w:rsidRPr="008528DC" w:rsidRDefault="00487E3F" w:rsidP="00487E3F">
      <w:pPr>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t>Compliance with ethical standards</w:t>
      </w:r>
    </w:p>
    <w:p w14:paraId="46268803" w14:textId="6ABDB3B8" w:rsidR="003264AE" w:rsidRPr="008528DC" w:rsidRDefault="003264AE" w:rsidP="003264AE">
      <w:pPr>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Conflict of interest</w:t>
      </w:r>
      <w:r w:rsidR="006C3CF9" w:rsidRPr="008528DC">
        <w:rPr>
          <w:rFonts w:ascii="Times New Roman" w:eastAsia="Calibri" w:hAnsi="Times New Roman" w:cs="Times New Roman"/>
          <w:sz w:val="20"/>
          <w:szCs w:val="20"/>
          <w:shd w:val="clear" w:color="auto" w:fill="FFFFFF"/>
        </w:rPr>
        <w:t>.</w:t>
      </w:r>
    </w:p>
    <w:p w14:paraId="53AAD7D5" w14:textId="77777777" w:rsidR="004C03E0" w:rsidRPr="008528DC" w:rsidRDefault="003264AE" w:rsidP="00487E3F">
      <w:pPr>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The authors declare no conflict of interests.</w:t>
      </w:r>
    </w:p>
    <w:p w14:paraId="0E43D349" w14:textId="77777777" w:rsidR="0060118F" w:rsidRPr="008528DC" w:rsidRDefault="0060118F"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funding source. </w:t>
      </w:r>
    </w:p>
    <w:p w14:paraId="49F7A6C9" w14:textId="2A13BA2D" w:rsidR="0060118F" w:rsidRPr="008528DC" w:rsidRDefault="0060118F"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 xml:space="preserve">None </w:t>
      </w:r>
    </w:p>
    <w:p w14:paraId="42EAF59B" w14:textId="12686502" w:rsidR="00CF0302" w:rsidRPr="008528DC" w:rsidRDefault="00A75744" w:rsidP="00077C16">
      <w:pPr>
        <w:spacing w:after="0" w:line="480" w:lineRule="auto"/>
        <w:rPr>
          <w:rFonts w:ascii="Times New Roman" w:eastAsia="Calibri" w:hAnsi="Times New Roman" w:cs="Times New Roman"/>
          <w:sz w:val="20"/>
          <w:szCs w:val="20"/>
          <w:shd w:val="clear" w:color="auto" w:fill="FFFFFF"/>
        </w:rPr>
      </w:pPr>
      <w:r w:rsidRPr="008528DC">
        <w:rPr>
          <w:rFonts w:ascii="Times New Roman" w:eastAsia="Calibri" w:hAnsi="Times New Roman" w:cs="Times New Roman"/>
          <w:sz w:val="20"/>
          <w:szCs w:val="20"/>
          <w:shd w:val="clear" w:color="auto" w:fill="FFFFFF"/>
        </w:rPr>
        <w:t>Acknowledgements</w:t>
      </w:r>
      <w:r w:rsidR="00CF0302" w:rsidRPr="008528DC">
        <w:rPr>
          <w:rFonts w:ascii="Times New Roman" w:eastAsia="Calibri" w:hAnsi="Times New Roman" w:cs="Times New Roman"/>
          <w:sz w:val="20"/>
          <w:szCs w:val="20"/>
          <w:shd w:val="clear" w:color="auto" w:fill="FFFFFF"/>
        </w:rPr>
        <w:t xml:space="preserve">: </w:t>
      </w:r>
    </w:p>
    <w:p w14:paraId="686FA179" w14:textId="3527C083" w:rsidR="00A75744" w:rsidRPr="008528DC" w:rsidRDefault="00CF0302" w:rsidP="00CF0302">
      <w:pPr>
        <w:spacing w:after="0" w:line="480" w:lineRule="auto"/>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sz w:val="20"/>
          <w:szCs w:val="20"/>
          <w:shd w:val="clear" w:color="auto" w:fill="FFFFFF"/>
        </w:rPr>
        <w:t>The Author wishes to thank ENAGO for professional academic English proofreading.</w:t>
      </w:r>
      <w:r w:rsidRPr="008528DC">
        <w:rPr>
          <w:rFonts w:ascii="Times New Roman" w:eastAsia="Calibri" w:hAnsi="Times New Roman" w:cs="Times New Roman"/>
          <w:sz w:val="20"/>
          <w:szCs w:val="20"/>
          <w:shd w:val="clear" w:color="auto" w:fill="FFFFFF"/>
        </w:rPr>
        <w:cr/>
      </w:r>
    </w:p>
    <w:p w14:paraId="18A3E21B" w14:textId="77777777" w:rsidR="00A75744" w:rsidRPr="008528DC" w:rsidRDefault="00A75744" w:rsidP="00077C16">
      <w:pPr>
        <w:spacing w:after="0" w:line="480" w:lineRule="auto"/>
        <w:rPr>
          <w:rFonts w:ascii="Times New Roman" w:eastAsia="Calibri" w:hAnsi="Times New Roman" w:cs="Times New Roman"/>
          <w:b/>
          <w:bCs/>
          <w:sz w:val="20"/>
          <w:szCs w:val="20"/>
          <w:shd w:val="clear" w:color="auto" w:fill="FFFFFF"/>
        </w:rPr>
      </w:pPr>
    </w:p>
    <w:p w14:paraId="60725E2C" w14:textId="77777777" w:rsidR="00A75744" w:rsidRPr="008528DC" w:rsidRDefault="00A75744" w:rsidP="00077C16">
      <w:pPr>
        <w:spacing w:after="0" w:line="480" w:lineRule="auto"/>
        <w:rPr>
          <w:rFonts w:ascii="Times New Roman" w:eastAsia="Calibri" w:hAnsi="Times New Roman" w:cs="Times New Roman"/>
          <w:b/>
          <w:bCs/>
          <w:sz w:val="20"/>
          <w:szCs w:val="20"/>
          <w:shd w:val="clear" w:color="auto" w:fill="FFFFFF"/>
        </w:rPr>
      </w:pPr>
    </w:p>
    <w:p w14:paraId="23BD9714" w14:textId="77777777" w:rsidR="00A75744" w:rsidRPr="008528DC" w:rsidRDefault="00A75744" w:rsidP="00077C16">
      <w:pPr>
        <w:spacing w:after="0" w:line="480" w:lineRule="auto"/>
        <w:rPr>
          <w:rFonts w:ascii="Times New Roman" w:eastAsia="Calibri" w:hAnsi="Times New Roman" w:cs="Times New Roman"/>
          <w:b/>
          <w:bCs/>
          <w:sz w:val="20"/>
          <w:szCs w:val="20"/>
          <w:shd w:val="clear" w:color="auto" w:fill="FFFFFF"/>
        </w:rPr>
      </w:pPr>
    </w:p>
    <w:p w14:paraId="1D7DB87F" w14:textId="77777777" w:rsidR="00CF0302" w:rsidRPr="008528DC" w:rsidRDefault="00CF0302">
      <w:pPr>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br w:type="page"/>
      </w:r>
    </w:p>
    <w:p w14:paraId="5DDB7CE8" w14:textId="51113DD3" w:rsidR="00B37789" w:rsidRPr="008528DC" w:rsidRDefault="00B37789" w:rsidP="00077C16">
      <w:pPr>
        <w:spacing w:after="0" w:line="480" w:lineRule="auto"/>
        <w:rPr>
          <w:rFonts w:ascii="Times New Roman" w:eastAsia="Calibri" w:hAnsi="Times New Roman" w:cs="Times New Roman"/>
          <w:b/>
          <w:bCs/>
          <w:sz w:val="20"/>
          <w:szCs w:val="20"/>
          <w:shd w:val="clear" w:color="auto" w:fill="FFFFFF"/>
        </w:rPr>
      </w:pPr>
      <w:r w:rsidRPr="008528DC">
        <w:rPr>
          <w:rFonts w:ascii="Times New Roman" w:eastAsia="Calibri" w:hAnsi="Times New Roman" w:cs="Times New Roman"/>
          <w:b/>
          <w:bCs/>
          <w:sz w:val="20"/>
          <w:szCs w:val="20"/>
          <w:shd w:val="clear" w:color="auto" w:fill="FFFFFF"/>
        </w:rPr>
        <w:t>References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7717"/>
      </w:tblGrid>
      <w:tr w:rsidR="008528DC" w:rsidRPr="008528DC" w14:paraId="74126001" w14:textId="77777777" w:rsidTr="002C13F6">
        <w:trPr>
          <w:trHeight w:val="1200"/>
          <w:jc w:val="center"/>
        </w:trPr>
        <w:tc>
          <w:tcPr>
            <w:tcW w:w="236" w:type="dxa"/>
            <w:hideMark/>
          </w:tcPr>
          <w:p w14:paraId="7FED5ABE"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w:t>
            </w:r>
          </w:p>
        </w:tc>
        <w:tc>
          <w:tcPr>
            <w:tcW w:w="7717" w:type="dxa"/>
            <w:hideMark/>
          </w:tcPr>
          <w:p w14:paraId="4FBF2C46"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European guidance for the diagnosis and management of osteoporosis in postmenopausal women.  Osteoporos Int 2019;30: 3-44.  doi: 10.1007/s00198-018-4704-5. </w:t>
            </w:r>
          </w:p>
        </w:tc>
      </w:tr>
      <w:tr w:rsidR="008528DC" w:rsidRPr="008528DC" w14:paraId="7A23067D" w14:textId="77777777" w:rsidTr="002C13F6">
        <w:trPr>
          <w:trHeight w:val="900"/>
          <w:jc w:val="center"/>
        </w:trPr>
        <w:tc>
          <w:tcPr>
            <w:tcW w:w="236" w:type="dxa"/>
            <w:hideMark/>
          </w:tcPr>
          <w:p w14:paraId="7FF9F9C0"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sv-SE"/>
              </w:rPr>
              <w:t>2</w:t>
            </w:r>
          </w:p>
        </w:tc>
        <w:tc>
          <w:tcPr>
            <w:tcW w:w="7717" w:type="dxa"/>
            <w:hideMark/>
          </w:tcPr>
          <w:p w14:paraId="33EF3077"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Kanis JA on behalf of the World Health Organization Scientific Group (2007) Assessment of osteoporosis at the primary healthcare level. Technical Report. WHO Collaborating Centre, University of Sheffield, UK. Available at . http://www.shef.ac.uk/FRAX/pdfs/WHO_Technical_Report.pdf. Accessed 26 Feb 2019</w:t>
            </w:r>
          </w:p>
        </w:tc>
      </w:tr>
      <w:tr w:rsidR="008528DC" w:rsidRPr="008528DC" w14:paraId="6337E42F" w14:textId="77777777" w:rsidTr="002C13F6">
        <w:trPr>
          <w:trHeight w:val="600"/>
          <w:jc w:val="center"/>
        </w:trPr>
        <w:tc>
          <w:tcPr>
            <w:tcW w:w="236" w:type="dxa"/>
            <w:hideMark/>
          </w:tcPr>
          <w:p w14:paraId="2CBCF1A2"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sv-SE"/>
              </w:rPr>
              <w:t>3</w:t>
            </w:r>
          </w:p>
        </w:tc>
        <w:tc>
          <w:tcPr>
            <w:tcW w:w="7717" w:type="dxa"/>
            <w:hideMark/>
          </w:tcPr>
          <w:p w14:paraId="678E9004"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Kanis JA, Johnell O, Oden A, Johansson H, McCloskey E. FRAX™ and the assessment of fracture probability in men and women from the UK.  Osteoporos Int 2008;19: 385-397. doi: 10.1007/s00198-007-0543-5.</w:t>
            </w:r>
          </w:p>
        </w:tc>
      </w:tr>
      <w:tr w:rsidR="008528DC" w:rsidRPr="008528DC" w14:paraId="79852D14" w14:textId="77777777" w:rsidTr="002C13F6">
        <w:trPr>
          <w:trHeight w:val="600"/>
          <w:jc w:val="center"/>
        </w:trPr>
        <w:tc>
          <w:tcPr>
            <w:tcW w:w="236" w:type="dxa"/>
            <w:hideMark/>
          </w:tcPr>
          <w:p w14:paraId="7239CD2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sv-SE"/>
              </w:rPr>
              <w:t>4</w:t>
            </w:r>
          </w:p>
        </w:tc>
        <w:tc>
          <w:tcPr>
            <w:tcW w:w="7717" w:type="dxa"/>
            <w:hideMark/>
          </w:tcPr>
          <w:p w14:paraId="2E7FD7C3"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Odén A, McCloskey EV, Kanis JA, Harvey NC, Johansson H. Burden of high fracture probability worldwide: secular increases 2010-2040.  Osteoporos Int 2015;26:2243–2248</w:t>
            </w:r>
            <w:r w:rsidRPr="008528DC">
              <w:t xml:space="preserve"> </w:t>
            </w:r>
            <w:r w:rsidRPr="008528DC">
              <w:rPr>
                <w:rFonts w:ascii="Times New Roman" w:hAnsi="Times New Roman"/>
              </w:rPr>
              <w:t xml:space="preserve">DOI: 10.1007/s00198-015-3154-6. </w:t>
            </w:r>
          </w:p>
        </w:tc>
      </w:tr>
      <w:tr w:rsidR="008528DC" w:rsidRPr="008528DC" w14:paraId="75844E1D" w14:textId="77777777" w:rsidTr="002C13F6">
        <w:trPr>
          <w:trHeight w:val="900"/>
          <w:jc w:val="center"/>
        </w:trPr>
        <w:tc>
          <w:tcPr>
            <w:tcW w:w="236" w:type="dxa"/>
            <w:hideMark/>
          </w:tcPr>
          <w:p w14:paraId="051F3EEC"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5</w:t>
            </w:r>
          </w:p>
        </w:tc>
        <w:tc>
          <w:tcPr>
            <w:tcW w:w="7717" w:type="dxa"/>
            <w:hideMark/>
          </w:tcPr>
          <w:p w14:paraId="1ABD9185"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Kanis JA, Harvey NC, Cyrus Cooper C, Johansson H, Odén A, McCloskey EV, the Advisory Board of the National Osteoporosis Guideline Group. A systematic review of intervention thresholds based on FRAX. A report prepared for the National Osteoporosis Guideline Group and the International Osteoporosis Foundation.  Arch Osteoporos 2016;206;11:25. doi: 10.1007/s11657-016-0278-z.</w:t>
            </w:r>
          </w:p>
        </w:tc>
      </w:tr>
      <w:tr w:rsidR="008528DC" w:rsidRPr="008528DC" w14:paraId="56F66BAF" w14:textId="77777777" w:rsidTr="002C13F6">
        <w:trPr>
          <w:trHeight w:val="900"/>
          <w:jc w:val="center"/>
        </w:trPr>
        <w:tc>
          <w:tcPr>
            <w:tcW w:w="236" w:type="dxa"/>
            <w:hideMark/>
          </w:tcPr>
          <w:p w14:paraId="6FB5B49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6</w:t>
            </w:r>
          </w:p>
        </w:tc>
        <w:tc>
          <w:tcPr>
            <w:tcW w:w="7717" w:type="dxa"/>
            <w:hideMark/>
          </w:tcPr>
          <w:p w14:paraId="28DD9052"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lang w:val="es-EC"/>
              </w:rPr>
              <w:t xml:space="preserve">Clark P, Denova-Gutiérrez E, Zerbini C, Sanchez A, Messina O, Jaller JJ, et al. </w:t>
            </w:r>
            <w:r w:rsidRPr="008528DC">
              <w:rPr>
                <w:rFonts w:ascii="Times New Roman" w:hAnsi="Times New Roman"/>
              </w:rPr>
              <w:t>FRAX-based intervention and assessment thresholds in seven Latin American countries. Osteoporos Int 2018;29:707–715.</w:t>
            </w:r>
            <w:r w:rsidRPr="008528DC">
              <w:t xml:space="preserve"> </w:t>
            </w:r>
            <w:r w:rsidRPr="008528DC">
              <w:rPr>
                <w:rFonts w:ascii="Times New Roman" w:hAnsi="Times New Roman"/>
              </w:rPr>
              <w:t>doi: 10.1007/s00198-017-4341-4.</w:t>
            </w:r>
          </w:p>
        </w:tc>
      </w:tr>
      <w:tr w:rsidR="008528DC" w:rsidRPr="008528DC" w14:paraId="0F6D1041" w14:textId="77777777" w:rsidTr="002C13F6">
        <w:trPr>
          <w:trHeight w:val="1500"/>
          <w:jc w:val="center"/>
        </w:trPr>
        <w:tc>
          <w:tcPr>
            <w:tcW w:w="236" w:type="dxa"/>
            <w:hideMark/>
          </w:tcPr>
          <w:p w14:paraId="468E06DE"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7</w:t>
            </w:r>
          </w:p>
        </w:tc>
        <w:tc>
          <w:tcPr>
            <w:tcW w:w="7717" w:type="dxa"/>
            <w:hideMark/>
          </w:tcPr>
          <w:p w14:paraId="51AA5ADF"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Lekamwasam S, Adachi JD, Agnusdei D, Bilezikian J, Boonen S, Borgström F, et al. for the Joint IOF-ECTS GIO Guidelines Working Group.  A framework for the development of guidelines for the management of glucocorticoid-induced osteoporosis. Osteoporos Int 2012;23: 2257-76.</w:t>
            </w:r>
            <w:r w:rsidRPr="008528DC">
              <w:t xml:space="preserve"> </w:t>
            </w:r>
            <w:r w:rsidRPr="008528DC">
              <w:rPr>
                <w:rFonts w:ascii="Times New Roman" w:hAnsi="Times New Roman"/>
              </w:rPr>
              <w:t>doi: 10.1007/s00198-012-1958-1.</w:t>
            </w:r>
          </w:p>
        </w:tc>
      </w:tr>
      <w:tr w:rsidR="008528DC" w:rsidRPr="008528DC" w14:paraId="4FE49298" w14:textId="77777777" w:rsidTr="002C13F6">
        <w:trPr>
          <w:trHeight w:val="900"/>
          <w:jc w:val="center"/>
        </w:trPr>
        <w:tc>
          <w:tcPr>
            <w:tcW w:w="236" w:type="dxa"/>
            <w:hideMark/>
          </w:tcPr>
          <w:p w14:paraId="66154F06"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8</w:t>
            </w:r>
          </w:p>
        </w:tc>
        <w:tc>
          <w:tcPr>
            <w:tcW w:w="7717" w:type="dxa"/>
            <w:hideMark/>
          </w:tcPr>
          <w:p w14:paraId="5A8588F9"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Kanis JA, McCloskey EV, Johansson H, Strom O, Borgstrom F, Oden A, National Osteoporosis Guideline Group. Case finding for the management of osteoporosis with FRAX—assessment and intervention thresholds for the UK. Osteoporos Int 2008;19:1395–1408.</w:t>
            </w:r>
            <w:r w:rsidRPr="008528DC">
              <w:t xml:space="preserve"> </w:t>
            </w:r>
            <w:r w:rsidRPr="008528DC">
              <w:rPr>
                <w:rFonts w:ascii="Times New Roman" w:hAnsi="Times New Roman"/>
              </w:rPr>
              <w:t>doi: 10.1007/s00198-008-0712-1.</w:t>
            </w:r>
          </w:p>
        </w:tc>
      </w:tr>
      <w:tr w:rsidR="008528DC" w:rsidRPr="008528DC" w14:paraId="29C4B7E6" w14:textId="77777777" w:rsidTr="002C13F6">
        <w:trPr>
          <w:trHeight w:val="900"/>
          <w:jc w:val="center"/>
        </w:trPr>
        <w:tc>
          <w:tcPr>
            <w:tcW w:w="236" w:type="dxa"/>
            <w:hideMark/>
          </w:tcPr>
          <w:p w14:paraId="0ED8BEC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9</w:t>
            </w:r>
          </w:p>
        </w:tc>
        <w:tc>
          <w:tcPr>
            <w:tcW w:w="7717" w:type="dxa"/>
            <w:hideMark/>
          </w:tcPr>
          <w:p w14:paraId="2C1B2E1C"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Compston J, Cooper A, Cooper C, Francis R, Kanis JA, Marsh D, et al. National Osteoporosis Guideline Group (NOGG). Guidelines for the diagnosis and management of osteoporosis in postmenopausal women and men from the age of 50 years in the UK. Maturitas 2009;62:105–108. doi: 10.1016/j.maturitas.2008.11.022.</w:t>
            </w:r>
          </w:p>
        </w:tc>
      </w:tr>
      <w:tr w:rsidR="008528DC" w:rsidRPr="008528DC" w14:paraId="2DD21270" w14:textId="77777777" w:rsidTr="002C13F6">
        <w:trPr>
          <w:trHeight w:val="900"/>
          <w:jc w:val="center"/>
        </w:trPr>
        <w:tc>
          <w:tcPr>
            <w:tcW w:w="236" w:type="dxa"/>
            <w:hideMark/>
          </w:tcPr>
          <w:p w14:paraId="7ACFB038"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10</w:t>
            </w:r>
          </w:p>
        </w:tc>
        <w:tc>
          <w:tcPr>
            <w:tcW w:w="7717" w:type="dxa"/>
            <w:hideMark/>
          </w:tcPr>
          <w:p w14:paraId="0CA840FE"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Compston J, Cooper A, Cooper C, Gittoes N, Gregson C, Harvey N, et al. The National Osteoporosis Guideline Group (NOGG) UK clinical guideline for the prevention and treatment of osteoporosis.  Arch Osteoporos 2017;12: 43. DOI 10.1007/s11657-017-0324-5</w:t>
            </w:r>
          </w:p>
        </w:tc>
      </w:tr>
      <w:tr w:rsidR="008528DC" w:rsidRPr="008528DC" w14:paraId="6BE2B62A" w14:textId="77777777" w:rsidTr="002C13F6">
        <w:trPr>
          <w:trHeight w:val="900"/>
          <w:jc w:val="center"/>
        </w:trPr>
        <w:tc>
          <w:tcPr>
            <w:tcW w:w="236" w:type="dxa"/>
            <w:hideMark/>
          </w:tcPr>
          <w:p w14:paraId="6F1A1512"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11</w:t>
            </w:r>
          </w:p>
        </w:tc>
        <w:tc>
          <w:tcPr>
            <w:tcW w:w="7717" w:type="dxa"/>
            <w:hideMark/>
          </w:tcPr>
          <w:p w14:paraId="56A75131"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McCloskey E, Kanis JA, Johansson H, Harvey N, Odén A, Cooper A, et al. FRAX-based assessment and intervention thresholds—an exploration of thresholds in women aged 50 years and older in the UK. Osteoporos Int 2015;26:2091–2099.</w:t>
            </w:r>
            <w:r w:rsidRPr="008528DC">
              <w:t xml:space="preserve"> </w:t>
            </w:r>
            <w:r w:rsidRPr="008528DC">
              <w:rPr>
                <w:rFonts w:ascii="Times New Roman" w:hAnsi="Times New Roman"/>
              </w:rPr>
              <w:t>doi: 10.1007/s00198-015-3176-0.</w:t>
            </w:r>
          </w:p>
        </w:tc>
      </w:tr>
      <w:tr w:rsidR="008528DC" w:rsidRPr="008528DC" w14:paraId="7A50D48B" w14:textId="77777777" w:rsidTr="002C13F6">
        <w:trPr>
          <w:trHeight w:val="600"/>
          <w:jc w:val="center"/>
        </w:trPr>
        <w:tc>
          <w:tcPr>
            <w:tcW w:w="236" w:type="dxa"/>
            <w:hideMark/>
          </w:tcPr>
          <w:p w14:paraId="737362A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12</w:t>
            </w:r>
          </w:p>
        </w:tc>
        <w:tc>
          <w:tcPr>
            <w:tcW w:w="7717" w:type="dxa"/>
            <w:hideMark/>
          </w:tcPr>
          <w:p w14:paraId="2C9C114F"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es-EC"/>
              </w:rPr>
              <w:t>López Gavilanez E, Chedraui P, Guerrero Franco K, Marriott Blum D, Palacio Riofrio J, Segale Bajaña A. Osteoporotic hip fractures in older adults in Ecuador 2016. Rev Osteoporos Metab Miner 2018;10:63–70. DOI: 10.4321/S1889-836X2018000200002.</w:t>
            </w:r>
          </w:p>
        </w:tc>
      </w:tr>
      <w:tr w:rsidR="008528DC" w:rsidRPr="008528DC" w14:paraId="6BD386B4" w14:textId="77777777" w:rsidTr="002C13F6">
        <w:trPr>
          <w:trHeight w:val="900"/>
          <w:jc w:val="center"/>
        </w:trPr>
        <w:tc>
          <w:tcPr>
            <w:tcW w:w="236" w:type="dxa"/>
            <w:hideMark/>
          </w:tcPr>
          <w:p w14:paraId="09F6D85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13</w:t>
            </w:r>
          </w:p>
        </w:tc>
        <w:tc>
          <w:tcPr>
            <w:tcW w:w="7717" w:type="dxa"/>
            <w:hideMark/>
          </w:tcPr>
          <w:p w14:paraId="5DD5BD7F"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lang w:val="es-EC"/>
              </w:rPr>
              <w:t xml:space="preserve">López Gavilanez E, Johansson H, McCloskey E, Harvey NC, Segale Bajana A, Marriott Blum D, Navarro Grijalva M, Diaz Curiel M, Kanis JA. </w:t>
            </w:r>
            <w:r w:rsidRPr="008528DC">
              <w:rPr>
                <w:rFonts w:ascii="Times New Roman" w:hAnsi="Times New Roman"/>
              </w:rPr>
              <w:t>Assessing the risk of osteoporotic fractures: the Ecuadorian FRAX model. Arch Osteoporos 2019;14:93. doi: 10.1007/s11657-019-0644-8.</w:t>
            </w:r>
          </w:p>
        </w:tc>
      </w:tr>
      <w:tr w:rsidR="008528DC" w:rsidRPr="008528DC" w14:paraId="3DF546CC" w14:textId="77777777" w:rsidTr="002C13F6">
        <w:trPr>
          <w:trHeight w:val="600"/>
          <w:jc w:val="center"/>
        </w:trPr>
        <w:tc>
          <w:tcPr>
            <w:tcW w:w="236" w:type="dxa"/>
            <w:hideMark/>
          </w:tcPr>
          <w:p w14:paraId="2CE391DD"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14</w:t>
            </w:r>
          </w:p>
        </w:tc>
        <w:tc>
          <w:tcPr>
            <w:tcW w:w="7717" w:type="dxa"/>
            <w:hideMark/>
          </w:tcPr>
          <w:p w14:paraId="315FA979"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lang w:val="es-EC"/>
              </w:rPr>
              <w:t xml:space="preserve">Instituto Nacional de Estadistica y Censos. Encuesta de Salud, Bienestar del Adulto Mayor. </w:t>
            </w:r>
            <w:r w:rsidRPr="008528DC">
              <w:rPr>
                <w:rFonts w:ascii="Times New Roman" w:hAnsi="Times New Roman"/>
                <w:lang w:val="en-US"/>
              </w:rPr>
              <w:t>Available at http://www.ecuadorencifras.gob.ec/encuesta-de-salud-bienestar-del-adulto-mayor / Accessed 25 October 2020.</w:t>
            </w:r>
          </w:p>
        </w:tc>
      </w:tr>
      <w:tr w:rsidR="008528DC" w:rsidRPr="008528DC" w14:paraId="1F4AC93A" w14:textId="77777777" w:rsidTr="002C13F6">
        <w:trPr>
          <w:trHeight w:val="600"/>
          <w:jc w:val="center"/>
        </w:trPr>
        <w:tc>
          <w:tcPr>
            <w:tcW w:w="236" w:type="dxa"/>
            <w:hideMark/>
          </w:tcPr>
          <w:p w14:paraId="05A9D0A9"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15</w:t>
            </w:r>
          </w:p>
        </w:tc>
        <w:tc>
          <w:tcPr>
            <w:tcW w:w="7717" w:type="dxa"/>
            <w:hideMark/>
          </w:tcPr>
          <w:p w14:paraId="5EB6A0FC"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Kanis JA, Johansson H, Odén A, McCloskey EV. The distribution of FRAX® based probabilities in women from Japan.  J Bone Miner Metab 2012;30: 700-5.</w:t>
            </w:r>
            <w:r w:rsidRPr="008528DC">
              <w:t xml:space="preserve"> </w:t>
            </w:r>
            <w:r w:rsidRPr="008528DC">
              <w:rPr>
                <w:rFonts w:ascii="Times New Roman" w:hAnsi="Times New Roman"/>
              </w:rPr>
              <w:t>doi: 10.1007/s00774-012-0371-3.</w:t>
            </w:r>
          </w:p>
        </w:tc>
      </w:tr>
      <w:tr w:rsidR="008528DC" w:rsidRPr="008528DC" w14:paraId="1C4AC693" w14:textId="77777777" w:rsidTr="002C13F6">
        <w:trPr>
          <w:trHeight w:val="600"/>
          <w:jc w:val="center"/>
        </w:trPr>
        <w:tc>
          <w:tcPr>
            <w:tcW w:w="236" w:type="dxa"/>
            <w:hideMark/>
          </w:tcPr>
          <w:p w14:paraId="13167C35"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16</w:t>
            </w:r>
          </w:p>
        </w:tc>
        <w:tc>
          <w:tcPr>
            <w:tcW w:w="7717" w:type="dxa"/>
            <w:hideMark/>
          </w:tcPr>
          <w:p w14:paraId="60A7B154"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Dawson-Hughes B, Looker AC, Tosteson ANA, Johansson H, Kanis JA, Melton III LJ. The potential impact of new National Osteoporosis Foundation guidance on treatment patterns. Osteoporos Int 2010;21: 41-52.</w:t>
            </w:r>
            <w:r w:rsidRPr="008528DC">
              <w:t xml:space="preserve"> </w:t>
            </w:r>
            <w:r w:rsidRPr="008528DC">
              <w:rPr>
                <w:rFonts w:ascii="Times New Roman" w:hAnsi="Times New Roman"/>
              </w:rPr>
              <w:t>doi: 10.1007/s00198-009-1034-7.</w:t>
            </w:r>
          </w:p>
        </w:tc>
      </w:tr>
      <w:tr w:rsidR="008528DC" w:rsidRPr="008528DC" w14:paraId="333D8F52" w14:textId="77777777" w:rsidTr="002C13F6">
        <w:trPr>
          <w:trHeight w:val="600"/>
          <w:jc w:val="center"/>
        </w:trPr>
        <w:tc>
          <w:tcPr>
            <w:tcW w:w="236" w:type="dxa"/>
            <w:hideMark/>
          </w:tcPr>
          <w:p w14:paraId="7BB0ADD2"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17</w:t>
            </w:r>
          </w:p>
        </w:tc>
        <w:tc>
          <w:tcPr>
            <w:tcW w:w="7717" w:type="dxa"/>
            <w:hideMark/>
          </w:tcPr>
          <w:p w14:paraId="440948E0"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Johansson H, Kanis JA, Oden A, Compston J, McCloskey E. A comparison of case-finding strategies in the UK for the management of hip fractures. Osteoporos Int 2012;23: 907-915.</w:t>
            </w:r>
            <w:r w:rsidRPr="008528DC">
              <w:t xml:space="preserve"> </w:t>
            </w:r>
            <w:r w:rsidRPr="008528DC">
              <w:rPr>
                <w:rFonts w:ascii="Times New Roman" w:hAnsi="Times New Roman"/>
              </w:rPr>
              <w:t xml:space="preserve">doi: 10.1007/s00198-011-1864-y. </w:t>
            </w:r>
          </w:p>
        </w:tc>
      </w:tr>
      <w:tr w:rsidR="008528DC" w:rsidRPr="008528DC" w14:paraId="3038C922" w14:textId="77777777" w:rsidTr="002C13F6">
        <w:trPr>
          <w:trHeight w:val="900"/>
          <w:jc w:val="center"/>
        </w:trPr>
        <w:tc>
          <w:tcPr>
            <w:tcW w:w="236" w:type="dxa"/>
            <w:hideMark/>
          </w:tcPr>
          <w:p w14:paraId="5BAFFD60"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18</w:t>
            </w:r>
          </w:p>
        </w:tc>
        <w:tc>
          <w:tcPr>
            <w:tcW w:w="7717" w:type="dxa"/>
            <w:hideMark/>
          </w:tcPr>
          <w:p w14:paraId="09983BBF"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Papaioannou A, Morin S, Cheung AM, Atkinson S, Brown JP, Feldman S, et al. Scientific Advisory Council of Osteoporosis Canada. 2010 Clinical practice guidelines for the diagnosis and management of osteoporosis in Canada: summary. CMAJ 2010;182:1864–1873.</w:t>
            </w:r>
            <w:r w:rsidRPr="008528DC">
              <w:t xml:space="preserve"> </w:t>
            </w:r>
            <w:r w:rsidRPr="008528DC">
              <w:rPr>
                <w:rFonts w:ascii="Times New Roman" w:hAnsi="Times New Roman"/>
              </w:rPr>
              <w:t>DOI: https://doi.org/10.1503/cmaj.100771.</w:t>
            </w:r>
          </w:p>
        </w:tc>
      </w:tr>
      <w:tr w:rsidR="008528DC" w:rsidRPr="008528DC" w14:paraId="03CF1097" w14:textId="77777777" w:rsidTr="002C13F6">
        <w:trPr>
          <w:trHeight w:val="600"/>
          <w:jc w:val="center"/>
        </w:trPr>
        <w:tc>
          <w:tcPr>
            <w:tcW w:w="236" w:type="dxa"/>
            <w:hideMark/>
          </w:tcPr>
          <w:p w14:paraId="0D88E06A"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19</w:t>
            </w:r>
          </w:p>
        </w:tc>
        <w:tc>
          <w:tcPr>
            <w:tcW w:w="7717" w:type="dxa"/>
            <w:hideMark/>
          </w:tcPr>
          <w:p w14:paraId="57160BC9"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Cosman F, de Beur SJ, LeBoff MS, Lewiecki EM, Tanner B, Randall S, Lindsay R; National Osteoporosis Foundation. Clinician’s guide to prevention and treatment of osteoporosis. Osteoporos Int 25: 2014;2359–2381.</w:t>
            </w:r>
            <w:r w:rsidRPr="008528DC">
              <w:t xml:space="preserve"> </w:t>
            </w:r>
            <w:r w:rsidRPr="008528DC">
              <w:rPr>
                <w:rFonts w:ascii="Times New Roman" w:hAnsi="Times New Roman"/>
              </w:rPr>
              <w:t>doi: 10.1007/s00198-014-2794-2.</w:t>
            </w:r>
          </w:p>
        </w:tc>
      </w:tr>
      <w:tr w:rsidR="008528DC" w:rsidRPr="008528DC" w14:paraId="758F55CF" w14:textId="77777777" w:rsidTr="002C13F6">
        <w:trPr>
          <w:trHeight w:val="600"/>
          <w:jc w:val="center"/>
        </w:trPr>
        <w:tc>
          <w:tcPr>
            <w:tcW w:w="236" w:type="dxa"/>
            <w:hideMark/>
          </w:tcPr>
          <w:p w14:paraId="39BC19EB"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20</w:t>
            </w:r>
          </w:p>
        </w:tc>
        <w:tc>
          <w:tcPr>
            <w:tcW w:w="7717" w:type="dxa"/>
            <w:hideMark/>
          </w:tcPr>
          <w:p w14:paraId="003B1488"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Johansson H, Oden A, Johnell O, Jonsson B, de Laet C, Oglesby A, et al. Optimisation of BMD measurements to identify high risk groups for treatment—a test analysis. J Bone Miner Res 2004;19: 906–913.</w:t>
            </w:r>
            <w:r w:rsidRPr="008528DC">
              <w:t xml:space="preserve"> </w:t>
            </w:r>
            <w:r w:rsidRPr="008528DC">
              <w:rPr>
                <w:rFonts w:ascii="Times New Roman" w:hAnsi="Times New Roman"/>
              </w:rPr>
              <w:t xml:space="preserve">doi: 10.1359/jbmr.2004.19.6.906. </w:t>
            </w:r>
          </w:p>
        </w:tc>
      </w:tr>
      <w:tr w:rsidR="008528DC" w:rsidRPr="008528DC" w14:paraId="74A276BD" w14:textId="77777777" w:rsidTr="002C13F6">
        <w:trPr>
          <w:trHeight w:val="1500"/>
          <w:jc w:val="center"/>
        </w:trPr>
        <w:tc>
          <w:tcPr>
            <w:tcW w:w="236" w:type="dxa"/>
            <w:hideMark/>
          </w:tcPr>
          <w:p w14:paraId="16DBCD1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sv-SE"/>
              </w:rPr>
              <w:t>21</w:t>
            </w:r>
          </w:p>
        </w:tc>
        <w:tc>
          <w:tcPr>
            <w:tcW w:w="7717" w:type="dxa"/>
            <w:hideMark/>
          </w:tcPr>
          <w:p w14:paraId="09574944"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lang w:val="en-US"/>
              </w:rPr>
              <w:t xml:space="preserve">Kanis JA, Oden A, Johnell O, Johansson H, De Laet C, Brown J, et al. </w:t>
            </w:r>
            <w:r w:rsidRPr="008528DC">
              <w:rPr>
                <w:rFonts w:ascii="Times New Roman" w:hAnsi="Times New Roman"/>
              </w:rPr>
              <w:t>The use of clinical risk factors enhances the performance of BMD in the prediction of hip and osteoporotic fractures in men and women. Osteoporos Int 2007;18: 1033-1046. doi: 10.1007/s00198-007-0343-y.</w:t>
            </w:r>
          </w:p>
        </w:tc>
      </w:tr>
      <w:tr w:rsidR="008528DC" w:rsidRPr="008528DC" w14:paraId="2D66CE12" w14:textId="77777777" w:rsidTr="002C13F6">
        <w:trPr>
          <w:trHeight w:val="600"/>
          <w:jc w:val="center"/>
        </w:trPr>
        <w:tc>
          <w:tcPr>
            <w:tcW w:w="236" w:type="dxa"/>
            <w:hideMark/>
          </w:tcPr>
          <w:p w14:paraId="17B223FA"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22</w:t>
            </w:r>
          </w:p>
        </w:tc>
        <w:tc>
          <w:tcPr>
            <w:tcW w:w="7717" w:type="dxa"/>
            <w:hideMark/>
          </w:tcPr>
          <w:p w14:paraId="281AF647"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Leslie WD, Majumdar SR, Lix L, Johansson H, McCloskey EV Kanis JA. High fracture probability with FRAX® usually indicates densitometric osteoporosis: implications for clinical practice. Osteoporos Int 2011; 23:391–397. doi: 10.1007/s00198-011-1592-3.</w:t>
            </w:r>
          </w:p>
        </w:tc>
      </w:tr>
      <w:tr w:rsidR="008528DC" w:rsidRPr="008528DC" w14:paraId="5E576110" w14:textId="77777777" w:rsidTr="002C13F6">
        <w:trPr>
          <w:trHeight w:val="600"/>
          <w:jc w:val="center"/>
        </w:trPr>
        <w:tc>
          <w:tcPr>
            <w:tcW w:w="236" w:type="dxa"/>
            <w:hideMark/>
          </w:tcPr>
          <w:p w14:paraId="5BFC5EEE"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23</w:t>
            </w:r>
          </w:p>
        </w:tc>
        <w:tc>
          <w:tcPr>
            <w:tcW w:w="7717" w:type="dxa"/>
            <w:hideMark/>
          </w:tcPr>
          <w:p w14:paraId="7BD2BADB"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Leslie WD, Lix LM, Morin S, Johansson H, Odén A, McCloskey E, Kanis JA. Fracture risk assessment without bone density measurement in routine clinical practice. Osteoporos Int 2012;23:75–85.</w:t>
            </w:r>
            <w:r w:rsidRPr="008528DC">
              <w:t xml:space="preserve"> </w:t>
            </w:r>
            <w:r w:rsidRPr="008528DC">
              <w:rPr>
                <w:rFonts w:ascii="Times New Roman" w:hAnsi="Times New Roman"/>
              </w:rPr>
              <w:t>doi: 10.1007/s00198-011-1747-2.</w:t>
            </w:r>
          </w:p>
        </w:tc>
      </w:tr>
      <w:tr w:rsidR="008528DC" w:rsidRPr="008528DC" w14:paraId="4916A900" w14:textId="77777777" w:rsidTr="002C13F6">
        <w:trPr>
          <w:trHeight w:val="300"/>
          <w:jc w:val="center"/>
        </w:trPr>
        <w:tc>
          <w:tcPr>
            <w:tcW w:w="236" w:type="dxa"/>
            <w:hideMark/>
          </w:tcPr>
          <w:p w14:paraId="5933863E"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24</w:t>
            </w:r>
          </w:p>
        </w:tc>
        <w:tc>
          <w:tcPr>
            <w:tcW w:w="7717" w:type="dxa"/>
            <w:hideMark/>
          </w:tcPr>
          <w:p w14:paraId="28B1D3CA"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Kanis JA, McCloskey E, Johansson H, Oden A, Leslie WD. FRAX® with and without BMD. Calcif Tiss Int 2012;90:1–13.</w:t>
            </w:r>
            <w:r w:rsidRPr="008528DC">
              <w:t xml:space="preserve"> </w:t>
            </w:r>
            <w:r w:rsidRPr="008528DC">
              <w:rPr>
                <w:rFonts w:ascii="Times New Roman" w:hAnsi="Times New Roman"/>
              </w:rPr>
              <w:t>doi: 10.1007/s00223-011-9544-7.</w:t>
            </w:r>
          </w:p>
        </w:tc>
      </w:tr>
      <w:tr w:rsidR="008528DC" w:rsidRPr="008528DC" w14:paraId="153473A3" w14:textId="77777777" w:rsidTr="002C13F6">
        <w:trPr>
          <w:trHeight w:val="600"/>
          <w:jc w:val="center"/>
        </w:trPr>
        <w:tc>
          <w:tcPr>
            <w:tcW w:w="236" w:type="dxa"/>
            <w:hideMark/>
          </w:tcPr>
          <w:p w14:paraId="055E3CD2"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25</w:t>
            </w:r>
          </w:p>
        </w:tc>
        <w:tc>
          <w:tcPr>
            <w:tcW w:w="7717" w:type="dxa"/>
            <w:hideMark/>
          </w:tcPr>
          <w:p w14:paraId="0B4FF346"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Torgerson DJ, Bell-Syer SE. Hormone replacement therapy and prevention of nonvertebral fractures: a meta-analysis of randomized trials. JAMA 2001;285:2891–2897.</w:t>
            </w:r>
            <w:r w:rsidRPr="008528DC">
              <w:t xml:space="preserve"> </w:t>
            </w:r>
            <w:r w:rsidRPr="008528DC">
              <w:rPr>
                <w:rFonts w:ascii="Times New Roman" w:hAnsi="Times New Roman"/>
              </w:rPr>
              <w:t>doi: 10.1001/jama.285.22.2891.</w:t>
            </w:r>
          </w:p>
        </w:tc>
      </w:tr>
      <w:tr w:rsidR="008528DC" w:rsidRPr="008528DC" w14:paraId="361AF793" w14:textId="77777777" w:rsidTr="002C13F6">
        <w:trPr>
          <w:trHeight w:val="330"/>
          <w:jc w:val="center"/>
        </w:trPr>
        <w:tc>
          <w:tcPr>
            <w:tcW w:w="236" w:type="dxa"/>
            <w:hideMark/>
          </w:tcPr>
          <w:p w14:paraId="1844F854"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es-EC"/>
              </w:rPr>
              <w:t>26</w:t>
            </w:r>
          </w:p>
        </w:tc>
        <w:tc>
          <w:tcPr>
            <w:tcW w:w="7717" w:type="dxa"/>
            <w:hideMark/>
          </w:tcPr>
          <w:p w14:paraId="28F76644"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lang w:val="en-US"/>
              </w:rPr>
              <w:t>Cauley JA, Robbins J, Chen Z, Cummings SR, Jackson RD, LaCroix AZ, et al. Effects of estrogen plus progestin on risk of fracture and bone mineral density: the Women’s Health Initiative randomized trial. JAMA 2003;290:1729–1738.</w:t>
            </w:r>
            <w:r w:rsidRPr="008528DC">
              <w:t xml:space="preserve"> </w:t>
            </w:r>
            <w:r w:rsidRPr="008528DC">
              <w:rPr>
                <w:rFonts w:ascii="Times New Roman" w:hAnsi="Times New Roman"/>
                <w:lang w:val="en-US"/>
              </w:rPr>
              <w:t>doi: 10.1001/jama.290.13.1729.</w:t>
            </w:r>
          </w:p>
        </w:tc>
      </w:tr>
      <w:tr w:rsidR="008528DC" w:rsidRPr="008528DC" w14:paraId="2348751A" w14:textId="77777777" w:rsidTr="002C13F6">
        <w:trPr>
          <w:trHeight w:val="1200"/>
          <w:jc w:val="center"/>
        </w:trPr>
        <w:tc>
          <w:tcPr>
            <w:tcW w:w="236" w:type="dxa"/>
            <w:hideMark/>
          </w:tcPr>
          <w:p w14:paraId="43989712"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rPr>
              <w:t>27</w:t>
            </w:r>
          </w:p>
        </w:tc>
        <w:tc>
          <w:tcPr>
            <w:tcW w:w="7717" w:type="dxa"/>
            <w:hideMark/>
          </w:tcPr>
          <w:p w14:paraId="4FE8711E" w14:textId="77777777" w:rsidR="00614BF4" w:rsidRPr="008528DC" w:rsidRDefault="00614BF4" w:rsidP="00614BF4">
            <w:pPr>
              <w:spacing w:line="480" w:lineRule="auto"/>
              <w:rPr>
                <w:rFonts w:ascii="Times New Roman" w:hAnsi="Times New Roman"/>
              </w:rPr>
            </w:pPr>
            <w:r w:rsidRPr="008528DC">
              <w:rPr>
                <w:rFonts w:ascii="Times New Roman" w:hAnsi="Times New Roman"/>
              </w:rPr>
              <w:t>McCloskey EV, Beneton M, Charlesworth D, Kayan K, deTakats D, Dey A, et al.  Clodronate reduces the incidence of fractures in community-dwelling elderly women unselected for osteoporosis: results of a double-blind, placebo-controlled randomized study. J Bone Miner Res. 2007;22: 135-141.</w:t>
            </w:r>
            <w:r w:rsidRPr="008528DC">
              <w:t xml:space="preserve"> </w:t>
            </w:r>
            <w:r w:rsidRPr="008528DC">
              <w:rPr>
                <w:rFonts w:ascii="Times New Roman" w:hAnsi="Times New Roman"/>
              </w:rPr>
              <w:t>doi: 10.1359/jbmr.061008.</w:t>
            </w:r>
          </w:p>
        </w:tc>
      </w:tr>
      <w:tr w:rsidR="00614BF4" w:rsidRPr="008528DC" w14:paraId="70F619DB" w14:textId="77777777" w:rsidTr="002C13F6">
        <w:trPr>
          <w:trHeight w:val="600"/>
          <w:jc w:val="center"/>
        </w:trPr>
        <w:tc>
          <w:tcPr>
            <w:tcW w:w="236" w:type="dxa"/>
            <w:hideMark/>
          </w:tcPr>
          <w:p w14:paraId="2DC11AD2" w14:textId="77777777" w:rsidR="00614BF4" w:rsidRPr="008528DC" w:rsidRDefault="00614BF4" w:rsidP="00614BF4">
            <w:pPr>
              <w:spacing w:line="480" w:lineRule="auto"/>
              <w:rPr>
                <w:rFonts w:ascii="Times New Roman" w:hAnsi="Times New Roman"/>
                <w:lang w:val="es-EC"/>
              </w:rPr>
            </w:pPr>
            <w:r w:rsidRPr="008528DC">
              <w:rPr>
                <w:rFonts w:ascii="Times New Roman" w:hAnsi="Times New Roman"/>
                <w:lang w:val="sv-SE"/>
              </w:rPr>
              <w:t>28</w:t>
            </w:r>
          </w:p>
        </w:tc>
        <w:tc>
          <w:tcPr>
            <w:tcW w:w="7717" w:type="dxa"/>
            <w:hideMark/>
          </w:tcPr>
          <w:p w14:paraId="642EC2DA" w14:textId="77777777" w:rsidR="00614BF4" w:rsidRPr="008528DC" w:rsidRDefault="00614BF4" w:rsidP="00614BF4">
            <w:pPr>
              <w:spacing w:line="480" w:lineRule="auto"/>
              <w:rPr>
                <w:rFonts w:ascii="Times New Roman" w:hAnsi="Times New Roman"/>
                <w:lang w:val="en-US"/>
              </w:rPr>
            </w:pPr>
            <w:r w:rsidRPr="008528DC">
              <w:rPr>
                <w:rFonts w:ascii="Times New Roman" w:hAnsi="Times New Roman"/>
              </w:rPr>
              <w:t>Kanis JA, Adams J, Borgström F, Cooper C, Jönsson B, Preedy D et al. The cost-effectiveness of alendronate in the management of osteoporosis. Bone 2008;42:4–15.</w:t>
            </w:r>
            <w:r w:rsidRPr="008528DC">
              <w:t xml:space="preserve"> </w:t>
            </w:r>
            <w:r w:rsidRPr="008528DC">
              <w:rPr>
                <w:rFonts w:ascii="Times New Roman" w:hAnsi="Times New Roman"/>
              </w:rPr>
              <w:t>doi: 10.1016/j.bone.2007.10.019.</w:t>
            </w:r>
          </w:p>
        </w:tc>
      </w:tr>
    </w:tbl>
    <w:p w14:paraId="7D8F7F49" w14:textId="77777777" w:rsidR="000A0320" w:rsidRPr="008528DC" w:rsidRDefault="000A0320" w:rsidP="00077C16">
      <w:pPr>
        <w:spacing w:after="0" w:line="480" w:lineRule="auto"/>
        <w:rPr>
          <w:rFonts w:ascii="Times New Roman" w:eastAsia="Calibri" w:hAnsi="Times New Roman" w:cs="Times New Roman"/>
          <w:b/>
          <w:bCs/>
          <w:sz w:val="20"/>
          <w:szCs w:val="20"/>
          <w:shd w:val="clear" w:color="auto" w:fill="FFFFFF"/>
        </w:rPr>
      </w:pPr>
    </w:p>
    <w:p w14:paraId="6025BDA7" w14:textId="673C6A4E" w:rsidR="00CB602F" w:rsidRPr="008528DC" w:rsidRDefault="00CB602F">
      <w:pPr>
        <w:rPr>
          <w:rFonts w:ascii="Times New Roman" w:hAnsi="Times New Roman" w:cs="Times New Roman"/>
          <w:b/>
          <w:bCs/>
          <w:sz w:val="20"/>
          <w:szCs w:val="20"/>
        </w:rPr>
      </w:pPr>
      <w:r w:rsidRPr="008528DC">
        <w:rPr>
          <w:rFonts w:ascii="Times New Roman" w:hAnsi="Times New Roman" w:cs="Times New Roman"/>
          <w:b/>
          <w:bCs/>
          <w:sz w:val="20"/>
          <w:szCs w:val="20"/>
        </w:rPr>
        <w:br w:type="page"/>
      </w:r>
    </w:p>
    <w:p w14:paraId="6589A570" w14:textId="77777777" w:rsidR="00CB602F" w:rsidRPr="008528DC" w:rsidRDefault="00CB602F" w:rsidP="00CB602F">
      <w:pPr>
        <w:spacing w:after="0" w:line="480" w:lineRule="auto"/>
        <w:rPr>
          <w:rFonts w:ascii="Times New Roman" w:hAnsi="Times New Roman" w:cs="Times New Roman"/>
          <w:b/>
          <w:bCs/>
          <w:sz w:val="20"/>
          <w:szCs w:val="20"/>
        </w:rPr>
      </w:pPr>
      <w:r w:rsidRPr="008528DC">
        <w:rPr>
          <w:rFonts w:ascii="Times New Roman" w:hAnsi="Times New Roman" w:cs="Times New Roman"/>
          <w:b/>
          <w:bCs/>
          <w:sz w:val="20"/>
          <w:szCs w:val="20"/>
        </w:rPr>
        <w:t>Figure caption</w:t>
      </w:r>
    </w:p>
    <w:p w14:paraId="2E047BE9" w14:textId="7F9A40E9" w:rsidR="00CB602F" w:rsidRPr="008528DC" w:rsidRDefault="00CB602F" w:rsidP="00CB602F">
      <w:pPr>
        <w:spacing w:after="0" w:line="480" w:lineRule="auto"/>
        <w:rPr>
          <w:rFonts w:ascii="Times New Roman" w:hAnsi="Times New Roman" w:cs="Times New Roman"/>
          <w:b/>
          <w:bCs/>
          <w:sz w:val="20"/>
          <w:szCs w:val="20"/>
        </w:rPr>
      </w:pPr>
      <w:r w:rsidRPr="008528DC">
        <w:rPr>
          <w:rFonts w:ascii="Times New Roman" w:hAnsi="Times New Roman" w:cs="Times New Roman"/>
          <w:b/>
          <w:bCs/>
          <w:sz w:val="20"/>
          <w:szCs w:val="20"/>
        </w:rPr>
        <w:t xml:space="preserve">Fig. 1 </w:t>
      </w:r>
      <w:r w:rsidRPr="008528DC">
        <w:rPr>
          <w:rFonts w:ascii="Times New Roman" w:hAnsi="Times New Roman" w:cs="Times New Roman"/>
          <w:sz w:val="20"/>
          <w:szCs w:val="20"/>
        </w:rPr>
        <w:t>Graphs of intervention and assessment thresholds showing the original (left) and current (right) NOGG thresholds applied to the FRAX model for Ecuador.  The dotted line represents the intervention threshold while the assessment thresholds enclose the amber area (see text for details).</w:t>
      </w:r>
    </w:p>
    <w:p w14:paraId="46B47B6D" w14:textId="1FB481D1" w:rsidR="00CB602F" w:rsidRPr="008528DC" w:rsidRDefault="00CB602F" w:rsidP="00CB602F">
      <w:pPr>
        <w:spacing w:after="0" w:line="480" w:lineRule="auto"/>
        <w:rPr>
          <w:rFonts w:ascii="Times New Roman" w:hAnsi="Times New Roman" w:cs="Times New Roman"/>
          <w:b/>
          <w:bCs/>
          <w:sz w:val="20"/>
          <w:szCs w:val="20"/>
        </w:rPr>
      </w:pPr>
      <w:r w:rsidRPr="008528DC">
        <w:rPr>
          <w:rFonts w:ascii="Times New Roman" w:hAnsi="Times New Roman" w:cs="Times New Roman"/>
          <w:b/>
          <w:bCs/>
          <w:sz w:val="20"/>
          <w:szCs w:val="20"/>
        </w:rPr>
        <w:t xml:space="preserve">Fig. 2 </w:t>
      </w:r>
      <w:r w:rsidRPr="008528DC">
        <w:rPr>
          <w:rFonts w:ascii="Times New Roman" w:hAnsi="Times New Roman" w:cs="Times New Roman"/>
          <w:sz w:val="20"/>
          <w:szCs w:val="20"/>
        </w:rPr>
        <w:t>Distribution of probabilities for major osteoporotic fracture (MOF) and hip fracture including simulated variables</w:t>
      </w:r>
    </w:p>
    <w:p w14:paraId="5A747BCF" w14:textId="7F5A6E7E" w:rsidR="00CB602F" w:rsidRPr="008528DC" w:rsidRDefault="00CB602F" w:rsidP="00CB602F">
      <w:pPr>
        <w:spacing w:after="0" w:line="480" w:lineRule="auto"/>
        <w:rPr>
          <w:rFonts w:ascii="Times New Roman" w:hAnsi="Times New Roman" w:cs="Times New Roman"/>
          <w:b/>
          <w:bCs/>
          <w:sz w:val="20"/>
          <w:szCs w:val="20"/>
        </w:rPr>
      </w:pPr>
      <w:r w:rsidRPr="008528DC">
        <w:rPr>
          <w:rFonts w:ascii="Times New Roman" w:hAnsi="Times New Roman" w:cs="Times New Roman"/>
          <w:b/>
          <w:bCs/>
          <w:sz w:val="20"/>
          <w:szCs w:val="20"/>
        </w:rPr>
        <w:t xml:space="preserve">Fig. 3 </w:t>
      </w:r>
      <w:r w:rsidRPr="008528DC">
        <w:rPr>
          <w:rFonts w:ascii="Times New Roman" w:hAnsi="Times New Roman" w:cs="Times New Roman"/>
          <w:sz w:val="20"/>
          <w:szCs w:val="20"/>
        </w:rPr>
        <w:t>Disposition of women assessed for fracture risk using age-specific or hybrid intervention and assessment thresholds.  The bars on the left predicate the subsequent use of BMD in those at intermediate risk.  Those on the right direct treatment only using FRAX without BMD</w:t>
      </w:r>
    </w:p>
    <w:p w14:paraId="239D462C" w14:textId="14EFECD3" w:rsidR="00CB602F" w:rsidRPr="008528DC" w:rsidRDefault="00CB602F" w:rsidP="00CB602F">
      <w:pPr>
        <w:spacing w:after="0" w:line="480" w:lineRule="auto"/>
        <w:rPr>
          <w:rFonts w:ascii="Times New Roman" w:hAnsi="Times New Roman" w:cs="Times New Roman"/>
          <w:b/>
          <w:bCs/>
          <w:sz w:val="20"/>
          <w:szCs w:val="20"/>
        </w:rPr>
      </w:pPr>
      <w:r w:rsidRPr="008528DC">
        <w:rPr>
          <w:rFonts w:ascii="Times New Roman" w:hAnsi="Times New Roman" w:cs="Times New Roman"/>
          <w:b/>
          <w:bCs/>
          <w:sz w:val="20"/>
          <w:szCs w:val="20"/>
        </w:rPr>
        <w:t xml:space="preserve">Supplementary Figure. 1 </w:t>
      </w:r>
      <w:r w:rsidRPr="008528DC">
        <w:rPr>
          <w:rFonts w:ascii="Times New Roman" w:hAnsi="Times New Roman" w:cs="Times New Roman"/>
          <w:sz w:val="20"/>
          <w:szCs w:val="20"/>
        </w:rPr>
        <w:t>10-year probability of a major osteoporotic fracture in women from Ecuador.  The solid line denotes the intervention threshold and the dashed lines the upper and lower assessment thresholds.  Triangular symbols denote women with a prior fracture</w:t>
      </w:r>
    </w:p>
    <w:p w14:paraId="450072DD" w14:textId="77777777" w:rsidR="00054BF0" w:rsidRPr="008528DC" w:rsidRDefault="00054BF0" w:rsidP="00077C16">
      <w:pPr>
        <w:spacing w:after="0" w:line="480" w:lineRule="auto"/>
        <w:rPr>
          <w:rFonts w:ascii="Times New Roman" w:hAnsi="Times New Roman" w:cs="Times New Roman"/>
          <w:b/>
          <w:bCs/>
          <w:sz w:val="20"/>
          <w:szCs w:val="20"/>
        </w:rPr>
      </w:pPr>
    </w:p>
    <w:sectPr w:rsidR="00054BF0" w:rsidRPr="008528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B6E0F" w14:textId="77777777" w:rsidR="00244424" w:rsidRDefault="00244424" w:rsidP="00A07C16">
      <w:pPr>
        <w:spacing w:after="0" w:line="240" w:lineRule="auto"/>
      </w:pPr>
      <w:r>
        <w:separator/>
      </w:r>
    </w:p>
  </w:endnote>
  <w:endnote w:type="continuationSeparator" w:id="0">
    <w:p w14:paraId="0D971F54" w14:textId="77777777" w:rsidR="00244424" w:rsidRDefault="00244424" w:rsidP="00A0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DDCE4" w14:textId="77777777" w:rsidR="00244424" w:rsidRDefault="00244424" w:rsidP="00A07C16">
      <w:pPr>
        <w:spacing w:after="0" w:line="240" w:lineRule="auto"/>
      </w:pPr>
      <w:r>
        <w:separator/>
      </w:r>
    </w:p>
  </w:footnote>
  <w:footnote w:type="continuationSeparator" w:id="0">
    <w:p w14:paraId="36CEDBCA" w14:textId="77777777" w:rsidR="00244424" w:rsidRDefault="00244424" w:rsidP="00A07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00"/>
    <w:rsid w:val="000022CC"/>
    <w:rsid w:val="00002560"/>
    <w:rsid w:val="00002CD3"/>
    <w:rsid w:val="00003B1D"/>
    <w:rsid w:val="00013BDE"/>
    <w:rsid w:val="00014601"/>
    <w:rsid w:val="00016099"/>
    <w:rsid w:val="0002028A"/>
    <w:rsid w:val="000230B6"/>
    <w:rsid w:val="00025443"/>
    <w:rsid w:val="00030323"/>
    <w:rsid w:val="000332A7"/>
    <w:rsid w:val="00033EF2"/>
    <w:rsid w:val="00034851"/>
    <w:rsid w:val="000367E1"/>
    <w:rsid w:val="000402C3"/>
    <w:rsid w:val="00043AB0"/>
    <w:rsid w:val="00045AA0"/>
    <w:rsid w:val="00046E6A"/>
    <w:rsid w:val="00047203"/>
    <w:rsid w:val="00047613"/>
    <w:rsid w:val="000509B4"/>
    <w:rsid w:val="0005469C"/>
    <w:rsid w:val="00054BF0"/>
    <w:rsid w:val="000559A2"/>
    <w:rsid w:val="00056507"/>
    <w:rsid w:val="00057555"/>
    <w:rsid w:val="00057C8B"/>
    <w:rsid w:val="00060C85"/>
    <w:rsid w:val="000610FA"/>
    <w:rsid w:val="000624B3"/>
    <w:rsid w:val="0006533B"/>
    <w:rsid w:val="0006743E"/>
    <w:rsid w:val="00070CB6"/>
    <w:rsid w:val="00073D5A"/>
    <w:rsid w:val="00077C16"/>
    <w:rsid w:val="00081397"/>
    <w:rsid w:val="00087945"/>
    <w:rsid w:val="00090F00"/>
    <w:rsid w:val="00091283"/>
    <w:rsid w:val="000914D5"/>
    <w:rsid w:val="00094C3C"/>
    <w:rsid w:val="000953C9"/>
    <w:rsid w:val="00095933"/>
    <w:rsid w:val="00095B33"/>
    <w:rsid w:val="00097567"/>
    <w:rsid w:val="000A0320"/>
    <w:rsid w:val="000A50B5"/>
    <w:rsid w:val="000B0B32"/>
    <w:rsid w:val="000B2ED7"/>
    <w:rsid w:val="000B5150"/>
    <w:rsid w:val="000B6F0B"/>
    <w:rsid w:val="000B74BC"/>
    <w:rsid w:val="000C40B0"/>
    <w:rsid w:val="000C4485"/>
    <w:rsid w:val="000D6F49"/>
    <w:rsid w:val="000D7FA4"/>
    <w:rsid w:val="000E3313"/>
    <w:rsid w:val="000E497C"/>
    <w:rsid w:val="000E6528"/>
    <w:rsid w:val="000E6FF4"/>
    <w:rsid w:val="000F0904"/>
    <w:rsid w:val="000F269B"/>
    <w:rsid w:val="000F735A"/>
    <w:rsid w:val="000F7B3D"/>
    <w:rsid w:val="001000C3"/>
    <w:rsid w:val="0010427F"/>
    <w:rsid w:val="00104AE0"/>
    <w:rsid w:val="00106B9B"/>
    <w:rsid w:val="00107A6B"/>
    <w:rsid w:val="00112772"/>
    <w:rsid w:val="00115FA1"/>
    <w:rsid w:val="00117D6D"/>
    <w:rsid w:val="00120853"/>
    <w:rsid w:val="00122955"/>
    <w:rsid w:val="00123285"/>
    <w:rsid w:val="0012356B"/>
    <w:rsid w:val="0012461F"/>
    <w:rsid w:val="0012514A"/>
    <w:rsid w:val="00125CFB"/>
    <w:rsid w:val="00125DE3"/>
    <w:rsid w:val="001301E3"/>
    <w:rsid w:val="00132440"/>
    <w:rsid w:val="001326FD"/>
    <w:rsid w:val="0014235A"/>
    <w:rsid w:val="00142CF9"/>
    <w:rsid w:val="00145A87"/>
    <w:rsid w:val="001516FF"/>
    <w:rsid w:val="00152C83"/>
    <w:rsid w:val="00153952"/>
    <w:rsid w:val="00160118"/>
    <w:rsid w:val="00167C71"/>
    <w:rsid w:val="00170829"/>
    <w:rsid w:val="00173703"/>
    <w:rsid w:val="0018045B"/>
    <w:rsid w:val="00180710"/>
    <w:rsid w:val="00181172"/>
    <w:rsid w:val="001812FF"/>
    <w:rsid w:val="001815EB"/>
    <w:rsid w:val="0018269F"/>
    <w:rsid w:val="001832B1"/>
    <w:rsid w:val="00183ECE"/>
    <w:rsid w:val="00185095"/>
    <w:rsid w:val="00194648"/>
    <w:rsid w:val="001946C0"/>
    <w:rsid w:val="001A0C22"/>
    <w:rsid w:val="001A1312"/>
    <w:rsid w:val="001A30ED"/>
    <w:rsid w:val="001A5C78"/>
    <w:rsid w:val="001A6F03"/>
    <w:rsid w:val="001B34ED"/>
    <w:rsid w:val="001B3CAE"/>
    <w:rsid w:val="001B60B3"/>
    <w:rsid w:val="001C070F"/>
    <w:rsid w:val="001C127C"/>
    <w:rsid w:val="001C3132"/>
    <w:rsid w:val="001C48C7"/>
    <w:rsid w:val="001D0C71"/>
    <w:rsid w:val="001D2C5B"/>
    <w:rsid w:val="001D5252"/>
    <w:rsid w:val="001D5754"/>
    <w:rsid w:val="001D6F1D"/>
    <w:rsid w:val="001E0EE8"/>
    <w:rsid w:val="001E3702"/>
    <w:rsid w:val="001F0574"/>
    <w:rsid w:val="001F091D"/>
    <w:rsid w:val="001F1712"/>
    <w:rsid w:val="001F359A"/>
    <w:rsid w:val="001F42F7"/>
    <w:rsid w:val="001F4A57"/>
    <w:rsid w:val="001F58DC"/>
    <w:rsid w:val="001F781B"/>
    <w:rsid w:val="002024EF"/>
    <w:rsid w:val="0020504C"/>
    <w:rsid w:val="00220110"/>
    <w:rsid w:val="00220CF0"/>
    <w:rsid w:val="00221A3A"/>
    <w:rsid w:val="00222E7E"/>
    <w:rsid w:val="002268A7"/>
    <w:rsid w:val="002314EF"/>
    <w:rsid w:val="00231E53"/>
    <w:rsid w:val="002345F3"/>
    <w:rsid w:val="0023653B"/>
    <w:rsid w:val="0023772D"/>
    <w:rsid w:val="00237B25"/>
    <w:rsid w:val="00241BAE"/>
    <w:rsid w:val="00244424"/>
    <w:rsid w:val="002468B9"/>
    <w:rsid w:val="00250616"/>
    <w:rsid w:val="002507CB"/>
    <w:rsid w:val="00250ED3"/>
    <w:rsid w:val="00252262"/>
    <w:rsid w:val="00252E17"/>
    <w:rsid w:val="002535AB"/>
    <w:rsid w:val="00254F81"/>
    <w:rsid w:val="00254FB3"/>
    <w:rsid w:val="00257B6E"/>
    <w:rsid w:val="0026081C"/>
    <w:rsid w:val="00260B34"/>
    <w:rsid w:val="00263BA9"/>
    <w:rsid w:val="002658A4"/>
    <w:rsid w:val="002702EF"/>
    <w:rsid w:val="002737B7"/>
    <w:rsid w:val="00275853"/>
    <w:rsid w:val="00280BD4"/>
    <w:rsid w:val="00280F27"/>
    <w:rsid w:val="0028137D"/>
    <w:rsid w:val="00283212"/>
    <w:rsid w:val="002877AE"/>
    <w:rsid w:val="002916A4"/>
    <w:rsid w:val="00292093"/>
    <w:rsid w:val="00293F99"/>
    <w:rsid w:val="0029471D"/>
    <w:rsid w:val="00295387"/>
    <w:rsid w:val="0029598E"/>
    <w:rsid w:val="002A4A90"/>
    <w:rsid w:val="002A5122"/>
    <w:rsid w:val="002A754A"/>
    <w:rsid w:val="002B003D"/>
    <w:rsid w:val="002B37D8"/>
    <w:rsid w:val="002B4886"/>
    <w:rsid w:val="002B586D"/>
    <w:rsid w:val="002C13F6"/>
    <w:rsid w:val="002C5BB7"/>
    <w:rsid w:val="002C6000"/>
    <w:rsid w:val="002C60C1"/>
    <w:rsid w:val="002D0FFF"/>
    <w:rsid w:val="002D4AF8"/>
    <w:rsid w:val="002D66A6"/>
    <w:rsid w:val="002E080E"/>
    <w:rsid w:val="002E171E"/>
    <w:rsid w:val="002E2AEF"/>
    <w:rsid w:val="002F0022"/>
    <w:rsid w:val="002F10B9"/>
    <w:rsid w:val="002F1B90"/>
    <w:rsid w:val="0030157F"/>
    <w:rsid w:val="00302358"/>
    <w:rsid w:val="003042FA"/>
    <w:rsid w:val="0030630E"/>
    <w:rsid w:val="0031033D"/>
    <w:rsid w:val="00316860"/>
    <w:rsid w:val="003264AE"/>
    <w:rsid w:val="0033023B"/>
    <w:rsid w:val="00330F29"/>
    <w:rsid w:val="003336E6"/>
    <w:rsid w:val="00334B69"/>
    <w:rsid w:val="00337604"/>
    <w:rsid w:val="00342885"/>
    <w:rsid w:val="00342BD2"/>
    <w:rsid w:val="003431F3"/>
    <w:rsid w:val="00345B16"/>
    <w:rsid w:val="00353D0B"/>
    <w:rsid w:val="00353E04"/>
    <w:rsid w:val="003575B6"/>
    <w:rsid w:val="00357FBF"/>
    <w:rsid w:val="00361A5D"/>
    <w:rsid w:val="003636D4"/>
    <w:rsid w:val="00370502"/>
    <w:rsid w:val="00373BD0"/>
    <w:rsid w:val="00380759"/>
    <w:rsid w:val="003825C8"/>
    <w:rsid w:val="0038267B"/>
    <w:rsid w:val="0038335B"/>
    <w:rsid w:val="00383738"/>
    <w:rsid w:val="00383B23"/>
    <w:rsid w:val="00384472"/>
    <w:rsid w:val="003949B6"/>
    <w:rsid w:val="003955E2"/>
    <w:rsid w:val="00397CA6"/>
    <w:rsid w:val="003A041A"/>
    <w:rsid w:val="003A6E80"/>
    <w:rsid w:val="003B22AE"/>
    <w:rsid w:val="003B2F63"/>
    <w:rsid w:val="003C09FA"/>
    <w:rsid w:val="003C0C75"/>
    <w:rsid w:val="003C23F3"/>
    <w:rsid w:val="003C2AE8"/>
    <w:rsid w:val="003C2EE0"/>
    <w:rsid w:val="003C5C3D"/>
    <w:rsid w:val="003D1162"/>
    <w:rsid w:val="003D6C89"/>
    <w:rsid w:val="003E033B"/>
    <w:rsid w:val="003E07EE"/>
    <w:rsid w:val="003E3B5E"/>
    <w:rsid w:val="003F0B74"/>
    <w:rsid w:val="003F1299"/>
    <w:rsid w:val="003F18F9"/>
    <w:rsid w:val="003F239B"/>
    <w:rsid w:val="003F6896"/>
    <w:rsid w:val="00400999"/>
    <w:rsid w:val="004101A0"/>
    <w:rsid w:val="004103C7"/>
    <w:rsid w:val="00414C82"/>
    <w:rsid w:val="00420E39"/>
    <w:rsid w:val="004237DA"/>
    <w:rsid w:val="0042541E"/>
    <w:rsid w:val="00425ABB"/>
    <w:rsid w:val="004267A8"/>
    <w:rsid w:val="00433C15"/>
    <w:rsid w:val="0043579A"/>
    <w:rsid w:val="004371DC"/>
    <w:rsid w:val="004454E9"/>
    <w:rsid w:val="00445832"/>
    <w:rsid w:val="00446B5A"/>
    <w:rsid w:val="0045332F"/>
    <w:rsid w:val="004534A7"/>
    <w:rsid w:val="0045461E"/>
    <w:rsid w:val="00456EB8"/>
    <w:rsid w:val="00462D1F"/>
    <w:rsid w:val="00463258"/>
    <w:rsid w:val="00464721"/>
    <w:rsid w:val="004657DB"/>
    <w:rsid w:val="00471077"/>
    <w:rsid w:val="0047267A"/>
    <w:rsid w:val="00473547"/>
    <w:rsid w:val="00475499"/>
    <w:rsid w:val="00476712"/>
    <w:rsid w:val="004804C3"/>
    <w:rsid w:val="00483CD2"/>
    <w:rsid w:val="00483E13"/>
    <w:rsid w:val="00487E3F"/>
    <w:rsid w:val="00495696"/>
    <w:rsid w:val="00497CE9"/>
    <w:rsid w:val="004A022B"/>
    <w:rsid w:val="004A3636"/>
    <w:rsid w:val="004A58E4"/>
    <w:rsid w:val="004A65D8"/>
    <w:rsid w:val="004A7323"/>
    <w:rsid w:val="004A7759"/>
    <w:rsid w:val="004B07FD"/>
    <w:rsid w:val="004B24EE"/>
    <w:rsid w:val="004B452E"/>
    <w:rsid w:val="004B555F"/>
    <w:rsid w:val="004B6C72"/>
    <w:rsid w:val="004B6CAC"/>
    <w:rsid w:val="004B742F"/>
    <w:rsid w:val="004C03E0"/>
    <w:rsid w:val="004C1CFB"/>
    <w:rsid w:val="004C1EFF"/>
    <w:rsid w:val="004C3068"/>
    <w:rsid w:val="004C5A95"/>
    <w:rsid w:val="004D257C"/>
    <w:rsid w:val="004D2B45"/>
    <w:rsid w:val="004D7A3B"/>
    <w:rsid w:val="004E0EAD"/>
    <w:rsid w:val="004E696E"/>
    <w:rsid w:val="004F16D7"/>
    <w:rsid w:val="004F75D8"/>
    <w:rsid w:val="00502636"/>
    <w:rsid w:val="0050679B"/>
    <w:rsid w:val="005113C3"/>
    <w:rsid w:val="00513CEC"/>
    <w:rsid w:val="005157CE"/>
    <w:rsid w:val="005243EB"/>
    <w:rsid w:val="005354F3"/>
    <w:rsid w:val="00536992"/>
    <w:rsid w:val="005370C9"/>
    <w:rsid w:val="00537504"/>
    <w:rsid w:val="00540733"/>
    <w:rsid w:val="00540DC7"/>
    <w:rsid w:val="00540E16"/>
    <w:rsid w:val="00540E1F"/>
    <w:rsid w:val="0054431F"/>
    <w:rsid w:val="00545E6B"/>
    <w:rsid w:val="00547541"/>
    <w:rsid w:val="00552C33"/>
    <w:rsid w:val="00562359"/>
    <w:rsid w:val="005624A7"/>
    <w:rsid w:val="0056718F"/>
    <w:rsid w:val="00570BE4"/>
    <w:rsid w:val="00571F6D"/>
    <w:rsid w:val="00572E21"/>
    <w:rsid w:val="00573E33"/>
    <w:rsid w:val="0058007F"/>
    <w:rsid w:val="005800BC"/>
    <w:rsid w:val="00580BAD"/>
    <w:rsid w:val="00581C4A"/>
    <w:rsid w:val="00587856"/>
    <w:rsid w:val="00590B7F"/>
    <w:rsid w:val="005917FD"/>
    <w:rsid w:val="0059385F"/>
    <w:rsid w:val="00594590"/>
    <w:rsid w:val="00594FC5"/>
    <w:rsid w:val="005954CD"/>
    <w:rsid w:val="00596534"/>
    <w:rsid w:val="00597B02"/>
    <w:rsid w:val="005A209C"/>
    <w:rsid w:val="005A4BD1"/>
    <w:rsid w:val="005B1B3C"/>
    <w:rsid w:val="005B2954"/>
    <w:rsid w:val="005B2BBE"/>
    <w:rsid w:val="005C46A1"/>
    <w:rsid w:val="005C69F5"/>
    <w:rsid w:val="005C776B"/>
    <w:rsid w:val="005D23D6"/>
    <w:rsid w:val="005D4C2C"/>
    <w:rsid w:val="005E2EAC"/>
    <w:rsid w:val="005E5387"/>
    <w:rsid w:val="005E6AB6"/>
    <w:rsid w:val="005F07DC"/>
    <w:rsid w:val="005F0AB2"/>
    <w:rsid w:val="005F1228"/>
    <w:rsid w:val="005F13DF"/>
    <w:rsid w:val="005F4A47"/>
    <w:rsid w:val="005F67D7"/>
    <w:rsid w:val="005F6C35"/>
    <w:rsid w:val="005F7768"/>
    <w:rsid w:val="0060118F"/>
    <w:rsid w:val="0060335E"/>
    <w:rsid w:val="006048C6"/>
    <w:rsid w:val="006071DC"/>
    <w:rsid w:val="006108B6"/>
    <w:rsid w:val="0061119D"/>
    <w:rsid w:val="00611ECD"/>
    <w:rsid w:val="006128AB"/>
    <w:rsid w:val="00613476"/>
    <w:rsid w:val="00614BF4"/>
    <w:rsid w:val="00622FFD"/>
    <w:rsid w:val="0062431B"/>
    <w:rsid w:val="00627563"/>
    <w:rsid w:val="0063054C"/>
    <w:rsid w:val="00634B9F"/>
    <w:rsid w:val="00636D91"/>
    <w:rsid w:val="00637B70"/>
    <w:rsid w:val="00640C9F"/>
    <w:rsid w:val="00641FFD"/>
    <w:rsid w:val="00643991"/>
    <w:rsid w:val="00645D20"/>
    <w:rsid w:val="00651038"/>
    <w:rsid w:val="00652212"/>
    <w:rsid w:val="006541BF"/>
    <w:rsid w:val="00654E08"/>
    <w:rsid w:val="006557D9"/>
    <w:rsid w:val="0065673E"/>
    <w:rsid w:val="006577F4"/>
    <w:rsid w:val="00662D4B"/>
    <w:rsid w:val="00673207"/>
    <w:rsid w:val="006773B2"/>
    <w:rsid w:val="00680E61"/>
    <w:rsid w:val="00694D76"/>
    <w:rsid w:val="00695031"/>
    <w:rsid w:val="006A1CE4"/>
    <w:rsid w:val="006A3FB9"/>
    <w:rsid w:val="006A413D"/>
    <w:rsid w:val="006A63BE"/>
    <w:rsid w:val="006A6706"/>
    <w:rsid w:val="006B1159"/>
    <w:rsid w:val="006B5456"/>
    <w:rsid w:val="006B5F73"/>
    <w:rsid w:val="006C0170"/>
    <w:rsid w:val="006C064E"/>
    <w:rsid w:val="006C0BB0"/>
    <w:rsid w:val="006C30EA"/>
    <w:rsid w:val="006C3CF9"/>
    <w:rsid w:val="006D1F4D"/>
    <w:rsid w:val="006D22E8"/>
    <w:rsid w:val="006D3825"/>
    <w:rsid w:val="006D3E0A"/>
    <w:rsid w:val="006D41C7"/>
    <w:rsid w:val="006D5487"/>
    <w:rsid w:val="006D6243"/>
    <w:rsid w:val="006E2968"/>
    <w:rsid w:val="006E3E6E"/>
    <w:rsid w:val="006E4CC6"/>
    <w:rsid w:val="006E5E19"/>
    <w:rsid w:val="006E615B"/>
    <w:rsid w:val="006E7304"/>
    <w:rsid w:val="006E7906"/>
    <w:rsid w:val="006E7ACD"/>
    <w:rsid w:val="006F11BD"/>
    <w:rsid w:val="006F50BA"/>
    <w:rsid w:val="006F5C7A"/>
    <w:rsid w:val="006F692F"/>
    <w:rsid w:val="006F7243"/>
    <w:rsid w:val="007029ED"/>
    <w:rsid w:val="007030AB"/>
    <w:rsid w:val="007036CB"/>
    <w:rsid w:val="007048B0"/>
    <w:rsid w:val="0070705A"/>
    <w:rsid w:val="0071136C"/>
    <w:rsid w:val="007200BB"/>
    <w:rsid w:val="00722F0E"/>
    <w:rsid w:val="00727633"/>
    <w:rsid w:val="0073518B"/>
    <w:rsid w:val="00737A2F"/>
    <w:rsid w:val="00743747"/>
    <w:rsid w:val="0074417F"/>
    <w:rsid w:val="0074435F"/>
    <w:rsid w:val="00745E42"/>
    <w:rsid w:val="0074741F"/>
    <w:rsid w:val="00747AB4"/>
    <w:rsid w:val="00753C89"/>
    <w:rsid w:val="00757861"/>
    <w:rsid w:val="007617F0"/>
    <w:rsid w:val="00765E83"/>
    <w:rsid w:val="00765F8A"/>
    <w:rsid w:val="007664A9"/>
    <w:rsid w:val="00770B04"/>
    <w:rsid w:val="007715A5"/>
    <w:rsid w:val="00771B75"/>
    <w:rsid w:val="00772A8A"/>
    <w:rsid w:val="00787D71"/>
    <w:rsid w:val="00790388"/>
    <w:rsid w:val="00790917"/>
    <w:rsid w:val="007943BE"/>
    <w:rsid w:val="00794F0B"/>
    <w:rsid w:val="007A14FC"/>
    <w:rsid w:val="007B227D"/>
    <w:rsid w:val="007B28A4"/>
    <w:rsid w:val="007B42FA"/>
    <w:rsid w:val="007B43CB"/>
    <w:rsid w:val="007C3A13"/>
    <w:rsid w:val="007C4272"/>
    <w:rsid w:val="007D168D"/>
    <w:rsid w:val="007D4817"/>
    <w:rsid w:val="007D65F3"/>
    <w:rsid w:val="007E117E"/>
    <w:rsid w:val="007E241A"/>
    <w:rsid w:val="007E6BFD"/>
    <w:rsid w:val="007F4EC3"/>
    <w:rsid w:val="007F544A"/>
    <w:rsid w:val="007F6EAF"/>
    <w:rsid w:val="008057E0"/>
    <w:rsid w:val="00817216"/>
    <w:rsid w:val="00821FAE"/>
    <w:rsid w:val="00822E2B"/>
    <w:rsid w:val="00826AC2"/>
    <w:rsid w:val="00827302"/>
    <w:rsid w:val="00827776"/>
    <w:rsid w:val="00832F25"/>
    <w:rsid w:val="00833B98"/>
    <w:rsid w:val="0083405B"/>
    <w:rsid w:val="00834538"/>
    <w:rsid w:val="00834BAC"/>
    <w:rsid w:val="0083546E"/>
    <w:rsid w:val="00837862"/>
    <w:rsid w:val="00837B30"/>
    <w:rsid w:val="00846AA3"/>
    <w:rsid w:val="00846E16"/>
    <w:rsid w:val="008528DC"/>
    <w:rsid w:val="00852D4D"/>
    <w:rsid w:val="008553C0"/>
    <w:rsid w:val="00857898"/>
    <w:rsid w:val="008612F7"/>
    <w:rsid w:val="008623CD"/>
    <w:rsid w:val="008650CB"/>
    <w:rsid w:val="008672B6"/>
    <w:rsid w:val="008815E6"/>
    <w:rsid w:val="00885C0E"/>
    <w:rsid w:val="008902AC"/>
    <w:rsid w:val="00890461"/>
    <w:rsid w:val="0089232B"/>
    <w:rsid w:val="008968EC"/>
    <w:rsid w:val="008A0AA4"/>
    <w:rsid w:val="008A0E40"/>
    <w:rsid w:val="008A2F27"/>
    <w:rsid w:val="008A4B73"/>
    <w:rsid w:val="008A599E"/>
    <w:rsid w:val="008A62A3"/>
    <w:rsid w:val="008A7A7F"/>
    <w:rsid w:val="008B26FB"/>
    <w:rsid w:val="008C35D3"/>
    <w:rsid w:val="008C3BF9"/>
    <w:rsid w:val="008D111D"/>
    <w:rsid w:val="008D35B2"/>
    <w:rsid w:val="008D7EB1"/>
    <w:rsid w:val="008E151F"/>
    <w:rsid w:val="008E1C98"/>
    <w:rsid w:val="008E31BF"/>
    <w:rsid w:val="008E4348"/>
    <w:rsid w:val="008E52E6"/>
    <w:rsid w:val="008E5A61"/>
    <w:rsid w:val="008E7057"/>
    <w:rsid w:val="008F1A51"/>
    <w:rsid w:val="008F3B1C"/>
    <w:rsid w:val="008F4985"/>
    <w:rsid w:val="008F4D0D"/>
    <w:rsid w:val="008F508B"/>
    <w:rsid w:val="008F5171"/>
    <w:rsid w:val="00901C22"/>
    <w:rsid w:val="00903EC2"/>
    <w:rsid w:val="00907D7F"/>
    <w:rsid w:val="00907F12"/>
    <w:rsid w:val="009160F8"/>
    <w:rsid w:val="00921D9B"/>
    <w:rsid w:val="00923090"/>
    <w:rsid w:val="00923AAC"/>
    <w:rsid w:val="00930A17"/>
    <w:rsid w:val="00930F30"/>
    <w:rsid w:val="00933898"/>
    <w:rsid w:val="00935BCD"/>
    <w:rsid w:val="00940F9D"/>
    <w:rsid w:val="00943CBE"/>
    <w:rsid w:val="0094677C"/>
    <w:rsid w:val="00946F6A"/>
    <w:rsid w:val="00954B7B"/>
    <w:rsid w:val="009571D2"/>
    <w:rsid w:val="00957CAA"/>
    <w:rsid w:val="00960B28"/>
    <w:rsid w:val="00961106"/>
    <w:rsid w:val="0096679C"/>
    <w:rsid w:val="00967F79"/>
    <w:rsid w:val="00972C23"/>
    <w:rsid w:val="00980536"/>
    <w:rsid w:val="00980EB3"/>
    <w:rsid w:val="00982578"/>
    <w:rsid w:val="009878F0"/>
    <w:rsid w:val="00990B3F"/>
    <w:rsid w:val="00993AB2"/>
    <w:rsid w:val="009944C7"/>
    <w:rsid w:val="009952CC"/>
    <w:rsid w:val="009A16E9"/>
    <w:rsid w:val="009A4B0C"/>
    <w:rsid w:val="009A535F"/>
    <w:rsid w:val="009B5203"/>
    <w:rsid w:val="009B55AB"/>
    <w:rsid w:val="009C0459"/>
    <w:rsid w:val="009C196F"/>
    <w:rsid w:val="009C36E1"/>
    <w:rsid w:val="009C37F2"/>
    <w:rsid w:val="009C539A"/>
    <w:rsid w:val="009C6F96"/>
    <w:rsid w:val="009C75AB"/>
    <w:rsid w:val="009D0B43"/>
    <w:rsid w:val="009D1BF9"/>
    <w:rsid w:val="009D1F8B"/>
    <w:rsid w:val="009D3416"/>
    <w:rsid w:val="009D352B"/>
    <w:rsid w:val="009D4E32"/>
    <w:rsid w:val="009E0A96"/>
    <w:rsid w:val="009E3532"/>
    <w:rsid w:val="009E78FF"/>
    <w:rsid w:val="009F119D"/>
    <w:rsid w:val="009F7387"/>
    <w:rsid w:val="00A01021"/>
    <w:rsid w:val="00A03A0F"/>
    <w:rsid w:val="00A07C16"/>
    <w:rsid w:val="00A07E4A"/>
    <w:rsid w:val="00A1518F"/>
    <w:rsid w:val="00A163DF"/>
    <w:rsid w:val="00A2073A"/>
    <w:rsid w:val="00A2300D"/>
    <w:rsid w:val="00A24071"/>
    <w:rsid w:val="00A24242"/>
    <w:rsid w:val="00A243D1"/>
    <w:rsid w:val="00A26961"/>
    <w:rsid w:val="00A2782B"/>
    <w:rsid w:val="00A30C52"/>
    <w:rsid w:val="00A336CA"/>
    <w:rsid w:val="00A34E7C"/>
    <w:rsid w:val="00A37EEB"/>
    <w:rsid w:val="00A40314"/>
    <w:rsid w:val="00A41561"/>
    <w:rsid w:val="00A44A0A"/>
    <w:rsid w:val="00A4680D"/>
    <w:rsid w:val="00A46869"/>
    <w:rsid w:val="00A47E4D"/>
    <w:rsid w:val="00A61F37"/>
    <w:rsid w:val="00A638FA"/>
    <w:rsid w:val="00A653F7"/>
    <w:rsid w:val="00A7053A"/>
    <w:rsid w:val="00A71061"/>
    <w:rsid w:val="00A7133C"/>
    <w:rsid w:val="00A71BFC"/>
    <w:rsid w:val="00A75744"/>
    <w:rsid w:val="00A75C8D"/>
    <w:rsid w:val="00A75D73"/>
    <w:rsid w:val="00A75F51"/>
    <w:rsid w:val="00A77615"/>
    <w:rsid w:val="00A77EDA"/>
    <w:rsid w:val="00A85107"/>
    <w:rsid w:val="00A8619A"/>
    <w:rsid w:val="00A8797A"/>
    <w:rsid w:val="00A94507"/>
    <w:rsid w:val="00A95D49"/>
    <w:rsid w:val="00AA0B68"/>
    <w:rsid w:val="00AA0B95"/>
    <w:rsid w:val="00AA135B"/>
    <w:rsid w:val="00AA3D62"/>
    <w:rsid w:val="00AA46A4"/>
    <w:rsid w:val="00AB1216"/>
    <w:rsid w:val="00AB5278"/>
    <w:rsid w:val="00AB652D"/>
    <w:rsid w:val="00AB6FE4"/>
    <w:rsid w:val="00AC081A"/>
    <w:rsid w:val="00AC0B21"/>
    <w:rsid w:val="00AC424C"/>
    <w:rsid w:val="00AC5C3D"/>
    <w:rsid w:val="00AC6C50"/>
    <w:rsid w:val="00AC73F0"/>
    <w:rsid w:val="00AD12AC"/>
    <w:rsid w:val="00AD1436"/>
    <w:rsid w:val="00AD452D"/>
    <w:rsid w:val="00AD5582"/>
    <w:rsid w:val="00AD7235"/>
    <w:rsid w:val="00AE1280"/>
    <w:rsid w:val="00AE2E8F"/>
    <w:rsid w:val="00AE7129"/>
    <w:rsid w:val="00AF083D"/>
    <w:rsid w:val="00AF4739"/>
    <w:rsid w:val="00AF5FFA"/>
    <w:rsid w:val="00B05A53"/>
    <w:rsid w:val="00B05F87"/>
    <w:rsid w:val="00B1477A"/>
    <w:rsid w:val="00B1545F"/>
    <w:rsid w:val="00B1569F"/>
    <w:rsid w:val="00B167E3"/>
    <w:rsid w:val="00B17980"/>
    <w:rsid w:val="00B32756"/>
    <w:rsid w:val="00B32EE4"/>
    <w:rsid w:val="00B37789"/>
    <w:rsid w:val="00B40E63"/>
    <w:rsid w:val="00B440ED"/>
    <w:rsid w:val="00B45143"/>
    <w:rsid w:val="00B458F8"/>
    <w:rsid w:val="00B47721"/>
    <w:rsid w:val="00B52641"/>
    <w:rsid w:val="00B56B4E"/>
    <w:rsid w:val="00B57E8E"/>
    <w:rsid w:val="00B66418"/>
    <w:rsid w:val="00B77CB3"/>
    <w:rsid w:val="00B81F5D"/>
    <w:rsid w:val="00B84320"/>
    <w:rsid w:val="00B900AA"/>
    <w:rsid w:val="00B913C3"/>
    <w:rsid w:val="00B934D6"/>
    <w:rsid w:val="00B948AD"/>
    <w:rsid w:val="00BA0203"/>
    <w:rsid w:val="00BA0A15"/>
    <w:rsid w:val="00BA1085"/>
    <w:rsid w:val="00BA1DEC"/>
    <w:rsid w:val="00BA3629"/>
    <w:rsid w:val="00BA5133"/>
    <w:rsid w:val="00BB165A"/>
    <w:rsid w:val="00BB4A78"/>
    <w:rsid w:val="00BB5C0E"/>
    <w:rsid w:val="00BB7CBE"/>
    <w:rsid w:val="00BC0B85"/>
    <w:rsid w:val="00BC0FF7"/>
    <w:rsid w:val="00BC777F"/>
    <w:rsid w:val="00BD2BDF"/>
    <w:rsid w:val="00BD3E7A"/>
    <w:rsid w:val="00BD4BF2"/>
    <w:rsid w:val="00BD571D"/>
    <w:rsid w:val="00BD6C8E"/>
    <w:rsid w:val="00BE12AC"/>
    <w:rsid w:val="00BE1AB9"/>
    <w:rsid w:val="00BE31EF"/>
    <w:rsid w:val="00BE6770"/>
    <w:rsid w:val="00BF10E3"/>
    <w:rsid w:val="00BF2B04"/>
    <w:rsid w:val="00BF307D"/>
    <w:rsid w:val="00BF4912"/>
    <w:rsid w:val="00C00B2E"/>
    <w:rsid w:val="00C0108F"/>
    <w:rsid w:val="00C01EC6"/>
    <w:rsid w:val="00C033A4"/>
    <w:rsid w:val="00C0482D"/>
    <w:rsid w:val="00C10199"/>
    <w:rsid w:val="00C11390"/>
    <w:rsid w:val="00C1253E"/>
    <w:rsid w:val="00C13ED1"/>
    <w:rsid w:val="00C141F9"/>
    <w:rsid w:val="00C1471B"/>
    <w:rsid w:val="00C17F42"/>
    <w:rsid w:val="00C21883"/>
    <w:rsid w:val="00C21E54"/>
    <w:rsid w:val="00C23433"/>
    <w:rsid w:val="00C24302"/>
    <w:rsid w:val="00C31E68"/>
    <w:rsid w:val="00C331E4"/>
    <w:rsid w:val="00C35BCB"/>
    <w:rsid w:val="00C364BC"/>
    <w:rsid w:val="00C46D53"/>
    <w:rsid w:val="00C47C2E"/>
    <w:rsid w:val="00C47D79"/>
    <w:rsid w:val="00C51EEE"/>
    <w:rsid w:val="00C52DE0"/>
    <w:rsid w:val="00C5338D"/>
    <w:rsid w:val="00C53C25"/>
    <w:rsid w:val="00C5418B"/>
    <w:rsid w:val="00C550BD"/>
    <w:rsid w:val="00C56327"/>
    <w:rsid w:val="00C56846"/>
    <w:rsid w:val="00C569F6"/>
    <w:rsid w:val="00C6451C"/>
    <w:rsid w:val="00C64C6B"/>
    <w:rsid w:val="00C64F59"/>
    <w:rsid w:val="00C66BA0"/>
    <w:rsid w:val="00C75496"/>
    <w:rsid w:val="00C80BA3"/>
    <w:rsid w:val="00C832A1"/>
    <w:rsid w:val="00C906AE"/>
    <w:rsid w:val="00C915CF"/>
    <w:rsid w:val="00C92318"/>
    <w:rsid w:val="00C943E1"/>
    <w:rsid w:val="00C9537C"/>
    <w:rsid w:val="00CA158B"/>
    <w:rsid w:val="00CA3ABE"/>
    <w:rsid w:val="00CA4722"/>
    <w:rsid w:val="00CA585B"/>
    <w:rsid w:val="00CA77DA"/>
    <w:rsid w:val="00CB4103"/>
    <w:rsid w:val="00CB565B"/>
    <w:rsid w:val="00CB602F"/>
    <w:rsid w:val="00CB6613"/>
    <w:rsid w:val="00CC37DE"/>
    <w:rsid w:val="00CC46E4"/>
    <w:rsid w:val="00CC4C81"/>
    <w:rsid w:val="00CC5ABC"/>
    <w:rsid w:val="00CC7822"/>
    <w:rsid w:val="00CD073E"/>
    <w:rsid w:val="00CD32D7"/>
    <w:rsid w:val="00CD4856"/>
    <w:rsid w:val="00CD5A1F"/>
    <w:rsid w:val="00CE0CC9"/>
    <w:rsid w:val="00CE2179"/>
    <w:rsid w:val="00CE504D"/>
    <w:rsid w:val="00CE625B"/>
    <w:rsid w:val="00CF0302"/>
    <w:rsid w:val="00CF1361"/>
    <w:rsid w:val="00CF2A90"/>
    <w:rsid w:val="00CF3E4F"/>
    <w:rsid w:val="00D00675"/>
    <w:rsid w:val="00D03081"/>
    <w:rsid w:val="00D041B5"/>
    <w:rsid w:val="00D045EA"/>
    <w:rsid w:val="00D047DD"/>
    <w:rsid w:val="00D0481C"/>
    <w:rsid w:val="00D0543C"/>
    <w:rsid w:val="00D059F6"/>
    <w:rsid w:val="00D102F6"/>
    <w:rsid w:val="00D1051D"/>
    <w:rsid w:val="00D115A6"/>
    <w:rsid w:val="00D1227F"/>
    <w:rsid w:val="00D1246D"/>
    <w:rsid w:val="00D133F2"/>
    <w:rsid w:val="00D149C9"/>
    <w:rsid w:val="00D14B2A"/>
    <w:rsid w:val="00D1724A"/>
    <w:rsid w:val="00D17EC1"/>
    <w:rsid w:val="00D270B4"/>
    <w:rsid w:val="00D3003A"/>
    <w:rsid w:val="00D34B35"/>
    <w:rsid w:val="00D37600"/>
    <w:rsid w:val="00D412CE"/>
    <w:rsid w:val="00D45B31"/>
    <w:rsid w:val="00D46200"/>
    <w:rsid w:val="00D47200"/>
    <w:rsid w:val="00D512C9"/>
    <w:rsid w:val="00D53E98"/>
    <w:rsid w:val="00D57406"/>
    <w:rsid w:val="00D6206A"/>
    <w:rsid w:val="00D62FCF"/>
    <w:rsid w:val="00D650CD"/>
    <w:rsid w:val="00D6698C"/>
    <w:rsid w:val="00D679D4"/>
    <w:rsid w:val="00D71CC5"/>
    <w:rsid w:val="00D72C66"/>
    <w:rsid w:val="00D735ED"/>
    <w:rsid w:val="00D743C7"/>
    <w:rsid w:val="00D7598B"/>
    <w:rsid w:val="00D80B84"/>
    <w:rsid w:val="00D83C2C"/>
    <w:rsid w:val="00D8500B"/>
    <w:rsid w:val="00D85650"/>
    <w:rsid w:val="00D904B8"/>
    <w:rsid w:val="00D908AD"/>
    <w:rsid w:val="00D92DD9"/>
    <w:rsid w:val="00D96848"/>
    <w:rsid w:val="00DA12DE"/>
    <w:rsid w:val="00DA3DAD"/>
    <w:rsid w:val="00DA78A3"/>
    <w:rsid w:val="00DB46B3"/>
    <w:rsid w:val="00DB6F61"/>
    <w:rsid w:val="00DC3167"/>
    <w:rsid w:val="00DD0F36"/>
    <w:rsid w:val="00DD15DC"/>
    <w:rsid w:val="00DD30CE"/>
    <w:rsid w:val="00DD4130"/>
    <w:rsid w:val="00DD447E"/>
    <w:rsid w:val="00DD5C5A"/>
    <w:rsid w:val="00DD6C36"/>
    <w:rsid w:val="00DE4507"/>
    <w:rsid w:val="00DE5352"/>
    <w:rsid w:val="00DE68BD"/>
    <w:rsid w:val="00DE7132"/>
    <w:rsid w:val="00DE74A3"/>
    <w:rsid w:val="00DE7775"/>
    <w:rsid w:val="00DF01EB"/>
    <w:rsid w:val="00DF0351"/>
    <w:rsid w:val="00DF4047"/>
    <w:rsid w:val="00DF798E"/>
    <w:rsid w:val="00E0104F"/>
    <w:rsid w:val="00E012B3"/>
    <w:rsid w:val="00E02596"/>
    <w:rsid w:val="00E03ADB"/>
    <w:rsid w:val="00E0574F"/>
    <w:rsid w:val="00E063CD"/>
    <w:rsid w:val="00E06F2A"/>
    <w:rsid w:val="00E17175"/>
    <w:rsid w:val="00E20A99"/>
    <w:rsid w:val="00E22149"/>
    <w:rsid w:val="00E22C61"/>
    <w:rsid w:val="00E342B5"/>
    <w:rsid w:val="00E35886"/>
    <w:rsid w:val="00E36C0C"/>
    <w:rsid w:val="00E37872"/>
    <w:rsid w:val="00E37B2D"/>
    <w:rsid w:val="00E430AD"/>
    <w:rsid w:val="00E4358F"/>
    <w:rsid w:val="00E440AB"/>
    <w:rsid w:val="00E44984"/>
    <w:rsid w:val="00E50246"/>
    <w:rsid w:val="00E523ED"/>
    <w:rsid w:val="00E54619"/>
    <w:rsid w:val="00E56293"/>
    <w:rsid w:val="00E609F6"/>
    <w:rsid w:val="00E62380"/>
    <w:rsid w:val="00E624D1"/>
    <w:rsid w:val="00E63A34"/>
    <w:rsid w:val="00E65901"/>
    <w:rsid w:val="00E71779"/>
    <w:rsid w:val="00E71E28"/>
    <w:rsid w:val="00E727CB"/>
    <w:rsid w:val="00E72955"/>
    <w:rsid w:val="00E74C9E"/>
    <w:rsid w:val="00E7576F"/>
    <w:rsid w:val="00E7762E"/>
    <w:rsid w:val="00E80E8D"/>
    <w:rsid w:val="00E828D0"/>
    <w:rsid w:val="00E82A27"/>
    <w:rsid w:val="00E83F83"/>
    <w:rsid w:val="00E847AD"/>
    <w:rsid w:val="00E85701"/>
    <w:rsid w:val="00E85DF3"/>
    <w:rsid w:val="00E87802"/>
    <w:rsid w:val="00E87FDA"/>
    <w:rsid w:val="00E9185A"/>
    <w:rsid w:val="00E94683"/>
    <w:rsid w:val="00EA4178"/>
    <w:rsid w:val="00EA4457"/>
    <w:rsid w:val="00EA5047"/>
    <w:rsid w:val="00EA5CA0"/>
    <w:rsid w:val="00EA6903"/>
    <w:rsid w:val="00EB0F6C"/>
    <w:rsid w:val="00EB1753"/>
    <w:rsid w:val="00EB79D7"/>
    <w:rsid w:val="00EC1F6B"/>
    <w:rsid w:val="00EC424B"/>
    <w:rsid w:val="00ED6EEA"/>
    <w:rsid w:val="00ED7A74"/>
    <w:rsid w:val="00EE0088"/>
    <w:rsid w:val="00EE28D6"/>
    <w:rsid w:val="00EE336D"/>
    <w:rsid w:val="00EF0F4D"/>
    <w:rsid w:val="00EF59DF"/>
    <w:rsid w:val="00F02DD5"/>
    <w:rsid w:val="00F0560C"/>
    <w:rsid w:val="00F05A07"/>
    <w:rsid w:val="00F05B24"/>
    <w:rsid w:val="00F06A92"/>
    <w:rsid w:val="00F10C24"/>
    <w:rsid w:val="00F1476C"/>
    <w:rsid w:val="00F14BE0"/>
    <w:rsid w:val="00F1751A"/>
    <w:rsid w:val="00F20F37"/>
    <w:rsid w:val="00F24A98"/>
    <w:rsid w:val="00F24D9A"/>
    <w:rsid w:val="00F25F34"/>
    <w:rsid w:val="00F307C9"/>
    <w:rsid w:val="00F3268D"/>
    <w:rsid w:val="00F34ED8"/>
    <w:rsid w:val="00F37672"/>
    <w:rsid w:val="00F42A47"/>
    <w:rsid w:val="00F54742"/>
    <w:rsid w:val="00F6271F"/>
    <w:rsid w:val="00F62FAC"/>
    <w:rsid w:val="00F637D7"/>
    <w:rsid w:val="00F63DEF"/>
    <w:rsid w:val="00F71CDE"/>
    <w:rsid w:val="00F725A4"/>
    <w:rsid w:val="00F72924"/>
    <w:rsid w:val="00F73520"/>
    <w:rsid w:val="00F76212"/>
    <w:rsid w:val="00F77A92"/>
    <w:rsid w:val="00F81B6B"/>
    <w:rsid w:val="00F85452"/>
    <w:rsid w:val="00F85DB5"/>
    <w:rsid w:val="00F86C6E"/>
    <w:rsid w:val="00F87052"/>
    <w:rsid w:val="00F90855"/>
    <w:rsid w:val="00F92212"/>
    <w:rsid w:val="00F952C4"/>
    <w:rsid w:val="00F95D2C"/>
    <w:rsid w:val="00FA0EE2"/>
    <w:rsid w:val="00FA3008"/>
    <w:rsid w:val="00FA64CE"/>
    <w:rsid w:val="00FB28E7"/>
    <w:rsid w:val="00FB6F76"/>
    <w:rsid w:val="00FC0036"/>
    <w:rsid w:val="00FC4175"/>
    <w:rsid w:val="00FC697D"/>
    <w:rsid w:val="00FC7DB2"/>
    <w:rsid w:val="00FD312B"/>
    <w:rsid w:val="00FD60FD"/>
    <w:rsid w:val="00FD72D8"/>
    <w:rsid w:val="00FE34BE"/>
    <w:rsid w:val="00FE3B9D"/>
    <w:rsid w:val="00FE5841"/>
    <w:rsid w:val="00FE68E3"/>
    <w:rsid w:val="00FE71A5"/>
    <w:rsid w:val="00FE7AD6"/>
    <w:rsid w:val="00FF1F1A"/>
    <w:rsid w:val="00FF512F"/>
    <w:rsid w:val="00FF623C"/>
    <w:rsid w:val="00FF7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55CB"/>
  <w15:chartTrackingRefBased/>
  <w15:docId w15:val="{A6D7F5B2-0960-4B83-890B-99E3EC39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00"/>
    <w:rPr>
      <w:rFonts w:ascii="Segoe UI" w:hAnsi="Segoe UI" w:cs="Segoe UI"/>
      <w:sz w:val="18"/>
      <w:szCs w:val="18"/>
    </w:rPr>
  </w:style>
  <w:style w:type="table" w:styleId="TableGrid">
    <w:name w:val="Table Grid"/>
    <w:basedOn w:val="TableNormal"/>
    <w:uiPriority w:val="39"/>
    <w:rsid w:val="00090F0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6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677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8BD"/>
    <w:rPr>
      <w:sz w:val="16"/>
      <w:szCs w:val="16"/>
    </w:rPr>
  </w:style>
  <w:style w:type="paragraph" w:styleId="CommentText">
    <w:name w:val="annotation text"/>
    <w:basedOn w:val="Normal"/>
    <w:link w:val="CommentTextChar"/>
    <w:uiPriority w:val="99"/>
    <w:semiHidden/>
    <w:unhideWhenUsed/>
    <w:rsid w:val="00DE68BD"/>
    <w:pPr>
      <w:spacing w:line="240" w:lineRule="auto"/>
    </w:pPr>
    <w:rPr>
      <w:sz w:val="20"/>
      <w:szCs w:val="20"/>
    </w:rPr>
  </w:style>
  <w:style w:type="character" w:customStyle="1" w:styleId="CommentTextChar">
    <w:name w:val="Comment Text Char"/>
    <w:basedOn w:val="DefaultParagraphFont"/>
    <w:link w:val="CommentText"/>
    <w:uiPriority w:val="99"/>
    <w:semiHidden/>
    <w:rsid w:val="00DE68BD"/>
    <w:rPr>
      <w:sz w:val="20"/>
      <w:szCs w:val="20"/>
    </w:rPr>
  </w:style>
  <w:style w:type="paragraph" w:styleId="CommentSubject">
    <w:name w:val="annotation subject"/>
    <w:basedOn w:val="CommentText"/>
    <w:next w:val="CommentText"/>
    <w:link w:val="CommentSubjectChar"/>
    <w:uiPriority w:val="99"/>
    <w:semiHidden/>
    <w:unhideWhenUsed/>
    <w:rsid w:val="00DE68BD"/>
    <w:rPr>
      <w:b/>
      <w:bCs/>
    </w:rPr>
  </w:style>
  <w:style w:type="character" w:customStyle="1" w:styleId="CommentSubjectChar">
    <w:name w:val="Comment Subject Char"/>
    <w:basedOn w:val="CommentTextChar"/>
    <w:link w:val="CommentSubject"/>
    <w:uiPriority w:val="99"/>
    <w:semiHidden/>
    <w:rsid w:val="00DE68BD"/>
    <w:rPr>
      <w:b/>
      <w:bCs/>
      <w:sz w:val="20"/>
      <w:szCs w:val="20"/>
    </w:rPr>
  </w:style>
  <w:style w:type="paragraph" w:styleId="Revision">
    <w:name w:val="Revision"/>
    <w:hidden/>
    <w:uiPriority w:val="99"/>
    <w:semiHidden/>
    <w:rsid w:val="00123285"/>
    <w:pPr>
      <w:spacing w:after="0" w:line="240" w:lineRule="auto"/>
    </w:pPr>
  </w:style>
  <w:style w:type="table" w:customStyle="1" w:styleId="TableGrid2">
    <w:name w:val="Table Grid2"/>
    <w:basedOn w:val="TableNormal"/>
    <w:next w:val="TableGrid"/>
    <w:uiPriority w:val="59"/>
    <w:rsid w:val="00F24A98"/>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EE4"/>
    <w:rPr>
      <w:color w:val="0563C1" w:themeColor="hyperlink"/>
      <w:u w:val="single"/>
    </w:rPr>
  </w:style>
  <w:style w:type="character" w:customStyle="1" w:styleId="UnresolvedMention">
    <w:name w:val="Unresolved Mention"/>
    <w:basedOn w:val="DefaultParagraphFont"/>
    <w:uiPriority w:val="99"/>
    <w:semiHidden/>
    <w:unhideWhenUsed/>
    <w:rsid w:val="00B32EE4"/>
    <w:rPr>
      <w:color w:val="605E5C"/>
      <w:shd w:val="clear" w:color="auto" w:fill="E1DFDD"/>
    </w:rPr>
  </w:style>
  <w:style w:type="character" w:styleId="FollowedHyperlink">
    <w:name w:val="FollowedHyperlink"/>
    <w:basedOn w:val="DefaultParagraphFont"/>
    <w:uiPriority w:val="99"/>
    <w:semiHidden/>
    <w:unhideWhenUsed/>
    <w:rsid w:val="00B32EE4"/>
    <w:rPr>
      <w:color w:val="954F72" w:themeColor="followedHyperlink"/>
      <w:u w:val="single"/>
    </w:rPr>
  </w:style>
  <w:style w:type="paragraph" w:styleId="Header">
    <w:name w:val="header"/>
    <w:basedOn w:val="Normal"/>
    <w:link w:val="HeaderChar"/>
    <w:uiPriority w:val="99"/>
    <w:unhideWhenUsed/>
    <w:rsid w:val="00A07C16"/>
    <w:pPr>
      <w:tabs>
        <w:tab w:val="center" w:pos="4252"/>
        <w:tab w:val="right" w:pos="8504"/>
      </w:tabs>
      <w:spacing w:after="0" w:line="240" w:lineRule="auto"/>
    </w:pPr>
  </w:style>
  <w:style w:type="character" w:customStyle="1" w:styleId="HeaderChar">
    <w:name w:val="Header Char"/>
    <w:basedOn w:val="DefaultParagraphFont"/>
    <w:link w:val="Header"/>
    <w:uiPriority w:val="99"/>
    <w:rsid w:val="00A07C16"/>
  </w:style>
  <w:style w:type="paragraph" w:styleId="Footer">
    <w:name w:val="footer"/>
    <w:basedOn w:val="Normal"/>
    <w:link w:val="FooterChar"/>
    <w:uiPriority w:val="99"/>
    <w:unhideWhenUsed/>
    <w:rsid w:val="00A07C16"/>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7C16"/>
  </w:style>
  <w:style w:type="paragraph" w:styleId="NormalWeb">
    <w:name w:val="Normal (Web)"/>
    <w:basedOn w:val="Normal"/>
    <w:uiPriority w:val="99"/>
    <w:unhideWhenUsed/>
    <w:rsid w:val="005370C9"/>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CE17-C3FD-4E4F-80F9-29F4F3A8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4471</Words>
  <Characters>25485</Characters>
  <Application>Microsoft Office Word</Application>
  <DocSecurity>4</DocSecurity>
  <Lines>212</Lines>
  <Paragraphs>59</Paragraphs>
  <ScaleCrop>false</ScaleCrop>
  <HeadingPairs>
    <vt:vector size="6" baseType="variant">
      <vt:variant>
        <vt:lpstr>Title</vt:lpstr>
      </vt:variant>
      <vt:variant>
        <vt:i4>1</vt:i4>
      </vt:variant>
      <vt:variant>
        <vt:lpstr>Título</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dcterms:created xsi:type="dcterms:W3CDTF">2021-11-29T09:21:00Z</dcterms:created>
  <dcterms:modified xsi:type="dcterms:W3CDTF">2021-11-29T09:21:00Z</dcterms:modified>
</cp:coreProperties>
</file>