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92B53" w14:textId="77777777" w:rsidR="00F97FCE" w:rsidRPr="00E121E9" w:rsidRDefault="00534ED7">
      <w:pPr>
        <w:spacing w:line="480" w:lineRule="auto"/>
        <w:jc w:val="center"/>
        <w:rPr>
          <w:b/>
          <w:sz w:val="38"/>
          <w:szCs w:val="38"/>
        </w:rPr>
      </w:pPr>
      <w:bookmarkStart w:id="0" w:name="_Hlk72157614"/>
      <w:r w:rsidRPr="00E121E9">
        <w:rPr>
          <w:b/>
          <w:sz w:val="38"/>
          <w:szCs w:val="38"/>
        </w:rPr>
        <w:t>Auditory Brainstem Response Detection using Machine Learning: A Comparison with Statistical Detection Methods</w:t>
      </w:r>
    </w:p>
    <w:p w14:paraId="000FF908" w14:textId="77777777" w:rsidR="00F97FCE" w:rsidRPr="00E121E9" w:rsidRDefault="00534ED7">
      <w:pPr>
        <w:spacing w:line="480" w:lineRule="auto"/>
      </w:pPr>
      <w:r w:rsidRPr="00E121E9">
        <w:t xml:space="preserve">Richard M. McKearney </w:t>
      </w:r>
      <w:r w:rsidRPr="00E121E9">
        <w:rPr>
          <w:vertAlign w:val="superscript"/>
        </w:rPr>
        <w:t>1</w:t>
      </w:r>
      <w:r w:rsidRPr="00E121E9">
        <w:t>,</w:t>
      </w:r>
      <w:r w:rsidRPr="00E121E9">
        <w:rPr>
          <w:vertAlign w:val="superscript"/>
        </w:rPr>
        <w:t xml:space="preserve"> </w:t>
      </w:r>
      <w:r w:rsidRPr="00E121E9">
        <w:rPr>
          <w:rStyle w:val="il"/>
        </w:rPr>
        <w:t>ORCID</w:t>
      </w:r>
      <w:r w:rsidRPr="00E121E9">
        <w:t xml:space="preserve"> </w:t>
      </w:r>
      <w:proofErr w:type="spellStart"/>
      <w:r w:rsidRPr="00E121E9">
        <w:t>iD</w:t>
      </w:r>
      <w:proofErr w:type="spellEnd"/>
      <w:r w:rsidRPr="00E121E9">
        <w:t xml:space="preserve"> 0000-0001-7030-5617, Corresponding Author</w:t>
      </w:r>
    </w:p>
    <w:p w14:paraId="7FD14E44" w14:textId="77777777" w:rsidR="00F97FCE" w:rsidRPr="00E121E9" w:rsidRDefault="00534ED7">
      <w:pPr>
        <w:spacing w:line="480" w:lineRule="auto"/>
      </w:pPr>
      <w:r w:rsidRPr="00E121E9">
        <w:t xml:space="preserve">Steven L. Bell </w:t>
      </w:r>
      <w:r w:rsidRPr="00E121E9">
        <w:rPr>
          <w:vertAlign w:val="superscript"/>
        </w:rPr>
        <w:t>1</w:t>
      </w:r>
    </w:p>
    <w:p w14:paraId="1BB486E9" w14:textId="77777777" w:rsidR="00F97FCE" w:rsidRPr="00E121E9" w:rsidRDefault="00534ED7">
      <w:pPr>
        <w:spacing w:line="480" w:lineRule="auto"/>
      </w:pPr>
      <w:r w:rsidRPr="00E121E9">
        <w:t xml:space="preserve">Michael A. </w:t>
      </w:r>
      <w:proofErr w:type="spellStart"/>
      <w:r w:rsidRPr="00E121E9">
        <w:t>Chesnaye</w:t>
      </w:r>
      <w:proofErr w:type="spellEnd"/>
      <w:r w:rsidRPr="00E121E9">
        <w:t xml:space="preserve"> </w:t>
      </w:r>
      <w:r w:rsidRPr="00E121E9">
        <w:rPr>
          <w:vertAlign w:val="superscript"/>
        </w:rPr>
        <w:t>1</w:t>
      </w:r>
      <w:r w:rsidRPr="00E121E9">
        <w:t xml:space="preserve">, ORCID </w:t>
      </w:r>
      <w:proofErr w:type="spellStart"/>
      <w:r w:rsidRPr="00E121E9">
        <w:t>iD</w:t>
      </w:r>
      <w:proofErr w:type="spellEnd"/>
      <w:r w:rsidRPr="00E121E9">
        <w:t xml:space="preserve"> 0000-0001-9885-2655</w:t>
      </w:r>
    </w:p>
    <w:p w14:paraId="77A851A9" w14:textId="77777777" w:rsidR="00F97FCE" w:rsidRPr="00E121E9" w:rsidRDefault="00534ED7">
      <w:pPr>
        <w:spacing w:line="480" w:lineRule="auto"/>
      </w:pPr>
      <w:r w:rsidRPr="00E121E9">
        <w:t xml:space="preserve">David M. Simpson </w:t>
      </w:r>
      <w:r w:rsidRPr="00E121E9">
        <w:rPr>
          <w:vertAlign w:val="superscript"/>
        </w:rPr>
        <w:t>1</w:t>
      </w:r>
      <w:r w:rsidRPr="00E121E9">
        <w:t xml:space="preserve">, ORCID </w:t>
      </w:r>
      <w:proofErr w:type="spellStart"/>
      <w:r w:rsidRPr="00E121E9">
        <w:t>iD</w:t>
      </w:r>
      <w:proofErr w:type="spellEnd"/>
      <w:r w:rsidRPr="00E121E9">
        <w:t xml:space="preserve"> 0000-0001-9072-5088</w:t>
      </w:r>
    </w:p>
    <w:p w14:paraId="0F51C95E" w14:textId="77777777" w:rsidR="00F97FCE" w:rsidRPr="00E121E9" w:rsidRDefault="00F97FCE">
      <w:pPr>
        <w:spacing w:line="480" w:lineRule="auto"/>
      </w:pPr>
    </w:p>
    <w:p w14:paraId="4FA6D01F" w14:textId="77777777" w:rsidR="00F97FCE" w:rsidRPr="00E121E9" w:rsidRDefault="00534ED7">
      <w:pPr>
        <w:spacing w:line="480" w:lineRule="auto"/>
      </w:pPr>
      <w:r w:rsidRPr="00E121E9">
        <w:rPr>
          <w:vertAlign w:val="superscript"/>
        </w:rPr>
        <w:t>1</w:t>
      </w:r>
      <w:r w:rsidRPr="00E121E9">
        <w:t xml:space="preserve"> Institute of Sound and Vibration Research, Faculty of Engineering and Physical Sciences, University of Southampton, Southampton, UK.</w:t>
      </w:r>
    </w:p>
    <w:p w14:paraId="4D8B1F36" w14:textId="77777777" w:rsidR="00F97FCE" w:rsidRPr="00E121E9" w:rsidRDefault="00F97FCE">
      <w:pPr>
        <w:spacing w:line="480" w:lineRule="auto"/>
      </w:pPr>
    </w:p>
    <w:p w14:paraId="6D392E4F" w14:textId="77777777" w:rsidR="00F97FCE" w:rsidRPr="00E121E9" w:rsidRDefault="00534ED7">
      <w:pPr>
        <w:spacing w:line="480" w:lineRule="auto"/>
      </w:pPr>
      <w:r w:rsidRPr="00E121E9">
        <w:rPr>
          <w:b/>
          <w:bCs/>
        </w:rPr>
        <w:t>Financial disclosures/conflicts of interest:</w:t>
      </w:r>
      <w:r w:rsidRPr="00E121E9">
        <w:t xml:space="preserve"> This study was supported by a studentship from the University of Southampton. There are no conflicts of interest, financial, or otherwise. </w:t>
      </w:r>
    </w:p>
    <w:p w14:paraId="45B288C8" w14:textId="77777777" w:rsidR="00F97FCE" w:rsidRPr="00E121E9" w:rsidRDefault="00F97FCE">
      <w:pPr>
        <w:spacing w:line="480" w:lineRule="auto"/>
      </w:pPr>
    </w:p>
    <w:p w14:paraId="6D3632B3" w14:textId="77777777" w:rsidR="00F97FCE" w:rsidRPr="00E121E9" w:rsidRDefault="00534ED7">
      <w:pPr>
        <w:spacing w:line="480" w:lineRule="auto"/>
      </w:pPr>
      <w:r w:rsidRPr="00E121E9">
        <w:t xml:space="preserve">The ABR data that support the findings of this study are openly available in the University of Southampton Institutional Repository at </w:t>
      </w:r>
      <w:hyperlink r:id="rId8" w:history="1">
        <w:r w:rsidRPr="00E121E9">
          <w:rPr>
            <w:rStyle w:val="Hyperlink"/>
            <w:bCs/>
            <w:iCs/>
            <w:color w:val="auto"/>
          </w:rPr>
          <w:t>http://doi.org/10.5258/SOTON/D0168</w:t>
        </w:r>
      </w:hyperlink>
      <w:r w:rsidRPr="00E121E9">
        <w:rPr>
          <w:bCs/>
          <w:iCs/>
        </w:rPr>
        <w:t>.</w:t>
      </w:r>
    </w:p>
    <w:p w14:paraId="5343F942" w14:textId="77777777" w:rsidR="00F97FCE" w:rsidRPr="00E121E9" w:rsidRDefault="00F97FCE">
      <w:pPr>
        <w:spacing w:line="480" w:lineRule="auto"/>
      </w:pPr>
    </w:p>
    <w:p w14:paraId="71BE391B" w14:textId="77777777" w:rsidR="00F97FCE" w:rsidRPr="00E121E9" w:rsidRDefault="00534ED7">
      <w:pPr>
        <w:spacing w:line="480" w:lineRule="auto"/>
        <w:rPr>
          <w:b/>
          <w:bCs/>
        </w:rPr>
      </w:pPr>
      <w:r w:rsidRPr="00E121E9">
        <w:rPr>
          <w:b/>
          <w:bCs/>
        </w:rPr>
        <w:t>All correspondence should be addressed to:</w:t>
      </w:r>
    </w:p>
    <w:p w14:paraId="29A1C2BC" w14:textId="77777777" w:rsidR="00F97FCE" w:rsidRPr="00E121E9" w:rsidRDefault="00534ED7">
      <w:pPr>
        <w:spacing w:line="480" w:lineRule="auto"/>
      </w:pPr>
      <w:r w:rsidRPr="00E121E9">
        <w:t>Richard McKearney</w:t>
      </w:r>
    </w:p>
    <w:p w14:paraId="3DB87EF0" w14:textId="77777777" w:rsidR="00F97FCE" w:rsidRPr="00E121E9" w:rsidRDefault="00534ED7">
      <w:pPr>
        <w:spacing w:line="480" w:lineRule="auto"/>
      </w:pPr>
      <w:r w:rsidRPr="00E121E9">
        <w:t>Institute of Sound and Vibration Research</w:t>
      </w:r>
    </w:p>
    <w:p w14:paraId="69EA9274" w14:textId="77777777" w:rsidR="00F97FCE" w:rsidRPr="00E121E9" w:rsidRDefault="00534ED7">
      <w:pPr>
        <w:spacing w:line="480" w:lineRule="auto"/>
      </w:pPr>
      <w:r w:rsidRPr="00E121E9">
        <w:t>Faculty of Engineering and Physical Sciences</w:t>
      </w:r>
    </w:p>
    <w:p w14:paraId="6701611A" w14:textId="77777777" w:rsidR="00F97FCE" w:rsidRPr="00E121E9" w:rsidRDefault="00534ED7">
      <w:pPr>
        <w:spacing w:line="480" w:lineRule="auto"/>
      </w:pPr>
      <w:r w:rsidRPr="00E121E9">
        <w:t>University of Southampton</w:t>
      </w:r>
    </w:p>
    <w:p w14:paraId="3AF7110A" w14:textId="77777777" w:rsidR="00F97FCE" w:rsidRPr="00E121E9" w:rsidRDefault="00534ED7">
      <w:pPr>
        <w:spacing w:line="480" w:lineRule="auto"/>
      </w:pPr>
      <w:r w:rsidRPr="00E121E9">
        <w:t>SO17 1BJ</w:t>
      </w:r>
    </w:p>
    <w:p w14:paraId="33558A5F" w14:textId="77777777" w:rsidR="00F97FCE" w:rsidRPr="00E121E9" w:rsidRDefault="00534ED7">
      <w:pPr>
        <w:spacing w:line="480" w:lineRule="auto"/>
        <w:rPr>
          <w:rStyle w:val="Hyperlink"/>
          <w:color w:val="auto"/>
        </w:rPr>
      </w:pPr>
      <w:r w:rsidRPr="00E121E9">
        <w:t xml:space="preserve">Email:  </w:t>
      </w:r>
      <w:hyperlink r:id="rId9" w:history="1">
        <w:r w:rsidRPr="00E121E9">
          <w:rPr>
            <w:rStyle w:val="Hyperlink"/>
            <w:color w:val="auto"/>
          </w:rPr>
          <w:t>rm1n16@soton.ac.uk</w:t>
        </w:r>
      </w:hyperlink>
    </w:p>
    <w:p w14:paraId="73AA1AE7" w14:textId="77777777" w:rsidR="00F97FCE" w:rsidRPr="00E121E9" w:rsidRDefault="00534ED7">
      <w:pPr>
        <w:spacing w:line="480" w:lineRule="auto"/>
        <w:jc w:val="center"/>
        <w:rPr>
          <w:b/>
          <w:sz w:val="38"/>
          <w:szCs w:val="38"/>
        </w:rPr>
      </w:pPr>
      <w:r w:rsidRPr="00E121E9">
        <w:rPr>
          <w:b/>
          <w:sz w:val="32"/>
          <w:szCs w:val="32"/>
        </w:rPr>
        <w:lastRenderedPageBreak/>
        <w:t>Auditory Brainstem Response Detection using Machine Learning: A Comparison with Statistical Detection Techniques</w:t>
      </w:r>
    </w:p>
    <w:p w14:paraId="5FD6F931" w14:textId="77777777" w:rsidR="00F97FCE" w:rsidRPr="00E121E9" w:rsidRDefault="00534ED7">
      <w:pPr>
        <w:spacing w:line="480" w:lineRule="auto"/>
        <w:rPr>
          <w:b/>
        </w:rPr>
      </w:pPr>
      <w:r w:rsidRPr="00E121E9">
        <w:rPr>
          <w:b/>
        </w:rPr>
        <w:t>Abstract</w:t>
      </w:r>
    </w:p>
    <w:p w14:paraId="5522AE95" w14:textId="77777777" w:rsidR="00F97FCE" w:rsidRPr="00E121E9" w:rsidRDefault="00534ED7">
      <w:pPr>
        <w:spacing w:line="480" w:lineRule="auto"/>
      </w:pPr>
      <w:r w:rsidRPr="00E121E9">
        <w:t>OBJECTIVES: The primary objective of this study was to train and test machine learning algorithms to be able to detect accurately whether EEG data contains an ABR or not and recommend suitable machine learning methods. In addition, the performance of the best machine learning algorithm was compared to that of prominent statistical detection methods.</w:t>
      </w:r>
    </w:p>
    <w:p w14:paraId="2E90658B" w14:textId="77777777" w:rsidR="00F97FCE" w:rsidRPr="00E121E9" w:rsidRDefault="00534ED7">
      <w:pPr>
        <w:spacing w:line="480" w:lineRule="auto"/>
        <w:rPr>
          <w:bCs/>
          <w:i/>
        </w:rPr>
      </w:pPr>
      <w:r w:rsidRPr="00E121E9">
        <w:t xml:space="preserve">DESIGN: Four machine learning algorithms were trained and evaluated using nested k-fold cross-validation: a random forest, a convolutional long short-term memory network, a stacked ensemble, and a </w:t>
      </w:r>
      <w:r w:rsidRPr="00E121E9">
        <w:rPr>
          <w:bCs/>
        </w:rPr>
        <w:t>multilayer perceptron</w:t>
      </w:r>
      <w:r w:rsidRPr="00E121E9">
        <w:t>. The best method was evaluated on a separate test set and compared to conventional detection methods: Fsp, Fmp, q-sample uniform scores test, and Hotelling’s T</w:t>
      </w:r>
      <w:r w:rsidRPr="00E121E9">
        <w:rPr>
          <w:vertAlign w:val="superscript"/>
        </w:rPr>
        <w:t>2</w:t>
      </w:r>
      <w:r w:rsidRPr="00E121E9">
        <w:t xml:space="preserve"> test. The models were trained and tested on simulated data that were generated based on recorded ABRs collected from 12 normal-hearing participants and no-stimulus EEG data from 15 participants. Simulation allowed the ground truth of the data (‘response present’ or ‘response absent’) to be known.</w:t>
      </w:r>
    </w:p>
    <w:p w14:paraId="7494500C" w14:textId="77777777" w:rsidR="00F97FCE" w:rsidRPr="00E121E9" w:rsidRDefault="00534ED7">
      <w:pPr>
        <w:spacing w:line="480" w:lineRule="auto"/>
      </w:pPr>
      <w:r w:rsidRPr="00E121E9">
        <w:t>RESULTS: The sensitivity of the best machine learning algorithm, a stacked ensemble, was significantly greater than that of the conventional detection methods evaluated. The stacked ensemble, evaluated using a bootstrap approach, consistently achieved a high and stable level of specificity across ensemble sizes.</w:t>
      </w:r>
    </w:p>
    <w:p w14:paraId="78CFD24B" w14:textId="77777777" w:rsidR="00F97FCE" w:rsidRPr="00E121E9" w:rsidRDefault="00534ED7">
      <w:pPr>
        <w:spacing w:line="480" w:lineRule="auto"/>
      </w:pPr>
      <w:r w:rsidRPr="00E121E9">
        <w:t xml:space="preserve">CONCLUSIONS: The stacked ensemble model presented was more effective than conventional statistical ABR detection methods and the alternative machine learning approaches tested. The stacked ensemble detection method may have potential both in automated ABR screening devices as well as in evoked potential software, assisting clinicians in making decisions regarding a patient’s ABR threshold. Further assessment of the model’s </w:t>
      </w:r>
      <w:r w:rsidRPr="00E121E9">
        <w:lastRenderedPageBreak/>
        <w:t>generalizability using a large cohort of subject recorded data, including participants of different ages and hearing status, is a recommended next step.</w:t>
      </w:r>
    </w:p>
    <w:p w14:paraId="67C455A4" w14:textId="77777777" w:rsidR="00F97FCE" w:rsidRPr="00E121E9" w:rsidRDefault="00F97FCE">
      <w:pPr>
        <w:spacing w:line="480" w:lineRule="auto"/>
        <w:rPr>
          <w:b/>
        </w:rPr>
        <w:sectPr w:rsidR="00F97FCE" w:rsidRPr="00E121E9">
          <w:headerReference w:type="default" r:id="rId10"/>
          <w:footerReference w:type="default" r:id="rId11"/>
          <w:pgSz w:w="11906" w:h="16838"/>
          <w:pgMar w:top="1418" w:right="1418" w:bottom="1418" w:left="1418" w:header="709" w:footer="709" w:gutter="0"/>
          <w:pgNumType w:start="1"/>
          <w:cols w:space="708"/>
          <w:docGrid w:linePitch="360"/>
        </w:sectPr>
      </w:pPr>
    </w:p>
    <w:p w14:paraId="72165ED3" w14:textId="77777777" w:rsidR="00F97FCE" w:rsidRPr="00E121E9" w:rsidRDefault="00534ED7">
      <w:pPr>
        <w:spacing w:line="480" w:lineRule="auto"/>
        <w:rPr>
          <w:b/>
        </w:rPr>
      </w:pPr>
      <w:r w:rsidRPr="00E121E9">
        <w:rPr>
          <w:b/>
        </w:rPr>
        <w:lastRenderedPageBreak/>
        <w:t>Introduction</w:t>
      </w:r>
    </w:p>
    <w:p w14:paraId="5F40B438" w14:textId="77777777" w:rsidR="00F97FCE" w:rsidRPr="00E121E9" w:rsidRDefault="00534ED7">
      <w:pPr>
        <w:spacing w:line="480" w:lineRule="auto"/>
      </w:pPr>
      <w:r w:rsidRPr="00E121E9">
        <w:t xml:space="preserve">The Auditory Brainstem Response (ABR) consists of a series of peaks and troughs in the electroencephalogram (EEG) amplitude following an auditory stimulus, and is generated by various structures in the auditory brainstem pathway </w:t>
      </w:r>
      <w:r w:rsidRPr="00E121E9">
        <w:fldChar w:fldCharType="begin" w:fldLock="1"/>
      </w:r>
      <w:r w:rsidRPr="00E121E9">
        <w:instrText>ADDIN CSL_CITATION {"citationItems":[{"id":"ITEM-1","itemData":{"ISBN":"0205361048","abstract":"Authored by a leading clinical audiologist, the text is both complex and accessible, offering extensive review of test principles, protocols, and procedures for clinical application. The practical coverage of material includes guidelines for solving problems unique and common to the field and invites students to record, analyze, and interpret responses for various patient populations.\"--Jacket. 1. Overview of auditory neurophysiology : past, present, and future -- 2. Anatomy and physiology principles of auditory evoked responses -- 3. Introduction to auditory evoked response measurement -- 4. Electrocochleography : protocols and procedures -- 5. ECochG : clinical applications and populations -- 6. ABR parameters, protocols, and procedures -- 7. ABR analysis and interpretation -- 8. Frequency-specific auditory brainstem response (ABR) and auditory steady-state response (ASSR) -- 9. ABR : pediatric clinical applications and populations -- 10. ABR : adult diseases and disorders and clinical applications -- 11. Auditory middle latency response (AMLR) -- 12. Auditory late responses (ALRs) -- 13. P300 response.","author":[{"dropping-particle":"","family":"Hall","given":"James W.","non-dropping-particle":"","parse-names":false,"suffix":""}],"id":"ITEM-1","issued":{"date-parts":[["2007"]]},"number-of-pages":"750","publisher":"Pearson","publisher-place":"Boston","title":"New handbook of auditory evoked responses","type":"book"},"uris":["http://www.mendeley.com/documents/?uuid=3e432b9e-cb66-3b31-ae6b-4fe9e4d5277d"]}],"mendeley":{"formattedCitation":"(Hall, 2007)","plainTextFormattedCitation":"(Hall, 2007)","previouslyFormattedCitation":"(Hall, 2007)"},"properties":{"noteIndex":0},"schema":"https://github.com/citation-style-language/schema/raw/master/csl-citation.json"}</w:instrText>
      </w:r>
      <w:r w:rsidRPr="00E121E9">
        <w:fldChar w:fldCharType="separate"/>
      </w:r>
      <w:r w:rsidRPr="00E121E9">
        <w:t>(Hall, 2007)</w:t>
      </w:r>
      <w:r w:rsidRPr="00E121E9">
        <w:fldChar w:fldCharType="end"/>
      </w:r>
      <w:r w:rsidRPr="00E121E9">
        <w:t xml:space="preserve">. These peaks and troughs give the ABR its characteristic morphology. As ‘gold standard’ behavioral hearing thresholds are often predictable within a relatively close margin of the ABR threshold (±15 dB with a 90% confidence level for tone-pip stimuli) </w:t>
      </w:r>
      <w:r w:rsidRPr="00E121E9">
        <w:fldChar w:fldCharType="begin" w:fldLock="1"/>
      </w:r>
      <w:r w:rsidRPr="00E121E9">
        <w:instrText>ADDIN CSL_CITATION {"citationItems":[{"id":"ITEM-1","itemData":{"DOI":"10.1080/09593330903453228","ISSN":"0959-3330","abstract":"The goal of the present study was to determine, across a large number of studies and participants, the threshold estimation performance of the air-conducted tone-evoked auditory brainstem response (ABR) for adult and infant/child groups with either normal hearing or sensorineural hearing loss (SNHL). Overall, 32 studies were included in this meta-analysis, representing results from a total of 1 ,203 individual participants (i.e., 524 adults or older children, 679 infants or young children; 815 individuals with normal hearing; and 388 individuals with SNHL). Results indicate that tone-evoked ABR thresholds in individuals with normal hearing are typically 10 to 20 dB nHL. Tone-ABR thresholds in participants with SNHL are typically 5 to 15 dB higher than pure-tone behavioural thresholds in adult participants and from 10 dB lower to 10 dB higher than pure-tone behavioural thresholds in infants and young children. Importantly, threshold results are quite consistent across studies, and 95% confidence intervals are no larger than i5 dB. These results support the recommendation by current guidelines that tone-evoked ABR thresholds be used to guide the initial fitting of amplification in very young infants. Abrege La presente etude vise a determiner, parmi un grand nombre d'etudes et de participants, les seuils estimatifs des potentiels evoques auditifs en reponse a un stimulus tonal par conduction aerienne chez des groupes d'adultes et de poupons/enfants qui ont une audition norma le ou qui sont atteints d'une surdite de perception. Dans I'ensemble, 32 etudes ont ete incluses dans la presente meta-analyse, ce qui represente les resultats produits par 1 203 participants (a savoir 524 adultes ou enfants plus ages et 679 poupons ou jeunes enfants, 815 personnes ayant une ouIe normale et 388 personnes atteintes d'une surdite de perception). Les resultats indiquent que les seulls estimatifs des potentiels evoques auditifs en reponse a un stimulus tonal chez les gens ayant une ou'ie normale sont generalement de 10 a 20 dB nHL. Les seuils des potentiels evoques auditifs en reponse a un stimulus tonal chez les partiCipants atteints d'une surdite de perception s'etablissent en moyenne de 5 a 15 dB au-dela des seuils audiometriques des sons purs chez les adultes participants et entre 10 dB en-de!;a et 10 dB au-delil des seuils audiometriques des sons purs chez les bebes et les jeunes enfants. 11 est important de noter que les resultats des seuils sont assez uniformes dan…","author":[{"dropping-particle":"","family":"Stapells","given":"David R","non-dropping-particle":"","parse-names":false,"suffix":""}],"container-title":"La revue d'orthophonie et d'audiologie","id":"ITEM-1","issue":"2","issued":{"date-parts":[["2000"]]},"page":"74-83","title":"Threshold Estimation by the Tone-Evoked Auditory Brainstem Response: A Literature Meta-Analysis Evaluation du seuil de la surdite par la methode des potentiels evoques auditifs avec stimulus tonal: meta-analyse de la litterature","type":"article-journal","volume":"24"},"uris":["http://www.mendeley.com/documents/?uuid=5ba5e173-1628-3761-b66f-72433a35d6d5"]}],"mendeley":{"formattedCitation":"(Stapells, 2000)","plainTextFormattedCitation":"(Stapells, 2000)","previouslyFormattedCitation":"(Stapells, 2000)"},"properties":{"noteIndex":0},"schema":"https://github.com/citation-style-language/schema/raw/master/csl-citation.json"}</w:instrText>
      </w:r>
      <w:r w:rsidRPr="00E121E9">
        <w:fldChar w:fldCharType="separate"/>
      </w:r>
      <w:r w:rsidRPr="00E121E9">
        <w:t>(Stapells, 2000)</w:t>
      </w:r>
      <w:r w:rsidRPr="00E121E9">
        <w:fldChar w:fldCharType="end"/>
      </w:r>
      <w:r w:rsidRPr="00E121E9">
        <w:t xml:space="preserve">, the ABR is useful clinically in objective hearing evaluation when behavioral tests are difficult to carry out. The earliest documented human ABR recordings in the literature were by </w:t>
      </w:r>
      <w:r w:rsidRPr="00E121E9">
        <w:fldChar w:fldCharType="begin" w:fldLock="1"/>
      </w:r>
      <w:r w:rsidRPr="00E121E9">
        <w:instrText>ADDIN CSL_CITATION {"citationItems":[{"id":"ITEM-1","itemData":{"DOI":"10.1177/000348946707600211","ISSN":"19433572","abstract":"This study describes an averaging technique whereby cochlear action potentials may be recorded with extracochlear electrodes in humans. To the best of our knowledge, this is the first report of the recording of cochlear action potentials from extracochlear sources in humans. Their small amplitude makes averaging techniques necessary in order to increase the signal to noise ratio. Various control procedures showed that the responses were not electrical or microphonic artefacts. © 1967, SAGE Publications. All rights reserved.","author":[{"dropping-particle":"","family":"Sohmer","given":"Harvey","non-dropping-particle":"","parse-names":false,"suffix":""},{"dropping-particle":"","family":"Feinmesser","given":"Moshe","non-dropping-particle":"","parse-names":false,"suffix":""}],"container-title":"Annals of Otology, Rhinology &amp; Laryngology","id":"ITEM-1","issue":"2","issued":{"date-parts":[["1967","6","28"]]},"page":"427-435","publisher":"SAGE PublicationsSage CA: Los Angeles, CA","title":"Cochlear action potentials recorded from the external ear in man","type":"article-journal","volume":"76"},"uris":["http://www.mendeley.com/documents/?uuid=fbd4d156-dca9-3925-9e88-12a1359df0dc"]}],"mendeley":{"formattedCitation":"(Sohmer &amp; Feinmesser, 1967)","manualFormatting":"Sohmer &amp; Feinmesser (1967)","plainTextFormattedCitation":"(Sohmer &amp; Feinmesser, 1967)","previouslyFormattedCitation":"(Sohmer &amp; Feinmesser, 1967)"},"properties":{"noteIndex":0},"schema":"https://github.com/citation-style-language/schema/raw/master/csl-citation.json"}</w:instrText>
      </w:r>
      <w:r w:rsidRPr="00E121E9">
        <w:fldChar w:fldCharType="separate"/>
      </w:r>
      <w:r w:rsidRPr="00E121E9">
        <w:t>Sohmer &amp; Feinmesser (1967)</w:t>
      </w:r>
      <w:r w:rsidRPr="00E121E9">
        <w:fldChar w:fldCharType="end"/>
      </w:r>
      <w:r w:rsidRPr="00E121E9">
        <w:t xml:space="preserve"> and subsequently </w:t>
      </w:r>
      <w:r w:rsidRPr="00E121E9">
        <w:fldChar w:fldCharType="begin" w:fldLock="1"/>
      </w:r>
      <w:r w:rsidRPr="00E121E9">
        <w:instrText>ADDIN CSL_CITATION {"citationItems":[{"id":"ITEM-1","itemData":{"ISSN":"0036-8075","PMID":"5415287","abstract":"Auditory potentials recorded from the vertex of humans by a modified averaging technique have very short latencies and are probably generated by brain stem structures located at a considerable distance from the recording point. The evoked waves, which shOW considerable detail and consistency within and across subjects, may be clinically useful in evaluating subcortical function.","author":[{"dropping-particle":"","family":"Jewett","given":"D L","non-dropping-particle":"","parse-names":false,"suffix":""},{"dropping-particle":"","family":"Romano","given":"M N","non-dropping-particle":"","parse-names":false,"suffix":""},{"dropping-particle":"","family":"Williston","given":"J S","non-dropping-particle":"","parse-names":false,"suffix":""}],"container-title":"Science (New York, N.Y.)","id":"ITEM-1","issue":"3924","issued":{"date-parts":[["1970","3","13"]]},"page":"1517-8","title":"Human auditory evoked potentials: possible brain stem components detected on the scalp.","type":"article-journal","volume":"167"},"uris":["http://www.mendeley.com/documents/?uuid=84865d36-878b-3e80-9898-648c21b2974b"]}],"mendeley":{"formattedCitation":"(Jewett et al., 1970)","manualFormatting":"Jewett et al. (1970)","plainTextFormattedCitation":"(Jewett et al., 1970)","previouslyFormattedCitation":"(Jewett et al., 1970)"},"properties":{"noteIndex":0},"schema":"https://github.com/citation-style-language/schema/raw/master/csl-citation.json"}</w:instrText>
      </w:r>
      <w:r w:rsidRPr="00E121E9">
        <w:fldChar w:fldCharType="separate"/>
      </w:r>
      <w:r w:rsidRPr="00E121E9">
        <w:t>Jewett et al. (1970)</w:t>
      </w:r>
      <w:r w:rsidRPr="00E121E9">
        <w:fldChar w:fldCharType="end"/>
      </w:r>
      <w:r w:rsidRPr="00E121E9">
        <w:t xml:space="preserve"> who detected the evoked potential using a computer averaging technique and attributed the evoked response to the brainstem due to its short latency.</w:t>
      </w:r>
    </w:p>
    <w:p w14:paraId="504EB404" w14:textId="77777777" w:rsidR="00F97FCE" w:rsidRPr="00E121E9" w:rsidRDefault="00F97FCE">
      <w:pPr>
        <w:spacing w:line="480" w:lineRule="auto"/>
        <w:rPr>
          <w:b/>
          <w:i/>
        </w:rPr>
      </w:pPr>
    </w:p>
    <w:p w14:paraId="765CD7F7" w14:textId="77777777" w:rsidR="00F97FCE" w:rsidRPr="00E121E9" w:rsidRDefault="00534ED7">
      <w:pPr>
        <w:spacing w:line="480" w:lineRule="auto"/>
      </w:pPr>
      <w:r w:rsidRPr="00E121E9">
        <w:t xml:space="preserve">Interpretation of the ABR is reliant largely on the visual inspection of averaged waveforms by trained clinicians </w:t>
      </w:r>
      <w:r w:rsidRPr="00E121E9">
        <w:fldChar w:fldCharType="begin" w:fldLock="1"/>
      </w:r>
      <w:r w:rsidRPr="00E121E9">
        <w:instrText>ADDIN CSL_CITATION {"citationItems":[{"id":"ITEM-1","itemData":{"author":[{"dropping-particle":"","family":"British Society of Audiology","given":"","non-dropping-particle":"","parse-names":false,"suffix":""}],"id":"ITEM-1","issue":"February","issued":{"date-parts":[["2019"]]},"number-of-pages":"1-58","publisher":"British Society of Audiology","title":"Recommended Procedure: Auditory Brainstem Response (ABR) testing in Babies","type":"report"},"uris":["http://www.mendeley.com/documents/?uuid=7dfeddc0-8e95-488f-8260-94cbc56835b4"]}],"mendeley":{"formattedCitation":"(British Society of Audiology, 2019)","plainTextFormattedCitation":"(British Society of Audiology, 2019)","previouslyFormattedCitation":"(British Society of Audiology, 2019)"},"properties":{"noteIndex":0},"schema":"https://github.com/citation-style-language/schema/raw/master/csl-citation.json"}</w:instrText>
      </w:r>
      <w:r w:rsidRPr="00E121E9">
        <w:fldChar w:fldCharType="separate"/>
      </w:r>
      <w:r w:rsidRPr="00E121E9">
        <w:t>(British Society of Audiology, 2019)</w:t>
      </w:r>
      <w:r w:rsidRPr="00E121E9">
        <w:fldChar w:fldCharType="end"/>
      </w:r>
      <w:r w:rsidRPr="00E121E9">
        <w:t xml:space="preserve">, which is known to be highly variable </w:t>
      </w:r>
      <w:r w:rsidRPr="00E121E9">
        <w:fldChar w:fldCharType="begin" w:fldLock="1"/>
      </w:r>
      <w:r w:rsidRPr="00E121E9">
        <w:instrText>ADDIN CSL_CITATION {"citationItems":[{"id":"ITEM-1","itemData":{"ISSN":"1499-2027","PMID":"15515641","abstract":"Little research has been undertaken into the extent to which auditory brainstem response (ABR) threshold estimation varies between experienced professionals. In this paper, results are presented for 16 professionals who estimated ABR threshold for 12 sets of data in a computer simulation of the clinical test. The design differs from previous research in this area in that subjects had control over the creation of the set of traces from which they would estimate threshold, much as they would in the clinical situation. No agreement for threshold was found for any of the 12 sets of test data across the 16 subjects, and for nine of the sets, the difference between highest and lowest estimated threshold was 40 dB or greater. The maximum difference between highest and lowest estimated threshold was 60 dB. It is argued that the variability is not accounted for by experimental design. The implications for clinical practice are discussed.","author":[{"dropping-particle":"","family":"Vidler","given":"Michael","non-dropping-particle":"","parse-names":false,"suffix":""},{"dropping-particle":"","family":"Parker","given":"David","non-dropping-particle":"","parse-names":false,"suffix":""}],"container-title":"International journal of audiology","id":"ITEM-1","issue":"7","issued":{"date-parts":[["2004"]]},"page":"417-429","title":"Auditory brainstem response threshold estimation: subjective threshold estimation by experienced clinicians in a computer simulation of the clinical test.","type":"article-journal","volume":"43"},"uris":["http://www.mendeley.com/documents/?uuid=aea3a69e-5141-3715-b3ab-224437591ea2"]}],"mendeley":{"formattedCitation":"(Vidler &amp; Parker, 2004)","plainTextFormattedCitation":"(Vidler &amp; Parker, 2004)"},"properties":{"noteIndex":0},"schema":"https://github.com/citation-style-language/schema/raw/master/csl-citation.json"}</w:instrText>
      </w:r>
      <w:r w:rsidRPr="00E121E9">
        <w:fldChar w:fldCharType="separate"/>
      </w:r>
      <w:r w:rsidRPr="00E121E9">
        <w:t>(Vidler &amp; Parker, 2004)</w:t>
      </w:r>
      <w:r w:rsidRPr="00E121E9">
        <w:fldChar w:fldCharType="end"/>
      </w:r>
      <w:r w:rsidRPr="00E121E9">
        <w:t xml:space="preserve">. Machine learning allows computers to learn complex tasks which would typically require human intelligence and pattern-recognizing abilities to perform </w:t>
      </w:r>
      <w:r w:rsidRPr="00E121E9">
        <w:fldChar w:fldCharType="begin" w:fldLock="1"/>
      </w:r>
      <w:r w:rsidRPr="00E121E9">
        <w:instrText>ADDIN CSL_CITATION {"citationItems":[{"id":"ITEM-1","itemData":{"ISBN":"0070465738","author":[{"dropping-particle":"","family":"Nilsson","given":"Nils J","non-dropping-particle":"","parse-names":false,"suffix":""}],"id":"ITEM-1","issued":{"date-parts":[["1971"]]},"number-of-pages":"255","publisher":"McGraw-Hill","publisher-place":"New York, NY","title":"Problem-solving methods in artificial intelligence","type":"book"},"uris":["http://www.mendeley.com/documents/?uuid=cc0dc926-1f0d-3702-9cd1-10deca124bdd"]},{"id":"ITEM-2","itemData":{"DOI":"10.1080/14992027.2018.1551633","ISSN":"1499-2027","PMID":"30663907","abstract":"OBJECTIVE The objective of this study was to use machine learning in the form of a deep neural network to objectively classify paired auditory brainstem response waveforms into either: 'clear response', 'inconclusive' or 'response absent'. DESIGN A deep convolutional neural network was constructed and fine-tuned using stratified 10-fold cross-validation on 190 paired ABR waveforms. The final model was evaluated on a test set of 42 paired waveforms. STUDY SAMPLE The full dataset comprised 232 paired ABR waveforms recorded from eight normal-hearing individuals. The dataset was obtained from the PhysioBank database. The paired waveforms were independently labelled by two audiological scientists in order to train the network and evaluate its performance. RESULTS The trained neural network was able to classify paired ABR waveforms with 92.9% accuracy. The sensitivity and the specificity were 92.9% and 96.4%, respectively. CONCLUSIONS This neural network may have clinical utility in assisting clinicians with waveform classification for the purpose of hearing threshold estimation. Further evaluation using a large clinically obtained dataset would provide further validation with regard to the clinical potential of the neural network in diagnostic adult testing, newborn testing and in automated newborn hearing screening.","author":[{"dropping-particle":"","family":"McKearney","given":"Richard M.","non-dropping-particle":"","parse-names":false,"suffix":""},{"dropping-particle":"","family":"MacKinnon","given":"Robert C.","non-dropping-particle":"","parse-names":false,"suffix":""}],"container-title":"International Journal of Audiology","id":"ITEM-2","issue":"4","issued":{"date-parts":[["2019","4","3"]]},"page":"224-230","title":"Objective auditory brainstem response classification using machine learning","type":"article-journal","volume":"58"},"uris":["http://www.mendeley.com/documents/?uuid=06640d8d-520e-3c0f-bb0b-e25bb59deb4e"]}],"mendeley":{"formattedCitation":"(McKearney &amp; MacKinnon, 2019; Nilsson, 1971)","manualFormatting":"(Nilsson, 1971 in ","plainTextFormattedCitation":"(McKearney &amp; MacKinnon, 2019; Nilsson, 1971)","previouslyFormattedCitation":"(McKearney &amp; MacKinnon, 2019; Nilsson, 1971)"},"properties":{"noteIndex":0},"schema":"https://github.com/citation-style-language/schema/raw/master/csl-citation.json"}</w:instrText>
      </w:r>
      <w:r w:rsidRPr="00E121E9">
        <w:fldChar w:fldCharType="separate"/>
      </w:r>
      <w:r w:rsidRPr="00E121E9">
        <w:t xml:space="preserve">(Nilsson, 1971 in </w:t>
      </w:r>
      <w:r w:rsidRPr="00E121E9">
        <w:fldChar w:fldCharType="end"/>
      </w:r>
      <w:r w:rsidRPr="00E121E9">
        <w:fldChar w:fldCharType="begin" w:fldLock="1"/>
      </w:r>
      <w:r w:rsidRPr="00E121E9">
        <w:instrText>ADDIN CSL_CITATION {"citationItems":[{"id":"ITEM-1","itemData":{"DOI":"10.1080/14992027.2018.1551633","ISSN":"1499-2027","PMID":"30663907","abstract":"OBJECTIVE The objective of this study was to use machine learning in the form of a deep neural network to objectively classify paired auditory brainstem response waveforms into either: 'clear response', 'inconclusive' or 'response absent'. DESIGN A deep convolutional neural network was constructed and fine-tuned using stratified 10-fold cross-validation on 190 paired ABR waveforms. The final model was evaluated on a test set of 42 paired waveforms. STUDY SAMPLE The full dataset comprised 232 paired ABR waveforms recorded from eight normal-hearing individuals. The dataset was obtained from the PhysioBank database. The paired waveforms were independently labelled by two audiological scientists in order to train the network and evaluate its performance. RESULTS The trained neural network was able to classify paired ABR waveforms with 92.9% accuracy. The sensitivity and the specificity were 92.9% and 96.4%, respectively. CONCLUSIONS This neural network may have clinical utility in assisting clinicians with waveform classification for the purpose of hearing threshold estimation. Further evaluation using a large clinically obtained dataset would provide further validation with regard to the clinical potential of the neural network in diagnostic adult testing, newborn testing and in automated newborn hearing screening.","author":[{"dropping-particle":"","family":"McKearney","given":"Richard M.","non-dropping-particle":"","parse-names":false,"suffix":""},{"dropping-particle":"","family":"MacKinnon","given":"Robert C.","non-dropping-particle":"","parse-names":false,"suffix":""}],"container-title":"International Journal of Audiology","id":"ITEM-1","issue":"4","issued":{"date-parts":[["2019","4","3"]]},"page":"224-230","title":"Objective auditory brainstem response classification using machine learning","type":"article-journal","volume":"58"},"uris":["http://www.mendeley.com/documents/?uuid=06640d8d-520e-3c0f-bb0b-e25bb59deb4e"]}],"mendeley":{"formattedCitation":"(McKearney &amp; MacKinnon, 2019)","manualFormatting":"McKearney &amp; MacKinnon, 2019)","plainTextFormattedCitation":"(McKearney &amp; MacKinnon, 2019)","previouslyFormattedCitation":"(McKearney &amp; MacKinnon, 2019)"},"properties":{"noteIndex":0},"schema":"https://github.com/citation-style-language/schema/raw/master/csl-citation.json"}</w:instrText>
      </w:r>
      <w:r w:rsidRPr="00E121E9">
        <w:fldChar w:fldCharType="separate"/>
      </w:r>
      <w:r w:rsidRPr="00E121E9">
        <w:t>McKearney &amp; MacKinnon, 2019)</w:t>
      </w:r>
      <w:r w:rsidRPr="00E121E9">
        <w:fldChar w:fldCharType="end"/>
      </w:r>
      <w:r w:rsidRPr="00E121E9">
        <w:t xml:space="preserve">. Whilst statistical models are useful for inferring relationships between variables in order to make predictions based on certain statistical assumptions, machine learning algorithms attempt to maximize performance for any given task by mapping the variables to a specific outcome </w:t>
      </w:r>
      <w:r w:rsidRPr="00E121E9">
        <w:fldChar w:fldCharType="begin" w:fldLock="1"/>
      </w:r>
      <w:r w:rsidRPr="00E121E9">
        <w:instrText>ADDIN CSL_CITATION {"citationItems":[{"id":"ITEM-1","itemData":{"DOI":"10.1186/s12874-019-0681-4","ISSN":"14712288","abstract":"Background: Following visible successes on a wide range of predictive tasks, machine learning techniques are attracting substantial interest from medical researchers and clinicians. We address the need for capacity development in this area by providing a conceptual introduction to machine learning alongside a practical guide to developing and evaluating predictive algorithms using freely-available open source software and public domain data. Methods: We demonstrate the use of machine learning techniques by developing three predictive models for cancer diagnosis using descriptions of nuclei sampled from breast masses. These algorithms include regularized General Linear Model regression (GLMs), Support Vector Machines (SVMs) with a radial basis function kernel, and single-layer Artificial Neural Networks. The publicly-available dataset describing the breast mass samples (N=683) was randomly split into evaluation (n=456) and validation (n=227) samples. We trained algorithms on data from the evaluation sample before they were used to predict the diagnostic outcome in the validation dataset. We compared the predictions made on the validation datasets with the real-world diagnostic decisions to calculate the accuracy, sensitivity, and specificity of the three models. We explored the use of averaging and voting ensembles to improve predictive performance. We provide a step-by-step guide to developing algorithms using the open-source R statistical programming environment. Results: The trained algorithms were able to classify cell nuclei with high accuracy (.94 -.96), sensitivity (.97 -.99), and specificity (.85 -.94). Maximum accuracy (.96) and area under the curve (.97) was achieved using the SVM algorithm. Prediction performance increased marginally (accuracy =.97, sensitivity =.99, specificity =.95) when algorithms were arranged into a voting ensemble. Conclusions: We use a straightforward example to demonstrate the theory and practice of machine learning for clinicians and medical researchers. The principals which we demonstrate here can be readily applied to other complex tasks including natural language processing and image recognition.","author":[{"dropping-particle":"","family":"Sidey-Gibbons","given":"Jenni A.M.","non-dropping-particle":"","parse-names":false,"suffix":""},{"dropping-particle":"","family":"Sidey-Gibbons","given":"Chris J.","non-dropping-particle":"","parse-names":false,"suffix":""}],"container-title":"BMC Medical Research Methodology","id":"ITEM-1","issue":"1","issued":{"date-parts":[["2019","3","19"]]},"page":"64","publisher":"BioMed Central Ltd.","title":"Machine learning in medicine: a practical introduction","type":"article-journal","volume":"19"},"uris":["http://www.mendeley.com/documents/?uuid=a9f13cc8-4d1f-3b82-80e8-c4d6f064ae59"]}],"mendeley":{"formattedCitation":"(Sidey-Gibbons &amp; Sidey-Gibbons, 2019)","plainTextFormattedCitation":"(Sidey-Gibbons &amp; Sidey-Gibbons, 2019)","previouslyFormattedCitation":"(Sidey-Gibbons &amp; Sidey-Gibbons, 2019)"},"properties":{"noteIndex":0},"schema":"https://github.com/citation-style-language/schema/raw/master/csl-citation.json"}</w:instrText>
      </w:r>
      <w:r w:rsidRPr="00E121E9">
        <w:fldChar w:fldCharType="separate"/>
      </w:r>
      <w:r w:rsidRPr="00E121E9">
        <w:t>(Sidey-Gibbons &amp; Sidey-Gibbons, 2019)</w:t>
      </w:r>
      <w:r w:rsidRPr="00E121E9">
        <w:fldChar w:fldCharType="end"/>
      </w:r>
      <w:r w:rsidRPr="00E121E9">
        <w:t xml:space="preserve">. This can allow complex non-linear relationships to be identified between observations and outcomes. Machine learning algorithms are currently amongst the most powerful techniques available for detecting complex relationships between variables, and have been found to exceed human expert-level performance in numerous fields </w:t>
      </w:r>
      <w:r w:rsidRPr="00E121E9">
        <w:fldChar w:fldCharType="begin" w:fldLock="1"/>
      </w:r>
      <w:r w:rsidRPr="00E121E9">
        <w:instrText>ADDIN CSL_CITATION {"citationItems":[{"id":"ITEM-1","itemData":{"DOI":"10.1186/s12874-019-0681-4","ISSN":"14712288","abstract":"Background: Following visible successes on a wide range of predictive tasks, machine learning techniques are attracting substantial interest from medical researchers and clinicians. We address the need for capacity development in this area by providing a conceptual introduction to machine learning alongside a practical guide to developing and evaluating predictive algorithms using freely-available open source software and public domain data. Methods: We demonstrate the use of machine learning techniques by developing three predictive models for cancer diagnosis using descriptions of nuclei sampled from breast masses. These algorithms include regularized General Linear Model regression (GLMs), Support Vector Machines (SVMs) with a radial basis function kernel, and single-layer Artificial Neural Networks. The publicly-available dataset describing the breast mass samples (N=683) was randomly split into evaluation (n=456) and validation (n=227) samples. We trained algorithms on data from the evaluation sample before they were used to predict the diagnostic outcome in the validation dataset. We compared the predictions made on the validation datasets with the real-world diagnostic decisions to calculate the accuracy, sensitivity, and specificity of the three models. We explored the use of averaging and voting ensembles to improve predictive performance. We provide a step-by-step guide to developing algorithms using the open-source R statistical programming environment. Results: The trained algorithms were able to classify cell nuclei with high accuracy (.94 -.96), sensitivity (.97 -.99), and specificity (.85 -.94). Maximum accuracy (.96) and area under the curve (.97) was achieved using the SVM algorithm. Prediction performance increased marginally (accuracy =.97, sensitivity =.99, specificity =.95) when algorithms were arranged into a voting ensemble. Conclusions: We use a straightforward example to demonstrate the theory and practice of machine learning for clinicians and medical researchers. The principals which we demonstrate here can be readily applied to other complex tasks including natural language processing and image recognition.","author":[{"dropping-particle":"","family":"Sidey-Gibbons","given":"Jenni A.M.","non-dropping-particle":"","parse-names":false,"suffix":""},{"dropping-particle":"","family":"Sidey-Gibbons","given":"Chris J.","non-dropping-particle":"","parse-names":false,"suffix":""}],"container-title":"BMC Medical Research Methodology","id":"ITEM-1","issue":"1","issued":{"date-parts":[["2019","3","19"]]},"page":"64","publisher":"BioMed Central Ltd.","title":"Machine learning in medicine: a practical introduction","type":"article-journal","volume":"19"},"uris":["http://www.mendeley.com/documents/?uuid=a9f13cc8-4d1f-3b82-80e8-c4d6f064ae59"]}],"mendeley":{"formattedCitation":"(Sidey-Gibbons &amp; Sidey-Gibbons, 2019)","plainTextFormattedCitation":"(Sidey-Gibbons &amp; Sidey-Gibbons, 2019)","previouslyFormattedCitation":"(Sidey-Gibbons &amp; Sidey-Gibbons, 2019)"},"properties":{"noteIndex":0},"schema":"https://github.com/citation-style-language/schema/raw/master/csl-citation.json"}</w:instrText>
      </w:r>
      <w:r w:rsidRPr="00E121E9">
        <w:fldChar w:fldCharType="separate"/>
      </w:r>
      <w:r w:rsidRPr="00E121E9">
        <w:t>(Sidey-</w:t>
      </w:r>
      <w:r w:rsidRPr="00E121E9">
        <w:lastRenderedPageBreak/>
        <w:t>Gibbons &amp; Sidey-Gibbons, 2019)</w:t>
      </w:r>
      <w:r w:rsidRPr="00E121E9">
        <w:fldChar w:fldCharType="end"/>
      </w:r>
      <w:r w:rsidRPr="00E121E9">
        <w:t>, often considered the ‘gold standard’. Even if this level of performance is only matched, this may still be beneficial; automating systems to allow the best expert performance to be paralleled can help standardize performance between clinicians with varying levels of experience. It also has the potential to minimize healthcare inequalities by providing access to top-level signal interpretation in settings where training, experience and resources may be limited.</w:t>
      </w:r>
    </w:p>
    <w:p w14:paraId="62D608C1" w14:textId="77777777" w:rsidR="00F97FCE" w:rsidRPr="00E121E9" w:rsidRDefault="00F97FCE">
      <w:pPr>
        <w:spacing w:line="480" w:lineRule="auto"/>
      </w:pPr>
    </w:p>
    <w:p w14:paraId="481AAEDA" w14:textId="77777777" w:rsidR="00F97FCE" w:rsidRPr="00E121E9" w:rsidRDefault="00534ED7">
      <w:pPr>
        <w:spacing w:line="480" w:lineRule="auto"/>
      </w:pPr>
      <w:r w:rsidRPr="00E121E9">
        <w:t xml:space="preserve">There have been several studies leveraging the effects of machine learning to detect the ABR </w:t>
      </w:r>
      <w:r w:rsidRPr="00E121E9">
        <w:fldChar w:fldCharType="begin" w:fldLock="1"/>
      </w:r>
      <w:r w:rsidRPr="00E121E9">
        <w:instrText>ADDIN CSL_CITATION {"citationItems":[{"id":"ITEM-1","itemData":{"DOI":"10.1109/IEMBS.1991.684525","ISBN":"0-7803-0216-8","author":[{"dropping-particle":"","family":"Alpsan","given":"D.","non-dropping-particle":"","parse-names":false,"suffix":""}],"container-title":"Proceedings of the Annual International Conference of the IEEE Engineering in Medicine and Biology Society Volume 13: 1991","id":"ITEM-1","issued":{"date-parts":[["1991"]]},"page":"1425-1426","publisher":"IEEE","title":"Classification Of Auditory Brainstem Responses By Human Experts And Backpropagation Neural Networks","type":"paper-conference"},"uris":["http://www.mendeley.com/documents/?uuid=dd68f6c6-be52-3991-95b9-37a7898a32a6"]},{"id":"ITEM-2","itemData":{"DOI":"10.1016/J.ENGAPPAI.2005.08.004","ISSN":"0952-1976","abstract":"This paper presents a novel system for automatic recognition of auditory brainstem responses (ABR) to detect hearing threshold. ABR is an important potential signal for determining objective audiograms. Its detection is usually performed by medical experts with often basic signal processing techniques. The proposed system comprises of two stages. In the first stage, for feature extraction, a set of raw amplitude values, a set of discrete cosine transform (DCT) coefficients and a set of discrete wavelet transform (DWT) approximation coefficients are calculated and extracted from signals separately as three different sets of feature vectors. These features are then selected by a modified adaptive method, which mainly supports to the input dimension reduction via selecting the most significant feature components. In the second stage, the feature vectors are classified by a support vector machine (SVM) classifier which is a powerful advanced technique for solving supervised binary classification problem due to its generalization ability. After that the proposed system is applied to real ABR data and it is resulted in a very good sensitivity, specificity and accuracy levels for DCT coefficients such as 99.2%, 94.0% and 96.2%, respectively. Consequently, the proposed system can be used for recognition of ABRs for hearing threshold detection.","author":[{"dropping-particle":"","family":"Acır","given":"Nurettin","non-dropping-particle":"","parse-names":false,"suffix":""},{"dropping-particle":"","family":"Özdamar","given":"Özcan","non-dropping-particle":"","parse-names":false,"suffix":""},{"dropping-particle":"","family":"Güzeliş","given":"Cüneyt","non-dropping-particle":"","parse-names":false,"suffix":""}],"container-title":"Engineering Applications of Artificial Intelligence","id":"ITEM-2","issue":"2","issued":{"date-parts":[["2006","3","1"]]},"page":"209-218","publisher":"Pergamon","title":"Automatic classification of auditory brainstem responses using SVM-based feature selection algorithm for threshold detection","type":"article-journal","volume":"19"},"uris":["http://www.mendeley.com/documents/?uuid=343fa9f2-31d3-3bb3-8263-d1eaefb299d9"]},{"id":"ITEM-3","itemData":{"DOI":"10.1016/J.ARTMED.2006.07.001","ISSN":"0933-3657","abstract":"OBJECTIVE The auditory brainstem response (ABR) is an evoked response obtained from brain electrical activity when an auditory stimulus is applied to the ear. An audiologist can determine the threshold level of hearing by applying stimuli at reducing levels of intensity, and can also diagnose various otological, audiological, and neurological abnormalities by examining the morphology of the waveform and the latencies of the individual waves. This is a subjective process requiring considerable expertise. The aim of this research was to develop software classification models to assist the audiologist with an automated detection of the ABR waveform and also to provide objectivity and consistency in this detection. MATERIALS AND METHODS The dataset used in this study consisted of 550 waveforms derived from tests using a range of stimulus levels applied to 85 subjects ranging in hearing ability. Each waveform had been classified by a human expert as ‘response=Yes’ or ‘response=No’. Individual software classification models were generated using time, frequency and cross-correlation measures. Classification employed both artificial neural networks (NNs) and the C5.0 decision tree algorithm. Accuracies were validated using six-fold cross-validation, and by randomising training, validation and test datasets. RESULTS The result was a two stage classification process whereby strong responses were classified to an accuracy of 95.6% in the first stage. This used a ratio of post-stimulus to pre-stimulus power in the time domain, with power measures at 200, 500 and 900Hz in the frequency domain. In the second stage, outputs from time, frequency and cross-correlation classifiers were combined using the Dempster–Shafer method to produce a hybrid model with an accuracy of 85% (126 repeat waveforms). CONCLUSION By combining the different approaches a hybrid system has been created that emulates the approach used by an audiologist in analysing an ABR waveform. Interpretation did not rely on one particular feature but brought together power and frequency analysis as well as consistency of subaverages. This provided a system that enhanced robustness to artefacts while maintaining classification accuracy.","author":[{"dropping-particle":"","family":"Davey","given":"Robert","non-dropping-particle":"","parse-names":false,"suffix":""},{"dropping-particle":"","family":"McCullagh","given":"Paul","non-dropping-particle":"","parse-names":false,"suffix":""},{"dropping-particle":"","family":"Lightbody","given":"Gaye","non-dropping-particle":"","parse-names":false,"suffix":""},{"dropping-particle":"","family":"McAllister","given":"Gerry","non-dropping-particle":"","parse-names":false,"suffix":""}],"container-title":"Artificial Intelligence in Medicine","id":"ITEM-3","issue":"1","issued":{"date-parts":[["2007","5","1"]]},"page":"1-14","publisher":"Elsevier","title":"Auditory brainstem response classification: A hybrid model using time and frequency features","type":"article-journal","volume":"40"},"uris":["http://www.mendeley.com/documents/?uuid=32849bb6-f849-33bc-92f9-b466f7a15744"]},{"id":"ITEM-4","itemData":{"DOI":"10.1080/14992027.2018.1551633","ISSN":"1499-2027","PMID":"30663907","abstract":"OBJECTIVE The objective of this study was to use machine learning in the form of a deep neural network to objectively classify paired auditory brainstem response waveforms into either: 'clear response', 'inconclusive' or 'response absent'. DESIGN A deep convolutional neural network was constructed and fine-tuned using stratified 10-fold cross-validation on 190 paired ABR waveforms. The final model was evaluated on a test set of 42 paired waveforms. STUDY SAMPLE The full dataset comprised 232 paired ABR waveforms recorded from eight normal-hearing individuals. The dataset was obtained from the PhysioBank database. The paired waveforms were independently labelled by two audiological scientists in order to train the network and evaluate its performance. RESULTS The trained neural network was able to classify paired ABR waveforms with 92.9% accuracy. The sensitivity and the specificity were 92.9% and 96.4%, respectively. CONCLUSIONS This neural network may have clinical utility in assisting clinicians with waveform classification for the purpose of hearing threshold estimation. Further evaluation using a large clinically obtained dataset would provide further validation with regard to the clinical potential of the neural network in diagnostic adult testing, newborn testing and in automated newborn hearing screening.","author":[{"dropping-particle":"","family":"McKearney","given":"Richard M.","non-dropping-particle":"","parse-names":false,"suffix":""},{"dropping-particle":"","family":"MacKinnon","given":"Robert C.","non-dropping-particle":"","parse-names":false,"suffix":""}],"container-title":"International Journal of Audiology","id":"ITEM-4","issue":"4","issued":{"date-parts":[["2019","4","3"]]},"page":"224-230","title":"Objective auditory brainstem response classification using machine learning","type":"article-journal","volume":"58"},"uris":["http://www.mendeley.com/documents/?uuid=06640d8d-520e-3c0f-bb0b-e25bb59deb4e"]}],"mendeley":{"formattedCitation":"(Acır et al., 2006; Alpsan, 1991; Davey et al., 2007; McKearney &amp; MacKinnon, 2019)","manualFormatting":"(Alpsan, 1991; Acir et al, 2006; Davey et al, 2007; McKearney &amp; MacKinnon, 2019)","plainTextFormattedCitation":"(Acır et al., 2006; Alpsan, 1991; Davey et al., 2007; McKearney &amp; MacKinnon, 2019)","previouslyFormattedCitation":"(Acır et al., 2006; Alpsan, 1991; Davey et al., 2007; McKearney &amp; MacKinnon, 2019)"},"properties":{"noteIndex":0},"schema":"https://github.com/citation-style-language/schema/raw/master/csl-citation.json"}</w:instrText>
      </w:r>
      <w:r w:rsidRPr="00E121E9">
        <w:fldChar w:fldCharType="separate"/>
      </w:r>
      <w:r w:rsidRPr="00E121E9">
        <w:t>(Alpsan, 1991; Acir et al, 2006; Davey et al, 2007; McKearney &amp; MacKinnon, 2019)</w:t>
      </w:r>
      <w:r w:rsidRPr="00E121E9">
        <w:fldChar w:fldCharType="end"/>
      </w:r>
      <w:r w:rsidRPr="00E121E9">
        <w:t xml:space="preserve">. In 1991, </w:t>
      </w:r>
      <w:r w:rsidRPr="00E121E9">
        <w:fldChar w:fldCharType="begin" w:fldLock="1"/>
      </w:r>
      <w:r w:rsidRPr="00E121E9">
        <w:instrText>ADDIN CSL_CITATION {"citationItems":[{"id":"ITEM-1","itemData":{"DOI":"10.1109/IEMBS.1991.684525","ISBN":"0-7803-0216-8","author":[{"dropping-particle":"","family":"Alpsan","given":"D.","non-dropping-particle":"","parse-names":false,"suffix":""}],"container-title":"Proceedings of the Annual International Conference of the IEEE Engineering in Medicine and Biology Society Volume 13: 1991","id":"ITEM-1","issued":{"date-parts":[["1991"]]},"page":"1425-1426","publisher":"IEEE","title":"Classification Of Auditory Brainstem Responses By Human Experts And Backpropagation Neural Networks","type":"paper-conference"},"uris":["http://www.mendeley.com/documents/?uuid=dd68f6c6-be52-3991-95b9-37a7898a32a6"]}],"mendeley":{"formattedCitation":"(Alpsan, 1991)","manualFormatting":"Alpsan","plainTextFormattedCitation":"(Alpsan, 1991)","previouslyFormattedCitation":"(Alpsan, 1991)"},"properties":{"noteIndex":0},"schema":"https://github.com/citation-style-language/schema/raw/master/csl-citation.json"}</w:instrText>
      </w:r>
      <w:r w:rsidRPr="00E121E9">
        <w:fldChar w:fldCharType="separate"/>
      </w:r>
      <w:r w:rsidRPr="00E121E9">
        <w:t>Alpsan</w:t>
      </w:r>
      <w:r w:rsidRPr="00E121E9">
        <w:fldChar w:fldCharType="end"/>
      </w:r>
      <w:r w:rsidRPr="00E121E9">
        <w:t xml:space="preserve"> trained a multi-layer perceptron (with three layers) to classify waveforms into either being ‘response present’ or ‘response absent’. The input to the neural network was a smoothed, downsampled and then normalized averaged waveform. The model’s performance was reported to be comparable to that of a group of human experts with 75% accuracy. </w:t>
      </w:r>
      <w:r w:rsidRPr="00E121E9">
        <w:fldChar w:fldCharType="begin" w:fldLock="1"/>
      </w:r>
      <w:r w:rsidRPr="00E121E9">
        <w:instrText>ADDIN CSL_CITATION {"citationItems":[{"id":"ITEM-1","itemData":{"DOI":"10.1016/J.ENGAPPAI.2005.08.004","ISSN":"0952-1976","abstract":"This paper presents a novel system for automatic recognition of auditory brainstem responses (ABR) to detect hearing threshold. ABR is an important potential signal for determining objective audiograms. Its detection is usually performed by medical experts with often basic signal processing techniques. The proposed system comprises of two stages. In the first stage, for feature extraction, a set of raw amplitude values, a set of discrete cosine transform (DCT) coefficients and a set of discrete wavelet transform (DWT) approximation coefficients are calculated and extracted from signals separately as three different sets of feature vectors. These features are then selected by a modified adaptive method, which mainly supports to the input dimension reduction via selecting the most significant feature components. In the second stage, the feature vectors are classified by a support vector machine (SVM) classifier which is a powerful advanced technique for solving supervised binary classification problem due to its generalization ability. After that the proposed system is applied to real ABR data and it is resulted in a very good sensitivity, specificity and accuracy levels for DCT coefficients such as 99.2%, 94.0% and 96.2%, respectively. Consequently, the proposed system can be used for recognition of ABRs for hearing threshold detection.","author":[{"dropping-particle":"","family":"Acır","given":"Nurettin","non-dropping-particle":"","parse-names":false,"suffix":""},{"dropping-particle":"","family":"Özdamar","given":"Özcan","non-dropping-particle":"","parse-names":false,"suffix":""},{"dropping-particle":"","family":"Güzeliş","given":"Cüneyt","non-dropping-particle":"","parse-names":false,"suffix":""}],"container-title":"Engineering Applications of Artificial Intelligence","id":"ITEM-1","issue":"2","issued":{"date-parts":[["2006","3","1"]]},"page":"209-218","publisher":"Pergamon","title":"Automatic classification of auditory brainstem responses using SVM-based feature selection algorithm for threshold detection","type":"article-journal","volume":"19"},"uris":["http://www.mendeley.com/documents/?uuid=343fa9f2-31d3-3bb3-8263-d1eaefb299d9"]}],"mendeley":{"formattedCitation":"(Acır et al., 2006)","manualFormatting":"Acir et al. (2006)","plainTextFormattedCitation":"(Acır et al., 2006)","previouslyFormattedCitation":"(Acır et al., 2006)"},"properties":{"noteIndex":0},"schema":"https://github.com/citation-style-language/schema/raw/master/csl-citation.json"}</w:instrText>
      </w:r>
      <w:r w:rsidRPr="00E121E9">
        <w:fldChar w:fldCharType="separate"/>
      </w:r>
      <w:r w:rsidRPr="00E121E9">
        <w:t>Acir et al. (2006)</w:t>
      </w:r>
      <w:r w:rsidRPr="00E121E9">
        <w:fldChar w:fldCharType="end"/>
      </w:r>
      <w:r w:rsidRPr="00E121E9">
        <w:t xml:space="preserve"> used a support vector machine (a type of machine learning algorithm) to classify ABR responses. Features were first extracted from the coherent average and stored in three separate feature sets. These feature sets were obtained from: raw amplitude values, discrete cosine transform (DCT) coefficients and discrete wavelet transform (DWT) coefficients. The best performance observed was obtained using the DCT coefficients with an accuracy of 98% compared to the labelling of two experts.</w:t>
      </w:r>
    </w:p>
    <w:p w14:paraId="0E4903CD" w14:textId="77777777" w:rsidR="00F97FCE" w:rsidRPr="00E121E9" w:rsidRDefault="00F97FCE">
      <w:pPr>
        <w:spacing w:line="480" w:lineRule="auto"/>
      </w:pPr>
    </w:p>
    <w:p w14:paraId="22239755" w14:textId="7CE1A1C1" w:rsidR="00F97FCE" w:rsidRPr="00E121E9" w:rsidRDefault="00534ED7">
      <w:pPr>
        <w:spacing w:line="480" w:lineRule="auto"/>
      </w:pPr>
      <w:r w:rsidRPr="00E121E9">
        <w:fldChar w:fldCharType="begin" w:fldLock="1"/>
      </w:r>
      <w:r w:rsidRPr="00E121E9">
        <w:instrText>ADDIN CSL_CITATION {"citationItems":[{"id":"ITEM-1","itemData":{"DOI":"10.1016/J.ARTMED.2006.07.001","ISSN":"0933-3657","abstract":"OBJECTIVE The auditory brainstem response (ABR) is an evoked response obtained from brain electrical activity when an auditory stimulus is applied to the ear. An audiologist can determine the threshold level of hearing by applying stimuli at reducing levels of intensity, and can also diagnose various otological, audiological, and neurological abnormalities by examining the morphology of the waveform and the latencies of the individual waves. This is a subjective process requiring considerable expertise. The aim of this research was to develop software classification models to assist the audiologist with an automated detection of the ABR waveform and also to provide objectivity and consistency in this detection. MATERIALS AND METHODS The dataset used in this study consisted of 550 waveforms derived from tests using a range of stimulus levels applied to 85 subjects ranging in hearing ability. Each waveform had been classified by a human expert as ‘response=Yes’ or ‘response=No’. Individual software classification models were generated using time, frequency and cross-correlation measures. Classification employed both artificial neural networks (NNs) and the C5.0 decision tree algorithm. Accuracies were validated using six-fold cross-validation, and by randomising training, validation and test datasets. RESULTS The result was a two stage classification process whereby strong responses were classified to an accuracy of 95.6% in the first stage. This used a ratio of post-stimulus to pre-stimulus power in the time domain, with power measures at 200, 500 and 900Hz in the frequency domain. In the second stage, outputs from time, frequency and cross-correlation classifiers were combined using the Dempster–Shafer method to produce a hybrid model with an accuracy of 85% (126 repeat waveforms). CONCLUSION By combining the different approaches a hybrid system has been created that emulates the approach used by an audiologist in analysing an ABR waveform. Interpretation did not rely on one particular feature but brought together power and frequency analysis as well as consistency of subaverages. This provided a system that enhanced robustness to artefacts while maintaining classification accuracy.","author":[{"dropping-particle":"","family":"Davey","given":"Robert","non-dropping-particle":"","parse-names":false,"suffix":""},{"dropping-particle":"","family":"McCullagh","given":"Paul","non-dropping-particle":"","parse-names":false,"suffix":""},{"dropping-particle":"","family":"Lightbody","given":"Gaye","non-dropping-particle":"","parse-names":false,"suffix":""},{"dropping-particle":"","family":"McAllister","given":"Gerry","non-dropping-particle":"","parse-names":false,"suffix":""}],"container-title":"Artificial Intelligence in Medicine","id":"ITEM-1","issue":"1","issued":{"date-parts":[["2007","5","1"]]},"page":"1-14","publisher":"Elsevier","title":"Auditory brainstem response classification: A hybrid model using time and frequency features","type":"article-journal","volume":"40"},"uris":["http://www.mendeley.com/documents/?uuid=32849bb6-f849-33bc-92f9-b466f7a15744"]}],"mendeley":{"formattedCitation":"(Davey et al., 2007)","manualFormatting":"Davey et al. (2007)","plainTextFormattedCitation":"(Davey et al., 2007)","previouslyFormattedCitation":"(Davey et al., 2007)"},"properties":{"noteIndex":0},"schema":"https://github.com/citation-style-language/schema/raw/master/csl-citation.json"}</w:instrText>
      </w:r>
      <w:r w:rsidRPr="00E121E9">
        <w:fldChar w:fldCharType="separate"/>
      </w:r>
      <w:r w:rsidRPr="00E121E9">
        <w:t>Davey et al. (2007)</w:t>
      </w:r>
      <w:r w:rsidRPr="00E121E9">
        <w:fldChar w:fldCharType="end"/>
      </w:r>
      <w:r w:rsidRPr="00E121E9">
        <w:t xml:space="preserve"> proposed a hybrid model (combining multiple existing models) which classified EEG waveforms using both time and frequency domain features. Extracted features included: a power ratio of the pre- and post-stimulus waveform, cross-correlation of repeated recordings, and a power ratio of the pre- and post-stimulus fast Fourier transform (FFT) amplitude values, amongst others. In a two-stage classification process, large response </w:t>
      </w:r>
      <w:r w:rsidRPr="00E121E9">
        <w:lastRenderedPageBreak/>
        <w:t xml:space="preserve">waveforms, defined as having a post/pre-stimulus time domain power ratio of &gt;5, were classified with 95.6% accuracy. Smaller responses with a post/pre-stimulus time domain power ratio of &lt;5 went on to a second stage of classification whereby separate time and frequency domain multilayer perceptron classifiers were ensembled by applying a Dempster-Shafer discounting factor (a method for combining evidence from different sources, in this case model outputs), producing a final classification output. An accuracy of 85.0% for these ‘weaker’ ABR responses was reported. This reporting acknowledges the significant variance in outcomes that can arise based on the magnitude of the responses </w:t>
      </w:r>
      <w:r w:rsidR="00E2660C" w:rsidRPr="00E121E9">
        <w:t xml:space="preserve">in the data </w:t>
      </w:r>
      <w:r w:rsidRPr="00E121E9">
        <w:t>used to evaluate an algorithm.</w:t>
      </w:r>
    </w:p>
    <w:p w14:paraId="128AD980" w14:textId="77777777" w:rsidR="00F97FCE" w:rsidRPr="00E121E9" w:rsidRDefault="00F97FCE">
      <w:pPr>
        <w:spacing w:line="480" w:lineRule="auto"/>
      </w:pPr>
    </w:p>
    <w:p w14:paraId="73C6D073" w14:textId="7D92129C" w:rsidR="00F97FCE" w:rsidRPr="00E121E9" w:rsidRDefault="00534ED7">
      <w:pPr>
        <w:spacing w:line="480" w:lineRule="auto"/>
      </w:pPr>
      <w:r w:rsidRPr="00E121E9">
        <w:t xml:space="preserve">In 2019, </w:t>
      </w:r>
      <w:r w:rsidRPr="00E121E9">
        <w:fldChar w:fldCharType="begin" w:fldLock="1"/>
      </w:r>
      <w:r w:rsidRPr="00E121E9">
        <w:instrText>ADDIN CSL_CITATION {"citationItems":[{"id":"ITEM-1","itemData":{"DOI":"10.1080/14992027.2018.1551633","ISSN":"1499-2027","PMID":"30663907","abstract":"OBJECTIVE The objective of this study was to use machine learning in the form of a deep neural network to objectively classify paired auditory brainstem response waveforms into either: 'clear response', 'inconclusive' or 'response absent'. DESIGN A deep convolutional neural network was constructed and fine-tuned using stratified 10-fold cross-validation on 190 paired ABR waveforms. The final model was evaluated on a test set of 42 paired waveforms. STUDY SAMPLE The full dataset comprised 232 paired ABR waveforms recorded from eight normal-hearing individuals. The dataset was obtained from the PhysioBank database. The paired waveforms were independently labelled by two audiological scientists in order to train the network and evaluate its performance. RESULTS The trained neural network was able to classify paired ABR waveforms with 92.9% accuracy. The sensitivity and the specificity were 92.9% and 96.4%, respectively. CONCLUSIONS This neural network may have clinical utility in assisting clinicians with waveform classification for the purpose of hearing threshold estimation. Further evaluation using a large clinically obtained dataset would provide further validation with regard to the clinical potential of the neural network in diagnostic adult testing, newborn testing and in automated newborn hearing screening.","author":[{"dropping-particle":"","family":"McKearney","given":"Richard M.","non-dropping-particle":"","parse-names":false,"suffix":""},{"dropping-particle":"","family":"MacKinnon","given":"Robert C.","non-dropping-particle":"","parse-names":false,"suffix":""}],"container-title":"International Journal of Audiology","id":"ITEM-1","issue":"4","issued":{"date-parts":[["2019","4","3"]]},"page":"224-230","title":"Objective auditory brainstem response classification using machine learning","type":"article-journal","volume":"58"},"uris":["http://www.mendeley.com/documents/?uuid=06640d8d-520e-3c0f-bb0b-e25bb59deb4e"]}],"mendeley":{"formattedCitation":"(McKearney &amp; MacKinnon, 2019)","manualFormatting":"McKearney &amp; MacKinnon ","plainTextFormattedCitation":"(McKearney &amp; MacKinnon, 2019)","previouslyFormattedCitation":"(McKearney &amp; MacKinnon, 2019)"},"properties":{"noteIndex":0},"schema":"https://github.com/citation-style-language/schema/raw/master/csl-citation.json"}</w:instrText>
      </w:r>
      <w:r w:rsidRPr="00E121E9">
        <w:fldChar w:fldCharType="separate"/>
      </w:r>
      <w:r w:rsidRPr="00E121E9">
        <w:t xml:space="preserve">McKearney &amp; MacKinnon </w:t>
      </w:r>
      <w:r w:rsidRPr="00E121E9">
        <w:fldChar w:fldCharType="end"/>
      </w:r>
      <w:r w:rsidRPr="00E121E9">
        <w:t>reported the use of a convolutional neural network to classify pairs of ABR waveforms into either ‘response present’, ‘response absent’, or ‘inconclusive’, reflecting the guidance on ABR interpretation from the British Society of Audiology (</w:t>
      </w:r>
      <w:r w:rsidRPr="00E121E9">
        <w:fldChar w:fldCharType="begin" w:fldLock="1"/>
      </w:r>
      <w:r w:rsidRPr="00E121E9">
        <w:instrText>ADDIN CSL_CITATION {"citationItems":[{"id":"ITEM-1","itemData":{"author":[{"dropping-particle":"","family":"British Society of Audiology","given":"","non-dropping-particle":"","parse-names":false,"suffix":""}],"id":"ITEM-1","issue":"February","issued":{"date-parts":[["2019"]]},"number-of-pages":"1-58","publisher":"British Society of Audiology","title":"Recommended Procedure: Auditory Brainstem Response (ABR) testing in Babies","type":"report"},"uris":["http://www.mendeley.com/documents/?uuid=7dfeddc0-8e95-488f-8260-94cbc56835b4"]}],"mendeley":{"formattedCitation":"(British Society of Audiology, 2019)","manualFormatting":"2019)","plainTextFormattedCitation":"(British Society of Audiology, 2019)","previouslyFormattedCitation":"(British Society of Audiology, 2019)"},"properties":{"noteIndex":0},"schema":"https://github.com/citation-style-language/schema/raw/master/csl-citation.json"}</w:instrText>
      </w:r>
      <w:r w:rsidRPr="00E121E9">
        <w:fldChar w:fldCharType="separate"/>
      </w:r>
      <w:r w:rsidRPr="00E121E9">
        <w:t>2019)</w:t>
      </w:r>
      <w:r w:rsidRPr="00E121E9">
        <w:fldChar w:fldCharType="end"/>
      </w:r>
      <w:r w:rsidRPr="00E121E9">
        <w:t>. Some waveforms may not contain sufficient information in order for a clear decision regarding the presence or absence of the ABR to be made</w:t>
      </w:r>
      <w:r w:rsidR="00F2796F" w:rsidRPr="00E121E9">
        <w:t>. This may be due to</w:t>
      </w:r>
      <w:r w:rsidR="00F56428" w:rsidRPr="00E121E9">
        <w:t xml:space="preserve"> </w:t>
      </w:r>
      <w:r w:rsidRPr="00E121E9">
        <w:t>excess noise, an insufficient number of</w:t>
      </w:r>
      <w:r w:rsidR="00F56428" w:rsidRPr="00E121E9">
        <w:t xml:space="preserve"> recording</w:t>
      </w:r>
      <w:r w:rsidRPr="00E121E9">
        <w:t xml:space="preserve"> epochs, or </w:t>
      </w:r>
      <w:r w:rsidR="00F56428" w:rsidRPr="00E121E9">
        <w:t xml:space="preserve">there </w:t>
      </w:r>
      <w:r w:rsidRPr="00E121E9">
        <w:t xml:space="preserve">being a weak response close to the auditory threshold. Inclusion of the ‘inconclusive’ class allows for these responses and alerts the clinician that these responses should not be used to make clinical decisions regarding the patient’s ABR threshold. An accuracy of 93% across the three classes was reported, compared to the labelling of two audiologists using the prevailing British Society of Audiology guidelines </w:t>
      </w:r>
      <w:r w:rsidRPr="00E121E9">
        <w:fldChar w:fldCharType="begin" w:fldLock="1"/>
      </w:r>
      <w:r w:rsidRPr="00E121E9">
        <w:instrText>ADDIN CSL_CITATION {"citationItems":[{"id":"ITEM-1","itemData":{"author":[{"dropping-particle":"","family":"Sutton","given":"G.","non-dropping-particle":"","parse-names":false,"suffix":""},{"dropping-particle":"","family":"Lightfoot","given":"G.","non-dropping-particle":"","parse-names":false,"suffix":""}],"id":"ITEM-1","issued":{"date-parts":[["2013"]]},"number-of-pages":"1 - 38","publisher-place":"Reading","title":"Guidance for Auditory Brainstem Response testing in babies","type":"report"},"uris":["http://www.mendeley.com/documents/?uuid=0c19d8e4-df67-4f9c-a68f-cd4cd13feba5"]}],"mendeley":{"formattedCitation":"(Sutton &amp; Lightfoot, 2013)","plainTextFormattedCitation":"(Sutton &amp; Lightfoot, 2013)","previouslyFormattedCitation":"(Sutton &amp; Lightfoot, 2013)"},"properties":{"noteIndex":0},"schema":"https://github.com/citation-style-language/schema/raw/master/csl-citation.json"}</w:instrText>
      </w:r>
      <w:r w:rsidRPr="00E121E9">
        <w:fldChar w:fldCharType="separate"/>
      </w:r>
      <w:r w:rsidRPr="00E121E9">
        <w:t>(Sutton &amp; Lightfoot, 2013)</w:t>
      </w:r>
      <w:r w:rsidRPr="00E121E9">
        <w:fldChar w:fldCharType="end"/>
      </w:r>
      <w:r w:rsidRPr="00E121E9">
        <w:t>.</w:t>
      </w:r>
    </w:p>
    <w:p w14:paraId="2D37BA86" w14:textId="77777777" w:rsidR="00F97FCE" w:rsidRPr="00E121E9" w:rsidRDefault="00F97FCE">
      <w:pPr>
        <w:spacing w:line="480" w:lineRule="auto"/>
      </w:pPr>
    </w:p>
    <w:p w14:paraId="4DFB6C23" w14:textId="77777777" w:rsidR="00F97FCE" w:rsidRPr="00E121E9" w:rsidRDefault="00534ED7">
      <w:pPr>
        <w:spacing w:line="480" w:lineRule="auto"/>
      </w:pPr>
      <w:r w:rsidRPr="00E121E9">
        <w:t xml:space="preserve">Overall, previous studies suggest that machine learning methods can achieve a comparable performance in ABR detection to that of human experts with accuracies of 85-98% reported. The feature selection process, algorithms used, and model evaluation procedure vary </w:t>
      </w:r>
      <w:r w:rsidRPr="00E121E9">
        <w:lastRenderedPageBreak/>
        <w:t>substantially in these publications. Additionally, the ABR data used is extremely heterogeneous across studies, with different stimulus levels, recording conditions, and data labelling procedures being used. It is therefore difficult to directly compare the relative performance between the various algorithms presented in the literature. No previous studies have compared their novel machine learning detection methods with existing detection methods which could help to serve as a benchmark.</w:t>
      </w:r>
    </w:p>
    <w:p w14:paraId="4170632A" w14:textId="77777777" w:rsidR="00F97FCE" w:rsidRPr="00E121E9" w:rsidRDefault="00F97FCE">
      <w:pPr>
        <w:spacing w:line="480" w:lineRule="auto"/>
      </w:pPr>
    </w:p>
    <w:p w14:paraId="0F99240B" w14:textId="70BE0D26" w:rsidR="00F97FCE" w:rsidRPr="00E121E9" w:rsidRDefault="00534ED7">
      <w:pPr>
        <w:spacing w:line="480" w:lineRule="auto"/>
      </w:pPr>
      <w:r w:rsidRPr="00E121E9">
        <w:t xml:space="preserve">One limitation of previous research is the method used for labelling the data (‘response present’/‘response absent’) for the machine learning model to learn from and be evaluated upon. In all the aforementioned studies, labelling has been performed by one or more clinical experts who decide by visual inspection if an ABR is present or absent. Whilst this makes use of the current gold-standard for clinical ABR evaluation, this labelling process is subjective and may lead to sub-optimal training. In addition, when performance is evaluated based on human observers, optimal performance would be found when the method matches rather than exceeds the judgement of experts. ABR interpretation is known to be highly variable, even amongst experienced clinicians </w:t>
      </w:r>
      <w:r w:rsidRPr="00E121E9">
        <w:fldChar w:fldCharType="begin" w:fldLock="1"/>
      </w:r>
      <w:r w:rsidRPr="00E121E9">
        <w:instrText>ADDIN CSL_CITATION {"citationItems":[{"id":"ITEM-1","itemData":{"ISSN":"1499-2027","PMID":"15515641","abstract":"Little research has been undertaken into the extent to which auditory brainstem response (ABR) threshold estimation varies between experienced professionals. In this paper, results are presented for 16 professionals who estimated ABR threshold for 12 sets of data in a computer simulation of the clinical test. The design differs from previous research in this area in that subjects had control over the creation of the set of traces from which they would estimate threshold, much as they would in the clinical situation. No agreement for threshold was found for any of the 12 sets of test data across the 16 subjects, and for nine of the sets, the difference between highest and lowest estimated threshold was 40 dB or greater. The maximum difference between highest and lowest estimated threshold was 60 dB. It is argued that the variability is not accounted for by experimental design. The implications for clinical practice are discussed.","author":[{"dropping-particle":"","family":"Vidler","given":"Michael","non-dropping-particle":"","parse-names":false,"suffix":""},{"dropping-particle":"","family":"Parker","given":"David","non-dropping-particle":"","parse-names":false,"suffix":""}],"container-title":"International journal of audiology","id":"ITEM-1","issue":"7","issued":{"date-parts":[["2004"]]},"page":"417-429","title":"Auditory brainstem response threshold estimation: subjective threshold estimation by experienced clinicians in a computer simulation of the clinical test.","type":"article-journal","volume":"43"},"uris":["http://www.mendeley.com/documents/?uuid=aea3a69e-5141-3715-b3ab-224437591ea2"]}],"mendeley":{"formattedCitation":"(Vidler &amp; Parker, 2004)","plainTextFormattedCitation":"(Vidler &amp; Parker, 2004)","previouslyFormattedCitation":"(Vidler &amp; Parker, 2004)"},"properties":{"noteIndex":0},"schema":"https://github.com/citation-style-language/schema/raw/master/csl-citation.json"}</w:instrText>
      </w:r>
      <w:r w:rsidRPr="00E121E9">
        <w:fldChar w:fldCharType="separate"/>
      </w:r>
      <w:r w:rsidRPr="00E121E9">
        <w:t>(Vidler &amp; Parker, 2004)</w:t>
      </w:r>
      <w:r w:rsidRPr="00E121E9">
        <w:fldChar w:fldCharType="end"/>
      </w:r>
      <w:r w:rsidRPr="00E121E9">
        <w:t xml:space="preserve">, and therefore cannot provide a reliable ‘gold standard’ for the data labelling process. One way of overcoming this labelling paradox is to simulate ABR ensembles based on recorded data so that the ground truth is known (in this case whether an ABR is truly present or absent). This may allow a machine learning algorithm to exceed the current benchmark of human visual detection given the wealth of information which is overlooked when relying primarily on the visual inspection of averaged waveforms. </w:t>
      </w:r>
    </w:p>
    <w:p w14:paraId="01086F0D" w14:textId="77777777" w:rsidR="00F97FCE" w:rsidRPr="00E121E9" w:rsidRDefault="00F97FCE">
      <w:pPr>
        <w:spacing w:line="480" w:lineRule="auto"/>
      </w:pPr>
    </w:p>
    <w:p w14:paraId="3B98E9EA" w14:textId="77777777" w:rsidR="00F97FCE" w:rsidRPr="00E121E9" w:rsidRDefault="00534ED7">
      <w:pPr>
        <w:spacing w:line="480" w:lineRule="auto"/>
      </w:pPr>
      <w:r w:rsidRPr="00E121E9">
        <w:t xml:space="preserve">Another limitation of previous studies is the lack of formal comparison to currently available detection methods. Note that a direct comparison of the accuracies reported in the literature is </w:t>
      </w:r>
      <w:r w:rsidRPr="00E121E9">
        <w:lastRenderedPageBreak/>
        <w:t>not possible given the heterogeneity of the datasets and labelling processes used. Inclusion of an analysis of eminent existing detection methods such as the Fsp, Fmp, Hotelling’s T</w:t>
      </w:r>
      <w:r w:rsidRPr="00E121E9">
        <w:rPr>
          <w:vertAlign w:val="superscript"/>
        </w:rPr>
        <w:t>2</w:t>
      </w:r>
      <w:r w:rsidRPr="00E121E9">
        <w:t xml:space="preserve"> test, and the q-sample uniform scores test may provide a yardstick, more readily allowing comparison between studies. </w:t>
      </w:r>
    </w:p>
    <w:p w14:paraId="74528594" w14:textId="77777777" w:rsidR="00F97FCE" w:rsidRPr="00E121E9" w:rsidRDefault="00F97FCE">
      <w:pPr>
        <w:spacing w:line="480" w:lineRule="auto"/>
      </w:pPr>
    </w:p>
    <w:p w14:paraId="1CDB86B0" w14:textId="42817D52" w:rsidR="00F97FCE" w:rsidRPr="00E121E9" w:rsidRDefault="00534ED7">
      <w:pPr>
        <w:spacing w:line="480" w:lineRule="auto"/>
      </w:pPr>
      <w:r w:rsidRPr="00E121E9">
        <w:t xml:space="preserve">The </w:t>
      </w:r>
      <w:r w:rsidR="00BF5EBF" w:rsidRPr="00E121E9">
        <w:t>object</w:t>
      </w:r>
      <w:r w:rsidR="00D0171B" w:rsidRPr="00E121E9">
        <w:t>ive</w:t>
      </w:r>
      <w:r w:rsidR="00BF5EBF" w:rsidRPr="00E121E9">
        <w:t xml:space="preserve"> </w:t>
      </w:r>
      <w:r w:rsidRPr="00E121E9">
        <w:t>of the present study is</w:t>
      </w:r>
      <w:r w:rsidR="000551EC" w:rsidRPr="00E121E9">
        <w:t xml:space="preserve"> </w:t>
      </w:r>
      <w:r w:rsidRPr="00E121E9">
        <w:t xml:space="preserve">to compare the performance of several machine learning algorithms with well-established conventional detection methods on simulated data where the ground truth of EEG data is known. </w:t>
      </w:r>
      <w:r w:rsidR="00F71CD3" w:rsidRPr="00E121E9">
        <w:t xml:space="preserve">This </w:t>
      </w:r>
      <w:r w:rsidRPr="00E121E9">
        <w:t>study uses subject recorded ABR data and no-stimulus EEG data to carry out multiple simulations in order to train and extensively evaluate the performance of a new technique for ABR detection using machine learning. The performance of the new detection method is compared to that of some well-established conventional statistical detection methods which serve as a benchmark, providing context to the performance metrics reported.</w:t>
      </w:r>
      <w:r w:rsidR="00F71CD3" w:rsidRPr="00E121E9">
        <w:t xml:space="preserve"> The findings of this study may be used to inform the design of future extended clinical studies.</w:t>
      </w:r>
    </w:p>
    <w:p w14:paraId="2CCAD499" w14:textId="77777777" w:rsidR="00F97FCE" w:rsidRPr="00E121E9" w:rsidRDefault="00F97FCE">
      <w:pPr>
        <w:spacing w:line="480" w:lineRule="auto"/>
        <w:rPr>
          <w:b/>
        </w:rPr>
      </w:pPr>
    </w:p>
    <w:p w14:paraId="7C4AB012" w14:textId="77777777" w:rsidR="00F97FCE" w:rsidRPr="00E121E9" w:rsidRDefault="00534ED7">
      <w:pPr>
        <w:spacing w:line="480" w:lineRule="auto"/>
        <w:rPr>
          <w:b/>
        </w:rPr>
      </w:pPr>
      <w:r w:rsidRPr="00E121E9">
        <w:rPr>
          <w:b/>
        </w:rPr>
        <w:t>Materials and Methods</w:t>
      </w:r>
    </w:p>
    <w:p w14:paraId="58518F1C" w14:textId="77777777" w:rsidR="00F97FCE" w:rsidRPr="00E121E9" w:rsidRDefault="00534ED7">
      <w:pPr>
        <w:spacing w:line="480" w:lineRule="auto"/>
        <w:rPr>
          <w:b/>
          <w:i/>
        </w:rPr>
      </w:pPr>
      <w:r w:rsidRPr="00E121E9">
        <w:rPr>
          <w:b/>
          <w:i/>
        </w:rPr>
        <w:t>ABR data</w:t>
      </w:r>
    </w:p>
    <w:p w14:paraId="4BEC06A7" w14:textId="77777777" w:rsidR="00F97FCE" w:rsidRPr="00E121E9" w:rsidRDefault="00534ED7">
      <w:pPr>
        <w:spacing w:line="480" w:lineRule="auto"/>
        <w:rPr>
          <w:bCs/>
          <w:iCs/>
        </w:rPr>
      </w:pPr>
      <w:r w:rsidRPr="00E121E9">
        <w:rPr>
          <w:bCs/>
          <w:iCs/>
        </w:rPr>
        <w:t xml:space="preserve">The ABR data, </w:t>
      </w:r>
      <w:r w:rsidRPr="00E121E9">
        <w:t xml:space="preserve">described in previous publications </w:t>
      </w:r>
      <w:r w:rsidRPr="00E121E9">
        <w:fldChar w:fldCharType="begin" w:fldLock="1"/>
      </w:r>
      <w:r w:rsidRPr="00E121E9">
        <w:instrText>ADDIN CSL_CITATION {"citationItems":[{"id":"ITEM-1","itemData":{"DOI":"10.1016/j.medengphy.2006.03.001","ISSN":"13504533","PMID":"16621656","abstract":"Evoked potentials are usually evaluated subjectively, by visual inspection, and considerable differences between interpretations can occur. Objective, automated methods are normally based on calculating one (or more) parameters from the data, but only some of these techniques can provide statistical significance (p-values) for the presence of a response. In this work, we propose a bootstrap technique to provide such p-values, which can be applied to a wide variety of parameters. The bootstrap method is based on randomly resampling (with replacement) the original data and gives an estimate of the probability that the response obtained is due to random variation in the data rather than a physiological response. The method is illustrated using auditory brainstem responses (ABRs) to detecting hearing thresholds. The flexibility of the approach is illustrated, showing how it can be used with different parameters, numbers of stimuli and with user-defined false-positive rates. The bootstrap method provides a new, simple and yet powerful means of detecting evoked potentials, which is very flexible and readily adapted to a wide variety of signal parameters. © 2006 IPEM.","author":[{"dropping-particle":"","family":"Lv","given":"Jing","non-dropping-particle":"","parse-names":false,"suffix":""},{"dropping-particle":"","family":"Simpson","given":"David M.","non-dropping-particle":"","parse-names":false,"suffix":""},{"dropping-particle":"","family":"Bell","given":"Steven L.","non-dropping-particle":"","parse-names":false,"suffix":""}],"container-title":"Medical Engineering and Physics","id":"ITEM-1","issue":"2","issued":{"date-parts":[["2007","3"]]},"page":"191-198","title":"Objective detection of evoked potentials using a bootstrap technique","type":"article-journal","volume":"29"},"uris":["http://www.mendeley.com/documents/?uuid=481427e6-96d9-3549-bb2a-a611f1e06cc2"]},{"id":"ITEM-2","itemData":{"DOI":"10.1080/14992027.2018.1447697","ISSN":"17088186","PMID":"29537327","abstract":"Objective: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Audiology","id":"ITEM-2","issue":"6","issued":{"date-parts":[["2018","6","3"]]},"page":"468-478","publisher":"Taylor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 Lv et al., 2007)","plainTextFormattedCitation":"(Chesnaye et al., 2018; Lv et al., 2007)","previouslyFormattedCitation":"(Chesnaye et al., 2018; Lv et al., 2007)"},"properties":{"noteIndex":0},"schema":"https://github.com/citation-style-language/schema/raw/master/csl-citation.json"}</w:instrText>
      </w:r>
      <w:r w:rsidRPr="00E121E9">
        <w:fldChar w:fldCharType="separate"/>
      </w:r>
      <w:r w:rsidRPr="00E121E9">
        <w:t>(Chesnaye et al., 2018; Lv et al., 2007)</w:t>
      </w:r>
      <w:r w:rsidRPr="00E121E9">
        <w:fldChar w:fldCharType="end"/>
      </w:r>
      <w:r w:rsidRPr="00E121E9">
        <w:t>, were recorded from 12 normal</w:t>
      </w:r>
      <w:r w:rsidRPr="00E121E9">
        <w:rPr>
          <w:bCs/>
          <w:iCs/>
        </w:rPr>
        <w:t xml:space="preserve">-hearing participants (pure tone audiometry thresholds &lt;= 20 dB HL at octave intervals between 0.25 – 8 kHz inclusive) aged between 18-30 (6 female; 6 male). These data are available from </w:t>
      </w:r>
      <w:r w:rsidRPr="00E121E9">
        <w:t xml:space="preserve">the University of Southampton Institutional Repository: </w:t>
      </w:r>
      <w:r w:rsidRPr="00E121E9">
        <w:rPr>
          <w:bCs/>
          <w:iCs/>
        </w:rPr>
        <w:t>http://doi.org/10.5258/SOTON/D0168. A 100 µs click stimulus was used with a stimulus rate of 33.3 Hz.</w:t>
      </w:r>
      <w:r w:rsidRPr="00E121E9">
        <w:t xml:space="preserve"> Recordings were carried out in 10 dB increments ranging</w:t>
      </w:r>
      <w:r w:rsidRPr="00E121E9">
        <w:rPr>
          <w:bCs/>
          <w:iCs/>
        </w:rPr>
        <w:t xml:space="preserve"> from 0 to 50 dB Sensation Level (SL – relative to the individual’s audiometric threshold). The behavioral click stimulus thresholds were obtained using a 10-dB-down, 5-dB-up sequence. Offline processing </w:t>
      </w:r>
      <w:r w:rsidRPr="00E121E9">
        <w:rPr>
          <w:bCs/>
          <w:iCs/>
        </w:rPr>
        <w:lastRenderedPageBreak/>
        <w:t>included: band-pass filtering from 30 to 1,500 Hz using a 3</w:t>
      </w:r>
      <w:r w:rsidRPr="00E121E9">
        <w:rPr>
          <w:bCs/>
          <w:iCs/>
          <w:vertAlign w:val="superscript"/>
        </w:rPr>
        <w:t>rd</w:t>
      </w:r>
      <w:r w:rsidRPr="00E121E9">
        <w:rPr>
          <w:bCs/>
          <w:iCs/>
        </w:rPr>
        <w:t xml:space="preserve"> order Butterworth filter, downsampling to 5kHz, and artefact rejection set at ±15 µV. Across all of the ABR recordings, the mean number of recording epochs rejected was 0.5% (range 0.0 – 11.7%). This resulted in a mean of ~3,400 artefact-free epochs per recording. The chosen filter settings match the recommendations of the British Society of Audiology for recording ABRs </w:t>
      </w:r>
      <w:r w:rsidRPr="00E121E9">
        <w:rPr>
          <w:bCs/>
          <w:iCs/>
        </w:rPr>
        <w:fldChar w:fldCharType="begin" w:fldLock="1"/>
      </w:r>
      <w:r w:rsidRPr="00E121E9">
        <w:rPr>
          <w:bCs/>
          <w:iCs/>
        </w:rPr>
        <w:instrText>ADDIN CSL_CITATION {"citationItems":[{"id":"ITEM-1","itemData":{"author":[{"dropping-particle":"","family":"British Society of Audiology","given":"","non-dropping-particle":"","parse-names":false,"suffix":""}],"id":"ITEM-1","issue":"February","issued":{"date-parts":[["2019"]]},"number-of-pages":"1-58","publisher":"British Society of Audiology","title":"Recommended Procedure: Auditory Brainstem Response (ABR) testing in Babies","type":"report"},"uris":["http://www.mendeley.com/documents/?uuid=7dfeddc0-8e95-488f-8260-94cbc56835b4"]}],"mendeley":{"formattedCitation":"(British Society of Audiology, 2019)","manualFormatting":"(2019)","plainTextFormattedCitation":"(British Society of Audiology, 2019)","previouslyFormattedCitation":"(British Society of Audiology, 2019)"},"properties":{"noteIndex":0},"schema":"https://github.com/citation-style-language/schema/raw/master/csl-citation.json"}</w:instrText>
      </w:r>
      <w:r w:rsidRPr="00E121E9">
        <w:rPr>
          <w:bCs/>
          <w:iCs/>
        </w:rPr>
        <w:fldChar w:fldCharType="separate"/>
      </w:r>
      <w:r w:rsidRPr="00E121E9">
        <w:rPr>
          <w:bCs/>
          <w:iCs/>
        </w:rPr>
        <w:t>(2019)</w:t>
      </w:r>
      <w:r w:rsidRPr="00E121E9">
        <w:rPr>
          <w:bCs/>
          <w:iCs/>
        </w:rPr>
        <w:fldChar w:fldCharType="end"/>
      </w:r>
      <w:r w:rsidRPr="00E121E9">
        <w:rPr>
          <w:bCs/>
          <w:iCs/>
        </w:rPr>
        <w:t>.</w:t>
      </w:r>
    </w:p>
    <w:p w14:paraId="38C81A92" w14:textId="77777777" w:rsidR="00F97FCE" w:rsidRPr="00E121E9" w:rsidRDefault="00F97FCE">
      <w:pPr>
        <w:spacing w:line="480" w:lineRule="auto"/>
        <w:rPr>
          <w:bCs/>
          <w:iCs/>
        </w:rPr>
      </w:pPr>
    </w:p>
    <w:p w14:paraId="6FB02E13" w14:textId="77777777" w:rsidR="00F97FCE" w:rsidRPr="00E121E9" w:rsidRDefault="00534ED7">
      <w:pPr>
        <w:spacing w:line="480" w:lineRule="auto"/>
        <w:rPr>
          <w:bCs/>
          <w:iCs/>
        </w:rPr>
      </w:pPr>
      <w:r w:rsidRPr="00E121E9">
        <w:rPr>
          <w:bCs/>
          <w:iCs/>
        </w:rPr>
        <w:t xml:space="preserve">The coherent averages of the pre-processed ABR ensembles were later used as templates to simulate ABR ensembles (further discussed below). In order to only use templates where there was a high degree of confidence that a response was present (necessary to ensure the simulation contained a realistic ABR morphology), two independent audiologists were asked to visually inspect the templates to determine whether they contained a response according to the British Society of Audiology </w:t>
      </w:r>
      <w:r w:rsidRPr="00E121E9">
        <w:rPr>
          <w:bCs/>
          <w:iCs/>
        </w:rPr>
        <w:fldChar w:fldCharType="begin" w:fldLock="1"/>
      </w:r>
      <w:r w:rsidRPr="00E121E9">
        <w:rPr>
          <w:bCs/>
          <w:iCs/>
        </w:rPr>
        <w:instrText>ADDIN CSL_CITATION {"citationItems":[{"id":"ITEM-1","itemData":{"author":[{"dropping-particle":"","family":"British Society of Audiology","given":"","non-dropping-particle":"","parse-names":false,"suffix":""}],"id":"ITEM-1","issue":"February","issued":{"date-parts":[["2019"]]},"number-of-pages":"1-58","publisher":"British Society of Audiology","title":"Recommended Procedure: Auditory Brainstem Response (ABR) testing in Babies","type":"report"},"uris":["http://www.mendeley.com/documents/?uuid=7dfeddc0-8e95-488f-8260-94cbc56835b4"]}],"mendeley":{"formattedCitation":"(British Society of Audiology, 2019)","manualFormatting":"(2019)","plainTextFormattedCitation":"(British Society of Audiology, 2019)","previouslyFormattedCitation":"(British Society of Audiology, 2019)"},"properties":{"noteIndex":0},"schema":"https://github.com/citation-style-language/schema/raw/master/csl-citation.json"}</w:instrText>
      </w:r>
      <w:r w:rsidRPr="00E121E9">
        <w:rPr>
          <w:bCs/>
          <w:iCs/>
        </w:rPr>
        <w:fldChar w:fldCharType="separate"/>
      </w:r>
      <w:r w:rsidRPr="00E121E9">
        <w:rPr>
          <w:bCs/>
          <w:iCs/>
        </w:rPr>
        <w:t>(2019)</w:t>
      </w:r>
      <w:r w:rsidRPr="00E121E9">
        <w:rPr>
          <w:bCs/>
          <w:iCs/>
        </w:rPr>
        <w:fldChar w:fldCharType="end"/>
      </w:r>
      <w:r w:rsidRPr="00E121E9">
        <w:rPr>
          <w:bCs/>
          <w:iCs/>
        </w:rPr>
        <w:t xml:space="preserve"> criteria of a clear response for replicated waveforms (there must be a high degree of correlation between the waveforms; waveforms must show the expected ABR morphology, latency and amplitude characteristics; waveforms must follow the expected latency and amplitude changes with stimulus level; and the response amplitude must be ≥ 40 </w:t>
      </w:r>
      <w:proofErr w:type="spellStart"/>
      <w:r w:rsidRPr="00E121E9">
        <w:rPr>
          <w:bCs/>
          <w:iCs/>
        </w:rPr>
        <w:t>nV</w:t>
      </w:r>
      <w:proofErr w:type="spellEnd"/>
      <w:r w:rsidRPr="00E121E9">
        <w:rPr>
          <w:bCs/>
          <w:iCs/>
        </w:rPr>
        <w:t xml:space="preserve"> and ≥ 3 times the background noise level). The waveforms were arranged into two sub-averages (~1,700 epochs each) per stimulus level along with the grand coherent average (</w:t>
      </w:r>
      <w:r w:rsidRPr="00E121E9">
        <w:rPr>
          <w:b/>
          <w:iCs/>
        </w:rPr>
        <w:t>Figure 1</w:t>
      </w:r>
      <w:r w:rsidRPr="00E121E9">
        <w:rPr>
          <w:bCs/>
          <w:iCs/>
        </w:rPr>
        <w:t>). In total, 48 coherent averages which both audiologists independently determined to contain a clear response were used as ABR templates to simulate data. Inter-observer agreement between audiologists was 93% (see Tables, Supplemental Digital Content 1, which shows the independent ABR ratings by the two audiologists). No responses from 0 dB SL were used.</w:t>
      </w:r>
    </w:p>
    <w:p w14:paraId="54E48357" w14:textId="77777777" w:rsidR="00F97FCE" w:rsidRPr="00E121E9" w:rsidRDefault="00F97FCE">
      <w:pPr>
        <w:spacing w:line="480" w:lineRule="auto"/>
        <w:rPr>
          <w:bCs/>
          <w:iCs/>
        </w:rPr>
      </w:pPr>
    </w:p>
    <w:p w14:paraId="5D8F84EF" w14:textId="77777777" w:rsidR="00F97FCE" w:rsidRPr="00E121E9" w:rsidRDefault="00534ED7">
      <w:pPr>
        <w:spacing w:line="480" w:lineRule="auto"/>
        <w:rPr>
          <w:b/>
          <w:i/>
        </w:rPr>
      </w:pPr>
      <w:r w:rsidRPr="00E121E9">
        <w:rPr>
          <w:b/>
          <w:i/>
        </w:rPr>
        <w:t>No-stimulus EEG data</w:t>
      </w:r>
    </w:p>
    <w:p w14:paraId="65EBA6FA" w14:textId="28D22571" w:rsidR="00F97FCE" w:rsidRPr="00E121E9" w:rsidRDefault="00534ED7">
      <w:pPr>
        <w:spacing w:line="480" w:lineRule="auto"/>
        <w:rPr>
          <w:b/>
          <w:iCs/>
        </w:rPr>
      </w:pPr>
      <w:r w:rsidRPr="00E121E9">
        <w:rPr>
          <w:bCs/>
          <w:iCs/>
        </w:rPr>
        <w:lastRenderedPageBreak/>
        <w:t xml:space="preserve">Spontaneous EEG data (i.e. without sound stimulation), previously recorded by </w:t>
      </w:r>
      <w:r w:rsidRPr="00E121E9">
        <w:rPr>
          <w:b/>
          <w:i/>
        </w:rPr>
        <w:fldChar w:fldCharType="begin" w:fldLock="1"/>
      </w:r>
      <w:r w:rsidRPr="00E121E9">
        <w:rPr>
          <w:b/>
          <w:i/>
        </w:rPr>
        <w:instrText>ADDIN CSL_CITATION {"citationItems":[{"id":"ITEM-1","itemData":{"author":[{"dropping-particle":"","family":"Madsen","given":"Sara M. K.","non-dropping-particle":"","parse-names":false,"suffix":""}],"id":"ITEM-1","issued":{"date-parts":[["2010"]]},"publisher":"Technical University of Denmark","title":"Accuracy of averaged auditory evoked potential amplitude and latency estimates","type":"thesis"},"uris":["http://www.mendeley.com/documents/?uuid=84f47c31-b724-4547-8f3c-43a00960a1fe"]},{"id":"ITEM-2","itemData":{"DOI":"10.1080/14992027.2017.1381770","ISSN":"17088186","abstract":"Objective: The aims were to 1) establish which of the four algorithms for estimating residual noise level and signal-to-noise ratio (SNR) in auditory brainstem responses (ABRs) perform better in terms of post-average wave-V peak latency and amplitude errors and 2) determine whether SNR or noise floor is a better stop criterion where the outcome measure is peak latency or amplitude. Design: The performance of the algorithms was evaluated by numerical simulations using an ABR template combined with electroencephalographic (EEG) recordings obtained without sound stimulus. The suitability of a fixed SNR versus a fixed noise floor stop criterion was assessed when variations in the wave-V waveform shape reflecting inter-subject variation was introduced. Study sample: Over 100 hours of raw EEG noise was recorded from 17 adult subjects, under different conditions (e.g. sleep or movement). Results: ABR feature accuracy was similar for the four algorithms. However, it was shown that a fixed noise floor leads to higher ABR wave-V amplitude accuracy; conversely, a fixed SNR yields higher wave-V latency accuracy. Conclusion: Similar performance suggests the use of the less computationally complex algorithms. Different stop criteria are recommended if the ABR peak latency or the amplitude is the outcome measure of interest.","author":[{"dropping-particle":"","family":"Madsen","given":"Sara M.K.","non-dropping-particle":"","parse-names":false,"suffix":""},{"dropping-particle":"","family":"Harte","given":"James M.","non-dropping-particle":"","parse-names":false,"suffix":""},{"dropping-particle":"","family":"Elberling","given":"Claus","non-dropping-particle":"","parse-names":false,"suffix":""},{"dropping-particle":"","family":"Dau","given":"Torsten","non-dropping-particle":"","parse-names":false,"suffix":""}],"container-title":"International Journal of Audiology","id":"ITEM-2","issue":"5","issued":{"date-parts":[["2018","5","4"]]},"page":"345-353","publisher":"Taylor and Francis Ltd","title":"Accuracy of averaged auditory brainstem response amplitude and latency estimates","type":"article-journal","volume":"57"},"uris":["http://www.mendeley.com/documents/?uuid=70271c14-8186-3f52-8805-2616f9f13c27"]}],"mendeley":{"formattedCitation":"(Madsen, 2010; Madsen et al., 2018)","manualFormatting":"Madsen et al, (2010; 2018)","plainTextFormattedCitation":"(Madsen, 2010; Madsen et al., 2018)","previouslyFormattedCitation":"(Madsen, 2010; Madsen et al., 2018)"},"properties":{"noteIndex":0},"schema":"https://github.com/citation-style-language/schema/raw/master/csl-citation.json"}</w:instrText>
      </w:r>
      <w:r w:rsidRPr="00E121E9">
        <w:rPr>
          <w:b/>
          <w:i/>
        </w:rPr>
        <w:fldChar w:fldCharType="separate"/>
      </w:r>
      <w:r w:rsidRPr="00E121E9">
        <w:t>Madsen et al, (2010; 2018)</w:t>
      </w:r>
      <w:r w:rsidRPr="00E121E9">
        <w:rPr>
          <w:b/>
          <w:i/>
        </w:rPr>
        <w:fldChar w:fldCharType="end"/>
      </w:r>
      <w:r w:rsidRPr="00E121E9">
        <w:rPr>
          <w:bCs/>
          <w:iCs/>
        </w:rPr>
        <w:t xml:space="preserve"> were used, which were collected under four conditions: sleep, lying still, blinking, and moving. Only data from the sleep and lying still conditions were used in this analysis</w:t>
      </w:r>
      <w:r w:rsidR="00BA0D22" w:rsidRPr="00E121E9">
        <w:rPr>
          <w:bCs/>
          <w:iCs/>
        </w:rPr>
        <w:t>,</w:t>
      </w:r>
      <w:r w:rsidRPr="00E121E9">
        <w:rPr>
          <w:bCs/>
          <w:iCs/>
        </w:rPr>
        <w:t xml:space="preserve"> forming a database of 15 participants (~6.5 hours of EEG recordings). The no-stimulus EEG data were pre-processed offline in the same manner as the ABR data (described above).</w:t>
      </w:r>
    </w:p>
    <w:p w14:paraId="1C71C314" w14:textId="77777777" w:rsidR="00F97FCE" w:rsidRPr="00E121E9" w:rsidRDefault="00F97FCE">
      <w:pPr>
        <w:spacing w:line="480" w:lineRule="auto"/>
        <w:rPr>
          <w:bCs/>
          <w:iCs/>
        </w:rPr>
      </w:pPr>
    </w:p>
    <w:p w14:paraId="53558C37" w14:textId="77777777" w:rsidR="00F97FCE" w:rsidRPr="00E121E9" w:rsidRDefault="00534ED7">
      <w:pPr>
        <w:spacing w:line="480" w:lineRule="auto"/>
        <w:rPr>
          <w:b/>
          <w:i/>
        </w:rPr>
      </w:pPr>
      <w:r w:rsidRPr="00E121E9">
        <w:rPr>
          <w:b/>
          <w:i/>
        </w:rPr>
        <w:t>Ethics</w:t>
      </w:r>
    </w:p>
    <w:p w14:paraId="13F0EB6E" w14:textId="77777777" w:rsidR="00F97FCE" w:rsidRPr="00E121E9" w:rsidRDefault="00534ED7">
      <w:pPr>
        <w:spacing w:line="480" w:lineRule="auto"/>
      </w:pPr>
      <w:r w:rsidRPr="00E121E9">
        <w:t>This study was granted ethical approval by the University of Southampton Faculty Ethics Committee (ERGO 55576).</w:t>
      </w:r>
    </w:p>
    <w:p w14:paraId="1C849F73" w14:textId="77777777" w:rsidR="00F97FCE" w:rsidRPr="00E121E9" w:rsidRDefault="00F97FCE">
      <w:pPr>
        <w:spacing w:line="480" w:lineRule="auto"/>
      </w:pPr>
    </w:p>
    <w:p w14:paraId="26E5B301" w14:textId="77777777" w:rsidR="00F97FCE" w:rsidRPr="00E121E9" w:rsidRDefault="00534ED7">
      <w:pPr>
        <w:spacing w:line="480" w:lineRule="auto"/>
        <w:rPr>
          <w:b/>
          <w:bCs/>
          <w:i/>
          <w:iCs/>
        </w:rPr>
      </w:pPr>
      <w:r w:rsidRPr="00E121E9">
        <w:rPr>
          <w:b/>
          <w:bCs/>
          <w:i/>
          <w:iCs/>
        </w:rPr>
        <w:t>Data simulation</w:t>
      </w:r>
    </w:p>
    <w:p w14:paraId="5510F7FE" w14:textId="7DE45825" w:rsidR="00F97FCE" w:rsidRPr="00E121E9" w:rsidRDefault="00534ED7">
      <w:pPr>
        <w:spacing w:line="480" w:lineRule="auto"/>
        <w:rPr>
          <w:bCs/>
          <w:iCs/>
        </w:rPr>
      </w:pPr>
      <w:r w:rsidRPr="00E121E9">
        <w:rPr>
          <w:bCs/>
          <w:iCs/>
        </w:rPr>
        <w:t xml:space="preserve">In order to have a sufficiently large dataset on which to train and evaluate a machine learning model, data augmentation was applied, generating simulated recordings based on the subject recorded ABR and no-stimulus EEG data. The frequency domain bootstrap (FDB) </w:t>
      </w:r>
      <w:r w:rsidRPr="00E121E9">
        <w:rPr>
          <w:bCs/>
          <w:iCs/>
        </w:rPr>
        <w:fldChar w:fldCharType="begin" w:fldLock="1"/>
      </w:r>
      <w:r w:rsidRPr="00E121E9">
        <w:rPr>
          <w:bCs/>
          <w:iCs/>
        </w:rPr>
        <w:instrText>ADDIN CSL_CITATION {"citationItems":[{"id":"ITEM-1","itemData":{"author":[{"dropping-particle":"","family":"Chesnaye","given":"M.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M.","non-dropping-particle":"","parse-names":false,"suffix":""}],"container-title":"Manuscript submitted for publication","id":"ITEM-1","issued":{"date-parts":[["2020"]]},"title":"Improving test specificity for automatic auditory evoked response detection using a frequency domain bootstrap","type":"article-journal"},"uris":["http://www.mendeley.com/documents/?uuid=46593b72-afa6-46aa-a141-46f007ff90e3"]}],"mendeley":{"formattedCitation":"(Chesnaye et al., 2020)","plainTextFormattedCitation":"(Chesnaye et al., 2020)","previouslyFormattedCitation":"(Chesnaye et al., 2020)"},"properties":{"noteIndex":0},"schema":"https://github.com/citation-style-language/schema/raw/master/csl-citation.json"}</w:instrText>
      </w:r>
      <w:r w:rsidRPr="00E121E9">
        <w:rPr>
          <w:bCs/>
          <w:iCs/>
        </w:rPr>
        <w:fldChar w:fldCharType="separate"/>
      </w:r>
      <w:r w:rsidRPr="00E121E9">
        <w:rPr>
          <w:bCs/>
          <w:iCs/>
        </w:rPr>
        <w:t>(Chesnaye et al., 202</w:t>
      </w:r>
      <w:r w:rsidRPr="00E121E9">
        <w:rPr>
          <w:bCs/>
          <w:iCs/>
          <w:lang w:val="en-GB"/>
        </w:rPr>
        <w:t>1</w:t>
      </w:r>
      <w:r w:rsidRPr="00E121E9">
        <w:rPr>
          <w:bCs/>
          <w:iCs/>
        </w:rPr>
        <w:t>)</w:t>
      </w:r>
      <w:r w:rsidRPr="00E121E9">
        <w:rPr>
          <w:bCs/>
          <w:iCs/>
        </w:rPr>
        <w:fldChar w:fldCharType="end"/>
      </w:r>
      <w:r w:rsidRPr="00E121E9">
        <w:rPr>
          <w:bCs/>
          <w:iCs/>
        </w:rPr>
        <w:t xml:space="preserve"> was used to simulate numerous realistic and heterogeneous EEG ensembles based on the properties of the subject recorded no-stimulus EEG data. The FDB is a parametric bootstrap method which can be used to generate realistic EEG surrogate data which maintain a comparable spectral composition, envelope and time-varying change in amplitude to the original EEG from which they are derived </w:t>
      </w:r>
      <w:r w:rsidRPr="00E121E9">
        <w:rPr>
          <w:bCs/>
          <w:iCs/>
        </w:rPr>
        <w:fldChar w:fldCharType="begin" w:fldLock="1"/>
      </w:r>
      <w:r w:rsidRPr="00E121E9">
        <w:rPr>
          <w:bCs/>
          <w:iCs/>
        </w:rPr>
        <w:instrText>ADDIN CSL_CITATION {"citationItems":[{"id":"ITEM-1","itemData":{"author":[{"dropping-particle":"","family":"Chesnaye","given":"M.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M.","non-dropping-particle":"","parse-names":false,"suffix":""}],"container-title":"Manuscript submitted for publication","id":"ITEM-1","issued":{"date-parts":[["2020"]]},"title":"Improving test specificity for automatic auditory evoked response detection using a frequency domain bootstrap","type":"article-journal"},"uris":["http://www.mendeley.com/documents/?uuid=46593b72-afa6-46aa-a141-46f007ff90e3"]},{"id":"ITEM-2","itemData":{"DOI":"10.1007/978-1-4612-0099-4_14","author":[{"dropping-particle":"","family":"Paparoditis","given":"Efstathios","non-dropping-particle":"","parse-names":false,"suffix":""}],"container-title":"Empirical Process Techniques for Dependent Data","id":"ITEM-2","issued":{"date-parts":[["2002"]]},"page":"365-381","publisher":"Birkhäuser Boston","title":"Frequency Domain Bootstrap for Time Series","type":"chapter"},"uris":["http://www.mendeley.com/documents/?uuid=56377009-eefe-3d4e-b7ae-791740a39dc6"]}],"mendeley":{"formattedCitation":"(Chesnaye et al., 2020; Paparoditis, 2002)","plainTextFormattedCitation":"(Chesnaye et al., 2020; Paparoditis, 2002)","previouslyFormattedCitation":"(Chesnaye et al., 2020; Paparoditis, 2002)"},"properties":{"noteIndex":0},"schema":"https://github.com/citation-style-language/schema/raw/master/csl-citation.json"}</w:instrText>
      </w:r>
      <w:r w:rsidRPr="00E121E9">
        <w:rPr>
          <w:bCs/>
          <w:iCs/>
        </w:rPr>
        <w:fldChar w:fldCharType="separate"/>
      </w:r>
      <w:r w:rsidRPr="00E121E9">
        <w:rPr>
          <w:bCs/>
          <w:iCs/>
        </w:rPr>
        <w:t>(Chesnaye et al., 202</w:t>
      </w:r>
      <w:r w:rsidRPr="00E121E9">
        <w:rPr>
          <w:bCs/>
          <w:iCs/>
          <w:lang w:val="en-GB"/>
        </w:rPr>
        <w:t>1</w:t>
      </w:r>
      <w:r w:rsidRPr="00E121E9">
        <w:rPr>
          <w:bCs/>
          <w:iCs/>
        </w:rPr>
        <w:t>; Paparoditis, 2002)</w:t>
      </w:r>
      <w:r w:rsidRPr="00E121E9">
        <w:rPr>
          <w:bCs/>
          <w:iCs/>
        </w:rPr>
        <w:fldChar w:fldCharType="end"/>
      </w:r>
      <w:r w:rsidRPr="00E121E9">
        <w:rPr>
          <w:bCs/>
          <w:iCs/>
        </w:rPr>
        <w:t xml:space="preserve">. One portion of these surrogate ensembles were used to simulate ‘response absent’ data. For the remaining portion, the ABR templates derived from the subject recorded ABR data were scaled and added to simulate ‘response present’ data. By virtue of appearing in every recording epoch, the template becomes the </w:t>
      </w:r>
      <w:r w:rsidRPr="00E121E9">
        <w:rPr>
          <w:bCs/>
          <w:i/>
        </w:rPr>
        <w:t>de facto</w:t>
      </w:r>
      <w:r w:rsidRPr="00E121E9">
        <w:rPr>
          <w:bCs/>
          <w:iCs/>
        </w:rPr>
        <w:t xml:space="preserve"> signal. The templates were scaled </w:t>
      </w:r>
      <w:r w:rsidRPr="00E121E9">
        <w:rPr>
          <w:bCs/>
          <w:iCs/>
        </w:rPr>
        <w:lastRenderedPageBreak/>
        <w:t>such that the SNR of the simulated ensemble matched the estimated SNR of the subject recorded ABR ensemble from which they were derived:</w:t>
      </w:r>
    </w:p>
    <w:p w14:paraId="0706A1D2" w14:textId="77777777" w:rsidR="00F97FCE" w:rsidRPr="00E121E9" w:rsidRDefault="00EA2898">
      <w:pPr>
        <w:spacing w:line="480" w:lineRule="auto"/>
        <w:rPr>
          <w:bCs/>
          <w:iCs/>
        </w:rPr>
      </w:pPr>
      <m:oMathPara>
        <m:oMath>
          <m:sSub>
            <m:sSubPr>
              <m:ctrlPr>
                <w:rPr>
                  <w:rFonts w:ascii="Cambria Math" w:hAnsi="Cambria Math"/>
                  <w:bCs/>
                  <w:i/>
                  <w:iCs/>
                </w:rPr>
              </m:ctrlPr>
            </m:sSubPr>
            <m:e>
              <m:r>
                <w:rPr>
                  <w:rFonts w:ascii="Cambria Math" w:hAnsi="Cambria Math"/>
                </w:rPr>
                <m:t>estimated SNR</m:t>
              </m:r>
            </m:e>
            <m:sub>
              <m:r>
                <w:rPr>
                  <w:rFonts w:ascii="Cambria Math" w:hAnsi="Cambria Math"/>
                </w:rPr>
                <m:t>dB</m:t>
              </m:r>
            </m:sub>
          </m:sSub>
          <m:r>
            <w:rPr>
              <w:rFonts w:ascii="Cambria Math" w:hAnsi="Cambria Math"/>
            </w:rPr>
            <m:t xml:space="preserve">=10 </m:t>
          </m:r>
          <m:sSub>
            <m:sSubPr>
              <m:ctrlPr>
                <w:rPr>
                  <w:rFonts w:ascii="Cambria Math" w:hAnsi="Cambria Math"/>
                  <w:bCs/>
                  <w:i/>
                  <w:iCs/>
                </w:rPr>
              </m:ctrlPr>
            </m:sSubPr>
            <m:e>
              <m:r>
                <w:rPr>
                  <w:rFonts w:ascii="Cambria Math" w:hAnsi="Cambria Math"/>
                </w:rPr>
                <m:t>log</m:t>
              </m:r>
            </m:e>
            <m:sub>
              <m:r>
                <w:rPr>
                  <w:rFonts w:ascii="Cambria Math" w:hAnsi="Cambria Math"/>
                </w:rPr>
                <m:t>10</m:t>
              </m:r>
            </m:sub>
          </m:sSub>
          <m:r>
            <w:rPr>
              <w:rFonts w:ascii="Cambria Math" w:hAnsi="Cambria Math"/>
            </w:rPr>
            <m:t xml:space="preserve"> </m:t>
          </m:r>
          <m:f>
            <m:fPr>
              <m:ctrlPr>
                <w:rPr>
                  <w:rFonts w:ascii="Cambria Math" w:hAnsi="Cambria Math"/>
                  <w:bCs/>
                  <w:i/>
                  <w:iCs/>
                </w:rPr>
              </m:ctrlPr>
            </m:fPr>
            <m:num>
              <m:sSub>
                <m:sSubPr>
                  <m:ctrlPr>
                    <w:rPr>
                      <w:rFonts w:ascii="Cambria Math" w:hAnsi="Cambria Math"/>
                      <w:bCs/>
                      <w:i/>
                      <w:iCs/>
                    </w:rPr>
                  </m:ctrlPr>
                </m:sSubPr>
                <m:e>
                  <m:r>
                    <w:rPr>
                      <w:rFonts w:ascii="Cambria Math" w:hAnsi="Cambria Math"/>
                    </w:rPr>
                    <m:t>P</m:t>
                  </m:r>
                </m:e>
                <m:sub>
                  <m:r>
                    <w:rPr>
                      <w:rFonts w:ascii="Cambria Math" w:hAnsi="Cambria Math"/>
                    </w:rPr>
                    <m:t>signal</m:t>
                  </m:r>
                </m:sub>
              </m:sSub>
            </m:num>
            <m:den>
              <m:sSub>
                <m:sSubPr>
                  <m:ctrlPr>
                    <w:rPr>
                      <w:rFonts w:ascii="Cambria Math" w:hAnsi="Cambria Math"/>
                      <w:bCs/>
                      <w:i/>
                      <w:iCs/>
                    </w:rPr>
                  </m:ctrlPr>
                </m:sSubPr>
                <m:e>
                  <m:r>
                    <w:rPr>
                      <w:rFonts w:ascii="Cambria Math" w:hAnsi="Cambria Math"/>
                    </w:rPr>
                    <m:t>P</m:t>
                  </m:r>
                </m:e>
                <m:sub>
                  <m:r>
                    <w:rPr>
                      <w:rFonts w:ascii="Cambria Math" w:hAnsi="Cambria Math"/>
                    </w:rPr>
                    <m:t>noise</m:t>
                  </m:r>
                </m:sub>
              </m:sSub>
            </m:den>
          </m:f>
        </m:oMath>
      </m:oMathPara>
    </w:p>
    <w:p w14:paraId="0EA0F08F" w14:textId="78083E2B" w:rsidR="00F97FCE" w:rsidRPr="00E121E9" w:rsidRDefault="00534ED7">
      <w:pPr>
        <w:spacing w:line="480" w:lineRule="auto"/>
        <w:rPr>
          <w:bCs/>
          <w:iCs/>
        </w:rPr>
      </w:pPr>
      <w:r w:rsidRPr="00E121E9">
        <w:rPr>
          <w:bCs/>
          <w:iCs/>
        </w:rPr>
        <w:t xml:space="preserve">where </w:t>
      </w:r>
      <w:proofErr w:type="spellStart"/>
      <w:r w:rsidRPr="00E121E9">
        <w:rPr>
          <w:bCs/>
          <w:iCs/>
        </w:rPr>
        <w:t>P</w:t>
      </w:r>
      <w:r w:rsidRPr="00E121E9">
        <w:rPr>
          <w:bCs/>
          <w:iCs/>
          <w:vertAlign w:val="subscript"/>
        </w:rPr>
        <w:t>signal</w:t>
      </w:r>
      <w:proofErr w:type="spellEnd"/>
      <w:r w:rsidRPr="00E121E9">
        <w:rPr>
          <w:bCs/>
          <w:iCs/>
        </w:rPr>
        <w:t xml:space="preserve"> is the</w:t>
      </w:r>
      <w:r w:rsidR="00381877" w:rsidRPr="00E121E9">
        <w:rPr>
          <w:bCs/>
          <w:iCs/>
        </w:rPr>
        <w:t xml:space="preserve"> </w:t>
      </w:r>
      <w:r w:rsidR="009131B5" w:rsidRPr="00E121E9">
        <w:rPr>
          <w:bCs/>
          <w:iCs/>
        </w:rPr>
        <w:t xml:space="preserve">average </w:t>
      </w:r>
      <w:r w:rsidRPr="00E121E9">
        <w:rPr>
          <w:bCs/>
          <w:iCs/>
        </w:rPr>
        <w:t xml:space="preserve">power of the coherent average and </w:t>
      </w:r>
      <w:proofErr w:type="spellStart"/>
      <w:r w:rsidRPr="00E121E9">
        <w:rPr>
          <w:bCs/>
          <w:iCs/>
        </w:rPr>
        <w:t>P</w:t>
      </w:r>
      <w:r w:rsidRPr="00E121E9">
        <w:rPr>
          <w:bCs/>
          <w:iCs/>
          <w:vertAlign w:val="subscript"/>
        </w:rPr>
        <w:t>noise</w:t>
      </w:r>
      <w:proofErr w:type="spellEnd"/>
      <w:r w:rsidRPr="00E121E9">
        <w:rPr>
          <w:bCs/>
          <w:iCs/>
        </w:rPr>
        <w:t xml:space="preserve"> the</w:t>
      </w:r>
      <w:r w:rsidR="009131B5" w:rsidRPr="00E121E9">
        <w:rPr>
          <w:bCs/>
          <w:iCs/>
        </w:rPr>
        <w:t xml:space="preserve"> average</w:t>
      </w:r>
      <w:r w:rsidRPr="00E121E9">
        <w:rPr>
          <w:bCs/>
          <w:iCs/>
        </w:rPr>
        <w:t xml:space="preserve"> power of the continuous unaveraged EEG </w:t>
      </w:r>
      <w:r w:rsidRPr="00E121E9">
        <w:rPr>
          <w:bCs/>
          <w:iCs/>
        </w:rPr>
        <w:fldChar w:fldCharType="begin" w:fldLock="1"/>
      </w:r>
      <w:r w:rsidRPr="00E121E9">
        <w:rPr>
          <w:bCs/>
          <w:iCs/>
        </w:rPr>
        <w:instrText>ADDIN CSL_CITATION {"citationItems":[{"id":"ITEM-1","itemData":{"DOI":"10.1080/14992027.2018.1447697","ISSN":"17088186","PMID":"29537327","abstract":"Objective: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Audiology","id":"ITEM-1","issue":"6","issued":{"date-parts":[["2018","6","3"]]},"page":"468-478","publisher":"Taylor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2018)","plainTextFormattedCitation":"(Chesnaye et al., 2018)","previouslyFormattedCitation":"(Chesnaye et al., 2018)"},"properties":{"noteIndex":0},"schema":"https://github.com/citation-style-language/schema/raw/master/csl-citation.json"}</w:instrText>
      </w:r>
      <w:r w:rsidRPr="00E121E9">
        <w:rPr>
          <w:bCs/>
          <w:iCs/>
        </w:rPr>
        <w:fldChar w:fldCharType="separate"/>
      </w:r>
      <w:r w:rsidRPr="00E121E9">
        <w:rPr>
          <w:bCs/>
          <w:iCs/>
        </w:rPr>
        <w:t>(Chesnaye et al., 2018)</w:t>
      </w:r>
      <w:r w:rsidRPr="00E121E9">
        <w:rPr>
          <w:bCs/>
          <w:iCs/>
        </w:rPr>
        <w:fldChar w:fldCharType="end"/>
      </w:r>
      <w:r w:rsidRPr="00E121E9">
        <w:rPr>
          <w:bCs/>
          <w:iCs/>
        </w:rPr>
        <w:t>. In total, 60,000 ABR present and 75,000 no-stimulus ensembles were simulated, which were further partitioned as described below. Equal numbers of ensembles were generated for ensemble sizes of 100, 200, 300, 400, 500, 600, 700, 800, 900, and 1000 epochs.</w:t>
      </w:r>
    </w:p>
    <w:p w14:paraId="4F395DB6" w14:textId="77777777" w:rsidR="00F97FCE" w:rsidRPr="00E121E9" w:rsidRDefault="00F97FCE">
      <w:pPr>
        <w:spacing w:line="480" w:lineRule="auto"/>
        <w:rPr>
          <w:bCs/>
          <w:iCs/>
        </w:rPr>
      </w:pPr>
    </w:p>
    <w:p w14:paraId="66CCFF0F" w14:textId="77777777" w:rsidR="00F97FCE" w:rsidRPr="00E121E9" w:rsidRDefault="00534ED7">
      <w:pPr>
        <w:spacing w:line="480" w:lineRule="auto"/>
        <w:rPr>
          <w:b/>
          <w:i/>
        </w:rPr>
      </w:pPr>
      <w:r w:rsidRPr="00E121E9">
        <w:rPr>
          <w:b/>
          <w:i/>
        </w:rPr>
        <w:t>Data partitioning</w:t>
      </w:r>
    </w:p>
    <w:p w14:paraId="6161CA86" w14:textId="0F857F22" w:rsidR="00F97FCE" w:rsidRPr="00E121E9" w:rsidRDefault="00534ED7">
      <w:pPr>
        <w:spacing w:line="480" w:lineRule="auto"/>
        <w:rPr>
          <w:bCs/>
          <w:iCs/>
        </w:rPr>
      </w:pPr>
      <w:r w:rsidRPr="00E121E9">
        <w:rPr>
          <w:bCs/>
          <w:iCs/>
        </w:rPr>
        <w:t>The simulated data were divided into a training set, threshold set and test set (</w:t>
      </w:r>
      <w:r w:rsidRPr="00E121E9">
        <w:rPr>
          <w:b/>
          <w:iCs/>
        </w:rPr>
        <w:t>Figure 2</w:t>
      </w:r>
      <w:r w:rsidRPr="00E121E9">
        <w:rPr>
          <w:bCs/>
          <w:iCs/>
        </w:rPr>
        <w:t>). The training set was used to train the machine learning models (described in the ‘Machine Learning Models’ section below), fine-tune the hyperparameters (also described below) and select the single best machine learning model. The threshold set was used to set the critical value of the model, such that the desired level of specificity (99%) would be achieved. Finally, the test set (previously unseen during the training and threshold phases) was used to evaluate the performance of the best machine learning model (trained on the entire training set data) and draw comparisons with existing detection methods. The number of ensembles per set was: 90,000 (training set), 15,000 (threshold set – no-stimulus data only), and 30,000 (test set). There was no participant overlap in the subject recorded participant ABR and no-stimulus EEG data which were used to simulate the ensembles between the training, threshold and test sets, i.e. data from each participant (ABR data or no-stimulus EEG data) appeared exclusively in only one of the training, threshold or test sets. Avoiding participant overlap between training and test sets is important in order to</w:t>
      </w:r>
      <w:r w:rsidR="00381AA8" w:rsidRPr="00E121E9">
        <w:rPr>
          <w:bCs/>
          <w:iCs/>
        </w:rPr>
        <w:t xml:space="preserve"> </w:t>
      </w:r>
      <w:r w:rsidRPr="00E121E9">
        <w:rPr>
          <w:bCs/>
          <w:iCs/>
        </w:rPr>
        <w:t xml:space="preserve">achieve a more accurate evaluation of a model’s generalizable performance on unseen data. </w:t>
      </w:r>
    </w:p>
    <w:p w14:paraId="7FA35BFB" w14:textId="77777777" w:rsidR="00F97FCE" w:rsidRPr="00E121E9" w:rsidRDefault="00F97FCE">
      <w:pPr>
        <w:spacing w:line="480" w:lineRule="auto"/>
        <w:jc w:val="center"/>
        <w:rPr>
          <w:bCs/>
          <w:iCs/>
        </w:rPr>
      </w:pPr>
    </w:p>
    <w:p w14:paraId="390C9C34" w14:textId="77777777" w:rsidR="00F97FCE" w:rsidRPr="00E121E9" w:rsidRDefault="00534ED7">
      <w:pPr>
        <w:spacing w:line="480" w:lineRule="auto"/>
        <w:rPr>
          <w:b/>
          <w:i/>
        </w:rPr>
      </w:pPr>
      <w:r w:rsidRPr="00E121E9">
        <w:rPr>
          <w:b/>
          <w:i/>
        </w:rPr>
        <w:t>Selecting the best machine learning algorithm using the training set</w:t>
      </w:r>
    </w:p>
    <w:p w14:paraId="33D13FA6" w14:textId="564C238C" w:rsidR="00F97FCE" w:rsidRPr="00E121E9" w:rsidRDefault="00534ED7">
      <w:pPr>
        <w:spacing w:line="480" w:lineRule="auto"/>
        <w:rPr>
          <w:bCs/>
          <w:iCs/>
        </w:rPr>
      </w:pPr>
      <w:r w:rsidRPr="00E121E9">
        <w:rPr>
          <w:bCs/>
          <w:iCs/>
        </w:rPr>
        <w:fldChar w:fldCharType="begin" w:fldLock="1"/>
      </w:r>
      <w:r w:rsidRPr="00E121E9">
        <w:rPr>
          <w:bCs/>
          <w:iCs/>
        </w:rPr>
        <w:instrText>ADDIN CSL_CITATION {"citationItems":[{"id":"ITEM-1","itemData":{"DOI":"10.1109/4235.585893","ISSN":"1089778X","author":[{"dropping-particle":"","family":"Wolpert","given":"D.H.","non-dropping-particle":"","parse-names":false,"suffix":""},{"dropping-particle":"","family":"Macready","given":"W.G.","non-dropping-particle":"","parse-names":false,"suffix":""}],"container-title":"IEEE Transactions on Evolutionary Computation","id":"ITEM-1","issue":"1","issued":{"date-parts":[["1997","4"]]},"page":"67-82","title":"No free lunch theorems for optimization","type":"article-journal","volume":"1"},"uris":["http://www.mendeley.com/documents/?uuid=773bc1f2-490c-391e-9980-35e72aaf1c55"]}],"mendeley":{"formattedCitation":"(D.H. Wolpert &amp; Macready, 1997)","manualFormatting":"Wolpert &amp; Macready's 'no free lunch' theorem (1997)","plainTextFormattedCitation":"(D.H. Wolpert &amp; Macready, 1997)","previouslyFormattedCitation":"(D.H. Wolpert &amp; Macready, 1997)"},"properties":{"noteIndex":0},"schema":"https://github.com/citation-style-language/schema/raw/master/csl-citation.json"}</w:instrText>
      </w:r>
      <w:r w:rsidRPr="00E121E9">
        <w:rPr>
          <w:bCs/>
          <w:iCs/>
        </w:rPr>
        <w:fldChar w:fldCharType="separate"/>
      </w:r>
      <w:r w:rsidRPr="00E121E9">
        <w:rPr>
          <w:bCs/>
          <w:iCs/>
        </w:rPr>
        <w:t>Wolpert &amp; Macready's 'no free lunch' theorem (1997)</w:t>
      </w:r>
      <w:r w:rsidRPr="00E121E9">
        <w:rPr>
          <w:bCs/>
          <w:iCs/>
        </w:rPr>
        <w:fldChar w:fldCharType="end"/>
      </w:r>
      <w:r w:rsidRPr="00E121E9">
        <w:rPr>
          <w:bCs/>
          <w:iCs/>
        </w:rPr>
        <w:t xml:space="preserve"> suggests that there is no one machine learning algorithm that will perform best for all problems. The nature of the data and classification task must be considered, and multiple machine learning approaches may need to be explored. The first step of this study was therefore to use the training set data to compare several different machine leaning approaches and select the best one for subsequent evaluation using the separate test set data. In this study, the data from the training set was used for three purposes: to train the machine learning models (described below), to fine-tune their hyperparameters (e.g. learning rate and the number of neurons in the neural network), and finally to evaluate (validate) each machine learning algorithm in order to select the best-performing algorithm for further evaluation on the test set. Hyperparameters are </w:t>
      </w:r>
      <w:r w:rsidR="00D05D66" w:rsidRPr="00E121E9">
        <w:rPr>
          <w:bCs/>
          <w:iCs/>
        </w:rPr>
        <w:t xml:space="preserve">tunable </w:t>
      </w:r>
      <w:r w:rsidRPr="00E121E9">
        <w:rPr>
          <w:bCs/>
          <w:iCs/>
        </w:rPr>
        <w:t xml:space="preserve">variables (e.g. the learning rate) which steer the machine learning process, and contrast with </w:t>
      </w:r>
      <w:r w:rsidR="00A074C0" w:rsidRPr="00E121E9">
        <w:rPr>
          <w:bCs/>
          <w:iCs/>
        </w:rPr>
        <w:t xml:space="preserve">model </w:t>
      </w:r>
      <w:r w:rsidRPr="00E121E9">
        <w:rPr>
          <w:bCs/>
          <w:iCs/>
        </w:rPr>
        <w:t xml:space="preserve">parameters </w:t>
      </w:r>
      <w:r w:rsidR="00A074C0" w:rsidRPr="00E121E9">
        <w:rPr>
          <w:bCs/>
          <w:iCs/>
        </w:rPr>
        <w:t>which</w:t>
      </w:r>
      <w:r w:rsidRPr="00E121E9">
        <w:rPr>
          <w:bCs/>
          <w:iCs/>
        </w:rPr>
        <w:t xml:space="preserve"> are learnt directly from the data during the training process and are used to make predictions. Model training, hyperparameter tuning and algorithm selection need to be independent in order to prevent one process from influencing another, potentially leading to an optimistic bias when estimating model performance in a way that can be generalized to unseen data. Nested k-fold cross-validation is a technique for resampling without replacement which is able to achieve this </w:t>
      </w:r>
      <w:r w:rsidRPr="00E121E9">
        <w:rPr>
          <w:bCs/>
          <w:iCs/>
        </w:rPr>
        <w:fldChar w:fldCharType="begin" w:fldLock="1"/>
      </w:r>
      <w:r w:rsidRPr="00E121E9">
        <w:rPr>
          <w:bCs/>
          <w:iCs/>
        </w:rPr>
        <w:instrText>ADDIN CSL_CITATION {"citationItems":[{"id":"ITEM-1","itemData":{"DOI":"10.1186/1471-2105-7-91","ISSN":"14712105","PMID":"16504092","abstract":"Background: Cross-validation (CV) is an effective method for estimating the prediction error of a classifier. Some recent articles have proposed methods for optimizing classifiers by choosing classifier parameter values that minimize the CV error estimate. We have evaluated the validity of using the CV error estimate of the optimized classifier as an estimate of the true error expected on independent data. Results: We used CV to optimize the classification parameters for two kinds of classifiers; Shrunken Centroids and Support Vector Machines (SVM). Random training datasets were created, with no difference in the distribution of the features between the two classes. Using these \"null\" datasets, we selected classifier parameter values that minimized the CV error estimate. 10-fold CV was used for Shrunken Centroids while Leave-One-Out-CV (LOOCV) was used for the SVM. Independent test data was created to estimate the true error. With \"null\" anb \"non null\" (with differential expression between the classes) data, we also tested a nested CV procedure, where an inner CV loop is used to perform the tuning of the parameters while an outer CV is used to compute an estimate of the error. The CV error estimate for the classifier with the optimal parameters was found to be a substantially biased estimate of the true error that the classifier would incur on independent data. Even though there is no real difference between the two classes for the \"null\" datasets, the CV error estimate for the Shrunken Centroid with the optimal parameters was less than 30% on 18.5% of simulated training data-sets. For SVM with optimal parameters the estimated error rate was less than 30% on 38% of \"null\" data-sets. Performance of the optimized classifiers on the independent test set was no better than chance. The nested CV procedure reduces the bias considerably and gives an estimate of the error that is very close to that obtained on the independent testing set for both Shrunken Centroids and SVM classifiers for \"null\" and \"non-null\" data distributions. Conclusion: We show that using CV to compute an error estimate for a classifier that has itself been tuned using CV gives a significantly biased estimate of the true error. Proper use of CV for estimating true error of a classifier developed using a well defined algorithm requires that all steps of the algorithm, including classifier parameter tuning, be repeated in each CV loop. A nested CV procedure provides an almost unbiased estima…","author":[{"dropping-particle":"","family":"Varma","given":"Sudhir","non-dropping-particle":"","parse-names":false,"suffix":""},{"dropping-particle":"","family":"Simon","given":"Richard","non-dropping-particle":"","parse-names":false,"suffix":""}],"container-title":"BMC Bioinformatics","id":"ITEM-1","issue":"1","issued":{"date-parts":[["2006","2","23"]]},"page":"91","publisher":"BioMed Central","title":"Bias in error estimation when using cross-validation for model selection","type":"article-journal","volume":"7"},"uris":["http://www.mendeley.com/documents/?uuid=6cd8a52b-9ab8-3a2f-9787-7bfeaa083d4b"]}],"mendeley":{"formattedCitation":"(Varma &amp; Simon, 2006)","plainTextFormattedCitation":"(Varma &amp; Simon, 2006)","previouslyFormattedCitation":"(Varma &amp; Simon, 2006)"},"properties":{"noteIndex":0},"schema":"https://github.com/citation-style-language/schema/raw/master/csl-citation.json"}</w:instrText>
      </w:r>
      <w:r w:rsidRPr="00E121E9">
        <w:rPr>
          <w:bCs/>
          <w:iCs/>
        </w:rPr>
        <w:fldChar w:fldCharType="separate"/>
      </w:r>
      <w:r w:rsidRPr="00E121E9">
        <w:rPr>
          <w:bCs/>
          <w:iCs/>
        </w:rPr>
        <w:t>(Varma &amp; Simon, 2006)</w:t>
      </w:r>
      <w:r w:rsidRPr="00E121E9">
        <w:rPr>
          <w:bCs/>
          <w:iCs/>
        </w:rPr>
        <w:fldChar w:fldCharType="end"/>
      </w:r>
      <w:r w:rsidRPr="00E121E9">
        <w:rPr>
          <w:bCs/>
          <w:iCs/>
        </w:rPr>
        <w:t>. Over multiple iterations, different subsets (‘folds’) of the data are used to train the model, select the best hyperparameters and finally to select the best algorithm. The inner loop of nested cross-validation (leave</w:t>
      </w:r>
      <w:r w:rsidR="00BB5353" w:rsidRPr="00E121E9">
        <w:rPr>
          <w:bCs/>
          <w:iCs/>
        </w:rPr>
        <w:t>-</w:t>
      </w:r>
      <w:r w:rsidRPr="00E121E9">
        <w:rPr>
          <w:bCs/>
          <w:iCs/>
        </w:rPr>
        <w:t>one</w:t>
      </w:r>
      <w:r w:rsidR="00BB5353" w:rsidRPr="00E121E9">
        <w:rPr>
          <w:bCs/>
          <w:iCs/>
        </w:rPr>
        <w:t>-</w:t>
      </w:r>
      <w:r w:rsidRPr="00E121E9">
        <w:rPr>
          <w:bCs/>
          <w:iCs/>
        </w:rPr>
        <w:t>group</w:t>
      </w:r>
      <w:r w:rsidR="00BB5353" w:rsidRPr="00E121E9">
        <w:rPr>
          <w:bCs/>
          <w:iCs/>
        </w:rPr>
        <w:t>-</w:t>
      </w:r>
      <w:r w:rsidRPr="00E121E9">
        <w:rPr>
          <w:bCs/>
          <w:iCs/>
        </w:rPr>
        <w:t>out) is used to select the optimal hyperparameters. The outer loop is used to train the model using the optimized hyperparameters and then evaluate the model on a separate fold of data, again using leave</w:t>
      </w:r>
      <w:r w:rsidR="00BB5353" w:rsidRPr="00E121E9">
        <w:rPr>
          <w:bCs/>
          <w:iCs/>
        </w:rPr>
        <w:t>-</w:t>
      </w:r>
      <w:r w:rsidRPr="00E121E9">
        <w:rPr>
          <w:bCs/>
          <w:iCs/>
        </w:rPr>
        <w:t>one</w:t>
      </w:r>
      <w:r w:rsidR="00BB5353" w:rsidRPr="00E121E9">
        <w:rPr>
          <w:bCs/>
          <w:iCs/>
        </w:rPr>
        <w:t>-</w:t>
      </w:r>
      <w:r w:rsidRPr="00E121E9">
        <w:rPr>
          <w:bCs/>
          <w:iCs/>
        </w:rPr>
        <w:t>group</w:t>
      </w:r>
      <w:r w:rsidR="00BB5353" w:rsidRPr="00E121E9">
        <w:rPr>
          <w:bCs/>
          <w:iCs/>
        </w:rPr>
        <w:t>-</w:t>
      </w:r>
      <w:r w:rsidRPr="00E121E9">
        <w:rPr>
          <w:bCs/>
          <w:iCs/>
        </w:rPr>
        <w:t xml:space="preserve">out cross-validation. There were 9 outer loop folds, with each fold/group containing data from one unique no-stimulus EEG and </w:t>
      </w:r>
      <w:r w:rsidRPr="00E121E9">
        <w:rPr>
          <w:bCs/>
          <w:iCs/>
        </w:rPr>
        <w:lastRenderedPageBreak/>
        <w:t xml:space="preserve">ABR participant i.e. no participant overlap between folds. The inner loop contained 8 folds/groups. </w:t>
      </w:r>
      <w:r w:rsidR="00BB5353" w:rsidRPr="00E121E9">
        <w:rPr>
          <w:bCs/>
          <w:iCs/>
        </w:rPr>
        <w:t xml:space="preserve">The choice of 9 folds in the outer loop and 8 folds in the inner loop reflects the leave-one-group-out cross-validation strategy employed and the </w:t>
      </w:r>
      <w:r w:rsidR="00BB5353" w:rsidRPr="00E121E9">
        <w:rPr>
          <w:rFonts w:cstheme="minorHAnsi"/>
        </w:rPr>
        <w:t>number of participants who contributed ABR or no-stimulus EEG data to the training set. This cross-validation strategy was chosen based on the size of the dataset to maximize the amount of training data available in each iteration of cross-validation. This comes at the expense of increased computational cost compared to group cross-validation using a lower number of folds</w:t>
      </w:r>
      <w:r w:rsidRPr="00E121E9">
        <w:rPr>
          <w:bCs/>
          <w:iCs/>
        </w:rPr>
        <w:t>.</w:t>
      </w:r>
    </w:p>
    <w:p w14:paraId="7D838517" w14:textId="77777777" w:rsidR="00F97FCE" w:rsidRPr="00E121E9" w:rsidRDefault="00F97FCE">
      <w:pPr>
        <w:spacing w:line="480" w:lineRule="auto"/>
        <w:rPr>
          <w:bCs/>
          <w:iCs/>
        </w:rPr>
      </w:pPr>
    </w:p>
    <w:p w14:paraId="3995AFA1" w14:textId="77777777" w:rsidR="00F97FCE" w:rsidRPr="00E121E9" w:rsidRDefault="00534ED7">
      <w:pPr>
        <w:spacing w:line="480" w:lineRule="auto"/>
        <w:rPr>
          <w:bCs/>
          <w:i/>
        </w:rPr>
      </w:pPr>
      <w:r w:rsidRPr="00E121E9">
        <w:rPr>
          <w:bCs/>
          <w:i/>
        </w:rPr>
        <w:t>Hyperparameter selection</w:t>
      </w:r>
    </w:p>
    <w:p w14:paraId="3E7F7919" w14:textId="77777777" w:rsidR="00F97FCE" w:rsidRPr="00E121E9" w:rsidRDefault="00534ED7">
      <w:pPr>
        <w:spacing w:line="480" w:lineRule="auto"/>
        <w:rPr>
          <w:iCs/>
        </w:rPr>
      </w:pPr>
      <w:r w:rsidRPr="00E121E9">
        <w:rPr>
          <w:bCs/>
          <w:iCs/>
        </w:rPr>
        <w:t xml:space="preserve">The hyperparameter space is often vast and it is not known </w:t>
      </w:r>
      <w:r w:rsidRPr="00E121E9">
        <w:rPr>
          <w:bCs/>
          <w:i/>
        </w:rPr>
        <w:t>a priori</w:t>
      </w:r>
      <w:r w:rsidRPr="00E121E9">
        <w:rPr>
          <w:bCs/>
          <w:iCs/>
        </w:rPr>
        <w:t xml:space="preserve"> which hyperparameter combination will be best. Hyperparameters need to be methodically selected, typically within k-fold cross-validation which is computationally expensive. A compromise is therefore sought between exploring a wide range of hyperparameters and computational effort. Hyperparameter optimization in this study was performed using a randomized search of the hyperparameter space within nested k-fold cross-validation </w:t>
      </w:r>
      <w:r w:rsidRPr="00E121E9">
        <w:rPr>
          <w:bCs/>
          <w:iCs/>
        </w:rPr>
        <w:fldChar w:fldCharType="begin" w:fldLock="1"/>
      </w:r>
      <w:r w:rsidRPr="00E121E9">
        <w:rPr>
          <w:bCs/>
          <w:iCs/>
        </w:rPr>
        <w:instrText>ADDIN CSL_CITATION {"citationItems":[{"id":"ITEM-1","itemData":{"author":[{"dropping-particle":"","family":"Bergstra","given":"James","non-dropping-particle":"","parse-names":false,"suffix":""},{"dropping-particle":"","family":"Bengio","given":"Yoshua","non-dropping-particle":"","parse-names":false,"suffix":""}],"container-title":"Journal of Machine Learning Research","id":"ITEM-1","issued":{"date-parts":[["2012"]]},"page":"281-305","title":"Random Search for Hyper-Parameter Optimization","type":"article-journal","volume":"13"},"uris":["http://www.mendeley.com/documents/?uuid=b0a54fb4-a78c-33b4-b79c-81480f07f9d1"]}],"mendeley":{"formattedCitation":"(Bergstra &amp; Bengio, 2012)","plainTextFormattedCitation":"(Bergstra &amp; Bengio, 2012)","previouslyFormattedCitation":"(Bergstra &amp; Bengio, 2012)"},"properties":{"noteIndex":0},"schema":"https://github.com/citation-style-language/schema/raw/master/csl-citation.json"}</w:instrText>
      </w:r>
      <w:r w:rsidRPr="00E121E9">
        <w:rPr>
          <w:bCs/>
          <w:iCs/>
        </w:rPr>
        <w:fldChar w:fldCharType="separate"/>
      </w:r>
      <w:r w:rsidRPr="00E121E9">
        <w:rPr>
          <w:bCs/>
          <w:iCs/>
        </w:rPr>
        <w:t>(Bergstra &amp; Bengio, 2012)</w:t>
      </w:r>
      <w:r w:rsidRPr="00E121E9">
        <w:rPr>
          <w:bCs/>
          <w:iCs/>
        </w:rPr>
        <w:fldChar w:fldCharType="end"/>
      </w:r>
      <w:r w:rsidRPr="00E121E9">
        <w:rPr>
          <w:bCs/>
          <w:iCs/>
        </w:rPr>
        <w:t>.</w:t>
      </w:r>
    </w:p>
    <w:p w14:paraId="3B55841B" w14:textId="77777777" w:rsidR="00F97FCE" w:rsidRPr="00E121E9" w:rsidRDefault="00F97FCE">
      <w:pPr>
        <w:spacing w:line="480" w:lineRule="auto"/>
        <w:rPr>
          <w:bCs/>
          <w:iCs/>
        </w:rPr>
      </w:pPr>
    </w:p>
    <w:p w14:paraId="5AB9D959" w14:textId="77777777" w:rsidR="00F97FCE" w:rsidRPr="00E121E9" w:rsidRDefault="00534ED7">
      <w:pPr>
        <w:spacing w:line="480" w:lineRule="auto"/>
        <w:rPr>
          <w:bCs/>
          <w:i/>
        </w:rPr>
      </w:pPr>
      <w:r w:rsidRPr="00E121E9">
        <w:rPr>
          <w:bCs/>
          <w:i/>
        </w:rPr>
        <w:t>Evaluation metric</w:t>
      </w:r>
    </w:p>
    <w:p w14:paraId="26D4077F" w14:textId="77777777" w:rsidR="00F97FCE" w:rsidRPr="00E121E9" w:rsidRDefault="00534ED7">
      <w:pPr>
        <w:spacing w:line="480" w:lineRule="auto"/>
        <w:rPr>
          <w:bCs/>
          <w:iCs/>
        </w:rPr>
      </w:pPr>
      <w:r w:rsidRPr="00E121E9">
        <w:rPr>
          <w:bCs/>
          <w:iCs/>
        </w:rPr>
        <w:t xml:space="preserve">In order to evaluate and compare the performance of machine learning algorithms and select the optimal hyperparameters, it is necessary to select an evaluation metric. The Receiver Operating Characteristic Area Under the Curve (ROC AUC) is an evaluation metric which amalgamates information regarding both sensitivity and specificity without the need for a critical value to be set </w:t>
      </w:r>
      <w:r w:rsidRPr="00E121E9">
        <w:rPr>
          <w:bCs/>
          <w:i/>
        </w:rPr>
        <w:t>a priori</w:t>
      </w:r>
      <w:r w:rsidRPr="00E121E9">
        <w:rPr>
          <w:bCs/>
          <w:iCs/>
        </w:rPr>
        <w:t xml:space="preserve">. The ROC curve represents the ability of a binary classifier to correctly discriminate between outcomes (here between ‘response present’ and ‘response absent’) as its detection threshold is varied. The area under the ROC curve (AUC) is widely accepted as an effective evaluation metric when comparing detection methods </w:t>
      </w:r>
      <w:r w:rsidRPr="00E121E9">
        <w:rPr>
          <w:bCs/>
          <w:iCs/>
        </w:rPr>
        <w:fldChar w:fldCharType="begin" w:fldLock="1"/>
      </w:r>
      <w:r w:rsidRPr="00E121E9">
        <w:rPr>
          <w:bCs/>
          <w:iCs/>
        </w:rPr>
        <w:instrText>ADDIN CSL_CITATION {"citationItems":[{"id":"ITEM-1","itemData":{"DOI":"10.1016/j.patrec.2005.10.010","ISSN":"01678655","abstract":"Receiver operating characteristics (ROC) graphs are useful for organizing classifiers and visualizing their performance. ROC graphs are commonly used in medical decision making, and in recent years have been used increasingly in machine learning and data mining research. Although ROC graphs are apparently simple, there are some common misconceptions and pitfalls when using them in practice. The purpose of this article is to serve as an introduction to ROC graphs and as a guide for using them in research. © 2005 Elsevier B.V. All rights reserved.","author":[{"dropping-particle":"","family":"Fawcett","given":"Tom","non-dropping-particle":"","parse-names":false,"suffix":""}],"container-title":"Pattern Recognition Letters","id":"ITEM-1","issue":"8","issued":{"date-parts":[["2006","6","1"]]},"page":"861-874","publisher":"North-Holland","title":"An introduction to ROC analysis","type":"article-journal","volume":"27"},"uris":["http://www.mendeley.com/documents/?uuid=d291d6e3-5fca-3ea1-8a8b-4ff39ad52428"]}],"mendeley":{"formattedCitation":"(Fawcett, 2006)","plainTextFormattedCitation":"(Fawcett, 2006)","previouslyFormattedCitation":"(Fawcett, 2006)"},"properties":{"noteIndex":0},"schema":"https://github.com/citation-style-language/schema/raw/master/csl-citation.json"}</w:instrText>
      </w:r>
      <w:r w:rsidRPr="00E121E9">
        <w:rPr>
          <w:bCs/>
          <w:iCs/>
        </w:rPr>
        <w:fldChar w:fldCharType="separate"/>
      </w:r>
      <w:r w:rsidRPr="00E121E9">
        <w:rPr>
          <w:bCs/>
          <w:iCs/>
        </w:rPr>
        <w:t xml:space="preserve">(Fawcett, </w:t>
      </w:r>
      <w:r w:rsidRPr="00E121E9">
        <w:rPr>
          <w:bCs/>
          <w:iCs/>
        </w:rPr>
        <w:lastRenderedPageBreak/>
        <w:t>2006)</w:t>
      </w:r>
      <w:r w:rsidRPr="00E121E9">
        <w:rPr>
          <w:bCs/>
          <w:iCs/>
        </w:rPr>
        <w:fldChar w:fldCharType="end"/>
      </w:r>
      <w:r w:rsidRPr="00E121E9">
        <w:rPr>
          <w:bCs/>
          <w:iCs/>
        </w:rPr>
        <w:t>, and was used during training to both optimize model hyperparameters and to select the best machine learning algorithm.</w:t>
      </w:r>
    </w:p>
    <w:p w14:paraId="2F3056A6" w14:textId="77777777" w:rsidR="00F97FCE" w:rsidRPr="00E121E9" w:rsidRDefault="00F97FCE">
      <w:pPr>
        <w:spacing w:line="480" w:lineRule="auto"/>
        <w:rPr>
          <w:bCs/>
          <w:i/>
        </w:rPr>
      </w:pPr>
    </w:p>
    <w:p w14:paraId="6C78EB07" w14:textId="77777777" w:rsidR="00F97FCE" w:rsidRPr="00E121E9" w:rsidRDefault="00534ED7">
      <w:pPr>
        <w:spacing w:line="480" w:lineRule="auto"/>
        <w:rPr>
          <w:b/>
          <w:i/>
        </w:rPr>
      </w:pPr>
      <w:r w:rsidRPr="00E121E9">
        <w:rPr>
          <w:b/>
          <w:i/>
        </w:rPr>
        <w:t>Test set sensitivity and specificity analysis</w:t>
      </w:r>
    </w:p>
    <w:p w14:paraId="75DD6BBE" w14:textId="155D0235" w:rsidR="00F97FCE" w:rsidRPr="00E121E9" w:rsidRDefault="00534ED7">
      <w:pPr>
        <w:spacing w:line="480" w:lineRule="auto"/>
        <w:rPr>
          <w:bCs/>
          <w:iCs/>
        </w:rPr>
      </w:pPr>
      <w:r w:rsidRPr="00E121E9">
        <w:rPr>
          <w:bCs/>
          <w:iCs/>
        </w:rPr>
        <w:t xml:space="preserve">Whilst ROC-AUC provides a single metric for evaluating specificity and sensitivity in combination, it does not quantify performance at any specific, clinically desirable false positive rate. A positive result in this context refers to the detection of an ABR, rather than the detection of a hearing loss. In the case of ABR detection, a false positive result would mean an incorrect ‘pass’ result for a newborn hearing screening test for a child who should otherwise have been referred onwards for further diagnostic assessment and subsequent audiological habilitation as appropriate. It can therefore be argued that the clinically relevant portion of the ROC curve corresponds to low false-positive rates and so in the present study the sensitivity will be investigated for a set specificity level of 99%, providing a false-positive rate of 0.01. This level of specificity was chosen as in clinical practice it is important to have a high degree of certainty when deciding that a response is present </w:t>
      </w:r>
      <w:r w:rsidRPr="00E121E9">
        <w:rPr>
          <w:bCs/>
          <w:iCs/>
        </w:rPr>
        <w:fldChar w:fldCharType="begin" w:fldLock="1"/>
      </w:r>
      <w:r w:rsidRPr="00E121E9">
        <w:rPr>
          <w:bCs/>
          <w:iCs/>
        </w:rPr>
        <w:instrText>ADDIN CSL_CITATION {"citationItems":[{"id":"ITEM-1","itemData":{"author":[{"dropping-particle":"","family":"British Society of Audiology","given":"","non-dropping-particle":"","parse-names":false,"suffix":""}],"id":"ITEM-1","issue":"February","issued":{"date-parts":[["2019"]]},"number-of-pages":"1-58","publisher":"British Society of Audiology","title":"Recommended Procedure: Auditory Brainstem Response (ABR) testing in Babies","type":"report"},"uris":["http://www.mendeley.com/documents/?uuid=7dfeddc0-8e95-488f-8260-94cbc56835b4"]},{"id":"ITEM-2","itemData":{"DOI":"10.1080/14992027.2018.1447697","ISSN":"17088186","PMID":"29537327","abstract":"Objective: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Audiology","id":"ITEM-2","issue":"6","issued":{"date-parts":[["2018","6","3"]]},"page":"468-478","publisher":"Taylor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time","type":"article","volume":"57"},"uris":["http://www.mendeley.com/documents/?uuid=795663c5-b428-3a32-9e9f-20e9fb07eef0"]}],"mendeley":{"formattedCitation":"(British Society of Audiology, 2019; Chesnaye et al., 2018)","manualFormatting":"(British Society of Audiology, 2019)","plainTextFormattedCitation":"(British Society of Audiology, 2019; Chesnaye et al., 2018)","previouslyFormattedCitation":"(British Society of Audiology, 2019; Chesnaye et al., 2018)"},"properties":{"noteIndex":0},"schema":"https://github.com/citation-style-language/schema/raw/master/csl-citation.json"}</w:instrText>
      </w:r>
      <w:r w:rsidRPr="00E121E9">
        <w:rPr>
          <w:bCs/>
          <w:iCs/>
        </w:rPr>
        <w:fldChar w:fldCharType="separate"/>
      </w:r>
      <w:r w:rsidRPr="00E121E9">
        <w:rPr>
          <w:bCs/>
          <w:iCs/>
        </w:rPr>
        <w:t>(British Society of Audiology, 2019)</w:t>
      </w:r>
      <w:r w:rsidRPr="00E121E9">
        <w:rPr>
          <w:bCs/>
          <w:iCs/>
        </w:rPr>
        <w:fldChar w:fldCharType="end"/>
      </w:r>
      <w:r w:rsidRPr="00E121E9">
        <w:rPr>
          <w:bCs/>
          <w:iCs/>
        </w:rPr>
        <w:t xml:space="preserve">. </w:t>
      </w:r>
      <w:r w:rsidRPr="00E121E9">
        <w:rPr>
          <w:bCs/>
          <w:iCs/>
          <w:lang w:val="en-GB"/>
        </w:rPr>
        <w:t>With the exception of the</w:t>
      </w:r>
      <w:r w:rsidR="0047663A" w:rsidRPr="00E121E9">
        <w:rPr>
          <w:bCs/>
          <w:iCs/>
          <w:lang w:val="en-GB"/>
        </w:rPr>
        <w:t xml:space="preserve"> various</w:t>
      </w:r>
      <w:r w:rsidRPr="00E121E9">
        <w:rPr>
          <w:bCs/>
          <w:iCs/>
          <w:lang w:val="en-GB"/>
        </w:rPr>
        <w:t xml:space="preserve"> modified q-sample </w:t>
      </w:r>
      <w:r w:rsidR="005D6ED3" w:rsidRPr="00E121E9">
        <w:rPr>
          <w:bCs/>
          <w:iCs/>
          <w:lang w:val="en-GB"/>
        </w:rPr>
        <w:t xml:space="preserve">uniform scores test </w:t>
      </w:r>
      <w:r w:rsidRPr="00E121E9">
        <w:rPr>
          <w:bCs/>
          <w:iCs/>
          <w:lang w:val="en-GB"/>
        </w:rPr>
        <w:t>statistic</w:t>
      </w:r>
      <w:r w:rsidR="0047663A" w:rsidRPr="00E121E9">
        <w:rPr>
          <w:bCs/>
          <w:iCs/>
          <w:lang w:val="en-GB"/>
        </w:rPr>
        <w:t>s</w:t>
      </w:r>
      <w:r w:rsidRPr="00E121E9">
        <w:rPr>
          <w:bCs/>
          <w:iCs/>
          <w:lang w:val="en-GB"/>
        </w:rPr>
        <w:t xml:space="preserve"> (</w:t>
      </w:r>
      <w:proofErr w:type="spellStart"/>
      <w:r w:rsidRPr="00E121E9">
        <w:t>Stürzebecher</w:t>
      </w:r>
      <w:proofErr w:type="spellEnd"/>
      <w:r w:rsidRPr="00E121E9">
        <w:t xml:space="preserve"> et al., 2001</w:t>
      </w:r>
      <w:r w:rsidRPr="00E121E9">
        <w:rPr>
          <w:bCs/>
          <w:iCs/>
          <w:lang w:val="en-GB"/>
        </w:rPr>
        <w:t xml:space="preserve">), </w:t>
      </w:r>
      <w:r w:rsidR="005B28E1" w:rsidRPr="00E121E9">
        <w:rPr>
          <w:bCs/>
          <w:iCs/>
        </w:rPr>
        <w:t>commonly</w:t>
      </w:r>
      <w:r w:rsidRPr="00E121E9">
        <w:rPr>
          <w:bCs/>
          <w:iCs/>
        </w:rPr>
        <w:t xml:space="preserve"> used statistical detection methods such as </w:t>
      </w:r>
      <w:r w:rsidRPr="00E121E9">
        <w:t xml:space="preserve">the Fsp </w:t>
      </w:r>
      <w:r w:rsidRPr="00E121E9">
        <w:fldChar w:fldCharType="begin" w:fldLock="1"/>
      </w:r>
      <w:r w:rsidRPr="00E121E9">
        <w:instrText>ADDIN CSL_CITATION {"citationItems":[{"id":"ITEM-1","itemData":{"ISSN":"0105-0397","PMID":"6494805","abstract":"In its clinical use, the auditory brainstem responses, ABR, are recovered from the background noise by averaging a number of post-stimulus time epochs, sweeps. Normally, the test protocol prescribes a fixed number of sweeps to be employed and recording of replications is frequently recommended, too. Since both the ABR and the background noise differ in magnitude among patients and test sessions, such a test protocol can never ensure a given minimum \"quality\" or signal-to-noise ratio, SNR, of the averaged ABR. In an attempt to solve this problem, a method is proposed to evaluate, in statistical terms, the \"quality\" or SNR of the averaged recording. This is done by calculating the ratio between the estimated magnitude of the ABR and that of the averaged background noise. The method can be employed \"on-line\" in an adaptive strategy to estimate the number of sweeps necessary to obtain a given minimum \"quality\" of the averaged ABR. It can be used in suprathreshold recordings as well as in automatic \"threshold\" detection and it is a practical tool to analyze and improve the cost-benefit of the ABR test.","author":[{"dropping-particle":"","family":"Elberling","given":"C","non-dropping-particle":"","parse-names":false,"suffix":""},{"dropping-particle":"","family":"Don","given":"M","non-dropping-particle":"","parse-names":false,"suffix":""}],"container-title":"Scandinavian audiology","id":"ITEM-1","issue":"3","issued":{"date-parts":[["1984"]]},"page":"187-97","title":"Quality estimation of averaged auditory brainstem responses.","type":"article-journal","volume":"13"},"uris":["http://www.mendeley.com/documents/?uuid=35d1fe5a-3597-31e8-aff5-3630b21fee7c"]}],"mendeley":{"formattedCitation":"(Elberling &amp; Don, 1984)","plainTextFormattedCitation":"(Elberling &amp; Don, 1984)","previouslyFormattedCitation":"(Elberling &amp; Don, 1984)"},"properties":{"noteIndex":0},"schema":"https://github.com/citation-style-language/schema/raw/master/csl-citation.json"}</w:instrText>
      </w:r>
      <w:r w:rsidRPr="00E121E9">
        <w:fldChar w:fldCharType="separate"/>
      </w:r>
      <w:r w:rsidRPr="00E121E9">
        <w:t>(Elberling &amp; Don, 1984)</w:t>
      </w:r>
      <w:r w:rsidRPr="00E121E9">
        <w:fldChar w:fldCharType="end"/>
      </w:r>
      <w:r w:rsidRPr="00E121E9">
        <w:t>, Fmp</w:t>
      </w:r>
      <w:r w:rsidRPr="00E121E9">
        <w:rPr>
          <w:vertAlign w:val="subscript"/>
        </w:rPr>
        <w:t xml:space="preserve"> </w:t>
      </w:r>
      <w:r w:rsidRPr="00E121E9">
        <w:rPr>
          <w:vertAlign w:val="subscript"/>
        </w:rPr>
        <w:fldChar w:fldCharType="begin" w:fldLock="1"/>
      </w:r>
      <w:r w:rsidRPr="00E121E9">
        <w:rPr>
          <w:vertAlign w:val="subscript"/>
        </w:rPr>
        <w:instrText>ADDIN CSL_CITATION {"citationItems":[{"id":"ITEM-1","itemData":{"ISSN":"0105-0397","PMID":"10718676","abstract":"Newborn hearing screening with auditory brainstem potentials (ABR) requires objective ABR detection by a statistical test procedure with high performance. Statistical testing can be performed in the time or frequency domain. The aim of the present study was to compare the performance of three tests in the time domain (Friedman test, variance ratio F(SP), Cochran's Q-test) with that of a test in the frequency domain (modified q-sample uniform scores test) that, in a former investigation, was shown to be the best test in the frequency domain. To compare the performance of the four tests, the test power was calculated and receiver operating characteristics (ROCs) were constructed from the probability density functions estimated using Monte Carlo simulations. In addition, a comparison on the basis of real near-threshold ABR data was carried out. The modified q-sample uniform scores test appeared to be the most powerful one. Some aspects of practical application are discussed.","author":[{"dropping-particle":"","family":"Cebulla","given":"M","non-dropping-particle":"","parse-names":false,"suffix":""},{"dropping-particle":"","family":"Stürzebecher","given":"E","non-dropping-particle":"","parse-names":false,"suffix":""},{"dropping-particle":"","family":"Wernecke","given":"K D","non-dropping-particle":"","parse-names":false,"suffix":""}],"container-title":"Scandinavian audiology","id":"ITEM-1","issue":"1","issued":{"date-parts":[["2000"]]},"page":"44-51","title":"Objective detection of auditory brainstem potentials: comparison of statistical tests in the time and frequency domains.","type":"article-journal","volume":"29"},"uris":["http://www.mendeley.com/documents/?uuid=7c1daa00-a4f6-3a92-b96e-3418a8182fe0"]},{"id":"ITEM-2","itemData":{"DOI":"10.1080/010503901300112185","ISSN":"01050397","abstract":"Newborn hearing screening with transiently evoked otoacoustic emissions (TEOAE) is a well-established method. A screening device must be equipped with a test procedure for objective TEOAE detection. The statistical tests implemented in the commercially available screening devices are the correlation, an estimation of the signal-to-noise ratio and a binominal test. The aim of the present study is to compare the TEOAE detection performance of these tests with that of several other tests in the time and frequency domains (variance ratio FSP and its modification F*SP, Friedman test, modified q-sample uniform scores test). The comparison was based on a data sample of 420 TEOAE. The frequency range examined was 1.5-4.0 kHz. As a new feature, two frequency sub-ranges (1.5-2.5 kHz, 2.5-4.0 kHz) were tested separately. The modified variance ratio F*SP was the most powerful test, whereas the tests implemented in the known screening devices showed the lowest detection performance.","author":[{"dropping-particle":"","family":"Stürzebecher","given":"Ekkehard","non-dropping-particle":"","parse-names":false,"suffix":""},{"dropping-particle":"","family":"Cebulla","given":"Mario","non-dropping-particle":"","parse-names":false,"suffix":""},{"dropping-particle":"","family":"Wernecke","given":"K. D.","non-dropping-particle":"","parse-names":false,"suffix":""}],"container-title":"Scandinavian Audiology","id":"ITEM-2","issue":"2","issued":{"date-parts":[["2001"]]},"page":"78-88","title":"Objective detection of transiently evoked otoacoustic emissions","type":"article-journal","volume":"30"},"uris":["http://www.mendeley.com/documents/?uuid=c9d9b417-834d-39b7-bc45-909da3af40fb"]}],"mendeley":{"formattedCitation":"(Cebulla et al., 2000; Stürzebecher et al., 2001)","plainTextFormattedCitation":"(Cebulla et al., 2000; Stürzebecher et al., 2001)","previouslyFormattedCitation":"(Cebulla et al., 2000; Stürzebecher et al., 2001)"},"properties":{"noteIndex":0},"schema":"https://github.com/citation-style-language/schema/raw/master/csl-citation.json"}</w:instrText>
      </w:r>
      <w:r w:rsidRPr="00E121E9">
        <w:rPr>
          <w:vertAlign w:val="subscript"/>
        </w:rPr>
        <w:fldChar w:fldCharType="separate"/>
      </w:r>
      <w:r w:rsidRPr="00E121E9">
        <w:t>(</w:t>
      </w:r>
      <w:r w:rsidR="005D6ED3" w:rsidRPr="00E121E9">
        <w:t>Martin et al., 1994</w:t>
      </w:r>
      <w:r w:rsidRPr="00E121E9">
        <w:t>)</w:t>
      </w:r>
      <w:r w:rsidRPr="00E121E9">
        <w:rPr>
          <w:vertAlign w:val="subscript"/>
        </w:rPr>
        <w:fldChar w:fldCharType="end"/>
      </w:r>
      <w:r w:rsidRPr="00E121E9">
        <w:t xml:space="preserve">, q-sample uniform scores test </w:t>
      </w:r>
      <w:r w:rsidRPr="00E121E9">
        <w:fldChar w:fldCharType="begin" w:fldLock="1"/>
      </w:r>
      <w:r w:rsidRPr="00E121E9">
        <w:instrText>ADDIN CSL_CITATION {"citationItems":[{"id":"ITEM-1","itemData":{"author":[{"dropping-particle":"","family":"Mardia","given":"K.V.","non-dropping-particle":"","parse-names":false,"suffix":""}],"edition":"1st","editor":[{"dropping-particle":"","family":"Birnbaum","given":"Z.W.","non-dropping-particle":"","parse-names":false,"suffix":""},{"dropping-particle":"","family":"Lukacs","given":"E.","non-dropping-particle":"","parse-names":false,"suffix":""}],"id":"ITEM-1","issued":{"date-parts":[["1972"]]},"publisher":"Academic Press","publisher-place":"London","title":"Statistics of Directional Data - 1st Edition","type":"book"},"uris":["http://www.mendeley.com/documents/?uuid=7db255bd-45c5-374b-8d06-e9581f71e5ab"]},{"id":"ITEM-2","itemData":{"DOI":"10.1159/000013815","ISSN":"1420-3030","abstract":"The objective assessment of the hearing threshold requires a suitable statistical test for response detection. For checking the q spectral lines of an auditory-evoked potential spectrum in the frequency domain, a q-sample test seems to be more favourable compared to q applications of a one-sample test. The response detection performance of three q-sample tests (q-sample analogue of Watsons U2 test, q-sample uniform scores test and a modified q-sample uniform scores test) has been checked by extensive Monte Carte simulations. To compare the performance of the three test statistics, sensitivity was calculated and receiver-operating characteristics were constructed from the probability density functions estimated by the Monte Carlo simulations. In addition, a comparison on the basis of real near-threshold auditory brainstem response data was carried out. The modified q-sample uniform scores test appeared to be the most powerful test. Some aspects of the practical application of this test are discussed in this paper.","author":[{"dropping-particle":"","family":"Stürzebecher","given":"Ekkehard","non-dropping-particle":"","parse-names":false,"suffix":""},{"dropping-particle":"","family":"Cebulla","given":"Mario","non-dropping-particle":"","parse-names":false,"suffix":""},{"dropping-particle":"","family":"Wernecke","given":"K.-D.","non-dropping-particle":"","parse-names":false,"suffix":""}],"container-title":"Audiology and Neurotology","id":"ITEM-2","issue":"1","issued":{"date-parts":[["1999","1"]]},"page":"2-11","publisher":"Karger Publishers","title":"Objective Response Detection in the Frequency Domain: Comparison of Several q-Sample Tests","type":"article-journal","volume":"4"},"uris":["http://www.mendeley.com/documents/?uuid=4a4aa00e-015f-3f60-b77f-0c142b5f5339"]}],"mendeley":{"formattedCitation":"(Mardia, 1972; Stürzebecher et al., 1999)","plainTextFormattedCitation":"(Mardia, 1972; Stürzebecher et al., 1999)","previouslyFormattedCitation":"(Mardia, 1972; Stürzebecher et al., 1999)"},"properties":{"noteIndex":0},"schema":"https://github.com/citation-style-language/schema/raw/master/csl-citation.json"}</w:instrText>
      </w:r>
      <w:r w:rsidRPr="00E121E9">
        <w:fldChar w:fldCharType="separate"/>
      </w:r>
      <w:r w:rsidRPr="00E121E9">
        <w:t>(Mardia, 1972</w:t>
      </w:r>
      <w:r w:rsidRPr="00E121E9">
        <w:rPr>
          <w:lang w:val="en-GB"/>
        </w:rPr>
        <w:t>)</w:t>
      </w:r>
      <w:r w:rsidRPr="00E121E9">
        <w:fldChar w:fldCharType="end"/>
      </w:r>
      <w:r w:rsidRPr="00E121E9">
        <w:t>, and Hotelling’s T</w:t>
      </w:r>
      <w:r w:rsidRPr="00E121E9">
        <w:rPr>
          <w:vertAlign w:val="superscript"/>
        </w:rPr>
        <w:t>2</w:t>
      </w:r>
      <w:r w:rsidRPr="00E121E9">
        <w:t xml:space="preserve"> test </w:t>
      </w:r>
      <w:r w:rsidRPr="00E121E9">
        <w:fldChar w:fldCharType="begin" w:fldLock="1"/>
      </w:r>
      <w:r w:rsidRPr="00E121E9">
        <w:instrText>ADDIN CSL_CITATION {"citationItems":[{"id":"ITEM-1","itemData":{"DOI":"10.1214/AOMS/1177732979","ISSN":"0003-4851","author":[{"dropping-particle":"","family":"Hotelling","given":"Harold","non-dropping-particle":"","parse-names":false,"suffix":""}],"container-title":"Annals of Mathematical Statistics","id":"ITEM-1","issue":"3","issued":{"date-parts":[["1931"]]},"page":"360-378","publisher":"Institute of Mathematical Statistics","title":"The Generalization of Student's Ratio","type":"article-journal","volume":"2"},"uris":["http://www.mendeley.com/documents/?uuid=7950c0b4-3bb1-3bd1-bfe1-5c4a8b12f98f"]},{"id":"ITEM-2","itemData":{"DOI":"10.3109/14992020903140928","ISSN":"14992027","PMID":"20017680","abstract":"The detection of adult cortical auditory evoked potentials (CAEPs) can be challenging when the stimulus is just audible. The effectiveness of a statistic compared with expert examiners in (1) detecting the presence of CAEPs when stimuli were present, and (2) reporting the absence of CAEPs when no stimuli were present, was investigated. CAEPs recorded from ten adults, using two speech-based stimuli, five stimulus presentation levels, and non-stimulus conditions, were given to four experienced examiners who were asked to determine if responses to auditory stimulation could be observed, and their degree of certainty in making their decision. These recordings were also converted to multiple dependent variables and Hotelling's T2 was applied to calculate the probability that the mean value of any linear combination of these variables was significantly different from zero. Results showed that Hotelling's T2 was equally sensitive to the best of individual experienced examiners in differentiating a CAEP from random noise. It is reasonable to assume that the difference in response detection for a novice examiner and Hotelling's T2 would be even greater. Sumario La deteccin de los potenciales evocados auditivos corticales (CAEP) del adulto puede ser un desafo cuando el estmulo es apenas audible. Se investig la efectividad de una comparacin estadstica con examinadores expertos para (1) detectar la presencia del CAEP cuando el estimulo estuvo presente, y (2) reportar la ausencia del CAEP cuando ningn estmulo estaba presente. Los CAEP registrados para diez adultos, usando dos estmulos con base en lenguaje, cinco niveles de presentacin del estmulo, y condiciones sin estmulo, fueron presentados a cuatro examinadores con experiencia, a quienes se solicit que determinaran si las respuestas a estmulos auditivos podan ser observadas y su grado de certeza en la toma de sus decisiones. Estos registros fueron tambin convertidos a mltiples variables dependientes y se aplic el T2 de Hotelling para calcular la probabilidad de que el valor medio de una combinacin lineal de estas variables fuera significativamente diferente de cero. Los resultados mostraron que el T2 de Hotelling era igualmente sensible que lo mejor de los examinadores experimentados individuales para diferenciar un CAEP de un ruido aleatorio. Es razonable asumir que la diferencia en deteccin de respuestas para un examinador novato y el T2 de Hotelling seran an mayor. © 2009 British Society of Audiology, Internat…","author":[{"dropping-particle":"","family":"Golding","given":"Maryanne","non-dropping-particle":"","parse-names":false,"suffix":""},{"dropping-particle":"","family":"Dillon","given":"Harvey","non-dropping-particle":"","parse-names":false,"suffix":""},{"dropping-particle":"","family":"Seymour","given":"John","non-dropping-particle":"","parse-names":false,"suffix":""},{"dropping-particle":"","family":"Carter","given":"Lyndal","non-dropping-particle":"","parse-names":false,"suffix":""}],"container-title":"International Journal of Audiology","id":"ITEM-2","issue":"12","issued":{"date-parts":[["2009"]]},"page":"833-842","publisher":"Int J Audiol","title":"The detection of adult cortical auditory evoked potentials (CAEPs) using an automated statistic and visual detection","type":"article-journal","volume":"48"},"uris":["http://www.mendeley.com/documents/?uuid=0be2973b-8d6d-39b3-9a21-729789d1457f"]},{"id":"ITEM-3","itemData":{"DOI":"10.1080/14992027.2018.1447697","ISSN":"17088186","PMID":"29537327","abstract":"Objective: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Audiology","id":"ITEM-3","issue":"6","issued":{"date-parts":[["2018","6","3"]]},"page":"468-478","publisher":"Taylor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 Golding et al., 2009; Hotelling, 1931)","manualFormatting":"(Hotelling, 1931)","plainTextFormattedCitation":"(Chesnaye et al., 2018; Golding et al., 2009; Hotelling, 1931)","previouslyFormattedCitation":"(Chesnaye et al., 2018; Golding et al., 2009; Hotelling, 1931)"},"properties":{"noteIndex":0},"schema":"https://github.com/citation-style-language/schema/raw/master/csl-citation.json"}</w:instrText>
      </w:r>
      <w:r w:rsidRPr="00E121E9">
        <w:fldChar w:fldCharType="separate"/>
      </w:r>
      <w:r w:rsidRPr="00E121E9">
        <w:t>(Hotelling, 1931)</w:t>
      </w:r>
      <w:r w:rsidRPr="00E121E9">
        <w:fldChar w:fldCharType="end"/>
      </w:r>
      <w:r w:rsidRPr="00E121E9">
        <w:t xml:space="preserve"> </w:t>
      </w:r>
      <w:r w:rsidRPr="00E121E9">
        <w:rPr>
          <w:bCs/>
          <w:iCs/>
        </w:rPr>
        <w:t>produce test statistics which follow a null distribution that can be derived from statistical theory under the hypothesis of ‘no ABR being present’</w:t>
      </w:r>
      <w:r w:rsidR="0058399F" w:rsidRPr="00E121E9">
        <w:rPr>
          <w:bCs/>
          <w:iCs/>
        </w:rPr>
        <w:t xml:space="preserve"> and some assumptions</w:t>
      </w:r>
      <w:r w:rsidR="00881BC0" w:rsidRPr="00E121E9">
        <w:rPr>
          <w:bCs/>
          <w:iCs/>
        </w:rPr>
        <w:t xml:space="preserve"> about the data</w:t>
      </w:r>
      <w:r w:rsidRPr="00E121E9">
        <w:rPr>
          <w:bCs/>
          <w:iCs/>
        </w:rPr>
        <w:t>. This allows the critical value for the test statistic to be determined for a given p-value of say 0.01, which theoretically provides 99% specificity. In practice however, some of the assumptions required, e.g. the independence of samples within or between epochs (</w:t>
      </w:r>
      <w:r w:rsidRPr="00E121E9">
        <w:rPr>
          <w:bCs/>
          <w:iCs/>
        </w:rPr>
        <w:fldChar w:fldCharType="begin" w:fldLock="1"/>
      </w:r>
      <w:r w:rsidRPr="00E121E9">
        <w:rPr>
          <w:bCs/>
          <w:iCs/>
        </w:rPr>
        <w:instrText>ADDIN CSL_CITATION {"citationItems":[{"id":"ITEM-1","itemData":{"ISSN":"0105-0397","PMID":"6494805","abstract":"In its clinical use, the auditory brainstem responses, ABR, are recovered from the background noise by averaging a number of post-stimulus time epochs, sweeps. Normally, the test protocol prescribes a fixed number of sweeps to be employed and recording of replications is frequently recommended, too. Since both the ABR and the background noise differ in magnitude among patients and test sessions, such a test protocol can never ensure a given minimum \"quality\" or signal-to-noise ratio, SNR, of the averaged ABR. In an attempt to solve this problem, a method is proposed to evaluate, in statistical terms, the \"quality\" or SNR of the averaged recording. This is done by calculating the ratio between the estimated magnitude of the ABR and that of the averaged background noise. The method can be employed \"on-line\" in an adaptive strategy to estimate the number of sweeps necessary to obtain a given minimum \"quality\" of the averaged ABR. It can be used in suprathreshold recordings as well as in automatic \"threshold\" detection and it is a practical tool to analyze and improve the cost-benefit of the ABR test.","author":[{"dropping-particle":"","family":"Elberling","given":"C","non-dropping-particle":"","parse-names":false,"suffix":""},{"dropping-particle":"","family":"Don","given":"M","non-dropping-particle":"","parse-names":false,"suffix":""}],"container-title":"Scandinavian audiology","id":"ITEM-1","issue":"3","issued":{"date-parts":[["1984"]]},"page":"187-97","title":"Quality estimation of averaged auditory brainstem responses.","type":"article-journal","volume":"13"},"uris":["http://www.mendeley.com/documents/?uuid=35d1fe5a-3597-31e8-aff5-3630b21fee7c"]},{"id":"ITEM-2","itemData":{"DOI":"10.1080/14992027.2018.1447697","ISSN":"17088186","PMID":"29537327","abstract":"Objective: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Audiology","id":"ITEM-2","issue":"6","issued":{"date-parts":[["2018","6","3"]]},"page":"468-478","publisher":"Taylor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 Elberling &amp; Don, 1984)","manualFormatting":"Elberling &amp; Don, 1984)","plainTextFormattedCitation":"(Chesnaye et al., 2018; Elberling &amp; Don, 1984)","previouslyFormattedCitation":"(Chesnaye et al., 2018; Elberling &amp; Don, 1984)"},"properties":{"noteIndex":0},"schema":"https://github.com/citation-style-language/schema/raw/master/csl-citation.json"}</w:instrText>
      </w:r>
      <w:r w:rsidRPr="00E121E9">
        <w:rPr>
          <w:bCs/>
          <w:iCs/>
        </w:rPr>
        <w:fldChar w:fldCharType="separate"/>
      </w:r>
      <w:r w:rsidRPr="00E121E9">
        <w:rPr>
          <w:bCs/>
          <w:iCs/>
        </w:rPr>
        <w:t>Elberling &amp; Don, 1984)</w:t>
      </w:r>
      <w:r w:rsidRPr="00E121E9">
        <w:rPr>
          <w:bCs/>
          <w:iCs/>
        </w:rPr>
        <w:fldChar w:fldCharType="end"/>
      </w:r>
      <w:r w:rsidRPr="00E121E9">
        <w:rPr>
          <w:bCs/>
          <w:iCs/>
        </w:rPr>
        <w:t xml:space="preserve"> may not be justified and the tests </w:t>
      </w:r>
      <w:r w:rsidRPr="00E121E9">
        <w:rPr>
          <w:bCs/>
          <w:iCs/>
        </w:rPr>
        <w:lastRenderedPageBreak/>
        <w:t xml:space="preserve">based on these theory-derived critical values may lead to inflated or reduced false-positive rates </w:t>
      </w:r>
      <w:r w:rsidRPr="00E121E9">
        <w:rPr>
          <w:bCs/>
          <w:iCs/>
        </w:rPr>
        <w:fldChar w:fldCharType="begin" w:fldLock="1"/>
      </w:r>
      <w:r w:rsidRPr="00E121E9">
        <w:rPr>
          <w:bCs/>
          <w:iCs/>
        </w:rPr>
        <w:instrText>ADDIN CSL_CITATION {"citationItems":[{"id":"ITEM-1","itemData":{"DOI":"10.1080/14992027.2018.1447697","ISSN":"17088186","PMID":"29537327","abstract":"Objective: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Audiology","id":"ITEM-1","issue":"6","issued":{"date-parts":[["2018","6","3"]]},"page":"468-478","publisher":"Taylor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2018)","plainTextFormattedCitation":"(Chesnaye et al., 2018)","previouslyFormattedCitation":"(Chesnaye et al., 2018)"},"properties":{"noteIndex":0},"schema":"https://github.com/citation-style-language/schema/raw/master/csl-citation.json"}</w:instrText>
      </w:r>
      <w:r w:rsidRPr="00E121E9">
        <w:rPr>
          <w:bCs/>
          <w:iCs/>
        </w:rPr>
        <w:fldChar w:fldCharType="separate"/>
      </w:r>
      <w:r w:rsidRPr="00E121E9">
        <w:rPr>
          <w:bCs/>
          <w:iCs/>
        </w:rPr>
        <w:t>(Chesnaye et al., 2018)</w:t>
      </w:r>
      <w:r w:rsidRPr="00E121E9">
        <w:rPr>
          <w:bCs/>
          <w:iCs/>
        </w:rPr>
        <w:fldChar w:fldCharType="end"/>
      </w:r>
      <w:r w:rsidRPr="00E121E9">
        <w:rPr>
          <w:bCs/>
          <w:iCs/>
        </w:rPr>
        <w:t xml:space="preserve">. </w:t>
      </w:r>
    </w:p>
    <w:p w14:paraId="4A7B5022" w14:textId="77777777" w:rsidR="00F97FCE" w:rsidRPr="00E121E9" w:rsidRDefault="00F97FCE">
      <w:pPr>
        <w:spacing w:line="480" w:lineRule="auto"/>
        <w:rPr>
          <w:bCs/>
          <w:iCs/>
        </w:rPr>
      </w:pPr>
    </w:p>
    <w:p w14:paraId="77BE08C8" w14:textId="77777777" w:rsidR="00F97FCE" w:rsidRPr="00E121E9" w:rsidRDefault="00534ED7">
      <w:pPr>
        <w:spacing w:line="480" w:lineRule="auto"/>
        <w:rPr>
          <w:bCs/>
          <w:i/>
        </w:rPr>
      </w:pPr>
      <w:r w:rsidRPr="00E121E9">
        <w:rPr>
          <w:bCs/>
          <w:i/>
        </w:rPr>
        <w:t>Setting the critical value of detection methods</w:t>
      </w:r>
    </w:p>
    <w:p w14:paraId="5063D817" w14:textId="77777777" w:rsidR="00F97FCE" w:rsidRPr="00E121E9" w:rsidRDefault="00534ED7">
      <w:pPr>
        <w:spacing w:line="480" w:lineRule="auto"/>
        <w:rPr>
          <w:bCs/>
          <w:iCs/>
        </w:rPr>
      </w:pPr>
      <w:r w:rsidRPr="00E121E9">
        <w:rPr>
          <w:bCs/>
          <w:iCs/>
        </w:rPr>
        <w:t>The theoretical null distributions underlying the machine learning models and q-sample test (modified versions) are unknown. The critical value necessary to achieve the desired false positive rate therefore cannot be derived from theory. In the current study we evaluated two approaches to setting the critical value of these detection methods. The first was to use a set of ‘response absent’ data separate to the training and test sets (the threshold set) to determine the test statistic value that achieved the desired false positive rate of 1%. However, it was found that this method did not produce false positive rates consistent with those expected (see results section). A second approach to setting the critical value was therefore employed, utilizing bootstrapping to approximate the underlying null distributions and better control the false positive rate.</w:t>
      </w:r>
    </w:p>
    <w:p w14:paraId="2165D8E0" w14:textId="77777777" w:rsidR="00F97FCE" w:rsidRPr="00E121E9" w:rsidRDefault="00F97FCE">
      <w:pPr>
        <w:spacing w:line="480" w:lineRule="auto"/>
        <w:rPr>
          <w:bCs/>
          <w:iCs/>
        </w:rPr>
      </w:pPr>
    </w:p>
    <w:p w14:paraId="5B3DE024" w14:textId="351FD4D9" w:rsidR="00F97FCE" w:rsidRPr="00E121E9" w:rsidRDefault="00534ED7">
      <w:pPr>
        <w:spacing w:line="480" w:lineRule="auto"/>
        <w:rPr>
          <w:bCs/>
          <w:iCs/>
        </w:rPr>
      </w:pPr>
      <w:r w:rsidRPr="00E121E9">
        <w:rPr>
          <w:bCs/>
          <w:iCs/>
        </w:rPr>
        <w:t xml:space="preserve">Bootstrapping is a useful technique that allows a p-value for a test statistic to be generated. Bootstrapping aims to estimate the null distribution of a test statistic by randomly resampling (with replacement) the recorded data. Following the approach previously described in the literature </w:t>
      </w:r>
      <w:r w:rsidRPr="00E121E9">
        <w:rPr>
          <w:bCs/>
          <w:iCs/>
        </w:rPr>
        <w:fldChar w:fldCharType="begin" w:fldLock="1"/>
      </w:r>
      <w:r w:rsidRPr="00E121E9">
        <w:rPr>
          <w:bCs/>
          <w:iCs/>
        </w:rPr>
        <w:instrText>ADDIN CSL_CITATION {"citationItems":[{"id":"ITEM-1","itemData":{"DOI":"10.1016/j.medengphy.2006.03.001","ISSN":"13504533","PMID":"16621656","abstract":"Evoked potentials are usually evaluated subjectively, by visual inspection, and considerable differences between interpretations can occur. Objective, automated methods are normally based on calculating one (or more) parameters from the data, but only some of these techniques can provide statistical significance (p-values) for the presence of a response. In this work, we propose a bootstrap technique to provide such p-values, which can be applied to a wide variety of parameters. The bootstrap method is based on randomly resampling (with replacement) the original data and gives an estimate of the probability that the response obtained is due to random variation in the data rather than a physiological response. The method is illustrated using auditory brainstem responses (ABRs) to detecting hearing thresholds. The flexibility of the approach is illustrated, showing how it can be used with different parameters, numbers of stimuli and with user-defined false-positive rates. The bootstrap method provides a new, simple and yet powerful means of detecting evoked potentials, which is very flexible and readily adapted to a wide variety of signal parameters. © 2006 IPEM.","author":[{"dropping-particle":"","family":"Lv","given":"Jing","non-dropping-particle":"","parse-names":false,"suffix":""},{"dropping-particle":"","family":"Simpson","given":"David M.","non-dropping-particle":"","parse-names":false,"suffix":""},{"dropping-particle":"","family":"Bell","given":"Steven L.","non-dropping-particle":"","parse-names":false,"suffix":""}],"container-title":"Medical Engineering and Physics","id":"ITEM-1","issue":"2","issued":{"date-parts":[["2007","3"]]},"page":"191-198","title":"Objective detection of evoked potentials using a bootstrap technique","type":"article-journal","volume":"29"},"uris":["http://www.mendeley.com/documents/?uuid=481427e6-96d9-3549-bb2a-a611f1e06cc2"]},{"id":"ITEM-2","itemData":{"DOI":"10.1080/14992027.2018.1447697","ISSN":"17088186","PMID":"29537327","abstract":"Objective: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Audiology","id":"ITEM-2","issue":"6","issued":{"date-parts":[["2018","6","3"]]},"page":"468-478","publisher":"Taylor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 Lv et al., 2007)","plainTextFormattedCitation":"(Chesnaye et al., 2018; Lv et al., 2007)","previouslyFormattedCitation":"(Chesnaye et al., 2018; Lv et al., 2007)"},"properties":{"noteIndex":0},"schema":"https://github.com/citation-style-language/schema/raw/master/csl-citation.json"}</w:instrText>
      </w:r>
      <w:r w:rsidRPr="00E121E9">
        <w:rPr>
          <w:bCs/>
          <w:iCs/>
        </w:rPr>
        <w:fldChar w:fldCharType="separate"/>
      </w:r>
      <w:r w:rsidRPr="00E121E9">
        <w:rPr>
          <w:bCs/>
          <w:iCs/>
        </w:rPr>
        <w:t>(Chesnaye et al., 2018; Lv et al., 2007)</w:t>
      </w:r>
      <w:r w:rsidRPr="00E121E9">
        <w:rPr>
          <w:bCs/>
          <w:iCs/>
        </w:rPr>
        <w:fldChar w:fldCharType="end"/>
      </w:r>
      <w:r w:rsidRPr="00E121E9">
        <w:rPr>
          <w:bCs/>
          <w:iCs/>
        </w:rPr>
        <w:t>, for each recording being evaluated (an ensemble of epochs structured as a matrix of shape</w:t>
      </w:r>
      <w:r w:rsidRPr="00E121E9">
        <w:rPr>
          <w:bCs/>
          <w:i/>
        </w:rPr>
        <w:t xml:space="preserve"> N </w:t>
      </w:r>
      <w:r w:rsidRPr="00E121E9">
        <w:rPr>
          <w:bCs/>
          <w:iCs/>
        </w:rPr>
        <w:t xml:space="preserve">epochs by </w:t>
      </w:r>
      <w:r w:rsidRPr="00E121E9">
        <w:rPr>
          <w:bCs/>
          <w:i/>
        </w:rPr>
        <w:t>K</w:t>
      </w:r>
      <w:r w:rsidRPr="00E121E9">
        <w:rPr>
          <w:bCs/>
          <w:iCs/>
        </w:rPr>
        <w:t xml:space="preserve"> samples), 500 random ensembles were generated from the recorded EEG. Rather than using the stimulus onset as the starting point for each epoch included in the resampled ensemble (as is the case for coherent averaging), in bootstrapping the starting points were randomly chosen throughout the continuous EEG recording. It is assumed that, because time-locking between epoch onsets and ABRs has been disrupted, these bootstrapped ensembles are representative of the no-</w:t>
      </w:r>
      <w:r w:rsidRPr="00E121E9">
        <w:rPr>
          <w:bCs/>
          <w:iCs/>
        </w:rPr>
        <w:lastRenderedPageBreak/>
        <w:t xml:space="preserve">stimulus condition and can hence be used to approximate the null distribution of the statistic in question. The location of the original test statistic along this bootstrapped distribution provides an estimate of its statistical significance in the form of a p-value </w:t>
      </w:r>
      <w:r w:rsidRPr="00E121E9">
        <w:rPr>
          <w:bCs/>
          <w:iCs/>
        </w:rPr>
        <w:fldChar w:fldCharType="begin" w:fldLock="1"/>
      </w:r>
      <w:r w:rsidRPr="00E121E9">
        <w:rPr>
          <w:bCs/>
          <w:iCs/>
        </w:rPr>
        <w:instrText>ADDIN CSL_CITATION {"citationItems":[{"id":"ITEM-1","itemData":{"DOI":"10.1016/j.medengphy.2006.03.001","ISSN":"13504533","PMID":"16621656","abstract":"Evoked potentials are usually evaluated subjectively, by visual inspection, and considerable differences between interpretations can occur. Objective, automated methods are normally based on calculating one (or more) parameters from the data, but only some of these techniques can provide statistical significance (p-values) for the presence of a response. In this work, we propose a bootstrap technique to provide such p-values, which can be applied to a wide variety of parameters. The bootstrap method is based on randomly resampling (with replacement) the original data and gives an estimate of the probability that the response obtained is due to random variation in the data rather than a physiological response. The method is illustrated using auditory brainstem responses (ABRs) to detecting hearing thresholds. The flexibility of the approach is illustrated, showing how it can be used with different parameters, numbers of stimuli and with user-defined false-positive rates. The bootstrap method provides a new, simple and yet powerful means of detecting evoked potentials, which is very flexible and readily adapted to a wide variety of signal parameters. © 2006 IPEM.","author":[{"dropping-particle":"","family":"Lv","given":"Jing","non-dropping-particle":"","parse-names":false,"suffix":""},{"dropping-particle":"","family":"Simpson","given":"David M.","non-dropping-particle":"","parse-names":false,"suffix":""},{"dropping-particle":"","family":"Bell","given":"Steven L.","non-dropping-particle":"","parse-names":false,"suffix":""}],"container-title":"Medical Engineering and Physics","id":"ITEM-1","issue":"2","issued":{"date-parts":[["2007","3"]]},"page":"191-198","title":"Objective detection of evoked potentials using a bootstrap technique","type":"article-journal","volume":"29"},"uris":["http://www.mendeley.com/documents/?uuid=481427e6-96d9-3549-bb2a-a611f1e06cc2"]}],"mendeley":{"formattedCitation":"(Lv et al., 2007)","plainTextFormattedCitation":"(Lv et al., 2007)","previouslyFormattedCitation":"(Lv et al., 2007)"},"properties":{"noteIndex":0},"schema":"https://github.com/citation-style-language/schema/raw/master/csl-citation.json"}</w:instrText>
      </w:r>
      <w:r w:rsidRPr="00E121E9">
        <w:rPr>
          <w:bCs/>
          <w:iCs/>
        </w:rPr>
        <w:fldChar w:fldCharType="separate"/>
      </w:r>
      <w:r w:rsidRPr="00E121E9">
        <w:rPr>
          <w:bCs/>
          <w:iCs/>
        </w:rPr>
        <w:t>(Lv et al., 2007)</w:t>
      </w:r>
      <w:r w:rsidRPr="00E121E9">
        <w:rPr>
          <w:bCs/>
          <w:iCs/>
        </w:rPr>
        <w:fldChar w:fldCharType="end"/>
      </w:r>
      <w:r w:rsidRPr="00E121E9">
        <w:rPr>
          <w:bCs/>
          <w:iCs/>
        </w:rPr>
        <w:t>. In this study, the bootstrapped null distribution was generated from the samples contained within the analysis window of 1-15ms.</w:t>
      </w:r>
    </w:p>
    <w:p w14:paraId="6FCCABF4" w14:textId="77777777" w:rsidR="00F97FCE" w:rsidRPr="00E121E9" w:rsidRDefault="00F97FCE">
      <w:pPr>
        <w:spacing w:line="480" w:lineRule="auto"/>
      </w:pPr>
    </w:p>
    <w:p w14:paraId="19ED988B" w14:textId="77777777" w:rsidR="00F97FCE" w:rsidRPr="00E121E9" w:rsidRDefault="00534ED7">
      <w:pPr>
        <w:spacing w:line="480" w:lineRule="auto"/>
        <w:rPr>
          <w:b/>
          <w:bCs/>
          <w:i/>
          <w:iCs/>
        </w:rPr>
      </w:pPr>
      <w:r w:rsidRPr="00E121E9">
        <w:rPr>
          <w:b/>
          <w:bCs/>
          <w:i/>
          <w:iCs/>
        </w:rPr>
        <w:t>Conventional statistical detection methods</w:t>
      </w:r>
    </w:p>
    <w:p w14:paraId="4B01CB5C" w14:textId="77777777" w:rsidR="00F97FCE" w:rsidRPr="00E121E9" w:rsidRDefault="00534ED7">
      <w:pPr>
        <w:spacing w:line="480" w:lineRule="auto"/>
      </w:pPr>
      <w:r w:rsidRPr="00E121E9">
        <w:t xml:space="preserve">In order to provide a benchmark for evaluating the performance of the machine learning approach, some conventional statistical ABR detection methods were also evaluated. These were the Fsp </w:t>
      </w:r>
      <w:r w:rsidRPr="00E121E9">
        <w:fldChar w:fldCharType="begin" w:fldLock="1"/>
      </w:r>
      <w:r w:rsidRPr="00E121E9">
        <w:instrText>ADDIN CSL_CITATION {"citationItems":[{"id":"ITEM-1","itemData":{"ISSN":"0105-0397","PMID":"6494805","abstract":"In its clinical use, the auditory brainstem responses, ABR, are recovered from the background noise by averaging a number of post-stimulus time epochs, sweeps. Normally, the test protocol prescribes a fixed number of sweeps to be employed and recording of replications is frequently recommended, too. Since both the ABR and the background noise differ in magnitude among patients and test sessions, such a test protocol can never ensure a given minimum \"quality\" or signal-to-noise ratio, SNR, of the averaged ABR. In an attempt to solve this problem, a method is proposed to evaluate, in statistical terms, the \"quality\" or SNR of the averaged recording. This is done by calculating the ratio between the estimated magnitude of the ABR and that of the averaged background noise. The method can be employed \"on-line\" in an adaptive strategy to estimate the number of sweeps necessary to obtain a given minimum \"quality\" of the averaged ABR. It can be used in suprathreshold recordings as well as in automatic \"threshold\" detection and it is a practical tool to analyze and improve the cost-benefit of the ABR test.","author":[{"dropping-particle":"","family":"Elberling","given":"C","non-dropping-particle":"","parse-names":false,"suffix":""},{"dropping-particle":"","family":"Don","given":"M","non-dropping-particle":"","parse-names":false,"suffix":""}],"container-title":"Scandinavian audiology","id":"ITEM-1","issue":"3","issued":{"date-parts":[["1984"]]},"page":"187-97","title":"Quality estimation of averaged auditory brainstem responses.","type":"article-journal","volume":"13"},"uris":["http://www.mendeley.com/documents/?uuid=35d1fe5a-3597-31e8-aff5-3630b21fee7c"]}],"mendeley":{"formattedCitation":"(Elberling &amp; Don, 1984)","plainTextFormattedCitation":"(Elberling &amp; Don, 1984)","previouslyFormattedCitation":"(Elberling &amp; Don, 1984)"},"properties":{"noteIndex":0},"schema":"https://github.com/citation-style-language/schema/raw/master/csl-citation.json"}</w:instrText>
      </w:r>
      <w:r w:rsidRPr="00E121E9">
        <w:fldChar w:fldCharType="separate"/>
      </w:r>
      <w:r w:rsidRPr="00E121E9">
        <w:t>(Elberling &amp; Don, 1984)</w:t>
      </w:r>
      <w:r w:rsidRPr="00E121E9">
        <w:fldChar w:fldCharType="end"/>
      </w:r>
      <w:r w:rsidRPr="00E121E9">
        <w:t>, Fmp</w:t>
      </w:r>
      <w:r w:rsidRPr="00E121E9">
        <w:rPr>
          <w:vertAlign w:val="subscript"/>
        </w:rPr>
        <w:t xml:space="preserve"> </w:t>
      </w:r>
      <w:r w:rsidRPr="00E121E9">
        <w:rPr>
          <w:vertAlign w:val="subscript"/>
        </w:rPr>
        <w:fldChar w:fldCharType="begin" w:fldLock="1"/>
      </w:r>
      <w:r w:rsidRPr="00E121E9">
        <w:rPr>
          <w:vertAlign w:val="subscript"/>
        </w:rPr>
        <w:instrText>ADDIN CSL_CITATION {"citationItems":[{"id":"ITEM-1","itemData":{"ISSN":"0105-0397","PMID":"10718676","abstract":"Newborn hearing screening with auditory brainstem potentials (ABR) requires objective ABR detection by a statistical test procedure with high performance. Statistical testing can be performed in the time or frequency domain. The aim of the present study was to compare the performance of three tests in the time domain (Friedman test, variance ratio F(SP), Cochran's Q-test) with that of a test in the frequency domain (modified q-sample uniform scores test) that, in a former investigation, was shown to be the best test in the frequency domain. To compare the performance of the four tests, the test power was calculated and receiver operating characteristics (ROCs) were constructed from the probability density functions estimated using Monte Carlo simulations. In addition, a comparison on the basis of real near-threshold ABR data was carried out. The modified q-sample uniform scores test appeared to be the most powerful one. Some aspects of practical application are discussed.","author":[{"dropping-particle":"","family":"Cebulla","given":"M","non-dropping-particle":"","parse-names":false,"suffix":""},{"dropping-particle":"","family":"Stürzebecher","given":"E","non-dropping-particle":"","parse-names":false,"suffix":""},{"dropping-particle":"","family":"Wernecke","given":"K D","non-dropping-particle":"","parse-names":false,"suffix":""}],"container-title":"Scandinavian audiology","id":"ITEM-1","issue":"1","issued":{"date-parts":[["2000"]]},"page":"44-51","title":"Objective detection of auditory brainstem potentials: comparison of statistical tests in the time and frequency domains.","type":"article-journal","volume":"29"},"uris":["http://www.mendeley.com/documents/?uuid=7c1daa00-a4f6-3a92-b96e-3418a8182fe0"]},{"id":"ITEM-2","itemData":{"DOI":"10.1080/010503901300112185","ISSN":"01050397","abstract":"Newborn hearing screening with transiently evoked otoacoustic emissions (TEOAE) is a well-established method. A screening device must be equipped with a test procedure for objective TEOAE detection. The statistical tests implemented in the commercially available screening devices are the correlation, an estimation of the signal-to-noise ratio and a binominal test. The aim of the present study is to compare the TEOAE detection performance of these tests with that of several other tests in the time and frequency domains (variance ratio FSP and its modification F*SP, Friedman test, modified q-sample uniform scores test). The comparison was based on a data sample of 420 TEOAE. The frequency range examined was 1.5-4.0 kHz. As a new feature, two frequency sub-ranges (1.5-2.5 kHz, 2.5-4.0 kHz) were tested separately. The modified variance ratio F*SP was the most powerful test, whereas the tests implemented in the known screening devices showed the lowest detection performance.","author":[{"dropping-particle":"","family":"Stürzebecher","given":"Ekkehard","non-dropping-particle":"","parse-names":false,"suffix":""},{"dropping-particle":"","family":"Cebulla","given":"Mario","non-dropping-particle":"","parse-names":false,"suffix":""},{"dropping-particle":"","family":"Wernecke","given":"K. D.","non-dropping-particle":"","parse-names":false,"suffix":""}],"container-title":"Scandinavian Audiology","id":"ITEM-2","issue":"2","issued":{"date-parts":[["2001"]]},"page":"78-88","title":"Objective detection of transiently evoked otoacoustic emissions","type":"article-journal","volume":"30"},"uris":["http://www.mendeley.com/documents/?uuid=c9d9b417-834d-39b7-bc45-909da3af40fb"]}],"mendeley":{"formattedCitation":"(Cebulla et al., 2000; Stürzebecher et al., 2001)","plainTextFormattedCitation":"(Cebulla et al., 2000; Stürzebecher et al., 2001)","previouslyFormattedCitation":"(Cebulla et al., 2000; Stürzebecher et al., 2001)"},"properties":{"noteIndex":0},"schema":"https://github.com/citation-style-language/schema/raw/master/csl-citation.json"}</w:instrText>
      </w:r>
      <w:r w:rsidRPr="00E121E9">
        <w:rPr>
          <w:vertAlign w:val="subscript"/>
        </w:rPr>
        <w:fldChar w:fldCharType="separate"/>
      </w:r>
      <w:r w:rsidRPr="00E121E9">
        <w:t>(Cebulla et al., 2000; Stürzebecher et al., 2001)</w:t>
      </w:r>
      <w:r w:rsidRPr="00E121E9">
        <w:rPr>
          <w:vertAlign w:val="subscript"/>
        </w:rPr>
        <w:fldChar w:fldCharType="end"/>
      </w:r>
      <w:r w:rsidRPr="00E121E9">
        <w:t xml:space="preserve">, q-sample uniform scores test </w:t>
      </w:r>
      <w:r w:rsidRPr="00E121E9">
        <w:fldChar w:fldCharType="begin" w:fldLock="1"/>
      </w:r>
      <w:r w:rsidRPr="00E121E9">
        <w:instrText>ADDIN CSL_CITATION {"citationItems":[{"id":"ITEM-1","itemData":{"author":[{"dropping-particle":"","family":"Mardia","given":"K.V.","non-dropping-particle":"","parse-names":false,"suffix":""}],"edition":"1st","editor":[{"dropping-particle":"","family":"Birnbaum","given":"Z.W.","non-dropping-particle":"","parse-names":false,"suffix":""},{"dropping-particle":"","family":"Lukacs","given":"E.","non-dropping-particle":"","parse-names":false,"suffix":""}],"id":"ITEM-1","issued":{"date-parts":[["1972"]]},"publisher":"Academic Press","publisher-place":"London","title":"Statistics of Directional Data - 1st Edition","type":"book"},"uris":["http://www.mendeley.com/documents/?uuid=7db255bd-45c5-374b-8d06-e9581f71e5ab"]},{"id":"ITEM-2","itemData":{"DOI":"10.1159/000013815","ISSN":"1420-3030","abstract":"The objective assessment of the hearing threshold requires a suitable statistical test for response detection. For checking the q spectral lines of an auditory-evoked potential spectrum in the frequency domain, a q-sample test seems to be more favourable compared to q applications of a one-sample test. The response detection performance of three q-sample tests (q-sample analogue of Watsons U2 test, q-sample uniform scores test and a modified q-sample uniform scores test) has been checked by extensive Monte Carte simulations. To compare the performance of the three test statistics, sensitivity was calculated and receiver-operating characteristics were constructed from the probability density functions estimated by the Monte Carlo simulations. In addition, a comparison on the basis of real near-threshold auditory brainstem response data was carried out. The modified q-sample uniform scores test appeared to be the most powerful test. Some aspects of the practical application of this test are discussed in this paper.","author":[{"dropping-particle":"","family":"Stürzebecher","given":"Ekkehard","non-dropping-particle":"","parse-names":false,"suffix":""},{"dropping-particle":"","family":"Cebulla","given":"Mario","non-dropping-particle":"","parse-names":false,"suffix":""},{"dropping-particle":"","family":"Wernecke","given":"K.-D.","non-dropping-particle":"","parse-names":false,"suffix":""}],"container-title":"Audiology and Neurotology","id":"ITEM-2","issue":"1","issued":{"date-parts":[["1999","1"]]},"page":"2-11","publisher":"Karger Publishers","title":"Objective Response Detection in the Frequency Domain: Comparison of Several q-Sample Tests","type":"article-journal","volume":"4"},"uris":["http://www.mendeley.com/documents/?uuid=4a4aa00e-015f-3f60-b77f-0c142b5f5339"]}],"mendeley":{"formattedCitation":"(Mardia, 1972; Stürzebecher et al., 1999)","plainTextFormattedCitation":"(Mardia, 1972; Stürzebecher et al., 1999)","previouslyFormattedCitation":"(Mardia, 1972; Stürzebecher et al., 1999)"},"properties":{"noteIndex":0},"schema":"https://github.com/citation-style-language/schema/raw/master/csl-citation.json"}</w:instrText>
      </w:r>
      <w:r w:rsidRPr="00E121E9">
        <w:fldChar w:fldCharType="separate"/>
      </w:r>
      <w:r w:rsidRPr="00E121E9">
        <w:t>(Mardia, 1972; Stürzebecher et al., 1999)</w:t>
      </w:r>
      <w:r w:rsidRPr="00E121E9">
        <w:fldChar w:fldCharType="end"/>
      </w:r>
      <w:r w:rsidRPr="00E121E9">
        <w:t xml:space="preserve">, q-sample uniform scores test modified to include the ranks of the spectral amplitudes </w:t>
      </w:r>
      <w:r w:rsidRPr="00E121E9">
        <w:fldChar w:fldCharType="begin" w:fldLock="1"/>
      </w:r>
      <w:r w:rsidRPr="00E121E9">
        <w:instrText>ADDIN CSL_CITATION {"citationItems":[{"id":"ITEM-1","itemData":{"DOI":"10.1159/000013815","ISSN":"1420-3030","abstract":"The objective assessment of the hearing threshold requires a suitable statistical test for response detection. For checking the q spectral lines of an auditory-evoked potential spectrum in the frequency domain, a q-sample test seems to be more favourable compared to q applications of a one-sample test. The response detection performance of three q-sample tests (q-sample analogue of Watsons U2 test, q-sample uniform scores test and a modified q-sample uniform scores test) has been checked by extensive Monte Carte simulations. To compare the performance of the three test statistics, sensitivity was calculated and receiver-operating characteristics were constructed from the probability density functions estimated by the Monte Carlo simulations. In addition, a comparison on the basis of real near-threshold auditory brainstem response data was carried out. The modified q-sample uniform scores test appeared to be the most powerful test. Some aspects of the practical application of this test are discussed in this paper.","author":[{"dropping-particle":"","family":"Stürzebecher","given":"Ekkehard","non-dropping-particle":"","parse-names":false,"suffix":""},{"dropping-particle":"","family":"Cebulla","given":"Mario","non-dropping-particle":"","parse-names":false,"suffix":""},{"dropping-particle":"","family":"Wernecke","given":"K.-D.","non-dropping-particle":"","parse-names":false,"suffix":""}],"container-title":"Audiology and Neurotology","id":"ITEM-1","issue":"1","issued":{"date-parts":[["1999","1"]]},"page":"2-11","publisher":"Karger Publishers","title":"Objective Response Detection in the Frequency Domain: Comparison of Several q-Sample Tests","type":"article-journal","volume":"4"},"uris":["http://www.mendeley.com/documents/?uuid=4a4aa00e-015f-3f60-b77f-0c142b5f5339"]}],"mendeley":{"formattedCitation":"(Stürzebecher et al., 1999)","plainTextFormattedCitation":"(Stürzebecher et al., 1999)","previouslyFormattedCitation":"(Stürzebecher et al., 1999)"},"properties":{"noteIndex":0},"schema":"https://github.com/citation-style-language/schema/raw/master/csl-citation.json"}</w:instrText>
      </w:r>
      <w:r w:rsidRPr="00E121E9">
        <w:fldChar w:fldCharType="separate"/>
      </w:r>
      <w:r w:rsidRPr="00E121E9">
        <w:t>(Stürzebecher et al., 1999)</w:t>
      </w:r>
      <w:r w:rsidRPr="00E121E9">
        <w:fldChar w:fldCharType="end"/>
      </w:r>
      <w:r w:rsidRPr="00E121E9">
        <w:t>, and Hotelling’s T</w:t>
      </w:r>
      <w:r w:rsidRPr="00E121E9">
        <w:rPr>
          <w:vertAlign w:val="superscript"/>
        </w:rPr>
        <w:t>2</w:t>
      </w:r>
      <w:r w:rsidRPr="00E121E9">
        <w:t xml:space="preserve"> test </w:t>
      </w:r>
      <w:r w:rsidRPr="00E121E9">
        <w:fldChar w:fldCharType="begin" w:fldLock="1"/>
      </w:r>
      <w:r w:rsidRPr="00E121E9">
        <w:instrText>ADDIN CSL_CITATION {"citationItems":[{"id":"ITEM-1","itemData":{"DOI":"10.1214/AOMS/1177732979","ISSN":"0003-4851","author":[{"dropping-particle":"","family":"Hotelling","given":"Harold","non-dropping-particle":"","parse-names":false,"suffix":""}],"container-title":"Annals of Mathematical Statistics","id":"ITEM-1","issue":"3","issued":{"date-parts":[["1931"]]},"page":"360-378","publisher":"Institute of Mathematical Statistics","title":"The Generalization of Student's Ratio","type":"article-journal","volume":"2"},"uris":["http://www.mendeley.com/documents/?uuid=7950c0b4-3bb1-3bd1-bfe1-5c4a8b12f98f"]},{"id":"ITEM-2","itemData":{"DOI":"10.3109/14992020903140928","ISSN":"14992027","PMID":"20017680","abstract":"The detection of adult cortical auditory evoked potentials (CAEPs) can be challenging when the stimulus is just audible. The effectiveness of a statistic compared with expert examiners in (1) detecting the presence of CAEPs when stimuli were present, and (2) reporting the absence of CAEPs when no stimuli were present, was investigated. CAEPs recorded from ten adults, using two speech-based stimuli, five stimulus presentation levels, and non-stimulus conditions, were given to four experienced examiners who were asked to determine if responses to auditory stimulation could be observed, and their degree of certainty in making their decision. These recordings were also converted to multiple dependent variables and Hotelling's T2 was applied to calculate the probability that the mean value of any linear combination of these variables was significantly different from zero. Results showed that Hotelling's T2 was equally sensitive to the best of individual experienced examiners in differentiating a CAEP from random noise. It is reasonable to assume that the difference in response detection for a novice examiner and Hotelling's T2 would be even greater. Sumario La deteccin de los potenciales evocados auditivos corticales (CAEP) del adulto puede ser un desafo cuando el estmulo es apenas audible. Se investig la efectividad de una comparacin estadstica con examinadores expertos para (1) detectar la presencia del CAEP cuando el estimulo estuvo presente, y (2) reportar la ausencia del CAEP cuando ningn estmulo estaba presente. Los CAEP registrados para diez adultos, usando dos estmulos con base en lenguaje, cinco niveles de presentacin del estmulo, y condiciones sin estmulo, fueron presentados a cuatro examinadores con experiencia, a quienes se solicit que determinaran si las respuestas a estmulos auditivos podan ser observadas y su grado de certeza en la toma de sus decisiones. Estos registros fueron tambin convertidos a mltiples variables dependientes y se aplic el T2 de Hotelling para calcular la probabilidad de que el valor medio de una combinacin lineal de estas variables fuera significativamente diferente de cero. Los resultados mostraron que el T2 de Hotelling era igualmente sensible que lo mejor de los examinadores experimentados individuales para diferenciar un CAEP de un ruido aleatorio. Es razonable asumir que la diferencia en deteccin de respuestas para un examinador novato y el T2 de Hotelling seran an mayor. © 2009 British Society of Audiology, Internat…","author":[{"dropping-particle":"","family":"Golding","given":"Maryanne","non-dropping-particle":"","parse-names":false,"suffix":""},{"dropping-particle":"","family":"Dillon","given":"Harvey","non-dropping-particle":"","parse-names":false,"suffix":""},{"dropping-particle":"","family":"Seymour","given":"John","non-dropping-particle":"","parse-names":false,"suffix":""},{"dropping-particle":"","family":"Carter","given":"Lyndal","non-dropping-particle":"","parse-names":false,"suffix":""}],"container-title":"International Journal of Audiology","id":"ITEM-2","issue":"12","issued":{"date-parts":[["2009"]]},"page":"833-842","publisher":"Int J Audiol","title":"The detection of adult cortical auditory evoked potentials (CAEPs) using an automated statistic and visual detection","type":"article-journal","volume":"48"},"uris":["http://www.mendeley.com/documents/?uuid=0be2973b-8d6d-39b3-9a21-729789d1457f"]},{"id":"ITEM-3","itemData":{"DOI":"10.1080/14992027.2018.1447697","ISSN":"17088186","PMID":"29537327","abstract":"Objective: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Audiology","id":"ITEM-3","issue":"6","issued":{"date-parts":[["2018","6","3"]]},"page":"468-478","publisher":"Taylor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 Golding et al., 2009; Hotelling, 1931)","plainTextFormattedCitation":"(Chesnaye et al., 2018; Golding et al., 2009; Hotelling, 1931)","previouslyFormattedCitation":"(Chesnaye et al., 2018; Golding et al., 2009; Hotelling, 1931)"},"properties":{"noteIndex":0},"schema":"https://github.com/citation-style-language/schema/raw/master/csl-citation.json"}</w:instrText>
      </w:r>
      <w:r w:rsidRPr="00E121E9">
        <w:fldChar w:fldCharType="separate"/>
      </w:r>
      <w:r w:rsidRPr="00E121E9">
        <w:t>(Chesnaye et al., 2018; Golding et al., 2009; Hotelling, 1931)</w:t>
      </w:r>
      <w:r w:rsidRPr="00E121E9">
        <w:fldChar w:fldCharType="end"/>
      </w:r>
      <w:r w:rsidRPr="00E121E9">
        <w:t>.</w:t>
      </w:r>
    </w:p>
    <w:p w14:paraId="1EE37179" w14:textId="77777777" w:rsidR="00F97FCE" w:rsidRPr="00E121E9" w:rsidRDefault="00F97FCE">
      <w:pPr>
        <w:spacing w:line="480" w:lineRule="auto"/>
      </w:pPr>
    </w:p>
    <w:p w14:paraId="1684FBC3" w14:textId="77777777" w:rsidR="00F97FCE" w:rsidRPr="00E121E9" w:rsidRDefault="00534ED7">
      <w:pPr>
        <w:spacing w:line="480" w:lineRule="auto"/>
      </w:pPr>
      <w:r w:rsidRPr="00E121E9">
        <w:t xml:space="preserve">The Fsp and Fmp provide an estimate of the SNR of the recorded EEG by using the variance of the coherent average as an estimate of the signal power. The power of the background noise is estimated from either the variance down a single (Fsp) or multiple columns (Fmp) of an ensemble matrix of shape </w:t>
      </w:r>
      <w:r w:rsidRPr="00E121E9">
        <w:rPr>
          <w:i/>
          <w:iCs/>
        </w:rPr>
        <w:t>N</w:t>
      </w:r>
      <w:r w:rsidRPr="00E121E9">
        <w:t xml:space="preserve"> recording epochs by </w:t>
      </w:r>
      <w:r w:rsidRPr="00E121E9">
        <w:rPr>
          <w:i/>
          <w:iCs/>
        </w:rPr>
        <w:t>K</w:t>
      </w:r>
      <w:r w:rsidRPr="00E121E9">
        <w:t xml:space="preserve"> EEG samples. The Fsp is defined as </w:t>
      </w:r>
      <w:r w:rsidRPr="00E121E9">
        <w:fldChar w:fldCharType="begin" w:fldLock="1"/>
      </w:r>
      <w:r w:rsidRPr="00E121E9">
        <w:instrText>ADDIN CSL_CITATION {"citationItems":[{"id":"ITEM-1","itemData":{"ISSN":"0105-0397","PMID":"6494805","abstract":"In its clinical use, the auditory brainstem responses, ABR, are recovered from the background noise by averaging a number of post-stimulus time epochs, sweeps. Normally, the test protocol prescribes a fixed number of sweeps to be employed and recording of replications is frequently recommended, too. Since both the ABR and the background noise differ in magnitude among patients and test sessions, such a test protocol can never ensure a given minimum \"quality\" or signal-to-noise ratio, SNR, of the averaged ABR. In an attempt to solve this problem, a method is proposed to evaluate, in statistical terms, the \"quality\" or SNR of the averaged recording. This is done by calculating the ratio between the estimated magnitude of the ABR and that of the averaged background noise. The method can be employed \"on-line\" in an adaptive strategy to estimate the number of sweeps necessary to obtain a given minimum \"quality\" of the averaged ABR. It can be used in suprathreshold recordings as well as in automatic \"threshold\" detection and it is a practical tool to analyze and improve the cost-benefit of the ABR test.","author":[{"dropping-particle":"","family":"Elberling","given":"C","non-dropping-particle":"","parse-names":false,"suffix":""},{"dropping-particle":"","family":"Don","given":"M","non-dropping-particle":"","parse-names":false,"suffix":""}],"container-title":"Scandinavian audiology","id":"ITEM-1","issue":"3","issued":{"date-parts":[["1984"]]},"page":"187-97","title":"Quality estimation of averaged auditory brainstem responses.","type":"article-journal","volume":"13"},"uris":["http://www.mendeley.com/documents/?uuid=35d1fe5a-3597-31e8-aff5-3630b21fee7c"]}],"mendeley":{"formattedCitation":"(Elberling &amp; Don, 1984)","plainTextFormattedCitation":"(Elberling &amp; Don, 1984)","previouslyFormattedCitation":"(Elberling &amp; Don, 1984)"},"properties":{"noteIndex":0},"schema":"https://github.com/citation-style-language/schema/raw/master/csl-citation.json"}</w:instrText>
      </w:r>
      <w:r w:rsidRPr="00E121E9">
        <w:fldChar w:fldCharType="separate"/>
      </w:r>
      <w:r w:rsidRPr="00E121E9">
        <w:t>(Elberling &amp; Don, 1984)</w:t>
      </w:r>
      <w:r w:rsidRPr="00E121E9">
        <w:fldChar w:fldCharType="end"/>
      </w:r>
      <w:r w:rsidRPr="00E121E9">
        <w:t>:</w:t>
      </w:r>
    </w:p>
    <w:p w14:paraId="06BB224A" w14:textId="77777777" w:rsidR="00F97FCE" w:rsidRPr="00E121E9" w:rsidRDefault="00534ED7">
      <w:pPr>
        <w:spacing w:line="480" w:lineRule="auto"/>
      </w:pPr>
      <m:oMathPara>
        <m:oMath>
          <m:r>
            <w:rPr>
              <w:rFonts w:ascii="Cambria Math" w:hAnsi="Cambria Math"/>
            </w:rPr>
            <m:t>Fsp= N</m:t>
          </m:r>
          <m:f>
            <m:fPr>
              <m:ctrlPr>
                <w:rPr>
                  <w:rFonts w:ascii="Cambria Math" w:hAnsi="Cambria Math"/>
                  <w:i/>
                </w:rPr>
              </m:ctrlPr>
            </m:fPr>
            <m:num>
              <m:r>
                <w:rPr>
                  <w:rFonts w:ascii="Cambria Math" w:hAnsi="Cambria Math"/>
                </w:rPr>
                <m:t>VAR(</m:t>
              </m:r>
              <m:acc>
                <m:accPr>
                  <m:chr m:val="̅"/>
                  <m:ctrlPr>
                    <w:rPr>
                      <w:rFonts w:ascii="Cambria Math" w:hAnsi="Cambria Math"/>
                      <w:i/>
                    </w:rPr>
                  </m:ctrlPr>
                </m:accPr>
                <m:e>
                  <m:r>
                    <w:rPr>
                      <w:rFonts w:ascii="Cambria Math" w:hAnsi="Cambria Math"/>
                    </w:rPr>
                    <m:t>X</m:t>
                  </m:r>
                </m:e>
              </m:acc>
              <m:r>
                <w:rPr>
                  <w:rFonts w:ascii="Cambria Math" w:hAnsi="Cambria Math"/>
                </w:rPr>
                <m:t>)</m:t>
              </m:r>
            </m:num>
            <m:den>
              <m:r>
                <w:rPr>
                  <w:rFonts w:ascii="Cambria Math" w:hAnsi="Cambria Math"/>
                </w:rPr>
                <m:t>VAR(SP)</m:t>
              </m:r>
            </m:den>
          </m:f>
        </m:oMath>
      </m:oMathPara>
    </w:p>
    <w:p w14:paraId="1EF50F54" w14:textId="77777777" w:rsidR="00F97FCE" w:rsidRPr="00E121E9" w:rsidRDefault="00534ED7">
      <w:pPr>
        <w:spacing w:line="480" w:lineRule="auto"/>
      </w:pPr>
      <w:r w:rsidRPr="00E121E9">
        <w:t xml:space="preserve">where </w:t>
      </w:r>
      <w:r w:rsidRPr="00E121E9">
        <w:rPr>
          <w:i/>
          <w:iCs/>
        </w:rPr>
        <w:t xml:space="preserve">N </w:t>
      </w:r>
      <w:r w:rsidRPr="00E121E9">
        <w:t xml:space="preserve">is the number of epochs, </w:t>
      </w:r>
      <m:oMath>
        <m:acc>
          <m:accPr>
            <m:chr m:val="̅"/>
            <m:ctrlPr>
              <w:rPr>
                <w:rFonts w:ascii="Cambria Math" w:hAnsi="Cambria Math"/>
                <w:i/>
              </w:rPr>
            </m:ctrlPr>
          </m:accPr>
          <m:e>
            <m:r>
              <w:rPr>
                <w:rFonts w:ascii="Cambria Math" w:hAnsi="Cambria Math"/>
              </w:rPr>
              <m:t>X</m:t>
            </m:r>
          </m:e>
        </m:acc>
      </m:oMath>
      <w:r w:rsidRPr="00E121E9">
        <w:t xml:space="preserve"> is the coherent average, and </w:t>
      </w:r>
      <w:r w:rsidRPr="00E121E9">
        <w:rPr>
          <w:i/>
          <w:iCs/>
        </w:rPr>
        <w:t xml:space="preserve">SP </w:t>
      </w:r>
      <w:r w:rsidRPr="00E121E9">
        <w:t xml:space="preserve">is a single column of the ensemble matrix. The Fmp is an adaptation of the Fsp, taking an average of the variance calculated across </w:t>
      </w:r>
      <w:r w:rsidRPr="00E121E9">
        <w:rPr>
          <w:i/>
          <w:iCs/>
        </w:rPr>
        <w:t>M</w:t>
      </w:r>
      <w:r w:rsidRPr="00E121E9">
        <w:t xml:space="preserve"> columns of the ensemble matrix, potentially providing a more stable estimate of the variance of the averaged background noise </w:t>
      </w:r>
      <w:r w:rsidRPr="00E121E9">
        <w:fldChar w:fldCharType="begin" w:fldLock="1"/>
      </w:r>
      <w:r w:rsidRPr="00E121E9">
        <w:instrText>ADDIN CSL_CITATION {"citationItems":[{"id":"ITEM-1","itemData":{"DOI":"10.1016/s0030-6665(20)30666-6","ISSN":"00306665","PMID":"8065755","abstract":"This article reviews current literature in the areas of otoacoustic emissions and auditory brain stem responses (ABRs) and their application to the evaluation of peripheral auditory function in infants and children. The different types of otoacoustic emissions are described along with their incidence, development, clinical applications, and interpretation in the pediatric group. The development of the auditory system, reflected by ABRs, is presented in detail with previously unpublished results from three- channel Lissajous' trajectory studies performed in infants. Clinical application of frequency-specific ABRs, both air and bone conducted, are presented. Finally, a discussion of the need to develop objective estimators of signal quality and threshold detection for otoacoustic emissions and ABRs in infants and children is presented, which includes previously unpublished results evaluating a new technique.","author":[{"dropping-particle":"","family":"Martin","given":"W. H.","non-dropping-particle":"","parse-names":false,"suffix":""},{"dropping-particle":"","family":"Schwegler","given":"J. W.","non-dropping-particle":"","parse-names":false,"suffix":""},{"dropping-particle":"","family":"Gleeson","given":"A. L.","non-dropping-particle":"","parse-names":false,"suffix":""},{"dropping-particle":"","family":"Shi","given":"Y. B.","non-dropping-particle":"","parse-names":false,"suffix":""}],"container-title":"Otolaryngologic Clinics of North America","id":"ITEM-1","issue":"3","issued":{"date-parts":[["1994","6","1"]]},"page":"487-510","publisher":"Elsevier","title":"New techniques of hearing assessment","type":"article-journal","volume":"27"},"uris":["http://www.mendeley.com/documents/?uuid=5190a14d-e827-3443-a0b3-4a2c597db27a"]}],"mendeley":{"formattedCitation":"(Martin et al., 1994)","plainTextFormattedCitation":"(Martin et al., 1994)","previouslyFormattedCitation":"(Martin et al., 1994)"},"properties":{"noteIndex":0},"schema":"https://github.com/citation-style-language/schema/raw/master/csl-citation.json"}</w:instrText>
      </w:r>
      <w:r w:rsidRPr="00E121E9">
        <w:fldChar w:fldCharType="separate"/>
      </w:r>
      <w:r w:rsidRPr="00E121E9">
        <w:t>(Martin et al., 1994)</w:t>
      </w:r>
      <w:r w:rsidRPr="00E121E9">
        <w:fldChar w:fldCharType="end"/>
      </w:r>
      <w:r w:rsidRPr="00E121E9">
        <w:t>:</w:t>
      </w:r>
    </w:p>
    <w:p w14:paraId="4101B448" w14:textId="77777777" w:rsidR="00F97FCE" w:rsidRPr="00E121E9" w:rsidRDefault="00534ED7">
      <w:pPr>
        <w:spacing w:line="480" w:lineRule="auto"/>
      </w:pPr>
      <m:oMathPara>
        <m:oMath>
          <m:r>
            <w:rPr>
              <w:rFonts w:ascii="Cambria Math" w:hAnsi="Cambria Math"/>
            </w:rPr>
            <w:lastRenderedPageBreak/>
            <m:t>Fmp=N</m:t>
          </m:r>
          <m:f>
            <m:fPr>
              <m:ctrlPr>
                <w:rPr>
                  <w:rFonts w:ascii="Cambria Math" w:hAnsi="Cambria Math"/>
                  <w:i/>
                </w:rPr>
              </m:ctrlPr>
            </m:fPr>
            <m:num>
              <m:r>
                <w:rPr>
                  <w:rFonts w:ascii="Cambria Math" w:hAnsi="Cambria Math"/>
                </w:rPr>
                <m:t>VAR(</m:t>
              </m:r>
              <m:acc>
                <m:accPr>
                  <m:chr m:val="̅"/>
                  <m:ctrlPr>
                    <w:rPr>
                      <w:rFonts w:ascii="Cambria Math" w:hAnsi="Cambria Math"/>
                      <w:i/>
                    </w:rPr>
                  </m:ctrlPr>
                </m:accPr>
                <m:e>
                  <m:r>
                    <w:rPr>
                      <w:rFonts w:ascii="Cambria Math" w:hAnsi="Cambria Math"/>
                    </w:rPr>
                    <m:t>X</m:t>
                  </m:r>
                </m:e>
              </m:acc>
              <m:r>
                <w:rPr>
                  <w:rFonts w:ascii="Cambria Math" w:hAnsi="Cambria Math"/>
                </w:rPr>
                <m:t>)</m:t>
              </m:r>
            </m:num>
            <m:den>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VAR(</m:t>
                  </m:r>
                  <m:sSub>
                    <m:sSubPr>
                      <m:ctrlPr>
                        <w:rPr>
                          <w:rFonts w:ascii="Cambria Math" w:hAnsi="Cambria Math"/>
                          <w:i/>
                        </w:rPr>
                      </m:ctrlPr>
                    </m:sSubPr>
                    <m:e>
                      <m:r>
                        <w:rPr>
                          <w:rFonts w:ascii="Cambria Math" w:hAnsi="Cambria Math"/>
                        </w:rPr>
                        <m:t>SP</m:t>
                      </m:r>
                    </m:e>
                    <m:sub>
                      <m:r>
                        <w:rPr>
                          <w:rFonts w:ascii="Cambria Math" w:hAnsi="Cambria Math"/>
                        </w:rPr>
                        <m:t>i</m:t>
                      </m:r>
                    </m:sub>
                  </m:sSub>
                  <m:r>
                    <w:rPr>
                      <w:rFonts w:ascii="Cambria Math" w:hAnsi="Cambria Math"/>
                    </w:rPr>
                    <m:t>)</m:t>
                  </m:r>
                </m:e>
              </m:nary>
            </m:den>
          </m:f>
        </m:oMath>
      </m:oMathPara>
    </w:p>
    <w:p w14:paraId="7CCFE888" w14:textId="4ECFDD2B" w:rsidR="00F97FCE" w:rsidRPr="00E121E9" w:rsidRDefault="00534ED7">
      <w:pPr>
        <w:spacing w:line="480" w:lineRule="auto"/>
      </w:pPr>
      <w:r w:rsidRPr="00E121E9">
        <w:rPr>
          <w:bCs/>
          <w:iCs/>
        </w:rPr>
        <w:t>Both the Fsp and Fmp are assumed to follow theoretical F-distributions with a conservative 5 degrees of freedom</w:t>
      </w:r>
      <w:r w:rsidR="00EC55A4" w:rsidRPr="00E121E9">
        <w:rPr>
          <w:bCs/>
          <w:iCs/>
        </w:rPr>
        <w:t xml:space="preserve"> (df)</w:t>
      </w:r>
      <w:r w:rsidRPr="00E121E9">
        <w:rPr>
          <w:bCs/>
          <w:iCs/>
        </w:rPr>
        <w:t xml:space="preserve"> for the numerator </w:t>
      </w:r>
      <w:r w:rsidRPr="00E121E9">
        <w:rPr>
          <w:bCs/>
          <w:iCs/>
        </w:rPr>
        <w:fldChar w:fldCharType="begin" w:fldLock="1"/>
      </w:r>
      <w:r w:rsidRPr="00E121E9">
        <w:rPr>
          <w:bCs/>
          <w:iCs/>
        </w:rPr>
        <w:instrText>ADDIN CSL_CITATION {"citationItems":[{"id":"ITEM-1","itemData":{"ISSN":"0105-0397","PMID":"6494805","abstract":"In its clinical use, the auditory brainstem responses, ABR, are recovered from the background noise by averaging a number of post-stimulus time epochs, sweeps. Normally, the test protocol prescribes a fixed number of sweeps to be employed and recording of replications is frequently recommended, too. Since both the ABR and the background noise differ in magnitude among patients and test sessions, such a test protocol can never ensure a given minimum \"quality\" or signal-to-noise ratio, SNR, of the averaged ABR. In an attempt to solve this problem, a method is proposed to evaluate, in statistical terms, the \"quality\" or SNR of the averaged recording. This is done by calculating the ratio between the estimated magnitude of the ABR and that of the averaged background noise. The method can be employed \"on-line\" in an adaptive strategy to estimate the number of sweeps necessary to obtain a given minimum \"quality\" of the averaged ABR. It can be used in suprathreshold recordings as well as in automatic \"threshold\" detection and it is a practical tool to analyze and improve the cost-benefit of the ABR test.","author":[{"dropping-particle":"","family":"Elberling","given":"C","non-dropping-particle":"","parse-names":false,"suffix":""},{"dropping-particle":"","family":"Don","given":"M","non-dropping-particle":"","parse-names":false,"suffix":""}],"container-title":"Scandinavian audiology","id":"ITEM-1","issue":"3","issued":{"date-parts":[["1984"]]},"page":"187-97","title":"Quality estimation of averaged auditory brainstem responses.","type":"article-journal","volume":"13"},"uris":["http://www.mendeley.com/documents/?uuid=35d1fe5a-3597-31e8-aff5-3630b21fee7c"]}],"mendeley":{"formattedCitation":"(Elberling &amp; Don, 1984)","plainTextFormattedCitation":"(Elberling &amp; Don, 1984)","previouslyFormattedCitation":"(Elberling &amp; Don, 1984)"},"properties":{"noteIndex":0},"schema":"https://github.com/citation-style-language/schema/raw/master/csl-citation.json"}</w:instrText>
      </w:r>
      <w:r w:rsidRPr="00E121E9">
        <w:rPr>
          <w:bCs/>
          <w:iCs/>
        </w:rPr>
        <w:fldChar w:fldCharType="separate"/>
      </w:r>
      <w:r w:rsidRPr="00E121E9">
        <w:rPr>
          <w:bCs/>
          <w:iCs/>
        </w:rPr>
        <w:t>(Elberling &amp; Don, 1984)</w:t>
      </w:r>
      <w:r w:rsidRPr="00E121E9">
        <w:rPr>
          <w:bCs/>
          <w:iCs/>
        </w:rPr>
        <w:fldChar w:fldCharType="end"/>
      </w:r>
      <w:r w:rsidRPr="00E121E9">
        <w:rPr>
          <w:bCs/>
          <w:iCs/>
        </w:rPr>
        <w:t xml:space="preserve">. </w:t>
      </w:r>
    </w:p>
    <w:p w14:paraId="4F189C0C" w14:textId="77777777" w:rsidR="00F97FCE" w:rsidRPr="00E121E9" w:rsidRDefault="00F97FCE">
      <w:pPr>
        <w:spacing w:line="480" w:lineRule="auto"/>
      </w:pPr>
    </w:p>
    <w:p w14:paraId="7E274EE6" w14:textId="77777777" w:rsidR="00F97FCE" w:rsidRPr="00E121E9" w:rsidRDefault="00534ED7">
      <w:pPr>
        <w:spacing w:line="480" w:lineRule="auto"/>
        <w:rPr>
          <w:bCs/>
          <w:iCs/>
        </w:rPr>
      </w:pPr>
      <w:r w:rsidRPr="00E121E9">
        <w:t>Hotelling’s T</w:t>
      </w:r>
      <w:r w:rsidRPr="00E121E9">
        <w:rPr>
          <w:vertAlign w:val="superscript"/>
        </w:rPr>
        <w:t>2</w:t>
      </w:r>
      <w:r w:rsidRPr="00E121E9">
        <w:t xml:space="preserve"> test is a multivariate extension of the Student’s t-test </w:t>
      </w:r>
      <w:r w:rsidRPr="00E121E9">
        <w:fldChar w:fldCharType="begin" w:fldLock="1"/>
      </w:r>
      <w:r w:rsidRPr="00E121E9">
        <w:instrText>ADDIN CSL_CITATION {"citationItems":[{"id":"ITEM-1","itemData":{"DOI":"10.1214/AOMS/1177732979","ISSN":"0003-4851","author":[{"dropping-particle":"","family":"Hotelling","given":"Harold","non-dropping-particle":"","parse-names":false,"suffix":""}],"container-title":"Annals of Mathematical Statistics","id":"ITEM-1","issue":"3","issued":{"date-parts":[["1931"]]},"page":"360-378","publisher":"Institute of Mathematical Statistics","title":"The Generalization of Student's Ratio","type":"article-journal","volume":"2"},"uris":["http://www.mendeley.com/documents/?uuid=7950c0b4-3bb1-3bd1-bfe1-5c4a8b12f98f"]}],"mendeley":{"formattedCitation":"(Hotelling, 1931)","plainTextFormattedCitation":"(Hotelling, 1931)","previouslyFormattedCitation":"(Hotelling, 1931)"},"properties":{"noteIndex":0},"schema":"https://github.com/citation-style-language/schema/raw/master/csl-citation.json"}</w:instrText>
      </w:r>
      <w:r w:rsidRPr="00E121E9">
        <w:fldChar w:fldCharType="separate"/>
      </w:r>
      <w:r w:rsidRPr="00E121E9">
        <w:t>(Hotelling, 1931)</w:t>
      </w:r>
      <w:r w:rsidRPr="00E121E9">
        <w:fldChar w:fldCharType="end"/>
      </w:r>
      <w:r w:rsidRPr="00E121E9">
        <w:t>. In the time domain, the Hotelling’s T</w:t>
      </w:r>
      <w:r w:rsidRPr="00E121E9">
        <w:rPr>
          <w:vertAlign w:val="superscript"/>
        </w:rPr>
        <w:t>2</w:t>
      </w:r>
      <w:r w:rsidRPr="00E121E9">
        <w:t xml:space="preserve"> test is typically applied to a compressed version of the ensemble matrix in order to increase test performance. This compression is performed by taking the mean across several sample points within each epoch creating voltage means. The ensemble matrix is therefore compressed from a matrix of size </w:t>
      </w:r>
      <w:r w:rsidRPr="00E121E9">
        <w:rPr>
          <w:i/>
          <w:iCs/>
        </w:rPr>
        <w:t>N</w:t>
      </w:r>
      <w:r w:rsidRPr="00E121E9">
        <w:t xml:space="preserve"> epochs by </w:t>
      </w:r>
      <w:r w:rsidRPr="00E121E9">
        <w:rPr>
          <w:i/>
          <w:iCs/>
        </w:rPr>
        <w:t>K</w:t>
      </w:r>
      <w:r w:rsidRPr="00E121E9">
        <w:t xml:space="preserve"> samples into a matrix of </w:t>
      </w:r>
      <w:r w:rsidRPr="00E121E9">
        <w:rPr>
          <w:i/>
          <w:iCs/>
        </w:rPr>
        <w:t xml:space="preserve">N </w:t>
      </w:r>
      <w:r w:rsidRPr="00E121E9">
        <w:t xml:space="preserve">epochs by </w:t>
      </w:r>
      <w:r w:rsidRPr="00E121E9">
        <w:rPr>
          <w:i/>
          <w:iCs/>
        </w:rPr>
        <w:t>Q</w:t>
      </w:r>
      <w:r w:rsidRPr="00E121E9">
        <w:t xml:space="preserve"> voltage means (time </w:t>
      </w:r>
      <w:r w:rsidRPr="00E121E9">
        <w:rPr>
          <w:lang w:val="en-GB"/>
        </w:rPr>
        <w:t xml:space="preserve">domain </w:t>
      </w:r>
      <w:r w:rsidRPr="00E121E9">
        <w:t>features)</w:t>
      </w:r>
      <w:r w:rsidRPr="00E121E9">
        <w:rPr>
          <w:i/>
          <w:iCs/>
        </w:rPr>
        <w:t xml:space="preserve"> </w:t>
      </w:r>
      <w:r w:rsidRPr="00E121E9">
        <w:t xml:space="preserve">with </w:t>
      </w:r>
      <w:r w:rsidRPr="00E121E9">
        <w:rPr>
          <w:i/>
          <w:iCs/>
        </w:rPr>
        <w:t>Q</w:t>
      </w:r>
      <w:r w:rsidRPr="00E121E9">
        <w:t xml:space="preserve"> being &lt; </w:t>
      </w:r>
      <w:r w:rsidRPr="00E121E9">
        <w:rPr>
          <w:i/>
          <w:iCs/>
        </w:rPr>
        <w:t>K</w:t>
      </w:r>
      <w:r w:rsidRPr="00E121E9">
        <w:t>. The one-sample Hotelling’s T</w:t>
      </w:r>
      <w:r w:rsidRPr="00E121E9">
        <w:rPr>
          <w:vertAlign w:val="superscript"/>
        </w:rPr>
        <w:t>2</w:t>
      </w:r>
      <w:r w:rsidRPr="00E121E9">
        <w:t xml:space="preserve"> test estimates whether there is a significant difference between the average of each of the </w:t>
      </w:r>
      <w:r w:rsidRPr="00E121E9">
        <w:rPr>
          <w:i/>
          <w:iCs/>
        </w:rPr>
        <w:t>Q</w:t>
      </w:r>
      <w:r w:rsidRPr="00E121E9">
        <w:t xml:space="preserve"> voltage means across </w:t>
      </w:r>
      <w:r w:rsidRPr="00E121E9">
        <w:rPr>
          <w:i/>
          <w:iCs/>
        </w:rPr>
        <w:t xml:space="preserve">N </w:t>
      </w:r>
      <w:r w:rsidRPr="00E121E9">
        <w:t>epochs (the coherent average) and an assumed mean of zero. To do so, the voltage means are weighted by the inverse of the feature covariance matrix, and then combined into a single test statistic (T</w:t>
      </w:r>
      <w:r w:rsidRPr="00E121E9">
        <w:rPr>
          <w:vertAlign w:val="superscript"/>
        </w:rPr>
        <w:t>2</w:t>
      </w:r>
      <w:r w:rsidRPr="00E121E9">
        <w:t xml:space="preserve">). The parameter </w:t>
      </w:r>
      <w:r w:rsidRPr="00E121E9">
        <w:rPr>
          <w:i/>
          <w:iCs/>
        </w:rPr>
        <w:t>Q</w:t>
      </w:r>
      <w:r w:rsidRPr="00E121E9">
        <w:t xml:space="preserve"> for the number of voltage means is an important parameter that affects test performance; having too few voltage means reduces the ability of the test to resolve short duration changes in the response amplitude as these may be averaged out within a single voltage mean </w:t>
      </w:r>
      <w:r w:rsidRPr="00E121E9">
        <w:fldChar w:fldCharType="begin" w:fldLock="1"/>
      </w:r>
      <w:r w:rsidRPr="00E121E9">
        <w:instrText>ADDIN CSL_CITATION {"citationItems":[{"id":"ITEM-1","itemData":{"DOI":"10.3109/14992020903140928","ISSN":"14992027","PMID":"20017680","abstract":"The detection of adult cortical auditory evoked potentials (CAEPs) can be challenging when the stimulus is just audible. The effectiveness of a statistic compared with expert examiners in (1) detecting the presence of CAEPs when stimuli were present, and (2) reporting the absence of CAEPs when no stimuli were present, was investigated. CAEPs recorded from ten adults, using two speech-based stimuli, five stimulus presentation levels, and non-stimulus conditions, were given to four experienced examiners who were asked to determine if responses to auditory stimulation could be observed, and their degree of certainty in making their decision. These recordings were also converted to multiple dependent variables and Hotelling's T2 was applied to calculate the probability that the mean value of any linear combination of these variables was significantly different from zero. Results showed that Hotelling's T2 was equally sensitive to the best of individual experienced examiners in differentiating a CAEP from random noise. It is reasonable to assume that the difference in response detection for a novice examiner and Hotelling's T2 would be even greater. Sumario La deteccin de los potenciales evocados auditivos corticales (CAEP) del adulto puede ser un desafo cuando el estmulo es apenas audible. Se investig la efectividad de una comparacin estadstica con examinadores expertos para (1) detectar la presencia del CAEP cuando el estimulo estuvo presente, y (2) reportar la ausencia del CAEP cuando ningn estmulo estaba presente. Los CAEP registrados para diez adultos, usando dos estmulos con base en lenguaje, cinco niveles de presentacin del estmulo, y condiciones sin estmulo, fueron presentados a cuatro examinadores con experiencia, a quienes se solicit que determinaran si las respuestas a estmulos auditivos podan ser observadas y su grado de certeza en la toma de sus decisiones. Estos registros fueron tambin convertidos a mltiples variables dependientes y se aplic el T2 de Hotelling para calcular la probabilidad de que el valor medio de una combinacin lineal de estas variables fuera significativamente diferente de cero. Los resultados mostraron que el T2 de Hotelling era igualmente sensible que lo mejor de los examinadores experimentados individuales para diferenciar un CAEP de un ruido aleatorio. Es razonable asumir que la diferencia en deteccin de respuestas para un examinador novato y el T2 de Hotelling seran an mayor. © 2009 British Society of Audiology, Internat…","author":[{"dropping-particle":"","family":"Golding","given":"Maryanne","non-dropping-particle":"","parse-names":false,"suffix":""},{"dropping-particle":"","family":"Dillon","given":"Harvey","non-dropping-particle":"","parse-names":false,"suffix":""},{"dropping-particle":"","family":"Seymour","given":"John","non-dropping-particle":"","parse-names":false,"suffix":""},{"dropping-particle":"","family":"Carter","given":"Lyndal","non-dropping-particle":"","parse-names":false,"suffix":""}],"container-title":"International Journal of Audiology","id":"ITEM-1","issue":"12","issued":{"date-parts":[["2009"]]},"page":"833-842","publisher":"Int J Audiol","title":"The detection of adult cortical auditory evoked potentials (CAEPs) using an automated statistic and visual detection","type":"article-journal","volume":"48"},"uris":["http://www.mendeley.com/documents/?uuid=0be2973b-8d6d-39b3-9a21-729789d1457f"]},{"id":"ITEM-2","itemData":{"DOI":"10.3766/jaaa.26.4.5","ISSN":"10500545","abstract":"Background: Hearing threshold estimation based on cortical auditory evoked potentials (CAEPs) has been applied for some decades. However, available research is scarce evaluating the accuracy of this technique with an automated paradigm for the objective detection of CAEPs. Purpose: To determine the difference between behavioral and CAEP thresholds detected using an objective paradigm based on the Hotelling's T&lt;sup&gt;2&lt;/sup&gt; statistic. To propose a decision tree to choose the next stimulus level in a sample of hearing-impaired adults. This knowledge potentially could increase the efficiency of clinical hearing threshold testing. Research Design: Correlational cohort study. Thresholds obtained behaviorally were compared with thresholds obtained through cortical testing. Study Sample: Thirty-four adults with hearing loss participated in this study. Data Collection and Analysis: For each audiometric frequency and each ear, behavioral thresholds were collected with both pure-tone and 40-msec tone-burst stimuli. Then, corresponding cortical hearing thresholds were determined. An objective cortical-response detection algorithm based on the Hotelling's T&lt;sup&gt;2&lt;/sup&gt; statistic was applied to determine response presence. A decision tree was used to select the next stimulus level. In total, 241 behavioral-cortical threshold pairs were available for analysis. The differences between CAEP and behavioral thresholds (and their standard deviations [SDs]) were determined for each audio-metric frequency. Cortical amplitudes and electroencephalogram noise levels were extracted. The practical applicability of the decision tree was evaluated and compared to a Hughson-Westlake paradigm. Results: It was shown that, when collapsed over all audiometric frequencies, behavioral pure-tone thresholds were on average 10 dB lower than 40-msec cortical tone-burst thresholds, with an SD of 10 dB. Four percent of CAEP thresholds, all obtained from just three individual participants, were more than 30 dB higher than their behavioral counterparts. The use of a decision tree instead of a Hughson- Westlake procedure to obtain a CAEP threshold did not seem to reduce test time, but there was significantly less variation in the number of CAEP trials needed to determine a threshold. Conclusions: Behavioral hearing thresholds in hearing-impaired adults can be determined with an acceptable degree of accuracy (mean threshold correction and SD of both 10 dB) using an objective statistical cortical-re…","author":[{"dropping-particle":"","family":"Dun","given":"Bram","non-dropping-particle":"Van","parse-names":false,"suffix":""},{"dropping-particle":"","family":"Dillon","given":"Harvey","non-dropping-particle":"","parse-names":false,"suffix":""},{"dropping-particle":"","family":"Seeto","given":"Mark","non-dropping-particle":"","parse-names":false,"suffix":""}],"container-title":"Journal of the American Academy of Audiology","id":"ITEM-2","issue":"4","issued":{"date-parts":[["2015","4","1"]]},"page":"370-383","publisher":"American Academy of Audiology","title":"Estimating hearing thresholds in hearing-impaired adults through objective detection of cortical auditory evoked potentials","type":"article-journal","volume":"26"},"uris":["http://www.mendeley.com/documents/?uuid=1c093a66-8c96-3829-861d-43899cd56bd5"]}],"mendeley":{"formattedCitation":"(Golding et al., 2009; Van Dun et al., 2015)","plainTextFormattedCitation":"(Golding et al., 2009; Van Dun et al., 2015)","previouslyFormattedCitation":"(Golding et al., 2009; Van Dun et al., 2015)"},"properties":{"noteIndex":0},"schema":"https://github.com/citation-style-language/schema/raw/master/csl-citation.json"}</w:instrText>
      </w:r>
      <w:r w:rsidRPr="00E121E9">
        <w:fldChar w:fldCharType="separate"/>
      </w:r>
      <w:r w:rsidRPr="00E121E9">
        <w:t>(Golding et al., 2009; Van Dun et al., 2015)</w:t>
      </w:r>
      <w:r w:rsidRPr="00E121E9">
        <w:fldChar w:fldCharType="end"/>
      </w:r>
      <w:r w:rsidRPr="00E121E9">
        <w:t xml:space="preserve">. In this study, the parameter </w:t>
      </w:r>
      <w:r w:rsidRPr="00E121E9">
        <w:rPr>
          <w:i/>
          <w:iCs/>
        </w:rPr>
        <w:t>Q</w:t>
      </w:r>
      <w:r w:rsidRPr="00E121E9">
        <w:t xml:space="preserve"> was optimized based on ROC AUC and k-fold cross validation on the training set data. </w:t>
      </w:r>
      <w:r w:rsidRPr="00E121E9">
        <w:rPr>
          <w:bCs/>
          <w:iCs/>
        </w:rPr>
        <w:t xml:space="preserve">Whilst optimizing the number of voltage means it was found that, for certain ensembles, results became unreliable when using more than 35 voltage means. As the number of voltage means increases, </w:t>
      </w:r>
      <w:r w:rsidRPr="00E121E9">
        <w:t>consecutive voltage means become increasingly correlated, resulting in an increasingly ill-conditioned feature covariance matrix and hence unstable results</w:t>
      </w:r>
      <w:r w:rsidRPr="00E121E9">
        <w:rPr>
          <w:bCs/>
          <w:iCs/>
        </w:rPr>
        <w:t xml:space="preserve"> </w:t>
      </w:r>
      <w:r w:rsidRPr="00E121E9">
        <w:rPr>
          <w:bCs/>
          <w:iCs/>
        </w:rPr>
        <w:fldChar w:fldCharType="begin" w:fldLock="1"/>
      </w:r>
      <w:r w:rsidRPr="00E121E9">
        <w:rPr>
          <w:bCs/>
          <w:iCs/>
        </w:rPr>
        <w:instrText>ADDIN CSL_CITATION {"citationItems":[{"id":"ITEM-1","itemData":{"DOI":"10.1016/j.spl.2017.05.019","ISSN":"01677152","abstract":"Computing an inverse of a covariance matrix is a common computational component in Statistics. For example, Gaussian likelihood function includes the inverse of a covariance matrix. For the computation of the inverse of a spatial covariance matrix, numerically unstable results can arise when the observation locations are getting denser. In this paper, we investigate when computational instability in calculating the inverse of a spatial covariance matrix makes maximum likelihood estimator unreasonable for a Matérn covariance model. Also, some possible approaches to relax such computational instability are discussed.","author":[{"dropping-particle":"","family":"Lim","given":"Chae Young","non-dropping-particle":"","parse-names":false,"suffix":""},{"dropping-particle":"","family":"Chen","given":"Chien Hung","non-dropping-particle":"","parse-names":false,"suffix":""},{"dropping-particle":"","family":"Wu","given":"Wei Ying","non-dropping-particle":"","parse-names":false,"suffix":""}],"container-title":"Statistics and Probability Letters","id":"ITEM-1","issued":{"date-parts":[["2017","10","1"]]},"page":"182-188","publisher":"Elsevier B.V.","title":"Numerical instability of calculating inverse of spatial covariance matrices","type":"article-journal","volume":"129"},"uris":["http://www.mendeley.com/documents/?uuid=5733537a-444f-3e9b-8349-5e39089dec3d"]}],"mendeley":{"formattedCitation":"(Lim et al., 2017)","plainTextFormattedCitation":"(Lim et al., 2017)","previouslyFormattedCitation":"(Lim et al., 2017)"},"properties":{"noteIndex":0},"schema":"https://github.com/citation-style-language/schema/raw/master/csl-citation.json"}</w:instrText>
      </w:r>
      <w:r w:rsidRPr="00E121E9">
        <w:rPr>
          <w:bCs/>
          <w:iCs/>
        </w:rPr>
        <w:fldChar w:fldCharType="separate"/>
      </w:r>
      <w:r w:rsidRPr="00E121E9">
        <w:rPr>
          <w:bCs/>
          <w:iCs/>
        </w:rPr>
        <w:t>(Lim et al., 2017)</w:t>
      </w:r>
      <w:r w:rsidRPr="00E121E9">
        <w:rPr>
          <w:bCs/>
          <w:iCs/>
        </w:rPr>
        <w:fldChar w:fldCharType="end"/>
      </w:r>
      <w:r w:rsidRPr="00E121E9">
        <w:rPr>
          <w:bCs/>
          <w:iCs/>
        </w:rPr>
        <w:t>. For this reason, the range of possible voltage means explored during optimization was limited to 2-35.</w:t>
      </w:r>
    </w:p>
    <w:p w14:paraId="450AC5E4" w14:textId="77777777" w:rsidR="00F97FCE" w:rsidRPr="00E121E9" w:rsidRDefault="00F97FCE">
      <w:pPr>
        <w:spacing w:line="480" w:lineRule="auto"/>
      </w:pPr>
    </w:p>
    <w:p w14:paraId="49568AE1" w14:textId="77777777" w:rsidR="00F97FCE" w:rsidRPr="00E121E9" w:rsidRDefault="00534ED7">
      <w:pPr>
        <w:spacing w:line="480" w:lineRule="auto"/>
      </w:pPr>
      <w:r w:rsidRPr="00E121E9">
        <w:t xml:space="preserve">The q-sample uniform scores test </w:t>
      </w:r>
      <w:r w:rsidRPr="00E121E9">
        <w:fldChar w:fldCharType="begin" w:fldLock="1"/>
      </w:r>
      <w:r w:rsidRPr="00E121E9">
        <w:instrText>ADDIN CSL_CITATION {"citationItems":[{"id":"ITEM-1","itemData":{"author":[{"dropping-particle":"","family":"Mardia","given":"K.V.","non-dropping-particle":"","parse-names":false,"suffix":""}],"edition":"1st","editor":[{"dropping-particle":"","family":"Birnbaum","given":"Z.W.","non-dropping-particle":"","parse-names":false,"suffix":""},{"dropping-particle":"","family":"Lukacs","given":"E.","non-dropping-particle":"","parse-names":false,"suffix":""}],"id":"ITEM-1","issued":{"date-parts":[["1972"]]},"publisher":"Academic Press","publisher-place":"London","title":"Statistics of Directional Data - 1st Edition","type":"book"},"uris":["http://www.mendeley.com/documents/?uuid=7db255bd-45c5-374b-8d06-e9581f71e5ab"]}],"mendeley":{"formattedCitation":"(Mardia, 1972)","plainTextFormattedCitation":"(Mardia, 1972)","previouslyFormattedCitation":"(Mardia, 1972)"},"properties":{"noteIndex":0},"schema":"https://github.com/citation-style-language/schema/raw/master/csl-citation.json"}</w:instrText>
      </w:r>
      <w:r w:rsidRPr="00E121E9">
        <w:fldChar w:fldCharType="separate"/>
      </w:r>
      <w:r w:rsidRPr="00E121E9">
        <w:t>(Mardia, 1972)</w:t>
      </w:r>
      <w:r w:rsidRPr="00E121E9">
        <w:fldChar w:fldCharType="end"/>
      </w:r>
      <w:r w:rsidRPr="00E121E9">
        <w:t xml:space="preserve"> is a frequency domain test which assesses the uniformity of the phase distributions across multiple spectral bands within the recorded EEG. If the EEG contains exclusively noise, the phase distribution is expected to be uniform. The modified version of the q-sample test </w:t>
      </w:r>
      <w:r w:rsidRPr="00E121E9">
        <w:fldChar w:fldCharType="begin" w:fldLock="1"/>
      </w:r>
      <w:r w:rsidRPr="00E121E9">
        <w:instrText>ADDIN CSL_CITATION {"citationItems":[{"id":"ITEM-1","itemData":{"DOI":"10.1159/000013815","ISSN":"1420-3030","abstract":"The objective assessment of the hearing threshold requires a suitable statistical test for response detection. For checking the q spectral lines of an auditory-evoked potential spectrum in the frequency domain, a q-sample test seems to be more favourable compared to q applications of a one-sample test. The response detection performance of three q-sample tests (q-sample analogue of Watsons U2 test, q-sample uniform scores test and a modified q-sample uniform scores test) has been checked by extensive Monte Carte simulations. To compare the performance of the three test statistics, sensitivity was calculated and receiver-operating characteristics were constructed from the probability density functions estimated by the Monte Carlo simulations. In addition, a comparison on the basis of real near-threshold auditory brainstem response data was carried out. The modified q-sample uniform scores test appeared to be the most powerful test. Some aspects of the practical application of this test are discussed in this paper.","author":[{"dropping-particle":"","family":"Stürzebecher","given":"Ekkehard","non-dropping-particle":"","parse-names":false,"suffix":""},{"dropping-particle":"","family":"Cebulla","given":"Mario","non-dropping-particle":"","parse-names":false,"suffix":""},{"dropping-particle":"","family":"Wernecke","given":"K.-D.","non-dropping-particle":"","parse-names":false,"suffix":""}],"container-title":"Audiology and Neurotology","id":"ITEM-1","issue":"1","issued":{"date-parts":[["1999","1"]]},"page":"2-11","publisher":"Karger Publishers","title":"Objective Response Detection in the Frequency Domain: Comparison of Several q-Sample Tests","type":"article-journal","volume":"4"},"uris":["http://www.mendeley.com/documents/?uuid=4a4aa00e-015f-3f60-b77f-0c142b5f5339"]}],"mendeley":{"formattedCitation":"(Stürzebecher et al., 1999)","plainTextFormattedCitation":"(Stürzebecher et al., 1999)","previouslyFormattedCitation":"(Stürzebecher et al., 1999)"},"properties":{"noteIndex":0},"schema":"https://github.com/citation-style-language/schema/raw/master/csl-citation.json"}</w:instrText>
      </w:r>
      <w:r w:rsidRPr="00E121E9">
        <w:fldChar w:fldCharType="separate"/>
      </w:r>
      <w:r w:rsidRPr="00E121E9">
        <w:t>(Stürzebecher et al., 1999)</w:t>
      </w:r>
      <w:r w:rsidRPr="00E121E9">
        <w:fldChar w:fldCharType="end"/>
      </w:r>
      <w:r w:rsidRPr="00E121E9">
        <w:t xml:space="preserve"> in addition to using ranked phase angles, includes the ranked spectral amplitudes. This modified version of the q-sample uniform scores test was chosen as it has been shown to perform better than the original q-sample uniform scores test in ABR detection </w:t>
      </w:r>
      <w:r w:rsidRPr="00E121E9">
        <w:fldChar w:fldCharType="begin" w:fldLock="1"/>
      </w:r>
      <w:r w:rsidRPr="00E121E9">
        <w:instrText>ADDIN CSL_CITATION {"citationItems":[{"id":"ITEM-1","itemData":{"DOI":"10.1159/000013815","ISSN":"1420-3030","abstract":"The objective assessment of the hearing threshold requires a suitable statistical test for response detection. For checking the q spectral lines of an auditory-evoked potential spectrum in the frequency domain, a q-sample test seems to be more favourable compared to q applications of a one-sample test. The response detection performance of three q-sample tests (q-sample analogue of Watsons U2 test, q-sample uniform scores test and a modified q-sample uniform scores test) has been checked by extensive Monte Carte simulations. To compare the performance of the three test statistics, sensitivity was calculated and receiver-operating characteristics were constructed from the probability density functions estimated by the Monte Carlo simulations. In addition, a comparison on the basis of real near-threshold auditory brainstem response data was carried out. The modified q-sample uniform scores test appeared to be the most powerful test. Some aspects of the practical application of this test are discussed in this paper.","author":[{"dropping-particle":"","family":"Stürzebecher","given":"Ekkehard","non-dropping-particle":"","parse-names":false,"suffix":""},{"dropping-particle":"","family":"Cebulla","given":"Mario","non-dropping-particle":"","parse-names":false,"suffix":""},{"dropping-particle":"","family":"Wernecke","given":"K.-D.","non-dropping-particle":"","parse-names":false,"suffix":""}],"container-title":"Audiology and Neurotology","id":"ITEM-1","issue":"1","issued":{"date-parts":[["1999","1"]]},"page":"2-11","publisher":"Karger Publishers","title":"Objective Response Detection in the Frequency Domain: Comparison of Several q-Sample Tests","type":"article-journal","volume":"4"},"uris":["http://www.mendeley.com/documents/?uuid=4a4aa00e-015f-3f60-b77f-0c142b5f5339"]}],"mendeley":{"formattedCitation":"(Stürzebecher et al., 1999)","plainTextFormattedCitation":"(Stürzebecher et al., 1999)","previouslyFormattedCitation":"(Stürzebecher et al., 1999)"},"properties":{"noteIndex":0},"schema":"https://github.com/citation-style-language/schema/raw/master/csl-citation.json"}</w:instrText>
      </w:r>
      <w:r w:rsidRPr="00E121E9">
        <w:fldChar w:fldCharType="separate"/>
      </w:r>
      <w:r w:rsidRPr="00E121E9">
        <w:t>(Stürzebecher et al., 1999)</w:t>
      </w:r>
      <w:r w:rsidRPr="00E121E9">
        <w:fldChar w:fldCharType="end"/>
      </w:r>
      <w:r w:rsidRPr="00E121E9">
        <w:t>. For both versions of the q-sample uniform scores test, the number and range of spectral bands to be included were optimized using ROC AUC and k-fold cross-validation applied to the training set. An additional parameter optimized for both versions of q-sample test evaluated was whether zero-padding was used to improve the FFT frequency resolution, or not.</w:t>
      </w:r>
    </w:p>
    <w:p w14:paraId="181AA56B" w14:textId="77777777" w:rsidR="00F97FCE" w:rsidRPr="00E121E9" w:rsidRDefault="00F97FCE">
      <w:pPr>
        <w:spacing w:line="480" w:lineRule="auto"/>
        <w:rPr>
          <w:b/>
          <w:bCs/>
          <w:i/>
          <w:iCs/>
        </w:rPr>
      </w:pPr>
    </w:p>
    <w:p w14:paraId="5148BEE1" w14:textId="77777777" w:rsidR="00F97FCE" w:rsidRPr="00E121E9" w:rsidRDefault="00534ED7">
      <w:pPr>
        <w:spacing w:line="480" w:lineRule="auto"/>
        <w:rPr>
          <w:b/>
          <w:i/>
        </w:rPr>
      </w:pPr>
      <w:r w:rsidRPr="00E121E9">
        <w:rPr>
          <w:b/>
          <w:i/>
        </w:rPr>
        <w:t>Machine learning approaches</w:t>
      </w:r>
    </w:p>
    <w:p w14:paraId="6ECFA2BD" w14:textId="77777777" w:rsidR="00F97FCE" w:rsidRPr="00E121E9" w:rsidRDefault="00534ED7">
      <w:pPr>
        <w:spacing w:line="480" w:lineRule="auto"/>
        <w:rPr>
          <w:bCs/>
          <w:iCs/>
        </w:rPr>
      </w:pPr>
      <w:r w:rsidRPr="00E121E9">
        <w:rPr>
          <w:bCs/>
          <w:iCs/>
        </w:rPr>
        <w:t xml:space="preserve">The following four machine learning algorithms in combination with different feature extraction techniques were evaluated on the training set, after which the best performing model was selected to be evaluated on the test set. </w:t>
      </w:r>
    </w:p>
    <w:p w14:paraId="2EA3272B" w14:textId="77777777" w:rsidR="00F97FCE" w:rsidRPr="00E121E9" w:rsidRDefault="00F97FCE">
      <w:pPr>
        <w:spacing w:line="480" w:lineRule="auto"/>
        <w:rPr>
          <w:b/>
          <w:i/>
        </w:rPr>
      </w:pPr>
    </w:p>
    <w:p w14:paraId="442275DC" w14:textId="77777777" w:rsidR="00F97FCE" w:rsidRPr="00E121E9" w:rsidRDefault="00534ED7">
      <w:pPr>
        <w:spacing w:line="480" w:lineRule="auto"/>
        <w:rPr>
          <w:bCs/>
          <w:i/>
        </w:rPr>
      </w:pPr>
      <w:r w:rsidRPr="00E121E9">
        <w:rPr>
          <w:bCs/>
          <w:i/>
        </w:rPr>
        <w:t>Multilayer perceptron</w:t>
      </w:r>
    </w:p>
    <w:p w14:paraId="79105F92" w14:textId="77777777" w:rsidR="00F97FCE" w:rsidRPr="00E121E9" w:rsidRDefault="00534ED7">
      <w:pPr>
        <w:spacing w:line="480" w:lineRule="auto"/>
        <w:rPr>
          <w:bCs/>
          <w:iCs/>
        </w:rPr>
      </w:pPr>
      <w:r w:rsidRPr="00E121E9">
        <w:rPr>
          <w:bCs/>
          <w:iCs/>
        </w:rPr>
        <w:t xml:space="preserve">The multilayer perceptron (MLP) is a commonly used artificial neural network architecture made up of multiple layers of interconnected perceptrons (a perceptron being a single layer of artificial neurons) imitating the interconnectedness of neurons in the brain </w:t>
      </w:r>
      <w:r w:rsidRPr="00E121E9">
        <w:rPr>
          <w:bCs/>
          <w:iCs/>
        </w:rPr>
        <w:fldChar w:fldCharType="begin" w:fldLock="1"/>
      </w:r>
      <w:r w:rsidRPr="00E121E9">
        <w:rPr>
          <w:bCs/>
          <w:iCs/>
        </w:rPr>
        <w:instrText>ADDIN CSL_CITATION {"citationItems":[{"id":"ITEM-1","itemData":{"DOI":"10.1007/BF02478259","ISSN":"00074985","abstract":"Because of the \"all-or-none\" character of nervous activity, neural events and the relations among them can be treated by means of propositional logic. It is found that the behavior of every net can be described in these terms, with the addition of more complicated logical means for nets containing circles; and that for any logical expression satisfying certain conditions, one can find a net behaving in the fashion it describes. It is shown that many particular choices among possible neurophysiological assumptions are equivalent, in the sense that for every net behaving under one assumption, there exists another net which behaves under the other and gives the same results, although perhaps not in the same time. Various applications of the calculus are discussed. © 1943 The University of Chicago Press.","author":[{"dropping-particle":"","family":"McCulloch","given":"W.","non-dropping-particle":"","parse-names":false,"suffix":""},{"dropping-particle":"","family":"Pitts","given":"W.","non-dropping-particle":"","parse-names":false,"suffix":""}],"container-title":"The Bulletin of Mathematical Biophysics","id":"ITEM-1","issue":"4","issued":{"date-parts":[["1943","12"]]},"page":"115-133","publisher":"Kluwer Academic Publishers","title":"A logical calculus of the ideas immanent in nervous activity","type":"article-journal","volume":"5"},"uris":["http://www.mendeley.com/documents/?uuid=c8b881d5-6c3f-3061-bf38-9e495586f4c2"]}],"mendeley":{"formattedCitation":"(McCulloch &amp; Pitts, 1943)","plainTextFormattedCitation":"(McCulloch &amp; Pitts, 1943)","previouslyFormattedCitation":"(McCulloch &amp; Pitts, 1943)"},"properties":{"noteIndex":0},"schema":"https://github.com/citation-style-language/schema/raw/master/csl-citation.json"}</w:instrText>
      </w:r>
      <w:r w:rsidRPr="00E121E9">
        <w:rPr>
          <w:bCs/>
          <w:iCs/>
        </w:rPr>
        <w:fldChar w:fldCharType="separate"/>
      </w:r>
      <w:r w:rsidRPr="00E121E9">
        <w:rPr>
          <w:bCs/>
          <w:iCs/>
        </w:rPr>
        <w:t>(McCulloch &amp; Pitts, 1943)</w:t>
      </w:r>
      <w:r w:rsidRPr="00E121E9">
        <w:rPr>
          <w:bCs/>
          <w:iCs/>
        </w:rPr>
        <w:fldChar w:fldCharType="end"/>
      </w:r>
      <w:r w:rsidRPr="00E121E9">
        <w:rPr>
          <w:bCs/>
          <w:iCs/>
        </w:rPr>
        <w:t xml:space="preserve">. This model was trained using features extracted from the coherent average of the ensemble using the DWT. The DWT is a versatile signal processing technique able to capture and localize transient features </w:t>
      </w:r>
      <w:r w:rsidRPr="00E121E9">
        <w:rPr>
          <w:bCs/>
          <w:iCs/>
        </w:rPr>
        <w:fldChar w:fldCharType="begin" w:fldLock="1"/>
      </w:r>
      <w:r w:rsidRPr="00E121E9">
        <w:rPr>
          <w:bCs/>
          <w:iCs/>
        </w:rPr>
        <w:instrText>ADDIN CSL_CITATION {"citationItems":[{"id":"ITEM-1","itemData":{"DOI":"10.1016/j.eswa.2006.02.005","ISSN":"09574174","abstract":"Mixture of experts (ME) is modular neural network architecture for supervised learning. A double-loop Expectation-Maximization (EM) algorithm has been introduced to the ME network structure for detection of epileptic seizure. The detection of epileptiform discharges in the EEG is an important component in the diagnosis of epilepsy. EEG signals were decomposed into the frequency sub-bands using discrete wavelet transform (DWT). Then these sub-band frequencies were used as an input to a ME network with two discrete outputs: normal and epileptic. In order to improve accuracy, the outputs of expert networks were combined according to a set of local weights called the \"gating function\". The invariant transformations of the ME probability density functions include the permutations of the expert labels and the translations of the parameters in the gating functions. The performance of the proposed model was evaluated in terms of classification accuracies and the results confirmed that the proposed ME network structure has some potential in detecting epileptic seizures. The ME network structure achieved accuracy rates which were higher than that of the stand-alone neural network model. © 2006 Elsevier Ltd. All rights reserved.","author":[{"dropping-particle":"","family":"Subasi","given":"Abdulhamit","non-dropping-particle":"","parse-names":false,"suffix":""}],"container-title":"Expert Systems with Applications","id":"ITEM-1","issue":"4","issued":{"date-parts":[["2007","5","1"]]},"page":"1084-1093","publisher":"Pergamon","title":"EEG signal classification using wavelet feature extraction and a mixture of expert model","type":"article-journal","volume":"32"},"uris":["http://www.mendeley.com/documents/?uuid=b2c46fa3-5c61-3872-bee4-683d1c5b1701"]}],"mendeley":{"formattedCitation":"(Subasi, 2007)","plainTextFormattedCitation":"(Subasi, 2007)","previouslyFormattedCitation":"(Subasi, 2007)"},"properties":{"noteIndex":0},"schema":"https://github.com/citation-style-language/schema/raw/master/csl-citation.json"}</w:instrText>
      </w:r>
      <w:r w:rsidRPr="00E121E9">
        <w:rPr>
          <w:bCs/>
          <w:iCs/>
        </w:rPr>
        <w:fldChar w:fldCharType="separate"/>
      </w:r>
      <w:r w:rsidRPr="00E121E9">
        <w:rPr>
          <w:bCs/>
          <w:iCs/>
        </w:rPr>
        <w:t>(Subasi, 2007)</w:t>
      </w:r>
      <w:r w:rsidRPr="00E121E9">
        <w:rPr>
          <w:bCs/>
          <w:iCs/>
        </w:rPr>
        <w:fldChar w:fldCharType="end"/>
      </w:r>
      <w:r w:rsidRPr="00E121E9">
        <w:rPr>
          <w:bCs/>
          <w:iCs/>
        </w:rPr>
        <w:t xml:space="preserve">. DWT was performed using a biorthogonal </w:t>
      </w:r>
      <w:r w:rsidRPr="00E121E9">
        <w:rPr>
          <w:bCs/>
          <w:iCs/>
        </w:rPr>
        <w:lastRenderedPageBreak/>
        <w:t xml:space="preserve">wavelet (a family of wavelets which exhibit symmetry and linear phase) (‘bior5.5’) </w:t>
      </w:r>
      <w:r w:rsidRPr="00E121E9">
        <w:rPr>
          <w:bCs/>
          <w:iCs/>
        </w:rPr>
        <w:fldChar w:fldCharType="begin" w:fldLock="1"/>
      </w:r>
      <w:r w:rsidRPr="00E121E9">
        <w:rPr>
          <w:bCs/>
          <w:iCs/>
        </w:rPr>
        <w:instrText>ADDIN CSL_CITATION {"citationItems":[{"id":"ITEM-1","itemData":{"DOI":"10.1016/j.clinph.2003.11.016","ISSN":"13882457","PMID":"15066537","abstract":"Objective: To determine a preferred wavelet transform (WT) procedure for multi-resolution analysis (MRA) of auditory evoked potentials (AEP). Methods: A number of WT algorithms, mother wavelets, and pre-processing techniques were examined by way of critical theoretical discussion followed by experimental testing of key points using real and simulated auditory brain-stem response (ABR) waveforms. Conclusions from these examinations were then tested on a normative ABR dataset. Results: The results of the various experiments are reported in detail. Conclusions: Optimal AEP WT MRA is most likely to occur when an over-sampled discrete wavelet transformation (DWT) is used, utilising a smooth (regularity ≥3) and symmetrical (linear phase) mother wavelet, and a reflection boundary extension policy. Significance: This study demonstrates the practical importance of, and explains how to minimize potential artefacts due to, 4 inter-related issues relevant to AEP WT MRA, namely shift variance, phase distortion, reconstruction smoothness, and boundary artefacts. © 2004 International Federation of Clinical Neurophysiology. Published by Elsevier Ireland Ltd. All rights reserved.","author":[{"dropping-particle":"","family":"Bradley","given":"A. P.","non-dropping-particle":"","parse-names":false,"suffix":""},{"dropping-particle":"","family":"Wilson","given":"W. J.","non-dropping-particle":"","parse-names":false,"suffix":""}],"container-title":"Clinical Neurophysiology","id":"ITEM-1","issue":"5","issued":{"date-parts":[["2004","5","1"]]},"page":"1114-1128","publisher":"Elsevier","title":"On wavelet analysis of auditory evoked potentials","type":"article-journal","volume":"115"},"uris":["http://www.mendeley.com/documents/?uuid=ca6cc428-ca5b-31b6-8eb4-21ccecf14427"]},{"id":"ITEM-2","itemData":{"DOI":"10.1109/cbms.2005.41","ISSN":"10637125","abstract":"The auditory brainstem response (ABR) has become a routine clinical tool for hearing and neurological assessment. In order to pick out the ABR from the background EEG activity that obscures it, stimulus-synchronized averaging of many repeated trials is necessary and it typically requires up to 2000 repetitions. This number of repetitions can be very difficult, time consuming and uncomfortable for some subjects. In this study a method combining the wavelet analysis and the Bayesian network is introduced to reduce the required number of repetitions, which could offer a great advantage in the clinical situation. The important features of the ABR are extracted by thresholding and matching the wavelet coefficients. These extracted features are then used as the variables to build up the Bayesian network for classifying the ABR. 172 ABRs with 64 repetitions are applied in this study to learn the Bayesian network and estimate the conditional probability tables (CPTs). A further 142 ABRs with 64 repetitions are used to test the network. Moreover, this Bayesian network can also be applied to classify the ABRs with 128 repetitions. © 2005 IEEE.","author":[{"dropping-particle":"","family":"Zhang","given":"Rui","non-dropping-particle":"","parse-names":false,"suffix":""},{"dropping-particle":"","family":"McAllister","given":"Gerry","non-dropping-particle":"","parse-names":false,"suffix":""},{"dropping-particle":"","family":"Scotney","given":"Bryan","non-dropping-particle":"","parse-names":false,"suffix":""},{"dropping-particle":"","family":"McClean","given":"Sally","non-dropping-particle":"","parse-names":false,"suffix":""},{"dropping-particle":"","family":"Houston","given":"Glen","non-dropping-particle":"","parse-names":false,"suffix":""}],"container-title":"Proceedings - IEEE Symposium on Computer-Based Medical Systems","id":"ITEM-2","issued":{"date-parts":[["2005"]]},"page":"485-490","title":"Classification of the auditory brainstem response (ABR) using wavelet analysis and Bayesian network","type":"paper-conference"},"uris":["http://www.mendeley.com/documents/?uuid=505e1968-3643-3b45-82e8-ae911e03c26b"]}],"mendeley":{"formattedCitation":"(Bradley &amp; Wilson, 2004; Zhang et al., 2005)","plainTextFormattedCitation":"(Bradley &amp; Wilson, 2004; Zhang et al., 2005)","previouslyFormattedCitation":"(Bradley &amp; Wilson, 2004; Zhang et al., 2005)"},"properties":{"noteIndex":0},"schema":"https://github.com/citation-style-language/schema/raw/master/csl-citation.json"}</w:instrText>
      </w:r>
      <w:r w:rsidRPr="00E121E9">
        <w:rPr>
          <w:bCs/>
          <w:iCs/>
        </w:rPr>
        <w:fldChar w:fldCharType="separate"/>
      </w:r>
      <w:r w:rsidRPr="00E121E9">
        <w:rPr>
          <w:bCs/>
          <w:iCs/>
        </w:rPr>
        <w:t>(Bradley &amp; Wilson, 2004; Zhang et al., 2005)</w:t>
      </w:r>
      <w:r w:rsidRPr="00E121E9">
        <w:rPr>
          <w:bCs/>
          <w:iCs/>
        </w:rPr>
        <w:fldChar w:fldCharType="end"/>
      </w:r>
      <w:r w:rsidRPr="00E121E9">
        <w:rPr>
          <w:bCs/>
          <w:iCs/>
        </w:rPr>
        <w:t xml:space="preserve">. The dimensionality of the input data was reduced by extracting statistical features of the coefficient subbands including: skew, kurtosis, and root mean square (43 input features in total) </w:t>
      </w:r>
      <w:r w:rsidRPr="00E121E9">
        <w:rPr>
          <w:bCs/>
          <w:iCs/>
        </w:rPr>
        <w:fldChar w:fldCharType="begin" w:fldLock="1"/>
      </w:r>
      <w:r w:rsidRPr="00E121E9">
        <w:rPr>
          <w:bCs/>
          <w:iCs/>
        </w:rPr>
        <w:instrText>ADDIN CSL_CITATION {"citationItems":[{"id":"ITEM-1","itemData":{"DOI":"10.1016/S0010-4825(03)00092-1","ISSN":"00104825","PMID":"15265722","abstract":"Electronic auscultation is an efficient technique to evaluate the condition of respiratory system using lung sounds. As lung sound signals are non-stationary, the conventional method of frequency analysis is not highly successful in diagnostic classification. This paper deals with a novel method of analysis of lung sound signals using wavelet transform, and classification using artificial neural network (ANN). Lung sound signals were decomposed into the frequency subbands using wavelet transform and a set of statistical features was extracted from the subbands to represent the distribution of wavelet coefficients. An ANN based system, trained using the resilient backpropagation algorithm, was implemented to classify the lung sounds to one of the six categories: normal, wheeze, crackle, squawk, stridor, or rhonchus. © 2004 Elsevier Ltd. All rights reserved.","author":[{"dropping-particle":"","family":"Kandaswamy","given":"A.","non-dropping-particle":"","parse-names":false,"suffix":""},{"dropping-particle":"","family":"Kumar","given":"C. Sathish","non-dropping-particle":"","parse-names":false,"suffix":""},{"dropping-particle":"","family":"Ramanathan","given":"Rm Pl","non-dropping-particle":"","parse-names":false,"suffix":""},{"dropping-particle":"","family":"Jayaraman","given":"S.","non-dropping-particle":"","parse-names":false,"suffix":""},{"dropping-particle":"","family":"Malmurugan","given":"N.","non-dropping-particle":"","parse-names":false,"suffix":""}],"container-title":"Computers in Biology and Medicine","id":"ITEM-1","issue":"6","issued":{"date-parts":[["2004","9"]]},"page":"523-537","publisher":"Comput Biol Med","title":"Neural classification of lung sounds using wavelet coefficients","type":"article-journal","volume":"34"},"uris":["http://www.mendeley.com/documents/?uuid=d3fb4d2d-f199-3da6-bcbb-6a50a6262853"]}],"mendeley":{"formattedCitation":"(Kandaswamy et al., 2004)","plainTextFormattedCitation":"(Kandaswamy et al., 2004)","previouslyFormattedCitation":"(Kandaswamy et al., 2004)"},"properties":{"noteIndex":0},"schema":"https://github.com/citation-style-language/schema/raw/master/csl-citation.json"}</w:instrText>
      </w:r>
      <w:r w:rsidRPr="00E121E9">
        <w:rPr>
          <w:bCs/>
          <w:iCs/>
        </w:rPr>
        <w:fldChar w:fldCharType="separate"/>
      </w:r>
      <w:r w:rsidRPr="00E121E9">
        <w:rPr>
          <w:bCs/>
          <w:iCs/>
        </w:rPr>
        <w:t>(Kandaswamy et al., 2004)</w:t>
      </w:r>
      <w:r w:rsidRPr="00E121E9">
        <w:rPr>
          <w:bCs/>
          <w:iCs/>
        </w:rPr>
        <w:fldChar w:fldCharType="end"/>
      </w:r>
      <w:r w:rsidRPr="00E121E9">
        <w:rPr>
          <w:bCs/>
          <w:iCs/>
        </w:rPr>
        <w:t xml:space="preserve">. This approach of combining statistical features extracted using the DWT of EEG data was used successfully by </w:t>
      </w:r>
      <w:r w:rsidRPr="00E121E9">
        <w:rPr>
          <w:bCs/>
          <w:iCs/>
        </w:rPr>
        <w:fldChar w:fldCharType="begin" w:fldLock="1"/>
      </w:r>
      <w:r w:rsidRPr="00E121E9">
        <w:rPr>
          <w:bCs/>
          <w:iCs/>
        </w:rPr>
        <w:instrText>ADDIN CSL_CITATION {"citationItems":[{"id":"ITEM-1","itemData":{"DOI":"10.1016/j.eswa.2006.02.005","ISSN":"09574174","abstract":"Mixture of experts (ME) is modular neural network architecture for supervised learning. A double-loop Expectation-Maximization (EM) algorithm has been introduced to the ME network structure for detection of epileptic seizure. The detection of epileptiform discharges in the EEG is an important component in the diagnosis of epilepsy. EEG signals were decomposed into the frequency sub-bands using discrete wavelet transform (DWT). Then these sub-band frequencies were used as an input to a ME network with two discrete outputs: normal and epileptic. In order to improve accuracy, the outputs of expert networks were combined according to a set of local weights called the \"gating function\". The invariant transformations of the ME probability density functions include the permutations of the expert labels and the translations of the parameters in the gating functions. The performance of the proposed model was evaluated in terms of classification accuracies and the results confirmed that the proposed ME network structure has some potential in detecting epileptic seizures. The ME network structure achieved accuracy rates which were higher than that of the stand-alone neural network model. © 2006 Elsevier Ltd. All rights reserved.","author":[{"dropping-particle":"","family":"Subasi","given":"Abdulhamit","non-dropping-particle":"","parse-names":false,"suffix":""}],"container-title":"Expert Systems with Applications","id":"ITEM-1","issue":"4","issued":{"date-parts":[["2007","5","1"]]},"page":"1084-1093","publisher":"Pergamon","title":"EEG signal classification using wavelet feature extraction and a mixture of expert model","type":"article-journal","volume":"32"},"uris":["http://www.mendeley.com/documents/?uuid=b2c46fa3-5c61-3872-bee4-683d1c5b1701"]}],"mendeley":{"formattedCitation":"(Subasi, 2007)","manualFormatting":"Subasi (2007)","plainTextFormattedCitation":"(Subasi, 2007)","previouslyFormattedCitation":"(Subasi, 2007)"},"properties":{"noteIndex":0},"schema":"https://github.com/citation-style-language/schema/raw/master/csl-citation.json"}</w:instrText>
      </w:r>
      <w:r w:rsidRPr="00E121E9">
        <w:rPr>
          <w:bCs/>
          <w:iCs/>
        </w:rPr>
        <w:fldChar w:fldCharType="separate"/>
      </w:r>
      <w:r w:rsidRPr="00E121E9">
        <w:rPr>
          <w:bCs/>
          <w:iCs/>
        </w:rPr>
        <w:t>Subasi (2007)</w:t>
      </w:r>
      <w:r w:rsidRPr="00E121E9">
        <w:rPr>
          <w:bCs/>
          <w:iCs/>
        </w:rPr>
        <w:fldChar w:fldCharType="end"/>
      </w:r>
      <w:r w:rsidRPr="00E121E9">
        <w:rPr>
          <w:bCs/>
          <w:iCs/>
        </w:rPr>
        <w:t xml:space="preserve"> to help detect seizure activity.</w:t>
      </w:r>
    </w:p>
    <w:p w14:paraId="042F5E67" w14:textId="77777777" w:rsidR="00F97FCE" w:rsidRPr="00E121E9" w:rsidRDefault="00F97FCE">
      <w:pPr>
        <w:spacing w:line="480" w:lineRule="auto"/>
        <w:rPr>
          <w:bCs/>
          <w:iCs/>
        </w:rPr>
      </w:pPr>
    </w:p>
    <w:p w14:paraId="28453A5C" w14:textId="77777777" w:rsidR="00F97FCE" w:rsidRPr="00E121E9" w:rsidRDefault="00534ED7">
      <w:pPr>
        <w:spacing w:line="480" w:lineRule="auto"/>
        <w:rPr>
          <w:bCs/>
          <w:i/>
        </w:rPr>
      </w:pPr>
      <w:r w:rsidRPr="00E121E9">
        <w:rPr>
          <w:bCs/>
          <w:i/>
        </w:rPr>
        <w:t>Convolutional-LSTM</w:t>
      </w:r>
    </w:p>
    <w:p w14:paraId="02DCA3F5" w14:textId="77777777" w:rsidR="00F97FCE" w:rsidRPr="00E121E9" w:rsidRDefault="00534ED7">
      <w:pPr>
        <w:spacing w:line="480" w:lineRule="auto"/>
      </w:pPr>
      <w:r w:rsidRPr="00E121E9">
        <w:t>This model combines a convolutional neural network (CNN) with a Long Short-Term</w:t>
      </w:r>
    </w:p>
    <w:p w14:paraId="658A9AE2" w14:textId="26ADAF3C" w:rsidR="00F97FCE" w:rsidRPr="00E121E9" w:rsidRDefault="00534ED7">
      <w:pPr>
        <w:spacing w:line="480" w:lineRule="auto"/>
      </w:pPr>
      <w:r w:rsidRPr="00E121E9">
        <w:t xml:space="preserve">Memory (LSTM) layer and will be subsequently referred to as CNN-LSTM. Convolutional neural networks make use of filters with learned weights to generate feature maps (a processed version of the data inputted to the layer). Pooling layers within the network then downsample these feature maps. Convolutional and pooling layers in combination confer local translation invariance, meaning that the same signal will be equally well detected even if the response latency is slightly different to that seen previously by the network. This characteristic is understandably useful in detecting evoked responses, which exhibit variable latencies. The stacking of consecutive convolutional layers also allows the temporal hierarchy (equivalent to the spatial hierarchy for image processing) of patterns to be learnt </w:t>
      </w:r>
      <w:r w:rsidRPr="00E121E9">
        <w:fldChar w:fldCharType="begin" w:fldLock="1"/>
      </w:r>
      <w:r w:rsidRPr="00E121E9">
        <w:instrText>ADDIN CSL_CITATION {"citationItems":[{"id":"ITEM-1","itemData":{"DOI":"10.1007/s13244-018-0639-9","ISSN":"18694101","abstract":"Abstract: Convolutional neural network (CNN), a class of artificial neural networks that has become dominant in various computer vision tasks, is attracting interest across a variety of domains, including radiology. CNN is designed to automatically and adaptively learn spatial hierarchies of features through backpropagation by using multiple building blocks, such as convolution layers, pooling layers, and fully connected layers. This review article offers a perspective on the basic concepts of CNN and its application to various radiological tasks, and discusses its challenges and future directions in the field of radiology. Two challenges in applying CNN to radiological tasks, small dataset and overfitting, will also be covered in this article, as well as techniques to minimize them. Being familiar with the concepts and advantages, as well as limitations, of CNN is essential to leverage its potential in diagnostic radiology, with the goal of augmenting the performance of radiologists and improving patient care. Key Points: • Convolutional neural network is a class of deep learning methods which has become dominant in various computer vision tasks and is attracting interest across a variety of domains, including radiology. • Convolutional neural network is composed of multiple building blocks, such as convolution layers, pooling layers, and fully connected layers, and is designed to automatically and adaptively learn spatial hierarchies of features through a backpropagation algorithm. • Familiarity with the concepts and advantages, as well as limitations, of convolutional neural network is essential to leverage its potential to improve radiologist performance and, eventually, patient care.","author":[{"dropping-particle":"","family":"Yamashita","given":"Rikiya","non-dropping-particle":"","parse-names":false,"suffix":""},{"dropping-particle":"","family":"Nishio","given":"Mizuho","non-dropping-particle":"","parse-names":false,"suffix":""},{"dropping-particle":"","family":"Do","given":"Richard Kinh Gian","non-dropping-particle":"","parse-names":false,"suffix":""},{"dropping-particle":"","family":"Togashi","given":"Kaori","non-dropping-particle":"","parse-names":false,"suffix":""}],"container-title":"Insights into Imaging","id":"ITEM-1","issue":"4","issued":{"date-parts":[["2018","8","1"]]},"page":"611-629","publisher":"Springer Verlag","title":"Convolutional neural networks: an overview and application in radiology","type":"article-journal","volume":"9"},"uris":["http://www.mendeley.com/documents/?uuid=e14bdc68-cdc4-3c5d-a1e1-65da4986c156"]}],"mendeley":{"formattedCitation":"(Yamashita et al., 2018)","plainTextFormattedCitation":"(Yamashita et al., 2018)","previouslyFormattedCitation":"(Yamashita et al., 2018)"},"properties":{"noteIndex":0},"schema":"https://github.com/citation-style-language/schema/raw/master/csl-citation.json"}</w:instrText>
      </w:r>
      <w:r w:rsidRPr="00E121E9">
        <w:fldChar w:fldCharType="separate"/>
      </w:r>
      <w:r w:rsidRPr="00E121E9">
        <w:t>(Yamashita et al., 2018)</w:t>
      </w:r>
      <w:r w:rsidRPr="00E121E9">
        <w:fldChar w:fldCharType="end"/>
      </w:r>
      <w:r w:rsidRPr="00E121E9">
        <w:t>, e.g. it would be beneficial to learn that the trough of SN10 should follow the peak of wave V.</w:t>
      </w:r>
    </w:p>
    <w:p w14:paraId="1164C8BE" w14:textId="77777777" w:rsidR="00F97FCE" w:rsidRPr="00E121E9" w:rsidRDefault="00F97FCE">
      <w:pPr>
        <w:spacing w:line="480" w:lineRule="auto"/>
      </w:pPr>
    </w:p>
    <w:p w14:paraId="6275D612" w14:textId="77777777" w:rsidR="00F97FCE" w:rsidRPr="00E121E9" w:rsidRDefault="00534ED7">
      <w:pPr>
        <w:spacing w:line="480" w:lineRule="auto"/>
      </w:pPr>
      <w:r w:rsidRPr="00E121E9">
        <w:t xml:space="preserve">Unlike the MLP and random forest (described below) algorithms, a CNN-LSTM network is adept at dealing with sequential data. This model received an input of three feature vectors: the coherent average of the ensemble, a denoised version of the coherent average using the </w:t>
      </w:r>
      <w:hyperlink r:id="rId12" w:history="1">
        <w:r w:rsidRPr="00E121E9">
          <w:t>Teager-Kaiser energy operator</w:t>
        </w:r>
      </w:hyperlink>
      <w:r w:rsidRPr="00E121E9">
        <w:t xml:space="preserve"> (TKEO) </w:t>
      </w:r>
      <w:r w:rsidRPr="00E121E9">
        <w:fldChar w:fldCharType="begin" w:fldLock="1"/>
      </w:r>
      <w:r w:rsidRPr="00E121E9">
        <w:instrText>ADDIN CSL_CITATION {"citationItems":[{"id":"ITEM-1","itemData":{"DOI":"10.1109/icassp.1990.115702","ISSN":"07367791","abstract":"A simple algorithm is derived that permits on-the-fly calculation of the energy required to generate, in a certain sense, a signal. The results of applying this algorithm to a number of well-known signals are shown. Some of the invariance and noise properties of the algorithm are derived and verified by simulation. The implementation of the algorithm and its application to speech processing are briefly discussed.","author":[{"dropping-particle":"","family":"Kaiser","given":"James F.","non-dropping-particle":"","parse-names":false,"suffix":""}],"container-title":"ICASSP, IEEE International Conference on Acoustics, Speech and Signal Processing - Proceedings","id":"ITEM-1","issued":{"date-parts":[["1990"]]},"page":"381-384","publisher":"Publ by IEEE","title":"On a simple algorithm to calculate the 'energy' of a signal","type":"paper-conference","volume":"1"},"uris":["http://www.mendeley.com/documents/?uuid=04fc30d8-97cf-3a9f-a4fc-e3b963ef8ac4"]}],"mendeley":{"formattedCitation":"(Kaiser, 1990)","plainTextFormattedCitation":"(Kaiser, 1990)","previouslyFormattedCitation":"(Kaiser, 1990)"},"properties":{"noteIndex":0},"schema":"https://github.com/citation-style-language/schema/raw/master/csl-citation.json"}</w:instrText>
      </w:r>
      <w:r w:rsidRPr="00E121E9">
        <w:fldChar w:fldCharType="separate"/>
      </w:r>
      <w:r w:rsidRPr="00E121E9">
        <w:t>(Kaiser, 1990)</w:t>
      </w:r>
      <w:r w:rsidRPr="00E121E9">
        <w:fldChar w:fldCharType="end"/>
      </w:r>
      <w:r w:rsidRPr="00E121E9">
        <w:t xml:space="preserve">, and a sequence of the Student’s t-test </w:t>
      </w:r>
      <w:r w:rsidRPr="00E121E9">
        <w:lastRenderedPageBreak/>
        <w:t xml:space="preserve">statistic p-value calculated down each column of samples within the ensemble. The TKEO has been found to improve the SNR and detection of event onsets </w:t>
      </w:r>
      <w:r w:rsidRPr="00E121E9">
        <w:fldChar w:fldCharType="begin" w:fldLock="1"/>
      </w:r>
      <w:r w:rsidRPr="00E121E9">
        <w:instrText>ADDIN CSL_CITATION {"citationItems":[{"id":"ITEM-1","itemData":{"DOI":"10.1007/s10439-007-9320-z","ISSN":"00906964","PMID":"17473984","abstract":"This study presents a novel method for detection of the onset time of muscle activity using surface electromyogram (EMG) signals. The method takes advantage of the nonlinear properties of the Teager-Kaiser energy (TKE) operator, which simultaneously considers the amplitude and instantaneous frequency of the surface EMG, and therefore increases the prospects of muscle activity detection. To detect the onset time of muscle activity, the surface EMG signal was first processed by the TKE operator to highlight motor unit activities of the muscle. Then a robust threshold-based algorithm was developed in the TKE domain to locate the onset of muscle activity. The validity of the proposed method was illustrated using various surface EMG simulations as well as experimental surface EMG recordings. © 2007 Biomedical Engineering Society.","author":[{"dropping-particle":"","family":"Li","given":"Xiaoyan","non-dropping-particle":"","parse-names":false,"suffix":""},{"dropping-particle":"","family":"Zhou","given":"Ping","non-dropping-particle":"","parse-names":false,"suffix":""},{"dropping-particle":"","family":"Aruin","given":"Alexander S.","non-dropping-particle":"","parse-names":false,"suffix":""}],"container-title":"Annals of Biomedical Engineering","id":"ITEM-1","issue":"9","issued":{"date-parts":[["2007","9"]]},"page":"1532-1538","publisher":"Ann Biomed Eng","title":"Teager-kaiser energy operation of surface EMG improves muscle activity onset detection","type":"article-journal","volume":"35"},"uris":["http://www.mendeley.com/documents/?uuid=25699843-dc63-35a0-a4c7-31cd845a7480"]}],"mendeley":{"formattedCitation":"(Li et al., 2007)","plainTextFormattedCitation":"(Li et al., 2007)","previouslyFormattedCitation":"(Li et al., 2007)"},"properties":{"noteIndex":0},"schema":"https://github.com/citation-style-language/schema/raw/master/csl-citation.json"}</w:instrText>
      </w:r>
      <w:r w:rsidRPr="00E121E9">
        <w:fldChar w:fldCharType="separate"/>
      </w:r>
      <w:r w:rsidRPr="00E121E9">
        <w:t>(Li et al., 2007)</w:t>
      </w:r>
      <w:r w:rsidRPr="00E121E9">
        <w:fldChar w:fldCharType="end"/>
      </w:r>
      <w:r w:rsidRPr="00E121E9">
        <w:t xml:space="preserve">. The use of this machine learning algorithm in the present study and its architecture was influenced by the results of </w:t>
      </w:r>
      <w:r w:rsidRPr="00E121E9">
        <w:fldChar w:fldCharType="begin" w:fldLock="1"/>
      </w:r>
      <w:r w:rsidRPr="00E121E9">
        <w:instrText>ADDIN CSL_CITATION {"citationItems":[{"id":"ITEM-1","itemData":{"DOI":"10.1080/14992027.2018.1551633","ISSN":"1499-2027","PMID":"30663907","abstract":"OBJECTIVE The objective of this study was to use machine learning in the form of a deep neural network to objectively classify paired auditory brainstem response waveforms into either: 'clear response', 'inconclusive' or 'response absent'. DESIGN A deep convolutional neural network was constructed and fine-tuned using stratified 10-fold cross-validation on 190 paired ABR waveforms. The final model was evaluated on a test set of 42 paired waveforms. STUDY SAMPLE The full dataset comprised 232 paired ABR waveforms recorded from eight normal-hearing individuals. The dataset was obtained from the PhysioBank database. The paired waveforms were independently labelled by two audiological scientists in order to train the network and evaluate its performance. RESULTS The trained neural network was able to classify paired ABR waveforms with 92.9% accuracy. The sensitivity and the specificity were 92.9% and 96.4%, respectively. CONCLUSIONS This neural network may have clinical utility in assisting clinicians with waveform classification for the purpose of hearing threshold estimation. Further evaluation using a large clinically obtained dataset would provide further validation with regard to the clinical potential of the neural network in diagnostic adult testing, newborn testing and in automated newborn hearing screening.","author":[{"dropping-particle":"","family":"McKearney","given":"Richard M.","non-dropping-particle":"","parse-names":false,"suffix":""},{"dropping-particle":"","family":"MacKinnon","given":"Robert C.","non-dropping-particle":"","parse-names":false,"suffix":""}],"container-title":"International Journal of Audiology","id":"ITEM-1","issue":"4","issued":{"date-parts":[["2019","4","3"]]},"page":"224-230","title":"Objective auditory brainstem response classification using machine learning","type":"article-journal","volume":"58"},"uris":["http://www.mendeley.com/documents/?uuid=06640d8d-520e-3c0f-bb0b-e25bb59deb4e"]}],"mendeley":{"formattedCitation":"(McKearney &amp; MacKinnon, 2019)","manualFormatting":"McKearney &amp; MacKinnon (2019)","plainTextFormattedCitation":"(McKearney &amp; MacKinnon, 2019)","previouslyFormattedCitation":"(McKearney &amp; MacKinnon, 2019)"},"properties":{"noteIndex":0},"schema":"https://github.com/citation-style-language/schema/raw/master/csl-citation.json"}</w:instrText>
      </w:r>
      <w:r w:rsidRPr="00E121E9">
        <w:fldChar w:fldCharType="separate"/>
      </w:r>
      <w:r w:rsidRPr="00E121E9">
        <w:t>McKearney &amp; MacKinnon (2019)</w:t>
      </w:r>
      <w:r w:rsidRPr="00E121E9">
        <w:fldChar w:fldCharType="end"/>
      </w:r>
      <w:r w:rsidRPr="00E121E9">
        <w:t>. Given the input variables and model architecture used, this deep neural network may be crudely considered as being a machine learning approach to template matching.</w:t>
      </w:r>
    </w:p>
    <w:p w14:paraId="5DA26174" w14:textId="77777777" w:rsidR="00F97FCE" w:rsidRPr="00E121E9" w:rsidRDefault="00F97FCE">
      <w:pPr>
        <w:spacing w:line="480" w:lineRule="auto"/>
      </w:pPr>
    </w:p>
    <w:p w14:paraId="39819514" w14:textId="77777777" w:rsidR="00F97FCE" w:rsidRPr="00E121E9" w:rsidRDefault="00534ED7">
      <w:pPr>
        <w:spacing w:line="480" w:lineRule="auto"/>
        <w:rPr>
          <w:i/>
          <w:iCs/>
        </w:rPr>
      </w:pPr>
      <w:r w:rsidRPr="00E121E9">
        <w:rPr>
          <w:i/>
          <w:iCs/>
        </w:rPr>
        <w:t>Random forest</w:t>
      </w:r>
    </w:p>
    <w:p w14:paraId="3B40F65C" w14:textId="77777777" w:rsidR="00F97FCE" w:rsidRPr="00E121E9" w:rsidRDefault="00534ED7">
      <w:pPr>
        <w:spacing w:line="480" w:lineRule="auto"/>
      </w:pPr>
      <w:r w:rsidRPr="00E121E9">
        <w:t xml:space="preserve">A random forest is a type of machine learning algorithm which is formed of an ensemble of decision trees each trained on a bootstrapped subset of the training data. This process is known as ‘bagging’, a contraction of ‘bootstrapped aggregation’, and can lead to improved generalizable performance </w:t>
      </w:r>
      <w:r w:rsidRPr="00E121E9">
        <w:fldChar w:fldCharType="begin" w:fldLock="1"/>
      </w:r>
      <w:r w:rsidRPr="00E121E9">
        <w:instrText>ADDIN CSL_CITATION {"citationItems":[{"id":"ITEM-1","itemData":{"DOI":"10.1023/A:1018054314350","ISSN":"08856125","abstract":"Bagging predictors is a method for generating multiple versions of a predictor and using these to get an aggregated predictor. The aggregation averages over the versions when predicting a numerical outcome and does a plurality vote when predicting a class. The multiple versions are formed by making bootstrap replicates of the learning set and using these as new learning sets. Tests on real and simulated data sets using classification and regression trees and subset selection in linear regression show that bagging can give substantial gains in accuracy. The vital element is the instability of the prediction method. If perturbing the learning set can cause significant changes in the predictor constructed, then bagging can improve accuracy.","author":[{"dropping-particle":"","family":"Breiman","given":"Leo","non-dropping-particle":"","parse-names":false,"suffix":""}],"container-title":"Machine Learning","id":"ITEM-1","issue":"2","issued":{"date-parts":[["1996","8"]]},"page":"123-140","publisher":"Kluwer Academic Publishers","title":"Bagging predictors","type":"article-journal","volume":"24"},"uris":["http://www.mendeley.com/documents/?uuid=591c26c3-bf51-3c00-b74f-fc090b556b5b"]}],"mendeley":{"formattedCitation":"(Breiman, 1996)","plainTextFormattedCitation":"(Breiman, 1996)","previouslyFormattedCitation":"(Breiman, 1996)"},"properties":{"noteIndex":0},"schema":"https://github.com/citation-style-language/schema/raw/master/csl-citation.json"}</w:instrText>
      </w:r>
      <w:r w:rsidRPr="00E121E9">
        <w:fldChar w:fldCharType="separate"/>
      </w:r>
      <w:r w:rsidRPr="00E121E9">
        <w:t>(Breiman, 1996)</w:t>
      </w:r>
      <w:r w:rsidRPr="00E121E9">
        <w:fldChar w:fldCharType="end"/>
      </w:r>
      <w:r w:rsidRPr="00E121E9">
        <w:t>. The aim of this model was to amalgamate the benefits of various existing detection methods by using machine learning. This was achieved by engineering input features for this model using conventional statistical detection methods, namely: Fmp, q-sample uniform scores test, residual noise within the coherent average, Hotelling’s T</w:t>
      </w:r>
      <w:r w:rsidRPr="00E121E9">
        <w:rPr>
          <w:vertAlign w:val="superscript"/>
        </w:rPr>
        <w:t>2</w:t>
      </w:r>
      <w:r w:rsidRPr="00E121E9">
        <w:t xml:space="preserve"> test (applied 34 times with different voltage means parameters from 2 to 35), giving a total of 37 features. To accommodate the different ensemble sizes that the model was trained on, the p-values of the detection methods were used as opposed to the raw test statistics which are ensemble-size dependent.</w:t>
      </w:r>
    </w:p>
    <w:p w14:paraId="4637F5F2" w14:textId="77777777" w:rsidR="00F97FCE" w:rsidRPr="00E121E9" w:rsidRDefault="00F97FCE">
      <w:pPr>
        <w:spacing w:line="480" w:lineRule="auto"/>
        <w:rPr>
          <w:i/>
          <w:iCs/>
        </w:rPr>
      </w:pPr>
    </w:p>
    <w:p w14:paraId="6BE32C8A" w14:textId="77777777" w:rsidR="00F97FCE" w:rsidRPr="00E121E9" w:rsidRDefault="00534ED7">
      <w:pPr>
        <w:spacing w:line="480" w:lineRule="auto"/>
        <w:rPr>
          <w:i/>
          <w:iCs/>
        </w:rPr>
      </w:pPr>
      <w:r w:rsidRPr="00E121E9">
        <w:rPr>
          <w:i/>
          <w:iCs/>
        </w:rPr>
        <w:t>Stacked ensemble</w:t>
      </w:r>
    </w:p>
    <w:p w14:paraId="05308BFE" w14:textId="0B4F6C00" w:rsidR="00F97FCE" w:rsidRPr="00E121E9" w:rsidRDefault="00534ED7">
      <w:pPr>
        <w:spacing w:line="480" w:lineRule="auto"/>
      </w:pPr>
      <w:r w:rsidRPr="00E121E9">
        <w:t xml:space="preserve">Stacked ensembles are the algorithmic manifestation of the adage ‘two heads are better than one’. Here, two or more base models feed their output predictions into a final second-layer model which weighs up these predictions to produce a final output </w:t>
      </w:r>
      <w:r w:rsidRPr="00E121E9">
        <w:fldChar w:fldCharType="begin" w:fldLock="1"/>
      </w:r>
      <w:r w:rsidRPr="00E121E9">
        <w:instrText>ADDIN CSL_CITATION {"citationItems":[{"id":"ITEM-1","itemData":{"DOI":"10.1016/S0893-6080(05)80023-1","ISSN":"08936080","abstract":"This paper introduces stacked generalization, a scheme for minimizing the generalization error rate of one or more generalizers. Stacked generalization works by deducing the biases of the generalizer(s) with respect to a provided learning set. This deduction proceeds by generalizing in a second space whose inputs are (for example) the guesses of the original generalizers when taught with part of the learning set and trying to guess the rest of it, and whose output is (for example) the correct guess. When used with multiple generalizers, stacked generalization can be seen as a more sophisticated version of cross-validation, exploiting a strategy more sophisticated than cross-validation's crude winner-takes-all for combining the individual generalizers. When used with a single generalizer, stacked generalization is a scheme for estimating (and then correcting for) the error of a generalizer which has been trained on a particular learning set and then asked a particular question. After introducing stacked generalization and justifying its use, this paper presents two numerical experiments. The first demonstrates how stacked generalization improves upon a set of separate generalizers for the NETtalk task of translating text to phonemes. The second demonstrates how stacked generalization improves the performance of a single surface-fitter. With the other experimental evidence in the literature, the usual arguments supporting cross-validation, and the abstract justifications presented in this paper, the conclusion is that for almost any real-world generalization problem one should use some version of stacked generalization to minimize the generalization error rate. This paper ends by discussing some of the variations of stacked generalization, and how it touches on other fields like chaos theory. © 1992 Pergamon Press Ltd.","author":[{"dropping-particle":"","family":"Wolpert","given":"David H.","non-dropping-particle":"","parse-names":false,"suffix":""}],"container-title":"Neural Networks","id":"ITEM-1","issue":"2","issued":{"date-parts":[["1992","1","1"]]},"page":"241-259","publisher":"Pergamon","title":"Stacked generalization","type":"article-journal","volume":"5"},"uris":["http://www.mendeley.com/documents/?uuid=356e4d79-4424-3376-95ab-fc76a49d0549"]}],"mendeley":{"formattedCitation":"(David H. Wolpert, 1992)","plainTextFormattedCitation":"(David H. Wolpert, 1992)","previouslyFormattedCitation":"(David H. Wolpert, 1992)"},"properties":{"noteIndex":0},"schema":"https://github.com/citation-style-language/schema/raw/master/csl-citation.json"}</w:instrText>
      </w:r>
      <w:r w:rsidRPr="00E121E9">
        <w:fldChar w:fldCharType="separate"/>
      </w:r>
      <w:r w:rsidRPr="00E121E9">
        <w:t>(Wolpert, 1992)</w:t>
      </w:r>
      <w:r w:rsidRPr="00E121E9">
        <w:fldChar w:fldCharType="end"/>
      </w:r>
      <w:r w:rsidRPr="00E121E9">
        <w:t xml:space="preserve">. This aggregation of multiple base models often leads to improved generalizable performance. The </w:t>
      </w:r>
      <w:r w:rsidRPr="00E121E9">
        <w:lastRenderedPageBreak/>
        <w:t>base models in this ensemble were the CNN-LSTM and random forest as described above, thereby combining the template matching focus of the CNN-LSTM network and the focus on statistical detection of the random forest. The outputs of these two base models were provided as inputs to the deciding meta-estimator which was a logistic regression classifier (see Figure, Supplemental Digital Content 2, which contains the model architecture and optimized hyperparameter values). The machine learning models were constructed using a combination of the Keras</w:t>
      </w:r>
      <w:r w:rsidRPr="00E121E9">
        <w:rPr>
          <w:i/>
          <w:iCs/>
        </w:rPr>
        <w:t xml:space="preserve"> </w:t>
      </w:r>
      <w:r w:rsidRPr="00E121E9">
        <w:rPr>
          <w:i/>
          <w:iCs/>
        </w:rPr>
        <w:fldChar w:fldCharType="begin" w:fldLock="1"/>
      </w:r>
      <w:r w:rsidRPr="00E121E9">
        <w:rPr>
          <w:i/>
          <w:iCs/>
        </w:rPr>
        <w:instrText>ADDIN CSL_CITATION {"citationItems":[{"id":"ITEM-1","itemData":{"author":[{"dropping-particle":"","family":"Chollet</w:instrText>
      </w:r>
      <w:r w:rsidRPr="00E121E9">
        <w:rPr>
          <w:i/>
          <w:iCs/>
        </w:rPr>
        <w:instrText>‬","given":"F.","non-dropping-particle":"","parse-names":false,"suffix":""},{"dropping-particle":"","family":"and others","given":"","non-dropping-particle":"","parse-names":false,"suffix":""}],"id":"ITEM-1","issued":{"date-parts":[["2015"]]},"title":"Keras","type":"article"},"uris":["http://www.mendeley.com/documents/?uuid=486f88dc-a51f-3aa5-a5bc-fcd5b5773d42"]}],"mendeley":{"formattedCitation":"(Chollet</w:instrText>
      </w:r>
      <w:r w:rsidRPr="00E121E9">
        <w:rPr>
          <w:i/>
          <w:iCs/>
        </w:rPr>
        <w:instrText>‬ &amp; and others, 2015)","plainTextFormattedCitation":"(Chollet</w:instrText>
      </w:r>
      <w:r w:rsidRPr="00E121E9">
        <w:rPr>
          <w:i/>
          <w:iCs/>
        </w:rPr>
        <w:instrText>‬ &amp; and others, 2015)","previouslyFormattedCitation":"(Chollet</w:instrText>
      </w:r>
      <w:r w:rsidRPr="00E121E9">
        <w:rPr>
          <w:i/>
          <w:iCs/>
        </w:rPr>
        <w:instrText>‬ &amp; and others, 2015)"},"properties":{"noteIndex":0},"schema":"https://github.com/citation-style-language/schema/raw/master/csl-citation.json"}</w:instrText>
      </w:r>
      <w:r w:rsidRPr="00E121E9">
        <w:rPr>
          <w:i/>
          <w:iCs/>
        </w:rPr>
        <w:fldChar w:fldCharType="separate"/>
      </w:r>
      <w:r w:rsidRPr="00E121E9">
        <w:rPr>
          <w:iCs/>
        </w:rPr>
        <w:t>(Chollet</w:t>
      </w:r>
      <w:r w:rsidRPr="00E121E9">
        <w:rPr>
          <w:iCs/>
        </w:rPr>
        <w:t>‬ &amp; and others, 2015)</w:t>
      </w:r>
      <w:r w:rsidRPr="00E121E9">
        <w:rPr>
          <w:i/>
          <w:iCs/>
        </w:rPr>
        <w:fldChar w:fldCharType="end"/>
      </w:r>
      <w:r w:rsidRPr="00E121E9">
        <w:t xml:space="preserve"> and scikit-learn </w:t>
      </w:r>
      <w:r w:rsidRPr="00E121E9">
        <w:fldChar w:fldCharType="begin" w:fldLock="1"/>
      </w:r>
      <w:r w:rsidRPr="00E121E9">
        <w:instrText>ADDIN CSL_CITATION {"citationItems":[{"id":"ITEM-1","itemData":{"ISSN":"1533-7928","abstract":"Scikit-learn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author":[{"dropping-particle":"","family":"Pedregosa","given":"Fabian","non-dropping-particle":"","parse-names":false,"suffix":""},{"dropping-particle":"","family":"Varoquaux","given":"Gaël","non-dropping-particle":"","parse-names":false,"suffix":""},{"dropping-particle":"","family":"Gramfort","given":"Alexandre","non-dropping-particle":"","parse-names":false,"suffix":""},{"dropping-particle":"","family":"Michel","given":"Vincent","non-dropping-particle":"","parse-names":false,"suffix":""},{"dropping-particle":"","family":"Thirion","given":"Bertrand","non-dropping-particle":"","parse-names":false,"suffix":""},{"dropping-particle":"","family":"Grisel","given":"Olivier","non-dropping-particle":"","parse-names":false,"suffix":""},{"dropping-particle":"","family":"Blondel","given":"Mathieu","non-dropping-particle":"","parse-names":false,"suffix":""},{"dropping-particle":"","family":"Prettenhofer","given":"Peter","non-dropping-particle":"","parse-names":false,"suffix":""},{"dropping-particle":"","family":"Weiss","given":"Ron","non-dropping-particle":"","parse-names":false,"suffix":""},{"dropping-particle":"","family":"Dubourg","given":"Vincent","non-dropping-particle":"","parse-names":false,"suffix":""},{"dropping-particle":"","family":"Vanderplas","given":"Jake","non-dropping-particle":"","parse-names":false,"suffix":""},{"dropping-particle":"","family":"Passos","given":"Alexandre","non-dropping-particle":"","parse-names":false,"suffix":""},{"dropping-particle":"","family":"Cournapeau","given":"David","non-dropping-particle":"","parse-names":false,"suffix":""},{"dropping-particle":"","family":"Brucher","given":"Matthieu","non-dropping-particle":"","parse-names":false,"suffix":""},{"dropping-particle":"","family":"Perrot","given":"Matthieu","non-dropping-particle":"","parse-names":false,"suffix":""},{"dropping-particle":"","family":"Duchesnay","given":"Édouard","non-dropping-particle":"","parse-names":false,"suffix":""}],"container-title":"Journal of Machine Learning Research","id":"ITEM-1","issue":"85","issued":{"date-parts":[["2011"]]},"number-of-pages":"2825-2830","title":"Scikit-learn: Machine Learning in Python","type":"report","volume":"12"},"uris":["http://www.mendeley.com/documents/?uuid=f468d071-c79c-3b1d-9818-860b1c9974dc"]}],"mendeley":{"formattedCitation":"(Pedregosa et al., 2011)","plainTextFormattedCitation":"(Pedregosa et al., 2011)","previouslyFormattedCitation":"(Pedregosa et al., 2011)"},"properties":{"noteIndex":0},"schema":"https://github.com/citation-style-language/schema/raw/master/csl-citation.json"}</w:instrText>
      </w:r>
      <w:r w:rsidRPr="00E121E9">
        <w:fldChar w:fldCharType="separate"/>
      </w:r>
      <w:r w:rsidRPr="00E121E9">
        <w:t>(Pedregosa et al., 2011)</w:t>
      </w:r>
      <w:r w:rsidRPr="00E121E9">
        <w:fldChar w:fldCharType="end"/>
      </w:r>
      <w:r w:rsidRPr="00E121E9">
        <w:t xml:space="preserve"> Python libraries.</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r w:rsidRPr="00E121E9">
        <w:t>‬</w:t>
      </w:r>
    </w:p>
    <w:p w14:paraId="32774B71" w14:textId="77777777" w:rsidR="00F97FCE" w:rsidRPr="00E121E9" w:rsidRDefault="00F97FCE">
      <w:pPr>
        <w:spacing w:line="480" w:lineRule="auto"/>
      </w:pPr>
    </w:p>
    <w:p w14:paraId="2596026C" w14:textId="77777777" w:rsidR="00F97FCE" w:rsidRPr="00E121E9" w:rsidRDefault="00534ED7">
      <w:pPr>
        <w:spacing w:line="480" w:lineRule="auto"/>
        <w:rPr>
          <w:b/>
        </w:rPr>
      </w:pPr>
      <w:r w:rsidRPr="00E121E9">
        <w:rPr>
          <w:b/>
        </w:rPr>
        <w:t>Results</w:t>
      </w:r>
    </w:p>
    <w:p w14:paraId="06E7B0F2" w14:textId="77777777" w:rsidR="00F97FCE" w:rsidRPr="00E121E9" w:rsidRDefault="00534ED7">
      <w:pPr>
        <w:spacing w:line="480" w:lineRule="auto"/>
        <w:rPr>
          <w:b/>
          <w:i/>
        </w:rPr>
      </w:pPr>
      <w:r w:rsidRPr="00E121E9">
        <w:rPr>
          <w:b/>
          <w:i/>
        </w:rPr>
        <w:t>Statistical detection method optimization using the training set data</w:t>
      </w:r>
    </w:p>
    <w:p w14:paraId="017BE0E0" w14:textId="77777777" w:rsidR="00F97FCE" w:rsidRPr="00E121E9" w:rsidRDefault="00534ED7">
      <w:pPr>
        <w:spacing w:line="480" w:lineRule="auto"/>
        <w:rPr>
          <w:b/>
          <w:i/>
        </w:rPr>
      </w:pPr>
      <w:r w:rsidRPr="00E121E9">
        <w:t>Based on optimization using the training set data, the optimized number of voltage means for Hotelling’s T</w:t>
      </w:r>
      <w:r w:rsidRPr="00E121E9">
        <w:rPr>
          <w:vertAlign w:val="superscript"/>
        </w:rPr>
        <w:t>2</w:t>
      </w:r>
      <w:r w:rsidRPr="00E121E9">
        <w:t xml:space="preserve"> test </w:t>
      </w:r>
      <w:r w:rsidRPr="00E121E9">
        <w:rPr>
          <w:bCs/>
          <w:iCs/>
        </w:rPr>
        <w:t xml:space="preserve">was found to be 16, with near-equivalent performance across the range of 15-30 voltage means. </w:t>
      </w:r>
      <w:r w:rsidRPr="00E121E9">
        <w:t>The optimized q-sample uniform scores test included spectral bands between 30 and 600 Hz, and those between 30 and 1350 Hz for the modified version of the test. Both q-sample uniform scores test methods achieved higher training set ROC AUC scores when zero-padding was applied.</w:t>
      </w:r>
    </w:p>
    <w:p w14:paraId="086EA441" w14:textId="77777777" w:rsidR="00F97FCE" w:rsidRPr="00E121E9" w:rsidRDefault="00F97FCE">
      <w:pPr>
        <w:spacing w:line="480" w:lineRule="auto"/>
        <w:rPr>
          <w:b/>
          <w:i/>
        </w:rPr>
      </w:pPr>
    </w:p>
    <w:p w14:paraId="17A011E8" w14:textId="77777777" w:rsidR="00F97FCE" w:rsidRPr="00E121E9" w:rsidRDefault="00534ED7">
      <w:pPr>
        <w:spacing w:line="480" w:lineRule="auto"/>
        <w:rPr>
          <w:b/>
          <w:i/>
        </w:rPr>
      </w:pPr>
      <w:r w:rsidRPr="00E121E9">
        <w:rPr>
          <w:b/>
          <w:i/>
        </w:rPr>
        <w:t>Training set cross-validation</w:t>
      </w:r>
    </w:p>
    <w:p w14:paraId="72DBAA69" w14:textId="0B69319D" w:rsidR="00F97FCE" w:rsidRPr="00E121E9" w:rsidRDefault="00534ED7">
      <w:pPr>
        <w:spacing w:line="480" w:lineRule="auto"/>
        <w:rPr>
          <w:bCs/>
          <w:iCs/>
        </w:rPr>
      </w:pPr>
      <w:r w:rsidRPr="00E121E9">
        <w:rPr>
          <w:bCs/>
          <w:iCs/>
        </w:rPr>
        <w:t xml:space="preserve">The ROC AUC scores across the 9 validation folds of the outer loop of nested k-fold cross-validation applied to the training set data were used to produce </w:t>
      </w:r>
      <w:r w:rsidRPr="00E121E9">
        <w:rPr>
          <w:b/>
          <w:iCs/>
        </w:rPr>
        <w:t xml:space="preserve">Figure </w:t>
      </w:r>
      <w:r w:rsidR="008B0096" w:rsidRPr="00E121E9">
        <w:rPr>
          <w:b/>
          <w:iCs/>
        </w:rPr>
        <w:t>3</w:t>
      </w:r>
      <w:r w:rsidRPr="00E121E9">
        <w:rPr>
          <w:bCs/>
          <w:iCs/>
        </w:rPr>
        <w:t>.</w:t>
      </w:r>
      <w:r w:rsidRPr="00E121E9">
        <w:rPr>
          <w:b/>
          <w:iCs/>
        </w:rPr>
        <w:t xml:space="preserve"> </w:t>
      </w:r>
    </w:p>
    <w:p w14:paraId="70257E62" w14:textId="77777777" w:rsidR="00F97FCE" w:rsidRPr="00E121E9" w:rsidRDefault="00F97FCE">
      <w:pPr>
        <w:spacing w:line="480" w:lineRule="auto"/>
        <w:rPr>
          <w:bCs/>
          <w:iCs/>
        </w:rPr>
      </w:pPr>
    </w:p>
    <w:p w14:paraId="696E5DF9" w14:textId="77777777" w:rsidR="00F97FCE" w:rsidRPr="00E121E9" w:rsidRDefault="00534ED7">
      <w:pPr>
        <w:spacing w:line="480" w:lineRule="auto"/>
        <w:rPr>
          <w:bCs/>
          <w:iCs/>
        </w:rPr>
      </w:pPr>
      <w:r w:rsidRPr="00E121E9">
        <w:rPr>
          <w:bCs/>
          <w:iCs/>
        </w:rPr>
        <w:t xml:space="preserve">For each detection method, the distribution of ROC-AUC scores across folds were visually inspected using Q-Q plots and determined not to be normally distributed. A Friedman test was </w:t>
      </w:r>
      <w:r w:rsidRPr="00E121E9">
        <w:rPr>
          <w:bCs/>
          <w:iCs/>
        </w:rPr>
        <w:lastRenderedPageBreak/>
        <w:t>used to compare the training set cross-validation scores between detection methods and a significant difference between detection methods was found: χ</w:t>
      </w:r>
      <w:r w:rsidRPr="00E121E9">
        <w:rPr>
          <w:bCs/>
          <w:iCs/>
          <w:vertAlign w:val="superscript"/>
        </w:rPr>
        <w:t>2</w:t>
      </w:r>
      <w:r w:rsidRPr="00E121E9">
        <w:rPr>
          <w:bCs/>
          <w:iCs/>
        </w:rPr>
        <w:t xml:space="preserve">(8) = 53.2, </w:t>
      </w:r>
      <w:r w:rsidRPr="00E121E9">
        <w:rPr>
          <w:bCs/>
          <w:i/>
        </w:rPr>
        <w:t>p</w:t>
      </w:r>
      <w:r w:rsidRPr="00E121E9">
        <w:rPr>
          <w:bCs/>
          <w:iCs/>
        </w:rPr>
        <w:t xml:space="preserve"> &lt; 0.001.</w:t>
      </w:r>
    </w:p>
    <w:p w14:paraId="4A181AB5" w14:textId="77777777" w:rsidR="00F97FCE" w:rsidRPr="00E121E9" w:rsidRDefault="00F97FCE">
      <w:pPr>
        <w:spacing w:line="480" w:lineRule="auto"/>
        <w:rPr>
          <w:bCs/>
          <w:iCs/>
        </w:rPr>
      </w:pPr>
    </w:p>
    <w:p w14:paraId="19C57842" w14:textId="77777777" w:rsidR="00F97FCE" w:rsidRPr="00E121E9" w:rsidRDefault="00534ED7">
      <w:pPr>
        <w:spacing w:line="480" w:lineRule="auto"/>
        <w:rPr>
          <w:b/>
          <w:bCs/>
          <w:i/>
        </w:rPr>
      </w:pPr>
      <w:r w:rsidRPr="00E121E9">
        <w:rPr>
          <w:b/>
          <w:bCs/>
          <w:i/>
        </w:rPr>
        <w:t>Training set post hoc analysis</w:t>
      </w:r>
    </w:p>
    <w:p w14:paraId="47A34209" w14:textId="77777777" w:rsidR="00F97FCE" w:rsidRPr="00E121E9" w:rsidRDefault="00534ED7">
      <w:pPr>
        <w:spacing w:line="480" w:lineRule="auto"/>
        <w:rPr>
          <w:bCs/>
          <w:iCs/>
        </w:rPr>
      </w:pPr>
      <w:r w:rsidRPr="00E121E9">
        <w:rPr>
          <w:bCs/>
          <w:i/>
        </w:rPr>
        <w:t>Post hoc</w:t>
      </w:r>
      <w:r w:rsidRPr="00E121E9">
        <w:rPr>
          <w:bCs/>
          <w:iCs/>
        </w:rPr>
        <w:t xml:space="preserve"> pairwise multiple comparisons of ROC-AUC scores between ABR detection methods were performed using the Wilcoxon signed-rank test. The p-values were adjusted for multiple comparisons using the </w:t>
      </w:r>
      <w:proofErr w:type="spellStart"/>
      <w:r w:rsidRPr="00E121E9">
        <w:rPr>
          <w:bCs/>
          <w:iCs/>
        </w:rPr>
        <w:t>Benjamini</w:t>
      </w:r>
      <w:proofErr w:type="spellEnd"/>
      <w:r w:rsidRPr="00E121E9">
        <w:rPr>
          <w:bCs/>
          <w:iCs/>
        </w:rPr>
        <w:t xml:space="preserve">-Hochberg method to maintain a false discovery rate of 0.05 </w:t>
      </w:r>
      <w:r w:rsidRPr="00E121E9">
        <w:rPr>
          <w:bCs/>
          <w:iCs/>
        </w:rPr>
        <w:fldChar w:fldCharType="begin" w:fldLock="1"/>
      </w:r>
      <w:r w:rsidRPr="00E121E9">
        <w:rPr>
          <w:bCs/>
          <w:iCs/>
        </w:rPr>
        <w:instrText>ADDIN CSL_CITATION {"citationItems":[{"id":"ITEM-1","itemData":{"DOI":"10.2307/2346101","ISBN":"1023072346","ISSN":"00359246","PMID":"2346101","abstract":"JSTOR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SUMMARY 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author":[{"dropping-particle":"","family":"Benjamini","given":"Yoav","non-dropping-particle":"","parse-names":false,"suffix":""},{"dropping-particle":"","family":"Hochberg","given":"Yosef","non-dropping-particle":"","parse-names":false,"suffix":""}],"container-title":"Journal of the Royal Statistical Society. Series B (Methodological)","id":"ITEM-1","issued":{"date-parts":[["1995"]]},"page":"289-300","publisher":"WileyRoyal Statistical Society","title":"Controlling the False Discovery Rate: A Practical and Powerful Approach to Multiple Testing","type":"article","volume":"57"},"uris":["http://www.mendeley.com/documents/?uuid=4af681a0-513b-3719-b19f-166ed35be527"]}],"mendeley":{"formattedCitation":"(Benjamini &amp; Hochberg, 1995)","plainTextFormattedCitation":"(Benjamini &amp; Hochberg, 1995)","previouslyFormattedCitation":"(Benjamini &amp; Hochberg, 1995)"},"properties":{"noteIndex":0},"schema":"https://github.com/citation-style-language/schema/raw/master/csl-citation.json"}</w:instrText>
      </w:r>
      <w:r w:rsidRPr="00E121E9">
        <w:rPr>
          <w:bCs/>
          <w:iCs/>
        </w:rPr>
        <w:fldChar w:fldCharType="separate"/>
      </w:r>
      <w:r w:rsidRPr="00E121E9">
        <w:rPr>
          <w:bCs/>
          <w:iCs/>
        </w:rPr>
        <w:t>(Benjamini &amp; Hochberg, 1995)</w:t>
      </w:r>
      <w:r w:rsidRPr="00E121E9">
        <w:rPr>
          <w:bCs/>
          <w:iCs/>
        </w:rPr>
        <w:fldChar w:fldCharType="end"/>
      </w:r>
      <w:r w:rsidRPr="00E121E9">
        <w:rPr>
          <w:bCs/>
          <w:iCs/>
        </w:rPr>
        <w:t xml:space="preserve">. The </w:t>
      </w:r>
      <w:proofErr w:type="spellStart"/>
      <w:r w:rsidRPr="00E121E9">
        <w:rPr>
          <w:bCs/>
          <w:iCs/>
        </w:rPr>
        <w:t>Benjamini</w:t>
      </w:r>
      <w:proofErr w:type="spellEnd"/>
      <w:r w:rsidRPr="00E121E9">
        <w:rPr>
          <w:bCs/>
          <w:iCs/>
        </w:rPr>
        <w:t xml:space="preserve">-Hochberg method provides a balance between mistakenly rejecting the null hypothesis (false negative) and mistakenly accepting it (false positive). It is more powerful than some other methods which control the familywise error rate (the probability of falsely rejecting one or more null hypotheses when testing multiple hypotheses). </w:t>
      </w:r>
    </w:p>
    <w:p w14:paraId="5D2926BD" w14:textId="77777777" w:rsidR="00F97FCE" w:rsidRPr="00E121E9" w:rsidRDefault="00F97FCE">
      <w:pPr>
        <w:spacing w:line="480" w:lineRule="auto"/>
        <w:rPr>
          <w:bCs/>
          <w:iCs/>
        </w:rPr>
      </w:pPr>
    </w:p>
    <w:p w14:paraId="0EC007D7" w14:textId="77777777" w:rsidR="00F97FCE" w:rsidRPr="00E121E9" w:rsidRDefault="00534ED7">
      <w:pPr>
        <w:spacing w:line="480" w:lineRule="auto"/>
        <w:rPr>
          <w:iCs/>
        </w:rPr>
      </w:pPr>
      <w:r w:rsidRPr="00E121E9">
        <w:rPr>
          <w:bCs/>
          <w:iCs/>
        </w:rPr>
        <w:t>Hotelling’s T</w:t>
      </w:r>
      <w:r w:rsidRPr="00E121E9">
        <w:rPr>
          <w:bCs/>
          <w:iCs/>
          <w:vertAlign w:val="superscript"/>
        </w:rPr>
        <w:t>2</w:t>
      </w:r>
      <w:r w:rsidRPr="00E121E9">
        <w:rPr>
          <w:bCs/>
          <w:iCs/>
        </w:rPr>
        <w:t xml:space="preserve"> and the modified and unmodified versions of the q-sample uniform scores test were the best performers amongst the conventional statistical detection methods evaluated; in this group, the only statistically significant differences were between the modified q-sample test and Fsp/Fmp. The stacked ensemble and random forest performed significantly better than all of the 5 conventional detection methods evaluated. Of the machine learning algorithms evaluated, the stacked ensemble and associated hyperparameter optimization procedure had the highest mean and median ROC AUC score across the 9 outer folds. This algorithm was therefore selected as the best machine learning algorithm to be used in the next stages of evaluation: to have its detection threshold adjusted to achieve the desired false positive rate (0.01) using the threshold set and subsequently evaluated on the test set. The optimized hyperparameters for the stacked ensemble were identical across 6 of the 9 outer </w:t>
      </w:r>
      <w:r w:rsidRPr="00E121E9">
        <w:rPr>
          <w:bCs/>
          <w:iCs/>
        </w:rPr>
        <w:lastRenderedPageBreak/>
        <w:t>folds, which in combination with consistent good performance across outer folds, suggested a stable and effective algorithm.</w:t>
      </w:r>
    </w:p>
    <w:p w14:paraId="77F97B26" w14:textId="77777777" w:rsidR="00F97FCE" w:rsidRPr="00E121E9" w:rsidRDefault="00F97FCE">
      <w:pPr>
        <w:spacing w:line="480" w:lineRule="auto"/>
        <w:rPr>
          <w:bCs/>
          <w:iCs/>
        </w:rPr>
      </w:pPr>
    </w:p>
    <w:p w14:paraId="38F65BEA" w14:textId="77777777" w:rsidR="00F97FCE" w:rsidRPr="00E121E9" w:rsidRDefault="00534ED7">
      <w:pPr>
        <w:spacing w:line="480" w:lineRule="auto"/>
        <w:rPr>
          <w:b/>
          <w:i/>
        </w:rPr>
      </w:pPr>
      <w:r w:rsidRPr="00E121E9">
        <w:rPr>
          <w:b/>
          <w:i/>
        </w:rPr>
        <w:t>Evaluation of the final model on the test set</w:t>
      </w:r>
    </w:p>
    <w:p w14:paraId="5E30E444" w14:textId="77777777" w:rsidR="00F97FCE" w:rsidRPr="00E121E9" w:rsidRDefault="00534ED7">
      <w:pPr>
        <w:spacing w:line="480" w:lineRule="auto"/>
        <w:rPr>
          <w:bCs/>
          <w:i/>
        </w:rPr>
      </w:pPr>
      <w:r w:rsidRPr="00E121E9">
        <w:rPr>
          <w:bCs/>
          <w:i/>
        </w:rPr>
        <w:t>Specificity analysis</w:t>
      </w:r>
    </w:p>
    <w:p w14:paraId="14B1F0C1" w14:textId="0CAD56DD" w:rsidR="00F97FCE" w:rsidRPr="00E121E9" w:rsidRDefault="00534ED7">
      <w:pPr>
        <w:spacing w:line="480" w:lineRule="auto"/>
        <w:rPr>
          <w:bCs/>
          <w:iCs/>
        </w:rPr>
      </w:pPr>
      <w:r w:rsidRPr="00E121E9">
        <w:rPr>
          <w:bCs/>
          <w:iCs/>
        </w:rPr>
        <w:t>Specificity in the context of the present study is the proportion of ‘response absent’ ensembles which were correctly identified. The Hotelling’s T</w:t>
      </w:r>
      <w:r w:rsidRPr="00E121E9">
        <w:rPr>
          <w:bCs/>
          <w:iCs/>
          <w:vertAlign w:val="superscript"/>
        </w:rPr>
        <w:t>2</w:t>
      </w:r>
      <w:r w:rsidRPr="00E121E9">
        <w:rPr>
          <w:bCs/>
          <w:iCs/>
        </w:rPr>
        <w:t xml:space="preserve"> test and stacked ensemble (bootstrapped) were the only two methods to consistently (for ≥ 8/10 ensemble sizes) achieve a specificity within the 95% confidence interval of the expected binomial distribution (</w:t>
      </w:r>
      <w:r w:rsidRPr="00E121E9">
        <w:rPr>
          <w:b/>
          <w:iCs/>
        </w:rPr>
        <w:t xml:space="preserve">Figure </w:t>
      </w:r>
      <w:r w:rsidR="009B30CF" w:rsidRPr="00E121E9">
        <w:rPr>
          <w:b/>
          <w:iCs/>
        </w:rPr>
        <w:t>4</w:t>
      </w:r>
      <w:r w:rsidRPr="00E121E9">
        <w:rPr>
          <w:bCs/>
          <w:iCs/>
        </w:rPr>
        <w:t>).</w:t>
      </w:r>
      <w:r w:rsidR="00EF62CC" w:rsidRPr="00E121E9">
        <w:rPr>
          <w:bCs/>
          <w:iCs/>
        </w:rPr>
        <w:t xml:space="preserve"> </w:t>
      </w:r>
      <w:r w:rsidR="0072704D" w:rsidRPr="00E121E9">
        <w:rPr>
          <w:bCs/>
          <w:iCs/>
        </w:rPr>
        <w:t>T</w:t>
      </w:r>
      <w:r w:rsidRPr="00E121E9">
        <w:rPr>
          <w:bCs/>
          <w:iCs/>
        </w:rPr>
        <w:t xml:space="preserve">he binomial distribution </w:t>
      </w:r>
      <w:r w:rsidR="0072704D" w:rsidRPr="00E121E9">
        <w:rPr>
          <w:bCs/>
          <w:iCs/>
        </w:rPr>
        <w:t>provides the</w:t>
      </w:r>
      <w:r w:rsidR="00EF62CC" w:rsidRPr="00E121E9">
        <w:rPr>
          <w:bCs/>
          <w:iCs/>
        </w:rPr>
        <w:t xml:space="preserve"> </w:t>
      </w:r>
      <w:r w:rsidR="0072704D" w:rsidRPr="00E121E9">
        <w:rPr>
          <w:bCs/>
          <w:iCs/>
        </w:rPr>
        <w:t>range (</w:t>
      </w:r>
      <w:r w:rsidR="00580313" w:rsidRPr="00E121E9">
        <w:rPr>
          <w:bCs/>
          <w:iCs/>
        </w:rPr>
        <w:t xml:space="preserve">e.g. </w:t>
      </w:r>
      <w:r w:rsidR="0072704D" w:rsidRPr="00E121E9">
        <w:rPr>
          <w:bCs/>
          <w:iCs/>
        </w:rPr>
        <w:t xml:space="preserve">95% confidence </w:t>
      </w:r>
      <w:r w:rsidR="00EF62CC" w:rsidRPr="00E121E9">
        <w:rPr>
          <w:bCs/>
          <w:iCs/>
        </w:rPr>
        <w:t>interval</w:t>
      </w:r>
      <w:r w:rsidR="0072704D" w:rsidRPr="00E121E9">
        <w:rPr>
          <w:bCs/>
          <w:iCs/>
        </w:rPr>
        <w:t>) for the number of false positives</w:t>
      </w:r>
      <w:r w:rsidR="00580313" w:rsidRPr="00E121E9">
        <w:rPr>
          <w:bCs/>
          <w:iCs/>
        </w:rPr>
        <w:t xml:space="preserve"> expected </w:t>
      </w:r>
      <w:r w:rsidR="00EF62CC" w:rsidRPr="00E121E9">
        <w:rPr>
          <w:bCs/>
          <w:iCs/>
        </w:rPr>
        <w:t>for</w:t>
      </w:r>
      <w:r w:rsidR="001F1526" w:rsidRPr="00E121E9">
        <w:rPr>
          <w:bCs/>
          <w:iCs/>
        </w:rPr>
        <w:t xml:space="preserve"> a </w:t>
      </w:r>
      <w:r w:rsidR="00A14139" w:rsidRPr="00E121E9">
        <w:rPr>
          <w:bCs/>
          <w:iCs/>
        </w:rPr>
        <w:t xml:space="preserve">given </w:t>
      </w:r>
      <w:r w:rsidR="001F1526" w:rsidRPr="00E121E9">
        <w:rPr>
          <w:bCs/>
          <w:iCs/>
        </w:rPr>
        <w:t xml:space="preserve">number of trials </w:t>
      </w:r>
      <w:r w:rsidR="00A14139" w:rsidRPr="00E121E9">
        <w:rPr>
          <w:bCs/>
          <w:iCs/>
        </w:rPr>
        <w:t>and</w:t>
      </w:r>
      <w:r w:rsidR="00CD5CE3" w:rsidRPr="00E121E9">
        <w:rPr>
          <w:bCs/>
          <w:iCs/>
        </w:rPr>
        <w:t xml:space="preserve"> nominal false positive (alpha) level</w:t>
      </w:r>
      <w:r w:rsidRPr="00E121E9">
        <w:rPr>
          <w:bCs/>
          <w:iCs/>
        </w:rPr>
        <w:t xml:space="preserve"> </w:t>
      </w:r>
      <w:r w:rsidRPr="00E121E9">
        <w:rPr>
          <w:bCs/>
          <w:iCs/>
        </w:rPr>
        <w:fldChar w:fldCharType="begin" w:fldLock="1"/>
      </w:r>
      <w:r w:rsidRPr="00E121E9">
        <w:rPr>
          <w:bCs/>
          <w:iCs/>
        </w:rPr>
        <w:instrText>ADDIN CSL_CITATION {"citationItems":[{"id":"ITEM-1","itemData":{"DOI":"10.1080/14992027.2018.1447697","ISSN":"17088186","PMID":"29537327","abstract":"Objective: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Audiology","id":"ITEM-1","issue":"6","issued":{"date-parts":[["2018","6","3"]]},"page":"468-478","publisher":"Taylor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2018)","plainTextFormattedCitation":"(Chesnaye et al., 2018)","previouslyFormattedCitation":"(Chesnaye et al., 2018)"},"properties":{"noteIndex":0},"schema":"https://github.com/citation-style-language/schema/raw/master/csl-citation.json"}</w:instrText>
      </w:r>
      <w:r w:rsidRPr="00E121E9">
        <w:rPr>
          <w:bCs/>
          <w:iCs/>
        </w:rPr>
        <w:fldChar w:fldCharType="separate"/>
      </w:r>
      <w:r w:rsidRPr="00E121E9">
        <w:rPr>
          <w:bCs/>
          <w:iCs/>
        </w:rPr>
        <w:t>(Chesnaye et al., 2018)</w:t>
      </w:r>
      <w:r w:rsidRPr="00E121E9">
        <w:rPr>
          <w:bCs/>
          <w:iCs/>
        </w:rPr>
        <w:fldChar w:fldCharType="end"/>
      </w:r>
      <w:r w:rsidRPr="00E121E9">
        <w:rPr>
          <w:bCs/>
          <w:iCs/>
        </w:rPr>
        <w:t>. The specificity for the Fsp and Fmp detection methods was above the expected range across all 10 ensemble sizes. The stacked ensemble, which had its critical values per ensemble size set using the separate threshold set, and q-sample uniform scores test consistently achieved a specificity below that which was expected. Because of this, a second approach for controlling the false positive rate using the bootstrapping was employed (see methods section) which achieved a specificity within the 95% confidence interval for 8/10 ensemble sizes (</w:t>
      </w:r>
      <w:r w:rsidRPr="00E121E9">
        <w:rPr>
          <w:b/>
          <w:iCs/>
        </w:rPr>
        <w:t xml:space="preserve">Figure </w:t>
      </w:r>
      <w:r w:rsidR="009B30CF" w:rsidRPr="00E121E9">
        <w:rPr>
          <w:b/>
          <w:iCs/>
        </w:rPr>
        <w:t>4</w:t>
      </w:r>
      <w:r w:rsidRPr="00E121E9">
        <w:rPr>
          <w:bCs/>
          <w:iCs/>
        </w:rPr>
        <w:t xml:space="preserve">). Further evaluation of the q-sample uniform scores test applied without zero-padding is provided in </w:t>
      </w:r>
      <w:r w:rsidRPr="00E121E9">
        <w:rPr>
          <w:b/>
          <w:iCs/>
        </w:rPr>
        <w:t>Table 1</w:t>
      </w:r>
      <w:r w:rsidRPr="00E121E9">
        <w:rPr>
          <w:bCs/>
          <w:iCs/>
        </w:rPr>
        <w:t>.</w:t>
      </w:r>
    </w:p>
    <w:p w14:paraId="096DCCBF" w14:textId="77777777" w:rsidR="00F97FCE" w:rsidRPr="00E121E9" w:rsidRDefault="00F97FCE">
      <w:pPr>
        <w:spacing w:line="480" w:lineRule="auto"/>
        <w:rPr>
          <w:bCs/>
          <w:iCs/>
        </w:rPr>
      </w:pPr>
    </w:p>
    <w:p w14:paraId="54546A71" w14:textId="77777777" w:rsidR="00F97FCE" w:rsidRPr="00E121E9" w:rsidRDefault="00534ED7">
      <w:pPr>
        <w:spacing w:line="480" w:lineRule="auto"/>
        <w:rPr>
          <w:bCs/>
          <w:i/>
        </w:rPr>
      </w:pPr>
      <w:r w:rsidRPr="00E121E9">
        <w:rPr>
          <w:bCs/>
          <w:i/>
        </w:rPr>
        <w:t>Sensitivity analysis</w:t>
      </w:r>
    </w:p>
    <w:p w14:paraId="45844D96" w14:textId="7E4E174E" w:rsidR="00F97FCE" w:rsidRPr="00E121E9" w:rsidRDefault="00534ED7">
      <w:pPr>
        <w:spacing w:line="480" w:lineRule="auto"/>
      </w:pPr>
      <w:r w:rsidRPr="00E121E9">
        <w:t xml:space="preserve">Effective detection is a trade-off between sensitivity and specificity. The balance between sensitivity and specificity is altered by adjusting the critical value (threshold) of the detection method. In order to allow a fair comparison of response detection between methods, the critical value for response detection for each method was adjusted to the level that achieved a </w:t>
      </w:r>
      <w:r w:rsidRPr="00E121E9">
        <w:lastRenderedPageBreak/>
        <w:t xml:space="preserve">false positive rate of exactly 0.01 on the test set ‘response absent’ data. Given the trade-off between sensitivity and specificity, this approach allows the sensitivity analysis to be independent of the previous specificity analysis preventing models which had a lower specificity from having an unfair boost in sensitivity </w:t>
      </w:r>
      <w:r w:rsidRPr="00E121E9">
        <w:fldChar w:fldCharType="begin" w:fldLock="1"/>
      </w:r>
      <w:r w:rsidRPr="00E121E9">
        <w:instrText>ADDIN CSL_CITATION {"citationItems":[{"id":"ITEM-1","itemData":{"DOI":"10.1080/14992027.2018.1447697","ISSN":"17088186","PMID":"29537327","abstract":"Objective: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Audiology","id":"ITEM-1","issue":"6","issued":{"date-parts":[["2018","6","3"]]},"page":"468-478","publisher":"Taylor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2018)","plainTextFormattedCitation":"(Chesnaye et al., 2018)","previouslyFormattedCitation":"(Chesnaye et al., 2018)"},"properties":{"noteIndex":0},"schema":"https://github.com/citation-style-language/schema/raw/master/csl-citation.json"}</w:instrText>
      </w:r>
      <w:r w:rsidRPr="00E121E9">
        <w:fldChar w:fldCharType="separate"/>
      </w:r>
      <w:r w:rsidRPr="00E121E9">
        <w:t>(Chesnaye et al., 2018)</w:t>
      </w:r>
      <w:r w:rsidRPr="00E121E9">
        <w:fldChar w:fldCharType="end"/>
      </w:r>
      <w:r w:rsidRPr="00E121E9">
        <w:t>. The detection rates for each method were compared for each ensemble size (</w:t>
      </w:r>
      <w:r w:rsidRPr="00E121E9">
        <w:rPr>
          <w:b/>
          <w:bCs/>
        </w:rPr>
        <w:t xml:space="preserve">Figure </w:t>
      </w:r>
      <w:r w:rsidR="009B30CF" w:rsidRPr="00E121E9">
        <w:rPr>
          <w:b/>
          <w:bCs/>
        </w:rPr>
        <w:t>5</w:t>
      </w:r>
      <w:r w:rsidRPr="00E121E9">
        <w:t>) after correcting the critical values to those achieving a false positive rate of precisely 0.01 (99% specificity). Cochran’s Q test demonstrated a significant difference between all seven detection methods for each ensemble size (</w:t>
      </w:r>
      <w:r w:rsidRPr="00E121E9">
        <w:rPr>
          <w:i/>
          <w:iCs/>
        </w:rPr>
        <w:t>p</w:t>
      </w:r>
      <w:r w:rsidRPr="00E121E9">
        <w:t xml:space="preserve"> &lt; 0.001). </w:t>
      </w:r>
      <w:r w:rsidRPr="00E121E9">
        <w:rPr>
          <w:i/>
          <w:iCs/>
        </w:rPr>
        <w:t>Post hoc</w:t>
      </w:r>
      <w:r w:rsidRPr="00E121E9">
        <w:t xml:space="preserve"> testing using a pairwise McNemar test between each detection method for each ensemble size was performed with the </w:t>
      </w:r>
      <w:proofErr w:type="spellStart"/>
      <w:r w:rsidRPr="00E121E9">
        <w:rPr>
          <w:bCs/>
          <w:iCs/>
        </w:rPr>
        <w:t>Benjamini</w:t>
      </w:r>
      <w:proofErr w:type="spellEnd"/>
      <w:r w:rsidRPr="00E121E9">
        <w:rPr>
          <w:bCs/>
          <w:iCs/>
        </w:rPr>
        <w:t>-Hochberg</w:t>
      </w:r>
      <w:r w:rsidRPr="00E121E9">
        <w:t xml:space="preserve"> correction applied to control for multiple comparisons. The stacked ensemble and the stacked ensemble (bootstrapped) both performed statistically significantly better than all 5 conventional detection methods evaluated across all ensemble sizes (largest adjusted </w:t>
      </w:r>
      <w:r w:rsidRPr="00E121E9">
        <w:rPr>
          <w:i/>
          <w:iCs/>
        </w:rPr>
        <w:t>p</w:t>
      </w:r>
      <w:r w:rsidRPr="00E121E9">
        <w:t xml:space="preserve"> &lt; 3×10</w:t>
      </w:r>
      <w:r w:rsidRPr="00E121E9">
        <w:rPr>
          <w:vertAlign w:val="superscript"/>
        </w:rPr>
        <w:t>-6</w:t>
      </w:r>
      <w:r w:rsidRPr="00E121E9">
        <w:t>). Of the conventional statistical detection methods, Hotelling’s T</w:t>
      </w:r>
      <w:r w:rsidRPr="00E121E9">
        <w:rPr>
          <w:vertAlign w:val="superscript"/>
        </w:rPr>
        <w:t>2</w:t>
      </w:r>
      <w:r w:rsidRPr="00E121E9">
        <w:t xml:space="preserve"> and the modified q-sample test performed the best. The differences between these two methods were largely not statistically significant across ensemble sizes apart from for ensembles of 100 epochs where Hotelling’s T</w:t>
      </w:r>
      <w:r w:rsidRPr="00E121E9">
        <w:rPr>
          <w:vertAlign w:val="superscript"/>
        </w:rPr>
        <w:t>2</w:t>
      </w:r>
      <w:r w:rsidRPr="00E121E9">
        <w:t xml:space="preserve"> performed significantly worse than both versions of the q-sample test. This can likely be attributed to the limitations of the Hotelling’s T</w:t>
      </w:r>
      <w:r w:rsidRPr="00E121E9">
        <w:rPr>
          <w:vertAlign w:val="superscript"/>
        </w:rPr>
        <w:t>2</w:t>
      </w:r>
      <w:r w:rsidRPr="00E121E9">
        <w:t xml:space="preserve"> test for small sample size data </w:t>
      </w:r>
      <w:r w:rsidRPr="00E121E9">
        <w:fldChar w:fldCharType="begin" w:fldLock="1"/>
      </w:r>
      <w:r w:rsidRPr="00E121E9">
        <w:instrText>ADDIN CSL_CITATION {"citationItems":[{"id":"ITEM-1","itemData":{"DOI":"10.1016/j.jmva.2015.08.022","ISSN":"10957243","abstract":"High-throughput expression profiling techniques bring novel tools and also statistical challenges to genetic research. In addition to detecting differentially expressed genes, testing the significance of gene sets or pathway analysis has been recognized as an equally important problem. Owing to the \"large p small n\" paradigm, the traditional Hotelling's T2 test suffers from the singularity problem and therefore is not valid in this setting. In this paper, we propose a shrinkage-based diagonal Hotelling's test for both one-sample and two-sample cases. We also suggest several different ways to derive the approximate null distribution under different scenarios of p and n for our proposed shrinkage-based test. Simulation studies show that the proposed method performs comparably to existing competitors when n is moderate or large, but it is better when n is small. In addition, we analyze four gene expression data sets and they demonstrate the advantage of our proposed shrinkage-based diagonal Hotelling's test.","author":[{"dropping-particle":"","family":"Dong","given":"Kai","non-dropping-particle":"","parse-names":false,"suffix":""},{"dropping-particle":"","family":"Pang","given":"Herbert","non-dropping-particle":"","parse-names":false,"suffix":""},{"dropping-particle":"","family":"Tong","given":"Tiejun","non-dropping-particle":"","parse-names":false,"suffix":""},{"dropping-particle":"","family":"Genton","given":"Marc G.","non-dropping-particle":"","parse-names":false,"suffix":""}],"container-title":"Journal of Multivariate Analysis","id":"ITEM-1","issued":{"date-parts":[["2016","1","1"]]},"page":"127-142","publisher":"Academic Press Inc.","title":"Shrinkage-based diagonal Hotelling's tests for high-dimensional small sample size data","type":"article-journal","volume":"143"},"uris":["http://www.mendeley.com/documents/?uuid=5ac8f903-8467-3b80-94aa-182a72d9cba9"]}],"mendeley":{"formattedCitation":"(Dong et al., 2016)","plainTextFormattedCitation":"(Dong et al., 2016)","previouslyFormattedCitation":"(Dong et al., 2016)"},"properties":{"noteIndex":0},"schema":"https://github.com/citation-style-language/schema/raw/master/csl-citation.json"}</w:instrText>
      </w:r>
      <w:r w:rsidRPr="00E121E9">
        <w:fldChar w:fldCharType="separate"/>
      </w:r>
      <w:r w:rsidRPr="00E121E9">
        <w:t>(Dong et al., 2016)</w:t>
      </w:r>
      <w:r w:rsidRPr="00E121E9">
        <w:fldChar w:fldCharType="end"/>
      </w:r>
      <w:r w:rsidRPr="00E121E9">
        <w:t>. Hotelling’s T</w:t>
      </w:r>
      <w:r w:rsidRPr="00E121E9">
        <w:rPr>
          <w:vertAlign w:val="superscript"/>
        </w:rPr>
        <w:t>2</w:t>
      </w:r>
      <w:r w:rsidRPr="00E121E9">
        <w:t xml:space="preserve"> and both versions of the q-sample test were found to be significantly better than both Fsp and Fmp for ensembles of 300 -1,000 epochs. When considering the statistical significance of these results it is important to be mindful that simply increasing the number of simulations would increase the power of the study to detect a significant difference, and therefore the absolute difference in performance observed may be more meaningful.</w:t>
      </w:r>
    </w:p>
    <w:p w14:paraId="7FA159D7" w14:textId="77777777" w:rsidR="00F97FCE" w:rsidRPr="00E121E9" w:rsidRDefault="00F97FCE">
      <w:pPr>
        <w:spacing w:line="480" w:lineRule="auto"/>
        <w:jc w:val="center"/>
      </w:pPr>
    </w:p>
    <w:p w14:paraId="6C0091F3" w14:textId="77777777" w:rsidR="00F97FCE" w:rsidRPr="00E121E9" w:rsidRDefault="00534ED7">
      <w:pPr>
        <w:spacing w:line="480" w:lineRule="auto"/>
        <w:rPr>
          <w:bCs/>
          <w:i/>
        </w:rPr>
      </w:pPr>
      <w:r w:rsidRPr="00E121E9">
        <w:rPr>
          <w:bCs/>
          <w:i/>
        </w:rPr>
        <w:t>Analysis of detection performance by SNR</w:t>
      </w:r>
    </w:p>
    <w:p w14:paraId="6CEC196D" w14:textId="21D9F797" w:rsidR="00F97FCE" w:rsidRPr="00E121E9" w:rsidRDefault="00534ED7">
      <w:pPr>
        <w:spacing w:line="480" w:lineRule="auto"/>
        <w:rPr>
          <w:bCs/>
          <w:iCs/>
        </w:rPr>
      </w:pPr>
      <w:r w:rsidRPr="00E121E9">
        <w:rPr>
          <w:bCs/>
          <w:iCs/>
        </w:rPr>
        <w:lastRenderedPageBreak/>
        <w:t>The test set simulations aimed to maintain a realistic SNR for each ABR template used by matching the SNR of the simulated ABR present data to that of the subject recorded ABR data. This was useful in bringing authenticity to the simulations and ensured that templates from the subject recorded ABR ensembles were scaled to a physiologically representational amplitude. It is also useful when evaluating detection methods to observe their performance across various fixed SNRs. To do this the same test set data were resimulated using fixed dB steps in SNR. The 12 ABR templates from the test set were added to the 1,500 no-stimulus test set ensembles of 1,000 epochs and scaled to achieve a set range of SNRs (</w:t>
      </w:r>
      <w:r w:rsidRPr="00E121E9">
        <w:rPr>
          <w:b/>
          <w:iCs/>
        </w:rPr>
        <w:t xml:space="preserve">Figure </w:t>
      </w:r>
      <w:r w:rsidR="009B30CF" w:rsidRPr="00E121E9">
        <w:rPr>
          <w:b/>
          <w:iCs/>
        </w:rPr>
        <w:t>6</w:t>
      </w:r>
      <w:r w:rsidRPr="00E121E9">
        <w:rPr>
          <w:bCs/>
          <w:iCs/>
        </w:rPr>
        <w:t>). When evaluating the detection methods, the critical value was set as the level which achieved a false positive rate of 0.01 on these 1,500 no-stimulus ensembles prior to the scaled ABR templates being added. The stacked ensemble was able to detect a higher proportion of responses compared to the conventional detection methods.</w:t>
      </w:r>
    </w:p>
    <w:p w14:paraId="38985812" w14:textId="77777777" w:rsidR="00F97FCE" w:rsidRPr="00E121E9" w:rsidRDefault="00F97FCE">
      <w:pPr>
        <w:spacing w:line="480" w:lineRule="auto"/>
      </w:pPr>
    </w:p>
    <w:p w14:paraId="47776C8D" w14:textId="77777777" w:rsidR="00F97FCE" w:rsidRPr="00E121E9" w:rsidRDefault="00534ED7">
      <w:pPr>
        <w:spacing w:line="480" w:lineRule="auto"/>
        <w:rPr>
          <w:b/>
        </w:rPr>
      </w:pPr>
      <w:r w:rsidRPr="00E121E9">
        <w:rPr>
          <w:b/>
        </w:rPr>
        <w:t>Discussion</w:t>
      </w:r>
    </w:p>
    <w:p w14:paraId="4B8C3809" w14:textId="16BDAE53" w:rsidR="00F97FCE" w:rsidRPr="00E121E9" w:rsidRDefault="00534ED7">
      <w:pPr>
        <w:spacing w:line="480" w:lineRule="auto"/>
        <w:rPr>
          <w:bCs/>
        </w:rPr>
      </w:pPr>
      <w:r w:rsidRPr="00E121E9">
        <w:rPr>
          <w:bCs/>
        </w:rPr>
        <w:t xml:space="preserve">Interpretation of the ABR in the clinical setting is typically reliant on visual inspection </w:t>
      </w:r>
      <w:r w:rsidR="00366A9C" w:rsidRPr="00E121E9">
        <w:rPr>
          <w:bCs/>
        </w:rPr>
        <w:t xml:space="preserve">by </w:t>
      </w:r>
      <w:r w:rsidRPr="00E121E9">
        <w:rPr>
          <w:bCs/>
        </w:rPr>
        <w:t xml:space="preserve">the clinician whose interpretation may be informed by the additional use of statistical detection methods such as Fsp/Fmp. Although visual inspection by experts in known to be highly-variable </w:t>
      </w:r>
      <w:r w:rsidRPr="00E121E9">
        <w:rPr>
          <w:bCs/>
        </w:rPr>
        <w:fldChar w:fldCharType="begin" w:fldLock="1"/>
      </w:r>
      <w:r w:rsidRPr="00E121E9">
        <w:rPr>
          <w:bCs/>
        </w:rPr>
        <w:instrText>ADDIN CSL_CITATION {"citationItems":[{"id":"ITEM-1","itemData":{"ISSN":"1499-2027","PMID":"15515641","abstract":"Little research has been undertaken into the extent to which auditory brainstem response (ABR) threshold estimation varies between experienced professionals. In this paper, results are presented for 16 professionals who estimated ABR threshold for 12 sets of data in a computer simulation of the clinical test. The design differs from previous research in this area in that subjects had control over the creation of the set of traces from which they would estimate threshold, much as they would in the clinical situation. No agreement for threshold was found for any of the 12 sets of test data across the 16 subjects, and for nine of the sets, the difference between highest and lowest estimated threshold was 40 dB or greater. The maximum difference between highest and lowest estimated threshold was 60 dB. It is argued that the variability is not accounted for by experimental design. The implications for clinical practice are discussed.","author":[{"dropping-particle":"","family":"Vidler","given":"Michael","non-dropping-particle":"","parse-names":false,"suffix":""},{"dropping-particle":"","family":"Parker","given":"David","non-dropping-particle":"","parse-names":false,"suffix":""}],"container-title":"International journal of audiology","id":"ITEM-1","issue":"7","issued":{"date-parts":[["2004"]]},"page":"417-429","title":"Auditory brainstem response threshold estimation: subjective threshold estimation by experienced clinicians in a computer simulation of the clinical test.","type":"article-journal","volume":"43"},"uris":["http://www.mendeley.com/documents/?uuid=aea3a69e-5141-3715-b3ab-224437591ea2"]}],"mendeley":{"formattedCitation":"(Vidler &amp; Parker, 2004)","plainTextFormattedCitation":"(Vidler &amp; Parker, 2004)","previouslyFormattedCitation":"(Vidler &amp; Parker, 2004)"},"properties":{"noteIndex":0},"schema":"https://github.com/citation-style-language/schema/raw/master/csl-citation.json"}</w:instrText>
      </w:r>
      <w:r w:rsidRPr="00E121E9">
        <w:rPr>
          <w:bCs/>
        </w:rPr>
        <w:fldChar w:fldCharType="separate"/>
      </w:r>
      <w:r w:rsidRPr="00E121E9">
        <w:rPr>
          <w:bCs/>
        </w:rPr>
        <w:t>(Vidler &amp; Parker, 2004)</w:t>
      </w:r>
      <w:r w:rsidRPr="00E121E9">
        <w:rPr>
          <w:bCs/>
        </w:rPr>
        <w:fldChar w:fldCharType="end"/>
      </w:r>
      <w:r w:rsidRPr="00E121E9">
        <w:rPr>
          <w:bCs/>
        </w:rPr>
        <w:t xml:space="preserve">, it has been considered the gold-standard as humans are often considered the </w:t>
      </w:r>
      <w:r w:rsidRPr="00E121E9">
        <w:rPr>
          <w:bCs/>
          <w:i/>
          <w:iCs/>
        </w:rPr>
        <w:t>de facto</w:t>
      </w:r>
      <w:r w:rsidRPr="00E121E9">
        <w:rPr>
          <w:bCs/>
        </w:rPr>
        <w:t xml:space="preserve"> best pattern recognizers. Increasingly, with advances in AI, this is no longer considered to be the case. The current work seeks to develop and optimize such AI methods for the detection of the ABR and to identify promising approaches for follow-on larger scale clinical studies which should include participants with hearing loss as well as participants with normal hearing. The results suggest that these tools have strong potential in providing clinicians with additional support in detecting hearing thresholds from ABR recordings. </w:t>
      </w:r>
    </w:p>
    <w:p w14:paraId="5D4E90CD" w14:textId="77777777" w:rsidR="00F97FCE" w:rsidRPr="00E121E9" w:rsidRDefault="00F97FCE">
      <w:pPr>
        <w:spacing w:line="480" w:lineRule="auto"/>
        <w:rPr>
          <w:bCs/>
        </w:rPr>
      </w:pPr>
    </w:p>
    <w:p w14:paraId="2A15F904" w14:textId="67AA361D" w:rsidR="00F97FCE" w:rsidRPr="00E121E9" w:rsidRDefault="00534ED7">
      <w:pPr>
        <w:spacing w:line="480" w:lineRule="auto"/>
        <w:rPr>
          <w:bCs/>
        </w:rPr>
      </w:pPr>
      <w:r w:rsidRPr="00E121E9">
        <w:rPr>
          <w:bCs/>
        </w:rPr>
        <w:t xml:space="preserve">This study evaluated new objective methods for detecting the ABR using machine learning and compared their performance to that of optimized conventional detection techniques using simulated data. Overall, the results suggest that machine learning techniques can offer an improvement on conventional ABR detection methods, with the proposed stacked ensemble model being most effective at distinguishing between EEG containing an ABR response and EEG containing no response. The stacked ensemble using a bootstrapped output achieves </w:t>
      </w:r>
      <w:r w:rsidR="00922382" w:rsidRPr="00E121E9">
        <w:rPr>
          <w:bCs/>
        </w:rPr>
        <w:t>consistently</w:t>
      </w:r>
      <w:r w:rsidRPr="00E121E9">
        <w:rPr>
          <w:bCs/>
        </w:rPr>
        <w:t xml:space="preserve"> high specificity across ensemble sizes which is important clinically in order to avoid false positive results. The level of sensitivity attained was significantly better than the other detection methods evaluated. At a SNR corresponding to that of ABR data recorded at 0dB SL, the stacked ensemble had a detection rate of 0.14 (</w:t>
      </w:r>
      <w:r w:rsidRPr="00E121E9">
        <w:rPr>
          <w:b/>
        </w:rPr>
        <w:t xml:space="preserve">Figure </w:t>
      </w:r>
      <w:r w:rsidR="006E0A3C" w:rsidRPr="00E121E9">
        <w:rPr>
          <w:b/>
        </w:rPr>
        <w:t>6</w:t>
      </w:r>
      <w:r w:rsidRPr="00E121E9">
        <w:rPr>
          <w:bCs/>
        </w:rPr>
        <w:t>). For the Fsp and Fmp to achieve the same detection rate, the SNR had to be increased by ~4 dB; this corresponds approximately to having to increase the stimulus level by 10 dB SL to achieve the same detection rate at around threshold. This modest improvement in performance may translate to larger benefits at the population level when applied to</w:t>
      </w:r>
      <w:r w:rsidR="00C83275" w:rsidRPr="00E121E9">
        <w:rPr>
          <w:bCs/>
        </w:rPr>
        <w:t xml:space="preserve">, for example, </w:t>
      </w:r>
      <w:r w:rsidRPr="00E121E9">
        <w:rPr>
          <w:bCs/>
        </w:rPr>
        <w:t xml:space="preserve">national newborn hearing screening. On the individual level, improved accuracy of estimated behavioral thresholds would be beneficial when prescribing amplification. Note that the stacked ensemble receives input features derived from conventional test statistics and so is not entirely distinct from these methods of ABR detection. The stacked ensemble detection method may offer potential both in automated ABR screening devices as well as in evoked potential software aiding clinicians in making decisions regarding a patient’s ABR threshold. </w:t>
      </w:r>
    </w:p>
    <w:p w14:paraId="27FEE18D" w14:textId="77777777" w:rsidR="00F97FCE" w:rsidRPr="00E121E9" w:rsidRDefault="00F97FCE">
      <w:pPr>
        <w:spacing w:line="480" w:lineRule="auto"/>
        <w:rPr>
          <w:bCs/>
        </w:rPr>
      </w:pPr>
    </w:p>
    <w:p w14:paraId="781FA28E" w14:textId="77777777" w:rsidR="00F97FCE" w:rsidRPr="00E121E9" w:rsidRDefault="00534ED7">
      <w:pPr>
        <w:spacing w:line="480" w:lineRule="auto"/>
        <w:rPr>
          <w:bCs/>
        </w:rPr>
      </w:pPr>
      <w:r w:rsidRPr="00E121E9">
        <w:rPr>
          <w:bCs/>
        </w:rPr>
        <w:t>Of the conventional detection methods evaluated, the modified q-sample uniform scores test and Hotelling’s T</w:t>
      </w:r>
      <w:r w:rsidRPr="00E121E9">
        <w:rPr>
          <w:bCs/>
          <w:vertAlign w:val="superscript"/>
        </w:rPr>
        <w:t>2</w:t>
      </w:r>
      <w:r w:rsidRPr="00E121E9">
        <w:rPr>
          <w:bCs/>
        </w:rPr>
        <w:t xml:space="preserve"> were found to be the most effective. Based on its low computational complexity, stable test specificity and high sensitivity, the Hotelling’s T</w:t>
      </w:r>
      <w:r w:rsidRPr="00E121E9">
        <w:rPr>
          <w:bCs/>
          <w:vertAlign w:val="superscript"/>
        </w:rPr>
        <w:t>2</w:t>
      </w:r>
      <w:r w:rsidRPr="00E121E9">
        <w:rPr>
          <w:bCs/>
        </w:rPr>
        <w:t xml:space="preserve"> test may serve as an </w:t>
      </w:r>
      <w:r w:rsidRPr="00E121E9">
        <w:rPr>
          <w:bCs/>
        </w:rPr>
        <w:lastRenderedPageBreak/>
        <w:t>effective benchmark for future studies allowing comparison of results between heterogeneous datasets. The differences in the datasets, methodology and outcome measures used between studies evaluating new algorithms on ABR detection performance make comparisons between studies challenging. We expect that the common use of one test would facilitate such comparisons in the future and propose that the Hotelling’s T</w:t>
      </w:r>
      <w:r w:rsidRPr="00E121E9">
        <w:rPr>
          <w:bCs/>
          <w:vertAlign w:val="superscript"/>
        </w:rPr>
        <w:t>2</w:t>
      </w:r>
      <w:r w:rsidRPr="00E121E9">
        <w:rPr>
          <w:bCs/>
        </w:rPr>
        <w:t xml:space="preserve"> test be chosen for this task. </w:t>
      </w:r>
    </w:p>
    <w:p w14:paraId="70AC1499" w14:textId="77777777" w:rsidR="00F97FCE" w:rsidRPr="00E121E9" w:rsidRDefault="00F97FCE">
      <w:pPr>
        <w:spacing w:line="480" w:lineRule="auto"/>
        <w:rPr>
          <w:bCs/>
        </w:rPr>
      </w:pPr>
    </w:p>
    <w:p w14:paraId="149F2AE5" w14:textId="39EDB051" w:rsidR="00F97FCE" w:rsidRPr="00E121E9" w:rsidRDefault="00534ED7">
      <w:pPr>
        <w:spacing w:line="480" w:lineRule="auto"/>
        <w:rPr>
          <w:bCs/>
        </w:rPr>
      </w:pPr>
      <w:r w:rsidRPr="00E121E9">
        <w:rPr>
          <w:bCs/>
        </w:rPr>
        <w:t xml:space="preserve">Bootstrapping the stacked ensemble model output provides a p-value for the significance of the results, which can then be easily interpreted. This obviates the need for pre-determined model thresholds to be established using no-stimulus data </w:t>
      </w:r>
      <w:r w:rsidRPr="00E121E9">
        <w:rPr>
          <w:bCs/>
        </w:rPr>
        <w:fldChar w:fldCharType="begin" w:fldLock="1"/>
      </w:r>
      <w:r w:rsidRPr="00E121E9">
        <w:rPr>
          <w:bCs/>
        </w:rPr>
        <w:instrText>ADDIN CSL_CITATION {"citationItems":[{"id":"ITEM-1","itemData":{"DOI":"10.1080/14992027.2018.1447697","ISSN":"17088186","PMID":"29537327","abstract":"Objective: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Audiology","id":"ITEM-1","issue":"6","issued":{"date-parts":[["2018","6","3"]]},"page":"468-478","publisher":"Taylor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2018)","plainTextFormattedCitation":"(Chesnaye et al., 2018)","previouslyFormattedCitation":"(Chesnaye et al., 2018)"},"properties":{"noteIndex":0},"schema":"https://github.com/citation-style-language/schema/raw/master/csl-citation.json"}</w:instrText>
      </w:r>
      <w:r w:rsidRPr="00E121E9">
        <w:rPr>
          <w:bCs/>
        </w:rPr>
        <w:fldChar w:fldCharType="separate"/>
      </w:r>
      <w:r w:rsidRPr="00E121E9">
        <w:rPr>
          <w:bCs/>
        </w:rPr>
        <w:t>(Chesnaye et al., 2018)</w:t>
      </w:r>
      <w:r w:rsidRPr="00E121E9">
        <w:rPr>
          <w:bCs/>
        </w:rPr>
        <w:fldChar w:fldCharType="end"/>
      </w:r>
      <w:r w:rsidRPr="00E121E9">
        <w:rPr>
          <w:bCs/>
        </w:rPr>
        <w:t>, which in the present study were not found to generalize well between the data sets (</w:t>
      </w:r>
      <w:r w:rsidRPr="00E121E9">
        <w:rPr>
          <w:b/>
        </w:rPr>
        <w:t xml:space="preserve">Figure </w:t>
      </w:r>
      <w:r w:rsidR="006E0A3C" w:rsidRPr="00E121E9">
        <w:rPr>
          <w:b/>
        </w:rPr>
        <w:t>4</w:t>
      </w:r>
      <w:r w:rsidRPr="00E121E9">
        <w:rPr>
          <w:bCs/>
        </w:rPr>
        <w:t>). The bootstrap method has the drawback of increasing the computational cost, increasing the time of a single prediction by the stacked ensemble from ~0.5 seconds to ~4 minutes using a laptop</w:t>
      </w:r>
      <w:r w:rsidR="0003350D" w:rsidRPr="00E121E9">
        <w:rPr>
          <w:bCs/>
        </w:rPr>
        <w:t xml:space="preserve"> </w:t>
      </w:r>
      <w:r w:rsidR="00D00429" w:rsidRPr="00E121E9">
        <w:rPr>
          <w:bCs/>
        </w:rPr>
        <w:t>computer</w:t>
      </w:r>
      <w:r w:rsidRPr="00E121E9">
        <w:rPr>
          <w:bCs/>
        </w:rPr>
        <w:t>, and 500 bootstrap samples. While this is excessive for practical use, there are extensive possibilities for reducing the computational time by simplifying the model (e.g. decreasing the number of trees in the random forest), stricter feature selection, streamlining the software code for efficiency, improved use of computational hardware (e.g. GPUs), and decreasing the desired p-value resolution (reducing the number of bootstrap resamples)</w:t>
      </w:r>
      <w:r w:rsidRPr="00E121E9">
        <w:t>. However, the latter comes at the cost of a reduced p-value test-retest reliability due to random variation in the bootstrapped surrogates. Now that the performance benefits of the machine learning methods have been noted, further work on improving computational efficiency is justified and called for.</w:t>
      </w:r>
    </w:p>
    <w:p w14:paraId="393D49AA" w14:textId="77777777" w:rsidR="00F97FCE" w:rsidRPr="00E121E9" w:rsidRDefault="00F97FCE">
      <w:pPr>
        <w:spacing w:line="480" w:lineRule="auto"/>
      </w:pPr>
    </w:p>
    <w:p w14:paraId="7F3FDA9E" w14:textId="77777777" w:rsidR="00F97FCE" w:rsidRPr="00E121E9" w:rsidRDefault="00534ED7">
      <w:pPr>
        <w:spacing w:line="480" w:lineRule="auto"/>
        <w:rPr>
          <w:bCs/>
          <w:i/>
        </w:rPr>
      </w:pPr>
      <w:r w:rsidRPr="00E121E9">
        <w:rPr>
          <w:bCs/>
          <w:i/>
        </w:rPr>
        <w:t>Specificity analysis</w:t>
      </w:r>
    </w:p>
    <w:p w14:paraId="4FB2D3C3" w14:textId="45789DCD" w:rsidR="00F97FCE" w:rsidRPr="00E121E9" w:rsidRDefault="00534ED7">
      <w:pPr>
        <w:spacing w:line="480" w:lineRule="auto"/>
        <w:rPr>
          <w:bCs/>
          <w:iCs/>
        </w:rPr>
      </w:pPr>
      <w:r w:rsidRPr="00E121E9">
        <w:rPr>
          <w:bCs/>
          <w:iCs/>
        </w:rPr>
        <w:t xml:space="preserve">The only detection methods to maintain a specificity within the 95% confidence interval of the expected binomial distribution consistently (across ≥8/10 ensemble sizes) were </w:t>
      </w:r>
      <w:r w:rsidRPr="00E121E9">
        <w:rPr>
          <w:bCs/>
          <w:iCs/>
        </w:rPr>
        <w:lastRenderedPageBreak/>
        <w:t>Hotelling’s T</w:t>
      </w:r>
      <w:r w:rsidRPr="00E121E9">
        <w:rPr>
          <w:bCs/>
          <w:iCs/>
          <w:vertAlign w:val="superscript"/>
        </w:rPr>
        <w:t>2</w:t>
      </w:r>
      <w:r w:rsidRPr="00E121E9">
        <w:rPr>
          <w:bCs/>
          <w:iCs/>
        </w:rPr>
        <w:t xml:space="preserve"> test and the stacked ensemble (bootstrapped). The Fmp and Fsp were found to have significantly lower false positive rates than that expected when assuming a theoretical F-distribution with 5 </w:t>
      </w:r>
      <w:r w:rsidR="00EC2FAF" w:rsidRPr="00E121E9">
        <w:rPr>
          <w:bCs/>
          <w:iCs/>
        </w:rPr>
        <w:t>df</w:t>
      </w:r>
      <w:r w:rsidRPr="00E121E9">
        <w:rPr>
          <w:bCs/>
          <w:iCs/>
        </w:rPr>
        <w:t xml:space="preserve">. This finding is in agreement with previous work </w:t>
      </w:r>
      <w:r w:rsidRPr="00E121E9">
        <w:rPr>
          <w:bCs/>
          <w:iCs/>
        </w:rPr>
        <w:fldChar w:fldCharType="begin" w:fldLock="1"/>
      </w:r>
      <w:r w:rsidRPr="00E121E9">
        <w:rPr>
          <w:bCs/>
          <w:iCs/>
        </w:rPr>
        <w:instrText>ADDIN CSL_CITATION {"citationItems":[{"id":"ITEM-1","itemData":{"DOI":"10.1080/14992027.2018.1447697","ISSN":"17088186","PMID":"29537327","abstract":"Objective: To evaluate and compare the specificity, sensitivity and detection time of various time-domain and multi-band frequency domain methods when detecting the auditory brainstem response (ABR). Design: Simulations and subject recorded data were used to assess and compare the performance of the Hotelling’s T2 test (applied in either time or frequency domain), two versions of the modified q-sample uniform scores test and both the Fsp and Fmp, which were evaluated using both conventional F-distributions with assumed degrees of freedom and a bootstrap approach. Study sample: Data consisted of click-evoked ABRs and recordings of EEG background activity from 12 to 17 normal hearing adults, respectively. Results: An overall advantage in sensitivity and detection time was demonstrated for the Hotelling’s T2 test. The false-positive rates (FPRs) of the Fsp and Fmp were also closer to the nominal alpha-level when evaluating statistical significance using the bootstrap approach, as opposed to using conventional F-distributions. The FPRs of the remaining methods were slightly higher than expected. Conclusions: In this work, Hotelling’s T2 outperformed the alternative methods for automatically detecting ABRs. Its promise as a sensitive and efficient detection method should now be tested in a larger clinical study.","author":[{"dropping-particle":"","family":"Chesnaye","given":"M. A.","non-dropping-particle":"","parse-names":false,"suffix":""},{"dropping-particle":"","family":"Bell","given":"S. L.","non-dropping-particle":"","parse-names":false,"suffix":""},{"dropping-particle":"","family":"Harte","given":"J. M.","non-dropping-particle":"","parse-names":false,"suffix":""},{"dropping-particle":"","family":"Simpson","given":"D. M.","non-dropping-particle":"","parse-names":false,"suffix":""}],"container-title":"International Journal of Audiology","id":"ITEM-1","issue":"6","issued":{"date-parts":[["2018","6","3"]]},"page":"468-478","publisher":"Taylor and Francis Ltd","title":"Objective measures for detecting the auditory brainstem response: comparisons of specificity, sensitivity and detection time","type":"article","volume":"57"},"uris":["http://www.mendeley.com/documents/?uuid=795663c5-b428-3a32-9e9f-20e9fb07eef0"]}],"mendeley":{"formattedCitation":"(Chesnaye et al., 2018)","plainTextFormattedCitation":"(Chesnaye et al., 2018)","previouslyFormattedCitation":"(Chesnaye et al., 2018)"},"properties":{"noteIndex":0},"schema":"https://github.com/citation-style-language/schema/raw/master/csl-citation.json"}</w:instrText>
      </w:r>
      <w:r w:rsidRPr="00E121E9">
        <w:rPr>
          <w:bCs/>
          <w:iCs/>
        </w:rPr>
        <w:fldChar w:fldCharType="separate"/>
      </w:r>
      <w:r w:rsidRPr="00E121E9">
        <w:rPr>
          <w:bCs/>
          <w:iCs/>
        </w:rPr>
        <w:t>(Chesnaye et al., 2018)</w:t>
      </w:r>
      <w:r w:rsidRPr="00E121E9">
        <w:rPr>
          <w:bCs/>
          <w:iCs/>
        </w:rPr>
        <w:fldChar w:fldCharType="end"/>
      </w:r>
      <w:r w:rsidRPr="00E121E9">
        <w:rPr>
          <w:bCs/>
          <w:iCs/>
        </w:rPr>
        <w:t xml:space="preserve">, and </w:t>
      </w:r>
      <w:r w:rsidRPr="00E121E9">
        <w:rPr>
          <w:bCs/>
          <w:iCs/>
          <w:lang w:val="en-GB"/>
        </w:rPr>
        <w:t xml:space="preserve">is primarily </w:t>
      </w:r>
      <w:r w:rsidRPr="00E121E9">
        <w:rPr>
          <w:bCs/>
          <w:iCs/>
        </w:rPr>
        <w:t xml:space="preserve">a result of the conservative 5 </w:t>
      </w:r>
      <w:r w:rsidR="00EC2FAF" w:rsidRPr="00E121E9">
        <w:rPr>
          <w:bCs/>
          <w:iCs/>
        </w:rPr>
        <w:t>df</w:t>
      </w:r>
      <w:r w:rsidRPr="00E121E9">
        <w:rPr>
          <w:bCs/>
          <w:iCs/>
        </w:rPr>
        <w:t xml:space="preserve"> of the numerator applied to these test statistics </w:t>
      </w:r>
      <w:r w:rsidRPr="00E121E9">
        <w:rPr>
          <w:bCs/>
          <w:iCs/>
        </w:rPr>
        <w:fldChar w:fldCharType="begin" w:fldLock="1"/>
      </w:r>
      <w:r w:rsidRPr="00E121E9">
        <w:rPr>
          <w:bCs/>
          <w:iCs/>
        </w:rPr>
        <w:instrText>ADDIN CSL_CITATION {"citationItems":[{"id":"ITEM-1","itemData":{"ISSN":"0105-0397","PMID":"6494805","abstract":"In its clinical use, the auditory brainstem responses, ABR, are recovered from the background noise by averaging a number of post-stimulus time epochs, sweeps. Normally, the test protocol prescribes a fixed number of sweeps to be employed and recording of replications is frequently recommended, too. Since both the ABR and the background noise differ in magnitude among patients and test sessions, such a test protocol can never ensure a given minimum \"quality\" or signal-to-noise ratio, SNR, of the averaged ABR. In an attempt to solve this problem, a method is proposed to evaluate, in statistical terms, the \"quality\" or SNR of the averaged recording. This is done by calculating the ratio between the estimated magnitude of the ABR and that of the averaged background noise. The method can be employed \"on-line\" in an adaptive strategy to estimate the number of sweeps necessary to obtain a given minimum \"quality\" of the averaged ABR. It can be used in suprathreshold recordings as well as in automatic \"threshold\" detection and it is a practical tool to analyze and improve the cost-benefit of the ABR test.","author":[{"dropping-particle":"","family":"Elberling","given":"C","non-dropping-particle":"","parse-names":false,"suffix":""},{"dropping-particle":"","family":"Don","given":"M","non-dropping-particle":"","parse-names":false,"suffix":""}],"container-title":"Scandinavian audiology","id":"ITEM-1","issue":"3","issued":{"date-parts":[["1984"]]},"page":"187-97","title":"Quality estimation of averaged auditory brainstem responses.","type":"article-journal","volume":"13"},"uris":["http://www.mendeley.com/documents/?uuid=35d1fe5a-3597-31e8-aff5-3630b21fee7c"]}],"mendeley":{"formattedCitation":"(Elberling &amp; Don, 1984)","plainTextFormattedCitation":"(Elberling &amp; Don, 1984)","previouslyFormattedCitation":"(Elberling &amp; Don, 1984)"},"properties":{"noteIndex":0},"schema":"https://github.com/citation-style-language/schema/raw/master/csl-citation.json"}</w:instrText>
      </w:r>
      <w:r w:rsidRPr="00E121E9">
        <w:rPr>
          <w:bCs/>
          <w:iCs/>
        </w:rPr>
        <w:fldChar w:fldCharType="separate"/>
      </w:r>
      <w:r w:rsidRPr="00E121E9">
        <w:rPr>
          <w:bCs/>
          <w:iCs/>
        </w:rPr>
        <w:t>(Elberling &amp; Don, 1984)</w:t>
      </w:r>
      <w:r w:rsidRPr="00E121E9">
        <w:rPr>
          <w:bCs/>
          <w:iCs/>
        </w:rPr>
        <w:fldChar w:fldCharType="end"/>
      </w:r>
      <w:r w:rsidRPr="00E121E9">
        <w:rPr>
          <w:bCs/>
          <w:iCs/>
        </w:rPr>
        <w:t xml:space="preserve">. Increasing the value for the degrees of freedom of the numerator would decrease the level of specificity, increasing the level of sensitivity. However, accurately estimating the degrees of freedom of the numerator from individual EEG recordings is challenging. By choosing a conservative 5 </w:t>
      </w:r>
      <w:r w:rsidR="00EC55A4" w:rsidRPr="00E121E9">
        <w:rPr>
          <w:bCs/>
          <w:iCs/>
        </w:rPr>
        <w:t>df</w:t>
      </w:r>
      <w:r w:rsidRPr="00E121E9">
        <w:rPr>
          <w:bCs/>
          <w:iCs/>
        </w:rPr>
        <w:t xml:space="preserve"> for the numerator, we help ensure that the false positive rate will not be higher than expected across all data, at the expense of an excessively low false positive rate for some data. Note that the limitations of theoretical distributions may be overcome with bootstrapping to correct false positive rates</w:t>
      </w:r>
      <w:r w:rsidR="00EC55A4" w:rsidRPr="00E121E9">
        <w:rPr>
          <w:bCs/>
          <w:iCs/>
        </w:rPr>
        <w:t>.</w:t>
      </w:r>
    </w:p>
    <w:p w14:paraId="1A72BD21" w14:textId="77777777" w:rsidR="00F97FCE" w:rsidRPr="00E121E9" w:rsidRDefault="00F97FCE">
      <w:pPr>
        <w:spacing w:line="480" w:lineRule="auto"/>
        <w:rPr>
          <w:bCs/>
          <w:iCs/>
        </w:rPr>
      </w:pPr>
    </w:p>
    <w:p w14:paraId="3ECE53EF" w14:textId="77777777" w:rsidR="00F97FCE" w:rsidRPr="00E121E9" w:rsidRDefault="00534ED7">
      <w:pPr>
        <w:spacing w:line="480" w:lineRule="auto"/>
        <w:rPr>
          <w:bCs/>
          <w:iCs/>
        </w:rPr>
      </w:pPr>
      <w:r w:rsidRPr="00E121E9">
        <w:rPr>
          <w:bCs/>
          <w:iCs/>
        </w:rPr>
        <w:t>The modified q-sample uniform scores test and stacked ensemble (without bootstrapping) methods achieved specificities significantly below that which was expected from a binomial distribution. The critical values for these two methods were set using a separate pool of no-stimulus EEG data (the threshold set). Given the relatively small pool of data from which the simulated data were generated, it may be that the distribution of these output statistics in the threshold set was not reflective of that in the test set. Note, bootstrapping the stacked ensemble model output lead to a much more stable specificity across ensemble sizes.</w:t>
      </w:r>
    </w:p>
    <w:p w14:paraId="0C76D377" w14:textId="77777777" w:rsidR="00F97FCE" w:rsidRPr="00E121E9" w:rsidRDefault="00F97FCE">
      <w:pPr>
        <w:spacing w:line="480" w:lineRule="auto"/>
        <w:rPr>
          <w:bCs/>
          <w:iCs/>
        </w:rPr>
      </w:pPr>
    </w:p>
    <w:p w14:paraId="459B3553" w14:textId="77777777" w:rsidR="00F97FCE" w:rsidRPr="00E121E9" w:rsidRDefault="00534ED7">
      <w:pPr>
        <w:spacing w:line="480" w:lineRule="auto"/>
        <w:rPr>
          <w:bCs/>
          <w:iCs/>
        </w:rPr>
      </w:pPr>
      <w:r w:rsidRPr="00E121E9">
        <w:rPr>
          <w:bCs/>
          <w:iCs/>
        </w:rPr>
        <w:t xml:space="preserve">The lower than expected specificity observed for the q-sample uniform scores test was hypothesized to arise as a result of the zero-padding used (which was found to improve ROC AUC performance during optimization), violating the assumption of the test that the spectral bands are independent. Reanalysis without the use of zero-padding confirmed this to be the case, with specificities now largely falling within or just above the 95% confidence interval of </w:t>
      </w:r>
      <w:r w:rsidRPr="00E121E9">
        <w:rPr>
          <w:bCs/>
          <w:iCs/>
        </w:rPr>
        <w:lastRenderedPageBreak/>
        <w:t>the expected binomial distribution (</w:t>
      </w:r>
      <w:r w:rsidRPr="00E121E9">
        <w:rPr>
          <w:b/>
          <w:iCs/>
        </w:rPr>
        <w:t>Table 1</w:t>
      </w:r>
      <w:r w:rsidRPr="00E121E9">
        <w:rPr>
          <w:bCs/>
          <w:iCs/>
        </w:rPr>
        <w:t>). Note that removal of zero padding decreased the sensitivity of the test when adapting the critical value for a fixed type I error rate of 0.01.</w:t>
      </w:r>
    </w:p>
    <w:p w14:paraId="6E599AB9" w14:textId="77777777" w:rsidR="00F97FCE" w:rsidRPr="00E121E9" w:rsidRDefault="00F97FCE">
      <w:pPr>
        <w:spacing w:line="480" w:lineRule="auto"/>
        <w:rPr>
          <w:bCs/>
          <w:i/>
        </w:rPr>
      </w:pPr>
    </w:p>
    <w:p w14:paraId="7E91A8C9" w14:textId="77777777" w:rsidR="00F97FCE" w:rsidRPr="00E121E9" w:rsidRDefault="00534ED7">
      <w:pPr>
        <w:spacing w:line="480" w:lineRule="auto"/>
        <w:rPr>
          <w:bCs/>
          <w:i/>
        </w:rPr>
      </w:pPr>
      <w:r w:rsidRPr="00E121E9">
        <w:rPr>
          <w:bCs/>
          <w:i/>
        </w:rPr>
        <w:t>Limitations</w:t>
      </w:r>
    </w:p>
    <w:p w14:paraId="35051158" w14:textId="0B3DDE9F" w:rsidR="00F97FCE" w:rsidRPr="00E121E9" w:rsidRDefault="00534ED7">
      <w:pPr>
        <w:spacing w:line="480" w:lineRule="auto"/>
      </w:pPr>
      <w:r w:rsidRPr="00E121E9">
        <w:t xml:space="preserve">Whilst consideration has been applied to simulating the data as realistically as possible, the original subject recorded data on which the simulations were based is comprised of a relatively small sample of normal-hearing participants and hence findings should be treated with some caution. This is important when considering how well the presented model will generalize to unseen data in the clinical context. The presented work </w:t>
      </w:r>
      <w:r w:rsidR="007B0A26" w:rsidRPr="00E121E9">
        <w:t xml:space="preserve">should be </w:t>
      </w:r>
      <w:r w:rsidRPr="00E121E9">
        <w:t xml:space="preserve">regarded as a proof of concept, the results of which may be used to inform subsequent studies. Any model implemented for clinical application will need to be trained and evaluated on a large body of recorded ABR and no-stimulus data in order to help avoid overfitting of the model to a small pool of data which can lead to poor model generalization. Bootstrapping and/or simulation may be useful tools in broadening the exposure of a model during training to improve its performance when exposed to the heterogeneity of real-life clinical data. It will be important for training data to reflect the recording equipment settings and the populations for which it will be used, with data both from individuals with normal hearing and from individuals with varying degrees of hearing loss. For example there are known spectral, latency and morphological differences in the ABR between neonates and adults </w:t>
      </w:r>
      <w:r w:rsidRPr="00E121E9">
        <w:fldChar w:fldCharType="begin" w:fldLock="1"/>
      </w:r>
      <w:r w:rsidRPr="00E121E9">
        <w:instrText>ADDIN CSL_CITATION {"citationItems":[{"id":"ITEM-1","itemData":{"DOI":"10.3109/00206099309072934","ISSN":"14992027","PMID":"8489479","abstract":"Auditory brainstem responses (ABRs) were recorded from 20 normal neonates and 10 normal-hearing adults. The spectral compositions of ABRs from both groups were compared. Results indicated that significant amounts of low-frequency information are concentrated below 150 Hz in both the neonate and the adult ABRs although the neonate ABR has a slightly greater percentage of low-frequency information than that of the adults. This has implications for filtering during ABR recording. A low high-pass setting which preserves more of the low-frequency information will allow enhanced detectability of wave V in neonate ABRs recorded at low stimulus intensities. Furthermore, our experience indicates that the use of a 30- to 3000-Hz bandpass is feasible in the neonatal intensive care unit as well as in the regular newborn nursery. Therefore the use of a 30- to 3 000-Hz bandpass is recommended for neonate ABR recordings. © 1993 Informa UK Ltd All rights reserved: reproduction in whole or part not permitted.","author":[{"dropping-particle":"","family":"Spivak","given":"Lynn G.","non-dropping-particle":"","parse-names":false,"suffix":""}],"container-title":"International Journal of Audiology","id":"ITEM-1","issue":"3","issued":{"date-parts":[["1993"]]},"page":"185-194","publisher":"Informa Healthcare","title":"Spectral composition of infant auditory brainstem responses: Implications for filtering","type":"article-journal","volume":"32"},"uris":["http://www.mendeley.com/documents/?uuid=ccc66963-c41a-3903-a7e9-67745c6a25e6"]}],"mendeley":{"formattedCitation":"(Spivak, 1993)","plainTextFormattedCitation":"(Spivak, 1993)","previouslyFormattedCitation":"(Spivak, 1993)"},"properties":{"noteIndex":0},"schema":"https://github.com/citation-style-language/schema/raw/master/csl-citation.json"}</w:instrText>
      </w:r>
      <w:r w:rsidRPr="00E121E9">
        <w:fldChar w:fldCharType="separate"/>
      </w:r>
      <w:r w:rsidRPr="00E121E9">
        <w:t>(Spivak, 1993)</w:t>
      </w:r>
      <w:r w:rsidRPr="00E121E9">
        <w:fldChar w:fldCharType="end"/>
      </w:r>
      <w:r w:rsidRPr="00E121E9">
        <w:t xml:space="preserve">. Optimization of hyperparameters should also be performed using the targeted dataset as optimal hyperparameters may vary by target population. </w:t>
      </w:r>
    </w:p>
    <w:p w14:paraId="1E772D38" w14:textId="77777777" w:rsidR="00F97FCE" w:rsidRPr="00E121E9" w:rsidRDefault="00F97FCE">
      <w:pPr>
        <w:spacing w:line="480" w:lineRule="auto"/>
      </w:pPr>
    </w:p>
    <w:p w14:paraId="5D0E856C" w14:textId="77777777" w:rsidR="00F97FCE" w:rsidRPr="00E121E9" w:rsidRDefault="00534ED7">
      <w:pPr>
        <w:spacing w:line="480" w:lineRule="auto"/>
        <w:rPr>
          <w:b/>
        </w:rPr>
      </w:pPr>
      <w:r w:rsidRPr="00E121E9">
        <w:rPr>
          <w:b/>
        </w:rPr>
        <w:t>Conclusions</w:t>
      </w:r>
    </w:p>
    <w:p w14:paraId="11217666" w14:textId="0CF7D048" w:rsidR="00F97FCE" w:rsidRPr="00E121E9" w:rsidRDefault="00534ED7">
      <w:pPr>
        <w:spacing w:line="480" w:lineRule="auto"/>
        <w:rPr>
          <w:bCs/>
        </w:rPr>
      </w:pPr>
      <w:r w:rsidRPr="00E121E9">
        <w:rPr>
          <w:bCs/>
        </w:rPr>
        <w:t xml:space="preserve">Various conventional and machine learning methods for detecting the ABR were evaluated using simulated data. In this study simulation </w:t>
      </w:r>
      <w:r w:rsidR="002934E0" w:rsidRPr="00E121E9">
        <w:rPr>
          <w:bCs/>
        </w:rPr>
        <w:t xml:space="preserve">was </w:t>
      </w:r>
      <w:r w:rsidRPr="00E121E9">
        <w:rPr>
          <w:bCs/>
        </w:rPr>
        <w:t xml:space="preserve">used as it provides control of data quality </w:t>
      </w:r>
      <w:r w:rsidRPr="00E121E9">
        <w:rPr>
          <w:bCs/>
        </w:rPr>
        <w:lastRenderedPageBreak/>
        <w:t xml:space="preserve">and error-free knowledge of whether a response is present or not. </w:t>
      </w:r>
      <w:r w:rsidRPr="00E121E9">
        <w:t>The stacked ensemble model was more sensitive than conventional statistical detection methods and was overall more effective than the alternative machine learning approaches investigated.</w:t>
      </w:r>
      <w:r w:rsidRPr="00E121E9">
        <w:rPr>
          <w:bCs/>
        </w:rPr>
        <w:t xml:space="preserve"> By bootstrapping the output of detection methods, a consistent specificity across ensemble sizes was obtained without the need to define a predetermined detection threshold. In future research, training and evaluating the proposed model on a large body of real data will be necessary to determine how well the presented findings may generalize to a clinical setting.</w:t>
      </w:r>
    </w:p>
    <w:p w14:paraId="4BC7EBB0" w14:textId="77777777" w:rsidR="00F97FCE" w:rsidRPr="00E121E9" w:rsidRDefault="00F97FCE">
      <w:pPr>
        <w:spacing w:line="480" w:lineRule="auto"/>
      </w:pPr>
    </w:p>
    <w:p w14:paraId="4FA9A776" w14:textId="77777777" w:rsidR="00F97FCE" w:rsidRPr="00E121E9" w:rsidRDefault="00F97FCE">
      <w:pPr>
        <w:spacing w:line="480" w:lineRule="auto"/>
        <w:rPr>
          <w:b/>
        </w:rPr>
      </w:pPr>
    </w:p>
    <w:p w14:paraId="3A8A429E" w14:textId="77777777" w:rsidR="00F97FCE" w:rsidRPr="00E121E9" w:rsidRDefault="00534ED7">
      <w:pPr>
        <w:spacing w:line="480" w:lineRule="auto"/>
        <w:rPr>
          <w:b/>
        </w:rPr>
      </w:pPr>
      <w:r w:rsidRPr="00E121E9">
        <w:rPr>
          <w:b/>
        </w:rPr>
        <w:t>Acknowledgements</w:t>
      </w:r>
    </w:p>
    <w:p w14:paraId="652A7EB0" w14:textId="77777777" w:rsidR="00F97FCE" w:rsidRPr="00E121E9" w:rsidRDefault="00534ED7">
      <w:pPr>
        <w:spacing w:line="480" w:lineRule="auto"/>
      </w:pPr>
      <w:r w:rsidRPr="00E121E9">
        <w:t xml:space="preserve">The authors are thankful to Debbie Cane for collecting the ABR data and to Sara M.K. Madsen and James M. Harte for allowing use of the no-stimulus EEG data. The authors gratefully acknowledge the use of the IRIDIS High Performance Computing Facility, and associated support services at the University of Southampton. </w:t>
      </w:r>
      <w:r w:rsidRPr="00E121E9">
        <w:rPr>
          <w:b/>
        </w:rPr>
        <w:br w:type="page"/>
      </w:r>
    </w:p>
    <w:p w14:paraId="2A4B173B" w14:textId="77777777" w:rsidR="00F97FCE" w:rsidRPr="00E121E9" w:rsidRDefault="00534ED7">
      <w:pPr>
        <w:spacing w:line="480" w:lineRule="auto"/>
        <w:rPr>
          <w:b/>
        </w:rPr>
      </w:pPr>
      <w:r w:rsidRPr="00E121E9">
        <w:rPr>
          <w:b/>
        </w:rPr>
        <w:lastRenderedPageBreak/>
        <w:t>References</w:t>
      </w:r>
    </w:p>
    <w:p w14:paraId="1DC6FE7D" w14:textId="77777777" w:rsidR="00F97FCE" w:rsidRPr="00E121E9" w:rsidRDefault="00534ED7">
      <w:pPr>
        <w:widowControl w:val="0"/>
        <w:autoSpaceDE w:val="0"/>
        <w:autoSpaceDN w:val="0"/>
        <w:adjustRightInd w:val="0"/>
        <w:spacing w:line="480" w:lineRule="auto"/>
        <w:ind w:left="480" w:hanging="480"/>
      </w:pPr>
      <w:proofErr w:type="spellStart"/>
      <w:r w:rsidRPr="00E121E9">
        <w:t>Acır</w:t>
      </w:r>
      <w:proofErr w:type="spellEnd"/>
      <w:r w:rsidRPr="00E121E9">
        <w:t xml:space="preserve">, N., </w:t>
      </w:r>
      <w:proofErr w:type="spellStart"/>
      <w:r w:rsidRPr="00E121E9">
        <w:t>Özdamar</w:t>
      </w:r>
      <w:proofErr w:type="spellEnd"/>
      <w:r w:rsidRPr="00E121E9">
        <w:t xml:space="preserve">, Ö., &amp; </w:t>
      </w:r>
      <w:proofErr w:type="spellStart"/>
      <w:r w:rsidRPr="00E121E9">
        <w:t>Güzeliş</w:t>
      </w:r>
      <w:proofErr w:type="spellEnd"/>
      <w:r w:rsidRPr="00E121E9">
        <w:t xml:space="preserve">, C. (2006). Automatic classification of auditory brainstem responses using SVM-based feature selection algorithm for threshold detection. </w:t>
      </w:r>
      <w:r w:rsidRPr="00E121E9">
        <w:rPr>
          <w:i/>
          <w:iCs/>
        </w:rPr>
        <w:t>Engineering Applications of Artificial Intelligence</w:t>
      </w:r>
      <w:r w:rsidRPr="00E121E9">
        <w:t xml:space="preserve">, </w:t>
      </w:r>
      <w:r w:rsidRPr="00E121E9">
        <w:rPr>
          <w:i/>
          <w:iCs/>
        </w:rPr>
        <w:t>19</w:t>
      </w:r>
      <w:r w:rsidRPr="00E121E9">
        <w:t>(2), 209–218.</w:t>
      </w:r>
    </w:p>
    <w:p w14:paraId="761DC2E5" w14:textId="619A00AA" w:rsidR="00F97FCE" w:rsidRPr="00E121E9" w:rsidRDefault="00534ED7">
      <w:pPr>
        <w:widowControl w:val="0"/>
        <w:autoSpaceDE w:val="0"/>
        <w:autoSpaceDN w:val="0"/>
        <w:adjustRightInd w:val="0"/>
        <w:spacing w:line="480" w:lineRule="auto"/>
        <w:ind w:left="480" w:hanging="480"/>
      </w:pPr>
      <w:proofErr w:type="spellStart"/>
      <w:r w:rsidRPr="00E121E9">
        <w:t>Alpsan</w:t>
      </w:r>
      <w:proofErr w:type="spellEnd"/>
      <w:r w:rsidRPr="00E121E9">
        <w:t xml:space="preserve">, D. (1991). Classification </w:t>
      </w:r>
      <w:r w:rsidR="005B28E1" w:rsidRPr="00E121E9">
        <w:t>o</w:t>
      </w:r>
      <w:r w:rsidRPr="00E121E9">
        <w:t xml:space="preserve">f </w:t>
      </w:r>
      <w:r w:rsidR="005B28E1" w:rsidRPr="00E121E9">
        <w:t>a</w:t>
      </w:r>
      <w:r w:rsidRPr="00E121E9">
        <w:t xml:space="preserve">uditory </w:t>
      </w:r>
      <w:r w:rsidR="005B28E1" w:rsidRPr="00E121E9">
        <w:t>b</w:t>
      </w:r>
      <w:r w:rsidRPr="00E121E9">
        <w:t xml:space="preserve">rainstem </w:t>
      </w:r>
      <w:r w:rsidR="005B28E1" w:rsidRPr="00E121E9">
        <w:t>r</w:t>
      </w:r>
      <w:r w:rsidRPr="00E121E9">
        <w:t xml:space="preserve">esponses </w:t>
      </w:r>
      <w:r w:rsidR="005B28E1" w:rsidRPr="00E121E9">
        <w:t>b</w:t>
      </w:r>
      <w:r w:rsidRPr="00E121E9">
        <w:t xml:space="preserve">y </w:t>
      </w:r>
      <w:r w:rsidR="005B28E1" w:rsidRPr="00E121E9">
        <w:t>h</w:t>
      </w:r>
      <w:r w:rsidRPr="00E121E9">
        <w:t xml:space="preserve">uman </w:t>
      </w:r>
      <w:r w:rsidR="005B28E1" w:rsidRPr="00E121E9">
        <w:t>e</w:t>
      </w:r>
      <w:r w:rsidRPr="00E121E9">
        <w:t xml:space="preserve">xperts </w:t>
      </w:r>
      <w:r w:rsidR="005B28E1" w:rsidRPr="00E121E9">
        <w:t>a</w:t>
      </w:r>
      <w:r w:rsidRPr="00E121E9">
        <w:t xml:space="preserve">nd </w:t>
      </w:r>
      <w:r w:rsidR="005B28E1" w:rsidRPr="00E121E9">
        <w:t>b</w:t>
      </w:r>
      <w:r w:rsidRPr="00E121E9">
        <w:t xml:space="preserve">ackpropagation </w:t>
      </w:r>
      <w:r w:rsidR="005B28E1" w:rsidRPr="00E121E9">
        <w:t>n</w:t>
      </w:r>
      <w:r w:rsidRPr="00E121E9">
        <w:t xml:space="preserve">eural </w:t>
      </w:r>
      <w:r w:rsidR="005B28E1" w:rsidRPr="00E121E9">
        <w:t>n</w:t>
      </w:r>
      <w:r w:rsidRPr="00E121E9">
        <w:t xml:space="preserve">etworks. </w:t>
      </w:r>
      <w:r w:rsidRPr="00E121E9">
        <w:rPr>
          <w:i/>
          <w:iCs/>
        </w:rPr>
        <w:t>Proceedings of the Annual International Conference of the IEEE Engineering in Medicine and Biology Society Volume 13: 1991</w:t>
      </w:r>
      <w:r w:rsidRPr="00E121E9">
        <w:t>, 1425–1426.</w:t>
      </w:r>
    </w:p>
    <w:p w14:paraId="296C676C" w14:textId="1EE6CB6A" w:rsidR="00343C1B" w:rsidRPr="00E121E9" w:rsidRDefault="00534ED7" w:rsidP="00343C1B">
      <w:pPr>
        <w:widowControl w:val="0"/>
        <w:autoSpaceDE w:val="0"/>
        <w:autoSpaceDN w:val="0"/>
        <w:adjustRightInd w:val="0"/>
        <w:spacing w:line="480" w:lineRule="auto"/>
        <w:ind w:left="480" w:hanging="480"/>
      </w:pPr>
      <w:proofErr w:type="spellStart"/>
      <w:r w:rsidRPr="00E121E9">
        <w:t>Benjamini</w:t>
      </w:r>
      <w:proofErr w:type="spellEnd"/>
      <w:r w:rsidRPr="00E121E9">
        <w:t xml:space="preserve">, Y., &amp; Hochberg, Y. (1995). Controlling the </w:t>
      </w:r>
      <w:r w:rsidR="00343C1B" w:rsidRPr="00E121E9">
        <w:t>f</w:t>
      </w:r>
      <w:r w:rsidRPr="00E121E9">
        <w:t xml:space="preserve">alse </w:t>
      </w:r>
      <w:r w:rsidR="00343C1B" w:rsidRPr="00E121E9">
        <w:t>d</w:t>
      </w:r>
      <w:r w:rsidRPr="00E121E9">
        <w:t xml:space="preserve">iscovery </w:t>
      </w:r>
      <w:r w:rsidR="00343C1B" w:rsidRPr="00E121E9">
        <w:t>r</w:t>
      </w:r>
      <w:r w:rsidRPr="00E121E9">
        <w:t xml:space="preserve">ate: </w:t>
      </w:r>
      <w:r w:rsidR="00343C1B" w:rsidRPr="00E121E9">
        <w:t>a</w:t>
      </w:r>
      <w:r w:rsidRPr="00E121E9">
        <w:t xml:space="preserve"> </w:t>
      </w:r>
      <w:r w:rsidR="00343C1B" w:rsidRPr="00E121E9">
        <w:t>p</w:t>
      </w:r>
      <w:r w:rsidRPr="00E121E9">
        <w:t xml:space="preserve">ractical and </w:t>
      </w:r>
      <w:r w:rsidR="00343C1B" w:rsidRPr="00E121E9">
        <w:t>p</w:t>
      </w:r>
      <w:r w:rsidRPr="00E121E9">
        <w:t xml:space="preserve">owerful </w:t>
      </w:r>
      <w:r w:rsidR="00343C1B" w:rsidRPr="00E121E9">
        <w:t>a</w:t>
      </w:r>
      <w:r w:rsidRPr="00E121E9">
        <w:t xml:space="preserve">pproach to </w:t>
      </w:r>
      <w:r w:rsidR="00343C1B" w:rsidRPr="00E121E9">
        <w:t>m</w:t>
      </w:r>
      <w:r w:rsidRPr="00E121E9">
        <w:t xml:space="preserve">ultiple </w:t>
      </w:r>
      <w:r w:rsidR="00343C1B" w:rsidRPr="00E121E9">
        <w:t>t</w:t>
      </w:r>
      <w:r w:rsidRPr="00E121E9">
        <w:t xml:space="preserve">esting. </w:t>
      </w:r>
      <w:r w:rsidRPr="00E121E9">
        <w:rPr>
          <w:i/>
          <w:iCs/>
        </w:rPr>
        <w:t>Journal of the Royal Statistical Society. Series B (Methodological)</w:t>
      </w:r>
      <w:r w:rsidR="00343C1B" w:rsidRPr="00E121E9">
        <w:t>,</w:t>
      </w:r>
      <w:r w:rsidRPr="00E121E9">
        <w:t xml:space="preserve"> </w:t>
      </w:r>
      <w:r w:rsidRPr="00E121E9">
        <w:rPr>
          <w:i/>
          <w:iCs/>
        </w:rPr>
        <w:t>57</w:t>
      </w:r>
      <w:r w:rsidR="00343C1B" w:rsidRPr="00E121E9">
        <w:t xml:space="preserve">(1), </w:t>
      </w:r>
      <w:r w:rsidRPr="00E121E9">
        <w:t>289–300.</w:t>
      </w:r>
    </w:p>
    <w:p w14:paraId="737F83BB" w14:textId="77777777" w:rsidR="00F97FCE" w:rsidRPr="00E121E9" w:rsidRDefault="00534ED7">
      <w:pPr>
        <w:widowControl w:val="0"/>
        <w:autoSpaceDE w:val="0"/>
        <w:autoSpaceDN w:val="0"/>
        <w:adjustRightInd w:val="0"/>
        <w:spacing w:line="480" w:lineRule="auto"/>
        <w:ind w:left="480" w:hanging="480"/>
      </w:pPr>
      <w:proofErr w:type="spellStart"/>
      <w:r w:rsidRPr="00E121E9">
        <w:t>Bergstra</w:t>
      </w:r>
      <w:proofErr w:type="spellEnd"/>
      <w:r w:rsidRPr="00E121E9">
        <w:t xml:space="preserve">, J., &amp; </w:t>
      </w:r>
      <w:proofErr w:type="spellStart"/>
      <w:r w:rsidRPr="00E121E9">
        <w:t>Bengio</w:t>
      </w:r>
      <w:proofErr w:type="spellEnd"/>
      <w:r w:rsidRPr="00E121E9">
        <w:t xml:space="preserve">, Y. (2012). Random Search for Hyper-Parameter Optimization. </w:t>
      </w:r>
      <w:r w:rsidRPr="00E121E9">
        <w:rPr>
          <w:i/>
          <w:iCs/>
        </w:rPr>
        <w:t>Journal of Machine Learning Research</w:t>
      </w:r>
      <w:r w:rsidRPr="00E121E9">
        <w:t xml:space="preserve">, </w:t>
      </w:r>
      <w:r w:rsidRPr="00E121E9">
        <w:rPr>
          <w:i/>
          <w:iCs/>
        </w:rPr>
        <w:t>13</w:t>
      </w:r>
      <w:r w:rsidRPr="00E121E9">
        <w:t>, 281–305.</w:t>
      </w:r>
    </w:p>
    <w:p w14:paraId="7DED91E5" w14:textId="77777777" w:rsidR="00F97FCE" w:rsidRPr="00E121E9" w:rsidRDefault="00534ED7">
      <w:pPr>
        <w:widowControl w:val="0"/>
        <w:autoSpaceDE w:val="0"/>
        <w:autoSpaceDN w:val="0"/>
        <w:adjustRightInd w:val="0"/>
        <w:spacing w:line="480" w:lineRule="auto"/>
        <w:ind w:left="480" w:hanging="480"/>
      </w:pPr>
      <w:r w:rsidRPr="00E121E9">
        <w:t xml:space="preserve">Bradley, A. P., &amp; Wilson, W. J. (2004). On wavelet analysis of auditory evoked potentials. </w:t>
      </w:r>
      <w:r w:rsidRPr="00E121E9">
        <w:rPr>
          <w:i/>
          <w:iCs/>
        </w:rPr>
        <w:t>Clinical Neurophysiology</w:t>
      </w:r>
      <w:r w:rsidRPr="00E121E9">
        <w:t xml:space="preserve">, </w:t>
      </w:r>
      <w:r w:rsidRPr="00E121E9">
        <w:rPr>
          <w:i/>
          <w:iCs/>
        </w:rPr>
        <w:t>115</w:t>
      </w:r>
      <w:r w:rsidRPr="00E121E9">
        <w:t>(5), 1114–1128.</w:t>
      </w:r>
    </w:p>
    <w:p w14:paraId="1E02ECDD" w14:textId="77777777" w:rsidR="00F97FCE" w:rsidRPr="00E121E9" w:rsidRDefault="00534ED7">
      <w:pPr>
        <w:widowControl w:val="0"/>
        <w:autoSpaceDE w:val="0"/>
        <w:autoSpaceDN w:val="0"/>
        <w:adjustRightInd w:val="0"/>
        <w:spacing w:line="480" w:lineRule="auto"/>
        <w:ind w:left="480" w:hanging="480"/>
      </w:pPr>
      <w:proofErr w:type="spellStart"/>
      <w:r w:rsidRPr="00E121E9">
        <w:t>Breiman</w:t>
      </w:r>
      <w:proofErr w:type="spellEnd"/>
      <w:r w:rsidRPr="00E121E9">
        <w:t xml:space="preserve">, L. (1996). Bagging predictors. </w:t>
      </w:r>
      <w:r w:rsidRPr="00E121E9">
        <w:rPr>
          <w:i/>
          <w:iCs/>
        </w:rPr>
        <w:t>Machine Learning</w:t>
      </w:r>
      <w:r w:rsidRPr="00E121E9">
        <w:t xml:space="preserve">, </w:t>
      </w:r>
      <w:r w:rsidRPr="00E121E9">
        <w:rPr>
          <w:i/>
          <w:iCs/>
        </w:rPr>
        <w:t>24</w:t>
      </w:r>
      <w:r w:rsidRPr="00E121E9">
        <w:t>(2), 123–140.</w:t>
      </w:r>
    </w:p>
    <w:p w14:paraId="714598B3" w14:textId="77777777" w:rsidR="00F97FCE" w:rsidRPr="00E121E9" w:rsidRDefault="00534ED7">
      <w:pPr>
        <w:widowControl w:val="0"/>
        <w:autoSpaceDE w:val="0"/>
        <w:autoSpaceDN w:val="0"/>
        <w:adjustRightInd w:val="0"/>
        <w:spacing w:line="480" w:lineRule="auto"/>
        <w:ind w:left="480" w:hanging="480"/>
      </w:pPr>
      <w:r w:rsidRPr="00E121E9">
        <w:t xml:space="preserve">British Society of Audiology. (2019). </w:t>
      </w:r>
      <w:r w:rsidRPr="00E121E9">
        <w:rPr>
          <w:i/>
          <w:iCs/>
        </w:rPr>
        <w:t>Recommended Procedure: Auditory Brainstem Response (ABR) testing in Babies</w:t>
      </w:r>
      <w:r w:rsidRPr="00E121E9">
        <w:t xml:space="preserve"> (Issue February). British Society of Audiology. www.thebsa.org.uk</w:t>
      </w:r>
    </w:p>
    <w:p w14:paraId="15FFF0A2" w14:textId="77777777" w:rsidR="00F97FCE" w:rsidRPr="00E121E9" w:rsidRDefault="00534ED7">
      <w:pPr>
        <w:widowControl w:val="0"/>
        <w:autoSpaceDE w:val="0"/>
        <w:autoSpaceDN w:val="0"/>
        <w:adjustRightInd w:val="0"/>
        <w:spacing w:line="480" w:lineRule="auto"/>
        <w:ind w:left="480" w:hanging="480"/>
      </w:pPr>
      <w:proofErr w:type="spellStart"/>
      <w:r w:rsidRPr="00E121E9">
        <w:t>Cebulla</w:t>
      </w:r>
      <w:proofErr w:type="spellEnd"/>
      <w:r w:rsidRPr="00E121E9">
        <w:t xml:space="preserve">, M., </w:t>
      </w:r>
      <w:proofErr w:type="spellStart"/>
      <w:r w:rsidRPr="00E121E9">
        <w:t>Stürzebecher</w:t>
      </w:r>
      <w:proofErr w:type="spellEnd"/>
      <w:r w:rsidRPr="00E121E9">
        <w:t xml:space="preserve">, E., &amp; </w:t>
      </w:r>
      <w:proofErr w:type="spellStart"/>
      <w:r w:rsidRPr="00E121E9">
        <w:t>Wernecke</w:t>
      </w:r>
      <w:proofErr w:type="spellEnd"/>
      <w:r w:rsidRPr="00E121E9">
        <w:t xml:space="preserve">, K. D. (2000). Objective detection of auditory brainstem potentials: comparison of statistical tests in the time and frequency domains. </w:t>
      </w:r>
      <w:r w:rsidRPr="00E121E9">
        <w:rPr>
          <w:i/>
          <w:iCs/>
        </w:rPr>
        <w:t>Scandinavian Audiology</w:t>
      </w:r>
      <w:r w:rsidRPr="00E121E9">
        <w:t xml:space="preserve">, </w:t>
      </w:r>
      <w:r w:rsidRPr="00E121E9">
        <w:rPr>
          <w:i/>
          <w:iCs/>
        </w:rPr>
        <w:t>29</w:t>
      </w:r>
      <w:r w:rsidRPr="00E121E9">
        <w:t>(1), 44–51.</w:t>
      </w:r>
    </w:p>
    <w:p w14:paraId="16BF3605" w14:textId="77777777" w:rsidR="00F97FCE" w:rsidRPr="00E121E9" w:rsidRDefault="00534ED7">
      <w:pPr>
        <w:widowControl w:val="0"/>
        <w:autoSpaceDE w:val="0"/>
        <w:autoSpaceDN w:val="0"/>
        <w:adjustRightInd w:val="0"/>
        <w:spacing w:line="480" w:lineRule="auto"/>
        <w:ind w:left="480" w:hanging="480"/>
      </w:pPr>
      <w:proofErr w:type="spellStart"/>
      <w:r w:rsidRPr="00E121E9">
        <w:t>Chesnaye</w:t>
      </w:r>
      <w:proofErr w:type="spellEnd"/>
      <w:r w:rsidRPr="00E121E9">
        <w:t xml:space="preserve">, M. A., Bell, S. L., Harte, J. M., &amp; Simpson, D. M. (2018). Objective measures for detecting the auditory brainstem response: comparisons of specificity, sensitivity and detection time. In </w:t>
      </w:r>
      <w:r w:rsidRPr="00E121E9">
        <w:rPr>
          <w:i/>
          <w:iCs/>
        </w:rPr>
        <w:t>International Journal of Audiology</w:t>
      </w:r>
      <w:r w:rsidRPr="00E121E9">
        <w:t xml:space="preserve"> (Vol. 57, Issue 6, pp. 468–478). Taylor and Francis Ltd.</w:t>
      </w:r>
    </w:p>
    <w:p w14:paraId="40881603" w14:textId="18B5FFD3" w:rsidR="00F97FCE" w:rsidRPr="00E121E9" w:rsidRDefault="00534ED7">
      <w:pPr>
        <w:widowControl w:val="0"/>
        <w:autoSpaceDE w:val="0"/>
        <w:autoSpaceDN w:val="0"/>
        <w:adjustRightInd w:val="0"/>
        <w:spacing w:line="480" w:lineRule="auto"/>
        <w:ind w:left="480" w:hanging="480"/>
      </w:pPr>
      <w:proofErr w:type="spellStart"/>
      <w:r w:rsidRPr="00E121E9">
        <w:lastRenderedPageBreak/>
        <w:t>Chesnaye</w:t>
      </w:r>
      <w:proofErr w:type="spellEnd"/>
      <w:r w:rsidRPr="00E121E9">
        <w:t>, M. A., Bell, S. L., Harte, J. M., &amp; Simpson, D. M. (202</w:t>
      </w:r>
      <w:r w:rsidRPr="00E121E9">
        <w:rPr>
          <w:lang w:val="en-GB"/>
        </w:rPr>
        <w:t>1</w:t>
      </w:r>
      <w:r w:rsidRPr="00E121E9">
        <w:t xml:space="preserve">). Controlling test specificity for auditory evoked response detection using a frequency domain bootstrap. </w:t>
      </w:r>
      <w:r w:rsidRPr="00E121E9">
        <w:rPr>
          <w:i/>
          <w:iCs/>
        </w:rPr>
        <w:t>Manuscript Submitted for Publication</w:t>
      </w:r>
      <w:r w:rsidRPr="00E121E9">
        <w:t>.</w:t>
      </w:r>
    </w:p>
    <w:p w14:paraId="3FC153C5" w14:textId="77777777" w:rsidR="00F97FCE" w:rsidRPr="00E121E9" w:rsidRDefault="00534ED7">
      <w:pPr>
        <w:widowControl w:val="0"/>
        <w:autoSpaceDE w:val="0"/>
        <w:autoSpaceDN w:val="0"/>
        <w:adjustRightInd w:val="0"/>
        <w:spacing w:line="480" w:lineRule="auto"/>
        <w:ind w:left="480" w:hanging="480"/>
      </w:pPr>
      <w:r w:rsidRPr="00E121E9">
        <w:t>Chollet</w:t>
      </w:r>
      <w:r w:rsidRPr="00E121E9">
        <w:t xml:space="preserve">‬, F., &amp; and others. (2015). </w:t>
      </w:r>
      <w:r w:rsidRPr="00E121E9">
        <w:rPr>
          <w:i/>
          <w:iCs/>
        </w:rPr>
        <w:t>Keras</w:t>
      </w:r>
      <w:r w:rsidRPr="00E121E9">
        <w:t>. https://keras.io</w:t>
      </w:r>
    </w:p>
    <w:p w14:paraId="76B78EDF" w14:textId="77777777" w:rsidR="00F97FCE" w:rsidRPr="00E121E9" w:rsidRDefault="00534ED7">
      <w:pPr>
        <w:widowControl w:val="0"/>
        <w:autoSpaceDE w:val="0"/>
        <w:autoSpaceDN w:val="0"/>
        <w:adjustRightInd w:val="0"/>
        <w:spacing w:line="480" w:lineRule="auto"/>
        <w:ind w:left="480" w:hanging="480"/>
      </w:pPr>
      <w:r w:rsidRPr="00E121E9">
        <w:t xml:space="preserve">Davey, R., McCullagh, P., </w:t>
      </w:r>
      <w:proofErr w:type="spellStart"/>
      <w:r w:rsidRPr="00E121E9">
        <w:t>Lightbody</w:t>
      </w:r>
      <w:proofErr w:type="spellEnd"/>
      <w:r w:rsidRPr="00E121E9">
        <w:t xml:space="preserve">, G., &amp; McAllister, G. (2007). Auditory brainstem response classification: A hybrid model using time and frequency features. </w:t>
      </w:r>
      <w:r w:rsidRPr="00E121E9">
        <w:rPr>
          <w:i/>
          <w:iCs/>
        </w:rPr>
        <w:t>Artificial Intelligence in Medicine</w:t>
      </w:r>
      <w:r w:rsidRPr="00E121E9">
        <w:t xml:space="preserve">, </w:t>
      </w:r>
      <w:r w:rsidRPr="00E121E9">
        <w:rPr>
          <w:i/>
          <w:iCs/>
        </w:rPr>
        <w:t>40</w:t>
      </w:r>
      <w:r w:rsidRPr="00E121E9">
        <w:t>(1), 1–14.</w:t>
      </w:r>
    </w:p>
    <w:p w14:paraId="7AF0E6D6" w14:textId="77777777" w:rsidR="00F97FCE" w:rsidRPr="00E121E9" w:rsidRDefault="00534ED7">
      <w:pPr>
        <w:widowControl w:val="0"/>
        <w:autoSpaceDE w:val="0"/>
        <w:autoSpaceDN w:val="0"/>
        <w:adjustRightInd w:val="0"/>
        <w:spacing w:line="480" w:lineRule="auto"/>
        <w:ind w:left="480" w:hanging="480"/>
      </w:pPr>
      <w:r w:rsidRPr="00E121E9">
        <w:t xml:space="preserve">Dong, K., Pang, H., Tong, T., &amp; </w:t>
      </w:r>
      <w:proofErr w:type="spellStart"/>
      <w:r w:rsidRPr="00E121E9">
        <w:t>Genton</w:t>
      </w:r>
      <w:proofErr w:type="spellEnd"/>
      <w:r w:rsidRPr="00E121E9">
        <w:t xml:space="preserve">, M. G. (2016). Shrinkage-based diagonal Hotelling’s tests for high-dimensional small sample size data. </w:t>
      </w:r>
      <w:r w:rsidRPr="00E121E9">
        <w:rPr>
          <w:i/>
          <w:iCs/>
        </w:rPr>
        <w:t>Journal of Multivariate Analysis</w:t>
      </w:r>
      <w:r w:rsidRPr="00E121E9">
        <w:t xml:space="preserve">, </w:t>
      </w:r>
      <w:r w:rsidRPr="00E121E9">
        <w:rPr>
          <w:i/>
          <w:iCs/>
        </w:rPr>
        <w:t>143</w:t>
      </w:r>
      <w:r w:rsidRPr="00E121E9">
        <w:t>, 127–142.</w:t>
      </w:r>
    </w:p>
    <w:p w14:paraId="06D49A41" w14:textId="77777777" w:rsidR="00F97FCE" w:rsidRPr="00E121E9" w:rsidRDefault="00534ED7">
      <w:pPr>
        <w:widowControl w:val="0"/>
        <w:autoSpaceDE w:val="0"/>
        <w:autoSpaceDN w:val="0"/>
        <w:adjustRightInd w:val="0"/>
        <w:spacing w:line="480" w:lineRule="auto"/>
        <w:ind w:left="480" w:hanging="480"/>
      </w:pPr>
      <w:proofErr w:type="spellStart"/>
      <w:r w:rsidRPr="00E121E9">
        <w:t>Elberling</w:t>
      </w:r>
      <w:proofErr w:type="spellEnd"/>
      <w:r w:rsidRPr="00E121E9">
        <w:t xml:space="preserve">, C., &amp; Don, M. (1984). Quality estimation of averaged auditory brainstem responses. </w:t>
      </w:r>
      <w:r w:rsidRPr="00E121E9">
        <w:rPr>
          <w:i/>
          <w:iCs/>
        </w:rPr>
        <w:t>Scandinavian Audiology</w:t>
      </w:r>
      <w:r w:rsidRPr="00E121E9">
        <w:t xml:space="preserve">, </w:t>
      </w:r>
      <w:r w:rsidRPr="00E121E9">
        <w:rPr>
          <w:i/>
          <w:iCs/>
        </w:rPr>
        <w:t>13</w:t>
      </w:r>
      <w:r w:rsidRPr="00E121E9">
        <w:t>(3), 187–197.</w:t>
      </w:r>
    </w:p>
    <w:p w14:paraId="252E627E" w14:textId="77777777" w:rsidR="00F97FCE" w:rsidRPr="00E121E9" w:rsidRDefault="00534ED7">
      <w:pPr>
        <w:widowControl w:val="0"/>
        <w:autoSpaceDE w:val="0"/>
        <w:autoSpaceDN w:val="0"/>
        <w:adjustRightInd w:val="0"/>
        <w:spacing w:line="480" w:lineRule="auto"/>
        <w:ind w:left="480" w:hanging="480"/>
      </w:pPr>
      <w:r w:rsidRPr="00E121E9">
        <w:t xml:space="preserve">Fawcett, T. (2006). An introduction to ROC analysis. </w:t>
      </w:r>
      <w:r w:rsidRPr="00E121E9">
        <w:rPr>
          <w:i/>
          <w:iCs/>
        </w:rPr>
        <w:t>Pattern Recognition Letters</w:t>
      </w:r>
      <w:r w:rsidRPr="00E121E9">
        <w:t xml:space="preserve">, </w:t>
      </w:r>
      <w:r w:rsidRPr="00E121E9">
        <w:rPr>
          <w:i/>
          <w:iCs/>
        </w:rPr>
        <w:t>27</w:t>
      </w:r>
      <w:r w:rsidRPr="00E121E9">
        <w:t>(8), 861–874.</w:t>
      </w:r>
    </w:p>
    <w:p w14:paraId="7F853C0F" w14:textId="77777777" w:rsidR="00F97FCE" w:rsidRPr="00E121E9" w:rsidRDefault="00534ED7">
      <w:pPr>
        <w:widowControl w:val="0"/>
        <w:autoSpaceDE w:val="0"/>
        <w:autoSpaceDN w:val="0"/>
        <w:adjustRightInd w:val="0"/>
        <w:spacing w:line="480" w:lineRule="auto"/>
        <w:ind w:left="480" w:hanging="480"/>
      </w:pPr>
      <w:r w:rsidRPr="00E121E9">
        <w:t xml:space="preserve">Golding, M., Dillon, H., Seymour, J., &amp; Carter, L. (2009). The detection of adult cortical auditory evoked potentials (CAEPs) using an automated statistic and visual detection. </w:t>
      </w:r>
      <w:r w:rsidRPr="00E121E9">
        <w:rPr>
          <w:i/>
          <w:iCs/>
        </w:rPr>
        <w:t>International Journal of Audiology</w:t>
      </w:r>
      <w:r w:rsidRPr="00E121E9">
        <w:t xml:space="preserve">, </w:t>
      </w:r>
      <w:r w:rsidRPr="00E121E9">
        <w:rPr>
          <w:i/>
          <w:iCs/>
        </w:rPr>
        <w:t>48</w:t>
      </w:r>
      <w:r w:rsidRPr="00E121E9">
        <w:t>(12), 833–842.</w:t>
      </w:r>
    </w:p>
    <w:p w14:paraId="355E05CF" w14:textId="77777777" w:rsidR="00F97FCE" w:rsidRPr="00E121E9" w:rsidRDefault="00534ED7">
      <w:pPr>
        <w:widowControl w:val="0"/>
        <w:autoSpaceDE w:val="0"/>
        <w:autoSpaceDN w:val="0"/>
        <w:adjustRightInd w:val="0"/>
        <w:spacing w:line="480" w:lineRule="auto"/>
        <w:ind w:left="480" w:hanging="480"/>
      </w:pPr>
      <w:r w:rsidRPr="00E121E9">
        <w:t xml:space="preserve">Hall, J. W. (2007). </w:t>
      </w:r>
      <w:r w:rsidRPr="00E121E9">
        <w:rPr>
          <w:i/>
          <w:iCs/>
        </w:rPr>
        <w:t>New handbook of auditory evoked responses</w:t>
      </w:r>
      <w:r w:rsidRPr="00E121E9">
        <w:t>. Pearson.</w:t>
      </w:r>
    </w:p>
    <w:p w14:paraId="7311A180" w14:textId="77777777" w:rsidR="00F97FCE" w:rsidRPr="00E121E9" w:rsidRDefault="00534ED7">
      <w:pPr>
        <w:widowControl w:val="0"/>
        <w:autoSpaceDE w:val="0"/>
        <w:autoSpaceDN w:val="0"/>
        <w:adjustRightInd w:val="0"/>
        <w:spacing w:line="480" w:lineRule="auto"/>
        <w:ind w:left="480" w:hanging="480"/>
      </w:pPr>
      <w:proofErr w:type="spellStart"/>
      <w:r w:rsidRPr="00E121E9">
        <w:t>Hotelling</w:t>
      </w:r>
      <w:proofErr w:type="spellEnd"/>
      <w:r w:rsidRPr="00E121E9">
        <w:t xml:space="preserve">, H. (1931). The Generalization of Student’s Ratio. </w:t>
      </w:r>
      <w:r w:rsidRPr="00E121E9">
        <w:rPr>
          <w:i/>
          <w:iCs/>
        </w:rPr>
        <w:t>Annals of Mathematical Statistics</w:t>
      </w:r>
      <w:r w:rsidRPr="00E121E9">
        <w:t xml:space="preserve">, </w:t>
      </w:r>
      <w:r w:rsidRPr="00E121E9">
        <w:rPr>
          <w:i/>
          <w:iCs/>
        </w:rPr>
        <w:t>2</w:t>
      </w:r>
      <w:r w:rsidRPr="00E121E9">
        <w:t>(3), 360–378.</w:t>
      </w:r>
    </w:p>
    <w:p w14:paraId="066D9A66" w14:textId="77777777" w:rsidR="00F97FCE" w:rsidRPr="00E121E9" w:rsidRDefault="00534ED7">
      <w:pPr>
        <w:widowControl w:val="0"/>
        <w:autoSpaceDE w:val="0"/>
        <w:autoSpaceDN w:val="0"/>
        <w:adjustRightInd w:val="0"/>
        <w:spacing w:line="480" w:lineRule="auto"/>
        <w:ind w:left="480" w:hanging="480"/>
      </w:pPr>
      <w:r w:rsidRPr="00E121E9">
        <w:t xml:space="preserve">Jewett, D. L., Romano, M. N., &amp; Williston, J. S. (1970). Human auditory evoked potentials: possible brain stem components detected on the scalp. </w:t>
      </w:r>
      <w:r w:rsidRPr="00E121E9">
        <w:rPr>
          <w:i/>
          <w:iCs/>
        </w:rPr>
        <w:t>Science (New York, N.Y.)</w:t>
      </w:r>
      <w:r w:rsidRPr="00E121E9">
        <w:t xml:space="preserve">, </w:t>
      </w:r>
      <w:r w:rsidRPr="00E121E9">
        <w:rPr>
          <w:i/>
          <w:iCs/>
        </w:rPr>
        <w:t>167</w:t>
      </w:r>
      <w:r w:rsidRPr="00E121E9">
        <w:t>(3924), 1517–1518.</w:t>
      </w:r>
    </w:p>
    <w:p w14:paraId="35C8E7F0" w14:textId="77777777" w:rsidR="00F97FCE" w:rsidRPr="00E121E9" w:rsidRDefault="00534ED7">
      <w:pPr>
        <w:widowControl w:val="0"/>
        <w:autoSpaceDE w:val="0"/>
        <w:autoSpaceDN w:val="0"/>
        <w:adjustRightInd w:val="0"/>
        <w:spacing w:line="480" w:lineRule="auto"/>
        <w:ind w:left="480" w:hanging="480"/>
      </w:pPr>
      <w:r w:rsidRPr="00E121E9">
        <w:t xml:space="preserve">Kaiser, J. F. (1990). On a simple algorithm to calculate the “energy” of a signal. </w:t>
      </w:r>
      <w:r w:rsidRPr="00E121E9">
        <w:rPr>
          <w:i/>
          <w:iCs/>
        </w:rPr>
        <w:t xml:space="preserve">ICASSP, IEEE International Conference on Acoustics, Speech and Signal Processing - </w:t>
      </w:r>
      <w:r w:rsidRPr="00E121E9">
        <w:rPr>
          <w:i/>
          <w:iCs/>
        </w:rPr>
        <w:lastRenderedPageBreak/>
        <w:t>Proceedings</w:t>
      </w:r>
      <w:r w:rsidRPr="00E121E9">
        <w:t xml:space="preserve">, </w:t>
      </w:r>
      <w:r w:rsidRPr="00E121E9">
        <w:rPr>
          <w:i/>
          <w:iCs/>
        </w:rPr>
        <w:t>1</w:t>
      </w:r>
      <w:r w:rsidRPr="00E121E9">
        <w:t>, 381–384.</w:t>
      </w:r>
    </w:p>
    <w:p w14:paraId="7776B475" w14:textId="77777777" w:rsidR="00F97FCE" w:rsidRPr="00E121E9" w:rsidRDefault="00534ED7">
      <w:pPr>
        <w:widowControl w:val="0"/>
        <w:autoSpaceDE w:val="0"/>
        <w:autoSpaceDN w:val="0"/>
        <w:adjustRightInd w:val="0"/>
        <w:spacing w:line="480" w:lineRule="auto"/>
        <w:ind w:left="480" w:hanging="480"/>
      </w:pPr>
      <w:proofErr w:type="spellStart"/>
      <w:r w:rsidRPr="00E121E9">
        <w:t>Kandaswamy</w:t>
      </w:r>
      <w:proofErr w:type="spellEnd"/>
      <w:r w:rsidRPr="00E121E9">
        <w:t xml:space="preserve">, A., Kumar, C. S., Ramanathan, R. P., Jayaraman, S., &amp; </w:t>
      </w:r>
      <w:proofErr w:type="spellStart"/>
      <w:r w:rsidRPr="00E121E9">
        <w:t>Malmurugan</w:t>
      </w:r>
      <w:proofErr w:type="spellEnd"/>
      <w:r w:rsidRPr="00E121E9">
        <w:t xml:space="preserve">, N. (2004). Neural classification of lung sounds using wavelet coefficients. </w:t>
      </w:r>
      <w:r w:rsidRPr="00E121E9">
        <w:rPr>
          <w:i/>
          <w:iCs/>
        </w:rPr>
        <w:t>Computers in Biology and Medicine</w:t>
      </w:r>
      <w:r w:rsidRPr="00E121E9">
        <w:t xml:space="preserve">, </w:t>
      </w:r>
      <w:r w:rsidRPr="00E121E9">
        <w:rPr>
          <w:i/>
          <w:iCs/>
        </w:rPr>
        <w:t>34</w:t>
      </w:r>
      <w:r w:rsidRPr="00E121E9">
        <w:t>(6), 523–537.</w:t>
      </w:r>
    </w:p>
    <w:p w14:paraId="1FF5D747" w14:textId="77777777" w:rsidR="00F97FCE" w:rsidRPr="00E121E9" w:rsidRDefault="00534ED7">
      <w:pPr>
        <w:widowControl w:val="0"/>
        <w:autoSpaceDE w:val="0"/>
        <w:autoSpaceDN w:val="0"/>
        <w:adjustRightInd w:val="0"/>
        <w:spacing w:line="480" w:lineRule="auto"/>
        <w:ind w:left="480" w:hanging="480"/>
      </w:pPr>
      <w:r w:rsidRPr="00E121E9">
        <w:t xml:space="preserve">Li, X., Zhou, P., &amp; </w:t>
      </w:r>
      <w:proofErr w:type="spellStart"/>
      <w:r w:rsidRPr="00E121E9">
        <w:t>Aruin</w:t>
      </w:r>
      <w:proofErr w:type="spellEnd"/>
      <w:r w:rsidRPr="00E121E9">
        <w:t xml:space="preserve">, A. S. (2007). Teager-Kaiser energy operation of surface EMG improves muscle activity onset detection. </w:t>
      </w:r>
      <w:r w:rsidRPr="00E121E9">
        <w:rPr>
          <w:i/>
          <w:iCs/>
        </w:rPr>
        <w:t>Annals of Biomedical Engineering</w:t>
      </w:r>
      <w:r w:rsidRPr="00E121E9">
        <w:t xml:space="preserve">, </w:t>
      </w:r>
      <w:r w:rsidRPr="00E121E9">
        <w:rPr>
          <w:i/>
          <w:iCs/>
        </w:rPr>
        <w:t>35</w:t>
      </w:r>
      <w:r w:rsidRPr="00E121E9">
        <w:t>(9), 1532–1538.</w:t>
      </w:r>
    </w:p>
    <w:p w14:paraId="3550927D" w14:textId="77777777" w:rsidR="00F97FCE" w:rsidRPr="00E121E9" w:rsidRDefault="00534ED7">
      <w:pPr>
        <w:widowControl w:val="0"/>
        <w:autoSpaceDE w:val="0"/>
        <w:autoSpaceDN w:val="0"/>
        <w:adjustRightInd w:val="0"/>
        <w:spacing w:line="480" w:lineRule="auto"/>
        <w:ind w:left="480" w:hanging="480"/>
      </w:pPr>
      <w:r w:rsidRPr="00E121E9">
        <w:t xml:space="preserve">Lim, C. Y., Chen, C. H., &amp; Wu, W. Y. (2017). Numerical instability of calculating inverse of spatial covariance matrices. </w:t>
      </w:r>
      <w:r w:rsidRPr="00E121E9">
        <w:rPr>
          <w:i/>
          <w:iCs/>
        </w:rPr>
        <w:t>Statistics and Probability Letters</w:t>
      </w:r>
      <w:r w:rsidRPr="00E121E9">
        <w:t xml:space="preserve">, </w:t>
      </w:r>
      <w:r w:rsidRPr="00E121E9">
        <w:rPr>
          <w:i/>
          <w:iCs/>
        </w:rPr>
        <w:t>129</w:t>
      </w:r>
      <w:r w:rsidRPr="00E121E9">
        <w:t>, 182–188.</w:t>
      </w:r>
    </w:p>
    <w:p w14:paraId="6F109B20" w14:textId="77777777" w:rsidR="00F97FCE" w:rsidRPr="00E121E9" w:rsidRDefault="00534ED7">
      <w:pPr>
        <w:widowControl w:val="0"/>
        <w:autoSpaceDE w:val="0"/>
        <w:autoSpaceDN w:val="0"/>
        <w:adjustRightInd w:val="0"/>
        <w:spacing w:line="480" w:lineRule="auto"/>
        <w:ind w:left="480" w:hanging="480"/>
      </w:pPr>
      <w:proofErr w:type="spellStart"/>
      <w:r w:rsidRPr="00E121E9">
        <w:t>Lv</w:t>
      </w:r>
      <w:proofErr w:type="spellEnd"/>
      <w:r w:rsidRPr="00E121E9">
        <w:t xml:space="preserve">, J., Simpson, D. M., &amp; Bell, S. L. (2007). Objective detection of evoked potentials using a bootstrap technique. </w:t>
      </w:r>
      <w:r w:rsidRPr="00E121E9">
        <w:rPr>
          <w:i/>
          <w:iCs/>
        </w:rPr>
        <w:t>Medical Engineering and Physics</w:t>
      </w:r>
      <w:r w:rsidRPr="00E121E9">
        <w:t xml:space="preserve">, </w:t>
      </w:r>
      <w:r w:rsidRPr="00E121E9">
        <w:rPr>
          <w:i/>
          <w:iCs/>
        </w:rPr>
        <w:t>29</w:t>
      </w:r>
      <w:r w:rsidRPr="00E121E9">
        <w:t>(2), 191–198.</w:t>
      </w:r>
    </w:p>
    <w:p w14:paraId="6B1C1308" w14:textId="77777777" w:rsidR="00F97FCE" w:rsidRPr="00E121E9" w:rsidRDefault="00534ED7">
      <w:pPr>
        <w:widowControl w:val="0"/>
        <w:autoSpaceDE w:val="0"/>
        <w:autoSpaceDN w:val="0"/>
        <w:adjustRightInd w:val="0"/>
        <w:spacing w:line="480" w:lineRule="auto"/>
        <w:ind w:left="480" w:hanging="480"/>
      </w:pPr>
      <w:r w:rsidRPr="00E121E9">
        <w:t xml:space="preserve">Madsen, S. M. K. (2010). </w:t>
      </w:r>
      <w:r w:rsidRPr="00E121E9">
        <w:rPr>
          <w:i/>
          <w:iCs/>
        </w:rPr>
        <w:t>Accuracy of averaged auditory evoked potential amplitude and latency estimates</w:t>
      </w:r>
      <w:r w:rsidRPr="00E121E9">
        <w:t>. Technical University of Denmark.</w:t>
      </w:r>
    </w:p>
    <w:p w14:paraId="2F131637" w14:textId="77777777" w:rsidR="00F97FCE" w:rsidRPr="00E121E9" w:rsidRDefault="00534ED7">
      <w:pPr>
        <w:widowControl w:val="0"/>
        <w:autoSpaceDE w:val="0"/>
        <w:autoSpaceDN w:val="0"/>
        <w:adjustRightInd w:val="0"/>
        <w:spacing w:line="480" w:lineRule="auto"/>
        <w:ind w:left="480" w:hanging="480"/>
      </w:pPr>
      <w:r w:rsidRPr="00E121E9">
        <w:t xml:space="preserve">Madsen, S. M. K., Harte, J. M., </w:t>
      </w:r>
      <w:proofErr w:type="spellStart"/>
      <w:r w:rsidRPr="00E121E9">
        <w:t>Elberling</w:t>
      </w:r>
      <w:proofErr w:type="spellEnd"/>
      <w:r w:rsidRPr="00E121E9">
        <w:t xml:space="preserve">, C., &amp; </w:t>
      </w:r>
      <w:proofErr w:type="spellStart"/>
      <w:r w:rsidRPr="00E121E9">
        <w:t>Dau</w:t>
      </w:r>
      <w:proofErr w:type="spellEnd"/>
      <w:r w:rsidRPr="00E121E9">
        <w:t xml:space="preserve">, T. (2018). Accuracy of averaged auditory brainstem response amplitude and latency estimates. </w:t>
      </w:r>
      <w:r w:rsidRPr="00E121E9">
        <w:rPr>
          <w:i/>
          <w:iCs/>
        </w:rPr>
        <w:t>International Journal of Audiology</w:t>
      </w:r>
      <w:r w:rsidRPr="00E121E9">
        <w:t xml:space="preserve">, </w:t>
      </w:r>
      <w:r w:rsidRPr="00E121E9">
        <w:rPr>
          <w:i/>
          <w:iCs/>
        </w:rPr>
        <w:t>57</w:t>
      </w:r>
      <w:r w:rsidRPr="00E121E9">
        <w:t>(5), 345–353.</w:t>
      </w:r>
    </w:p>
    <w:p w14:paraId="0A47FCA6" w14:textId="77777777" w:rsidR="00F97FCE" w:rsidRPr="00E121E9" w:rsidRDefault="00534ED7">
      <w:pPr>
        <w:widowControl w:val="0"/>
        <w:autoSpaceDE w:val="0"/>
        <w:autoSpaceDN w:val="0"/>
        <w:adjustRightInd w:val="0"/>
        <w:spacing w:line="480" w:lineRule="auto"/>
        <w:ind w:left="480" w:hanging="480"/>
      </w:pPr>
      <w:proofErr w:type="spellStart"/>
      <w:r w:rsidRPr="00E121E9">
        <w:t>Mardia</w:t>
      </w:r>
      <w:proofErr w:type="spellEnd"/>
      <w:r w:rsidRPr="00E121E9">
        <w:t xml:space="preserve">, K. V. (1972). </w:t>
      </w:r>
      <w:r w:rsidRPr="00E121E9">
        <w:rPr>
          <w:i/>
          <w:iCs/>
        </w:rPr>
        <w:t>Statistics of Directional Data - 1st Edition</w:t>
      </w:r>
      <w:r w:rsidRPr="00E121E9">
        <w:t xml:space="preserve"> (Z. W. Birnbaum &amp; E. Lukacs (eds.); 1st ed.). Academic Press.</w:t>
      </w:r>
    </w:p>
    <w:p w14:paraId="06B4166B" w14:textId="77777777" w:rsidR="00F97FCE" w:rsidRPr="00E121E9" w:rsidRDefault="00534ED7">
      <w:pPr>
        <w:widowControl w:val="0"/>
        <w:autoSpaceDE w:val="0"/>
        <w:autoSpaceDN w:val="0"/>
        <w:adjustRightInd w:val="0"/>
        <w:spacing w:line="480" w:lineRule="auto"/>
        <w:ind w:left="480" w:hanging="480"/>
      </w:pPr>
      <w:r w:rsidRPr="00E121E9">
        <w:t xml:space="preserve">Martin, W. H., </w:t>
      </w:r>
      <w:proofErr w:type="spellStart"/>
      <w:r w:rsidRPr="00E121E9">
        <w:t>Schwegler</w:t>
      </w:r>
      <w:proofErr w:type="spellEnd"/>
      <w:r w:rsidRPr="00E121E9">
        <w:t xml:space="preserve">, J. W., Gleeson, A. L., &amp; Shi, Y. B. (1994). New techniques of hearing assessment. </w:t>
      </w:r>
      <w:r w:rsidRPr="00E121E9">
        <w:rPr>
          <w:i/>
          <w:iCs/>
        </w:rPr>
        <w:t>Otolaryngologic Clinics of North America</w:t>
      </w:r>
      <w:r w:rsidRPr="00E121E9">
        <w:t xml:space="preserve">, </w:t>
      </w:r>
      <w:r w:rsidRPr="00E121E9">
        <w:rPr>
          <w:i/>
          <w:iCs/>
        </w:rPr>
        <w:t>27</w:t>
      </w:r>
      <w:r w:rsidRPr="00E121E9">
        <w:t>(3), 487–510.</w:t>
      </w:r>
    </w:p>
    <w:p w14:paraId="45CCBD7E" w14:textId="77777777" w:rsidR="00F97FCE" w:rsidRPr="00E121E9" w:rsidRDefault="00534ED7">
      <w:pPr>
        <w:widowControl w:val="0"/>
        <w:autoSpaceDE w:val="0"/>
        <w:autoSpaceDN w:val="0"/>
        <w:adjustRightInd w:val="0"/>
        <w:spacing w:line="480" w:lineRule="auto"/>
        <w:ind w:left="480" w:hanging="480"/>
      </w:pPr>
      <w:r w:rsidRPr="00E121E9">
        <w:t xml:space="preserve">McCulloch, W., &amp; Pitts, W. (1943). A logical calculus of the ideas immanent in nervous activity. </w:t>
      </w:r>
      <w:r w:rsidRPr="00E121E9">
        <w:rPr>
          <w:i/>
          <w:iCs/>
        </w:rPr>
        <w:t>The Bulletin of Mathematical Biophysics</w:t>
      </w:r>
      <w:r w:rsidRPr="00E121E9">
        <w:t xml:space="preserve">, </w:t>
      </w:r>
      <w:r w:rsidRPr="00E121E9">
        <w:rPr>
          <w:i/>
          <w:iCs/>
        </w:rPr>
        <w:t>5</w:t>
      </w:r>
      <w:r w:rsidRPr="00E121E9">
        <w:t>(4), 115–133.</w:t>
      </w:r>
    </w:p>
    <w:p w14:paraId="5A8E7492" w14:textId="77777777" w:rsidR="00F97FCE" w:rsidRPr="00E121E9" w:rsidRDefault="00534ED7">
      <w:pPr>
        <w:widowControl w:val="0"/>
        <w:autoSpaceDE w:val="0"/>
        <w:autoSpaceDN w:val="0"/>
        <w:adjustRightInd w:val="0"/>
        <w:spacing w:line="480" w:lineRule="auto"/>
        <w:ind w:left="480" w:hanging="480"/>
      </w:pPr>
      <w:r w:rsidRPr="00E121E9">
        <w:t xml:space="preserve">McKearney, R. M., &amp; MacKinnon, R. C. (2019). Objective auditory brainstem response classification using machine learning. </w:t>
      </w:r>
      <w:r w:rsidRPr="00E121E9">
        <w:rPr>
          <w:i/>
          <w:iCs/>
        </w:rPr>
        <w:t>International Journal of Audiology</w:t>
      </w:r>
      <w:r w:rsidRPr="00E121E9">
        <w:t xml:space="preserve">, </w:t>
      </w:r>
      <w:r w:rsidRPr="00E121E9">
        <w:rPr>
          <w:i/>
          <w:iCs/>
        </w:rPr>
        <w:t>58</w:t>
      </w:r>
      <w:r w:rsidRPr="00E121E9">
        <w:t>(4), 224–230.</w:t>
      </w:r>
    </w:p>
    <w:p w14:paraId="261AF12A" w14:textId="77777777" w:rsidR="00F97FCE" w:rsidRPr="00E121E9" w:rsidRDefault="00534ED7">
      <w:pPr>
        <w:widowControl w:val="0"/>
        <w:autoSpaceDE w:val="0"/>
        <w:autoSpaceDN w:val="0"/>
        <w:adjustRightInd w:val="0"/>
        <w:spacing w:line="480" w:lineRule="auto"/>
        <w:ind w:left="480" w:hanging="480"/>
      </w:pPr>
      <w:r w:rsidRPr="00E121E9">
        <w:lastRenderedPageBreak/>
        <w:t xml:space="preserve">Nilsson, N. J. (1971). </w:t>
      </w:r>
      <w:r w:rsidRPr="00E121E9">
        <w:rPr>
          <w:i/>
          <w:iCs/>
        </w:rPr>
        <w:t>Problem-solving methods in artificial intelligence</w:t>
      </w:r>
      <w:r w:rsidRPr="00E121E9">
        <w:t>. McGraw-Hill.</w:t>
      </w:r>
    </w:p>
    <w:p w14:paraId="72A28FDA" w14:textId="77777777" w:rsidR="00F97FCE" w:rsidRPr="00E121E9" w:rsidRDefault="00534ED7">
      <w:pPr>
        <w:widowControl w:val="0"/>
        <w:autoSpaceDE w:val="0"/>
        <w:autoSpaceDN w:val="0"/>
        <w:adjustRightInd w:val="0"/>
        <w:spacing w:line="480" w:lineRule="auto"/>
        <w:ind w:left="480" w:hanging="480"/>
      </w:pPr>
      <w:proofErr w:type="spellStart"/>
      <w:r w:rsidRPr="00E121E9">
        <w:t>Paparoditis</w:t>
      </w:r>
      <w:proofErr w:type="spellEnd"/>
      <w:r w:rsidRPr="00E121E9">
        <w:t xml:space="preserve">, E. (2002). Frequency Domain Bootstrap for Time Series. In </w:t>
      </w:r>
      <w:r w:rsidRPr="00E121E9">
        <w:rPr>
          <w:i/>
          <w:iCs/>
        </w:rPr>
        <w:t>Empirical Process Techniques for Dependent Data</w:t>
      </w:r>
      <w:r w:rsidRPr="00E121E9">
        <w:t xml:space="preserve"> (pp. 365–381). </w:t>
      </w:r>
      <w:proofErr w:type="spellStart"/>
      <w:r w:rsidRPr="00E121E9">
        <w:t>Birkhäuser</w:t>
      </w:r>
      <w:proofErr w:type="spellEnd"/>
      <w:r w:rsidRPr="00E121E9">
        <w:t xml:space="preserve"> Boston.</w:t>
      </w:r>
    </w:p>
    <w:p w14:paraId="617595DB" w14:textId="77777777" w:rsidR="00F97FCE" w:rsidRPr="00E121E9" w:rsidRDefault="00534ED7">
      <w:pPr>
        <w:widowControl w:val="0"/>
        <w:autoSpaceDE w:val="0"/>
        <w:autoSpaceDN w:val="0"/>
        <w:adjustRightInd w:val="0"/>
        <w:spacing w:line="480" w:lineRule="auto"/>
        <w:ind w:left="480" w:hanging="480"/>
      </w:pPr>
      <w:proofErr w:type="spellStart"/>
      <w:r w:rsidRPr="00E121E9">
        <w:t>Pedregosa</w:t>
      </w:r>
      <w:proofErr w:type="spellEnd"/>
      <w:r w:rsidRPr="00E121E9">
        <w:t xml:space="preserve">, F., </w:t>
      </w:r>
      <w:proofErr w:type="spellStart"/>
      <w:r w:rsidRPr="00E121E9">
        <w:t>Varoquaux</w:t>
      </w:r>
      <w:proofErr w:type="spellEnd"/>
      <w:r w:rsidRPr="00E121E9">
        <w:t xml:space="preserve">, G., </w:t>
      </w:r>
      <w:proofErr w:type="spellStart"/>
      <w:r w:rsidRPr="00E121E9">
        <w:t>Gramfort</w:t>
      </w:r>
      <w:proofErr w:type="spellEnd"/>
      <w:r w:rsidRPr="00E121E9">
        <w:t xml:space="preserve">, A., Michel, V., </w:t>
      </w:r>
      <w:proofErr w:type="spellStart"/>
      <w:r w:rsidRPr="00E121E9">
        <w:t>Thirion</w:t>
      </w:r>
      <w:proofErr w:type="spellEnd"/>
      <w:r w:rsidRPr="00E121E9">
        <w:t xml:space="preserve">, B., Grisel, O., Blondel, M., </w:t>
      </w:r>
      <w:proofErr w:type="spellStart"/>
      <w:r w:rsidRPr="00E121E9">
        <w:t>Prettenhofer</w:t>
      </w:r>
      <w:proofErr w:type="spellEnd"/>
      <w:r w:rsidRPr="00E121E9">
        <w:t xml:space="preserve">, P., Weiss, R., </w:t>
      </w:r>
      <w:proofErr w:type="spellStart"/>
      <w:r w:rsidRPr="00E121E9">
        <w:t>Dubourg</w:t>
      </w:r>
      <w:proofErr w:type="spellEnd"/>
      <w:r w:rsidRPr="00E121E9">
        <w:t xml:space="preserve">, V., </w:t>
      </w:r>
      <w:proofErr w:type="spellStart"/>
      <w:r w:rsidRPr="00E121E9">
        <w:t>Vanderplas</w:t>
      </w:r>
      <w:proofErr w:type="spellEnd"/>
      <w:r w:rsidRPr="00E121E9">
        <w:t xml:space="preserve">, J., </w:t>
      </w:r>
      <w:proofErr w:type="spellStart"/>
      <w:r w:rsidRPr="00E121E9">
        <w:t>Passos</w:t>
      </w:r>
      <w:proofErr w:type="spellEnd"/>
      <w:r w:rsidRPr="00E121E9">
        <w:t xml:space="preserve">, A., </w:t>
      </w:r>
      <w:proofErr w:type="spellStart"/>
      <w:r w:rsidRPr="00E121E9">
        <w:t>Cournapeau</w:t>
      </w:r>
      <w:proofErr w:type="spellEnd"/>
      <w:r w:rsidRPr="00E121E9">
        <w:t xml:space="preserve">, D., </w:t>
      </w:r>
      <w:proofErr w:type="spellStart"/>
      <w:r w:rsidRPr="00E121E9">
        <w:t>Brucher</w:t>
      </w:r>
      <w:proofErr w:type="spellEnd"/>
      <w:r w:rsidRPr="00E121E9">
        <w:t xml:space="preserve">, M., Perrot, M., &amp; </w:t>
      </w:r>
      <w:proofErr w:type="spellStart"/>
      <w:r w:rsidRPr="00E121E9">
        <w:t>Duchesnay</w:t>
      </w:r>
      <w:proofErr w:type="spellEnd"/>
      <w:r w:rsidRPr="00E121E9">
        <w:t xml:space="preserve">, É. (2011). Scikit-learn: Machine Learning in Python. In </w:t>
      </w:r>
      <w:r w:rsidRPr="00E121E9">
        <w:rPr>
          <w:i/>
          <w:iCs/>
        </w:rPr>
        <w:t>Journal of Machine Learning Research</w:t>
      </w:r>
      <w:r w:rsidRPr="00E121E9">
        <w:t xml:space="preserve"> (Vol. 12, Issue 85). http://scikit-learn.sourceforge.net.</w:t>
      </w:r>
    </w:p>
    <w:p w14:paraId="41E0F14C" w14:textId="77777777" w:rsidR="00F97FCE" w:rsidRPr="00E121E9" w:rsidRDefault="00534ED7">
      <w:pPr>
        <w:widowControl w:val="0"/>
        <w:autoSpaceDE w:val="0"/>
        <w:autoSpaceDN w:val="0"/>
        <w:adjustRightInd w:val="0"/>
        <w:spacing w:line="480" w:lineRule="auto"/>
        <w:ind w:left="480" w:hanging="480"/>
      </w:pPr>
      <w:proofErr w:type="spellStart"/>
      <w:r w:rsidRPr="00E121E9">
        <w:t>Sidey</w:t>
      </w:r>
      <w:proofErr w:type="spellEnd"/>
      <w:r w:rsidRPr="00E121E9">
        <w:t xml:space="preserve">-Gibbons, J. A. M., &amp; </w:t>
      </w:r>
      <w:proofErr w:type="spellStart"/>
      <w:r w:rsidRPr="00E121E9">
        <w:t>Sidey</w:t>
      </w:r>
      <w:proofErr w:type="spellEnd"/>
      <w:r w:rsidRPr="00E121E9">
        <w:t xml:space="preserve">-Gibbons, C. J. (2019). Machine learning in medicine: a practical introduction. </w:t>
      </w:r>
      <w:r w:rsidRPr="00E121E9">
        <w:rPr>
          <w:i/>
          <w:iCs/>
        </w:rPr>
        <w:t>BMC Medical Research Methodology</w:t>
      </w:r>
      <w:r w:rsidRPr="00E121E9">
        <w:t xml:space="preserve">, </w:t>
      </w:r>
      <w:r w:rsidRPr="00E121E9">
        <w:rPr>
          <w:i/>
          <w:iCs/>
        </w:rPr>
        <w:t>19</w:t>
      </w:r>
      <w:r w:rsidRPr="00E121E9">
        <w:t>(1), 64.</w:t>
      </w:r>
    </w:p>
    <w:p w14:paraId="6D95B65D" w14:textId="77777777" w:rsidR="00F97FCE" w:rsidRPr="00E121E9" w:rsidRDefault="00534ED7">
      <w:pPr>
        <w:widowControl w:val="0"/>
        <w:autoSpaceDE w:val="0"/>
        <w:autoSpaceDN w:val="0"/>
        <w:adjustRightInd w:val="0"/>
        <w:spacing w:line="480" w:lineRule="auto"/>
        <w:ind w:left="480" w:hanging="480"/>
      </w:pPr>
      <w:proofErr w:type="spellStart"/>
      <w:r w:rsidRPr="00E121E9">
        <w:t>Sohmer</w:t>
      </w:r>
      <w:proofErr w:type="spellEnd"/>
      <w:r w:rsidRPr="00E121E9">
        <w:t xml:space="preserve">, H., &amp; </w:t>
      </w:r>
      <w:proofErr w:type="spellStart"/>
      <w:r w:rsidRPr="00E121E9">
        <w:t>Feinmesser</w:t>
      </w:r>
      <w:proofErr w:type="spellEnd"/>
      <w:r w:rsidRPr="00E121E9">
        <w:t xml:space="preserve">, M. (1967). Cochlear action potentials recorded from the external ear in man. </w:t>
      </w:r>
      <w:r w:rsidRPr="00E121E9">
        <w:rPr>
          <w:i/>
          <w:iCs/>
        </w:rPr>
        <w:t>Annals of Otology, Rhinology &amp; Laryngology</w:t>
      </w:r>
      <w:r w:rsidRPr="00E121E9">
        <w:t xml:space="preserve">, </w:t>
      </w:r>
      <w:r w:rsidRPr="00E121E9">
        <w:rPr>
          <w:i/>
          <w:iCs/>
        </w:rPr>
        <w:t>76</w:t>
      </w:r>
      <w:r w:rsidRPr="00E121E9">
        <w:t>(2), 427–435.</w:t>
      </w:r>
    </w:p>
    <w:p w14:paraId="2382121C" w14:textId="77777777" w:rsidR="00F97FCE" w:rsidRPr="00E121E9" w:rsidRDefault="00534ED7">
      <w:pPr>
        <w:widowControl w:val="0"/>
        <w:autoSpaceDE w:val="0"/>
        <w:autoSpaceDN w:val="0"/>
        <w:adjustRightInd w:val="0"/>
        <w:spacing w:line="480" w:lineRule="auto"/>
        <w:ind w:left="480" w:hanging="480"/>
      </w:pPr>
      <w:r w:rsidRPr="00E121E9">
        <w:t xml:space="preserve">Spivak, L. G. (1993). Spectral composition of infant auditory brainstem responses: Implications for filtering. </w:t>
      </w:r>
      <w:r w:rsidRPr="00E121E9">
        <w:rPr>
          <w:i/>
          <w:iCs/>
        </w:rPr>
        <w:t>International Journal of Audiology</w:t>
      </w:r>
      <w:r w:rsidRPr="00E121E9">
        <w:t xml:space="preserve">, </w:t>
      </w:r>
      <w:r w:rsidRPr="00E121E9">
        <w:rPr>
          <w:i/>
          <w:iCs/>
        </w:rPr>
        <w:t>32</w:t>
      </w:r>
      <w:r w:rsidRPr="00E121E9">
        <w:t>(3), 185–194.</w:t>
      </w:r>
    </w:p>
    <w:p w14:paraId="4FFD8D9E" w14:textId="77777777" w:rsidR="00F97FCE" w:rsidRPr="00E121E9" w:rsidRDefault="00534ED7">
      <w:pPr>
        <w:widowControl w:val="0"/>
        <w:autoSpaceDE w:val="0"/>
        <w:autoSpaceDN w:val="0"/>
        <w:adjustRightInd w:val="0"/>
        <w:spacing w:line="480" w:lineRule="auto"/>
        <w:ind w:left="480" w:hanging="480"/>
      </w:pPr>
      <w:proofErr w:type="spellStart"/>
      <w:r w:rsidRPr="00E121E9">
        <w:t>Stapells</w:t>
      </w:r>
      <w:proofErr w:type="spellEnd"/>
      <w:r w:rsidRPr="00E121E9">
        <w:t xml:space="preserve">, D. R. (2000). Threshold Estimation by the Tone-Evoked Auditory Brainstem Response: A Literature Meta-Analysis. </w:t>
      </w:r>
      <w:r w:rsidRPr="00E121E9">
        <w:rPr>
          <w:i/>
          <w:iCs/>
        </w:rPr>
        <w:t>Journal of Speech-Language Pathology and Audiology</w:t>
      </w:r>
      <w:r w:rsidRPr="00E121E9">
        <w:t xml:space="preserve">, </w:t>
      </w:r>
      <w:r w:rsidRPr="00E121E9">
        <w:rPr>
          <w:i/>
          <w:iCs/>
        </w:rPr>
        <w:t>24</w:t>
      </w:r>
      <w:r w:rsidRPr="00E121E9">
        <w:t>(2), 74–83.</w:t>
      </w:r>
    </w:p>
    <w:p w14:paraId="4D2ED13F" w14:textId="77777777" w:rsidR="00F97FCE" w:rsidRPr="00E121E9" w:rsidRDefault="00534ED7">
      <w:pPr>
        <w:widowControl w:val="0"/>
        <w:autoSpaceDE w:val="0"/>
        <w:autoSpaceDN w:val="0"/>
        <w:adjustRightInd w:val="0"/>
        <w:spacing w:line="480" w:lineRule="auto"/>
        <w:ind w:left="480" w:hanging="480"/>
      </w:pPr>
      <w:proofErr w:type="spellStart"/>
      <w:r w:rsidRPr="00E121E9">
        <w:t>Stürzebecher</w:t>
      </w:r>
      <w:proofErr w:type="spellEnd"/>
      <w:r w:rsidRPr="00E121E9">
        <w:t xml:space="preserve">, E., </w:t>
      </w:r>
      <w:proofErr w:type="spellStart"/>
      <w:r w:rsidRPr="00E121E9">
        <w:t>Cebulla</w:t>
      </w:r>
      <w:proofErr w:type="spellEnd"/>
      <w:r w:rsidRPr="00E121E9">
        <w:t xml:space="preserve">, M., &amp; </w:t>
      </w:r>
      <w:proofErr w:type="spellStart"/>
      <w:r w:rsidRPr="00E121E9">
        <w:t>Wernecke</w:t>
      </w:r>
      <w:proofErr w:type="spellEnd"/>
      <w:r w:rsidRPr="00E121E9">
        <w:t xml:space="preserve">, K.-D. (1999). Objective Response Detection in the Frequency Domain: Comparison of Several q-Sample Tests. </w:t>
      </w:r>
      <w:r w:rsidRPr="00E121E9">
        <w:rPr>
          <w:i/>
          <w:iCs/>
        </w:rPr>
        <w:t>Audiology and Neurotology</w:t>
      </w:r>
      <w:r w:rsidRPr="00E121E9">
        <w:t xml:space="preserve">, </w:t>
      </w:r>
      <w:r w:rsidRPr="00E121E9">
        <w:rPr>
          <w:i/>
          <w:iCs/>
        </w:rPr>
        <w:t>4</w:t>
      </w:r>
      <w:r w:rsidRPr="00E121E9">
        <w:t>(1), 2–11.</w:t>
      </w:r>
    </w:p>
    <w:p w14:paraId="181E387A" w14:textId="77777777" w:rsidR="00F97FCE" w:rsidRPr="00E121E9" w:rsidRDefault="00534ED7">
      <w:pPr>
        <w:widowControl w:val="0"/>
        <w:autoSpaceDE w:val="0"/>
        <w:autoSpaceDN w:val="0"/>
        <w:adjustRightInd w:val="0"/>
        <w:spacing w:line="480" w:lineRule="auto"/>
        <w:ind w:left="480" w:hanging="480"/>
      </w:pPr>
      <w:proofErr w:type="spellStart"/>
      <w:r w:rsidRPr="00E121E9">
        <w:t>Stürzebecher</w:t>
      </w:r>
      <w:proofErr w:type="spellEnd"/>
      <w:r w:rsidRPr="00E121E9">
        <w:t xml:space="preserve">, E., </w:t>
      </w:r>
      <w:proofErr w:type="spellStart"/>
      <w:r w:rsidRPr="00E121E9">
        <w:t>Cebulla</w:t>
      </w:r>
      <w:proofErr w:type="spellEnd"/>
      <w:r w:rsidRPr="00E121E9">
        <w:t xml:space="preserve">, M., &amp; </w:t>
      </w:r>
      <w:proofErr w:type="spellStart"/>
      <w:r w:rsidRPr="00E121E9">
        <w:t>Wernecke</w:t>
      </w:r>
      <w:proofErr w:type="spellEnd"/>
      <w:r w:rsidRPr="00E121E9">
        <w:t xml:space="preserve">, K. D. (2001). Objective detection of transiently evoked otoacoustic emissions. </w:t>
      </w:r>
      <w:r w:rsidRPr="00E121E9">
        <w:rPr>
          <w:i/>
          <w:iCs/>
        </w:rPr>
        <w:t>Scandinavian Audiology</w:t>
      </w:r>
      <w:r w:rsidRPr="00E121E9">
        <w:t xml:space="preserve">, </w:t>
      </w:r>
      <w:r w:rsidRPr="00E121E9">
        <w:rPr>
          <w:i/>
          <w:iCs/>
        </w:rPr>
        <w:t>30</w:t>
      </w:r>
      <w:r w:rsidRPr="00E121E9">
        <w:t xml:space="preserve">(2), 78–88. </w:t>
      </w:r>
    </w:p>
    <w:p w14:paraId="5A696AF3" w14:textId="77777777" w:rsidR="00F97FCE" w:rsidRPr="00E121E9" w:rsidRDefault="00534ED7">
      <w:pPr>
        <w:widowControl w:val="0"/>
        <w:autoSpaceDE w:val="0"/>
        <w:autoSpaceDN w:val="0"/>
        <w:adjustRightInd w:val="0"/>
        <w:spacing w:line="480" w:lineRule="auto"/>
        <w:ind w:left="480" w:hanging="480"/>
      </w:pPr>
      <w:r w:rsidRPr="00E121E9">
        <w:t xml:space="preserve">Subasi, A. (2007). EEG signal classification using wavelet feature extraction and a mixture of expert model. </w:t>
      </w:r>
      <w:r w:rsidRPr="00E121E9">
        <w:rPr>
          <w:i/>
          <w:iCs/>
        </w:rPr>
        <w:t>Expert Systems with Applications</w:t>
      </w:r>
      <w:r w:rsidRPr="00E121E9">
        <w:t xml:space="preserve">, </w:t>
      </w:r>
      <w:r w:rsidRPr="00E121E9">
        <w:rPr>
          <w:i/>
          <w:iCs/>
        </w:rPr>
        <w:t>32</w:t>
      </w:r>
      <w:r w:rsidRPr="00E121E9">
        <w:t xml:space="preserve">(4), 1084–1093. </w:t>
      </w:r>
    </w:p>
    <w:p w14:paraId="1938C2D2" w14:textId="77777777" w:rsidR="00F97FCE" w:rsidRPr="00E121E9" w:rsidRDefault="00534ED7">
      <w:pPr>
        <w:widowControl w:val="0"/>
        <w:autoSpaceDE w:val="0"/>
        <w:autoSpaceDN w:val="0"/>
        <w:adjustRightInd w:val="0"/>
        <w:spacing w:line="480" w:lineRule="auto"/>
        <w:ind w:left="480" w:hanging="480"/>
      </w:pPr>
      <w:r w:rsidRPr="00E121E9">
        <w:t xml:space="preserve">Sutton, G., &amp; Lightfoot, G. (2013). </w:t>
      </w:r>
      <w:r w:rsidRPr="00E121E9">
        <w:rPr>
          <w:i/>
          <w:iCs/>
        </w:rPr>
        <w:t xml:space="preserve">Guidance for Auditory Brainstem Response testing in </w:t>
      </w:r>
      <w:r w:rsidRPr="00E121E9">
        <w:rPr>
          <w:i/>
          <w:iCs/>
        </w:rPr>
        <w:lastRenderedPageBreak/>
        <w:t>babies</w:t>
      </w:r>
      <w:r w:rsidRPr="00E121E9">
        <w:t>. www.thebsa.org.uk</w:t>
      </w:r>
    </w:p>
    <w:p w14:paraId="3196C443" w14:textId="77777777" w:rsidR="00F97FCE" w:rsidRPr="00E121E9" w:rsidRDefault="00534ED7">
      <w:pPr>
        <w:widowControl w:val="0"/>
        <w:autoSpaceDE w:val="0"/>
        <w:autoSpaceDN w:val="0"/>
        <w:adjustRightInd w:val="0"/>
        <w:spacing w:line="480" w:lineRule="auto"/>
        <w:ind w:left="480" w:hanging="480"/>
      </w:pPr>
      <w:r w:rsidRPr="00E121E9">
        <w:t xml:space="preserve">Van Dun, B., Dillon, H., &amp; </w:t>
      </w:r>
      <w:proofErr w:type="spellStart"/>
      <w:r w:rsidRPr="00E121E9">
        <w:t>Seeto</w:t>
      </w:r>
      <w:proofErr w:type="spellEnd"/>
      <w:r w:rsidRPr="00E121E9">
        <w:t xml:space="preserve">, M. (2015). Estimating hearing thresholds in hearing-impaired adults through objective detection of cortical auditory evoked potentials. </w:t>
      </w:r>
      <w:r w:rsidRPr="00E121E9">
        <w:rPr>
          <w:i/>
          <w:iCs/>
        </w:rPr>
        <w:t>Journal of the American Academy of Audiology</w:t>
      </w:r>
      <w:r w:rsidRPr="00E121E9">
        <w:t xml:space="preserve">, </w:t>
      </w:r>
      <w:r w:rsidRPr="00E121E9">
        <w:rPr>
          <w:i/>
          <w:iCs/>
        </w:rPr>
        <w:t>26</w:t>
      </w:r>
      <w:r w:rsidRPr="00E121E9">
        <w:t>(4), 370–383.</w:t>
      </w:r>
    </w:p>
    <w:p w14:paraId="7FF40D3C" w14:textId="77777777" w:rsidR="00F97FCE" w:rsidRPr="00E121E9" w:rsidRDefault="00534ED7">
      <w:pPr>
        <w:widowControl w:val="0"/>
        <w:autoSpaceDE w:val="0"/>
        <w:autoSpaceDN w:val="0"/>
        <w:adjustRightInd w:val="0"/>
        <w:spacing w:line="480" w:lineRule="auto"/>
        <w:ind w:left="480" w:hanging="480"/>
      </w:pPr>
      <w:r w:rsidRPr="00E121E9">
        <w:t xml:space="preserve">Varma, S., &amp; Simon, R. (2006). Bias in error estimation when using cross-validation for model selection. </w:t>
      </w:r>
      <w:r w:rsidRPr="00E121E9">
        <w:rPr>
          <w:i/>
          <w:iCs/>
        </w:rPr>
        <w:t>BMC Bioinformatics</w:t>
      </w:r>
      <w:r w:rsidRPr="00E121E9">
        <w:t xml:space="preserve">, </w:t>
      </w:r>
      <w:r w:rsidRPr="00E121E9">
        <w:rPr>
          <w:i/>
          <w:iCs/>
        </w:rPr>
        <w:t>7</w:t>
      </w:r>
      <w:r w:rsidRPr="00E121E9">
        <w:t>(1), 91.</w:t>
      </w:r>
    </w:p>
    <w:p w14:paraId="50ACC143" w14:textId="77777777" w:rsidR="00F97FCE" w:rsidRPr="00E121E9" w:rsidRDefault="00534ED7">
      <w:pPr>
        <w:widowControl w:val="0"/>
        <w:autoSpaceDE w:val="0"/>
        <w:autoSpaceDN w:val="0"/>
        <w:adjustRightInd w:val="0"/>
        <w:spacing w:line="480" w:lineRule="auto"/>
        <w:ind w:left="480" w:hanging="480"/>
      </w:pPr>
      <w:r w:rsidRPr="00E121E9">
        <w:t xml:space="preserve">Vidler, M., &amp; Parker, D. (2004). Auditory brainstem response threshold estimation: subjective threshold estimation by experienced clinicians in a computer simulation of the clinical test. </w:t>
      </w:r>
      <w:r w:rsidRPr="00E121E9">
        <w:rPr>
          <w:i/>
          <w:iCs/>
        </w:rPr>
        <w:t>International Journal of Audiology</w:t>
      </w:r>
      <w:r w:rsidRPr="00E121E9">
        <w:t xml:space="preserve">, </w:t>
      </w:r>
      <w:r w:rsidRPr="00E121E9">
        <w:rPr>
          <w:i/>
          <w:iCs/>
        </w:rPr>
        <w:t>43</w:t>
      </w:r>
      <w:r w:rsidRPr="00E121E9">
        <w:t>(7), 417–429.</w:t>
      </w:r>
    </w:p>
    <w:p w14:paraId="53D3B89D" w14:textId="77777777" w:rsidR="00004600" w:rsidRPr="00E121E9" w:rsidRDefault="00004600" w:rsidP="00004600">
      <w:pPr>
        <w:widowControl w:val="0"/>
        <w:autoSpaceDE w:val="0"/>
        <w:autoSpaceDN w:val="0"/>
        <w:adjustRightInd w:val="0"/>
        <w:spacing w:line="480" w:lineRule="auto"/>
        <w:ind w:left="480" w:hanging="480"/>
      </w:pPr>
      <w:r w:rsidRPr="00E121E9">
        <w:t xml:space="preserve">Wolpert, D.H. (1992). Stacked generalization. </w:t>
      </w:r>
      <w:r w:rsidRPr="00E121E9">
        <w:rPr>
          <w:i/>
          <w:iCs/>
        </w:rPr>
        <w:t>Neural Networks</w:t>
      </w:r>
      <w:r w:rsidRPr="00E121E9">
        <w:t xml:space="preserve">, </w:t>
      </w:r>
      <w:r w:rsidRPr="00E121E9">
        <w:rPr>
          <w:i/>
          <w:iCs/>
        </w:rPr>
        <w:t>5</w:t>
      </w:r>
      <w:r w:rsidRPr="00E121E9">
        <w:t>(2), 241–259.</w:t>
      </w:r>
    </w:p>
    <w:p w14:paraId="0E7F1AF5" w14:textId="77777777" w:rsidR="00F97FCE" w:rsidRPr="00E121E9" w:rsidRDefault="00534ED7">
      <w:pPr>
        <w:widowControl w:val="0"/>
        <w:autoSpaceDE w:val="0"/>
        <w:autoSpaceDN w:val="0"/>
        <w:adjustRightInd w:val="0"/>
        <w:spacing w:line="480" w:lineRule="auto"/>
        <w:ind w:left="480" w:hanging="480"/>
      </w:pPr>
      <w:r w:rsidRPr="00E121E9">
        <w:t xml:space="preserve">Wolpert, D.H., &amp; Macready, W. G. (1997). No free lunch theorems for optimization. </w:t>
      </w:r>
      <w:r w:rsidRPr="00E121E9">
        <w:rPr>
          <w:i/>
          <w:iCs/>
        </w:rPr>
        <w:t>IEEE Transactions on Evolutionary Computation</w:t>
      </w:r>
      <w:r w:rsidRPr="00E121E9">
        <w:t xml:space="preserve">, </w:t>
      </w:r>
      <w:r w:rsidRPr="00E121E9">
        <w:rPr>
          <w:i/>
          <w:iCs/>
        </w:rPr>
        <w:t>1</w:t>
      </w:r>
      <w:r w:rsidRPr="00E121E9">
        <w:t>(1), 67–82.</w:t>
      </w:r>
    </w:p>
    <w:p w14:paraId="715BBA60" w14:textId="77777777" w:rsidR="00F97FCE" w:rsidRPr="00E121E9" w:rsidRDefault="00534ED7">
      <w:pPr>
        <w:widowControl w:val="0"/>
        <w:autoSpaceDE w:val="0"/>
        <w:autoSpaceDN w:val="0"/>
        <w:adjustRightInd w:val="0"/>
        <w:spacing w:line="480" w:lineRule="auto"/>
        <w:ind w:left="480" w:hanging="480"/>
      </w:pPr>
      <w:r w:rsidRPr="00E121E9">
        <w:t xml:space="preserve">Yamashita, R., </w:t>
      </w:r>
      <w:proofErr w:type="spellStart"/>
      <w:r w:rsidRPr="00E121E9">
        <w:t>Nishio</w:t>
      </w:r>
      <w:proofErr w:type="spellEnd"/>
      <w:r w:rsidRPr="00E121E9">
        <w:t xml:space="preserve">, M., Do, R. K. G., &amp; </w:t>
      </w:r>
      <w:proofErr w:type="spellStart"/>
      <w:r w:rsidRPr="00E121E9">
        <w:t>Togashi</w:t>
      </w:r>
      <w:proofErr w:type="spellEnd"/>
      <w:r w:rsidRPr="00E121E9">
        <w:t xml:space="preserve">, K. (2018). Convolutional neural networks: an overview and application in radiology. </w:t>
      </w:r>
      <w:r w:rsidRPr="00E121E9">
        <w:rPr>
          <w:i/>
          <w:iCs/>
        </w:rPr>
        <w:t>Insights into Imaging</w:t>
      </w:r>
      <w:r w:rsidRPr="00E121E9">
        <w:t xml:space="preserve">, </w:t>
      </w:r>
      <w:r w:rsidRPr="00E121E9">
        <w:rPr>
          <w:i/>
          <w:iCs/>
        </w:rPr>
        <w:t>9</w:t>
      </w:r>
      <w:r w:rsidRPr="00E121E9">
        <w:t>(4), 611–629.</w:t>
      </w:r>
    </w:p>
    <w:p w14:paraId="6709F740" w14:textId="77777777" w:rsidR="00F97FCE" w:rsidRPr="00E121E9" w:rsidRDefault="00534ED7">
      <w:pPr>
        <w:widowControl w:val="0"/>
        <w:autoSpaceDE w:val="0"/>
        <w:autoSpaceDN w:val="0"/>
        <w:adjustRightInd w:val="0"/>
        <w:spacing w:line="480" w:lineRule="auto"/>
        <w:ind w:left="480" w:hanging="480"/>
      </w:pPr>
      <w:r w:rsidRPr="00E121E9">
        <w:t xml:space="preserve">Zhang, R., McAllister, G., </w:t>
      </w:r>
      <w:proofErr w:type="spellStart"/>
      <w:r w:rsidRPr="00E121E9">
        <w:t>Scotney</w:t>
      </w:r>
      <w:proofErr w:type="spellEnd"/>
      <w:r w:rsidRPr="00E121E9">
        <w:t xml:space="preserve">, B., McClean, S., &amp; Houston, G. (2005). Classification of the auditory brainstem response (ABR) using wavelet analysis and Bayesian network. </w:t>
      </w:r>
      <w:r w:rsidRPr="00E121E9">
        <w:rPr>
          <w:i/>
          <w:iCs/>
        </w:rPr>
        <w:t>Proceedings - IEEE Symposium on Computer-Based Medical Systems</w:t>
      </w:r>
      <w:r w:rsidRPr="00E121E9">
        <w:t>, 485–490.</w:t>
      </w:r>
      <w:r w:rsidRPr="00E121E9">
        <w:rPr>
          <w:b/>
        </w:rPr>
        <w:br w:type="page"/>
      </w:r>
    </w:p>
    <w:p w14:paraId="045F2E31" w14:textId="77777777" w:rsidR="00F97FCE" w:rsidRPr="00E121E9" w:rsidRDefault="00534ED7">
      <w:pPr>
        <w:widowControl w:val="0"/>
        <w:autoSpaceDE w:val="0"/>
        <w:autoSpaceDN w:val="0"/>
        <w:adjustRightInd w:val="0"/>
        <w:spacing w:line="480" w:lineRule="auto"/>
        <w:ind w:left="480" w:hanging="480"/>
        <w:rPr>
          <w:b/>
          <w:bCs/>
        </w:rPr>
      </w:pPr>
      <w:r w:rsidRPr="00E121E9">
        <w:rPr>
          <w:b/>
          <w:bCs/>
        </w:rPr>
        <w:lastRenderedPageBreak/>
        <w:t>FIGURE LEGENDS</w:t>
      </w:r>
    </w:p>
    <w:p w14:paraId="527BBC68" w14:textId="77777777" w:rsidR="00F97FCE" w:rsidRPr="00E121E9" w:rsidRDefault="00534ED7">
      <w:pPr>
        <w:pStyle w:val="Figurecaption"/>
        <w:spacing w:line="480" w:lineRule="auto"/>
        <w:rPr>
          <w:b/>
          <w:bCs/>
        </w:rPr>
      </w:pPr>
      <w:r w:rsidRPr="00E121E9">
        <w:rPr>
          <w:b/>
        </w:rPr>
        <w:t>Figure 1.</w:t>
      </w:r>
      <w:r w:rsidRPr="00E121E9">
        <w:t xml:space="preserve">   </w:t>
      </w:r>
      <w:r w:rsidRPr="00E121E9">
        <w:rPr>
          <w:b/>
          <w:bCs/>
        </w:rPr>
        <w:t>Example ABR data.</w:t>
      </w:r>
    </w:p>
    <w:p w14:paraId="6FF7BADE" w14:textId="77777777" w:rsidR="00F97FCE" w:rsidRPr="00E121E9" w:rsidRDefault="00534ED7">
      <w:pPr>
        <w:spacing w:line="480" w:lineRule="auto"/>
        <w:rPr>
          <w:i/>
          <w:iCs/>
        </w:rPr>
      </w:pPr>
      <w:r w:rsidRPr="00E121E9">
        <w:rPr>
          <w:i/>
          <w:iCs/>
        </w:rPr>
        <w:t>Example ABR data from one participant. ABR data was presented in this format to two audiologists, who were asked to determine if a clear response was present for each stimulus level. If both clinicians agreed that a clear response was present, the grand average at the stimulus level in question would be used as a template to generate simulated ABR ensembles.</w:t>
      </w:r>
      <w:bookmarkStart w:id="1" w:name="_bookmark16"/>
      <w:bookmarkStart w:id="2" w:name="_bookmark20"/>
      <w:bookmarkStart w:id="3" w:name="Declaration_of_interest"/>
      <w:bookmarkStart w:id="4" w:name="_bookmark19"/>
      <w:bookmarkStart w:id="5" w:name="_bookmark25"/>
      <w:bookmarkStart w:id="6" w:name="_bookmark15"/>
      <w:bookmarkStart w:id="7" w:name="_bookmark5"/>
      <w:bookmarkStart w:id="8" w:name="_bookmark24"/>
      <w:bookmarkStart w:id="9" w:name="_bookmark22"/>
      <w:bookmarkStart w:id="10" w:name="_bookmark26"/>
      <w:bookmarkStart w:id="11" w:name="_bookmark18"/>
      <w:bookmarkStart w:id="12" w:name="_bookmark21"/>
      <w:bookmarkStart w:id="13" w:name="_bookmark6"/>
      <w:bookmarkStart w:id="14" w:name="_bookmark4"/>
      <w:bookmarkStart w:id="15" w:name="_bookmark17"/>
      <w:bookmarkStart w:id="16" w:name="_bookmark1"/>
      <w:bookmarkStart w:id="17" w:name="_bookmark9"/>
      <w:bookmarkStart w:id="18" w:name="_bookmark13"/>
      <w:bookmarkStart w:id="19" w:name="_bookmark23"/>
      <w:bookmarkStart w:id="20" w:name="_bookmark14"/>
      <w:bookmarkStart w:id="21" w:name="_bookmark12"/>
      <w:bookmarkStart w:id="22" w:name="_bookmark0"/>
      <w:bookmarkStart w:id="23" w:name="_bookmark10"/>
      <w:bookmarkStart w:id="24" w:name="Acknowledgements"/>
      <w:bookmarkStart w:id="25" w:name="Conclusion"/>
      <w:bookmarkStart w:id="26" w:name="_bookmark11"/>
      <w:bookmarkStart w:id="27" w:name="_bookmark8"/>
      <w:bookmarkStart w:id="28" w:name="_bookmark7"/>
      <w:bookmarkStart w:id="29" w:name="References"/>
      <w:bookmarkStart w:id="30" w:name="_bookmark3"/>
      <w:bookmarkStart w:id="31" w:name="_bookmark2"/>
      <w:bookmarkStart w:id="32" w:name="_bookmark2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DC8D5BB" w14:textId="77777777" w:rsidR="00F97FCE" w:rsidRPr="00E121E9" w:rsidRDefault="00534ED7">
      <w:pPr>
        <w:pStyle w:val="Figurecaption"/>
        <w:spacing w:line="480" w:lineRule="auto"/>
        <w:rPr>
          <w:b/>
          <w:bCs/>
        </w:rPr>
      </w:pPr>
      <w:r w:rsidRPr="00E121E9">
        <w:rPr>
          <w:b/>
        </w:rPr>
        <w:t>Figure 2.</w:t>
      </w:r>
      <w:r w:rsidRPr="00E121E9">
        <w:t xml:space="preserve">   </w:t>
      </w:r>
      <w:r w:rsidRPr="00E121E9">
        <w:rPr>
          <w:b/>
          <w:bCs/>
        </w:rPr>
        <w:t>Dataset.</w:t>
      </w:r>
    </w:p>
    <w:p w14:paraId="6CBC1CCE" w14:textId="77777777" w:rsidR="00F97FCE" w:rsidRPr="00E121E9" w:rsidRDefault="00534ED7">
      <w:pPr>
        <w:spacing w:line="480" w:lineRule="auto"/>
        <w:rPr>
          <w:i/>
          <w:iCs/>
        </w:rPr>
      </w:pPr>
      <w:r w:rsidRPr="00E121E9">
        <w:rPr>
          <w:i/>
          <w:iCs/>
        </w:rPr>
        <w:t>The simulated data are divided into a training set, threshold set and test set, with no participant overlap between sets.</w:t>
      </w:r>
    </w:p>
    <w:p w14:paraId="49C6E25F" w14:textId="5247331C" w:rsidR="00F97FCE" w:rsidRPr="00E121E9" w:rsidRDefault="00534ED7">
      <w:pPr>
        <w:pStyle w:val="Figurecaption"/>
        <w:spacing w:line="480" w:lineRule="auto"/>
        <w:rPr>
          <w:b/>
          <w:bCs/>
        </w:rPr>
      </w:pPr>
      <w:r w:rsidRPr="00E121E9">
        <w:rPr>
          <w:b/>
        </w:rPr>
        <w:t xml:space="preserve">Figure </w:t>
      </w:r>
      <w:r w:rsidR="00F96F3C" w:rsidRPr="00E121E9">
        <w:rPr>
          <w:b/>
        </w:rPr>
        <w:t>3</w:t>
      </w:r>
      <w:r w:rsidRPr="00E121E9">
        <w:rPr>
          <w:b/>
        </w:rPr>
        <w:t>.</w:t>
      </w:r>
      <w:r w:rsidRPr="00E121E9">
        <w:t xml:space="preserve">   </w:t>
      </w:r>
      <w:r w:rsidRPr="00E121E9">
        <w:rPr>
          <w:b/>
          <w:bCs/>
        </w:rPr>
        <w:t>Training set performance.</w:t>
      </w:r>
    </w:p>
    <w:p w14:paraId="6DE73272" w14:textId="77777777" w:rsidR="00F97FCE" w:rsidRPr="00E121E9" w:rsidRDefault="00534ED7">
      <w:pPr>
        <w:spacing w:line="480" w:lineRule="auto"/>
        <w:rPr>
          <w:b/>
          <w:bCs/>
          <w:i/>
          <w:iCs/>
        </w:rPr>
      </w:pPr>
      <w:r w:rsidRPr="00E121E9">
        <w:rPr>
          <w:i/>
          <w:iCs/>
        </w:rPr>
        <w:t>Box and whisker plots demonstrating the performance of each optimized detection method across the 9 outer validation folds of the training set. CNN-LSTM = Convolutional Long Short-Term Memory Network; MLP = Multilayer Perceptron.</w:t>
      </w:r>
    </w:p>
    <w:p w14:paraId="59873ABF" w14:textId="111CEB4C" w:rsidR="00F97FCE" w:rsidRPr="00E121E9" w:rsidRDefault="00534ED7">
      <w:pPr>
        <w:pStyle w:val="Figurecaption"/>
        <w:spacing w:line="480" w:lineRule="auto"/>
        <w:rPr>
          <w:b/>
          <w:bCs/>
        </w:rPr>
      </w:pPr>
      <w:r w:rsidRPr="00E121E9">
        <w:rPr>
          <w:b/>
        </w:rPr>
        <w:t xml:space="preserve">Figure </w:t>
      </w:r>
      <w:r w:rsidR="00F96F3C" w:rsidRPr="00E121E9">
        <w:rPr>
          <w:b/>
        </w:rPr>
        <w:t>4</w:t>
      </w:r>
      <w:r w:rsidRPr="00E121E9">
        <w:rPr>
          <w:b/>
        </w:rPr>
        <w:t>.</w:t>
      </w:r>
      <w:r w:rsidRPr="00E121E9">
        <w:t xml:space="preserve">   </w:t>
      </w:r>
      <w:r w:rsidRPr="00E121E9">
        <w:rPr>
          <w:b/>
          <w:bCs/>
        </w:rPr>
        <w:t>Test set specificity analysis.</w:t>
      </w:r>
    </w:p>
    <w:p w14:paraId="33E58AA1" w14:textId="77777777" w:rsidR="00F97FCE" w:rsidRPr="00E121E9" w:rsidRDefault="00534ED7">
      <w:pPr>
        <w:spacing w:line="480" w:lineRule="auto"/>
        <w:rPr>
          <w:i/>
          <w:iCs/>
        </w:rPr>
      </w:pPr>
      <w:r w:rsidRPr="00E121E9">
        <w:rPr>
          <w:i/>
          <w:iCs/>
        </w:rPr>
        <w:t>Specificity achieved by each detection method for each ensemble size on the test set no-stimulus data. Based on having set critical values to achieve a target false positive rate of 0.01 a specificity of 0.99 was expected. The 95% confidence intervals were calculated from the binomial distribution based on an expected specificity of 0.99 and the number of ensembles evaluated (n = 1,500 per ensemble size).</w:t>
      </w:r>
    </w:p>
    <w:p w14:paraId="080402C8" w14:textId="61507A3C" w:rsidR="00F97FCE" w:rsidRPr="00E121E9" w:rsidRDefault="00534ED7">
      <w:pPr>
        <w:pStyle w:val="Figurecaption"/>
        <w:spacing w:line="480" w:lineRule="auto"/>
        <w:rPr>
          <w:b/>
          <w:bCs/>
        </w:rPr>
      </w:pPr>
      <w:r w:rsidRPr="00E121E9">
        <w:rPr>
          <w:b/>
        </w:rPr>
        <w:t xml:space="preserve">Figure </w:t>
      </w:r>
      <w:r w:rsidR="00F96F3C" w:rsidRPr="00E121E9">
        <w:rPr>
          <w:b/>
        </w:rPr>
        <w:t>5</w:t>
      </w:r>
      <w:r w:rsidRPr="00E121E9">
        <w:rPr>
          <w:b/>
        </w:rPr>
        <w:t>.</w:t>
      </w:r>
      <w:r w:rsidRPr="00E121E9">
        <w:t xml:space="preserve">   </w:t>
      </w:r>
      <w:r w:rsidRPr="00E121E9">
        <w:rPr>
          <w:b/>
          <w:bCs/>
        </w:rPr>
        <w:t>Test set sensitivity analysis.</w:t>
      </w:r>
    </w:p>
    <w:p w14:paraId="313F0053" w14:textId="22594FC6" w:rsidR="00F0630E" w:rsidRPr="00E121E9" w:rsidRDefault="00534ED7">
      <w:pPr>
        <w:spacing w:line="480" w:lineRule="auto"/>
        <w:rPr>
          <w:i/>
          <w:iCs/>
        </w:rPr>
      </w:pPr>
      <w:r w:rsidRPr="00E121E9">
        <w:rPr>
          <w:i/>
          <w:iCs/>
        </w:rPr>
        <w:t xml:space="preserve">Sensitivity achieved by each detection method on the test set (ABR present) data as a function of the number of recording epochs. The critical values for each of the detection methods were controlled to provide a false positive rate of exactly 0.01. The error bars are the 95% </w:t>
      </w:r>
      <w:r w:rsidRPr="00E121E9">
        <w:rPr>
          <w:i/>
          <w:iCs/>
        </w:rPr>
        <w:lastRenderedPageBreak/>
        <w:t xml:space="preserve">confidence intervals based on the estimated binomial distribution (n=1500) centered over each detection rate. </w:t>
      </w:r>
    </w:p>
    <w:p w14:paraId="0CD9C21D" w14:textId="68A073E2" w:rsidR="00F97FCE" w:rsidRPr="00E121E9" w:rsidRDefault="00534ED7">
      <w:pPr>
        <w:pStyle w:val="Figurecaption"/>
        <w:spacing w:line="480" w:lineRule="auto"/>
        <w:rPr>
          <w:b/>
          <w:bCs/>
        </w:rPr>
      </w:pPr>
      <w:r w:rsidRPr="00E121E9">
        <w:rPr>
          <w:b/>
        </w:rPr>
        <w:t xml:space="preserve">Figure </w:t>
      </w:r>
      <w:r w:rsidR="00F96F3C" w:rsidRPr="00E121E9">
        <w:rPr>
          <w:b/>
        </w:rPr>
        <w:t>6</w:t>
      </w:r>
      <w:r w:rsidRPr="00E121E9">
        <w:rPr>
          <w:b/>
        </w:rPr>
        <w:t>.</w:t>
      </w:r>
      <w:r w:rsidRPr="00E121E9">
        <w:t xml:space="preserve">   </w:t>
      </w:r>
      <w:r w:rsidRPr="00E121E9">
        <w:rPr>
          <w:b/>
          <w:bCs/>
        </w:rPr>
        <w:t>SNR analysis.</w:t>
      </w:r>
    </w:p>
    <w:p w14:paraId="18F8941A" w14:textId="2F963146" w:rsidR="00F97FCE" w:rsidRPr="00E121E9" w:rsidRDefault="00534ED7">
      <w:pPr>
        <w:spacing w:line="480" w:lineRule="auto"/>
        <w:rPr>
          <w:i/>
          <w:iCs/>
        </w:rPr>
      </w:pPr>
      <w:r w:rsidRPr="00E121E9">
        <w:rPr>
          <w:i/>
          <w:iCs/>
        </w:rPr>
        <w:t>Detection rate by SNR. The critical values for each detection method have been adjusted to the level which achieves a false positive rate of 0.01 using the no-stimulus ensembles prior to ABR templates being added. The mean estimated SNR ± 1 SD of the subject recorded ABR ensembles at each stimulus level are added</w:t>
      </w:r>
      <w:r w:rsidR="00934B92" w:rsidRPr="00E121E9">
        <w:rPr>
          <w:i/>
          <w:iCs/>
        </w:rPr>
        <w:t xml:space="preserve"> </w:t>
      </w:r>
      <w:r w:rsidRPr="00E121E9">
        <w:rPr>
          <w:i/>
          <w:iCs/>
        </w:rPr>
        <w:t>to provide clinical context to the detection rate across SNRs.</w:t>
      </w:r>
      <w:r w:rsidRPr="00E121E9">
        <w:rPr>
          <w:i/>
          <w:iCs/>
        </w:rPr>
        <w:br w:type="page"/>
      </w:r>
    </w:p>
    <w:p w14:paraId="13565A74" w14:textId="77777777" w:rsidR="00F97FCE" w:rsidRPr="00E121E9" w:rsidRDefault="00534ED7">
      <w:pPr>
        <w:spacing w:line="480" w:lineRule="auto"/>
        <w:rPr>
          <w:b/>
          <w:bCs/>
        </w:rPr>
      </w:pPr>
      <w:r w:rsidRPr="00E121E9">
        <w:rPr>
          <w:b/>
          <w:bCs/>
        </w:rPr>
        <w:lastRenderedPageBreak/>
        <w:t>List of Supplemental Digital Material</w:t>
      </w:r>
    </w:p>
    <w:p w14:paraId="72D8BFAC" w14:textId="77777777" w:rsidR="00F97FCE" w:rsidRPr="00E121E9" w:rsidRDefault="00534ED7">
      <w:pPr>
        <w:spacing w:line="480" w:lineRule="auto"/>
      </w:pPr>
      <w:r w:rsidRPr="00E121E9">
        <w:t>Supplemental Digital Content 1. Tables showing the ABR assessor ratings.docx</w:t>
      </w:r>
    </w:p>
    <w:bookmarkEnd w:id="0"/>
    <w:p w14:paraId="003E17C8" w14:textId="13DE8907" w:rsidR="00E121E9" w:rsidRDefault="00534ED7">
      <w:pPr>
        <w:spacing w:line="480" w:lineRule="auto"/>
      </w:pPr>
      <w:r w:rsidRPr="00E121E9">
        <w:t>Supplemental Digital Content 2. Stacked ensemble machine learning algorithm architecture and hyperparameters.docx</w:t>
      </w:r>
    </w:p>
    <w:p w14:paraId="5B3B974D" w14:textId="77777777" w:rsidR="00E121E9" w:rsidRDefault="00E121E9">
      <w:r>
        <w:br w:type="page"/>
      </w:r>
    </w:p>
    <w:p w14:paraId="570C7482" w14:textId="6FC20488" w:rsidR="00F97FCE" w:rsidRDefault="00BE73DC">
      <w:pPr>
        <w:spacing w:line="480" w:lineRule="auto"/>
        <w:rPr>
          <w:b/>
          <w:bCs/>
        </w:rPr>
      </w:pPr>
      <w:r>
        <w:rPr>
          <w:b/>
          <w:bCs/>
        </w:rPr>
        <w:lastRenderedPageBreak/>
        <w:t>Figure 1</w:t>
      </w:r>
    </w:p>
    <w:p w14:paraId="0134BA0A" w14:textId="7CB799EA" w:rsidR="00BE73DC" w:rsidRDefault="00BE73DC">
      <w:pPr>
        <w:spacing w:line="480" w:lineRule="auto"/>
        <w:rPr>
          <w:b/>
          <w:bCs/>
        </w:rPr>
      </w:pPr>
      <w:r w:rsidRPr="00BE73DC">
        <w:rPr>
          <w:b/>
          <w:bCs/>
          <w:noProof/>
        </w:rPr>
        <w:drawing>
          <wp:inline distT="0" distB="0" distL="0" distR="0" wp14:anchorId="15DDBB30" wp14:editId="2F9BAA8C">
            <wp:extent cx="5759450" cy="6913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913245"/>
                    </a:xfrm>
                    <a:prstGeom prst="rect">
                      <a:avLst/>
                    </a:prstGeom>
                    <a:noFill/>
                    <a:ln>
                      <a:noFill/>
                    </a:ln>
                  </pic:spPr>
                </pic:pic>
              </a:graphicData>
            </a:graphic>
          </wp:inline>
        </w:drawing>
      </w:r>
    </w:p>
    <w:p w14:paraId="2A98920E" w14:textId="77777777" w:rsidR="00BE73DC" w:rsidRDefault="00BE73DC">
      <w:pPr>
        <w:rPr>
          <w:b/>
          <w:bCs/>
        </w:rPr>
      </w:pPr>
      <w:r>
        <w:rPr>
          <w:b/>
          <w:bCs/>
        </w:rPr>
        <w:br w:type="page"/>
      </w:r>
    </w:p>
    <w:p w14:paraId="339881C8" w14:textId="4F2226CE" w:rsidR="00BE73DC" w:rsidRDefault="00BE73DC">
      <w:pPr>
        <w:spacing w:line="480" w:lineRule="auto"/>
        <w:rPr>
          <w:b/>
          <w:bCs/>
        </w:rPr>
      </w:pPr>
      <w:r>
        <w:rPr>
          <w:b/>
          <w:bCs/>
        </w:rPr>
        <w:lastRenderedPageBreak/>
        <w:t>Figure 2</w:t>
      </w:r>
    </w:p>
    <w:p w14:paraId="6C378194" w14:textId="598EB833" w:rsidR="00E84794" w:rsidRDefault="00E84794">
      <w:pPr>
        <w:spacing w:line="480" w:lineRule="auto"/>
        <w:rPr>
          <w:b/>
          <w:bCs/>
        </w:rPr>
      </w:pPr>
      <w:r w:rsidRPr="00E84794">
        <w:rPr>
          <w:b/>
          <w:bCs/>
          <w:noProof/>
        </w:rPr>
        <w:drawing>
          <wp:inline distT="0" distB="0" distL="0" distR="0" wp14:anchorId="7AA8585F" wp14:editId="70498D13">
            <wp:extent cx="5759450" cy="2717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717165"/>
                    </a:xfrm>
                    <a:prstGeom prst="rect">
                      <a:avLst/>
                    </a:prstGeom>
                    <a:noFill/>
                    <a:ln>
                      <a:noFill/>
                    </a:ln>
                  </pic:spPr>
                </pic:pic>
              </a:graphicData>
            </a:graphic>
          </wp:inline>
        </w:drawing>
      </w:r>
    </w:p>
    <w:p w14:paraId="533D6307" w14:textId="77777777" w:rsidR="00E84794" w:rsidRDefault="00E84794">
      <w:pPr>
        <w:rPr>
          <w:b/>
          <w:bCs/>
        </w:rPr>
      </w:pPr>
      <w:r>
        <w:rPr>
          <w:b/>
          <w:bCs/>
        </w:rPr>
        <w:br w:type="page"/>
      </w:r>
    </w:p>
    <w:p w14:paraId="61A6DD90" w14:textId="409EC5B7" w:rsidR="00BE73DC" w:rsidRDefault="00E84794">
      <w:pPr>
        <w:spacing w:line="480" w:lineRule="auto"/>
        <w:rPr>
          <w:b/>
          <w:bCs/>
        </w:rPr>
      </w:pPr>
      <w:r>
        <w:rPr>
          <w:b/>
          <w:bCs/>
        </w:rPr>
        <w:lastRenderedPageBreak/>
        <w:t>Figure 3</w:t>
      </w:r>
    </w:p>
    <w:p w14:paraId="2613D825" w14:textId="3AF65CAA" w:rsidR="006C133A" w:rsidRDefault="006C133A">
      <w:pPr>
        <w:spacing w:line="480" w:lineRule="auto"/>
        <w:rPr>
          <w:b/>
          <w:bCs/>
        </w:rPr>
      </w:pPr>
      <w:r w:rsidRPr="006C133A">
        <w:rPr>
          <w:b/>
          <w:bCs/>
          <w:noProof/>
        </w:rPr>
        <w:drawing>
          <wp:inline distT="0" distB="0" distL="0" distR="0" wp14:anchorId="0E24FBBB" wp14:editId="75AB31FA">
            <wp:extent cx="5759450" cy="480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803775"/>
                    </a:xfrm>
                    <a:prstGeom prst="rect">
                      <a:avLst/>
                    </a:prstGeom>
                    <a:noFill/>
                    <a:ln>
                      <a:noFill/>
                    </a:ln>
                  </pic:spPr>
                </pic:pic>
              </a:graphicData>
            </a:graphic>
          </wp:inline>
        </w:drawing>
      </w:r>
    </w:p>
    <w:p w14:paraId="184DC49F" w14:textId="77777777" w:rsidR="006C133A" w:rsidRDefault="006C133A">
      <w:pPr>
        <w:rPr>
          <w:b/>
          <w:bCs/>
        </w:rPr>
      </w:pPr>
      <w:r>
        <w:rPr>
          <w:b/>
          <w:bCs/>
        </w:rPr>
        <w:br w:type="page"/>
      </w:r>
    </w:p>
    <w:p w14:paraId="31B2FF3C" w14:textId="69AA6ADE" w:rsidR="00E84794" w:rsidRDefault="006C133A">
      <w:pPr>
        <w:spacing w:line="480" w:lineRule="auto"/>
        <w:rPr>
          <w:b/>
          <w:bCs/>
        </w:rPr>
      </w:pPr>
      <w:r>
        <w:rPr>
          <w:b/>
          <w:bCs/>
        </w:rPr>
        <w:lastRenderedPageBreak/>
        <w:t>Figure 4</w:t>
      </w:r>
    </w:p>
    <w:p w14:paraId="49D2B3BE" w14:textId="75D8FEA8" w:rsidR="00265017" w:rsidRDefault="00265017">
      <w:pPr>
        <w:spacing w:line="480" w:lineRule="auto"/>
        <w:rPr>
          <w:b/>
          <w:bCs/>
        </w:rPr>
      </w:pPr>
      <w:r w:rsidRPr="00265017">
        <w:rPr>
          <w:b/>
          <w:bCs/>
          <w:noProof/>
        </w:rPr>
        <w:drawing>
          <wp:inline distT="0" distB="0" distL="0" distR="0" wp14:anchorId="490E8E55" wp14:editId="5F720F17">
            <wp:extent cx="5769335" cy="40462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76689"/>
                    <a:stretch/>
                  </pic:blipFill>
                  <pic:spPr bwMode="auto">
                    <a:xfrm>
                      <a:off x="0" y="0"/>
                      <a:ext cx="5773460" cy="4049113"/>
                    </a:xfrm>
                    <a:prstGeom prst="rect">
                      <a:avLst/>
                    </a:prstGeom>
                    <a:noFill/>
                    <a:ln>
                      <a:noFill/>
                    </a:ln>
                    <a:extLst>
                      <a:ext uri="{53640926-AAD7-44D8-BBD7-CCE9431645EC}">
                        <a14:shadowObscured xmlns:a14="http://schemas.microsoft.com/office/drawing/2010/main"/>
                      </a:ext>
                    </a:extLst>
                  </pic:spPr>
                </pic:pic>
              </a:graphicData>
            </a:graphic>
          </wp:inline>
        </w:drawing>
      </w:r>
    </w:p>
    <w:p w14:paraId="20AE5CAF" w14:textId="77777777" w:rsidR="00265017" w:rsidRDefault="00265017">
      <w:pPr>
        <w:rPr>
          <w:b/>
          <w:bCs/>
        </w:rPr>
      </w:pPr>
      <w:r>
        <w:rPr>
          <w:b/>
          <w:bCs/>
        </w:rPr>
        <w:br w:type="page"/>
      </w:r>
    </w:p>
    <w:p w14:paraId="3445D3BE" w14:textId="5C3BB3EB" w:rsidR="006C133A" w:rsidRDefault="00265017">
      <w:pPr>
        <w:spacing w:line="480" w:lineRule="auto"/>
        <w:rPr>
          <w:b/>
          <w:bCs/>
        </w:rPr>
      </w:pPr>
      <w:r>
        <w:rPr>
          <w:b/>
          <w:bCs/>
        </w:rPr>
        <w:lastRenderedPageBreak/>
        <w:t>Figure 5</w:t>
      </w:r>
    </w:p>
    <w:p w14:paraId="79721D01" w14:textId="49A0A41B" w:rsidR="00D33600" w:rsidRDefault="00D33600">
      <w:pPr>
        <w:spacing w:line="480" w:lineRule="auto"/>
        <w:rPr>
          <w:b/>
          <w:bCs/>
        </w:rPr>
      </w:pPr>
      <w:r w:rsidRPr="00D33600">
        <w:rPr>
          <w:b/>
          <w:bCs/>
          <w:noProof/>
        </w:rPr>
        <w:drawing>
          <wp:inline distT="0" distB="0" distL="0" distR="0" wp14:anchorId="5A3BBB62" wp14:editId="79C94264">
            <wp:extent cx="5759450" cy="3836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836670"/>
                    </a:xfrm>
                    <a:prstGeom prst="rect">
                      <a:avLst/>
                    </a:prstGeom>
                    <a:noFill/>
                    <a:ln>
                      <a:noFill/>
                    </a:ln>
                  </pic:spPr>
                </pic:pic>
              </a:graphicData>
            </a:graphic>
          </wp:inline>
        </w:drawing>
      </w:r>
    </w:p>
    <w:p w14:paraId="32C47CB9" w14:textId="77777777" w:rsidR="00D33600" w:rsidRDefault="00D33600">
      <w:pPr>
        <w:rPr>
          <w:b/>
          <w:bCs/>
        </w:rPr>
      </w:pPr>
      <w:r>
        <w:rPr>
          <w:b/>
          <w:bCs/>
        </w:rPr>
        <w:br w:type="page"/>
      </w:r>
    </w:p>
    <w:p w14:paraId="1564731C" w14:textId="66821292" w:rsidR="00265017" w:rsidRDefault="00D33600">
      <w:pPr>
        <w:spacing w:line="480" w:lineRule="auto"/>
        <w:rPr>
          <w:b/>
          <w:bCs/>
        </w:rPr>
      </w:pPr>
      <w:r>
        <w:rPr>
          <w:b/>
          <w:bCs/>
        </w:rPr>
        <w:lastRenderedPageBreak/>
        <w:t>Figure 6</w:t>
      </w:r>
    </w:p>
    <w:p w14:paraId="7725E35A" w14:textId="4EB4E633" w:rsidR="00D33600" w:rsidRDefault="00D33600">
      <w:pPr>
        <w:spacing w:line="480" w:lineRule="auto"/>
        <w:rPr>
          <w:b/>
          <w:bCs/>
        </w:rPr>
      </w:pPr>
      <w:r w:rsidRPr="00D33600">
        <w:rPr>
          <w:b/>
          <w:bCs/>
          <w:noProof/>
        </w:rPr>
        <w:drawing>
          <wp:inline distT="0" distB="0" distL="0" distR="0" wp14:anchorId="39C3E84F" wp14:editId="250365CC">
            <wp:extent cx="5759450" cy="3874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874135"/>
                    </a:xfrm>
                    <a:prstGeom prst="rect">
                      <a:avLst/>
                    </a:prstGeom>
                    <a:noFill/>
                    <a:ln>
                      <a:noFill/>
                    </a:ln>
                  </pic:spPr>
                </pic:pic>
              </a:graphicData>
            </a:graphic>
          </wp:inline>
        </w:drawing>
      </w:r>
    </w:p>
    <w:p w14:paraId="0CF023D3" w14:textId="77777777" w:rsidR="00D33600" w:rsidRDefault="00D33600">
      <w:pPr>
        <w:rPr>
          <w:b/>
          <w:bCs/>
        </w:rPr>
      </w:pPr>
      <w:r>
        <w:rPr>
          <w:b/>
          <w:bCs/>
        </w:rPr>
        <w:br w:type="page"/>
      </w:r>
    </w:p>
    <w:p w14:paraId="31ABB3D9" w14:textId="77777777" w:rsidR="00C941CD" w:rsidRDefault="00C941CD" w:rsidP="00C941CD">
      <w:pPr>
        <w:jc w:val="center"/>
        <w:rPr>
          <w:b/>
          <w:bCs/>
          <w:sz w:val="44"/>
          <w:szCs w:val="44"/>
        </w:rPr>
      </w:pPr>
      <w:r>
        <w:rPr>
          <w:b/>
          <w:bCs/>
          <w:sz w:val="44"/>
          <w:szCs w:val="44"/>
        </w:rPr>
        <w:lastRenderedPageBreak/>
        <w:t>Supplemental Digital Content 1</w:t>
      </w:r>
    </w:p>
    <w:tbl>
      <w:tblPr>
        <w:tblpPr w:leftFromText="180" w:rightFromText="180" w:vertAnchor="page" w:horzAnchor="margin" w:tblpXSpec="center" w:tblpY="25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52"/>
        <w:gridCol w:w="586"/>
        <w:gridCol w:w="585"/>
        <w:gridCol w:w="586"/>
        <w:gridCol w:w="585"/>
        <w:gridCol w:w="586"/>
        <w:gridCol w:w="585"/>
        <w:gridCol w:w="586"/>
        <w:gridCol w:w="585"/>
        <w:gridCol w:w="586"/>
        <w:gridCol w:w="585"/>
        <w:gridCol w:w="586"/>
        <w:gridCol w:w="586"/>
        <w:gridCol w:w="9"/>
      </w:tblGrid>
      <w:tr w:rsidR="00C941CD" w:rsidRPr="00082DEC" w14:paraId="02399AF3" w14:textId="77777777" w:rsidTr="003E7DB6">
        <w:trPr>
          <w:trHeight w:val="366"/>
        </w:trPr>
        <w:tc>
          <w:tcPr>
            <w:tcW w:w="8188" w:type="dxa"/>
            <w:gridSpan w:val="14"/>
            <w:tcBorders>
              <w:top w:val="nil"/>
              <w:left w:val="nil"/>
              <w:bottom w:val="single" w:sz="4" w:space="0" w:color="auto"/>
              <w:right w:val="nil"/>
            </w:tcBorders>
            <w:shd w:val="clear" w:color="auto" w:fill="auto"/>
            <w:tcMar>
              <w:top w:w="120" w:type="dxa"/>
              <w:left w:w="120" w:type="dxa"/>
              <w:bottom w:w="120" w:type="dxa"/>
              <w:right w:w="120" w:type="dxa"/>
            </w:tcMar>
            <w:vAlign w:val="center"/>
          </w:tcPr>
          <w:p w14:paraId="231F48D3" w14:textId="77777777" w:rsidR="00C941CD" w:rsidRPr="007F3D82" w:rsidRDefault="00C941CD" w:rsidP="003E7DB6">
            <w:pPr>
              <w:spacing w:before="240"/>
              <w:jc w:val="center"/>
              <w:rPr>
                <w:rFonts w:ascii="Helvetica" w:hAnsi="Helvetica"/>
                <w:b/>
                <w:bCs/>
                <w:color w:val="000000"/>
                <w:sz w:val="28"/>
                <w:szCs w:val="32"/>
                <w:lang w:val="en-GB"/>
              </w:rPr>
            </w:pPr>
            <w:r w:rsidRPr="007F3D82">
              <w:rPr>
                <w:rFonts w:ascii="Helvetica" w:hAnsi="Helvetica"/>
                <w:b/>
                <w:bCs/>
                <w:color w:val="000000"/>
                <w:sz w:val="28"/>
                <w:szCs w:val="32"/>
                <w:lang w:val="en-GB"/>
              </w:rPr>
              <w:t>Assessor 1</w:t>
            </w:r>
          </w:p>
        </w:tc>
      </w:tr>
      <w:tr w:rsidR="00C941CD" w:rsidRPr="00082DEC" w14:paraId="227AB610" w14:textId="77777777" w:rsidTr="003E7DB6">
        <w:trPr>
          <w:gridAfter w:val="1"/>
          <w:wAfter w:w="9" w:type="dxa"/>
          <w:trHeight w:val="236"/>
        </w:trPr>
        <w:tc>
          <w:tcPr>
            <w:tcW w:w="1152" w:type="dxa"/>
            <w:tcBorders>
              <w:bottom w:val="nil"/>
              <w:right w:val="double" w:sz="12" w:space="0" w:color="auto"/>
            </w:tcBorders>
            <w:shd w:val="clear" w:color="auto" w:fill="auto"/>
            <w:tcMar>
              <w:top w:w="120" w:type="dxa"/>
              <w:left w:w="120" w:type="dxa"/>
              <w:bottom w:w="120" w:type="dxa"/>
              <w:right w:w="120" w:type="dxa"/>
            </w:tcMar>
            <w:vAlign w:val="center"/>
          </w:tcPr>
          <w:p w14:paraId="76FA1D03" w14:textId="77777777" w:rsidR="00C941CD" w:rsidRPr="007F3D82" w:rsidRDefault="00C941CD" w:rsidP="003E7DB6">
            <w:pPr>
              <w:spacing w:before="240"/>
              <w:jc w:val="center"/>
              <w:rPr>
                <w:rFonts w:ascii="Helvetica" w:hAnsi="Helvetica"/>
                <w:b/>
                <w:bCs/>
                <w:color w:val="000000"/>
                <w:sz w:val="20"/>
                <w:szCs w:val="20"/>
                <w:lang w:val="en-GB"/>
              </w:rPr>
            </w:pPr>
          </w:p>
        </w:tc>
        <w:tc>
          <w:tcPr>
            <w:tcW w:w="7027" w:type="dxa"/>
            <w:gridSpan w:val="12"/>
            <w:tcBorders>
              <w:left w:val="double" w:sz="12" w:space="0" w:color="auto"/>
            </w:tcBorders>
            <w:shd w:val="clear" w:color="auto" w:fill="auto"/>
            <w:tcMar>
              <w:top w:w="120" w:type="dxa"/>
              <w:left w:w="120" w:type="dxa"/>
              <w:bottom w:w="120" w:type="dxa"/>
              <w:right w:w="120" w:type="dxa"/>
            </w:tcMar>
            <w:vAlign w:val="center"/>
          </w:tcPr>
          <w:p w14:paraId="7437F9E5" w14:textId="77777777" w:rsidR="00C941CD" w:rsidRPr="007F3D82" w:rsidRDefault="00C941CD" w:rsidP="003E7DB6">
            <w:pPr>
              <w:spacing w:before="240"/>
              <w:rPr>
                <w:rFonts w:ascii="Helvetica" w:hAnsi="Helvetica"/>
                <w:b/>
                <w:bCs/>
                <w:color w:val="000000"/>
                <w:lang w:val="en-GB"/>
              </w:rPr>
            </w:pPr>
            <w:r w:rsidRPr="007F3D82">
              <w:rPr>
                <w:rFonts w:ascii="Helvetica" w:hAnsi="Helvetica"/>
                <w:b/>
                <w:bCs/>
                <w:color w:val="000000"/>
                <w:lang w:val="en-GB"/>
              </w:rPr>
              <w:t xml:space="preserve">                                      </w:t>
            </w:r>
            <w:r w:rsidRPr="007F3D82">
              <w:rPr>
                <w:rFonts w:ascii="Helvetica" w:hAnsi="Helvetica"/>
                <w:b/>
                <w:bCs/>
                <w:color w:val="000000"/>
                <w:sz w:val="20"/>
                <w:szCs w:val="20"/>
                <w:lang w:val="en-GB"/>
              </w:rPr>
              <w:t>Participant</w:t>
            </w:r>
          </w:p>
        </w:tc>
      </w:tr>
      <w:tr w:rsidR="00C941CD" w:rsidRPr="00082DEC" w14:paraId="750D4DE1" w14:textId="77777777" w:rsidTr="003E7DB6">
        <w:trPr>
          <w:gridAfter w:val="1"/>
          <w:wAfter w:w="9" w:type="dxa"/>
          <w:trHeight w:val="236"/>
        </w:trPr>
        <w:tc>
          <w:tcPr>
            <w:tcW w:w="1152" w:type="dxa"/>
            <w:tcBorders>
              <w:top w:val="nil"/>
              <w:bottom w:val="single" w:sz="24" w:space="0" w:color="auto"/>
              <w:right w:val="double" w:sz="12" w:space="0" w:color="auto"/>
            </w:tcBorders>
            <w:shd w:val="clear" w:color="auto" w:fill="auto"/>
            <w:tcMar>
              <w:top w:w="120" w:type="dxa"/>
              <w:left w:w="120" w:type="dxa"/>
              <w:bottom w:w="120" w:type="dxa"/>
              <w:right w:w="120" w:type="dxa"/>
            </w:tcMar>
            <w:vAlign w:val="center"/>
          </w:tcPr>
          <w:p w14:paraId="58A73EA1" w14:textId="77777777" w:rsidR="00C941CD" w:rsidRPr="007F3D82" w:rsidRDefault="00C941CD" w:rsidP="003E7DB6">
            <w:pPr>
              <w:spacing w:before="240"/>
              <w:jc w:val="center"/>
              <w:rPr>
                <w:rFonts w:ascii="Helvetica" w:hAnsi="Helvetica"/>
                <w:b/>
                <w:bCs/>
                <w:color w:val="000000"/>
                <w:sz w:val="20"/>
                <w:szCs w:val="20"/>
                <w:lang w:val="en-GB"/>
              </w:rPr>
            </w:pPr>
            <w:r w:rsidRPr="007F3D82">
              <w:rPr>
                <w:rFonts w:ascii="Helvetica" w:hAnsi="Helvetica"/>
                <w:b/>
                <w:bCs/>
                <w:color w:val="000000"/>
                <w:sz w:val="20"/>
                <w:szCs w:val="20"/>
                <w:lang w:val="en-GB"/>
              </w:rPr>
              <w:t>Stimulus</w:t>
            </w:r>
          </w:p>
          <w:p w14:paraId="231A96E2" w14:textId="77777777" w:rsidR="00C941CD" w:rsidRDefault="00C941CD" w:rsidP="003E7DB6">
            <w:pPr>
              <w:spacing w:before="240"/>
              <w:jc w:val="center"/>
              <w:rPr>
                <w:rFonts w:ascii="Helvetica" w:hAnsi="Helvetica"/>
                <w:b/>
                <w:bCs/>
                <w:color w:val="000000"/>
                <w:sz w:val="20"/>
                <w:szCs w:val="20"/>
                <w:lang w:val="en-GB"/>
              </w:rPr>
            </w:pPr>
            <w:r w:rsidRPr="007F3D82">
              <w:rPr>
                <w:rFonts w:ascii="Helvetica" w:hAnsi="Helvetica"/>
                <w:b/>
                <w:bCs/>
                <w:color w:val="000000"/>
                <w:sz w:val="20"/>
                <w:szCs w:val="20"/>
                <w:lang w:val="en-GB"/>
              </w:rPr>
              <w:t>Level</w:t>
            </w:r>
          </w:p>
          <w:p w14:paraId="4E1B2143" w14:textId="77777777" w:rsidR="00C941CD" w:rsidRPr="007F3D82" w:rsidRDefault="00C941CD" w:rsidP="003E7DB6">
            <w:pPr>
              <w:spacing w:before="240"/>
              <w:jc w:val="center"/>
              <w:rPr>
                <w:rFonts w:ascii="Helvetica" w:hAnsi="Helvetica"/>
                <w:b/>
                <w:bCs/>
                <w:color w:val="000000"/>
                <w:sz w:val="20"/>
                <w:szCs w:val="20"/>
                <w:lang w:val="en-GB"/>
              </w:rPr>
            </w:pPr>
            <w:r>
              <w:rPr>
                <w:rFonts w:ascii="Helvetica" w:hAnsi="Helvetica"/>
                <w:b/>
                <w:bCs/>
                <w:color w:val="000000"/>
                <w:sz w:val="20"/>
                <w:szCs w:val="20"/>
                <w:lang w:val="en-GB"/>
              </w:rPr>
              <w:t>(dB SL)</w:t>
            </w:r>
          </w:p>
        </w:tc>
        <w:tc>
          <w:tcPr>
            <w:tcW w:w="586" w:type="dxa"/>
            <w:tcBorders>
              <w:left w:val="double" w:sz="12" w:space="0" w:color="auto"/>
              <w:bottom w:val="single" w:sz="24" w:space="0" w:color="auto"/>
            </w:tcBorders>
            <w:shd w:val="clear" w:color="auto" w:fill="auto"/>
            <w:tcMar>
              <w:top w:w="120" w:type="dxa"/>
              <w:left w:w="120" w:type="dxa"/>
              <w:bottom w:w="120" w:type="dxa"/>
              <w:right w:w="120" w:type="dxa"/>
            </w:tcMar>
            <w:vAlign w:val="center"/>
          </w:tcPr>
          <w:p w14:paraId="01D7D3EC"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4FE9AA46"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2</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52361958"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3</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0077349E"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4</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782A373C"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5</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0695EE97"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6</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40EEC430"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7</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22E93B28"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8</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688F3F93"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9</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5A86E6A2"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10</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044AB4D7"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11</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4108435E"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12</w:t>
            </w:r>
          </w:p>
        </w:tc>
      </w:tr>
      <w:tr w:rsidR="00C941CD" w:rsidRPr="00082DEC" w14:paraId="17335C36" w14:textId="77777777" w:rsidTr="003E7DB6">
        <w:trPr>
          <w:gridAfter w:val="1"/>
          <w:wAfter w:w="9" w:type="dxa"/>
          <w:trHeight w:val="407"/>
        </w:trPr>
        <w:tc>
          <w:tcPr>
            <w:tcW w:w="1152" w:type="dxa"/>
            <w:tcBorders>
              <w:top w:val="single" w:sz="24" w:space="0" w:color="auto"/>
              <w:right w:val="double" w:sz="12" w:space="0" w:color="auto"/>
            </w:tcBorders>
            <w:shd w:val="clear" w:color="auto" w:fill="F5F5F5"/>
            <w:tcMar>
              <w:top w:w="120" w:type="dxa"/>
              <w:left w:w="120" w:type="dxa"/>
              <w:bottom w:w="120" w:type="dxa"/>
              <w:right w:w="120" w:type="dxa"/>
            </w:tcMar>
            <w:vAlign w:val="center"/>
            <w:hideMark/>
          </w:tcPr>
          <w:p w14:paraId="1A719DB0"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50</w:t>
            </w:r>
          </w:p>
        </w:tc>
        <w:tc>
          <w:tcPr>
            <w:tcW w:w="586" w:type="dxa"/>
            <w:tcBorders>
              <w:top w:val="single" w:sz="24" w:space="0" w:color="auto"/>
              <w:left w:val="double" w:sz="12" w:space="0" w:color="auto"/>
            </w:tcBorders>
            <w:shd w:val="clear" w:color="auto" w:fill="F5F5F5"/>
            <w:tcMar>
              <w:top w:w="120" w:type="dxa"/>
              <w:left w:w="120" w:type="dxa"/>
              <w:bottom w:w="120" w:type="dxa"/>
              <w:right w:w="120" w:type="dxa"/>
            </w:tcMar>
            <w:vAlign w:val="center"/>
            <w:hideMark/>
          </w:tcPr>
          <w:p w14:paraId="13BB209D"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hideMark/>
          </w:tcPr>
          <w:p w14:paraId="0CDED8F1"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hideMark/>
          </w:tcPr>
          <w:p w14:paraId="5C3547F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hideMark/>
          </w:tcPr>
          <w:p w14:paraId="0317250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hideMark/>
          </w:tcPr>
          <w:p w14:paraId="29F443E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hideMark/>
          </w:tcPr>
          <w:p w14:paraId="1ADDBDE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hideMark/>
          </w:tcPr>
          <w:p w14:paraId="47CB0E40"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hideMark/>
          </w:tcPr>
          <w:p w14:paraId="53EE841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hideMark/>
          </w:tcPr>
          <w:p w14:paraId="004E543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hideMark/>
          </w:tcPr>
          <w:p w14:paraId="58010D4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hideMark/>
          </w:tcPr>
          <w:p w14:paraId="3B684EF1"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hideMark/>
          </w:tcPr>
          <w:p w14:paraId="2BA9411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r>
      <w:tr w:rsidR="00C941CD" w:rsidRPr="00082DEC" w14:paraId="71C3748A" w14:textId="77777777" w:rsidTr="003E7DB6">
        <w:trPr>
          <w:gridAfter w:val="1"/>
          <w:wAfter w:w="9" w:type="dxa"/>
          <w:trHeight w:val="407"/>
        </w:trPr>
        <w:tc>
          <w:tcPr>
            <w:tcW w:w="1152" w:type="dxa"/>
            <w:tcBorders>
              <w:right w:val="double" w:sz="12" w:space="0" w:color="auto"/>
            </w:tcBorders>
            <w:shd w:val="clear" w:color="auto" w:fill="FFFFFF"/>
            <w:tcMar>
              <w:top w:w="120" w:type="dxa"/>
              <w:left w:w="120" w:type="dxa"/>
              <w:bottom w:w="120" w:type="dxa"/>
              <w:right w:w="120" w:type="dxa"/>
            </w:tcMar>
            <w:vAlign w:val="center"/>
            <w:hideMark/>
          </w:tcPr>
          <w:p w14:paraId="28654E53"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40</w:t>
            </w:r>
          </w:p>
        </w:tc>
        <w:tc>
          <w:tcPr>
            <w:tcW w:w="586" w:type="dxa"/>
            <w:tcBorders>
              <w:left w:val="double" w:sz="12" w:space="0" w:color="auto"/>
            </w:tcBorders>
            <w:shd w:val="clear" w:color="auto" w:fill="FFFFFF"/>
            <w:tcMar>
              <w:top w:w="120" w:type="dxa"/>
              <w:left w:w="120" w:type="dxa"/>
              <w:bottom w:w="120" w:type="dxa"/>
              <w:right w:w="120" w:type="dxa"/>
            </w:tcMar>
            <w:vAlign w:val="center"/>
            <w:hideMark/>
          </w:tcPr>
          <w:p w14:paraId="517A7D4D"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6325C0D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3A632DED"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09E5BDA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4DAA9B3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25119979"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2F39808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4C04EFD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747216C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57E0739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58BF0A3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33F8FB0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r>
      <w:tr w:rsidR="00C941CD" w:rsidRPr="00082DEC" w14:paraId="56844C99" w14:textId="77777777" w:rsidTr="003E7DB6">
        <w:trPr>
          <w:gridAfter w:val="1"/>
          <w:wAfter w:w="9" w:type="dxa"/>
          <w:trHeight w:val="407"/>
        </w:trPr>
        <w:tc>
          <w:tcPr>
            <w:tcW w:w="1152" w:type="dxa"/>
            <w:tcBorders>
              <w:right w:val="double" w:sz="12" w:space="0" w:color="auto"/>
            </w:tcBorders>
            <w:shd w:val="clear" w:color="auto" w:fill="F5F5F5"/>
            <w:tcMar>
              <w:top w:w="120" w:type="dxa"/>
              <w:left w:w="120" w:type="dxa"/>
              <w:bottom w:w="120" w:type="dxa"/>
              <w:right w:w="120" w:type="dxa"/>
            </w:tcMar>
            <w:vAlign w:val="center"/>
            <w:hideMark/>
          </w:tcPr>
          <w:p w14:paraId="725ABE07"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30</w:t>
            </w:r>
          </w:p>
        </w:tc>
        <w:tc>
          <w:tcPr>
            <w:tcW w:w="586" w:type="dxa"/>
            <w:tcBorders>
              <w:left w:val="double" w:sz="12" w:space="0" w:color="auto"/>
            </w:tcBorders>
            <w:shd w:val="clear" w:color="auto" w:fill="F5F5F5"/>
            <w:tcMar>
              <w:top w:w="120" w:type="dxa"/>
              <w:left w:w="120" w:type="dxa"/>
              <w:bottom w:w="120" w:type="dxa"/>
              <w:right w:w="120" w:type="dxa"/>
            </w:tcMar>
            <w:vAlign w:val="center"/>
            <w:hideMark/>
          </w:tcPr>
          <w:p w14:paraId="1E3901F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5F5F5"/>
            <w:tcMar>
              <w:top w:w="120" w:type="dxa"/>
              <w:left w:w="120" w:type="dxa"/>
              <w:bottom w:w="120" w:type="dxa"/>
              <w:right w:w="120" w:type="dxa"/>
            </w:tcMar>
            <w:vAlign w:val="center"/>
            <w:hideMark/>
          </w:tcPr>
          <w:p w14:paraId="0C0D181B"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6D62803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5F5F5"/>
            <w:tcMar>
              <w:top w:w="120" w:type="dxa"/>
              <w:left w:w="120" w:type="dxa"/>
              <w:bottom w:w="120" w:type="dxa"/>
              <w:right w:w="120" w:type="dxa"/>
            </w:tcMar>
            <w:vAlign w:val="center"/>
            <w:hideMark/>
          </w:tcPr>
          <w:p w14:paraId="76DD0DC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1967534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5F5F5"/>
            <w:tcMar>
              <w:top w:w="120" w:type="dxa"/>
              <w:left w:w="120" w:type="dxa"/>
              <w:bottom w:w="120" w:type="dxa"/>
              <w:right w:w="120" w:type="dxa"/>
            </w:tcMar>
            <w:vAlign w:val="center"/>
            <w:hideMark/>
          </w:tcPr>
          <w:p w14:paraId="2BF1C01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746376F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5F5F5"/>
            <w:tcMar>
              <w:top w:w="120" w:type="dxa"/>
              <w:left w:w="120" w:type="dxa"/>
              <w:bottom w:w="120" w:type="dxa"/>
              <w:right w:w="120" w:type="dxa"/>
            </w:tcMar>
            <w:vAlign w:val="center"/>
            <w:hideMark/>
          </w:tcPr>
          <w:p w14:paraId="26D7D38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40DB786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5F5F5"/>
            <w:tcMar>
              <w:top w:w="120" w:type="dxa"/>
              <w:left w:w="120" w:type="dxa"/>
              <w:bottom w:w="120" w:type="dxa"/>
              <w:right w:w="120" w:type="dxa"/>
            </w:tcMar>
            <w:vAlign w:val="center"/>
            <w:hideMark/>
          </w:tcPr>
          <w:p w14:paraId="3EA6D96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21EEA03B"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5A85B52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r>
      <w:tr w:rsidR="00C941CD" w:rsidRPr="00082DEC" w14:paraId="1E65458B" w14:textId="77777777" w:rsidTr="003E7DB6">
        <w:trPr>
          <w:gridAfter w:val="1"/>
          <w:wAfter w:w="9" w:type="dxa"/>
          <w:trHeight w:val="407"/>
        </w:trPr>
        <w:tc>
          <w:tcPr>
            <w:tcW w:w="1152" w:type="dxa"/>
            <w:tcBorders>
              <w:right w:val="double" w:sz="12" w:space="0" w:color="auto"/>
            </w:tcBorders>
            <w:shd w:val="clear" w:color="auto" w:fill="FFFFFF"/>
            <w:tcMar>
              <w:top w:w="120" w:type="dxa"/>
              <w:left w:w="120" w:type="dxa"/>
              <w:bottom w:w="120" w:type="dxa"/>
              <w:right w:w="120" w:type="dxa"/>
            </w:tcMar>
            <w:vAlign w:val="center"/>
            <w:hideMark/>
          </w:tcPr>
          <w:p w14:paraId="2C7B6DD6"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20</w:t>
            </w:r>
          </w:p>
        </w:tc>
        <w:tc>
          <w:tcPr>
            <w:tcW w:w="586" w:type="dxa"/>
            <w:tcBorders>
              <w:left w:val="double" w:sz="12" w:space="0" w:color="auto"/>
            </w:tcBorders>
            <w:shd w:val="clear" w:color="auto" w:fill="FFFFFF"/>
            <w:tcMar>
              <w:top w:w="120" w:type="dxa"/>
              <w:left w:w="120" w:type="dxa"/>
              <w:bottom w:w="120" w:type="dxa"/>
              <w:right w:w="120" w:type="dxa"/>
            </w:tcMar>
            <w:vAlign w:val="center"/>
            <w:hideMark/>
          </w:tcPr>
          <w:p w14:paraId="163185E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04EBD77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66B618E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72E5DE2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7788A3FB"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5007D35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57436D8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FFFFF"/>
            <w:tcMar>
              <w:top w:w="120" w:type="dxa"/>
              <w:left w:w="120" w:type="dxa"/>
              <w:bottom w:w="120" w:type="dxa"/>
              <w:right w:w="120" w:type="dxa"/>
            </w:tcMar>
            <w:vAlign w:val="center"/>
            <w:hideMark/>
          </w:tcPr>
          <w:p w14:paraId="50CD7B01"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75F4C09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FFFFF"/>
            <w:tcMar>
              <w:top w:w="120" w:type="dxa"/>
              <w:left w:w="120" w:type="dxa"/>
              <w:bottom w:w="120" w:type="dxa"/>
              <w:right w:w="120" w:type="dxa"/>
            </w:tcMar>
            <w:vAlign w:val="center"/>
            <w:hideMark/>
          </w:tcPr>
          <w:p w14:paraId="498D118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43E7777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FFFFF"/>
            <w:tcMar>
              <w:top w:w="120" w:type="dxa"/>
              <w:left w:w="120" w:type="dxa"/>
              <w:bottom w:w="120" w:type="dxa"/>
              <w:right w:w="120" w:type="dxa"/>
            </w:tcMar>
            <w:vAlign w:val="center"/>
            <w:hideMark/>
          </w:tcPr>
          <w:p w14:paraId="21DFB66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r>
      <w:tr w:rsidR="00C941CD" w:rsidRPr="00082DEC" w14:paraId="7890D58D" w14:textId="77777777" w:rsidTr="003E7DB6">
        <w:trPr>
          <w:gridAfter w:val="1"/>
          <w:wAfter w:w="9" w:type="dxa"/>
          <w:trHeight w:val="407"/>
        </w:trPr>
        <w:tc>
          <w:tcPr>
            <w:tcW w:w="1152" w:type="dxa"/>
            <w:tcBorders>
              <w:right w:val="double" w:sz="12" w:space="0" w:color="auto"/>
            </w:tcBorders>
            <w:shd w:val="clear" w:color="auto" w:fill="F5F5F5"/>
            <w:tcMar>
              <w:top w:w="120" w:type="dxa"/>
              <w:left w:w="120" w:type="dxa"/>
              <w:bottom w:w="120" w:type="dxa"/>
              <w:right w:w="120" w:type="dxa"/>
            </w:tcMar>
            <w:vAlign w:val="center"/>
            <w:hideMark/>
          </w:tcPr>
          <w:p w14:paraId="2E299AD9"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10</w:t>
            </w:r>
          </w:p>
        </w:tc>
        <w:tc>
          <w:tcPr>
            <w:tcW w:w="586" w:type="dxa"/>
            <w:tcBorders>
              <w:left w:val="double" w:sz="12" w:space="0" w:color="auto"/>
            </w:tcBorders>
            <w:shd w:val="clear" w:color="auto" w:fill="F5F5F5"/>
            <w:tcMar>
              <w:top w:w="120" w:type="dxa"/>
              <w:left w:w="120" w:type="dxa"/>
              <w:bottom w:w="120" w:type="dxa"/>
              <w:right w:w="120" w:type="dxa"/>
            </w:tcMar>
            <w:vAlign w:val="center"/>
            <w:hideMark/>
          </w:tcPr>
          <w:p w14:paraId="0D2636E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5F5F5"/>
            <w:tcMar>
              <w:top w:w="120" w:type="dxa"/>
              <w:left w:w="120" w:type="dxa"/>
              <w:bottom w:w="120" w:type="dxa"/>
              <w:right w:w="120" w:type="dxa"/>
            </w:tcMar>
            <w:vAlign w:val="center"/>
            <w:hideMark/>
          </w:tcPr>
          <w:p w14:paraId="0E14D4A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5F5F5"/>
            <w:tcMar>
              <w:top w:w="120" w:type="dxa"/>
              <w:left w:w="120" w:type="dxa"/>
              <w:bottom w:w="120" w:type="dxa"/>
              <w:right w:w="120" w:type="dxa"/>
            </w:tcMar>
            <w:vAlign w:val="center"/>
            <w:hideMark/>
          </w:tcPr>
          <w:p w14:paraId="502E958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5" w:type="dxa"/>
            <w:shd w:val="clear" w:color="auto" w:fill="F5F5F5"/>
            <w:tcMar>
              <w:top w:w="120" w:type="dxa"/>
              <w:left w:w="120" w:type="dxa"/>
              <w:bottom w:w="120" w:type="dxa"/>
              <w:right w:w="120" w:type="dxa"/>
            </w:tcMar>
            <w:vAlign w:val="center"/>
            <w:hideMark/>
          </w:tcPr>
          <w:p w14:paraId="262B693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5F5F5"/>
            <w:tcMar>
              <w:top w:w="120" w:type="dxa"/>
              <w:left w:w="120" w:type="dxa"/>
              <w:bottom w:w="120" w:type="dxa"/>
              <w:right w:w="120" w:type="dxa"/>
            </w:tcMar>
            <w:vAlign w:val="center"/>
            <w:hideMark/>
          </w:tcPr>
          <w:p w14:paraId="6A6FF82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5F5F5"/>
            <w:tcMar>
              <w:top w:w="120" w:type="dxa"/>
              <w:left w:w="120" w:type="dxa"/>
              <w:bottom w:w="120" w:type="dxa"/>
              <w:right w:w="120" w:type="dxa"/>
            </w:tcMar>
            <w:vAlign w:val="center"/>
            <w:hideMark/>
          </w:tcPr>
          <w:p w14:paraId="64910C6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2B9673E9"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5F5F5"/>
            <w:tcMar>
              <w:top w:w="120" w:type="dxa"/>
              <w:left w:w="120" w:type="dxa"/>
              <w:bottom w:w="120" w:type="dxa"/>
              <w:right w:w="120" w:type="dxa"/>
            </w:tcMar>
            <w:vAlign w:val="center"/>
            <w:hideMark/>
          </w:tcPr>
          <w:p w14:paraId="45E981F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2A2BD62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5F5F5"/>
            <w:tcMar>
              <w:top w:w="120" w:type="dxa"/>
              <w:left w:w="120" w:type="dxa"/>
              <w:bottom w:w="120" w:type="dxa"/>
              <w:right w:w="120" w:type="dxa"/>
            </w:tcMar>
            <w:vAlign w:val="center"/>
            <w:hideMark/>
          </w:tcPr>
          <w:p w14:paraId="6EC3151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5F5F5"/>
            <w:tcMar>
              <w:top w:w="120" w:type="dxa"/>
              <w:left w:w="120" w:type="dxa"/>
              <w:bottom w:w="120" w:type="dxa"/>
              <w:right w:w="120" w:type="dxa"/>
            </w:tcMar>
            <w:vAlign w:val="center"/>
            <w:hideMark/>
          </w:tcPr>
          <w:p w14:paraId="4D0E0B4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1</w:t>
            </w:r>
          </w:p>
        </w:tc>
        <w:tc>
          <w:tcPr>
            <w:tcW w:w="586" w:type="dxa"/>
            <w:shd w:val="clear" w:color="auto" w:fill="F5F5F5"/>
            <w:tcMar>
              <w:top w:w="120" w:type="dxa"/>
              <w:left w:w="120" w:type="dxa"/>
              <w:bottom w:w="120" w:type="dxa"/>
              <w:right w:w="120" w:type="dxa"/>
            </w:tcMar>
            <w:vAlign w:val="center"/>
            <w:hideMark/>
          </w:tcPr>
          <w:p w14:paraId="2ED33B2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r>
      <w:tr w:rsidR="00C941CD" w:rsidRPr="00082DEC" w14:paraId="322FA037" w14:textId="77777777" w:rsidTr="003E7DB6">
        <w:trPr>
          <w:gridAfter w:val="1"/>
          <w:wAfter w:w="9" w:type="dxa"/>
          <w:trHeight w:val="407"/>
        </w:trPr>
        <w:tc>
          <w:tcPr>
            <w:tcW w:w="1152" w:type="dxa"/>
            <w:tcBorders>
              <w:right w:val="double" w:sz="12" w:space="0" w:color="auto"/>
            </w:tcBorders>
            <w:shd w:val="clear" w:color="auto" w:fill="FFFFFF"/>
            <w:tcMar>
              <w:top w:w="120" w:type="dxa"/>
              <w:left w:w="120" w:type="dxa"/>
              <w:bottom w:w="120" w:type="dxa"/>
              <w:right w:w="120" w:type="dxa"/>
            </w:tcMar>
            <w:vAlign w:val="center"/>
            <w:hideMark/>
          </w:tcPr>
          <w:p w14:paraId="675D7DA1"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0</w:t>
            </w:r>
          </w:p>
        </w:tc>
        <w:tc>
          <w:tcPr>
            <w:tcW w:w="586" w:type="dxa"/>
            <w:tcBorders>
              <w:left w:val="double" w:sz="12" w:space="0" w:color="auto"/>
            </w:tcBorders>
            <w:shd w:val="clear" w:color="auto" w:fill="FFFFFF"/>
            <w:tcMar>
              <w:top w:w="120" w:type="dxa"/>
              <w:left w:w="120" w:type="dxa"/>
              <w:bottom w:w="120" w:type="dxa"/>
              <w:right w:w="120" w:type="dxa"/>
            </w:tcMar>
            <w:vAlign w:val="center"/>
            <w:hideMark/>
          </w:tcPr>
          <w:p w14:paraId="08A969A0"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FFFFF"/>
            <w:tcMar>
              <w:top w:w="120" w:type="dxa"/>
              <w:left w:w="120" w:type="dxa"/>
              <w:bottom w:w="120" w:type="dxa"/>
              <w:right w:w="120" w:type="dxa"/>
            </w:tcMar>
            <w:vAlign w:val="center"/>
            <w:hideMark/>
          </w:tcPr>
          <w:p w14:paraId="6645D45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1FEF4CA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FFFFF"/>
            <w:tcMar>
              <w:top w:w="120" w:type="dxa"/>
              <w:left w:w="120" w:type="dxa"/>
              <w:bottom w:w="120" w:type="dxa"/>
              <w:right w:w="120" w:type="dxa"/>
            </w:tcMar>
            <w:vAlign w:val="center"/>
            <w:hideMark/>
          </w:tcPr>
          <w:p w14:paraId="3A5C1D4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7ADBDD4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FFFFF"/>
            <w:tcMar>
              <w:top w:w="120" w:type="dxa"/>
              <w:left w:w="120" w:type="dxa"/>
              <w:bottom w:w="120" w:type="dxa"/>
              <w:right w:w="120" w:type="dxa"/>
            </w:tcMar>
            <w:vAlign w:val="center"/>
            <w:hideMark/>
          </w:tcPr>
          <w:p w14:paraId="5FC48DE9"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1285089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FFFFF"/>
            <w:tcMar>
              <w:top w:w="120" w:type="dxa"/>
              <w:left w:w="120" w:type="dxa"/>
              <w:bottom w:w="120" w:type="dxa"/>
              <w:right w:w="120" w:type="dxa"/>
            </w:tcMar>
            <w:vAlign w:val="center"/>
            <w:hideMark/>
          </w:tcPr>
          <w:p w14:paraId="14A6BC9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5B9D570D"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5" w:type="dxa"/>
            <w:shd w:val="clear" w:color="auto" w:fill="FFFFFF"/>
            <w:tcMar>
              <w:top w:w="120" w:type="dxa"/>
              <w:left w:w="120" w:type="dxa"/>
              <w:bottom w:w="120" w:type="dxa"/>
              <w:right w:w="120" w:type="dxa"/>
            </w:tcMar>
            <w:vAlign w:val="center"/>
            <w:hideMark/>
          </w:tcPr>
          <w:p w14:paraId="3E216D0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2360A78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c>
          <w:tcPr>
            <w:tcW w:w="586" w:type="dxa"/>
            <w:shd w:val="clear" w:color="auto" w:fill="FFFFFF"/>
            <w:tcMar>
              <w:top w:w="120" w:type="dxa"/>
              <w:left w:w="120" w:type="dxa"/>
              <w:bottom w:w="120" w:type="dxa"/>
              <w:right w:w="120" w:type="dxa"/>
            </w:tcMar>
            <w:vAlign w:val="center"/>
            <w:hideMark/>
          </w:tcPr>
          <w:p w14:paraId="4E085EF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20"/>
                <w:szCs w:val="20"/>
                <w:lang w:val="en-GB"/>
              </w:rPr>
              <w:t>0</w:t>
            </w:r>
          </w:p>
        </w:tc>
      </w:tr>
    </w:tbl>
    <w:p w14:paraId="68223532" w14:textId="77777777" w:rsidR="00C941CD" w:rsidRDefault="00C941CD" w:rsidP="00C941CD">
      <w:pPr>
        <w:rPr>
          <w:b/>
          <w:bCs/>
          <w:sz w:val="44"/>
          <w:szCs w:val="44"/>
        </w:rPr>
      </w:pPr>
    </w:p>
    <w:p w14:paraId="035FA97E" w14:textId="77777777" w:rsidR="00C941CD" w:rsidRDefault="00C941CD" w:rsidP="00C941CD">
      <w:pPr>
        <w:jc w:val="center"/>
        <w:rPr>
          <w:b/>
          <w:bCs/>
          <w:sz w:val="44"/>
          <w:szCs w:val="44"/>
        </w:rPr>
      </w:pPr>
    </w:p>
    <w:p w14:paraId="07F5F096" w14:textId="77777777" w:rsidR="00C941CD" w:rsidRDefault="00C941CD" w:rsidP="00C941CD">
      <w:pPr>
        <w:jc w:val="center"/>
        <w:rPr>
          <w:b/>
          <w:bCs/>
          <w:sz w:val="44"/>
          <w:szCs w:val="44"/>
        </w:rPr>
      </w:pPr>
    </w:p>
    <w:p w14:paraId="011B6B9C" w14:textId="77777777" w:rsidR="00C941CD" w:rsidRDefault="00C941CD" w:rsidP="00C941CD">
      <w:pPr>
        <w:jc w:val="center"/>
        <w:rPr>
          <w:b/>
          <w:bCs/>
          <w:sz w:val="44"/>
          <w:szCs w:val="44"/>
        </w:rPr>
      </w:pPr>
    </w:p>
    <w:p w14:paraId="13FBED3B" w14:textId="77777777" w:rsidR="00C941CD" w:rsidRDefault="00C941CD" w:rsidP="00C941CD">
      <w:pPr>
        <w:jc w:val="center"/>
        <w:rPr>
          <w:b/>
          <w:bCs/>
          <w:sz w:val="44"/>
          <w:szCs w:val="44"/>
        </w:rPr>
      </w:pPr>
    </w:p>
    <w:p w14:paraId="42C8B4B2" w14:textId="77777777" w:rsidR="00C941CD" w:rsidRDefault="00C941CD" w:rsidP="00C941CD">
      <w:pPr>
        <w:jc w:val="center"/>
        <w:rPr>
          <w:b/>
          <w:bCs/>
          <w:sz w:val="44"/>
          <w:szCs w:val="44"/>
        </w:rPr>
      </w:pPr>
    </w:p>
    <w:p w14:paraId="28C8E1DA" w14:textId="77777777" w:rsidR="00C941CD" w:rsidRDefault="00C941CD" w:rsidP="00C941CD">
      <w:pPr>
        <w:rPr>
          <w:b/>
          <w:bCs/>
          <w:sz w:val="44"/>
          <w:szCs w:val="44"/>
        </w:rPr>
      </w:pPr>
    </w:p>
    <w:tbl>
      <w:tblPr>
        <w:tblpPr w:leftFromText="180" w:rightFromText="180" w:vertAnchor="page" w:horzAnchor="margin" w:tblpXSpec="center" w:tblpY="1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52"/>
        <w:gridCol w:w="586"/>
        <w:gridCol w:w="585"/>
        <w:gridCol w:w="586"/>
        <w:gridCol w:w="585"/>
        <w:gridCol w:w="586"/>
        <w:gridCol w:w="585"/>
        <w:gridCol w:w="586"/>
        <w:gridCol w:w="585"/>
        <w:gridCol w:w="586"/>
        <w:gridCol w:w="585"/>
        <w:gridCol w:w="586"/>
        <w:gridCol w:w="586"/>
        <w:gridCol w:w="9"/>
      </w:tblGrid>
      <w:tr w:rsidR="00C941CD" w:rsidRPr="00082DEC" w14:paraId="6B2EB2DA" w14:textId="77777777" w:rsidTr="003E7DB6">
        <w:trPr>
          <w:trHeight w:val="366"/>
        </w:trPr>
        <w:tc>
          <w:tcPr>
            <w:tcW w:w="8188" w:type="dxa"/>
            <w:gridSpan w:val="14"/>
            <w:tcBorders>
              <w:top w:val="nil"/>
              <w:left w:val="nil"/>
              <w:bottom w:val="single" w:sz="4" w:space="0" w:color="auto"/>
              <w:right w:val="nil"/>
            </w:tcBorders>
            <w:shd w:val="clear" w:color="auto" w:fill="auto"/>
            <w:tcMar>
              <w:top w:w="120" w:type="dxa"/>
              <w:left w:w="120" w:type="dxa"/>
              <w:bottom w:w="120" w:type="dxa"/>
              <w:right w:w="120" w:type="dxa"/>
            </w:tcMar>
            <w:vAlign w:val="center"/>
          </w:tcPr>
          <w:p w14:paraId="3D8D276F" w14:textId="77777777" w:rsidR="00C941CD" w:rsidRPr="007F3D82" w:rsidRDefault="00C941CD" w:rsidP="003E7DB6">
            <w:pPr>
              <w:spacing w:before="240"/>
              <w:jc w:val="center"/>
              <w:rPr>
                <w:rFonts w:ascii="Helvetica" w:hAnsi="Helvetica"/>
                <w:b/>
                <w:bCs/>
                <w:color w:val="000000"/>
                <w:sz w:val="28"/>
                <w:szCs w:val="32"/>
                <w:lang w:val="en-GB"/>
              </w:rPr>
            </w:pPr>
            <w:r w:rsidRPr="007F3D82">
              <w:rPr>
                <w:rFonts w:ascii="Helvetica" w:hAnsi="Helvetica"/>
                <w:b/>
                <w:bCs/>
                <w:color w:val="000000"/>
                <w:sz w:val="28"/>
                <w:szCs w:val="32"/>
                <w:lang w:val="en-GB"/>
              </w:rPr>
              <w:lastRenderedPageBreak/>
              <w:t xml:space="preserve">Assessor </w:t>
            </w:r>
            <w:r>
              <w:rPr>
                <w:rFonts w:ascii="Helvetica" w:hAnsi="Helvetica"/>
                <w:b/>
                <w:bCs/>
                <w:color w:val="000000"/>
                <w:sz w:val="28"/>
                <w:szCs w:val="32"/>
                <w:lang w:val="en-GB"/>
              </w:rPr>
              <w:t>2</w:t>
            </w:r>
          </w:p>
        </w:tc>
      </w:tr>
      <w:tr w:rsidR="00C941CD" w:rsidRPr="00082DEC" w14:paraId="22D3EEDF" w14:textId="77777777" w:rsidTr="003E7DB6">
        <w:trPr>
          <w:gridAfter w:val="1"/>
          <w:wAfter w:w="9" w:type="dxa"/>
          <w:trHeight w:val="236"/>
        </w:trPr>
        <w:tc>
          <w:tcPr>
            <w:tcW w:w="1152" w:type="dxa"/>
            <w:tcBorders>
              <w:bottom w:val="nil"/>
              <w:right w:val="double" w:sz="12" w:space="0" w:color="auto"/>
            </w:tcBorders>
            <w:shd w:val="clear" w:color="auto" w:fill="auto"/>
            <w:tcMar>
              <w:top w:w="120" w:type="dxa"/>
              <w:left w:w="120" w:type="dxa"/>
              <w:bottom w:w="120" w:type="dxa"/>
              <w:right w:w="120" w:type="dxa"/>
            </w:tcMar>
            <w:vAlign w:val="center"/>
          </w:tcPr>
          <w:p w14:paraId="799033C0" w14:textId="77777777" w:rsidR="00C941CD" w:rsidRPr="007F3D82" w:rsidRDefault="00C941CD" w:rsidP="003E7DB6">
            <w:pPr>
              <w:spacing w:before="240"/>
              <w:jc w:val="center"/>
              <w:rPr>
                <w:rFonts w:ascii="Helvetica" w:hAnsi="Helvetica"/>
                <w:b/>
                <w:bCs/>
                <w:color w:val="000000"/>
                <w:sz w:val="20"/>
                <w:szCs w:val="20"/>
                <w:lang w:val="en-GB"/>
              </w:rPr>
            </w:pPr>
          </w:p>
        </w:tc>
        <w:tc>
          <w:tcPr>
            <w:tcW w:w="7027" w:type="dxa"/>
            <w:gridSpan w:val="12"/>
            <w:tcBorders>
              <w:left w:val="double" w:sz="12" w:space="0" w:color="auto"/>
            </w:tcBorders>
            <w:shd w:val="clear" w:color="auto" w:fill="auto"/>
            <w:tcMar>
              <w:top w:w="120" w:type="dxa"/>
              <w:left w:w="120" w:type="dxa"/>
              <w:bottom w:w="120" w:type="dxa"/>
              <w:right w:w="120" w:type="dxa"/>
            </w:tcMar>
            <w:vAlign w:val="center"/>
          </w:tcPr>
          <w:p w14:paraId="2C1E55F2" w14:textId="77777777" w:rsidR="00C941CD" w:rsidRPr="007F3D82" w:rsidRDefault="00C941CD" w:rsidP="003E7DB6">
            <w:pPr>
              <w:spacing w:before="240"/>
              <w:rPr>
                <w:rFonts w:ascii="Helvetica" w:hAnsi="Helvetica"/>
                <w:b/>
                <w:bCs/>
                <w:color w:val="000000"/>
                <w:lang w:val="en-GB"/>
              </w:rPr>
            </w:pPr>
            <w:r w:rsidRPr="007F3D82">
              <w:rPr>
                <w:rFonts w:ascii="Helvetica" w:hAnsi="Helvetica"/>
                <w:b/>
                <w:bCs/>
                <w:color w:val="000000"/>
                <w:lang w:val="en-GB"/>
              </w:rPr>
              <w:t xml:space="preserve">                                      </w:t>
            </w:r>
            <w:r w:rsidRPr="007F3D82">
              <w:rPr>
                <w:rFonts w:ascii="Helvetica" w:hAnsi="Helvetica"/>
                <w:b/>
                <w:bCs/>
                <w:color w:val="000000"/>
                <w:sz w:val="20"/>
                <w:szCs w:val="20"/>
                <w:lang w:val="en-GB"/>
              </w:rPr>
              <w:t>Participant</w:t>
            </w:r>
          </w:p>
        </w:tc>
      </w:tr>
      <w:tr w:rsidR="00C941CD" w:rsidRPr="00082DEC" w14:paraId="615220FE" w14:textId="77777777" w:rsidTr="003E7DB6">
        <w:trPr>
          <w:gridAfter w:val="1"/>
          <w:wAfter w:w="9" w:type="dxa"/>
          <w:trHeight w:val="236"/>
        </w:trPr>
        <w:tc>
          <w:tcPr>
            <w:tcW w:w="1152" w:type="dxa"/>
            <w:tcBorders>
              <w:top w:val="nil"/>
              <w:bottom w:val="single" w:sz="24" w:space="0" w:color="auto"/>
              <w:right w:val="double" w:sz="12" w:space="0" w:color="auto"/>
            </w:tcBorders>
            <w:shd w:val="clear" w:color="auto" w:fill="auto"/>
            <w:tcMar>
              <w:top w:w="120" w:type="dxa"/>
              <w:left w:w="120" w:type="dxa"/>
              <w:bottom w:w="120" w:type="dxa"/>
              <w:right w:w="120" w:type="dxa"/>
            </w:tcMar>
            <w:vAlign w:val="center"/>
          </w:tcPr>
          <w:p w14:paraId="377F9F34" w14:textId="77777777" w:rsidR="00C941CD" w:rsidRPr="007F3D82" w:rsidRDefault="00C941CD" w:rsidP="003E7DB6">
            <w:pPr>
              <w:spacing w:before="240"/>
              <w:jc w:val="center"/>
              <w:rPr>
                <w:rFonts w:ascii="Helvetica" w:hAnsi="Helvetica"/>
                <w:b/>
                <w:bCs/>
                <w:color w:val="000000"/>
                <w:sz w:val="20"/>
                <w:szCs w:val="20"/>
                <w:lang w:val="en-GB"/>
              </w:rPr>
            </w:pPr>
            <w:r w:rsidRPr="007F3D82">
              <w:rPr>
                <w:rFonts w:ascii="Helvetica" w:hAnsi="Helvetica"/>
                <w:b/>
                <w:bCs/>
                <w:color w:val="000000"/>
                <w:sz w:val="20"/>
                <w:szCs w:val="20"/>
                <w:lang w:val="en-GB"/>
              </w:rPr>
              <w:t>Stimulus</w:t>
            </w:r>
          </w:p>
          <w:p w14:paraId="360B5E97" w14:textId="77777777" w:rsidR="00C941CD" w:rsidRDefault="00C941CD" w:rsidP="003E7DB6">
            <w:pPr>
              <w:spacing w:before="240"/>
              <w:jc w:val="center"/>
              <w:rPr>
                <w:rFonts w:ascii="Helvetica" w:hAnsi="Helvetica"/>
                <w:b/>
                <w:bCs/>
                <w:color w:val="000000"/>
                <w:sz w:val="20"/>
                <w:szCs w:val="20"/>
                <w:lang w:val="en-GB"/>
              </w:rPr>
            </w:pPr>
            <w:r w:rsidRPr="007F3D82">
              <w:rPr>
                <w:rFonts w:ascii="Helvetica" w:hAnsi="Helvetica"/>
                <w:b/>
                <w:bCs/>
                <w:color w:val="000000"/>
                <w:sz w:val="20"/>
                <w:szCs w:val="20"/>
                <w:lang w:val="en-GB"/>
              </w:rPr>
              <w:t>Level</w:t>
            </w:r>
          </w:p>
          <w:p w14:paraId="6D389261" w14:textId="77777777" w:rsidR="00C941CD" w:rsidRPr="007F3D82" w:rsidRDefault="00C941CD" w:rsidP="003E7DB6">
            <w:pPr>
              <w:spacing w:before="240"/>
              <w:jc w:val="center"/>
              <w:rPr>
                <w:rFonts w:ascii="Helvetica" w:hAnsi="Helvetica"/>
                <w:b/>
                <w:bCs/>
                <w:color w:val="000000"/>
                <w:sz w:val="20"/>
                <w:szCs w:val="20"/>
                <w:lang w:val="en-GB"/>
              </w:rPr>
            </w:pPr>
            <w:r>
              <w:rPr>
                <w:rFonts w:ascii="Helvetica" w:hAnsi="Helvetica"/>
                <w:b/>
                <w:bCs/>
                <w:color w:val="000000"/>
                <w:sz w:val="20"/>
                <w:szCs w:val="20"/>
                <w:lang w:val="en-GB"/>
              </w:rPr>
              <w:t>(dB SL)</w:t>
            </w:r>
          </w:p>
        </w:tc>
        <w:tc>
          <w:tcPr>
            <w:tcW w:w="586" w:type="dxa"/>
            <w:tcBorders>
              <w:left w:val="double" w:sz="12" w:space="0" w:color="auto"/>
              <w:bottom w:val="single" w:sz="24" w:space="0" w:color="auto"/>
            </w:tcBorders>
            <w:shd w:val="clear" w:color="auto" w:fill="auto"/>
            <w:tcMar>
              <w:top w:w="120" w:type="dxa"/>
              <w:left w:w="120" w:type="dxa"/>
              <w:bottom w:w="120" w:type="dxa"/>
              <w:right w:w="120" w:type="dxa"/>
            </w:tcMar>
            <w:vAlign w:val="center"/>
          </w:tcPr>
          <w:p w14:paraId="2E54970A"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7E332196"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2</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0A9C7839"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3</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2FBCD895"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4</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7ACD969B"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5</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3C17A747"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6</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72792914"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7</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2D29DFC0"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8</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3A79896A"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9</w:t>
            </w:r>
          </w:p>
        </w:tc>
        <w:tc>
          <w:tcPr>
            <w:tcW w:w="585" w:type="dxa"/>
            <w:tcBorders>
              <w:bottom w:val="single" w:sz="24" w:space="0" w:color="auto"/>
            </w:tcBorders>
            <w:shd w:val="clear" w:color="auto" w:fill="auto"/>
            <w:tcMar>
              <w:top w:w="120" w:type="dxa"/>
              <w:left w:w="120" w:type="dxa"/>
              <w:bottom w:w="120" w:type="dxa"/>
              <w:right w:w="120" w:type="dxa"/>
            </w:tcMar>
            <w:vAlign w:val="center"/>
          </w:tcPr>
          <w:p w14:paraId="639977FB"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10</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119CB52C"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11</w:t>
            </w:r>
          </w:p>
        </w:tc>
        <w:tc>
          <w:tcPr>
            <w:tcW w:w="586" w:type="dxa"/>
            <w:tcBorders>
              <w:bottom w:val="single" w:sz="24" w:space="0" w:color="auto"/>
            </w:tcBorders>
            <w:shd w:val="clear" w:color="auto" w:fill="auto"/>
            <w:tcMar>
              <w:top w:w="120" w:type="dxa"/>
              <w:left w:w="120" w:type="dxa"/>
              <w:bottom w:w="120" w:type="dxa"/>
              <w:right w:w="120" w:type="dxa"/>
            </w:tcMar>
            <w:vAlign w:val="center"/>
          </w:tcPr>
          <w:p w14:paraId="43DF1C6C" w14:textId="77777777" w:rsidR="00C941CD" w:rsidRPr="007F3D82" w:rsidRDefault="00C941CD" w:rsidP="003E7DB6">
            <w:pPr>
              <w:spacing w:before="240"/>
              <w:jc w:val="center"/>
              <w:rPr>
                <w:rFonts w:ascii="Helvetica" w:hAnsi="Helvetica"/>
                <w:color w:val="000000"/>
                <w:sz w:val="20"/>
                <w:szCs w:val="20"/>
                <w:lang w:val="en-GB"/>
              </w:rPr>
            </w:pPr>
            <w:r w:rsidRPr="00082DEC">
              <w:rPr>
                <w:rFonts w:ascii="Helvetica" w:hAnsi="Helvetica"/>
                <w:b/>
                <w:bCs/>
                <w:color w:val="000000"/>
                <w:sz w:val="20"/>
                <w:szCs w:val="20"/>
                <w:lang w:val="en-GB"/>
              </w:rPr>
              <w:t>12</w:t>
            </w:r>
          </w:p>
        </w:tc>
      </w:tr>
      <w:tr w:rsidR="00C941CD" w:rsidRPr="00082DEC" w14:paraId="437896F3" w14:textId="77777777" w:rsidTr="003E7DB6">
        <w:trPr>
          <w:gridAfter w:val="1"/>
          <w:wAfter w:w="9" w:type="dxa"/>
          <w:trHeight w:val="407"/>
        </w:trPr>
        <w:tc>
          <w:tcPr>
            <w:tcW w:w="1152" w:type="dxa"/>
            <w:tcBorders>
              <w:top w:val="single" w:sz="24" w:space="0" w:color="auto"/>
              <w:right w:val="double" w:sz="12" w:space="0" w:color="auto"/>
            </w:tcBorders>
            <w:shd w:val="clear" w:color="auto" w:fill="F5F5F5"/>
            <w:tcMar>
              <w:top w:w="120" w:type="dxa"/>
              <w:left w:w="120" w:type="dxa"/>
              <w:bottom w:w="120" w:type="dxa"/>
              <w:right w:w="120" w:type="dxa"/>
            </w:tcMar>
            <w:vAlign w:val="center"/>
            <w:hideMark/>
          </w:tcPr>
          <w:p w14:paraId="26C88E3C"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50</w:t>
            </w:r>
          </w:p>
        </w:tc>
        <w:tc>
          <w:tcPr>
            <w:tcW w:w="586" w:type="dxa"/>
            <w:tcBorders>
              <w:top w:val="single" w:sz="24" w:space="0" w:color="auto"/>
              <w:left w:val="double" w:sz="12" w:space="0" w:color="auto"/>
            </w:tcBorders>
            <w:shd w:val="clear" w:color="auto" w:fill="F5F5F5"/>
            <w:tcMar>
              <w:top w:w="120" w:type="dxa"/>
              <w:left w:w="120" w:type="dxa"/>
              <w:bottom w:w="120" w:type="dxa"/>
              <w:right w:w="120" w:type="dxa"/>
            </w:tcMar>
            <w:vAlign w:val="center"/>
          </w:tcPr>
          <w:p w14:paraId="7705651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tcPr>
          <w:p w14:paraId="250426A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tcPr>
          <w:p w14:paraId="2B4AD15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tcPr>
          <w:p w14:paraId="704D00A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tcPr>
          <w:p w14:paraId="551F7DB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tcPr>
          <w:p w14:paraId="34265DA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tcPr>
          <w:p w14:paraId="3EE37B6D"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tcPr>
          <w:p w14:paraId="3802E16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tcPr>
          <w:p w14:paraId="618F3B2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tcBorders>
              <w:top w:val="single" w:sz="24" w:space="0" w:color="auto"/>
            </w:tcBorders>
            <w:shd w:val="clear" w:color="auto" w:fill="F5F5F5"/>
            <w:tcMar>
              <w:top w:w="120" w:type="dxa"/>
              <w:left w:w="120" w:type="dxa"/>
              <w:bottom w:w="120" w:type="dxa"/>
              <w:right w:w="120" w:type="dxa"/>
            </w:tcMar>
            <w:vAlign w:val="center"/>
          </w:tcPr>
          <w:p w14:paraId="4EDE6E70"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tcPr>
          <w:p w14:paraId="463F9BE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tcBorders>
              <w:top w:val="single" w:sz="24" w:space="0" w:color="auto"/>
            </w:tcBorders>
            <w:shd w:val="clear" w:color="auto" w:fill="F5F5F5"/>
            <w:tcMar>
              <w:top w:w="120" w:type="dxa"/>
              <w:left w:w="120" w:type="dxa"/>
              <w:bottom w:w="120" w:type="dxa"/>
              <w:right w:w="120" w:type="dxa"/>
            </w:tcMar>
            <w:vAlign w:val="center"/>
          </w:tcPr>
          <w:p w14:paraId="114C9EE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r>
      <w:tr w:rsidR="00C941CD" w:rsidRPr="00082DEC" w14:paraId="55F2B2BA" w14:textId="77777777" w:rsidTr="003E7DB6">
        <w:trPr>
          <w:gridAfter w:val="1"/>
          <w:wAfter w:w="9" w:type="dxa"/>
          <w:trHeight w:val="407"/>
        </w:trPr>
        <w:tc>
          <w:tcPr>
            <w:tcW w:w="1152" w:type="dxa"/>
            <w:tcBorders>
              <w:right w:val="double" w:sz="12" w:space="0" w:color="auto"/>
            </w:tcBorders>
            <w:shd w:val="clear" w:color="auto" w:fill="FFFFFF"/>
            <w:tcMar>
              <w:top w:w="120" w:type="dxa"/>
              <w:left w:w="120" w:type="dxa"/>
              <w:bottom w:w="120" w:type="dxa"/>
              <w:right w:w="120" w:type="dxa"/>
            </w:tcMar>
            <w:vAlign w:val="center"/>
            <w:hideMark/>
          </w:tcPr>
          <w:p w14:paraId="0443C75E"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40</w:t>
            </w:r>
          </w:p>
        </w:tc>
        <w:tc>
          <w:tcPr>
            <w:tcW w:w="586" w:type="dxa"/>
            <w:tcBorders>
              <w:left w:val="double" w:sz="12" w:space="0" w:color="auto"/>
            </w:tcBorders>
            <w:shd w:val="clear" w:color="auto" w:fill="FFFFFF"/>
            <w:tcMar>
              <w:top w:w="120" w:type="dxa"/>
              <w:left w:w="120" w:type="dxa"/>
              <w:bottom w:w="120" w:type="dxa"/>
              <w:right w:w="120" w:type="dxa"/>
            </w:tcMar>
            <w:vAlign w:val="center"/>
          </w:tcPr>
          <w:p w14:paraId="3744018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46FB10C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28BF646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517ABF0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6CFEFE3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0D6BE7F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7FAFA48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1048DF0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56A040A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5CDCC98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1D2BA30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2E1AD1E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r>
      <w:tr w:rsidR="00C941CD" w:rsidRPr="00082DEC" w14:paraId="26AB76F8" w14:textId="77777777" w:rsidTr="003E7DB6">
        <w:trPr>
          <w:gridAfter w:val="1"/>
          <w:wAfter w:w="9" w:type="dxa"/>
          <w:trHeight w:val="407"/>
        </w:trPr>
        <w:tc>
          <w:tcPr>
            <w:tcW w:w="1152" w:type="dxa"/>
            <w:tcBorders>
              <w:right w:val="double" w:sz="12" w:space="0" w:color="auto"/>
            </w:tcBorders>
            <w:shd w:val="clear" w:color="auto" w:fill="F5F5F5"/>
            <w:tcMar>
              <w:top w:w="120" w:type="dxa"/>
              <w:left w:w="120" w:type="dxa"/>
              <w:bottom w:w="120" w:type="dxa"/>
              <w:right w:w="120" w:type="dxa"/>
            </w:tcMar>
            <w:vAlign w:val="center"/>
            <w:hideMark/>
          </w:tcPr>
          <w:p w14:paraId="5ABF6B6D"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30</w:t>
            </w:r>
          </w:p>
        </w:tc>
        <w:tc>
          <w:tcPr>
            <w:tcW w:w="586" w:type="dxa"/>
            <w:tcBorders>
              <w:left w:val="double" w:sz="12" w:space="0" w:color="auto"/>
            </w:tcBorders>
            <w:shd w:val="clear" w:color="auto" w:fill="F5F5F5"/>
            <w:tcMar>
              <w:top w:w="120" w:type="dxa"/>
              <w:left w:w="120" w:type="dxa"/>
              <w:bottom w:w="120" w:type="dxa"/>
              <w:right w:w="120" w:type="dxa"/>
            </w:tcMar>
            <w:vAlign w:val="center"/>
          </w:tcPr>
          <w:p w14:paraId="7C8916F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5F5F5"/>
            <w:tcMar>
              <w:top w:w="120" w:type="dxa"/>
              <w:left w:w="120" w:type="dxa"/>
              <w:bottom w:w="120" w:type="dxa"/>
              <w:right w:w="120" w:type="dxa"/>
            </w:tcMar>
            <w:vAlign w:val="center"/>
          </w:tcPr>
          <w:p w14:paraId="3243619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5E04BA5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5F5F5"/>
            <w:tcMar>
              <w:top w:w="120" w:type="dxa"/>
              <w:left w:w="120" w:type="dxa"/>
              <w:bottom w:w="120" w:type="dxa"/>
              <w:right w:w="120" w:type="dxa"/>
            </w:tcMar>
            <w:vAlign w:val="center"/>
          </w:tcPr>
          <w:p w14:paraId="766DBAE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6AA8103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5F5F5"/>
            <w:tcMar>
              <w:top w:w="120" w:type="dxa"/>
              <w:left w:w="120" w:type="dxa"/>
              <w:bottom w:w="120" w:type="dxa"/>
              <w:right w:w="120" w:type="dxa"/>
            </w:tcMar>
            <w:vAlign w:val="center"/>
          </w:tcPr>
          <w:p w14:paraId="4C825E1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4060E2A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5F5F5"/>
            <w:tcMar>
              <w:top w:w="120" w:type="dxa"/>
              <w:left w:w="120" w:type="dxa"/>
              <w:bottom w:w="120" w:type="dxa"/>
              <w:right w:w="120" w:type="dxa"/>
            </w:tcMar>
            <w:vAlign w:val="center"/>
          </w:tcPr>
          <w:p w14:paraId="5FE457B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5605FE0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5F5F5"/>
            <w:tcMar>
              <w:top w:w="120" w:type="dxa"/>
              <w:left w:w="120" w:type="dxa"/>
              <w:bottom w:w="120" w:type="dxa"/>
              <w:right w:w="120" w:type="dxa"/>
            </w:tcMar>
            <w:vAlign w:val="center"/>
          </w:tcPr>
          <w:p w14:paraId="3EEEC6E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69526C61"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1A14AFDD"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r>
      <w:tr w:rsidR="00C941CD" w:rsidRPr="00082DEC" w14:paraId="7DD4D6A7" w14:textId="77777777" w:rsidTr="003E7DB6">
        <w:trPr>
          <w:gridAfter w:val="1"/>
          <w:wAfter w:w="9" w:type="dxa"/>
          <w:trHeight w:val="407"/>
        </w:trPr>
        <w:tc>
          <w:tcPr>
            <w:tcW w:w="1152" w:type="dxa"/>
            <w:tcBorders>
              <w:right w:val="double" w:sz="12" w:space="0" w:color="auto"/>
            </w:tcBorders>
            <w:shd w:val="clear" w:color="auto" w:fill="FFFFFF"/>
            <w:tcMar>
              <w:top w:w="120" w:type="dxa"/>
              <w:left w:w="120" w:type="dxa"/>
              <w:bottom w:w="120" w:type="dxa"/>
              <w:right w:w="120" w:type="dxa"/>
            </w:tcMar>
            <w:vAlign w:val="center"/>
            <w:hideMark/>
          </w:tcPr>
          <w:p w14:paraId="1AFFDF17"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20</w:t>
            </w:r>
          </w:p>
        </w:tc>
        <w:tc>
          <w:tcPr>
            <w:tcW w:w="586" w:type="dxa"/>
            <w:tcBorders>
              <w:left w:val="double" w:sz="12" w:space="0" w:color="auto"/>
            </w:tcBorders>
            <w:shd w:val="clear" w:color="auto" w:fill="FFFFFF"/>
            <w:tcMar>
              <w:top w:w="120" w:type="dxa"/>
              <w:left w:w="120" w:type="dxa"/>
              <w:bottom w:w="120" w:type="dxa"/>
              <w:right w:w="120" w:type="dxa"/>
            </w:tcMar>
            <w:vAlign w:val="center"/>
          </w:tcPr>
          <w:p w14:paraId="651E2469"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5067ACA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34587590"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40A2F3C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FFFFF"/>
            <w:tcMar>
              <w:top w:w="120" w:type="dxa"/>
              <w:left w:w="120" w:type="dxa"/>
              <w:bottom w:w="120" w:type="dxa"/>
              <w:right w:w="120" w:type="dxa"/>
            </w:tcMar>
            <w:vAlign w:val="center"/>
          </w:tcPr>
          <w:p w14:paraId="466FB4D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4678C2B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21D2CBE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FFFFF"/>
            <w:tcMar>
              <w:top w:w="120" w:type="dxa"/>
              <w:left w:w="120" w:type="dxa"/>
              <w:bottom w:w="120" w:type="dxa"/>
              <w:right w:w="120" w:type="dxa"/>
            </w:tcMar>
            <w:vAlign w:val="center"/>
          </w:tcPr>
          <w:p w14:paraId="2EE6676B"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581A344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00559CA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6F66B5D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FFFFF"/>
            <w:tcMar>
              <w:top w:w="120" w:type="dxa"/>
              <w:left w:w="120" w:type="dxa"/>
              <w:bottom w:w="120" w:type="dxa"/>
              <w:right w:w="120" w:type="dxa"/>
            </w:tcMar>
            <w:vAlign w:val="center"/>
          </w:tcPr>
          <w:p w14:paraId="525ABB6B"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r>
      <w:tr w:rsidR="00C941CD" w:rsidRPr="00082DEC" w14:paraId="77B29492" w14:textId="77777777" w:rsidTr="003E7DB6">
        <w:trPr>
          <w:gridAfter w:val="1"/>
          <w:wAfter w:w="9" w:type="dxa"/>
          <w:trHeight w:val="407"/>
        </w:trPr>
        <w:tc>
          <w:tcPr>
            <w:tcW w:w="1152" w:type="dxa"/>
            <w:tcBorders>
              <w:right w:val="double" w:sz="12" w:space="0" w:color="auto"/>
            </w:tcBorders>
            <w:shd w:val="clear" w:color="auto" w:fill="F5F5F5"/>
            <w:tcMar>
              <w:top w:w="120" w:type="dxa"/>
              <w:left w:w="120" w:type="dxa"/>
              <w:bottom w:w="120" w:type="dxa"/>
              <w:right w:w="120" w:type="dxa"/>
            </w:tcMar>
            <w:vAlign w:val="center"/>
            <w:hideMark/>
          </w:tcPr>
          <w:p w14:paraId="693BBC40"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10</w:t>
            </w:r>
          </w:p>
        </w:tc>
        <w:tc>
          <w:tcPr>
            <w:tcW w:w="586" w:type="dxa"/>
            <w:tcBorders>
              <w:left w:val="double" w:sz="12" w:space="0" w:color="auto"/>
            </w:tcBorders>
            <w:shd w:val="clear" w:color="auto" w:fill="F5F5F5"/>
            <w:tcMar>
              <w:top w:w="120" w:type="dxa"/>
              <w:left w:w="120" w:type="dxa"/>
              <w:bottom w:w="120" w:type="dxa"/>
              <w:right w:w="120" w:type="dxa"/>
            </w:tcMar>
            <w:vAlign w:val="center"/>
          </w:tcPr>
          <w:p w14:paraId="33B1DF8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5F5F5"/>
            <w:tcMar>
              <w:top w:w="120" w:type="dxa"/>
              <w:left w:w="120" w:type="dxa"/>
              <w:bottom w:w="120" w:type="dxa"/>
              <w:right w:w="120" w:type="dxa"/>
            </w:tcMar>
            <w:vAlign w:val="center"/>
          </w:tcPr>
          <w:p w14:paraId="49DA318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5F5F5"/>
            <w:tcMar>
              <w:top w:w="120" w:type="dxa"/>
              <w:left w:w="120" w:type="dxa"/>
              <w:bottom w:w="120" w:type="dxa"/>
              <w:right w:w="120" w:type="dxa"/>
            </w:tcMar>
            <w:vAlign w:val="center"/>
          </w:tcPr>
          <w:p w14:paraId="52AB44A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5F5F5"/>
            <w:tcMar>
              <w:top w:w="120" w:type="dxa"/>
              <w:left w:w="120" w:type="dxa"/>
              <w:bottom w:w="120" w:type="dxa"/>
              <w:right w:w="120" w:type="dxa"/>
            </w:tcMar>
            <w:vAlign w:val="center"/>
          </w:tcPr>
          <w:p w14:paraId="0F75025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5F5F5"/>
            <w:tcMar>
              <w:top w:w="120" w:type="dxa"/>
              <w:left w:w="120" w:type="dxa"/>
              <w:bottom w:w="120" w:type="dxa"/>
              <w:right w:w="120" w:type="dxa"/>
            </w:tcMar>
            <w:vAlign w:val="center"/>
          </w:tcPr>
          <w:p w14:paraId="16E6ED37"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5F5F5"/>
            <w:tcMar>
              <w:top w:w="120" w:type="dxa"/>
              <w:left w:w="120" w:type="dxa"/>
              <w:bottom w:w="120" w:type="dxa"/>
              <w:right w:w="120" w:type="dxa"/>
            </w:tcMar>
            <w:vAlign w:val="center"/>
          </w:tcPr>
          <w:p w14:paraId="34272043"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5C0D768A"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5F5F5"/>
            <w:tcMar>
              <w:top w:w="120" w:type="dxa"/>
              <w:left w:w="120" w:type="dxa"/>
              <w:bottom w:w="120" w:type="dxa"/>
              <w:right w:w="120" w:type="dxa"/>
            </w:tcMar>
            <w:vAlign w:val="center"/>
          </w:tcPr>
          <w:p w14:paraId="0B8981E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354A02E4"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5F5F5"/>
            <w:tcMar>
              <w:top w:w="120" w:type="dxa"/>
              <w:left w:w="120" w:type="dxa"/>
              <w:bottom w:w="120" w:type="dxa"/>
              <w:right w:w="120" w:type="dxa"/>
            </w:tcMar>
            <w:vAlign w:val="center"/>
          </w:tcPr>
          <w:p w14:paraId="735DBB9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6DF29D1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6" w:type="dxa"/>
            <w:shd w:val="clear" w:color="auto" w:fill="F5F5F5"/>
            <w:tcMar>
              <w:top w:w="120" w:type="dxa"/>
              <w:left w:w="120" w:type="dxa"/>
              <w:bottom w:w="120" w:type="dxa"/>
              <w:right w:w="120" w:type="dxa"/>
            </w:tcMar>
            <w:vAlign w:val="center"/>
          </w:tcPr>
          <w:p w14:paraId="0F818AB2"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r>
      <w:tr w:rsidR="00C941CD" w:rsidRPr="00082DEC" w14:paraId="32DE7BEC" w14:textId="77777777" w:rsidTr="003E7DB6">
        <w:trPr>
          <w:gridAfter w:val="1"/>
          <w:wAfter w:w="9" w:type="dxa"/>
          <w:trHeight w:val="407"/>
        </w:trPr>
        <w:tc>
          <w:tcPr>
            <w:tcW w:w="1152" w:type="dxa"/>
            <w:tcBorders>
              <w:right w:val="double" w:sz="12" w:space="0" w:color="auto"/>
            </w:tcBorders>
            <w:shd w:val="clear" w:color="auto" w:fill="FFFFFF"/>
            <w:tcMar>
              <w:top w:w="120" w:type="dxa"/>
              <w:left w:w="120" w:type="dxa"/>
              <w:bottom w:w="120" w:type="dxa"/>
              <w:right w:w="120" w:type="dxa"/>
            </w:tcMar>
            <w:vAlign w:val="center"/>
            <w:hideMark/>
          </w:tcPr>
          <w:p w14:paraId="18FA90F0" w14:textId="77777777" w:rsidR="00C941CD" w:rsidRPr="00082DEC" w:rsidRDefault="00C941CD" w:rsidP="003E7DB6">
            <w:pPr>
              <w:spacing w:before="240"/>
              <w:jc w:val="center"/>
              <w:rPr>
                <w:rFonts w:ascii="Helvetica" w:hAnsi="Helvetica"/>
                <w:b/>
                <w:bCs/>
                <w:color w:val="000000"/>
                <w:sz w:val="20"/>
                <w:szCs w:val="20"/>
                <w:lang w:val="en-GB"/>
              </w:rPr>
            </w:pPr>
            <w:r w:rsidRPr="00082DEC">
              <w:rPr>
                <w:rFonts w:ascii="Helvetica" w:hAnsi="Helvetica"/>
                <w:b/>
                <w:bCs/>
                <w:color w:val="000000"/>
                <w:sz w:val="20"/>
                <w:szCs w:val="20"/>
                <w:lang w:val="en-GB"/>
              </w:rPr>
              <w:t>0</w:t>
            </w:r>
          </w:p>
        </w:tc>
        <w:tc>
          <w:tcPr>
            <w:tcW w:w="586" w:type="dxa"/>
            <w:tcBorders>
              <w:left w:val="double" w:sz="12" w:space="0" w:color="auto"/>
            </w:tcBorders>
            <w:shd w:val="clear" w:color="auto" w:fill="FFFFFF"/>
            <w:tcMar>
              <w:top w:w="120" w:type="dxa"/>
              <w:left w:w="120" w:type="dxa"/>
              <w:bottom w:w="120" w:type="dxa"/>
              <w:right w:w="120" w:type="dxa"/>
            </w:tcMar>
            <w:vAlign w:val="center"/>
          </w:tcPr>
          <w:p w14:paraId="5F97103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FFFFF"/>
            <w:tcMar>
              <w:top w:w="120" w:type="dxa"/>
              <w:left w:w="120" w:type="dxa"/>
              <w:bottom w:w="120" w:type="dxa"/>
              <w:right w:w="120" w:type="dxa"/>
            </w:tcMar>
            <w:vAlign w:val="center"/>
          </w:tcPr>
          <w:p w14:paraId="4156F82F"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FFFFF"/>
            <w:tcMar>
              <w:top w:w="120" w:type="dxa"/>
              <w:left w:w="120" w:type="dxa"/>
              <w:bottom w:w="120" w:type="dxa"/>
              <w:right w:w="120" w:type="dxa"/>
            </w:tcMar>
            <w:vAlign w:val="center"/>
          </w:tcPr>
          <w:p w14:paraId="407BFEDD"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FFFFF"/>
            <w:tcMar>
              <w:top w:w="120" w:type="dxa"/>
              <w:left w:w="120" w:type="dxa"/>
              <w:bottom w:w="120" w:type="dxa"/>
              <w:right w:w="120" w:type="dxa"/>
            </w:tcMar>
            <w:vAlign w:val="center"/>
          </w:tcPr>
          <w:p w14:paraId="6FED2B51"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FFFFF"/>
            <w:tcMar>
              <w:top w:w="120" w:type="dxa"/>
              <w:left w:w="120" w:type="dxa"/>
              <w:bottom w:w="120" w:type="dxa"/>
              <w:right w:w="120" w:type="dxa"/>
            </w:tcMar>
            <w:vAlign w:val="center"/>
          </w:tcPr>
          <w:p w14:paraId="78A3A3C1"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1</w:t>
            </w:r>
          </w:p>
        </w:tc>
        <w:tc>
          <w:tcPr>
            <w:tcW w:w="585" w:type="dxa"/>
            <w:shd w:val="clear" w:color="auto" w:fill="FFFFFF"/>
            <w:tcMar>
              <w:top w:w="120" w:type="dxa"/>
              <w:left w:w="120" w:type="dxa"/>
              <w:bottom w:w="120" w:type="dxa"/>
              <w:right w:w="120" w:type="dxa"/>
            </w:tcMar>
            <w:vAlign w:val="center"/>
          </w:tcPr>
          <w:p w14:paraId="38CE2185"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FFFFF"/>
            <w:tcMar>
              <w:top w:w="120" w:type="dxa"/>
              <w:left w:w="120" w:type="dxa"/>
              <w:bottom w:w="120" w:type="dxa"/>
              <w:right w:w="120" w:type="dxa"/>
            </w:tcMar>
            <w:vAlign w:val="center"/>
          </w:tcPr>
          <w:p w14:paraId="56E8AF4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FFFFF"/>
            <w:tcMar>
              <w:top w:w="120" w:type="dxa"/>
              <w:left w:w="120" w:type="dxa"/>
              <w:bottom w:w="120" w:type="dxa"/>
              <w:right w:w="120" w:type="dxa"/>
            </w:tcMar>
            <w:vAlign w:val="center"/>
          </w:tcPr>
          <w:p w14:paraId="379906F8"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FFFFF"/>
            <w:tcMar>
              <w:top w:w="120" w:type="dxa"/>
              <w:left w:w="120" w:type="dxa"/>
              <w:bottom w:w="120" w:type="dxa"/>
              <w:right w:w="120" w:type="dxa"/>
            </w:tcMar>
            <w:vAlign w:val="center"/>
          </w:tcPr>
          <w:p w14:paraId="04AD1936"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5" w:type="dxa"/>
            <w:shd w:val="clear" w:color="auto" w:fill="FFFFFF"/>
            <w:tcMar>
              <w:top w:w="120" w:type="dxa"/>
              <w:left w:w="120" w:type="dxa"/>
              <w:bottom w:w="120" w:type="dxa"/>
              <w:right w:w="120" w:type="dxa"/>
            </w:tcMar>
            <w:vAlign w:val="center"/>
          </w:tcPr>
          <w:p w14:paraId="7FACDA2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FFFFF"/>
            <w:tcMar>
              <w:top w:w="120" w:type="dxa"/>
              <w:left w:w="120" w:type="dxa"/>
              <w:bottom w:w="120" w:type="dxa"/>
              <w:right w:w="120" w:type="dxa"/>
            </w:tcMar>
            <w:vAlign w:val="center"/>
          </w:tcPr>
          <w:p w14:paraId="253AB49C"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c>
          <w:tcPr>
            <w:tcW w:w="586" w:type="dxa"/>
            <w:shd w:val="clear" w:color="auto" w:fill="FFFFFF"/>
            <w:tcMar>
              <w:top w:w="120" w:type="dxa"/>
              <w:left w:w="120" w:type="dxa"/>
              <w:bottom w:w="120" w:type="dxa"/>
              <w:right w:w="120" w:type="dxa"/>
            </w:tcMar>
            <w:vAlign w:val="center"/>
          </w:tcPr>
          <w:p w14:paraId="582F8A6E" w14:textId="77777777" w:rsidR="00C941CD" w:rsidRPr="00082DEC" w:rsidRDefault="00C941CD" w:rsidP="003E7DB6">
            <w:pPr>
              <w:spacing w:before="240"/>
              <w:jc w:val="center"/>
              <w:rPr>
                <w:rFonts w:ascii="Helvetica" w:hAnsi="Helvetica"/>
                <w:color w:val="000000"/>
                <w:sz w:val="20"/>
                <w:szCs w:val="20"/>
                <w:lang w:val="en-GB"/>
              </w:rPr>
            </w:pPr>
            <w:r w:rsidRPr="00082DEC">
              <w:rPr>
                <w:rFonts w:ascii="Helvetica" w:hAnsi="Helvetica"/>
                <w:color w:val="000000"/>
                <w:sz w:val="18"/>
                <w:szCs w:val="18"/>
                <w:lang w:val="en-GB"/>
              </w:rPr>
              <w:t>0</w:t>
            </w:r>
          </w:p>
        </w:tc>
      </w:tr>
    </w:tbl>
    <w:p w14:paraId="1C44DE09" w14:textId="77777777" w:rsidR="00C941CD" w:rsidRDefault="00C941CD" w:rsidP="00C941CD">
      <w:pPr>
        <w:pStyle w:val="Figurecaption"/>
        <w:rPr>
          <w:b/>
          <w:sz w:val="23"/>
          <w:szCs w:val="23"/>
        </w:rPr>
      </w:pPr>
    </w:p>
    <w:p w14:paraId="1906B5D2" w14:textId="77777777" w:rsidR="00C941CD" w:rsidRDefault="00C941CD" w:rsidP="00C941CD">
      <w:pPr>
        <w:pStyle w:val="Figurecaption"/>
      </w:pPr>
      <w:r w:rsidRPr="004C33F9">
        <w:rPr>
          <w:b/>
          <w:sz w:val="23"/>
          <w:szCs w:val="23"/>
        </w:rPr>
        <w:t xml:space="preserve">Supplemental </w:t>
      </w:r>
      <w:r>
        <w:rPr>
          <w:b/>
          <w:sz w:val="23"/>
          <w:szCs w:val="23"/>
        </w:rPr>
        <w:t>Tables</w:t>
      </w:r>
      <w:r w:rsidRPr="004C33F9">
        <w:rPr>
          <w:b/>
          <w:sz w:val="23"/>
          <w:szCs w:val="23"/>
        </w:rPr>
        <w:t>.</w:t>
      </w:r>
      <w:r w:rsidRPr="004C33F9">
        <w:rPr>
          <w:sz w:val="23"/>
          <w:szCs w:val="23"/>
        </w:rPr>
        <w:t xml:space="preserve">   </w:t>
      </w:r>
      <w:r>
        <w:rPr>
          <w:b/>
          <w:bCs/>
          <w:sz w:val="23"/>
          <w:szCs w:val="23"/>
        </w:rPr>
        <w:t>Assessment of ABR data by two independent audiologists to determine which waveforms contained a clear response</w:t>
      </w:r>
      <w:r w:rsidRPr="004C33F9">
        <w:rPr>
          <w:b/>
          <w:bCs/>
          <w:sz w:val="23"/>
          <w:szCs w:val="23"/>
        </w:rPr>
        <w:t>.</w:t>
      </w:r>
      <w:r>
        <w:rPr>
          <w:b/>
          <w:bCs/>
          <w:sz w:val="23"/>
          <w:szCs w:val="23"/>
        </w:rPr>
        <w:t xml:space="preserve"> </w:t>
      </w:r>
      <w:r>
        <w:rPr>
          <w:sz w:val="23"/>
          <w:szCs w:val="23"/>
        </w:rPr>
        <w:t xml:space="preserve">Data considered to contain a clear response are marked as 1. All other data are marked as 0.  </w:t>
      </w:r>
    </w:p>
    <w:p w14:paraId="2A7E69FD" w14:textId="09AEB03A" w:rsidR="00C941CD" w:rsidRDefault="00C941CD">
      <w:pPr>
        <w:rPr>
          <w:b/>
          <w:bCs/>
        </w:rPr>
      </w:pPr>
      <w:r>
        <w:rPr>
          <w:b/>
          <w:bCs/>
        </w:rPr>
        <w:br w:type="page"/>
      </w:r>
    </w:p>
    <w:p w14:paraId="7CA92128" w14:textId="77777777" w:rsidR="00871611" w:rsidRPr="006E7AFC" w:rsidRDefault="00871611" w:rsidP="00871611">
      <w:pPr>
        <w:jc w:val="center"/>
        <w:rPr>
          <w:sz w:val="36"/>
          <w:szCs w:val="36"/>
        </w:rPr>
      </w:pPr>
      <w:r>
        <w:rPr>
          <w:sz w:val="36"/>
          <w:szCs w:val="36"/>
        </w:rPr>
        <w:lastRenderedPageBreak/>
        <w:drawing>
          <wp:anchor distT="0" distB="0" distL="114300" distR="114300" simplePos="0" relativeHeight="251659264" behindDoc="1" locked="0" layoutInCell="1" allowOverlap="1" wp14:anchorId="1D1C8D61" wp14:editId="6B6876C3">
            <wp:simplePos x="0" y="0"/>
            <wp:positionH relativeFrom="margin">
              <wp:align>center</wp:align>
            </wp:positionH>
            <wp:positionV relativeFrom="paragraph">
              <wp:posOffset>347443</wp:posOffset>
            </wp:positionV>
            <wp:extent cx="6195060" cy="6477635"/>
            <wp:effectExtent l="0" t="0" r="0" b="0"/>
            <wp:wrapTight wrapText="bothSides">
              <wp:wrapPolygon edited="0">
                <wp:start x="0" y="0"/>
                <wp:lineTo x="0" y="21534"/>
                <wp:lineTo x="21520" y="21534"/>
                <wp:lineTo x="21520" y="0"/>
                <wp:lineTo x="0" y="0"/>
              </wp:wrapPolygon>
            </wp:wrapTight>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2637" b="2305"/>
                    <a:stretch/>
                  </pic:blipFill>
                  <pic:spPr bwMode="auto">
                    <a:xfrm>
                      <a:off x="0" y="0"/>
                      <a:ext cx="6195060" cy="647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44"/>
          <w:szCs w:val="44"/>
        </w:rPr>
        <w:t>Supplemental Digital Content 2</w:t>
      </w:r>
    </w:p>
    <w:p w14:paraId="0DAB4DE1" w14:textId="4A4A1AC4" w:rsidR="00D33600" w:rsidRPr="00BE73DC" w:rsidRDefault="00871611" w:rsidP="00871611">
      <w:pPr>
        <w:pStyle w:val="Figurecaption"/>
        <w:rPr>
          <w:b/>
          <w:bCs/>
        </w:rPr>
      </w:pPr>
      <w:r w:rsidRPr="004C33F9">
        <w:rPr>
          <w:b/>
          <w:sz w:val="23"/>
          <w:szCs w:val="23"/>
        </w:rPr>
        <w:t>Supplemental Figure.</w:t>
      </w:r>
      <w:r w:rsidRPr="004C33F9">
        <w:rPr>
          <w:sz w:val="23"/>
          <w:szCs w:val="23"/>
        </w:rPr>
        <w:t xml:space="preserve">   </w:t>
      </w:r>
      <w:r w:rsidRPr="004C33F9">
        <w:rPr>
          <w:b/>
          <w:bCs/>
          <w:sz w:val="23"/>
          <w:szCs w:val="23"/>
        </w:rPr>
        <w:t>Stacked ensemble machine learning algorithm architecture and hyperparameters.</w:t>
      </w:r>
      <w:r>
        <w:rPr>
          <w:b/>
          <w:bCs/>
          <w:sz w:val="23"/>
          <w:szCs w:val="23"/>
        </w:rPr>
        <w:t xml:space="preserve"> </w:t>
      </w:r>
      <w:r w:rsidRPr="004C33F9">
        <w:rPr>
          <w:sz w:val="23"/>
          <w:szCs w:val="23"/>
        </w:rPr>
        <w:t xml:space="preserve">The two base estimators of the stacked ensemble </w:t>
      </w:r>
      <w:r>
        <w:rPr>
          <w:sz w:val="23"/>
          <w:szCs w:val="23"/>
        </w:rPr>
        <w:t>were</w:t>
      </w:r>
      <w:r w:rsidRPr="004C33F9">
        <w:rPr>
          <w:sz w:val="23"/>
          <w:szCs w:val="23"/>
        </w:rPr>
        <w:t xml:space="preserve"> a random forest and </w:t>
      </w:r>
      <w:r>
        <w:rPr>
          <w:sz w:val="23"/>
          <w:szCs w:val="23"/>
        </w:rPr>
        <w:t xml:space="preserve">a CNN-LSTM network (combining Convolutional Neural Network and Long Short-Term Memory layers). </w:t>
      </w:r>
      <w:r w:rsidRPr="004C33F9">
        <w:rPr>
          <w:sz w:val="23"/>
          <w:szCs w:val="23"/>
        </w:rPr>
        <w:t>The meta-estimator which weigh</w:t>
      </w:r>
      <w:r>
        <w:rPr>
          <w:sz w:val="23"/>
          <w:szCs w:val="23"/>
        </w:rPr>
        <w:t>ed</w:t>
      </w:r>
      <w:r w:rsidRPr="004C33F9">
        <w:rPr>
          <w:sz w:val="23"/>
          <w:szCs w:val="23"/>
        </w:rPr>
        <w:t xml:space="preserve"> up </w:t>
      </w:r>
      <w:r>
        <w:rPr>
          <w:sz w:val="23"/>
          <w:szCs w:val="23"/>
        </w:rPr>
        <w:t xml:space="preserve">the </w:t>
      </w:r>
      <w:r w:rsidRPr="004C33F9">
        <w:rPr>
          <w:sz w:val="23"/>
          <w:szCs w:val="23"/>
        </w:rPr>
        <w:t xml:space="preserve">outputs of the two base estimators </w:t>
      </w:r>
      <w:r>
        <w:rPr>
          <w:sz w:val="23"/>
          <w:szCs w:val="23"/>
        </w:rPr>
        <w:t>was</w:t>
      </w:r>
      <w:r w:rsidRPr="004C33F9">
        <w:rPr>
          <w:sz w:val="23"/>
          <w:szCs w:val="23"/>
        </w:rPr>
        <w:t xml:space="preserve"> a logistic regression classifier. The hyperparameter names in this figure refer to </w:t>
      </w:r>
      <w:r>
        <w:rPr>
          <w:sz w:val="23"/>
          <w:szCs w:val="23"/>
        </w:rPr>
        <w:t xml:space="preserve">the </w:t>
      </w:r>
      <w:r w:rsidRPr="004C33F9">
        <w:rPr>
          <w:sz w:val="23"/>
          <w:szCs w:val="23"/>
        </w:rPr>
        <w:t xml:space="preserve">parameter names </w:t>
      </w:r>
      <w:r>
        <w:rPr>
          <w:sz w:val="23"/>
          <w:szCs w:val="23"/>
        </w:rPr>
        <w:t>utilized by</w:t>
      </w:r>
      <w:r w:rsidRPr="004C33F9">
        <w:rPr>
          <w:sz w:val="23"/>
          <w:szCs w:val="23"/>
        </w:rPr>
        <w:t xml:space="preserve"> the software libraries</w:t>
      </w:r>
      <w:r>
        <w:rPr>
          <w:sz w:val="23"/>
          <w:szCs w:val="23"/>
        </w:rPr>
        <w:t xml:space="preserve"> used to create the models.</w:t>
      </w:r>
      <w:r w:rsidRPr="004C33F9">
        <w:rPr>
          <w:sz w:val="23"/>
          <w:szCs w:val="23"/>
        </w:rPr>
        <w:t xml:space="preserve"> Namely, Keras </w:t>
      </w:r>
      <w:r w:rsidRPr="004C33F9">
        <w:rPr>
          <w:sz w:val="23"/>
          <w:szCs w:val="23"/>
        </w:rPr>
        <w:fldChar w:fldCharType="begin" w:fldLock="1"/>
      </w:r>
      <w:r w:rsidRPr="004C33F9">
        <w:rPr>
          <w:sz w:val="23"/>
          <w:szCs w:val="23"/>
        </w:rPr>
        <w:instrText>ADDIN CSL_CITATION {"citationItems":[{"id":"ITEM-1","itemData":{"author":[{"dropping-particle":"","family":"Chollet</w:instrText>
      </w:r>
      <w:r w:rsidRPr="004C33F9">
        <w:rPr>
          <w:sz w:val="23"/>
          <w:szCs w:val="23"/>
        </w:rPr>
        <w:instrText>‬","given":"F.","non-dropping-particle":"","parse-names":false,"suffix":""},{"dropping-particle":"","family":"and others","given":"","non-dropping-particle":"","parse-names":false,"suffix":""}],"id":"ITEM-1","issued":{"date-parts":[["2015"]]},"title":"Keras","type":"article"},"uris":["http://www.mendeley.com/documents/?uuid=486f88dc-a51f-3aa5-a5bc-fcd5b5773d42"]}],"mendeley":{"formattedCitation":"(Chollet</w:instrText>
      </w:r>
      <w:r w:rsidRPr="004C33F9">
        <w:rPr>
          <w:sz w:val="23"/>
          <w:szCs w:val="23"/>
        </w:rPr>
        <w:instrText>‬ &amp; and others, 2015)","plainTextFormattedCitation":"(Chollet</w:instrText>
      </w:r>
      <w:r w:rsidRPr="004C33F9">
        <w:rPr>
          <w:sz w:val="23"/>
          <w:szCs w:val="23"/>
        </w:rPr>
        <w:instrText>‬ &amp; and others, 2015)","previouslyFormattedCitation":"(Chollet</w:instrText>
      </w:r>
      <w:r w:rsidRPr="004C33F9">
        <w:rPr>
          <w:sz w:val="23"/>
          <w:szCs w:val="23"/>
        </w:rPr>
        <w:instrText>‬ &amp; and others, 2015)"},"properties":{"noteIndex":0},"schema":"https://github.com/citation-style-language/schema/raw/master/csl-citation.json"}</w:instrText>
      </w:r>
      <w:r w:rsidRPr="004C33F9">
        <w:rPr>
          <w:sz w:val="23"/>
          <w:szCs w:val="23"/>
        </w:rPr>
        <w:fldChar w:fldCharType="separate"/>
      </w:r>
      <w:r w:rsidRPr="004C33F9">
        <w:rPr>
          <w:sz w:val="23"/>
          <w:szCs w:val="23"/>
        </w:rPr>
        <w:t>(Chollet</w:t>
      </w:r>
      <w:r w:rsidRPr="004C33F9">
        <w:rPr>
          <w:sz w:val="23"/>
          <w:szCs w:val="23"/>
        </w:rPr>
        <w:t>‬ &amp; and others, 2015)</w:t>
      </w:r>
      <w:r w:rsidRPr="004C33F9">
        <w:rPr>
          <w:sz w:val="23"/>
          <w:szCs w:val="23"/>
        </w:rPr>
        <w:fldChar w:fldCharType="end"/>
      </w:r>
      <w:r w:rsidRPr="004C33F9">
        <w:rPr>
          <w:sz w:val="23"/>
          <w:szCs w:val="23"/>
        </w:rPr>
        <w:t xml:space="preserve"> for the CNN-LSTM and scikit-learn </w:t>
      </w:r>
      <w:r w:rsidRPr="004C33F9">
        <w:rPr>
          <w:sz w:val="23"/>
          <w:szCs w:val="23"/>
        </w:rPr>
        <w:fldChar w:fldCharType="begin" w:fldLock="1"/>
      </w:r>
      <w:r w:rsidRPr="004C33F9">
        <w:rPr>
          <w:sz w:val="23"/>
          <w:szCs w:val="23"/>
        </w:rPr>
        <w:instrText>ADDIN CSL_CITATION {"citationItems":[{"id":"ITEM-1","itemData":{"ISSN":"1533-7928","abstract":"Scikit-learn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author":[{"dropping-particle":"","family":"Pedregosa","given":"Fabian","non-dropping-particle":"","parse-names":false,"suffix":""},{"dropping-particle":"","family":"Varoquaux","given":"Gaël","non-dropping-particle":"","parse-names":false,"suffix":""},{"dropping-particle":"","family":"Gramfort","given":"Alexandre","non-dropping-particle":"","parse-names":false,"suffix":""},{"dropping-particle":"","family":"Michel","given":"Vincent","non-dropping-particle":"","parse-names":false,"suffix":""},{"dropping-particle":"","family":"Thirion","given":"Bertrand","non-dropping-particle":"","parse-names":false,"suffix":""},{"dropping-particle":"","family":"Grisel","given":"Olivier","non-dropping-particle":"","parse-names":false,"suffix":""},{"dropping-particle":"","family":"Blondel","given":"Mathieu","non-dropping-particle":"","parse-names":false,"suffix":""},{"dropping-particle":"","family":"Prettenhofer","given":"Peter","non-dropping-particle":"","parse-names":false,"suffix":""},{"dropping-particle":"","family":"Weiss","given":"Ron","non-dropping-particle":"","parse-names":false,"suffix":""},{"dropping-particle":"","family":"Dubourg","given":"Vincent","non-dropping-particle":"","parse-names":false,"suffix":""},{"dropping-particle":"","family":"Vanderplas","given":"Jake","non-dropping-particle":"","parse-names":false,"suffix":""},{"dropping-particle":"","family":"Passos","given":"Alexandre","non-dropping-particle":"","parse-names":false,"suffix":""},{"dropping-particle":"","family":"Cournapeau","given":"David","non-dropping-particle":"","parse-names":false,"suffix":""},{"dropping-particle":"","family":"Brucher","given":"Matthieu","non-dropping-particle":"","parse-names":false,"suffix":""},{"dropping-particle":"","family":"Perrot","given":"Matthieu","non-dropping-particle":"","parse-names":false,"suffix":""},{"dropping-particle":"","family":"Duchesnay","given":"Édouard","non-dropping-particle":"","parse-names":false,"suffix":""}],"container-title":"Journal of Machine Learning Research","id":"ITEM-1","issue":"85","issued":{"date-parts":[["2011"]]},"number-of-pages":"2825-2830","title":"Scikit-learn: Machine Learning in Python","type":"report","volume":"12"},"uris":["http://www.mendeley.com/documents/?uuid=f468d071-c79c-3b1d-9818-860b1c9974dc"]}],"mendeley":{"formattedCitation":"(Pedregosa et al., 2011)","plainTextFormattedCitation":"(Pedregosa et al., 2011)","previouslyFormattedCitation":"(Pedregosa et al., 2011)"},"properties":{"noteIndex":0},"schema":"https://github.com/citation-style-language/schema/raw/master/csl-citation.json"}</w:instrText>
      </w:r>
      <w:r w:rsidRPr="004C33F9">
        <w:rPr>
          <w:sz w:val="23"/>
          <w:szCs w:val="23"/>
        </w:rPr>
        <w:fldChar w:fldCharType="separate"/>
      </w:r>
      <w:r w:rsidRPr="004C33F9">
        <w:rPr>
          <w:sz w:val="23"/>
          <w:szCs w:val="23"/>
        </w:rPr>
        <w:t>(</w:t>
      </w:r>
      <w:proofErr w:type="spellStart"/>
      <w:r w:rsidRPr="004C33F9">
        <w:rPr>
          <w:sz w:val="23"/>
          <w:szCs w:val="23"/>
        </w:rPr>
        <w:t>Pedregosa</w:t>
      </w:r>
      <w:proofErr w:type="spellEnd"/>
      <w:r w:rsidRPr="004C33F9">
        <w:rPr>
          <w:sz w:val="23"/>
          <w:szCs w:val="23"/>
        </w:rPr>
        <w:t xml:space="preserve"> et al., 2011)</w:t>
      </w:r>
      <w:r w:rsidRPr="004C33F9">
        <w:rPr>
          <w:sz w:val="23"/>
          <w:szCs w:val="23"/>
        </w:rPr>
        <w:fldChar w:fldCharType="end"/>
      </w:r>
      <w:r w:rsidRPr="004C33F9">
        <w:rPr>
          <w:sz w:val="23"/>
          <w:szCs w:val="23"/>
        </w:rPr>
        <w:t xml:space="preserve"> for the random forest and logistic regression classifier.</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r w:rsidRPr="004C33F9">
        <w:rPr>
          <w:sz w:val="23"/>
          <w:szCs w:val="23"/>
        </w:rPr>
        <w:t>‬</w:t>
      </w:r>
    </w:p>
    <w:sectPr w:rsidR="00D33600" w:rsidRPr="00BE73DC">
      <w:pgSz w:w="11906" w:h="16838"/>
      <w:pgMar w:top="1418" w:right="1418" w:bottom="1418" w:left="1418"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22185" w14:textId="77777777" w:rsidR="00EA2898" w:rsidRDefault="00EA2898">
      <w:r>
        <w:separator/>
      </w:r>
    </w:p>
  </w:endnote>
  <w:endnote w:type="continuationSeparator" w:id="0">
    <w:p w14:paraId="1FCDBD83" w14:textId="77777777" w:rsidR="00EA2898" w:rsidRDefault="00EA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33F60" w14:textId="77777777" w:rsidR="00A74AB1" w:rsidRDefault="00A74AB1">
    <w:pPr>
      <w:pStyle w:val="Footer"/>
      <w:jc w:val="right"/>
    </w:pPr>
  </w:p>
  <w:p w14:paraId="25632662" w14:textId="77777777" w:rsidR="00A74AB1" w:rsidRDefault="00A74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7D94B" w14:textId="77777777" w:rsidR="00EA2898" w:rsidRDefault="00EA2898">
      <w:r>
        <w:separator/>
      </w:r>
    </w:p>
  </w:footnote>
  <w:footnote w:type="continuationSeparator" w:id="0">
    <w:p w14:paraId="6AA49976" w14:textId="77777777" w:rsidR="00EA2898" w:rsidRDefault="00EA2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1366549"/>
    </w:sdtPr>
    <w:sdtEndPr/>
    <w:sdtContent>
      <w:p w14:paraId="1CF43287" w14:textId="77777777" w:rsidR="00A74AB1" w:rsidRDefault="00A74AB1">
        <w:pPr>
          <w:pStyle w:val="Header"/>
        </w:pPr>
        <w:r>
          <w:tab/>
        </w:r>
        <w:r>
          <w:tab/>
        </w:r>
        <w:r>
          <w:fldChar w:fldCharType="begin"/>
        </w:r>
        <w:r>
          <w:instrText xml:space="preserve"> PAGE   \* MERGEFORMAT </w:instrText>
        </w:r>
        <w:r>
          <w:fldChar w:fldCharType="separate"/>
        </w:r>
        <w:r>
          <w:t>12</w:t>
        </w:r>
        <w:r>
          <w:fldChar w:fldCharType="end"/>
        </w:r>
      </w:p>
    </w:sdtContent>
  </w:sdt>
  <w:p w14:paraId="5F433331" w14:textId="77777777" w:rsidR="00A74AB1" w:rsidRDefault="00A74A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5A4F"/>
    <w:rsid w:val="0000008C"/>
    <w:rsid w:val="000007D5"/>
    <w:rsid w:val="00000D40"/>
    <w:rsid w:val="00001961"/>
    <w:rsid w:val="00001DB9"/>
    <w:rsid w:val="00001E56"/>
    <w:rsid w:val="00002573"/>
    <w:rsid w:val="00002F8A"/>
    <w:rsid w:val="00003F98"/>
    <w:rsid w:val="00004082"/>
    <w:rsid w:val="000043CF"/>
    <w:rsid w:val="0000443F"/>
    <w:rsid w:val="00004600"/>
    <w:rsid w:val="00004DE3"/>
    <w:rsid w:val="000052E0"/>
    <w:rsid w:val="00005AE8"/>
    <w:rsid w:val="00007185"/>
    <w:rsid w:val="00007654"/>
    <w:rsid w:val="00007F31"/>
    <w:rsid w:val="00010723"/>
    <w:rsid w:val="00010799"/>
    <w:rsid w:val="00010E8B"/>
    <w:rsid w:val="00011261"/>
    <w:rsid w:val="0001199C"/>
    <w:rsid w:val="00012306"/>
    <w:rsid w:val="0001289E"/>
    <w:rsid w:val="00012996"/>
    <w:rsid w:val="000134CD"/>
    <w:rsid w:val="00013728"/>
    <w:rsid w:val="00013BF6"/>
    <w:rsid w:val="00013CB4"/>
    <w:rsid w:val="00013F37"/>
    <w:rsid w:val="00013F93"/>
    <w:rsid w:val="00014722"/>
    <w:rsid w:val="000149B5"/>
    <w:rsid w:val="000152E6"/>
    <w:rsid w:val="00015550"/>
    <w:rsid w:val="00016219"/>
    <w:rsid w:val="00016744"/>
    <w:rsid w:val="00016EFF"/>
    <w:rsid w:val="000208A7"/>
    <w:rsid w:val="00020913"/>
    <w:rsid w:val="00020A5C"/>
    <w:rsid w:val="000212A1"/>
    <w:rsid w:val="000216EF"/>
    <w:rsid w:val="00022AFC"/>
    <w:rsid w:val="00022F04"/>
    <w:rsid w:val="00023359"/>
    <w:rsid w:val="00023AF2"/>
    <w:rsid w:val="00023E47"/>
    <w:rsid w:val="00024D93"/>
    <w:rsid w:val="00024E10"/>
    <w:rsid w:val="00024EAB"/>
    <w:rsid w:val="00024F79"/>
    <w:rsid w:val="0002570F"/>
    <w:rsid w:val="00026551"/>
    <w:rsid w:val="00026D6A"/>
    <w:rsid w:val="00026D9C"/>
    <w:rsid w:val="00026DC8"/>
    <w:rsid w:val="0002710C"/>
    <w:rsid w:val="00027849"/>
    <w:rsid w:val="000301D4"/>
    <w:rsid w:val="00030727"/>
    <w:rsid w:val="00030859"/>
    <w:rsid w:val="00030AF7"/>
    <w:rsid w:val="000312D8"/>
    <w:rsid w:val="00031DDF"/>
    <w:rsid w:val="000326B5"/>
    <w:rsid w:val="000329BA"/>
    <w:rsid w:val="00033174"/>
    <w:rsid w:val="00033372"/>
    <w:rsid w:val="0003350D"/>
    <w:rsid w:val="0003364D"/>
    <w:rsid w:val="00033C62"/>
    <w:rsid w:val="00033E58"/>
    <w:rsid w:val="00033F8C"/>
    <w:rsid w:val="000353A5"/>
    <w:rsid w:val="00035AD2"/>
    <w:rsid w:val="0003695F"/>
    <w:rsid w:val="00037AD6"/>
    <w:rsid w:val="00037DE3"/>
    <w:rsid w:val="00037FCA"/>
    <w:rsid w:val="000404CF"/>
    <w:rsid w:val="00040FAA"/>
    <w:rsid w:val="00041175"/>
    <w:rsid w:val="000416B7"/>
    <w:rsid w:val="000418D0"/>
    <w:rsid w:val="00041D91"/>
    <w:rsid w:val="0004237B"/>
    <w:rsid w:val="00042C3B"/>
    <w:rsid w:val="00043006"/>
    <w:rsid w:val="000430B6"/>
    <w:rsid w:val="000434DC"/>
    <w:rsid w:val="000436EC"/>
    <w:rsid w:val="00043756"/>
    <w:rsid w:val="00043FA7"/>
    <w:rsid w:val="00044051"/>
    <w:rsid w:val="00044117"/>
    <w:rsid w:val="00044C8E"/>
    <w:rsid w:val="00044E7E"/>
    <w:rsid w:val="000452F6"/>
    <w:rsid w:val="00045306"/>
    <w:rsid w:val="00045725"/>
    <w:rsid w:val="0004584C"/>
    <w:rsid w:val="00045E57"/>
    <w:rsid w:val="00046148"/>
    <w:rsid w:val="000476C7"/>
    <w:rsid w:val="00047A25"/>
    <w:rsid w:val="00047B30"/>
    <w:rsid w:val="00047BB6"/>
    <w:rsid w:val="00050D83"/>
    <w:rsid w:val="00050E76"/>
    <w:rsid w:val="00051372"/>
    <w:rsid w:val="00051518"/>
    <w:rsid w:val="00053585"/>
    <w:rsid w:val="00053831"/>
    <w:rsid w:val="00053CBD"/>
    <w:rsid w:val="0005401B"/>
    <w:rsid w:val="00055117"/>
    <w:rsid w:val="000551EC"/>
    <w:rsid w:val="00055643"/>
    <w:rsid w:val="00055A16"/>
    <w:rsid w:val="00055FD4"/>
    <w:rsid w:val="000562B2"/>
    <w:rsid w:val="00056B34"/>
    <w:rsid w:val="00057480"/>
    <w:rsid w:val="00057B34"/>
    <w:rsid w:val="00057DCA"/>
    <w:rsid w:val="000609DE"/>
    <w:rsid w:val="00060E44"/>
    <w:rsid w:val="0006178F"/>
    <w:rsid w:val="00061DFC"/>
    <w:rsid w:val="00062443"/>
    <w:rsid w:val="0006316F"/>
    <w:rsid w:val="000634AE"/>
    <w:rsid w:val="00063CC2"/>
    <w:rsid w:val="00064568"/>
    <w:rsid w:val="00065238"/>
    <w:rsid w:val="0006557C"/>
    <w:rsid w:val="000655F0"/>
    <w:rsid w:val="00065EAF"/>
    <w:rsid w:val="000660F5"/>
    <w:rsid w:val="00066654"/>
    <w:rsid w:val="00066F17"/>
    <w:rsid w:val="000671EE"/>
    <w:rsid w:val="0006752E"/>
    <w:rsid w:val="00067AF3"/>
    <w:rsid w:val="00067FF8"/>
    <w:rsid w:val="0007047F"/>
    <w:rsid w:val="00070621"/>
    <w:rsid w:val="000712B3"/>
    <w:rsid w:val="000716AE"/>
    <w:rsid w:val="00072631"/>
    <w:rsid w:val="000727D9"/>
    <w:rsid w:val="00072D65"/>
    <w:rsid w:val="00072D83"/>
    <w:rsid w:val="000734BC"/>
    <w:rsid w:val="000734C8"/>
    <w:rsid w:val="00073B9E"/>
    <w:rsid w:val="00073C79"/>
    <w:rsid w:val="00073E6F"/>
    <w:rsid w:val="000741D8"/>
    <w:rsid w:val="00074382"/>
    <w:rsid w:val="00074577"/>
    <w:rsid w:val="00074AB7"/>
    <w:rsid w:val="00074B3B"/>
    <w:rsid w:val="00074FF3"/>
    <w:rsid w:val="00075064"/>
    <w:rsid w:val="00075FEF"/>
    <w:rsid w:val="00077D2E"/>
    <w:rsid w:val="00077D85"/>
    <w:rsid w:val="000804D3"/>
    <w:rsid w:val="000806DB"/>
    <w:rsid w:val="00080E8B"/>
    <w:rsid w:val="00081184"/>
    <w:rsid w:val="00081409"/>
    <w:rsid w:val="000817F1"/>
    <w:rsid w:val="00081CB5"/>
    <w:rsid w:val="00081E86"/>
    <w:rsid w:val="0008252A"/>
    <w:rsid w:val="00082FC0"/>
    <w:rsid w:val="000830AB"/>
    <w:rsid w:val="000833B1"/>
    <w:rsid w:val="0008343C"/>
    <w:rsid w:val="0008344D"/>
    <w:rsid w:val="00083609"/>
    <w:rsid w:val="00083615"/>
    <w:rsid w:val="000836E6"/>
    <w:rsid w:val="00083A0C"/>
    <w:rsid w:val="00083B18"/>
    <w:rsid w:val="00084607"/>
    <w:rsid w:val="00084EBE"/>
    <w:rsid w:val="00085C44"/>
    <w:rsid w:val="00086B0A"/>
    <w:rsid w:val="0008709E"/>
    <w:rsid w:val="000878E1"/>
    <w:rsid w:val="00087F8B"/>
    <w:rsid w:val="000900F6"/>
    <w:rsid w:val="0009107A"/>
    <w:rsid w:val="00091585"/>
    <w:rsid w:val="000915FC"/>
    <w:rsid w:val="000918B7"/>
    <w:rsid w:val="000921E8"/>
    <w:rsid w:val="000922CA"/>
    <w:rsid w:val="00092A53"/>
    <w:rsid w:val="00092FD6"/>
    <w:rsid w:val="0009345B"/>
    <w:rsid w:val="00094EE0"/>
    <w:rsid w:val="0009565A"/>
    <w:rsid w:val="000957FE"/>
    <w:rsid w:val="000962E3"/>
    <w:rsid w:val="00096347"/>
    <w:rsid w:val="00096D1F"/>
    <w:rsid w:val="0009705C"/>
    <w:rsid w:val="0009749C"/>
    <w:rsid w:val="000A08EF"/>
    <w:rsid w:val="000A0F5C"/>
    <w:rsid w:val="000A1B71"/>
    <w:rsid w:val="000A1B7F"/>
    <w:rsid w:val="000A25D6"/>
    <w:rsid w:val="000A3044"/>
    <w:rsid w:val="000A39DB"/>
    <w:rsid w:val="000A40EF"/>
    <w:rsid w:val="000A4AF3"/>
    <w:rsid w:val="000A6B75"/>
    <w:rsid w:val="000A6C05"/>
    <w:rsid w:val="000A6D70"/>
    <w:rsid w:val="000A6F87"/>
    <w:rsid w:val="000A726F"/>
    <w:rsid w:val="000B038A"/>
    <w:rsid w:val="000B0926"/>
    <w:rsid w:val="000B0BBF"/>
    <w:rsid w:val="000B136D"/>
    <w:rsid w:val="000B2971"/>
    <w:rsid w:val="000B33CD"/>
    <w:rsid w:val="000B3B97"/>
    <w:rsid w:val="000B3E74"/>
    <w:rsid w:val="000B3F1A"/>
    <w:rsid w:val="000B3F1C"/>
    <w:rsid w:val="000B457E"/>
    <w:rsid w:val="000B4AE0"/>
    <w:rsid w:val="000B54C5"/>
    <w:rsid w:val="000B5EB7"/>
    <w:rsid w:val="000B67E4"/>
    <w:rsid w:val="000B6C84"/>
    <w:rsid w:val="000B6CDB"/>
    <w:rsid w:val="000C02ED"/>
    <w:rsid w:val="000C0DDA"/>
    <w:rsid w:val="000C16F6"/>
    <w:rsid w:val="000C1964"/>
    <w:rsid w:val="000C2161"/>
    <w:rsid w:val="000C2708"/>
    <w:rsid w:val="000C2FCB"/>
    <w:rsid w:val="000C3AD6"/>
    <w:rsid w:val="000C3BE1"/>
    <w:rsid w:val="000C43A3"/>
    <w:rsid w:val="000C69CA"/>
    <w:rsid w:val="000C6DF1"/>
    <w:rsid w:val="000C6E9E"/>
    <w:rsid w:val="000C7DE1"/>
    <w:rsid w:val="000D073F"/>
    <w:rsid w:val="000D0AE7"/>
    <w:rsid w:val="000D0B7E"/>
    <w:rsid w:val="000D0DFA"/>
    <w:rsid w:val="000D2356"/>
    <w:rsid w:val="000D23B3"/>
    <w:rsid w:val="000D24EC"/>
    <w:rsid w:val="000D2560"/>
    <w:rsid w:val="000D2DD7"/>
    <w:rsid w:val="000D30A4"/>
    <w:rsid w:val="000D3298"/>
    <w:rsid w:val="000D37F7"/>
    <w:rsid w:val="000D3C4E"/>
    <w:rsid w:val="000D437A"/>
    <w:rsid w:val="000D5456"/>
    <w:rsid w:val="000D54C2"/>
    <w:rsid w:val="000D56B3"/>
    <w:rsid w:val="000D59C3"/>
    <w:rsid w:val="000D5A1D"/>
    <w:rsid w:val="000D61B2"/>
    <w:rsid w:val="000D6256"/>
    <w:rsid w:val="000D659E"/>
    <w:rsid w:val="000D739F"/>
    <w:rsid w:val="000E0203"/>
    <w:rsid w:val="000E1A20"/>
    <w:rsid w:val="000E1CDF"/>
    <w:rsid w:val="000E20FD"/>
    <w:rsid w:val="000E2E54"/>
    <w:rsid w:val="000E2E62"/>
    <w:rsid w:val="000E33A7"/>
    <w:rsid w:val="000E3713"/>
    <w:rsid w:val="000E3BE2"/>
    <w:rsid w:val="000E4141"/>
    <w:rsid w:val="000E46C1"/>
    <w:rsid w:val="000E4720"/>
    <w:rsid w:val="000E5047"/>
    <w:rsid w:val="000E525F"/>
    <w:rsid w:val="000E5D36"/>
    <w:rsid w:val="000E5F09"/>
    <w:rsid w:val="000E68CC"/>
    <w:rsid w:val="000E69C8"/>
    <w:rsid w:val="000E7339"/>
    <w:rsid w:val="000F0204"/>
    <w:rsid w:val="000F02E6"/>
    <w:rsid w:val="000F0328"/>
    <w:rsid w:val="000F041B"/>
    <w:rsid w:val="000F0D00"/>
    <w:rsid w:val="000F10F3"/>
    <w:rsid w:val="000F11ED"/>
    <w:rsid w:val="000F1630"/>
    <w:rsid w:val="000F19A4"/>
    <w:rsid w:val="000F1BB4"/>
    <w:rsid w:val="000F33A4"/>
    <w:rsid w:val="000F34D2"/>
    <w:rsid w:val="000F4499"/>
    <w:rsid w:val="000F4D61"/>
    <w:rsid w:val="000F4F1C"/>
    <w:rsid w:val="000F57B6"/>
    <w:rsid w:val="000F58C7"/>
    <w:rsid w:val="000F5BEC"/>
    <w:rsid w:val="000F6481"/>
    <w:rsid w:val="000F7373"/>
    <w:rsid w:val="000F7EFB"/>
    <w:rsid w:val="00100104"/>
    <w:rsid w:val="00100432"/>
    <w:rsid w:val="00100E37"/>
    <w:rsid w:val="0010166C"/>
    <w:rsid w:val="00101E78"/>
    <w:rsid w:val="00102734"/>
    <w:rsid w:val="00102B1A"/>
    <w:rsid w:val="00104209"/>
    <w:rsid w:val="001046B1"/>
    <w:rsid w:val="00104827"/>
    <w:rsid w:val="001058E0"/>
    <w:rsid w:val="00105A32"/>
    <w:rsid w:val="00106197"/>
    <w:rsid w:val="001069DB"/>
    <w:rsid w:val="00107E8F"/>
    <w:rsid w:val="0011015C"/>
    <w:rsid w:val="00110179"/>
    <w:rsid w:val="0011069C"/>
    <w:rsid w:val="001107CA"/>
    <w:rsid w:val="0011192E"/>
    <w:rsid w:val="00111DE0"/>
    <w:rsid w:val="00111F24"/>
    <w:rsid w:val="00112BCF"/>
    <w:rsid w:val="00112DD2"/>
    <w:rsid w:val="00113FBD"/>
    <w:rsid w:val="00115572"/>
    <w:rsid w:val="00115A90"/>
    <w:rsid w:val="00115AAA"/>
    <w:rsid w:val="00115F90"/>
    <w:rsid w:val="00116AE6"/>
    <w:rsid w:val="001170AD"/>
    <w:rsid w:val="0011760B"/>
    <w:rsid w:val="001213D6"/>
    <w:rsid w:val="00121F98"/>
    <w:rsid w:val="00122DBA"/>
    <w:rsid w:val="00122E28"/>
    <w:rsid w:val="0012312D"/>
    <w:rsid w:val="00123922"/>
    <w:rsid w:val="00123C2F"/>
    <w:rsid w:val="00123E10"/>
    <w:rsid w:val="001248A7"/>
    <w:rsid w:val="001253D0"/>
    <w:rsid w:val="0012645A"/>
    <w:rsid w:val="0012663E"/>
    <w:rsid w:val="00126722"/>
    <w:rsid w:val="00127071"/>
    <w:rsid w:val="00127746"/>
    <w:rsid w:val="001277BA"/>
    <w:rsid w:val="00127CC3"/>
    <w:rsid w:val="00127D79"/>
    <w:rsid w:val="00127E19"/>
    <w:rsid w:val="00127E41"/>
    <w:rsid w:val="00130A58"/>
    <w:rsid w:val="001310E3"/>
    <w:rsid w:val="00131661"/>
    <w:rsid w:val="00131C4B"/>
    <w:rsid w:val="001324AA"/>
    <w:rsid w:val="00132932"/>
    <w:rsid w:val="00132D9B"/>
    <w:rsid w:val="00132FC7"/>
    <w:rsid w:val="00133A64"/>
    <w:rsid w:val="00135889"/>
    <w:rsid w:val="001363A1"/>
    <w:rsid w:val="00136410"/>
    <w:rsid w:val="00136470"/>
    <w:rsid w:val="00137093"/>
    <w:rsid w:val="001373EE"/>
    <w:rsid w:val="00137527"/>
    <w:rsid w:val="00137C9E"/>
    <w:rsid w:val="001404E9"/>
    <w:rsid w:val="00140972"/>
    <w:rsid w:val="001410CB"/>
    <w:rsid w:val="001410F8"/>
    <w:rsid w:val="001413EF"/>
    <w:rsid w:val="00141DA9"/>
    <w:rsid w:val="00142402"/>
    <w:rsid w:val="00142C9E"/>
    <w:rsid w:val="00142EB2"/>
    <w:rsid w:val="00143482"/>
    <w:rsid w:val="001435A0"/>
    <w:rsid w:val="001439DE"/>
    <w:rsid w:val="00143C2B"/>
    <w:rsid w:val="00144424"/>
    <w:rsid w:val="00144786"/>
    <w:rsid w:val="00144807"/>
    <w:rsid w:val="00144F56"/>
    <w:rsid w:val="00145C38"/>
    <w:rsid w:val="001462D5"/>
    <w:rsid w:val="0014673D"/>
    <w:rsid w:val="001467FF"/>
    <w:rsid w:val="001472BD"/>
    <w:rsid w:val="001507AA"/>
    <w:rsid w:val="00151473"/>
    <w:rsid w:val="00151A13"/>
    <w:rsid w:val="00151B30"/>
    <w:rsid w:val="00151E0D"/>
    <w:rsid w:val="00151EC0"/>
    <w:rsid w:val="00152280"/>
    <w:rsid w:val="0015275D"/>
    <w:rsid w:val="0015285D"/>
    <w:rsid w:val="00152B33"/>
    <w:rsid w:val="00153594"/>
    <w:rsid w:val="001537A9"/>
    <w:rsid w:val="001539A2"/>
    <w:rsid w:val="00153C22"/>
    <w:rsid w:val="00154093"/>
    <w:rsid w:val="001540A9"/>
    <w:rsid w:val="001544BA"/>
    <w:rsid w:val="00155A4B"/>
    <w:rsid w:val="00155ABA"/>
    <w:rsid w:val="00155C04"/>
    <w:rsid w:val="001563F2"/>
    <w:rsid w:val="00156AD0"/>
    <w:rsid w:val="00156DA1"/>
    <w:rsid w:val="00157E8A"/>
    <w:rsid w:val="00160097"/>
    <w:rsid w:val="00160116"/>
    <w:rsid w:val="0016086F"/>
    <w:rsid w:val="001608B4"/>
    <w:rsid w:val="00160F95"/>
    <w:rsid w:val="001623AE"/>
    <w:rsid w:val="00162782"/>
    <w:rsid w:val="00163051"/>
    <w:rsid w:val="001630C5"/>
    <w:rsid w:val="001635C9"/>
    <w:rsid w:val="001636B2"/>
    <w:rsid w:val="00163BB7"/>
    <w:rsid w:val="0016703A"/>
    <w:rsid w:val="00167118"/>
    <w:rsid w:val="00167D1F"/>
    <w:rsid w:val="0017032D"/>
    <w:rsid w:val="00170ADE"/>
    <w:rsid w:val="00170CDA"/>
    <w:rsid w:val="00170ECD"/>
    <w:rsid w:val="00171095"/>
    <w:rsid w:val="00171624"/>
    <w:rsid w:val="00171D52"/>
    <w:rsid w:val="001720C5"/>
    <w:rsid w:val="00172195"/>
    <w:rsid w:val="00172792"/>
    <w:rsid w:val="00172CAE"/>
    <w:rsid w:val="00172E41"/>
    <w:rsid w:val="00173295"/>
    <w:rsid w:val="00173A93"/>
    <w:rsid w:val="00173B22"/>
    <w:rsid w:val="00175A6C"/>
    <w:rsid w:val="00176549"/>
    <w:rsid w:val="0017676D"/>
    <w:rsid w:val="00176DE4"/>
    <w:rsid w:val="00176F58"/>
    <w:rsid w:val="001778B0"/>
    <w:rsid w:val="00177AE9"/>
    <w:rsid w:val="001801C1"/>
    <w:rsid w:val="001816BC"/>
    <w:rsid w:val="001819C3"/>
    <w:rsid w:val="00182334"/>
    <w:rsid w:val="0018251F"/>
    <w:rsid w:val="001834C2"/>
    <w:rsid w:val="00183768"/>
    <w:rsid w:val="00183CC7"/>
    <w:rsid w:val="001841B5"/>
    <w:rsid w:val="0018490B"/>
    <w:rsid w:val="00185382"/>
    <w:rsid w:val="0018554E"/>
    <w:rsid w:val="001855D1"/>
    <w:rsid w:val="00185B3E"/>
    <w:rsid w:val="00185F63"/>
    <w:rsid w:val="001866D3"/>
    <w:rsid w:val="00186E1E"/>
    <w:rsid w:val="0018770B"/>
    <w:rsid w:val="001877B2"/>
    <w:rsid w:val="00190729"/>
    <w:rsid w:val="00190F41"/>
    <w:rsid w:val="00191CD0"/>
    <w:rsid w:val="0019207A"/>
    <w:rsid w:val="0019223D"/>
    <w:rsid w:val="00193624"/>
    <w:rsid w:val="00193929"/>
    <w:rsid w:val="001942EA"/>
    <w:rsid w:val="0019479D"/>
    <w:rsid w:val="0019488F"/>
    <w:rsid w:val="001950E9"/>
    <w:rsid w:val="0019551C"/>
    <w:rsid w:val="00195751"/>
    <w:rsid w:val="00195DAC"/>
    <w:rsid w:val="0019636A"/>
    <w:rsid w:val="0019682B"/>
    <w:rsid w:val="00197328"/>
    <w:rsid w:val="001A02D0"/>
    <w:rsid w:val="001A063B"/>
    <w:rsid w:val="001A15A8"/>
    <w:rsid w:val="001A1A0D"/>
    <w:rsid w:val="001A1A53"/>
    <w:rsid w:val="001A1F51"/>
    <w:rsid w:val="001A2083"/>
    <w:rsid w:val="001A2B12"/>
    <w:rsid w:val="001A2F3D"/>
    <w:rsid w:val="001A33CD"/>
    <w:rsid w:val="001A3553"/>
    <w:rsid w:val="001A3786"/>
    <w:rsid w:val="001A3B8C"/>
    <w:rsid w:val="001A4098"/>
    <w:rsid w:val="001A4301"/>
    <w:rsid w:val="001A4697"/>
    <w:rsid w:val="001A46C4"/>
    <w:rsid w:val="001A4D06"/>
    <w:rsid w:val="001A4DA6"/>
    <w:rsid w:val="001A5A67"/>
    <w:rsid w:val="001A625B"/>
    <w:rsid w:val="001A64A7"/>
    <w:rsid w:val="001A658D"/>
    <w:rsid w:val="001A6916"/>
    <w:rsid w:val="001A6C04"/>
    <w:rsid w:val="001A6D4A"/>
    <w:rsid w:val="001A7140"/>
    <w:rsid w:val="001A753A"/>
    <w:rsid w:val="001B04CE"/>
    <w:rsid w:val="001B076A"/>
    <w:rsid w:val="001B0EE5"/>
    <w:rsid w:val="001B10DA"/>
    <w:rsid w:val="001B2205"/>
    <w:rsid w:val="001B226A"/>
    <w:rsid w:val="001B32C2"/>
    <w:rsid w:val="001B349F"/>
    <w:rsid w:val="001B500D"/>
    <w:rsid w:val="001B5920"/>
    <w:rsid w:val="001B689B"/>
    <w:rsid w:val="001B777C"/>
    <w:rsid w:val="001B7E11"/>
    <w:rsid w:val="001B7F38"/>
    <w:rsid w:val="001C0371"/>
    <w:rsid w:val="001C077D"/>
    <w:rsid w:val="001C1024"/>
    <w:rsid w:val="001C115A"/>
    <w:rsid w:val="001C1162"/>
    <w:rsid w:val="001C153F"/>
    <w:rsid w:val="001C1CDF"/>
    <w:rsid w:val="001C1E0C"/>
    <w:rsid w:val="001C24E9"/>
    <w:rsid w:val="001C256C"/>
    <w:rsid w:val="001C3C07"/>
    <w:rsid w:val="001C3CFE"/>
    <w:rsid w:val="001C46CC"/>
    <w:rsid w:val="001C4E67"/>
    <w:rsid w:val="001C4E92"/>
    <w:rsid w:val="001C55D0"/>
    <w:rsid w:val="001C56DD"/>
    <w:rsid w:val="001C5D56"/>
    <w:rsid w:val="001C6A64"/>
    <w:rsid w:val="001C6CDA"/>
    <w:rsid w:val="001C7186"/>
    <w:rsid w:val="001C7708"/>
    <w:rsid w:val="001D0056"/>
    <w:rsid w:val="001D04DF"/>
    <w:rsid w:val="001D0915"/>
    <w:rsid w:val="001D0C51"/>
    <w:rsid w:val="001D1A58"/>
    <w:rsid w:val="001D1FD1"/>
    <w:rsid w:val="001D2ECD"/>
    <w:rsid w:val="001D30C4"/>
    <w:rsid w:val="001D315D"/>
    <w:rsid w:val="001D3548"/>
    <w:rsid w:val="001D4233"/>
    <w:rsid w:val="001D4875"/>
    <w:rsid w:val="001D5334"/>
    <w:rsid w:val="001D5779"/>
    <w:rsid w:val="001D5C74"/>
    <w:rsid w:val="001D6BFE"/>
    <w:rsid w:val="001D6E4E"/>
    <w:rsid w:val="001E005B"/>
    <w:rsid w:val="001E0709"/>
    <w:rsid w:val="001E0EAF"/>
    <w:rsid w:val="001E235B"/>
    <w:rsid w:val="001E3755"/>
    <w:rsid w:val="001E37F1"/>
    <w:rsid w:val="001E3AEB"/>
    <w:rsid w:val="001E4289"/>
    <w:rsid w:val="001E45C9"/>
    <w:rsid w:val="001E5393"/>
    <w:rsid w:val="001E5470"/>
    <w:rsid w:val="001E56F0"/>
    <w:rsid w:val="001E59B3"/>
    <w:rsid w:val="001E5AD0"/>
    <w:rsid w:val="001E61BE"/>
    <w:rsid w:val="001E61E1"/>
    <w:rsid w:val="001E667A"/>
    <w:rsid w:val="001E6B8C"/>
    <w:rsid w:val="001E755C"/>
    <w:rsid w:val="001F00B6"/>
    <w:rsid w:val="001F043E"/>
    <w:rsid w:val="001F1147"/>
    <w:rsid w:val="001F1297"/>
    <w:rsid w:val="001F1526"/>
    <w:rsid w:val="001F33E5"/>
    <w:rsid w:val="001F37BC"/>
    <w:rsid w:val="001F3D67"/>
    <w:rsid w:val="001F3F23"/>
    <w:rsid w:val="001F4282"/>
    <w:rsid w:val="001F437C"/>
    <w:rsid w:val="001F43BC"/>
    <w:rsid w:val="001F5467"/>
    <w:rsid w:val="001F5887"/>
    <w:rsid w:val="001F5CB2"/>
    <w:rsid w:val="001F6156"/>
    <w:rsid w:val="001F7528"/>
    <w:rsid w:val="002000EA"/>
    <w:rsid w:val="00200E46"/>
    <w:rsid w:val="002010B7"/>
    <w:rsid w:val="0020118A"/>
    <w:rsid w:val="002012B8"/>
    <w:rsid w:val="002015E1"/>
    <w:rsid w:val="00201E52"/>
    <w:rsid w:val="00201E69"/>
    <w:rsid w:val="002026D0"/>
    <w:rsid w:val="00202EAD"/>
    <w:rsid w:val="00203683"/>
    <w:rsid w:val="00203C60"/>
    <w:rsid w:val="00204038"/>
    <w:rsid w:val="00204310"/>
    <w:rsid w:val="00204DFA"/>
    <w:rsid w:val="00204EE6"/>
    <w:rsid w:val="00204FCD"/>
    <w:rsid w:val="002052F9"/>
    <w:rsid w:val="0020636E"/>
    <w:rsid w:val="00206564"/>
    <w:rsid w:val="00206DB5"/>
    <w:rsid w:val="00207279"/>
    <w:rsid w:val="00207300"/>
    <w:rsid w:val="0020752F"/>
    <w:rsid w:val="00207944"/>
    <w:rsid w:val="00207EF8"/>
    <w:rsid w:val="00210068"/>
    <w:rsid w:val="0021081D"/>
    <w:rsid w:val="002109E6"/>
    <w:rsid w:val="002111A7"/>
    <w:rsid w:val="00211200"/>
    <w:rsid w:val="002120BA"/>
    <w:rsid w:val="002124B3"/>
    <w:rsid w:val="00212A5C"/>
    <w:rsid w:val="00212FC9"/>
    <w:rsid w:val="00212FCA"/>
    <w:rsid w:val="00213119"/>
    <w:rsid w:val="002133E4"/>
    <w:rsid w:val="002134D1"/>
    <w:rsid w:val="002139EC"/>
    <w:rsid w:val="002139FA"/>
    <w:rsid w:val="00213A2E"/>
    <w:rsid w:val="002149D3"/>
    <w:rsid w:val="00214BBD"/>
    <w:rsid w:val="002150CF"/>
    <w:rsid w:val="00215476"/>
    <w:rsid w:val="0021563D"/>
    <w:rsid w:val="00215A5F"/>
    <w:rsid w:val="00216129"/>
    <w:rsid w:val="00216141"/>
    <w:rsid w:val="0021623D"/>
    <w:rsid w:val="00216302"/>
    <w:rsid w:val="002165E8"/>
    <w:rsid w:val="00216EC1"/>
    <w:rsid w:val="00217326"/>
    <w:rsid w:val="00220540"/>
    <w:rsid w:val="0022075B"/>
    <w:rsid w:val="00220F70"/>
    <w:rsid w:val="00222CDD"/>
    <w:rsid w:val="0022383A"/>
    <w:rsid w:val="00224730"/>
    <w:rsid w:val="0022527A"/>
    <w:rsid w:val="0022544C"/>
    <w:rsid w:val="0022586D"/>
    <w:rsid w:val="00226374"/>
    <w:rsid w:val="00226847"/>
    <w:rsid w:val="00226D22"/>
    <w:rsid w:val="00227E32"/>
    <w:rsid w:val="00230278"/>
    <w:rsid w:val="00230479"/>
    <w:rsid w:val="00230FA6"/>
    <w:rsid w:val="00231344"/>
    <w:rsid w:val="002324CB"/>
    <w:rsid w:val="00232CF7"/>
    <w:rsid w:val="00233389"/>
    <w:rsid w:val="0023390E"/>
    <w:rsid w:val="00233DBD"/>
    <w:rsid w:val="00234CE7"/>
    <w:rsid w:val="00234F83"/>
    <w:rsid w:val="00235271"/>
    <w:rsid w:val="002355F0"/>
    <w:rsid w:val="00235AC1"/>
    <w:rsid w:val="002364E6"/>
    <w:rsid w:val="002366FB"/>
    <w:rsid w:val="00236A95"/>
    <w:rsid w:val="00236D0D"/>
    <w:rsid w:val="0023777E"/>
    <w:rsid w:val="00237A1A"/>
    <w:rsid w:val="00241850"/>
    <w:rsid w:val="002437A5"/>
    <w:rsid w:val="00243F25"/>
    <w:rsid w:val="00244455"/>
    <w:rsid w:val="00244801"/>
    <w:rsid w:val="0024516D"/>
    <w:rsid w:val="002452CE"/>
    <w:rsid w:val="002459C9"/>
    <w:rsid w:val="00245AE7"/>
    <w:rsid w:val="00246692"/>
    <w:rsid w:val="00246E20"/>
    <w:rsid w:val="0024720A"/>
    <w:rsid w:val="002479DE"/>
    <w:rsid w:val="0025131E"/>
    <w:rsid w:val="00251C42"/>
    <w:rsid w:val="002524D8"/>
    <w:rsid w:val="0025283C"/>
    <w:rsid w:val="00252BD7"/>
    <w:rsid w:val="0025321D"/>
    <w:rsid w:val="00254C65"/>
    <w:rsid w:val="00254FB4"/>
    <w:rsid w:val="00255107"/>
    <w:rsid w:val="0025544C"/>
    <w:rsid w:val="00255E86"/>
    <w:rsid w:val="0025642A"/>
    <w:rsid w:val="002567EE"/>
    <w:rsid w:val="002572A4"/>
    <w:rsid w:val="0025758F"/>
    <w:rsid w:val="0025793E"/>
    <w:rsid w:val="00257998"/>
    <w:rsid w:val="002579AF"/>
    <w:rsid w:val="00260294"/>
    <w:rsid w:val="00260546"/>
    <w:rsid w:val="00260A90"/>
    <w:rsid w:val="00261BF1"/>
    <w:rsid w:val="0026215B"/>
    <w:rsid w:val="002621A1"/>
    <w:rsid w:val="0026225A"/>
    <w:rsid w:val="0026255A"/>
    <w:rsid w:val="002625AE"/>
    <w:rsid w:val="002628E4"/>
    <w:rsid w:val="002629F7"/>
    <w:rsid w:val="00262B06"/>
    <w:rsid w:val="002635FA"/>
    <w:rsid w:val="002636A7"/>
    <w:rsid w:val="002639EC"/>
    <w:rsid w:val="002640B3"/>
    <w:rsid w:val="002649D8"/>
    <w:rsid w:val="00264D34"/>
    <w:rsid w:val="00265017"/>
    <w:rsid w:val="00266686"/>
    <w:rsid w:val="002670BE"/>
    <w:rsid w:val="002678E2"/>
    <w:rsid w:val="00267E31"/>
    <w:rsid w:val="002702FB"/>
    <w:rsid w:val="00270E91"/>
    <w:rsid w:val="00271E2A"/>
    <w:rsid w:val="00271E95"/>
    <w:rsid w:val="0027251B"/>
    <w:rsid w:val="00273141"/>
    <w:rsid w:val="00273618"/>
    <w:rsid w:val="002754CB"/>
    <w:rsid w:val="002755DF"/>
    <w:rsid w:val="0027587A"/>
    <w:rsid w:val="00275A62"/>
    <w:rsid w:val="00276016"/>
    <w:rsid w:val="0027633E"/>
    <w:rsid w:val="00276BFE"/>
    <w:rsid w:val="00277EF3"/>
    <w:rsid w:val="00280602"/>
    <w:rsid w:val="00280C10"/>
    <w:rsid w:val="002811B8"/>
    <w:rsid w:val="00281421"/>
    <w:rsid w:val="002816F6"/>
    <w:rsid w:val="00281923"/>
    <w:rsid w:val="002825D8"/>
    <w:rsid w:val="00282B76"/>
    <w:rsid w:val="00282EB6"/>
    <w:rsid w:val="0028321F"/>
    <w:rsid w:val="00284B08"/>
    <w:rsid w:val="00284EAE"/>
    <w:rsid w:val="00284FB3"/>
    <w:rsid w:val="002850D0"/>
    <w:rsid w:val="002854F3"/>
    <w:rsid w:val="002857D0"/>
    <w:rsid w:val="00286260"/>
    <w:rsid w:val="00286439"/>
    <w:rsid w:val="0028651D"/>
    <w:rsid w:val="002866BC"/>
    <w:rsid w:val="002868A5"/>
    <w:rsid w:val="00286AA1"/>
    <w:rsid w:val="002878BC"/>
    <w:rsid w:val="002879F3"/>
    <w:rsid w:val="00290812"/>
    <w:rsid w:val="00291943"/>
    <w:rsid w:val="00292501"/>
    <w:rsid w:val="0029283A"/>
    <w:rsid w:val="00292C7F"/>
    <w:rsid w:val="002934E0"/>
    <w:rsid w:val="00293BDC"/>
    <w:rsid w:val="00293D98"/>
    <w:rsid w:val="00294B2C"/>
    <w:rsid w:val="00294E59"/>
    <w:rsid w:val="00294FC2"/>
    <w:rsid w:val="00295067"/>
    <w:rsid w:val="002950F3"/>
    <w:rsid w:val="00295EFC"/>
    <w:rsid w:val="002965F6"/>
    <w:rsid w:val="0029693A"/>
    <w:rsid w:val="0029709C"/>
    <w:rsid w:val="0029747B"/>
    <w:rsid w:val="002A11D9"/>
    <w:rsid w:val="002A1FDC"/>
    <w:rsid w:val="002A2039"/>
    <w:rsid w:val="002A2110"/>
    <w:rsid w:val="002A2658"/>
    <w:rsid w:val="002A266F"/>
    <w:rsid w:val="002A2B28"/>
    <w:rsid w:val="002A3070"/>
    <w:rsid w:val="002A33AE"/>
    <w:rsid w:val="002A37F7"/>
    <w:rsid w:val="002A382B"/>
    <w:rsid w:val="002A3959"/>
    <w:rsid w:val="002A40E1"/>
    <w:rsid w:val="002A4688"/>
    <w:rsid w:val="002A49E4"/>
    <w:rsid w:val="002A4F19"/>
    <w:rsid w:val="002A4F82"/>
    <w:rsid w:val="002A52C2"/>
    <w:rsid w:val="002A5B03"/>
    <w:rsid w:val="002A5E60"/>
    <w:rsid w:val="002A6333"/>
    <w:rsid w:val="002A6AE0"/>
    <w:rsid w:val="002A7A7F"/>
    <w:rsid w:val="002A7C8C"/>
    <w:rsid w:val="002B07A9"/>
    <w:rsid w:val="002B0809"/>
    <w:rsid w:val="002B0A61"/>
    <w:rsid w:val="002B0DC6"/>
    <w:rsid w:val="002B10DD"/>
    <w:rsid w:val="002B24C0"/>
    <w:rsid w:val="002B26E8"/>
    <w:rsid w:val="002B2AF8"/>
    <w:rsid w:val="002B2FCA"/>
    <w:rsid w:val="002B3805"/>
    <w:rsid w:val="002B3B8C"/>
    <w:rsid w:val="002B3B99"/>
    <w:rsid w:val="002B44D5"/>
    <w:rsid w:val="002B482D"/>
    <w:rsid w:val="002B49CD"/>
    <w:rsid w:val="002B4D7A"/>
    <w:rsid w:val="002B598E"/>
    <w:rsid w:val="002B5FBD"/>
    <w:rsid w:val="002B62EA"/>
    <w:rsid w:val="002B6463"/>
    <w:rsid w:val="002B6804"/>
    <w:rsid w:val="002B6F81"/>
    <w:rsid w:val="002B7765"/>
    <w:rsid w:val="002C051F"/>
    <w:rsid w:val="002C10A9"/>
    <w:rsid w:val="002C11F7"/>
    <w:rsid w:val="002C182D"/>
    <w:rsid w:val="002C1C8D"/>
    <w:rsid w:val="002C2087"/>
    <w:rsid w:val="002C208E"/>
    <w:rsid w:val="002C25D9"/>
    <w:rsid w:val="002C28A2"/>
    <w:rsid w:val="002C2DB3"/>
    <w:rsid w:val="002C35D3"/>
    <w:rsid w:val="002C4CF5"/>
    <w:rsid w:val="002C5117"/>
    <w:rsid w:val="002C5B10"/>
    <w:rsid w:val="002C60B3"/>
    <w:rsid w:val="002C656A"/>
    <w:rsid w:val="002C79AE"/>
    <w:rsid w:val="002C7DBF"/>
    <w:rsid w:val="002D00F4"/>
    <w:rsid w:val="002D0678"/>
    <w:rsid w:val="002D0B80"/>
    <w:rsid w:val="002D1297"/>
    <w:rsid w:val="002D179D"/>
    <w:rsid w:val="002D17A4"/>
    <w:rsid w:val="002D1C30"/>
    <w:rsid w:val="002D232A"/>
    <w:rsid w:val="002D24B0"/>
    <w:rsid w:val="002D2EC9"/>
    <w:rsid w:val="002D2F29"/>
    <w:rsid w:val="002D306B"/>
    <w:rsid w:val="002D389F"/>
    <w:rsid w:val="002D3CD8"/>
    <w:rsid w:val="002D3FC0"/>
    <w:rsid w:val="002D4435"/>
    <w:rsid w:val="002D4957"/>
    <w:rsid w:val="002D4DA7"/>
    <w:rsid w:val="002D4F31"/>
    <w:rsid w:val="002D5357"/>
    <w:rsid w:val="002D53DE"/>
    <w:rsid w:val="002D5D3E"/>
    <w:rsid w:val="002D5F3F"/>
    <w:rsid w:val="002D61C2"/>
    <w:rsid w:val="002D6907"/>
    <w:rsid w:val="002D6B83"/>
    <w:rsid w:val="002D7067"/>
    <w:rsid w:val="002D7C2A"/>
    <w:rsid w:val="002E0A5A"/>
    <w:rsid w:val="002E12C6"/>
    <w:rsid w:val="002E1C4C"/>
    <w:rsid w:val="002E247B"/>
    <w:rsid w:val="002E2F27"/>
    <w:rsid w:val="002E2FBB"/>
    <w:rsid w:val="002E345D"/>
    <w:rsid w:val="002E3C01"/>
    <w:rsid w:val="002E3D36"/>
    <w:rsid w:val="002E4275"/>
    <w:rsid w:val="002E45C6"/>
    <w:rsid w:val="002E466A"/>
    <w:rsid w:val="002E4AD7"/>
    <w:rsid w:val="002E4BFF"/>
    <w:rsid w:val="002E51EE"/>
    <w:rsid w:val="002E5F55"/>
    <w:rsid w:val="002E6759"/>
    <w:rsid w:val="002E6988"/>
    <w:rsid w:val="002E6BB8"/>
    <w:rsid w:val="002E6CE7"/>
    <w:rsid w:val="002E729B"/>
    <w:rsid w:val="002E78AB"/>
    <w:rsid w:val="002E7FD3"/>
    <w:rsid w:val="002F0216"/>
    <w:rsid w:val="002F0398"/>
    <w:rsid w:val="002F060A"/>
    <w:rsid w:val="002F0CDD"/>
    <w:rsid w:val="002F0D9F"/>
    <w:rsid w:val="002F1780"/>
    <w:rsid w:val="002F2227"/>
    <w:rsid w:val="002F32EB"/>
    <w:rsid w:val="002F3725"/>
    <w:rsid w:val="002F51AC"/>
    <w:rsid w:val="002F5815"/>
    <w:rsid w:val="002F6768"/>
    <w:rsid w:val="002F6F6C"/>
    <w:rsid w:val="002F7A46"/>
    <w:rsid w:val="002F7C5E"/>
    <w:rsid w:val="002F7EC0"/>
    <w:rsid w:val="0030045C"/>
    <w:rsid w:val="00300553"/>
    <w:rsid w:val="0030194A"/>
    <w:rsid w:val="00301A0F"/>
    <w:rsid w:val="00301BA5"/>
    <w:rsid w:val="00301CEB"/>
    <w:rsid w:val="00301DD0"/>
    <w:rsid w:val="00302722"/>
    <w:rsid w:val="00302B3E"/>
    <w:rsid w:val="00304579"/>
    <w:rsid w:val="00304896"/>
    <w:rsid w:val="00304C24"/>
    <w:rsid w:val="00305940"/>
    <w:rsid w:val="00305CE0"/>
    <w:rsid w:val="00306587"/>
    <w:rsid w:val="003067E3"/>
    <w:rsid w:val="003068AF"/>
    <w:rsid w:val="00306D14"/>
    <w:rsid w:val="00307316"/>
    <w:rsid w:val="003101A9"/>
    <w:rsid w:val="00310B83"/>
    <w:rsid w:val="0031179F"/>
    <w:rsid w:val="00312724"/>
    <w:rsid w:val="0031278B"/>
    <w:rsid w:val="00313D02"/>
    <w:rsid w:val="00313EE8"/>
    <w:rsid w:val="00314674"/>
    <w:rsid w:val="0031495D"/>
    <w:rsid w:val="00314F7E"/>
    <w:rsid w:val="00315AE4"/>
    <w:rsid w:val="00316D2F"/>
    <w:rsid w:val="00317825"/>
    <w:rsid w:val="00320186"/>
    <w:rsid w:val="0032102D"/>
    <w:rsid w:val="003212A3"/>
    <w:rsid w:val="00321584"/>
    <w:rsid w:val="00321DBA"/>
    <w:rsid w:val="003226D8"/>
    <w:rsid w:val="00323BF6"/>
    <w:rsid w:val="003245D2"/>
    <w:rsid w:val="00325120"/>
    <w:rsid w:val="00325D69"/>
    <w:rsid w:val="003268FE"/>
    <w:rsid w:val="00326AB9"/>
    <w:rsid w:val="00326BB9"/>
    <w:rsid w:val="00326EFC"/>
    <w:rsid w:val="00327116"/>
    <w:rsid w:val="00327344"/>
    <w:rsid w:val="00327EE5"/>
    <w:rsid w:val="0033050E"/>
    <w:rsid w:val="00330668"/>
    <w:rsid w:val="0033068E"/>
    <w:rsid w:val="003307B5"/>
    <w:rsid w:val="00330863"/>
    <w:rsid w:val="0033152B"/>
    <w:rsid w:val="003315CC"/>
    <w:rsid w:val="00331908"/>
    <w:rsid w:val="00332286"/>
    <w:rsid w:val="00332454"/>
    <w:rsid w:val="0033423A"/>
    <w:rsid w:val="003344F8"/>
    <w:rsid w:val="003346F3"/>
    <w:rsid w:val="00334924"/>
    <w:rsid w:val="0033560B"/>
    <w:rsid w:val="00336139"/>
    <w:rsid w:val="00336689"/>
    <w:rsid w:val="00336A97"/>
    <w:rsid w:val="00336C96"/>
    <w:rsid w:val="0033723E"/>
    <w:rsid w:val="00337317"/>
    <w:rsid w:val="0033733D"/>
    <w:rsid w:val="00337FF2"/>
    <w:rsid w:val="0034034D"/>
    <w:rsid w:val="00340645"/>
    <w:rsid w:val="00341359"/>
    <w:rsid w:val="00341ACB"/>
    <w:rsid w:val="00341D57"/>
    <w:rsid w:val="00341D8E"/>
    <w:rsid w:val="0034219D"/>
    <w:rsid w:val="00342CA9"/>
    <w:rsid w:val="00343C1B"/>
    <w:rsid w:val="00344617"/>
    <w:rsid w:val="00344B1D"/>
    <w:rsid w:val="00345C43"/>
    <w:rsid w:val="00345FC3"/>
    <w:rsid w:val="00346293"/>
    <w:rsid w:val="00346C13"/>
    <w:rsid w:val="00346DCD"/>
    <w:rsid w:val="00347B99"/>
    <w:rsid w:val="0035018E"/>
    <w:rsid w:val="003506D1"/>
    <w:rsid w:val="0035074C"/>
    <w:rsid w:val="00350825"/>
    <w:rsid w:val="0035104F"/>
    <w:rsid w:val="00351186"/>
    <w:rsid w:val="00351A19"/>
    <w:rsid w:val="00351C46"/>
    <w:rsid w:val="00351FC9"/>
    <w:rsid w:val="003521F8"/>
    <w:rsid w:val="00352224"/>
    <w:rsid w:val="00352F1F"/>
    <w:rsid w:val="00353360"/>
    <w:rsid w:val="003533E7"/>
    <w:rsid w:val="003534CB"/>
    <w:rsid w:val="00354389"/>
    <w:rsid w:val="0035443C"/>
    <w:rsid w:val="003550B0"/>
    <w:rsid w:val="00355ABD"/>
    <w:rsid w:val="00355DDA"/>
    <w:rsid w:val="003561A9"/>
    <w:rsid w:val="003571C7"/>
    <w:rsid w:val="00357AC7"/>
    <w:rsid w:val="003602D4"/>
    <w:rsid w:val="003604B5"/>
    <w:rsid w:val="00360529"/>
    <w:rsid w:val="00361948"/>
    <w:rsid w:val="00361B9B"/>
    <w:rsid w:val="003623E1"/>
    <w:rsid w:val="0036251B"/>
    <w:rsid w:val="0036325F"/>
    <w:rsid w:val="00363B58"/>
    <w:rsid w:val="00364C2C"/>
    <w:rsid w:val="00365202"/>
    <w:rsid w:val="003663B9"/>
    <w:rsid w:val="003664DA"/>
    <w:rsid w:val="00366A9C"/>
    <w:rsid w:val="00366C12"/>
    <w:rsid w:val="00370603"/>
    <w:rsid w:val="0037065E"/>
    <w:rsid w:val="00371029"/>
    <w:rsid w:val="00372CE7"/>
    <w:rsid w:val="00372E46"/>
    <w:rsid w:val="00372F9F"/>
    <w:rsid w:val="00373FAB"/>
    <w:rsid w:val="0037461D"/>
    <w:rsid w:val="00375449"/>
    <w:rsid w:val="00375544"/>
    <w:rsid w:val="0037631F"/>
    <w:rsid w:val="00377184"/>
    <w:rsid w:val="003775C2"/>
    <w:rsid w:val="00377761"/>
    <w:rsid w:val="003805C8"/>
    <w:rsid w:val="00381471"/>
    <w:rsid w:val="003817D5"/>
    <w:rsid w:val="00381877"/>
    <w:rsid w:val="003818EC"/>
    <w:rsid w:val="00381AA8"/>
    <w:rsid w:val="00382141"/>
    <w:rsid w:val="003824BD"/>
    <w:rsid w:val="0038261D"/>
    <w:rsid w:val="00382702"/>
    <w:rsid w:val="003828BC"/>
    <w:rsid w:val="003829D1"/>
    <w:rsid w:val="00384311"/>
    <w:rsid w:val="00384BCB"/>
    <w:rsid w:val="0038501C"/>
    <w:rsid w:val="00385376"/>
    <w:rsid w:val="0038543E"/>
    <w:rsid w:val="003854B2"/>
    <w:rsid w:val="003859AE"/>
    <w:rsid w:val="00385F04"/>
    <w:rsid w:val="003873C6"/>
    <w:rsid w:val="00387DC9"/>
    <w:rsid w:val="0039010A"/>
    <w:rsid w:val="0039043A"/>
    <w:rsid w:val="00390AED"/>
    <w:rsid w:val="00390FB1"/>
    <w:rsid w:val="0039126E"/>
    <w:rsid w:val="003918A4"/>
    <w:rsid w:val="003918B7"/>
    <w:rsid w:val="00391ADA"/>
    <w:rsid w:val="003925B2"/>
    <w:rsid w:val="003929C9"/>
    <w:rsid w:val="00392A23"/>
    <w:rsid w:val="00392CEE"/>
    <w:rsid w:val="00393992"/>
    <w:rsid w:val="00393D59"/>
    <w:rsid w:val="0039457F"/>
    <w:rsid w:val="00395543"/>
    <w:rsid w:val="003955D5"/>
    <w:rsid w:val="00395A27"/>
    <w:rsid w:val="00395A9B"/>
    <w:rsid w:val="00395B9F"/>
    <w:rsid w:val="00396569"/>
    <w:rsid w:val="003967A8"/>
    <w:rsid w:val="00396FCE"/>
    <w:rsid w:val="00397068"/>
    <w:rsid w:val="003978BF"/>
    <w:rsid w:val="003979A0"/>
    <w:rsid w:val="00397BEB"/>
    <w:rsid w:val="003A0484"/>
    <w:rsid w:val="003A07B5"/>
    <w:rsid w:val="003A0831"/>
    <w:rsid w:val="003A107B"/>
    <w:rsid w:val="003A1091"/>
    <w:rsid w:val="003A2B2A"/>
    <w:rsid w:val="003A313F"/>
    <w:rsid w:val="003A3335"/>
    <w:rsid w:val="003A44CE"/>
    <w:rsid w:val="003A4A24"/>
    <w:rsid w:val="003A4CB6"/>
    <w:rsid w:val="003A50E4"/>
    <w:rsid w:val="003A51BE"/>
    <w:rsid w:val="003A5222"/>
    <w:rsid w:val="003A543C"/>
    <w:rsid w:val="003A54F9"/>
    <w:rsid w:val="003A577A"/>
    <w:rsid w:val="003A5983"/>
    <w:rsid w:val="003A5C31"/>
    <w:rsid w:val="003A5CBC"/>
    <w:rsid w:val="003A60F3"/>
    <w:rsid w:val="003A6ABA"/>
    <w:rsid w:val="003A78D1"/>
    <w:rsid w:val="003A7C4B"/>
    <w:rsid w:val="003A7F3F"/>
    <w:rsid w:val="003B0510"/>
    <w:rsid w:val="003B0744"/>
    <w:rsid w:val="003B09E0"/>
    <w:rsid w:val="003B180D"/>
    <w:rsid w:val="003B1BD2"/>
    <w:rsid w:val="003B26C4"/>
    <w:rsid w:val="003B3C50"/>
    <w:rsid w:val="003B41A0"/>
    <w:rsid w:val="003B4439"/>
    <w:rsid w:val="003B4888"/>
    <w:rsid w:val="003B4DC8"/>
    <w:rsid w:val="003B56DD"/>
    <w:rsid w:val="003B5E69"/>
    <w:rsid w:val="003B6652"/>
    <w:rsid w:val="003B67C3"/>
    <w:rsid w:val="003B68BD"/>
    <w:rsid w:val="003B6E01"/>
    <w:rsid w:val="003C0B7F"/>
    <w:rsid w:val="003C0FF9"/>
    <w:rsid w:val="003C1292"/>
    <w:rsid w:val="003C13DF"/>
    <w:rsid w:val="003C14D5"/>
    <w:rsid w:val="003C1FA6"/>
    <w:rsid w:val="003C262E"/>
    <w:rsid w:val="003C46B3"/>
    <w:rsid w:val="003C4E9B"/>
    <w:rsid w:val="003C5C49"/>
    <w:rsid w:val="003C5C50"/>
    <w:rsid w:val="003C5CDA"/>
    <w:rsid w:val="003C6673"/>
    <w:rsid w:val="003C66D4"/>
    <w:rsid w:val="003C6ACC"/>
    <w:rsid w:val="003C6C65"/>
    <w:rsid w:val="003C6DF7"/>
    <w:rsid w:val="003C6EC2"/>
    <w:rsid w:val="003C6FF1"/>
    <w:rsid w:val="003C7C23"/>
    <w:rsid w:val="003C7CF9"/>
    <w:rsid w:val="003D01EC"/>
    <w:rsid w:val="003D036C"/>
    <w:rsid w:val="003D039A"/>
    <w:rsid w:val="003D05E0"/>
    <w:rsid w:val="003D1170"/>
    <w:rsid w:val="003D168C"/>
    <w:rsid w:val="003D1A68"/>
    <w:rsid w:val="003D1C39"/>
    <w:rsid w:val="003D1F7B"/>
    <w:rsid w:val="003D2F73"/>
    <w:rsid w:val="003D3469"/>
    <w:rsid w:val="003D38B8"/>
    <w:rsid w:val="003D39CE"/>
    <w:rsid w:val="003D3CF0"/>
    <w:rsid w:val="003D3CFD"/>
    <w:rsid w:val="003D497E"/>
    <w:rsid w:val="003D498A"/>
    <w:rsid w:val="003D527D"/>
    <w:rsid w:val="003D623F"/>
    <w:rsid w:val="003D6531"/>
    <w:rsid w:val="003D69AA"/>
    <w:rsid w:val="003D726A"/>
    <w:rsid w:val="003D79DF"/>
    <w:rsid w:val="003D7C24"/>
    <w:rsid w:val="003D7DB1"/>
    <w:rsid w:val="003E0425"/>
    <w:rsid w:val="003E325E"/>
    <w:rsid w:val="003E3A29"/>
    <w:rsid w:val="003E3E46"/>
    <w:rsid w:val="003E43E2"/>
    <w:rsid w:val="003E45BF"/>
    <w:rsid w:val="003E465A"/>
    <w:rsid w:val="003E5AD3"/>
    <w:rsid w:val="003E5E01"/>
    <w:rsid w:val="003E6970"/>
    <w:rsid w:val="003E7029"/>
    <w:rsid w:val="003F02EE"/>
    <w:rsid w:val="003F0A6B"/>
    <w:rsid w:val="003F0F4D"/>
    <w:rsid w:val="003F1A23"/>
    <w:rsid w:val="003F2260"/>
    <w:rsid w:val="003F28A8"/>
    <w:rsid w:val="003F317C"/>
    <w:rsid w:val="003F32BD"/>
    <w:rsid w:val="003F396D"/>
    <w:rsid w:val="003F42D4"/>
    <w:rsid w:val="003F58C1"/>
    <w:rsid w:val="003F60DA"/>
    <w:rsid w:val="003F6248"/>
    <w:rsid w:val="003F6614"/>
    <w:rsid w:val="003F677B"/>
    <w:rsid w:val="003F6BC4"/>
    <w:rsid w:val="003F6E4F"/>
    <w:rsid w:val="003F7C92"/>
    <w:rsid w:val="003F7CF4"/>
    <w:rsid w:val="00400981"/>
    <w:rsid w:val="00400AC0"/>
    <w:rsid w:val="00401521"/>
    <w:rsid w:val="00402110"/>
    <w:rsid w:val="00402392"/>
    <w:rsid w:val="00402922"/>
    <w:rsid w:val="00402A65"/>
    <w:rsid w:val="00402CD0"/>
    <w:rsid w:val="00403222"/>
    <w:rsid w:val="00403374"/>
    <w:rsid w:val="00403FE8"/>
    <w:rsid w:val="00404040"/>
    <w:rsid w:val="0040445A"/>
    <w:rsid w:val="004045A3"/>
    <w:rsid w:val="004047EF"/>
    <w:rsid w:val="00405C9E"/>
    <w:rsid w:val="0040605B"/>
    <w:rsid w:val="00406135"/>
    <w:rsid w:val="004072D9"/>
    <w:rsid w:val="004075AC"/>
    <w:rsid w:val="00407BE8"/>
    <w:rsid w:val="0041016A"/>
    <w:rsid w:val="00410239"/>
    <w:rsid w:val="00410C0F"/>
    <w:rsid w:val="0041192D"/>
    <w:rsid w:val="00411A00"/>
    <w:rsid w:val="00411D8D"/>
    <w:rsid w:val="004122AB"/>
    <w:rsid w:val="004129EF"/>
    <w:rsid w:val="00412C82"/>
    <w:rsid w:val="0041367E"/>
    <w:rsid w:val="0041376F"/>
    <w:rsid w:val="00413AEC"/>
    <w:rsid w:val="004141EB"/>
    <w:rsid w:val="0041455A"/>
    <w:rsid w:val="00417EA3"/>
    <w:rsid w:val="00420375"/>
    <w:rsid w:val="00420A06"/>
    <w:rsid w:val="00420A50"/>
    <w:rsid w:val="0042170E"/>
    <w:rsid w:val="0042176E"/>
    <w:rsid w:val="00421FFE"/>
    <w:rsid w:val="00422392"/>
    <w:rsid w:val="0042340F"/>
    <w:rsid w:val="00423C44"/>
    <w:rsid w:val="00424B4F"/>
    <w:rsid w:val="00424CFA"/>
    <w:rsid w:val="0042616F"/>
    <w:rsid w:val="00426201"/>
    <w:rsid w:val="00426A44"/>
    <w:rsid w:val="00427398"/>
    <w:rsid w:val="00427567"/>
    <w:rsid w:val="004279AF"/>
    <w:rsid w:val="004313F3"/>
    <w:rsid w:val="0043168A"/>
    <w:rsid w:val="00431924"/>
    <w:rsid w:val="00431D2F"/>
    <w:rsid w:val="00431F33"/>
    <w:rsid w:val="00432B40"/>
    <w:rsid w:val="00432C70"/>
    <w:rsid w:val="00433572"/>
    <w:rsid w:val="0043437A"/>
    <w:rsid w:val="00434D4A"/>
    <w:rsid w:val="00435948"/>
    <w:rsid w:val="004359DC"/>
    <w:rsid w:val="00435A45"/>
    <w:rsid w:val="00435BF1"/>
    <w:rsid w:val="00435E99"/>
    <w:rsid w:val="004364E3"/>
    <w:rsid w:val="00436563"/>
    <w:rsid w:val="004374AC"/>
    <w:rsid w:val="004410A7"/>
    <w:rsid w:val="004429CD"/>
    <w:rsid w:val="004439F4"/>
    <w:rsid w:val="00444106"/>
    <w:rsid w:val="004441E3"/>
    <w:rsid w:val="004446D9"/>
    <w:rsid w:val="00444C44"/>
    <w:rsid w:val="004461DC"/>
    <w:rsid w:val="00446CE4"/>
    <w:rsid w:val="00447980"/>
    <w:rsid w:val="00447A71"/>
    <w:rsid w:val="00447AC6"/>
    <w:rsid w:val="0045049A"/>
    <w:rsid w:val="0045178D"/>
    <w:rsid w:val="00451CE2"/>
    <w:rsid w:val="0045252D"/>
    <w:rsid w:val="00452A3B"/>
    <w:rsid w:val="00452B84"/>
    <w:rsid w:val="00453074"/>
    <w:rsid w:val="004532C3"/>
    <w:rsid w:val="00453748"/>
    <w:rsid w:val="00453884"/>
    <w:rsid w:val="0045408A"/>
    <w:rsid w:val="00454B1B"/>
    <w:rsid w:val="00455A3A"/>
    <w:rsid w:val="00455E06"/>
    <w:rsid w:val="004564C2"/>
    <w:rsid w:val="00456613"/>
    <w:rsid w:val="00456787"/>
    <w:rsid w:val="00456922"/>
    <w:rsid w:val="004609A6"/>
    <w:rsid w:val="004613E4"/>
    <w:rsid w:val="00461514"/>
    <w:rsid w:val="00461E67"/>
    <w:rsid w:val="004624EC"/>
    <w:rsid w:val="00462606"/>
    <w:rsid w:val="00462C8D"/>
    <w:rsid w:val="00463914"/>
    <w:rsid w:val="00463A05"/>
    <w:rsid w:val="00463C96"/>
    <w:rsid w:val="00463F62"/>
    <w:rsid w:val="00464609"/>
    <w:rsid w:val="00464E73"/>
    <w:rsid w:val="004653F5"/>
    <w:rsid w:val="004656CA"/>
    <w:rsid w:val="004662BC"/>
    <w:rsid w:val="004668B2"/>
    <w:rsid w:val="00467618"/>
    <w:rsid w:val="00467782"/>
    <w:rsid w:val="004678DA"/>
    <w:rsid w:val="00467CA2"/>
    <w:rsid w:val="00467DB1"/>
    <w:rsid w:val="00467DCC"/>
    <w:rsid w:val="0047022F"/>
    <w:rsid w:val="00471C58"/>
    <w:rsid w:val="00471D80"/>
    <w:rsid w:val="00472336"/>
    <w:rsid w:val="0047240D"/>
    <w:rsid w:val="00472C08"/>
    <w:rsid w:val="0047663A"/>
    <w:rsid w:val="00476CC4"/>
    <w:rsid w:val="00476D5E"/>
    <w:rsid w:val="00477957"/>
    <w:rsid w:val="00477F65"/>
    <w:rsid w:val="004806A0"/>
    <w:rsid w:val="00480B53"/>
    <w:rsid w:val="00481B42"/>
    <w:rsid w:val="00481D23"/>
    <w:rsid w:val="004824D2"/>
    <w:rsid w:val="004827BD"/>
    <w:rsid w:val="0048353F"/>
    <w:rsid w:val="00483AC0"/>
    <w:rsid w:val="00483E12"/>
    <w:rsid w:val="00484414"/>
    <w:rsid w:val="0048443D"/>
    <w:rsid w:val="00484954"/>
    <w:rsid w:val="00484A29"/>
    <w:rsid w:val="00486ECE"/>
    <w:rsid w:val="004870B8"/>
    <w:rsid w:val="0048722F"/>
    <w:rsid w:val="00487802"/>
    <w:rsid w:val="00487C42"/>
    <w:rsid w:val="00487E9C"/>
    <w:rsid w:val="00490297"/>
    <w:rsid w:val="00490519"/>
    <w:rsid w:val="00491141"/>
    <w:rsid w:val="00491264"/>
    <w:rsid w:val="00491A16"/>
    <w:rsid w:val="00492516"/>
    <w:rsid w:val="00492E75"/>
    <w:rsid w:val="0049316A"/>
    <w:rsid w:val="004943BA"/>
    <w:rsid w:val="004947F6"/>
    <w:rsid w:val="00495EAD"/>
    <w:rsid w:val="00495FAB"/>
    <w:rsid w:val="004961E1"/>
    <w:rsid w:val="00496B5D"/>
    <w:rsid w:val="004A0CD0"/>
    <w:rsid w:val="004A1352"/>
    <w:rsid w:val="004A1FE8"/>
    <w:rsid w:val="004A21D5"/>
    <w:rsid w:val="004A30D4"/>
    <w:rsid w:val="004A3536"/>
    <w:rsid w:val="004A4512"/>
    <w:rsid w:val="004A4B9E"/>
    <w:rsid w:val="004A7587"/>
    <w:rsid w:val="004A78C7"/>
    <w:rsid w:val="004A7D23"/>
    <w:rsid w:val="004B0564"/>
    <w:rsid w:val="004B05B5"/>
    <w:rsid w:val="004B06FF"/>
    <w:rsid w:val="004B0C82"/>
    <w:rsid w:val="004B1CFC"/>
    <w:rsid w:val="004B1D9F"/>
    <w:rsid w:val="004B1FE8"/>
    <w:rsid w:val="004B26B1"/>
    <w:rsid w:val="004B2894"/>
    <w:rsid w:val="004B29B5"/>
    <w:rsid w:val="004B2DCD"/>
    <w:rsid w:val="004B2E5E"/>
    <w:rsid w:val="004B4014"/>
    <w:rsid w:val="004B49A9"/>
    <w:rsid w:val="004B513F"/>
    <w:rsid w:val="004B55E2"/>
    <w:rsid w:val="004B591D"/>
    <w:rsid w:val="004B5B0C"/>
    <w:rsid w:val="004B65CD"/>
    <w:rsid w:val="004B6AC4"/>
    <w:rsid w:val="004B6E6C"/>
    <w:rsid w:val="004B7430"/>
    <w:rsid w:val="004C07E9"/>
    <w:rsid w:val="004C0A28"/>
    <w:rsid w:val="004C1634"/>
    <w:rsid w:val="004C2B16"/>
    <w:rsid w:val="004C2DDD"/>
    <w:rsid w:val="004C2E03"/>
    <w:rsid w:val="004C4209"/>
    <w:rsid w:val="004C4C2A"/>
    <w:rsid w:val="004C4F99"/>
    <w:rsid w:val="004C5456"/>
    <w:rsid w:val="004C5D5F"/>
    <w:rsid w:val="004C6D7C"/>
    <w:rsid w:val="004C6EC4"/>
    <w:rsid w:val="004C6FB9"/>
    <w:rsid w:val="004D044D"/>
    <w:rsid w:val="004D04B7"/>
    <w:rsid w:val="004D0C11"/>
    <w:rsid w:val="004D1385"/>
    <w:rsid w:val="004D13A4"/>
    <w:rsid w:val="004D1462"/>
    <w:rsid w:val="004D1B45"/>
    <w:rsid w:val="004D22CA"/>
    <w:rsid w:val="004D23C1"/>
    <w:rsid w:val="004D2604"/>
    <w:rsid w:val="004D29FF"/>
    <w:rsid w:val="004D2CE7"/>
    <w:rsid w:val="004D2DD2"/>
    <w:rsid w:val="004D41A7"/>
    <w:rsid w:val="004D49E2"/>
    <w:rsid w:val="004D528B"/>
    <w:rsid w:val="004D531D"/>
    <w:rsid w:val="004D5B6A"/>
    <w:rsid w:val="004D75DF"/>
    <w:rsid w:val="004D76AF"/>
    <w:rsid w:val="004E1365"/>
    <w:rsid w:val="004E157B"/>
    <w:rsid w:val="004E1851"/>
    <w:rsid w:val="004E26A6"/>
    <w:rsid w:val="004E26F0"/>
    <w:rsid w:val="004E27A8"/>
    <w:rsid w:val="004E2C26"/>
    <w:rsid w:val="004E369A"/>
    <w:rsid w:val="004E4246"/>
    <w:rsid w:val="004E4B0B"/>
    <w:rsid w:val="004E58B7"/>
    <w:rsid w:val="004E61DF"/>
    <w:rsid w:val="004E6330"/>
    <w:rsid w:val="004E659F"/>
    <w:rsid w:val="004E6FBE"/>
    <w:rsid w:val="004E776B"/>
    <w:rsid w:val="004E7E01"/>
    <w:rsid w:val="004F0301"/>
    <w:rsid w:val="004F0590"/>
    <w:rsid w:val="004F07EC"/>
    <w:rsid w:val="004F16D3"/>
    <w:rsid w:val="004F16F8"/>
    <w:rsid w:val="004F1715"/>
    <w:rsid w:val="004F185A"/>
    <w:rsid w:val="004F1BBD"/>
    <w:rsid w:val="004F23E6"/>
    <w:rsid w:val="004F254C"/>
    <w:rsid w:val="004F349A"/>
    <w:rsid w:val="004F3706"/>
    <w:rsid w:val="004F5098"/>
    <w:rsid w:val="004F5491"/>
    <w:rsid w:val="004F5750"/>
    <w:rsid w:val="004F5A6B"/>
    <w:rsid w:val="004F653F"/>
    <w:rsid w:val="004F6B29"/>
    <w:rsid w:val="004F6B3B"/>
    <w:rsid w:val="004F6CE6"/>
    <w:rsid w:val="0050060C"/>
    <w:rsid w:val="0050061F"/>
    <w:rsid w:val="00501253"/>
    <w:rsid w:val="00501254"/>
    <w:rsid w:val="00501D3D"/>
    <w:rsid w:val="00501D73"/>
    <w:rsid w:val="00502085"/>
    <w:rsid w:val="0050248F"/>
    <w:rsid w:val="005037E8"/>
    <w:rsid w:val="00504886"/>
    <w:rsid w:val="0050574F"/>
    <w:rsid w:val="005065A9"/>
    <w:rsid w:val="005068F8"/>
    <w:rsid w:val="00506DD1"/>
    <w:rsid w:val="00507508"/>
    <w:rsid w:val="005076B0"/>
    <w:rsid w:val="0051051F"/>
    <w:rsid w:val="005105AD"/>
    <w:rsid w:val="00510862"/>
    <w:rsid w:val="00510ECD"/>
    <w:rsid w:val="0051140F"/>
    <w:rsid w:val="0051142C"/>
    <w:rsid w:val="00511AC5"/>
    <w:rsid w:val="00512EEA"/>
    <w:rsid w:val="00512F1E"/>
    <w:rsid w:val="00513478"/>
    <w:rsid w:val="00513EF3"/>
    <w:rsid w:val="00514208"/>
    <w:rsid w:val="00514FE1"/>
    <w:rsid w:val="00515238"/>
    <w:rsid w:val="0051616D"/>
    <w:rsid w:val="00516342"/>
    <w:rsid w:val="00517925"/>
    <w:rsid w:val="005200E3"/>
    <w:rsid w:val="00520189"/>
    <w:rsid w:val="00520322"/>
    <w:rsid w:val="00520DCA"/>
    <w:rsid w:val="005212A0"/>
    <w:rsid w:val="0052181B"/>
    <w:rsid w:val="00522433"/>
    <w:rsid w:val="00522C88"/>
    <w:rsid w:val="005232A5"/>
    <w:rsid w:val="005234F4"/>
    <w:rsid w:val="005237E8"/>
    <w:rsid w:val="00523901"/>
    <w:rsid w:val="00524740"/>
    <w:rsid w:val="00524A3D"/>
    <w:rsid w:val="00524BF1"/>
    <w:rsid w:val="0052508F"/>
    <w:rsid w:val="00525C48"/>
    <w:rsid w:val="00525CDA"/>
    <w:rsid w:val="005261EF"/>
    <w:rsid w:val="005263BE"/>
    <w:rsid w:val="005278D9"/>
    <w:rsid w:val="00527D79"/>
    <w:rsid w:val="00527E11"/>
    <w:rsid w:val="005301D7"/>
    <w:rsid w:val="005306F8"/>
    <w:rsid w:val="00530A4C"/>
    <w:rsid w:val="00530DA7"/>
    <w:rsid w:val="005311A5"/>
    <w:rsid w:val="005314D2"/>
    <w:rsid w:val="00531702"/>
    <w:rsid w:val="00531980"/>
    <w:rsid w:val="00532047"/>
    <w:rsid w:val="00532589"/>
    <w:rsid w:val="00532BD7"/>
    <w:rsid w:val="00533237"/>
    <w:rsid w:val="005340E0"/>
    <w:rsid w:val="005348B8"/>
    <w:rsid w:val="00534ED7"/>
    <w:rsid w:val="0053547A"/>
    <w:rsid w:val="00536472"/>
    <w:rsid w:val="00536E5D"/>
    <w:rsid w:val="005370CF"/>
    <w:rsid w:val="00537407"/>
    <w:rsid w:val="00540CFF"/>
    <w:rsid w:val="00540F1C"/>
    <w:rsid w:val="005413BE"/>
    <w:rsid w:val="00541723"/>
    <w:rsid w:val="005419C0"/>
    <w:rsid w:val="00541B98"/>
    <w:rsid w:val="00541D98"/>
    <w:rsid w:val="0054221A"/>
    <w:rsid w:val="0054234C"/>
    <w:rsid w:val="00542543"/>
    <w:rsid w:val="00543852"/>
    <w:rsid w:val="0054425D"/>
    <w:rsid w:val="005442AD"/>
    <w:rsid w:val="005442FD"/>
    <w:rsid w:val="0054504E"/>
    <w:rsid w:val="00545BF8"/>
    <w:rsid w:val="00546641"/>
    <w:rsid w:val="005469B1"/>
    <w:rsid w:val="00546A16"/>
    <w:rsid w:val="00546A38"/>
    <w:rsid w:val="0054714E"/>
    <w:rsid w:val="005474D5"/>
    <w:rsid w:val="005476E6"/>
    <w:rsid w:val="005500BF"/>
    <w:rsid w:val="0055071F"/>
    <w:rsid w:val="005512D1"/>
    <w:rsid w:val="005513FA"/>
    <w:rsid w:val="00551816"/>
    <w:rsid w:val="00551D54"/>
    <w:rsid w:val="00552287"/>
    <w:rsid w:val="0055238E"/>
    <w:rsid w:val="00552529"/>
    <w:rsid w:val="0055366B"/>
    <w:rsid w:val="00554DD0"/>
    <w:rsid w:val="00554FCC"/>
    <w:rsid w:val="005550FA"/>
    <w:rsid w:val="005553D9"/>
    <w:rsid w:val="005556AE"/>
    <w:rsid w:val="005557C5"/>
    <w:rsid w:val="00555B61"/>
    <w:rsid w:val="00556A32"/>
    <w:rsid w:val="00556CFA"/>
    <w:rsid w:val="0056099D"/>
    <w:rsid w:val="00560A69"/>
    <w:rsid w:val="00561128"/>
    <w:rsid w:val="00561285"/>
    <w:rsid w:val="00561AF7"/>
    <w:rsid w:val="005620E0"/>
    <w:rsid w:val="005624FA"/>
    <w:rsid w:val="00562594"/>
    <w:rsid w:val="0056272B"/>
    <w:rsid w:val="005629B3"/>
    <w:rsid w:val="00563796"/>
    <w:rsid w:val="0056380D"/>
    <w:rsid w:val="00563927"/>
    <w:rsid w:val="0056394F"/>
    <w:rsid w:val="0056405D"/>
    <w:rsid w:val="00564811"/>
    <w:rsid w:val="0056499E"/>
    <w:rsid w:val="005649AA"/>
    <w:rsid w:val="00564A06"/>
    <w:rsid w:val="00564C53"/>
    <w:rsid w:val="00564DCF"/>
    <w:rsid w:val="00564F57"/>
    <w:rsid w:val="00565086"/>
    <w:rsid w:val="0056538A"/>
    <w:rsid w:val="00566213"/>
    <w:rsid w:val="00566D08"/>
    <w:rsid w:val="00566DA2"/>
    <w:rsid w:val="0056732C"/>
    <w:rsid w:val="0056776B"/>
    <w:rsid w:val="00567998"/>
    <w:rsid w:val="00567ACF"/>
    <w:rsid w:val="00567E2D"/>
    <w:rsid w:val="005703B9"/>
    <w:rsid w:val="00570619"/>
    <w:rsid w:val="005709C8"/>
    <w:rsid w:val="00570A04"/>
    <w:rsid w:val="00570B2B"/>
    <w:rsid w:val="005716FA"/>
    <w:rsid w:val="005718E0"/>
    <w:rsid w:val="005718E1"/>
    <w:rsid w:val="00571A77"/>
    <w:rsid w:val="00571F69"/>
    <w:rsid w:val="00572BAD"/>
    <w:rsid w:val="00572CAD"/>
    <w:rsid w:val="005739B6"/>
    <w:rsid w:val="00573C75"/>
    <w:rsid w:val="00573E7A"/>
    <w:rsid w:val="0057411D"/>
    <w:rsid w:val="00574152"/>
    <w:rsid w:val="00574720"/>
    <w:rsid w:val="00574D53"/>
    <w:rsid w:val="005750ED"/>
    <w:rsid w:val="0057571D"/>
    <w:rsid w:val="00575EE4"/>
    <w:rsid w:val="005763FD"/>
    <w:rsid w:val="0057679A"/>
    <w:rsid w:val="00576FB9"/>
    <w:rsid w:val="00580313"/>
    <w:rsid w:val="0058032F"/>
    <w:rsid w:val="00580C08"/>
    <w:rsid w:val="00581154"/>
    <w:rsid w:val="005819FB"/>
    <w:rsid w:val="005826DE"/>
    <w:rsid w:val="00582A93"/>
    <w:rsid w:val="00582B94"/>
    <w:rsid w:val="00582E13"/>
    <w:rsid w:val="005836CA"/>
    <w:rsid w:val="0058399F"/>
    <w:rsid w:val="00584278"/>
    <w:rsid w:val="00584330"/>
    <w:rsid w:val="0058451E"/>
    <w:rsid w:val="00584A46"/>
    <w:rsid w:val="0058503B"/>
    <w:rsid w:val="0058511E"/>
    <w:rsid w:val="005852E4"/>
    <w:rsid w:val="00585BB3"/>
    <w:rsid w:val="00585D24"/>
    <w:rsid w:val="005864AA"/>
    <w:rsid w:val="00586576"/>
    <w:rsid w:val="00586842"/>
    <w:rsid w:val="005873CF"/>
    <w:rsid w:val="00587F41"/>
    <w:rsid w:val="00591130"/>
    <w:rsid w:val="00591D3D"/>
    <w:rsid w:val="00591F8F"/>
    <w:rsid w:val="0059224F"/>
    <w:rsid w:val="0059246A"/>
    <w:rsid w:val="0059249C"/>
    <w:rsid w:val="0059386B"/>
    <w:rsid w:val="005941DF"/>
    <w:rsid w:val="0059435E"/>
    <w:rsid w:val="0059448A"/>
    <w:rsid w:val="00594E08"/>
    <w:rsid w:val="00595C12"/>
    <w:rsid w:val="00595C1C"/>
    <w:rsid w:val="00595EF2"/>
    <w:rsid w:val="00596078"/>
    <w:rsid w:val="005961A0"/>
    <w:rsid w:val="00596E6F"/>
    <w:rsid w:val="00597030"/>
    <w:rsid w:val="005973D4"/>
    <w:rsid w:val="0059783F"/>
    <w:rsid w:val="005A087B"/>
    <w:rsid w:val="005A0D90"/>
    <w:rsid w:val="005A1CFE"/>
    <w:rsid w:val="005A20FE"/>
    <w:rsid w:val="005A26EC"/>
    <w:rsid w:val="005A3159"/>
    <w:rsid w:val="005A3C05"/>
    <w:rsid w:val="005A4618"/>
    <w:rsid w:val="005A4CA3"/>
    <w:rsid w:val="005A52C7"/>
    <w:rsid w:val="005A5CFA"/>
    <w:rsid w:val="005A6D98"/>
    <w:rsid w:val="005A6EB2"/>
    <w:rsid w:val="005A745A"/>
    <w:rsid w:val="005B053F"/>
    <w:rsid w:val="005B08FD"/>
    <w:rsid w:val="005B0993"/>
    <w:rsid w:val="005B22EE"/>
    <w:rsid w:val="005B24B8"/>
    <w:rsid w:val="005B24EF"/>
    <w:rsid w:val="005B2595"/>
    <w:rsid w:val="005B28E1"/>
    <w:rsid w:val="005B3157"/>
    <w:rsid w:val="005B3349"/>
    <w:rsid w:val="005B3B14"/>
    <w:rsid w:val="005B5113"/>
    <w:rsid w:val="005B5FEE"/>
    <w:rsid w:val="005B6075"/>
    <w:rsid w:val="005B63B9"/>
    <w:rsid w:val="005B6928"/>
    <w:rsid w:val="005B740A"/>
    <w:rsid w:val="005B7446"/>
    <w:rsid w:val="005C034A"/>
    <w:rsid w:val="005C0416"/>
    <w:rsid w:val="005C0D9D"/>
    <w:rsid w:val="005C10AA"/>
    <w:rsid w:val="005C295A"/>
    <w:rsid w:val="005C297B"/>
    <w:rsid w:val="005C2BB1"/>
    <w:rsid w:val="005C2CAE"/>
    <w:rsid w:val="005C2CB5"/>
    <w:rsid w:val="005C3DB9"/>
    <w:rsid w:val="005C545E"/>
    <w:rsid w:val="005C5636"/>
    <w:rsid w:val="005C567F"/>
    <w:rsid w:val="005C61FF"/>
    <w:rsid w:val="005C6B75"/>
    <w:rsid w:val="005C75E9"/>
    <w:rsid w:val="005C7FFC"/>
    <w:rsid w:val="005D02E5"/>
    <w:rsid w:val="005D10D2"/>
    <w:rsid w:val="005D19C4"/>
    <w:rsid w:val="005D2965"/>
    <w:rsid w:val="005D2A03"/>
    <w:rsid w:val="005D380D"/>
    <w:rsid w:val="005D3B76"/>
    <w:rsid w:val="005D431E"/>
    <w:rsid w:val="005D4E13"/>
    <w:rsid w:val="005D5174"/>
    <w:rsid w:val="005D5891"/>
    <w:rsid w:val="005D6C0C"/>
    <w:rsid w:val="005D6ED3"/>
    <w:rsid w:val="005D7D79"/>
    <w:rsid w:val="005E167C"/>
    <w:rsid w:val="005E19C3"/>
    <w:rsid w:val="005E202A"/>
    <w:rsid w:val="005E2507"/>
    <w:rsid w:val="005E26CE"/>
    <w:rsid w:val="005E2A1C"/>
    <w:rsid w:val="005E3880"/>
    <w:rsid w:val="005E3FCB"/>
    <w:rsid w:val="005E4377"/>
    <w:rsid w:val="005E43FF"/>
    <w:rsid w:val="005E4863"/>
    <w:rsid w:val="005E5652"/>
    <w:rsid w:val="005E57C1"/>
    <w:rsid w:val="005E5B91"/>
    <w:rsid w:val="005E5DB0"/>
    <w:rsid w:val="005E6158"/>
    <w:rsid w:val="005E6C26"/>
    <w:rsid w:val="005E6E9E"/>
    <w:rsid w:val="005E704B"/>
    <w:rsid w:val="005E70B1"/>
    <w:rsid w:val="005E7135"/>
    <w:rsid w:val="005E79A3"/>
    <w:rsid w:val="005E7BAE"/>
    <w:rsid w:val="005E7CCD"/>
    <w:rsid w:val="005F0405"/>
    <w:rsid w:val="005F04EE"/>
    <w:rsid w:val="005F0941"/>
    <w:rsid w:val="005F1078"/>
    <w:rsid w:val="005F1C28"/>
    <w:rsid w:val="005F29CA"/>
    <w:rsid w:val="005F2A92"/>
    <w:rsid w:val="005F30A8"/>
    <w:rsid w:val="005F3FBE"/>
    <w:rsid w:val="005F443C"/>
    <w:rsid w:val="005F47B2"/>
    <w:rsid w:val="005F4D95"/>
    <w:rsid w:val="005F526B"/>
    <w:rsid w:val="005F55BC"/>
    <w:rsid w:val="005F56A6"/>
    <w:rsid w:val="005F58CA"/>
    <w:rsid w:val="005F615C"/>
    <w:rsid w:val="005F626A"/>
    <w:rsid w:val="005F6535"/>
    <w:rsid w:val="005F6583"/>
    <w:rsid w:val="005F6FBB"/>
    <w:rsid w:val="005F6FF5"/>
    <w:rsid w:val="005F7A3F"/>
    <w:rsid w:val="005F7C68"/>
    <w:rsid w:val="005F7CB5"/>
    <w:rsid w:val="00600708"/>
    <w:rsid w:val="00600C57"/>
    <w:rsid w:val="00600F36"/>
    <w:rsid w:val="00601177"/>
    <w:rsid w:val="00601406"/>
    <w:rsid w:val="00601B90"/>
    <w:rsid w:val="0060208A"/>
    <w:rsid w:val="0060263C"/>
    <w:rsid w:val="00602CA8"/>
    <w:rsid w:val="00603E61"/>
    <w:rsid w:val="006046FE"/>
    <w:rsid w:val="00604C13"/>
    <w:rsid w:val="006052B6"/>
    <w:rsid w:val="006053BA"/>
    <w:rsid w:val="00605496"/>
    <w:rsid w:val="00605F78"/>
    <w:rsid w:val="00606503"/>
    <w:rsid w:val="00606D41"/>
    <w:rsid w:val="00606FD6"/>
    <w:rsid w:val="00610097"/>
    <w:rsid w:val="0061027B"/>
    <w:rsid w:val="0061061F"/>
    <w:rsid w:val="0061063C"/>
    <w:rsid w:val="006106B8"/>
    <w:rsid w:val="0061079C"/>
    <w:rsid w:val="00610A9E"/>
    <w:rsid w:val="00610E4C"/>
    <w:rsid w:val="00611391"/>
    <w:rsid w:val="00611413"/>
    <w:rsid w:val="00612587"/>
    <w:rsid w:val="00612A09"/>
    <w:rsid w:val="00612E3B"/>
    <w:rsid w:val="00613C53"/>
    <w:rsid w:val="0061440B"/>
    <w:rsid w:val="006144DE"/>
    <w:rsid w:val="00614B3A"/>
    <w:rsid w:val="00615551"/>
    <w:rsid w:val="00615B22"/>
    <w:rsid w:val="006162B7"/>
    <w:rsid w:val="0061692A"/>
    <w:rsid w:val="00617128"/>
    <w:rsid w:val="00617818"/>
    <w:rsid w:val="00617B10"/>
    <w:rsid w:val="00617FA1"/>
    <w:rsid w:val="00620595"/>
    <w:rsid w:val="00620C18"/>
    <w:rsid w:val="0062104F"/>
    <w:rsid w:val="00621965"/>
    <w:rsid w:val="006221DD"/>
    <w:rsid w:val="00622D52"/>
    <w:rsid w:val="0062327F"/>
    <w:rsid w:val="00624672"/>
    <w:rsid w:val="00625B8D"/>
    <w:rsid w:val="00625EE2"/>
    <w:rsid w:val="006270A3"/>
    <w:rsid w:val="00627229"/>
    <w:rsid w:val="00627758"/>
    <w:rsid w:val="00627E46"/>
    <w:rsid w:val="00630796"/>
    <w:rsid w:val="006309E3"/>
    <w:rsid w:val="00631451"/>
    <w:rsid w:val="006314D5"/>
    <w:rsid w:val="006317F7"/>
    <w:rsid w:val="006328B2"/>
    <w:rsid w:val="00632BED"/>
    <w:rsid w:val="00632E09"/>
    <w:rsid w:val="006345B9"/>
    <w:rsid w:val="00634F70"/>
    <w:rsid w:val="006351C8"/>
    <w:rsid w:val="00635734"/>
    <w:rsid w:val="0063643F"/>
    <w:rsid w:val="0063658C"/>
    <w:rsid w:val="006366D0"/>
    <w:rsid w:val="00637719"/>
    <w:rsid w:val="006378C5"/>
    <w:rsid w:val="00637E24"/>
    <w:rsid w:val="006406D1"/>
    <w:rsid w:val="00640A8E"/>
    <w:rsid w:val="00642209"/>
    <w:rsid w:val="006426C1"/>
    <w:rsid w:val="006427CD"/>
    <w:rsid w:val="00642871"/>
    <w:rsid w:val="00643308"/>
    <w:rsid w:val="0064464D"/>
    <w:rsid w:val="00644D79"/>
    <w:rsid w:val="00646951"/>
    <w:rsid w:val="00646DBC"/>
    <w:rsid w:val="0064763C"/>
    <w:rsid w:val="00647C08"/>
    <w:rsid w:val="006510F1"/>
    <w:rsid w:val="00651122"/>
    <w:rsid w:val="006511CF"/>
    <w:rsid w:val="00651421"/>
    <w:rsid w:val="00651FA3"/>
    <w:rsid w:val="006520CA"/>
    <w:rsid w:val="006522E2"/>
    <w:rsid w:val="006528C0"/>
    <w:rsid w:val="0065346C"/>
    <w:rsid w:val="006535DD"/>
    <w:rsid w:val="006538B5"/>
    <w:rsid w:val="00654C7E"/>
    <w:rsid w:val="00655A18"/>
    <w:rsid w:val="00655A98"/>
    <w:rsid w:val="00655EDA"/>
    <w:rsid w:val="006564CC"/>
    <w:rsid w:val="00657C25"/>
    <w:rsid w:val="00660FEE"/>
    <w:rsid w:val="0066153E"/>
    <w:rsid w:val="006617B2"/>
    <w:rsid w:val="00661A1A"/>
    <w:rsid w:val="00661D62"/>
    <w:rsid w:val="006621F9"/>
    <w:rsid w:val="006623DA"/>
    <w:rsid w:val="00662904"/>
    <w:rsid w:val="00662E54"/>
    <w:rsid w:val="00663C49"/>
    <w:rsid w:val="00665227"/>
    <w:rsid w:val="006652CD"/>
    <w:rsid w:val="00665630"/>
    <w:rsid w:val="00665C80"/>
    <w:rsid w:val="00666A9C"/>
    <w:rsid w:val="0066755D"/>
    <w:rsid w:val="0066789F"/>
    <w:rsid w:val="00667A45"/>
    <w:rsid w:val="00667D3D"/>
    <w:rsid w:val="0067062E"/>
    <w:rsid w:val="00670EFD"/>
    <w:rsid w:val="006712C7"/>
    <w:rsid w:val="00671580"/>
    <w:rsid w:val="00671F41"/>
    <w:rsid w:val="00672C6E"/>
    <w:rsid w:val="00672CDF"/>
    <w:rsid w:val="00673B96"/>
    <w:rsid w:val="006742DC"/>
    <w:rsid w:val="006749C1"/>
    <w:rsid w:val="0067582B"/>
    <w:rsid w:val="00675D12"/>
    <w:rsid w:val="006768B8"/>
    <w:rsid w:val="00676ACF"/>
    <w:rsid w:val="00680539"/>
    <w:rsid w:val="00680A4D"/>
    <w:rsid w:val="00680DC2"/>
    <w:rsid w:val="00680DEA"/>
    <w:rsid w:val="00681A65"/>
    <w:rsid w:val="00682032"/>
    <w:rsid w:val="006820D0"/>
    <w:rsid w:val="00682F31"/>
    <w:rsid w:val="006831CD"/>
    <w:rsid w:val="00683A8E"/>
    <w:rsid w:val="00684CAF"/>
    <w:rsid w:val="00684D0A"/>
    <w:rsid w:val="00684D82"/>
    <w:rsid w:val="00684F1F"/>
    <w:rsid w:val="0068507F"/>
    <w:rsid w:val="006852AD"/>
    <w:rsid w:val="00686313"/>
    <w:rsid w:val="00687523"/>
    <w:rsid w:val="006907B2"/>
    <w:rsid w:val="006907EB"/>
    <w:rsid w:val="006911DD"/>
    <w:rsid w:val="00691564"/>
    <w:rsid w:val="00691D82"/>
    <w:rsid w:val="00691E34"/>
    <w:rsid w:val="00692401"/>
    <w:rsid w:val="00692AD9"/>
    <w:rsid w:val="006938CA"/>
    <w:rsid w:val="006939CB"/>
    <w:rsid w:val="00693EC9"/>
    <w:rsid w:val="006946ED"/>
    <w:rsid w:val="00694972"/>
    <w:rsid w:val="00694B6B"/>
    <w:rsid w:val="00694FBF"/>
    <w:rsid w:val="00695266"/>
    <w:rsid w:val="006955BA"/>
    <w:rsid w:val="006957F1"/>
    <w:rsid w:val="00695815"/>
    <w:rsid w:val="00695943"/>
    <w:rsid w:val="00695F72"/>
    <w:rsid w:val="00695FBB"/>
    <w:rsid w:val="00695FE6"/>
    <w:rsid w:val="006962C9"/>
    <w:rsid w:val="00696A2B"/>
    <w:rsid w:val="00696D53"/>
    <w:rsid w:val="006973CE"/>
    <w:rsid w:val="006978F1"/>
    <w:rsid w:val="00697E3F"/>
    <w:rsid w:val="006A235D"/>
    <w:rsid w:val="006A26E1"/>
    <w:rsid w:val="006A2E08"/>
    <w:rsid w:val="006A3629"/>
    <w:rsid w:val="006A45AC"/>
    <w:rsid w:val="006A4703"/>
    <w:rsid w:val="006A4CD9"/>
    <w:rsid w:val="006A4D09"/>
    <w:rsid w:val="006A558B"/>
    <w:rsid w:val="006A57E7"/>
    <w:rsid w:val="006A5811"/>
    <w:rsid w:val="006A5A6F"/>
    <w:rsid w:val="006A5D84"/>
    <w:rsid w:val="006A5E67"/>
    <w:rsid w:val="006A5F7C"/>
    <w:rsid w:val="006A65D6"/>
    <w:rsid w:val="006A6E71"/>
    <w:rsid w:val="006B0351"/>
    <w:rsid w:val="006B04D0"/>
    <w:rsid w:val="006B086C"/>
    <w:rsid w:val="006B0906"/>
    <w:rsid w:val="006B0C7C"/>
    <w:rsid w:val="006B1033"/>
    <w:rsid w:val="006B117A"/>
    <w:rsid w:val="006B13B2"/>
    <w:rsid w:val="006B143B"/>
    <w:rsid w:val="006B190F"/>
    <w:rsid w:val="006B2477"/>
    <w:rsid w:val="006B290E"/>
    <w:rsid w:val="006B2AF9"/>
    <w:rsid w:val="006B2CBA"/>
    <w:rsid w:val="006B2F45"/>
    <w:rsid w:val="006B3163"/>
    <w:rsid w:val="006B3522"/>
    <w:rsid w:val="006B3B31"/>
    <w:rsid w:val="006B3DAD"/>
    <w:rsid w:val="006B42AB"/>
    <w:rsid w:val="006B56EA"/>
    <w:rsid w:val="006B5DCF"/>
    <w:rsid w:val="006B7DF0"/>
    <w:rsid w:val="006C133A"/>
    <w:rsid w:val="006C153C"/>
    <w:rsid w:val="006C187C"/>
    <w:rsid w:val="006C1DDD"/>
    <w:rsid w:val="006C1E73"/>
    <w:rsid w:val="006C1F93"/>
    <w:rsid w:val="006C2D4B"/>
    <w:rsid w:val="006C3529"/>
    <w:rsid w:val="006C36C3"/>
    <w:rsid w:val="006C4B65"/>
    <w:rsid w:val="006C5AD5"/>
    <w:rsid w:val="006C5B8F"/>
    <w:rsid w:val="006C69EB"/>
    <w:rsid w:val="006C723E"/>
    <w:rsid w:val="006C7729"/>
    <w:rsid w:val="006C7846"/>
    <w:rsid w:val="006C7D01"/>
    <w:rsid w:val="006D0080"/>
    <w:rsid w:val="006D04B3"/>
    <w:rsid w:val="006D1497"/>
    <w:rsid w:val="006D1822"/>
    <w:rsid w:val="006D1892"/>
    <w:rsid w:val="006D2938"/>
    <w:rsid w:val="006D3230"/>
    <w:rsid w:val="006D4363"/>
    <w:rsid w:val="006D4374"/>
    <w:rsid w:val="006D4F8A"/>
    <w:rsid w:val="006D5824"/>
    <w:rsid w:val="006D5F61"/>
    <w:rsid w:val="006D6B0D"/>
    <w:rsid w:val="006D6E3A"/>
    <w:rsid w:val="006D7190"/>
    <w:rsid w:val="006D786F"/>
    <w:rsid w:val="006D7F43"/>
    <w:rsid w:val="006E0632"/>
    <w:rsid w:val="006E0807"/>
    <w:rsid w:val="006E0A3C"/>
    <w:rsid w:val="006E1124"/>
    <w:rsid w:val="006E3253"/>
    <w:rsid w:val="006E3408"/>
    <w:rsid w:val="006E38CF"/>
    <w:rsid w:val="006E3EA5"/>
    <w:rsid w:val="006E43DA"/>
    <w:rsid w:val="006E441C"/>
    <w:rsid w:val="006E4D2C"/>
    <w:rsid w:val="006E5041"/>
    <w:rsid w:val="006E51BD"/>
    <w:rsid w:val="006E5942"/>
    <w:rsid w:val="006E5CD6"/>
    <w:rsid w:val="006E6A1B"/>
    <w:rsid w:val="006E6D5D"/>
    <w:rsid w:val="006E6D8F"/>
    <w:rsid w:val="006E740F"/>
    <w:rsid w:val="006E744D"/>
    <w:rsid w:val="006E7A2A"/>
    <w:rsid w:val="006F0960"/>
    <w:rsid w:val="006F319C"/>
    <w:rsid w:val="006F3532"/>
    <w:rsid w:val="006F39F9"/>
    <w:rsid w:val="006F4035"/>
    <w:rsid w:val="006F424F"/>
    <w:rsid w:val="006F54CD"/>
    <w:rsid w:val="006F5C32"/>
    <w:rsid w:val="006F5ED6"/>
    <w:rsid w:val="006F7332"/>
    <w:rsid w:val="006F762C"/>
    <w:rsid w:val="006F7EA1"/>
    <w:rsid w:val="00700D16"/>
    <w:rsid w:val="00701A9D"/>
    <w:rsid w:val="00701D1D"/>
    <w:rsid w:val="0070239F"/>
    <w:rsid w:val="00702E3B"/>
    <w:rsid w:val="00703775"/>
    <w:rsid w:val="00703C22"/>
    <w:rsid w:val="00704ED0"/>
    <w:rsid w:val="0070516E"/>
    <w:rsid w:val="007059CD"/>
    <w:rsid w:val="00705B67"/>
    <w:rsid w:val="007062BF"/>
    <w:rsid w:val="00706739"/>
    <w:rsid w:val="00706AD2"/>
    <w:rsid w:val="00706E46"/>
    <w:rsid w:val="00710354"/>
    <w:rsid w:val="00710790"/>
    <w:rsid w:val="00710B5A"/>
    <w:rsid w:val="00710B5E"/>
    <w:rsid w:val="0071162F"/>
    <w:rsid w:val="00711C07"/>
    <w:rsid w:val="007120C8"/>
    <w:rsid w:val="0071312D"/>
    <w:rsid w:val="007132B1"/>
    <w:rsid w:val="00713392"/>
    <w:rsid w:val="00713754"/>
    <w:rsid w:val="007139AB"/>
    <w:rsid w:val="00713B71"/>
    <w:rsid w:val="00714160"/>
    <w:rsid w:val="0071424E"/>
    <w:rsid w:val="007145A9"/>
    <w:rsid w:val="00714769"/>
    <w:rsid w:val="00715153"/>
    <w:rsid w:val="00715199"/>
    <w:rsid w:val="0071559D"/>
    <w:rsid w:val="007156E8"/>
    <w:rsid w:val="007158E6"/>
    <w:rsid w:val="00715E51"/>
    <w:rsid w:val="00715EF7"/>
    <w:rsid w:val="00715F1B"/>
    <w:rsid w:val="00717294"/>
    <w:rsid w:val="0071768F"/>
    <w:rsid w:val="007209F8"/>
    <w:rsid w:val="00720B6F"/>
    <w:rsid w:val="007210B5"/>
    <w:rsid w:val="0072141E"/>
    <w:rsid w:val="00721892"/>
    <w:rsid w:val="007231EA"/>
    <w:rsid w:val="00723B25"/>
    <w:rsid w:val="00723D68"/>
    <w:rsid w:val="00724332"/>
    <w:rsid w:val="00725EEC"/>
    <w:rsid w:val="00726978"/>
    <w:rsid w:val="00726AE6"/>
    <w:rsid w:val="00726BC1"/>
    <w:rsid w:val="0072704D"/>
    <w:rsid w:val="007270D1"/>
    <w:rsid w:val="00727AE6"/>
    <w:rsid w:val="00727CB2"/>
    <w:rsid w:val="00727E05"/>
    <w:rsid w:val="00730257"/>
    <w:rsid w:val="007303F6"/>
    <w:rsid w:val="007304D5"/>
    <w:rsid w:val="007306F7"/>
    <w:rsid w:val="007307F6"/>
    <w:rsid w:val="00731793"/>
    <w:rsid w:val="00732103"/>
    <w:rsid w:val="00732E70"/>
    <w:rsid w:val="0073330A"/>
    <w:rsid w:val="007342A3"/>
    <w:rsid w:val="0073446D"/>
    <w:rsid w:val="00734773"/>
    <w:rsid w:val="00734CC4"/>
    <w:rsid w:val="0073514F"/>
    <w:rsid w:val="00735190"/>
    <w:rsid w:val="007355B1"/>
    <w:rsid w:val="0073669F"/>
    <w:rsid w:val="00736915"/>
    <w:rsid w:val="00736F66"/>
    <w:rsid w:val="00737824"/>
    <w:rsid w:val="00737977"/>
    <w:rsid w:val="00737E28"/>
    <w:rsid w:val="00737FAF"/>
    <w:rsid w:val="00740663"/>
    <w:rsid w:val="007417A7"/>
    <w:rsid w:val="00741D1D"/>
    <w:rsid w:val="00742342"/>
    <w:rsid w:val="00742D82"/>
    <w:rsid w:val="00743026"/>
    <w:rsid w:val="0074349B"/>
    <w:rsid w:val="00743973"/>
    <w:rsid w:val="00743DE3"/>
    <w:rsid w:val="00743E61"/>
    <w:rsid w:val="00744281"/>
    <w:rsid w:val="00744A30"/>
    <w:rsid w:val="00744CFF"/>
    <w:rsid w:val="00744DFA"/>
    <w:rsid w:val="00745070"/>
    <w:rsid w:val="0074535E"/>
    <w:rsid w:val="0074695A"/>
    <w:rsid w:val="0074708E"/>
    <w:rsid w:val="0074709F"/>
    <w:rsid w:val="0074792C"/>
    <w:rsid w:val="00747BF3"/>
    <w:rsid w:val="0075037D"/>
    <w:rsid w:val="007511EC"/>
    <w:rsid w:val="007511FE"/>
    <w:rsid w:val="0075125E"/>
    <w:rsid w:val="0075140A"/>
    <w:rsid w:val="00751985"/>
    <w:rsid w:val="00751EAF"/>
    <w:rsid w:val="00751F0B"/>
    <w:rsid w:val="007526E8"/>
    <w:rsid w:val="007527C1"/>
    <w:rsid w:val="00752DAC"/>
    <w:rsid w:val="00752EC1"/>
    <w:rsid w:val="007535FA"/>
    <w:rsid w:val="007537F0"/>
    <w:rsid w:val="00753A8C"/>
    <w:rsid w:val="00754083"/>
    <w:rsid w:val="00756169"/>
    <w:rsid w:val="007569C2"/>
    <w:rsid w:val="00756E83"/>
    <w:rsid w:val="007601A6"/>
    <w:rsid w:val="00760207"/>
    <w:rsid w:val="00760779"/>
    <w:rsid w:val="00760A52"/>
    <w:rsid w:val="00760B48"/>
    <w:rsid w:val="00760E0D"/>
    <w:rsid w:val="007613EB"/>
    <w:rsid w:val="00763722"/>
    <w:rsid w:val="00763996"/>
    <w:rsid w:val="007639BE"/>
    <w:rsid w:val="0076412E"/>
    <w:rsid w:val="00764157"/>
    <w:rsid w:val="00764A18"/>
    <w:rsid w:val="00765021"/>
    <w:rsid w:val="0076520C"/>
    <w:rsid w:val="007654EE"/>
    <w:rsid w:val="00765EB9"/>
    <w:rsid w:val="007668C0"/>
    <w:rsid w:val="00766D29"/>
    <w:rsid w:val="007670B5"/>
    <w:rsid w:val="0076767D"/>
    <w:rsid w:val="00767ADC"/>
    <w:rsid w:val="00767E8C"/>
    <w:rsid w:val="00770486"/>
    <w:rsid w:val="0077092C"/>
    <w:rsid w:val="0077145C"/>
    <w:rsid w:val="007723D9"/>
    <w:rsid w:val="00772B65"/>
    <w:rsid w:val="00773007"/>
    <w:rsid w:val="0077311C"/>
    <w:rsid w:val="00773C25"/>
    <w:rsid w:val="00774756"/>
    <w:rsid w:val="00774842"/>
    <w:rsid w:val="007755F1"/>
    <w:rsid w:val="00776342"/>
    <w:rsid w:val="007768CC"/>
    <w:rsid w:val="00776DAB"/>
    <w:rsid w:val="0077773A"/>
    <w:rsid w:val="0078014A"/>
    <w:rsid w:val="00781383"/>
    <w:rsid w:val="00781CB6"/>
    <w:rsid w:val="007830FD"/>
    <w:rsid w:val="00783611"/>
    <w:rsid w:val="00783706"/>
    <w:rsid w:val="00783807"/>
    <w:rsid w:val="007838F1"/>
    <w:rsid w:val="00783E75"/>
    <w:rsid w:val="00784282"/>
    <w:rsid w:val="00784B9C"/>
    <w:rsid w:val="00784DCE"/>
    <w:rsid w:val="00784FE4"/>
    <w:rsid w:val="007856DE"/>
    <w:rsid w:val="00786AC7"/>
    <w:rsid w:val="00787051"/>
    <w:rsid w:val="0078709E"/>
    <w:rsid w:val="00790977"/>
    <w:rsid w:val="00790C25"/>
    <w:rsid w:val="00792761"/>
    <w:rsid w:val="00792A61"/>
    <w:rsid w:val="007931DA"/>
    <w:rsid w:val="007931E5"/>
    <w:rsid w:val="00793820"/>
    <w:rsid w:val="00793AF2"/>
    <w:rsid w:val="00793F40"/>
    <w:rsid w:val="0079455C"/>
    <w:rsid w:val="00794A1E"/>
    <w:rsid w:val="0079555B"/>
    <w:rsid w:val="00795F5B"/>
    <w:rsid w:val="007963B5"/>
    <w:rsid w:val="00796517"/>
    <w:rsid w:val="00796BC6"/>
    <w:rsid w:val="00797707"/>
    <w:rsid w:val="00797C10"/>
    <w:rsid w:val="007A1B78"/>
    <w:rsid w:val="007A1BC5"/>
    <w:rsid w:val="007A213E"/>
    <w:rsid w:val="007A279E"/>
    <w:rsid w:val="007A2CA6"/>
    <w:rsid w:val="007A2F68"/>
    <w:rsid w:val="007A39CB"/>
    <w:rsid w:val="007A4228"/>
    <w:rsid w:val="007A4422"/>
    <w:rsid w:val="007A49A5"/>
    <w:rsid w:val="007A5448"/>
    <w:rsid w:val="007A5E89"/>
    <w:rsid w:val="007A6059"/>
    <w:rsid w:val="007A6A95"/>
    <w:rsid w:val="007A6D59"/>
    <w:rsid w:val="007A74A7"/>
    <w:rsid w:val="007A7A35"/>
    <w:rsid w:val="007A7E18"/>
    <w:rsid w:val="007B01DF"/>
    <w:rsid w:val="007B0A26"/>
    <w:rsid w:val="007B0B0F"/>
    <w:rsid w:val="007B18E7"/>
    <w:rsid w:val="007B19C1"/>
    <w:rsid w:val="007B1CB1"/>
    <w:rsid w:val="007B259A"/>
    <w:rsid w:val="007B270C"/>
    <w:rsid w:val="007B3D9C"/>
    <w:rsid w:val="007B3F13"/>
    <w:rsid w:val="007B4B4C"/>
    <w:rsid w:val="007B4B57"/>
    <w:rsid w:val="007B569E"/>
    <w:rsid w:val="007B59A9"/>
    <w:rsid w:val="007B64C0"/>
    <w:rsid w:val="007B6534"/>
    <w:rsid w:val="007B6707"/>
    <w:rsid w:val="007B6908"/>
    <w:rsid w:val="007B6A0B"/>
    <w:rsid w:val="007B753E"/>
    <w:rsid w:val="007B7A4E"/>
    <w:rsid w:val="007B7F85"/>
    <w:rsid w:val="007C0605"/>
    <w:rsid w:val="007C060D"/>
    <w:rsid w:val="007C16A8"/>
    <w:rsid w:val="007C16D0"/>
    <w:rsid w:val="007C22DF"/>
    <w:rsid w:val="007C2376"/>
    <w:rsid w:val="007C25BE"/>
    <w:rsid w:val="007C266F"/>
    <w:rsid w:val="007C299B"/>
    <w:rsid w:val="007C2FA2"/>
    <w:rsid w:val="007C347B"/>
    <w:rsid w:val="007C34B4"/>
    <w:rsid w:val="007C429C"/>
    <w:rsid w:val="007C42E2"/>
    <w:rsid w:val="007C4513"/>
    <w:rsid w:val="007C47A0"/>
    <w:rsid w:val="007C6CB5"/>
    <w:rsid w:val="007C6D57"/>
    <w:rsid w:val="007D0923"/>
    <w:rsid w:val="007D0CCD"/>
    <w:rsid w:val="007D0F1B"/>
    <w:rsid w:val="007D23BA"/>
    <w:rsid w:val="007D31C2"/>
    <w:rsid w:val="007D3C6F"/>
    <w:rsid w:val="007D4026"/>
    <w:rsid w:val="007D439E"/>
    <w:rsid w:val="007D491A"/>
    <w:rsid w:val="007D4E1A"/>
    <w:rsid w:val="007D5013"/>
    <w:rsid w:val="007D66AB"/>
    <w:rsid w:val="007E0B05"/>
    <w:rsid w:val="007E1DF2"/>
    <w:rsid w:val="007E1E01"/>
    <w:rsid w:val="007E1F4F"/>
    <w:rsid w:val="007E2FEB"/>
    <w:rsid w:val="007E300C"/>
    <w:rsid w:val="007E42DB"/>
    <w:rsid w:val="007E4A69"/>
    <w:rsid w:val="007E4AB1"/>
    <w:rsid w:val="007E4E05"/>
    <w:rsid w:val="007E4E70"/>
    <w:rsid w:val="007E549D"/>
    <w:rsid w:val="007E57B5"/>
    <w:rsid w:val="007E5DED"/>
    <w:rsid w:val="007E6005"/>
    <w:rsid w:val="007E78B4"/>
    <w:rsid w:val="007E79DE"/>
    <w:rsid w:val="007F03EA"/>
    <w:rsid w:val="007F0717"/>
    <w:rsid w:val="007F10DC"/>
    <w:rsid w:val="007F155E"/>
    <w:rsid w:val="007F1647"/>
    <w:rsid w:val="007F2A62"/>
    <w:rsid w:val="007F36A9"/>
    <w:rsid w:val="007F3873"/>
    <w:rsid w:val="007F3AE5"/>
    <w:rsid w:val="007F3FC4"/>
    <w:rsid w:val="007F492B"/>
    <w:rsid w:val="007F524A"/>
    <w:rsid w:val="007F556C"/>
    <w:rsid w:val="007F57B3"/>
    <w:rsid w:val="007F5F79"/>
    <w:rsid w:val="007F743F"/>
    <w:rsid w:val="007F7E07"/>
    <w:rsid w:val="008005C8"/>
    <w:rsid w:val="00800890"/>
    <w:rsid w:val="0080089B"/>
    <w:rsid w:val="008012F4"/>
    <w:rsid w:val="00801BCD"/>
    <w:rsid w:val="00802185"/>
    <w:rsid w:val="00802D60"/>
    <w:rsid w:val="00802F32"/>
    <w:rsid w:val="00803504"/>
    <w:rsid w:val="00803581"/>
    <w:rsid w:val="008039FF"/>
    <w:rsid w:val="00803ED2"/>
    <w:rsid w:val="0080419D"/>
    <w:rsid w:val="008042EE"/>
    <w:rsid w:val="00805404"/>
    <w:rsid w:val="008057CF"/>
    <w:rsid w:val="0080625B"/>
    <w:rsid w:val="00806ECF"/>
    <w:rsid w:val="008079CE"/>
    <w:rsid w:val="008114D4"/>
    <w:rsid w:val="00811726"/>
    <w:rsid w:val="00811D36"/>
    <w:rsid w:val="00812BD2"/>
    <w:rsid w:val="00813160"/>
    <w:rsid w:val="00813AD1"/>
    <w:rsid w:val="00813E11"/>
    <w:rsid w:val="008142FD"/>
    <w:rsid w:val="0081443D"/>
    <w:rsid w:val="008153C4"/>
    <w:rsid w:val="008167EE"/>
    <w:rsid w:val="00816C59"/>
    <w:rsid w:val="00816C83"/>
    <w:rsid w:val="00816D9C"/>
    <w:rsid w:val="008174F6"/>
    <w:rsid w:val="008174F8"/>
    <w:rsid w:val="00817881"/>
    <w:rsid w:val="0082050D"/>
    <w:rsid w:val="0082089F"/>
    <w:rsid w:val="00820B7C"/>
    <w:rsid w:val="00820B7D"/>
    <w:rsid w:val="0082127A"/>
    <w:rsid w:val="0082164F"/>
    <w:rsid w:val="0082370F"/>
    <w:rsid w:val="00823792"/>
    <w:rsid w:val="00823C95"/>
    <w:rsid w:val="00823D8A"/>
    <w:rsid w:val="00823F4F"/>
    <w:rsid w:val="00824A5A"/>
    <w:rsid w:val="00824CCC"/>
    <w:rsid w:val="00825663"/>
    <w:rsid w:val="00825C47"/>
    <w:rsid w:val="008260E6"/>
    <w:rsid w:val="0082696E"/>
    <w:rsid w:val="008271BC"/>
    <w:rsid w:val="00827CA5"/>
    <w:rsid w:val="00827F96"/>
    <w:rsid w:val="008300D9"/>
    <w:rsid w:val="008303FD"/>
    <w:rsid w:val="008307F2"/>
    <w:rsid w:val="0083088F"/>
    <w:rsid w:val="00830C9E"/>
    <w:rsid w:val="008315C2"/>
    <w:rsid w:val="00831D64"/>
    <w:rsid w:val="0083290D"/>
    <w:rsid w:val="008331A5"/>
    <w:rsid w:val="00833E28"/>
    <w:rsid w:val="00834A91"/>
    <w:rsid w:val="00835126"/>
    <w:rsid w:val="00835570"/>
    <w:rsid w:val="008358C0"/>
    <w:rsid w:val="00836EE3"/>
    <w:rsid w:val="00837162"/>
    <w:rsid w:val="00837529"/>
    <w:rsid w:val="00837757"/>
    <w:rsid w:val="00837BA2"/>
    <w:rsid w:val="00840308"/>
    <w:rsid w:val="0084052B"/>
    <w:rsid w:val="00840646"/>
    <w:rsid w:val="00841B0C"/>
    <w:rsid w:val="00843098"/>
    <w:rsid w:val="00843444"/>
    <w:rsid w:val="008436C9"/>
    <w:rsid w:val="00843B4C"/>
    <w:rsid w:val="00844DAA"/>
    <w:rsid w:val="008451AB"/>
    <w:rsid w:val="008457C5"/>
    <w:rsid w:val="008459F1"/>
    <w:rsid w:val="00845C64"/>
    <w:rsid w:val="00846029"/>
    <w:rsid w:val="008471DA"/>
    <w:rsid w:val="008473CD"/>
    <w:rsid w:val="00847487"/>
    <w:rsid w:val="008476F0"/>
    <w:rsid w:val="0084787C"/>
    <w:rsid w:val="008515B9"/>
    <w:rsid w:val="00851891"/>
    <w:rsid w:val="008521FF"/>
    <w:rsid w:val="008527F8"/>
    <w:rsid w:val="0085336C"/>
    <w:rsid w:val="00853544"/>
    <w:rsid w:val="00853624"/>
    <w:rsid w:val="008540D0"/>
    <w:rsid w:val="00854C02"/>
    <w:rsid w:val="008551D1"/>
    <w:rsid w:val="008559A5"/>
    <w:rsid w:val="00856EB5"/>
    <w:rsid w:val="00860368"/>
    <w:rsid w:val="0086042B"/>
    <w:rsid w:val="00860B83"/>
    <w:rsid w:val="00860E33"/>
    <w:rsid w:val="00861123"/>
    <w:rsid w:val="008624CF"/>
    <w:rsid w:val="008629BC"/>
    <w:rsid w:val="00862F36"/>
    <w:rsid w:val="00863189"/>
    <w:rsid w:val="00863847"/>
    <w:rsid w:val="00863F13"/>
    <w:rsid w:val="00864BD1"/>
    <w:rsid w:val="00865650"/>
    <w:rsid w:val="00865A0A"/>
    <w:rsid w:val="00866014"/>
    <w:rsid w:val="0086609C"/>
    <w:rsid w:val="00866970"/>
    <w:rsid w:val="00867246"/>
    <w:rsid w:val="008678EF"/>
    <w:rsid w:val="00867A01"/>
    <w:rsid w:val="0087069F"/>
    <w:rsid w:val="008709C3"/>
    <w:rsid w:val="00870C79"/>
    <w:rsid w:val="00871517"/>
    <w:rsid w:val="00871611"/>
    <w:rsid w:val="00871E31"/>
    <w:rsid w:val="00872546"/>
    <w:rsid w:val="008726F5"/>
    <w:rsid w:val="0087370C"/>
    <w:rsid w:val="0087495D"/>
    <w:rsid w:val="008754F9"/>
    <w:rsid w:val="00875B90"/>
    <w:rsid w:val="00875E0C"/>
    <w:rsid w:val="00875E23"/>
    <w:rsid w:val="00875F0A"/>
    <w:rsid w:val="008773E3"/>
    <w:rsid w:val="00877A68"/>
    <w:rsid w:val="00880596"/>
    <w:rsid w:val="00880E96"/>
    <w:rsid w:val="008813FD"/>
    <w:rsid w:val="00881458"/>
    <w:rsid w:val="00881BC0"/>
    <w:rsid w:val="00883C42"/>
    <w:rsid w:val="00884283"/>
    <w:rsid w:val="008842E2"/>
    <w:rsid w:val="00885721"/>
    <w:rsid w:val="00885BA7"/>
    <w:rsid w:val="008861DE"/>
    <w:rsid w:val="008865FD"/>
    <w:rsid w:val="00886929"/>
    <w:rsid w:val="00886D6C"/>
    <w:rsid w:val="008871BE"/>
    <w:rsid w:val="008873B2"/>
    <w:rsid w:val="00887B9C"/>
    <w:rsid w:val="00887FEB"/>
    <w:rsid w:val="00890526"/>
    <w:rsid w:val="00891422"/>
    <w:rsid w:val="0089166A"/>
    <w:rsid w:val="00892242"/>
    <w:rsid w:val="0089246E"/>
    <w:rsid w:val="00892533"/>
    <w:rsid w:val="00892885"/>
    <w:rsid w:val="00892983"/>
    <w:rsid w:val="00892C2A"/>
    <w:rsid w:val="008933BC"/>
    <w:rsid w:val="00893846"/>
    <w:rsid w:val="00893BAA"/>
    <w:rsid w:val="00894021"/>
    <w:rsid w:val="00894AEB"/>
    <w:rsid w:val="00894C6E"/>
    <w:rsid w:val="008950E6"/>
    <w:rsid w:val="0089519E"/>
    <w:rsid w:val="00895C97"/>
    <w:rsid w:val="00895E75"/>
    <w:rsid w:val="00896291"/>
    <w:rsid w:val="0089689C"/>
    <w:rsid w:val="00896E37"/>
    <w:rsid w:val="0089715A"/>
    <w:rsid w:val="008971B6"/>
    <w:rsid w:val="0089758B"/>
    <w:rsid w:val="00897661"/>
    <w:rsid w:val="0089782F"/>
    <w:rsid w:val="008A00A1"/>
    <w:rsid w:val="008A03CA"/>
    <w:rsid w:val="008A1AAA"/>
    <w:rsid w:val="008A2ACC"/>
    <w:rsid w:val="008A2DA3"/>
    <w:rsid w:val="008A30BD"/>
    <w:rsid w:val="008A3372"/>
    <w:rsid w:val="008A3B06"/>
    <w:rsid w:val="008A42FB"/>
    <w:rsid w:val="008A48C2"/>
    <w:rsid w:val="008A4CFD"/>
    <w:rsid w:val="008A50AE"/>
    <w:rsid w:val="008A6077"/>
    <w:rsid w:val="008A6922"/>
    <w:rsid w:val="008A69C6"/>
    <w:rsid w:val="008A7553"/>
    <w:rsid w:val="008A7939"/>
    <w:rsid w:val="008A7FBA"/>
    <w:rsid w:val="008B0096"/>
    <w:rsid w:val="008B0F5D"/>
    <w:rsid w:val="008B13F4"/>
    <w:rsid w:val="008B1457"/>
    <w:rsid w:val="008B16C2"/>
    <w:rsid w:val="008B19FC"/>
    <w:rsid w:val="008B21DC"/>
    <w:rsid w:val="008B2934"/>
    <w:rsid w:val="008B2BA6"/>
    <w:rsid w:val="008B3884"/>
    <w:rsid w:val="008B3988"/>
    <w:rsid w:val="008B4099"/>
    <w:rsid w:val="008B4DDC"/>
    <w:rsid w:val="008B52F4"/>
    <w:rsid w:val="008B579D"/>
    <w:rsid w:val="008B5B14"/>
    <w:rsid w:val="008B5FA8"/>
    <w:rsid w:val="008B6733"/>
    <w:rsid w:val="008B6F75"/>
    <w:rsid w:val="008B75F1"/>
    <w:rsid w:val="008C0884"/>
    <w:rsid w:val="008C0BFC"/>
    <w:rsid w:val="008C0E84"/>
    <w:rsid w:val="008C12C5"/>
    <w:rsid w:val="008C205F"/>
    <w:rsid w:val="008C2078"/>
    <w:rsid w:val="008C208B"/>
    <w:rsid w:val="008C2805"/>
    <w:rsid w:val="008C2C1D"/>
    <w:rsid w:val="008C3E31"/>
    <w:rsid w:val="008C3F5E"/>
    <w:rsid w:val="008C413E"/>
    <w:rsid w:val="008C59D0"/>
    <w:rsid w:val="008C7337"/>
    <w:rsid w:val="008D0040"/>
    <w:rsid w:val="008D135F"/>
    <w:rsid w:val="008D1391"/>
    <w:rsid w:val="008D1770"/>
    <w:rsid w:val="008D2A26"/>
    <w:rsid w:val="008D3421"/>
    <w:rsid w:val="008D3F8E"/>
    <w:rsid w:val="008D452C"/>
    <w:rsid w:val="008D55DA"/>
    <w:rsid w:val="008D693A"/>
    <w:rsid w:val="008D6BDA"/>
    <w:rsid w:val="008D7062"/>
    <w:rsid w:val="008E0160"/>
    <w:rsid w:val="008E031A"/>
    <w:rsid w:val="008E0AA0"/>
    <w:rsid w:val="008E0DE8"/>
    <w:rsid w:val="008E0E48"/>
    <w:rsid w:val="008E17BC"/>
    <w:rsid w:val="008E214A"/>
    <w:rsid w:val="008E2CCA"/>
    <w:rsid w:val="008E3749"/>
    <w:rsid w:val="008E3D06"/>
    <w:rsid w:val="008E530A"/>
    <w:rsid w:val="008E5814"/>
    <w:rsid w:val="008E5E05"/>
    <w:rsid w:val="008E6AF3"/>
    <w:rsid w:val="008E6D69"/>
    <w:rsid w:val="008E71E1"/>
    <w:rsid w:val="008E7B12"/>
    <w:rsid w:val="008E7E19"/>
    <w:rsid w:val="008F06AD"/>
    <w:rsid w:val="008F0FA6"/>
    <w:rsid w:val="008F1D9F"/>
    <w:rsid w:val="008F1E6C"/>
    <w:rsid w:val="008F1FFD"/>
    <w:rsid w:val="008F2096"/>
    <w:rsid w:val="008F256D"/>
    <w:rsid w:val="008F2C89"/>
    <w:rsid w:val="008F2E8C"/>
    <w:rsid w:val="008F3ABD"/>
    <w:rsid w:val="008F49A1"/>
    <w:rsid w:val="008F5494"/>
    <w:rsid w:val="008F5AF7"/>
    <w:rsid w:val="008F5C5D"/>
    <w:rsid w:val="008F7E71"/>
    <w:rsid w:val="008F7F2E"/>
    <w:rsid w:val="00900FAB"/>
    <w:rsid w:val="009016B9"/>
    <w:rsid w:val="009027AA"/>
    <w:rsid w:val="00902938"/>
    <w:rsid w:val="00902E30"/>
    <w:rsid w:val="00902E5A"/>
    <w:rsid w:val="00902E66"/>
    <w:rsid w:val="00902EF0"/>
    <w:rsid w:val="00903AA4"/>
    <w:rsid w:val="00903D5F"/>
    <w:rsid w:val="00903EC8"/>
    <w:rsid w:val="009045BF"/>
    <w:rsid w:val="00904775"/>
    <w:rsid w:val="009049FD"/>
    <w:rsid w:val="00904D5D"/>
    <w:rsid w:val="00905077"/>
    <w:rsid w:val="009050BA"/>
    <w:rsid w:val="0090559A"/>
    <w:rsid w:val="00905F2B"/>
    <w:rsid w:val="00906133"/>
    <w:rsid w:val="009065F3"/>
    <w:rsid w:val="009066B8"/>
    <w:rsid w:val="009115AD"/>
    <w:rsid w:val="00911DA5"/>
    <w:rsid w:val="00911E24"/>
    <w:rsid w:val="00911F61"/>
    <w:rsid w:val="009124D4"/>
    <w:rsid w:val="009127A1"/>
    <w:rsid w:val="00912AB1"/>
    <w:rsid w:val="009131B5"/>
    <w:rsid w:val="00913B43"/>
    <w:rsid w:val="00914D3A"/>
    <w:rsid w:val="00915907"/>
    <w:rsid w:val="00915A6A"/>
    <w:rsid w:val="00915BED"/>
    <w:rsid w:val="00917136"/>
    <w:rsid w:val="00917192"/>
    <w:rsid w:val="0091724B"/>
    <w:rsid w:val="0091728C"/>
    <w:rsid w:val="00917865"/>
    <w:rsid w:val="00917B42"/>
    <w:rsid w:val="0092003F"/>
    <w:rsid w:val="009210F7"/>
    <w:rsid w:val="00921F25"/>
    <w:rsid w:val="00922382"/>
    <w:rsid w:val="00922801"/>
    <w:rsid w:val="0092303E"/>
    <w:rsid w:val="0092313D"/>
    <w:rsid w:val="00923B5D"/>
    <w:rsid w:val="00923E20"/>
    <w:rsid w:val="0092440B"/>
    <w:rsid w:val="009245F0"/>
    <w:rsid w:val="00924791"/>
    <w:rsid w:val="00925751"/>
    <w:rsid w:val="00925821"/>
    <w:rsid w:val="00925EFF"/>
    <w:rsid w:val="00926377"/>
    <w:rsid w:val="00926E1E"/>
    <w:rsid w:val="00927F29"/>
    <w:rsid w:val="00927F9D"/>
    <w:rsid w:val="00930A71"/>
    <w:rsid w:val="00930C02"/>
    <w:rsid w:val="00930E94"/>
    <w:rsid w:val="009325C2"/>
    <w:rsid w:val="00933020"/>
    <w:rsid w:val="00934707"/>
    <w:rsid w:val="009348E5"/>
    <w:rsid w:val="00934B92"/>
    <w:rsid w:val="00934DB4"/>
    <w:rsid w:val="0093521E"/>
    <w:rsid w:val="0093590F"/>
    <w:rsid w:val="0093640F"/>
    <w:rsid w:val="00936C75"/>
    <w:rsid w:val="009371E7"/>
    <w:rsid w:val="00937261"/>
    <w:rsid w:val="0093736A"/>
    <w:rsid w:val="009377C6"/>
    <w:rsid w:val="00937925"/>
    <w:rsid w:val="009401E5"/>
    <w:rsid w:val="0094063F"/>
    <w:rsid w:val="00940D93"/>
    <w:rsid w:val="009415B3"/>
    <w:rsid w:val="00941669"/>
    <w:rsid w:val="00943340"/>
    <w:rsid w:val="009438FD"/>
    <w:rsid w:val="00943CF3"/>
    <w:rsid w:val="00943E5D"/>
    <w:rsid w:val="00944347"/>
    <w:rsid w:val="009446A2"/>
    <w:rsid w:val="00944861"/>
    <w:rsid w:val="00944938"/>
    <w:rsid w:val="00944A6B"/>
    <w:rsid w:val="00945043"/>
    <w:rsid w:val="00945974"/>
    <w:rsid w:val="00945DED"/>
    <w:rsid w:val="00946090"/>
    <w:rsid w:val="00947515"/>
    <w:rsid w:val="009500A8"/>
    <w:rsid w:val="009503CF"/>
    <w:rsid w:val="009510A5"/>
    <w:rsid w:val="0095152D"/>
    <w:rsid w:val="009528AE"/>
    <w:rsid w:val="00952A25"/>
    <w:rsid w:val="00952AFA"/>
    <w:rsid w:val="00952C1E"/>
    <w:rsid w:val="00952F3E"/>
    <w:rsid w:val="00953472"/>
    <w:rsid w:val="009539CF"/>
    <w:rsid w:val="00953A57"/>
    <w:rsid w:val="00953E58"/>
    <w:rsid w:val="009541F8"/>
    <w:rsid w:val="00954344"/>
    <w:rsid w:val="00956472"/>
    <w:rsid w:val="0095652B"/>
    <w:rsid w:val="0095685F"/>
    <w:rsid w:val="00956CD6"/>
    <w:rsid w:val="00956E0C"/>
    <w:rsid w:val="00957767"/>
    <w:rsid w:val="0095792F"/>
    <w:rsid w:val="00960B5F"/>
    <w:rsid w:val="009618FA"/>
    <w:rsid w:val="00961C95"/>
    <w:rsid w:val="00961D0C"/>
    <w:rsid w:val="00961EFF"/>
    <w:rsid w:val="0096229C"/>
    <w:rsid w:val="009635A4"/>
    <w:rsid w:val="00964455"/>
    <w:rsid w:val="00964E19"/>
    <w:rsid w:val="00965609"/>
    <w:rsid w:val="00965999"/>
    <w:rsid w:val="00965D36"/>
    <w:rsid w:val="00965EEA"/>
    <w:rsid w:val="00966508"/>
    <w:rsid w:val="009670A4"/>
    <w:rsid w:val="00967506"/>
    <w:rsid w:val="00970002"/>
    <w:rsid w:val="009706B3"/>
    <w:rsid w:val="00970B5B"/>
    <w:rsid w:val="00970CF1"/>
    <w:rsid w:val="009718AC"/>
    <w:rsid w:val="00971D51"/>
    <w:rsid w:val="009722EB"/>
    <w:rsid w:val="009725AB"/>
    <w:rsid w:val="009726D0"/>
    <w:rsid w:val="00972DF1"/>
    <w:rsid w:val="00973468"/>
    <w:rsid w:val="0097377E"/>
    <w:rsid w:val="0097459F"/>
    <w:rsid w:val="00974839"/>
    <w:rsid w:val="00974CAA"/>
    <w:rsid w:val="00974F4C"/>
    <w:rsid w:val="0097520F"/>
    <w:rsid w:val="0097615D"/>
    <w:rsid w:val="00977555"/>
    <w:rsid w:val="00977982"/>
    <w:rsid w:val="00977D9F"/>
    <w:rsid w:val="00977F88"/>
    <w:rsid w:val="0098095D"/>
    <w:rsid w:val="00980C04"/>
    <w:rsid w:val="009818D5"/>
    <w:rsid w:val="00982C37"/>
    <w:rsid w:val="00983D2C"/>
    <w:rsid w:val="00984095"/>
    <w:rsid w:val="009840AE"/>
    <w:rsid w:val="009844CE"/>
    <w:rsid w:val="00984D59"/>
    <w:rsid w:val="00986304"/>
    <w:rsid w:val="00986816"/>
    <w:rsid w:val="00987704"/>
    <w:rsid w:val="009901FC"/>
    <w:rsid w:val="0099059F"/>
    <w:rsid w:val="00990EA4"/>
    <w:rsid w:val="0099154A"/>
    <w:rsid w:val="009915A0"/>
    <w:rsid w:val="009916B0"/>
    <w:rsid w:val="00991BFF"/>
    <w:rsid w:val="00991C42"/>
    <w:rsid w:val="00992488"/>
    <w:rsid w:val="00992832"/>
    <w:rsid w:val="0099285F"/>
    <w:rsid w:val="00992A87"/>
    <w:rsid w:val="00992B10"/>
    <w:rsid w:val="00992F7E"/>
    <w:rsid w:val="00992FE9"/>
    <w:rsid w:val="00994356"/>
    <w:rsid w:val="009944C7"/>
    <w:rsid w:val="0099456D"/>
    <w:rsid w:val="0099489B"/>
    <w:rsid w:val="0099499D"/>
    <w:rsid w:val="00994EC6"/>
    <w:rsid w:val="00995EA7"/>
    <w:rsid w:val="009964EF"/>
    <w:rsid w:val="009966F7"/>
    <w:rsid w:val="009968B1"/>
    <w:rsid w:val="009969DF"/>
    <w:rsid w:val="00997D0A"/>
    <w:rsid w:val="009A03BD"/>
    <w:rsid w:val="009A1F0C"/>
    <w:rsid w:val="009A28FB"/>
    <w:rsid w:val="009A2A94"/>
    <w:rsid w:val="009A2B58"/>
    <w:rsid w:val="009A2E72"/>
    <w:rsid w:val="009A60F0"/>
    <w:rsid w:val="009A6CC5"/>
    <w:rsid w:val="009A6F98"/>
    <w:rsid w:val="009A7768"/>
    <w:rsid w:val="009A7B3B"/>
    <w:rsid w:val="009A7B5D"/>
    <w:rsid w:val="009A7E27"/>
    <w:rsid w:val="009A7F15"/>
    <w:rsid w:val="009B0292"/>
    <w:rsid w:val="009B1281"/>
    <w:rsid w:val="009B1570"/>
    <w:rsid w:val="009B183B"/>
    <w:rsid w:val="009B2B51"/>
    <w:rsid w:val="009B30CF"/>
    <w:rsid w:val="009B3204"/>
    <w:rsid w:val="009B329D"/>
    <w:rsid w:val="009B3BCA"/>
    <w:rsid w:val="009B3F71"/>
    <w:rsid w:val="009B46E9"/>
    <w:rsid w:val="009B5051"/>
    <w:rsid w:val="009B589C"/>
    <w:rsid w:val="009B6683"/>
    <w:rsid w:val="009B6761"/>
    <w:rsid w:val="009B6FAB"/>
    <w:rsid w:val="009B7224"/>
    <w:rsid w:val="009B74CB"/>
    <w:rsid w:val="009B7EAE"/>
    <w:rsid w:val="009C0040"/>
    <w:rsid w:val="009C02C9"/>
    <w:rsid w:val="009C0343"/>
    <w:rsid w:val="009C066C"/>
    <w:rsid w:val="009C1497"/>
    <w:rsid w:val="009C164C"/>
    <w:rsid w:val="009C17A6"/>
    <w:rsid w:val="009C23F8"/>
    <w:rsid w:val="009C2590"/>
    <w:rsid w:val="009C2E03"/>
    <w:rsid w:val="009C344E"/>
    <w:rsid w:val="009C36E3"/>
    <w:rsid w:val="009C3BEC"/>
    <w:rsid w:val="009C5076"/>
    <w:rsid w:val="009C55AA"/>
    <w:rsid w:val="009C6316"/>
    <w:rsid w:val="009C64ED"/>
    <w:rsid w:val="009C6B8C"/>
    <w:rsid w:val="009C74BC"/>
    <w:rsid w:val="009C7608"/>
    <w:rsid w:val="009C7616"/>
    <w:rsid w:val="009C7C23"/>
    <w:rsid w:val="009D0EA5"/>
    <w:rsid w:val="009D1A01"/>
    <w:rsid w:val="009D3A9B"/>
    <w:rsid w:val="009D3E6D"/>
    <w:rsid w:val="009D4015"/>
    <w:rsid w:val="009D40DE"/>
    <w:rsid w:val="009D4613"/>
    <w:rsid w:val="009D5515"/>
    <w:rsid w:val="009D6213"/>
    <w:rsid w:val="009D63C6"/>
    <w:rsid w:val="009D66A0"/>
    <w:rsid w:val="009D66D9"/>
    <w:rsid w:val="009D6CE5"/>
    <w:rsid w:val="009D7822"/>
    <w:rsid w:val="009D7FF8"/>
    <w:rsid w:val="009E01E9"/>
    <w:rsid w:val="009E0612"/>
    <w:rsid w:val="009E1251"/>
    <w:rsid w:val="009E13CA"/>
    <w:rsid w:val="009E1873"/>
    <w:rsid w:val="009E1F0A"/>
    <w:rsid w:val="009E2E52"/>
    <w:rsid w:val="009E4321"/>
    <w:rsid w:val="009E48F2"/>
    <w:rsid w:val="009E49A0"/>
    <w:rsid w:val="009E4BAD"/>
    <w:rsid w:val="009E4CA9"/>
    <w:rsid w:val="009E516F"/>
    <w:rsid w:val="009E5C5F"/>
    <w:rsid w:val="009E6223"/>
    <w:rsid w:val="009E696A"/>
    <w:rsid w:val="009E6BB3"/>
    <w:rsid w:val="009E7EC0"/>
    <w:rsid w:val="009F0207"/>
    <w:rsid w:val="009F067F"/>
    <w:rsid w:val="009F0FBD"/>
    <w:rsid w:val="009F1270"/>
    <w:rsid w:val="009F2C1A"/>
    <w:rsid w:val="009F3124"/>
    <w:rsid w:val="009F3848"/>
    <w:rsid w:val="009F3D04"/>
    <w:rsid w:val="009F3DCB"/>
    <w:rsid w:val="009F411F"/>
    <w:rsid w:val="009F4266"/>
    <w:rsid w:val="009F4395"/>
    <w:rsid w:val="009F440C"/>
    <w:rsid w:val="009F4D49"/>
    <w:rsid w:val="009F50FB"/>
    <w:rsid w:val="009F58AE"/>
    <w:rsid w:val="009F5BD4"/>
    <w:rsid w:val="009F5E05"/>
    <w:rsid w:val="009F77E9"/>
    <w:rsid w:val="009F7BDC"/>
    <w:rsid w:val="00A014F8"/>
    <w:rsid w:val="00A01D07"/>
    <w:rsid w:val="00A01F6F"/>
    <w:rsid w:val="00A022FD"/>
    <w:rsid w:val="00A02C58"/>
    <w:rsid w:val="00A02F75"/>
    <w:rsid w:val="00A03DC7"/>
    <w:rsid w:val="00A04A8F"/>
    <w:rsid w:val="00A0515F"/>
    <w:rsid w:val="00A054CD"/>
    <w:rsid w:val="00A05F13"/>
    <w:rsid w:val="00A06496"/>
    <w:rsid w:val="00A069BC"/>
    <w:rsid w:val="00A06E2C"/>
    <w:rsid w:val="00A073AC"/>
    <w:rsid w:val="00A074AE"/>
    <w:rsid w:val="00A074C0"/>
    <w:rsid w:val="00A0798D"/>
    <w:rsid w:val="00A07F26"/>
    <w:rsid w:val="00A1086C"/>
    <w:rsid w:val="00A11115"/>
    <w:rsid w:val="00A11368"/>
    <w:rsid w:val="00A11896"/>
    <w:rsid w:val="00A1198A"/>
    <w:rsid w:val="00A12470"/>
    <w:rsid w:val="00A12625"/>
    <w:rsid w:val="00A127D0"/>
    <w:rsid w:val="00A1332A"/>
    <w:rsid w:val="00A13B13"/>
    <w:rsid w:val="00A14139"/>
    <w:rsid w:val="00A14B3C"/>
    <w:rsid w:val="00A1508A"/>
    <w:rsid w:val="00A15132"/>
    <w:rsid w:val="00A15495"/>
    <w:rsid w:val="00A165DE"/>
    <w:rsid w:val="00A16B86"/>
    <w:rsid w:val="00A17589"/>
    <w:rsid w:val="00A175D1"/>
    <w:rsid w:val="00A17844"/>
    <w:rsid w:val="00A17CE3"/>
    <w:rsid w:val="00A17F46"/>
    <w:rsid w:val="00A201B1"/>
    <w:rsid w:val="00A2272C"/>
    <w:rsid w:val="00A22B52"/>
    <w:rsid w:val="00A231C7"/>
    <w:rsid w:val="00A237EC"/>
    <w:rsid w:val="00A2488F"/>
    <w:rsid w:val="00A24B58"/>
    <w:rsid w:val="00A2589E"/>
    <w:rsid w:val="00A25E53"/>
    <w:rsid w:val="00A26852"/>
    <w:rsid w:val="00A26BBB"/>
    <w:rsid w:val="00A27A7D"/>
    <w:rsid w:val="00A30251"/>
    <w:rsid w:val="00A303B4"/>
    <w:rsid w:val="00A31509"/>
    <w:rsid w:val="00A31616"/>
    <w:rsid w:val="00A31617"/>
    <w:rsid w:val="00A31651"/>
    <w:rsid w:val="00A31BA0"/>
    <w:rsid w:val="00A32377"/>
    <w:rsid w:val="00A328DB"/>
    <w:rsid w:val="00A338FF"/>
    <w:rsid w:val="00A33D96"/>
    <w:rsid w:val="00A33FF1"/>
    <w:rsid w:val="00A34D25"/>
    <w:rsid w:val="00A353BD"/>
    <w:rsid w:val="00A360C9"/>
    <w:rsid w:val="00A364EB"/>
    <w:rsid w:val="00A36D7E"/>
    <w:rsid w:val="00A37406"/>
    <w:rsid w:val="00A3769F"/>
    <w:rsid w:val="00A37880"/>
    <w:rsid w:val="00A37C9C"/>
    <w:rsid w:val="00A41605"/>
    <w:rsid w:val="00A41843"/>
    <w:rsid w:val="00A41C30"/>
    <w:rsid w:val="00A420DE"/>
    <w:rsid w:val="00A42E5A"/>
    <w:rsid w:val="00A42F89"/>
    <w:rsid w:val="00A433CD"/>
    <w:rsid w:val="00A44554"/>
    <w:rsid w:val="00A452B2"/>
    <w:rsid w:val="00A454AB"/>
    <w:rsid w:val="00A458F0"/>
    <w:rsid w:val="00A46424"/>
    <w:rsid w:val="00A47A8C"/>
    <w:rsid w:val="00A47FE9"/>
    <w:rsid w:val="00A5092D"/>
    <w:rsid w:val="00A50CBE"/>
    <w:rsid w:val="00A50D11"/>
    <w:rsid w:val="00A50EAC"/>
    <w:rsid w:val="00A51031"/>
    <w:rsid w:val="00A511E5"/>
    <w:rsid w:val="00A51FA6"/>
    <w:rsid w:val="00A5313B"/>
    <w:rsid w:val="00A53383"/>
    <w:rsid w:val="00A534E9"/>
    <w:rsid w:val="00A536E1"/>
    <w:rsid w:val="00A53D65"/>
    <w:rsid w:val="00A54626"/>
    <w:rsid w:val="00A54701"/>
    <w:rsid w:val="00A548CC"/>
    <w:rsid w:val="00A551B9"/>
    <w:rsid w:val="00A55721"/>
    <w:rsid w:val="00A55E78"/>
    <w:rsid w:val="00A56D79"/>
    <w:rsid w:val="00A573BC"/>
    <w:rsid w:val="00A6000B"/>
    <w:rsid w:val="00A60F80"/>
    <w:rsid w:val="00A6127C"/>
    <w:rsid w:val="00A61F96"/>
    <w:rsid w:val="00A61FD6"/>
    <w:rsid w:val="00A628D5"/>
    <w:rsid w:val="00A62DAB"/>
    <w:rsid w:val="00A633E8"/>
    <w:rsid w:val="00A63B1A"/>
    <w:rsid w:val="00A64EE1"/>
    <w:rsid w:val="00A65A75"/>
    <w:rsid w:val="00A66295"/>
    <w:rsid w:val="00A666E8"/>
    <w:rsid w:val="00A6672E"/>
    <w:rsid w:val="00A66A79"/>
    <w:rsid w:val="00A66D5E"/>
    <w:rsid w:val="00A70C87"/>
    <w:rsid w:val="00A70CC8"/>
    <w:rsid w:val="00A73110"/>
    <w:rsid w:val="00A7325E"/>
    <w:rsid w:val="00A74AB1"/>
    <w:rsid w:val="00A752A1"/>
    <w:rsid w:val="00A7556E"/>
    <w:rsid w:val="00A75A0F"/>
    <w:rsid w:val="00A7627D"/>
    <w:rsid w:val="00A764DF"/>
    <w:rsid w:val="00A76673"/>
    <w:rsid w:val="00A76CBD"/>
    <w:rsid w:val="00A7731B"/>
    <w:rsid w:val="00A7738E"/>
    <w:rsid w:val="00A803A1"/>
    <w:rsid w:val="00A80A1F"/>
    <w:rsid w:val="00A80C2F"/>
    <w:rsid w:val="00A81D4A"/>
    <w:rsid w:val="00A825CE"/>
    <w:rsid w:val="00A82685"/>
    <w:rsid w:val="00A83395"/>
    <w:rsid w:val="00A846BB"/>
    <w:rsid w:val="00A8473C"/>
    <w:rsid w:val="00A84801"/>
    <w:rsid w:val="00A86634"/>
    <w:rsid w:val="00A87866"/>
    <w:rsid w:val="00A87951"/>
    <w:rsid w:val="00A9016A"/>
    <w:rsid w:val="00A90A88"/>
    <w:rsid w:val="00A91831"/>
    <w:rsid w:val="00A91FE5"/>
    <w:rsid w:val="00A92292"/>
    <w:rsid w:val="00A92C1B"/>
    <w:rsid w:val="00A938E1"/>
    <w:rsid w:val="00A941C5"/>
    <w:rsid w:val="00A94D2F"/>
    <w:rsid w:val="00A95814"/>
    <w:rsid w:val="00A95996"/>
    <w:rsid w:val="00A968F9"/>
    <w:rsid w:val="00A96B95"/>
    <w:rsid w:val="00A978DA"/>
    <w:rsid w:val="00A97BDD"/>
    <w:rsid w:val="00AA0BEA"/>
    <w:rsid w:val="00AA0CD1"/>
    <w:rsid w:val="00AA0F37"/>
    <w:rsid w:val="00AA1149"/>
    <w:rsid w:val="00AA12B6"/>
    <w:rsid w:val="00AA152A"/>
    <w:rsid w:val="00AA1D52"/>
    <w:rsid w:val="00AA2A48"/>
    <w:rsid w:val="00AA3020"/>
    <w:rsid w:val="00AA3666"/>
    <w:rsid w:val="00AA3957"/>
    <w:rsid w:val="00AA616D"/>
    <w:rsid w:val="00AA6F82"/>
    <w:rsid w:val="00AA7C64"/>
    <w:rsid w:val="00AB050B"/>
    <w:rsid w:val="00AB0D66"/>
    <w:rsid w:val="00AB1AF3"/>
    <w:rsid w:val="00AB2B1D"/>
    <w:rsid w:val="00AB2C5C"/>
    <w:rsid w:val="00AB3072"/>
    <w:rsid w:val="00AB312F"/>
    <w:rsid w:val="00AB48A5"/>
    <w:rsid w:val="00AB5396"/>
    <w:rsid w:val="00AB562C"/>
    <w:rsid w:val="00AB5FA7"/>
    <w:rsid w:val="00AB6351"/>
    <w:rsid w:val="00AB6394"/>
    <w:rsid w:val="00AB734A"/>
    <w:rsid w:val="00AB7E2E"/>
    <w:rsid w:val="00AC0998"/>
    <w:rsid w:val="00AC0E23"/>
    <w:rsid w:val="00AC1058"/>
    <w:rsid w:val="00AC1361"/>
    <w:rsid w:val="00AC1EC0"/>
    <w:rsid w:val="00AC4041"/>
    <w:rsid w:val="00AC52D9"/>
    <w:rsid w:val="00AC606D"/>
    <w:rsid w:val="00AD04BE"/>
    <w:rsid w:val="00AD061F"/>
    <w:rsid w:val="00AD06B3"/>
    <w:rsid w:val="00AD0EF7"/>
    <w:rsid w:val="00AD13FD"/>
    <w:rsid w:val="00AD1C57"/>
    <w:rsid w:val="00AD1D5B"/>
    <w:rsid w:val="00AD240F"/>
    <w:rsid w:val="00AD3115"/>
    <w:rsid w:val="00AD3596"/>
    <w:rsid w:val="00AD3C7F"/>
    <w:rsid w:val="00AD3F7B"/>
    <w:rsid w:val="00AD48D3"/>
    <w:rsid w:val="00AD5AD0"/>
    <w:rsid w:val="00AD5B8A"/>
    <w:rsid w:val="00AD6193"/>
    <w:rsid w:val="00AD6761"/>
    <w:rsid w:val="00AD67EF"/>
    <w:rsid w:val="00AD67FE"/>
    <w:rsid w:val="00AD68C5"/>
    <w:rsid w:val="00AD6C15"/>
    <w:rsid w:val="00AD6E50"/>
    <w:rsid w:val="00AD7275"/>
    <w:rsid w:val="00AD7387"/>
    <w:rsid w:val="00AD7C2A"/>
    <w:rsid w:val="00AE0C60"/>
    <w:rsid w:val="00AE0F81"/>
    <w:rsid w:val="00AE13F0"/>
    <w:rsid w:val="00AE15C1"/>
    <w:rsid w:val="00AE181E"/>
    <w:rsid w:val="00AE22EA"/>
    <w:rsid w:val="00AE3549"/>
    <w:rsid w:val="00AE3D6C"/>
    <w:rsid w:val="00AE3F7A"/>
    <w:rsid w:val="00AE3FF7"/>
    <w:rsid w:val="00AE41D8"/>
    <w:rsid w:val="00AE433C"/>
    <w:rsid w:val="00AE4628"/>
    <w:rsid w:val="00AE4896"/>
    <w:rsid w:val="00AE4B0B"/>
    <w:rsid w:val="00AE50BD"/>
    <w:rsid w:val="00AE59E8"/>
    <w:rsid w:val="00AE5B5E"/>
    <w:rsid w:val="00AE664A"/>
    <w:rsid w:val="00AE6E42"/>
    <w:rsid w:val="00AE7100"/>
    <w:rsid w:val="00AE7116"/>
    <w:rsid w:val="00AE786B"/>
    <w:rsid w:val="00AF0196"/>
    <w:rsid w:val="00AF16B2"/>
    <w:rsid w:val="00AF258E"/>
    <w:rsid w:val="00AF2BF7"/>
    <w:rsid w:val="00AF49CB"/>
    <w:rsid w:val="00AF5125"/>
    <w:rsid w:val="00AF691D"/>
    <w:rsid w:val="00AF7305"/>
    <w:rsid w:val="00AF73AE"/>
    <w:rsid w:val="00AF7F3C"/>
    <w:rsid w:val="00B01031"/>
    <w:rsid w:val="00B013B2"/>
    <w:rsid w:val="00B01ADF"/>
    <w:rsid w:val="00B02264"/>
    <w:rsid w:val="00B0226E"/>
    <w:rsid w:val="00B027DF"/>
    <w:rsid w:val="00B0390F"/>
    <w:rsid w:val="00B03B02"/>
    <w:rsid w:val="00B03B3F"/>
    <w:rsid w:val="00B03BE3"/>
    <w:rsid w:val="00B045F3"/>
    <w:rsid w:val="00B049E5"/>
    <w:rsid w:val="00B04FA6"/>
    <w:rsid w:val="00B0590F"/>
    <w:rsid w:val="00B06A46"/>
    <w:rsid w:val="00B06A67"/>
    <w:rsid w:val="00B06E50"/>
    <w:rsid w:val="00B06EB2"/>
    <w:rsid w:val="00B07533"/>
    <w:rsid w:val="00B07E14"/>
    <w:rsid w:val="00B10A9D"/>
    <w:rsid w:val="00B10E83"/>
    <w:rsid w:val="00B10F25"/>
    <w:rsid w:val="00B11D39"/>
    <w:rsid w:val="00B11E04"/>
    <w:rsid w:val="00B12058"/>
    <w:rsid w:val="00B13BA9"/>
    <w:rsid w:val="00B14310"/>
    <w:rsid w:val="00B14C4E"/>
    <w:rsid w:val="00B14DC3"/>
    <w:rsid w:val="00B15DAB"/>
    <w:rsid w:val="00B17129"/>
    <w:rsid w:val="00B176E9"/>
    <w:rsid w:val="00B2035F"/>
    <w:rsid w:val="00B20558"/>
    <w:rsid w:val="00B20E8C"/>
    <w:rsid w:val="00B21464"/>
    <w:rsid w:val="00B21A60"/>
    <w:rsid w:val="00B2305F"/>
    <w:rsid w:val="00B23225"/>
    <w:rsid w:val="00B2364B"/>
    <w:rsid w:val="00B23715"/>
    <w:rsid w:val="00B23D7B"/>
    <w:rsid w:val="00B23D93"/>
    <w:rsid w:val="00B242A3"/>
    <w:rsid w:val="00B24A64"/>
    <w:rsid w:val="00B24EA4"/>
    <w:rsid w:val="00B25295"/>
    <w:rsid w:val="00B2530D"/>
    <w:rsid w:val="00B25AAB"/>
    <w:rsid w:val="00B272DA"/>
    <w:rsid w:val="00B27C5C"/>
    <w:rsid w:val="00B27C87"/>
    <w:rsid w:val="00B30216"/>
    <w:rsid w:val="00B30B44"/>
    <w:rsid w:val="00B30D0C"/>
    <w:rsid w:val="00B31A6D"/>
    <w:rsid w:val="00B31F36"/>
    <w:rsid w:val="00B325BE"/>
    <w:rsid w:val="00B32909"/>
    <w:rsid w:val="00B32BCE"/>
    <w:rsid w:val="00B33E8C"/>
    <w:rsid w:val="00B347C3"/>
    <w:rsid w:val="00B348F7"/>
    <w:rsid w:val="00B34B6F"/>
    <w:rsid w:val="00B35440"/>
    <w:rsid w:val="00B3676A"/>
    <w:rsid w:val="00B37C8B"/>
    <w:rsid w:val="00B4021A"/>
    <w:rsid w:val="00B404D2"/>
    <w:rsid w:val="00B41A9A"/>
    <w:rsid w:val="00B41AE5"/>
    <w:rsid w:val="00B41E67"/>
    <w:rsid w:val="00B4243E"/>
    <w:rsid w:val="00B42659"/>
    <w:rsid w:val="00B42F96"/>
    <w:rsid w:val="00B43DED"/>
    <w:rsid w:val="00B44827"/>
    <w:rsid w:val="00B44B6A"/>
    <w:rsid w:val="00B45D7A"/>
    <w:rsid w:val="00B45F5A"/>
    <w:rsid w:val="00B45FC0"/>
    <w:rsid w:val="00B46521"/>
    <w:rsid w:val="00B46B5D"/>
    <w:rsid w:val="00B46C7B"/>
    <w:rsid w:val="00B4751E"/>
    <w:rsid w:val="00B47596"/>
    <w:rsid w:val="00B477B9"/>
    <w:rsid w:val="00B4799C"/>
    <w:rsid w:val="00B47F4C"/>
    <w:rsid w:val="00B515F4"/>
    <w:rsid w:val="00B51AD7"/>
    <w:rsid w:val="00B52C18"/>
    <w:rsid w:val="00B5394C"/>
    <w:rsid w:val="00B53A39"/>
    <w:rsid w:val="00B541B5"/>
    <w:rsid w:val="00B55021"/>
    <w:rsid w:val="00B55F2D"/>
    <w:rsid w:val="00B5608A"/>
    <w:rsid w:val="00B560FD"/>
    <w:rsid w:val="00B56864"/>
    <w:rsid w:val="00B57286"/>
    <w:rsid w:val="00B574B6"/>
    <w:rsid w:val="00B57622"/>
    <w:rsid w:val="00B57A92"/>
    <w:rsid w:val="00B6042E"/>
    <w:rsid w:val="00B60CA7"/>
    <w:rsid w:val="00B610D8"/>
    <w:rsid w:val="00B6282E"/>
    <w:rsid w:val="00B62E2C"/>
    <w:rsid w:val="00B6309E"/>
    <w:rsid w:val="00B642F2"/>
    <w:rsid w:val="00B6651F"/>
    <w:rsid w:val="00B70AB2"/>
    <w:rsid w:val="00B729DC"/>
    <w:rsid w:val="00B73879"/>
    <w:rsid w:val="00B739D6"/>
    <w:rsid w:val="00B74267"/>
    <w:rsid w:val="00B74DF3"/>
    <w:rsid w:val="00B75061"/>
    <w:rsid w:val="00B755BB"/>
    <w:rsid w:val="00B75990"/>
    <w:rsid w:val="00B75A12"/>
    <w:rsid w:val="00B75A8F"/>
    <w:rsid w:val="00B75EB9"/>
    <w:rsid w:val="00B776FF"/>
    <w:rsid w:val="00B80200"/>
    <w:rsid w:val="00B805B5"/>
    <w:rsid w:val="00B80E68"/>
    <w:rsid w:val="00B81290"/>
    <w:rsid w:val="00B81845"/>
    <w:rsid w:val="00B82168"/>
    <w:rsid w:val="00B82385"/>
    <w:rsid w:val="00B82C1F"/>
    <w:rsid w:val="00B8361D"/>
    <w:rsid w:val="00B84174"/>
    <w:rsid w:val="00B843F3"/>
    <w:rsid w:val="00B8457F"/>
    <w:rsid w:val="00B84AB7"/>
    <w:rsid w:val="00B84C7C"/>
    <w:rsid w:val="00B84DA1"/>
    <w:rsid w:val="00B85888"/>
    <w:rsid w:val="00B86BA9"/>
    <w:rsid w:val="00B86BDF"/>
    <w:rsid w:val="00B86D45"/>
    <w:rsid w:val="00B8720F"/>
    <w:rsid w:val="00B87814"/>
    <w:rsid w:val="00B90D66"/>
    <w:rsid w:val="00B910D5"/>
    <w:rsid w:val="00B926BE"/>
    <w:rsid w:val="00B9282C"/>
    <w:rsid w:val="00B928B0"/>
    <w:rsid w:val="00B932F1"/>
    <w:rsid w:val="00B93922"/>
    <w:rsid w:val="00B9512D"/>
    <w:rsid w:val="00B963A1"/>
    <w:rsid w:val="00B96592"/>
    <w:rsid w:val="00B96999"/>
    <w:rsid w:val="00B969F9"/>
    <w:rsid w:val="00B97224"/>
    <w:rsid w:val="00B97230"/>
    <w:rsid w:val="00B9727A"/>
    <w:rsid w:val="00B9744C"/>
    <w:rsid w:val="00B978A6"/>
    <w:rsid w:val="00BA0AD6"/>
    <w:rsid w:val="00BA0D22"/>
    <w:rsid w:val="00BA1D27"/>
    <w:rsid w:val="00BA2069"/>
    <w:rsid w:val="00BA21BC"/>
    <w:rsid w:val="00BA2475"/>
    <w:rsid w:val="00BA2491"/>
    <w:rsid w:val="00BA2668"/>
    <w:rsid w:val="00BA47C8"/>
    <w:rsid w:val="00BA501A"/>
    <w:rsid w:val="00BA5508"/>
    <w:rsid w:val="00BA5C79"/>
    <w:rsid w:val="00BA5E2F"/>
    <w:rsid w:val="00BA649A"/>
    <w:rsid w:val="00BA6DF7"/>
    <w:rsid w:val="00BA70D9"/>
    <w:rsid w:val="00BA764B"/>
    <w:rsid w:val="00BA7BEC"/>
    <w:rsid w:val="00BB14CE"/>
    <w:rsid w:val="00BB1F0F"/>
    <w:rsid w:val="00BB2091"/>
    <w:rsid w:val="00BB298A"/>
    <w:rsid w:val="00BB333A"/>
    <w:rsid w:val="00BB3493"/>
    <w:rsid w:val="00BB3F37"/>
    <w:rsid w:val="00BB5353"/>
    <w:rsid w:val="00BB547B"/>
    <w:rsid w:val="00BB5644"/>
    <w:rsid w:val="00BB5FDE"/>
    <w:rsid w:val="00BB6283"/>
    <w:rsid w:val="00BB6AF9"/>
    <w:rsid w:val="00BB75AF"/>
    <w:rsid w:val="00BB7637"/>
    <w:rsid w:val="00BC01F5"/>
    <w:rsid w:val="00BC02E1"/>
    <w:rsid w:val="00BC1F02"/>
    <w:rsid w:val="00BC2A77"/>
    <w:rsid w:val="00BC2F25"/>
    <w:rsid w:val="00BC3328"/>
    <w:rsid w:val="00BC3524"/>
    <w:rsid w:val="00BC3608"/>
    <w:rsid w:val="00BC3665"/>
    <w:rsid w:val="00BC367D"/>
    <w:rsid w:val="00BC4492"/>
    <w:rsid w:val="00BC4C7B"/>
    <w:rsid w:val="00BC4D10"/>
    <w:rsid w:val="00BC4DBF"/>
    <w:rsid w:val="00BC61AB"/>
    <w:rsid w:val="00BC66A1"/>
    <w:rsid w:val="00BC67EA"/>
    <w:rsid w:val="00BC7268"/>
    <w:rsid w:val="00BC73AD"/>
    <w:rsid w:val="00BC769B"/>
    <w:rsid w:val="00BD047E"/>
    <w:rsid w:val="00BD1086"/>
    <w:rsid w:val="00BD1578"/>
    <w:rsid w:val="00BD1884"/>
    <w:rsid w:val="00BD18FF"/>
    <w:rsid w:val="00BD1BD4"/>
    <w:rsid w:val="00BD1C13"/>
    <w:rsid w:val="00BD1D03"/>
    <w:rsid w:val="00BD1DCE"/>
    <w:rsid w:val="00BD3999"/>
    <w:rsid w:val="00BD3D6A"/>
    <w:rsid w:val="00BD4FE3"/>
    <w:rsid w:val="00BD4FFE"/>
    <w:rsid w:val="00BD5180"/>
    <w:rsid w:val="00BD5453"/>
    <w:rsid w:val="00BD548B"/>
    <w:rsid w:val="00BD573F"/>
    <w:rsid w:val="00BD578A"/>
    <w:rsid w:val="00BD5D12"/>
    <w:rsid w:val="00BD6054"/>
    <w:rsid w:val="00BD6658"/>
    <w:rsid w:val="00BD6F7E"/>
    <w:rsid w:val="00BD7BE5"/>
    <w:rsid w:val="00BE0332"/>
    <w:rsid w:val="00BE0D9F"/>
    <w:rsid w:val="00BE196B"/>
    <w:rsid w:val="00BE30DB"/>
    <w:rsid w:val="00BE33EE"/>
    <w:rsid w:val="00BE38D4"/>
    <w:rsid w:val="00BE3AEC"/>
    <w:rsid w:val="00BE431A"/>
    <w:rsid w:val="00BE45B0"/>
    <w:rsid w:val="00BE5455"/>
    <w:rsid w:val="00BE6318"/>
    <w:rsid w:val="00BE67F1"/>
    <w:rsid w:val="00BE6B8E"/>
    <w:rsid w:val="00BE73DC"/>
    <w:rsid w:val="00BF003E"/>
    <w:rsid w:val="00BF0B85"/>
    <w:rsid w:val="00BF1C75"/>
    <w:rsid w:val="00BF2874"/>
    <w:rsid w:val="00BF29A4"/>
    <w:rsid w:val="00BF40A0"/>
    <w:rsid w:val="00BF4126"/>
    <w:rsid w:val="00BF4CBD"/>
    <w:rsid w:val="00BF5368"/>
    <w:rsid w:val="00BF570B"/>
    <w:rsid w:val="00BF5EBF"/>
    <w:rsid w:val="00BF5F42"/>
    <w:rsid w:val="00BF6E69"/>
    <w:rsid w:val="00C0027A"/>
    <w:rsid w:val="00C00F3B"/>
    <w:rsid w:val="00C015EE"/>
    <w:rsid w:val="00C0172A"/>
    <w:rsid w:val="00C01EC3"/>
    <w:rsid w:val="00C01EC5"/>
    <w:rsid w:val="00C0274A"/>
    <w:rsid w:val="00C02C0F"/>
    <w:rsid w:val="00C03366"/>
    <w:rsid w:val="00C042A3"/>
    <w:rsid w:val="00C042C9"/>
    <w:rsid w:val="00C04A29"/>
    <w:rsid w:val="00C05201"/>
    <w:rsid w:val="00C052A1"/>
    <w:rsid w:val="00C057C6"/>
    <w:rsid w:val="00C058F1"/>
    <w:rsid w:val="00C05A4F"/>
    <w:rsid w:val="00C0617C"/>
    <w:rsid w:val="00C06202"/>
    <w:rsid w:val="00C0685E"/>
    <w:rsid w:val="00C07371"/>
    <w:rsid w:val="00C0767F"/>
    <w:rsid w:val="00C078BE"/>
    <w:rsid w:val="00C07A89"/>
    <w:rsid w:val="00C07BAF"/>
    <w:rsid w:val="00C07E92"/>
    <w:rsid w:val="00C10E99"/>
    <w:rsid w:val="00C11615"/>
    <w:rsid w:val="00C11A83"/>
    <w:rsid w:val="00C11F46"/>
    <w:rsid w:val="00C12B62"/>
    <w:rsid w:val="00C1331E"/>
    <w:rsid w:val="00C13458"/>
    <w:rsid w:val="00C1375A"/>
    <w:rsid w:val="00C13F1F"/>
    <w:rsid w:val="00C13FD2"/>
    <w:rsid w:val="00C14394"/>
    <w:rsid w:val="00C14BB6"/>
    <w:rsid w:val="00C14EAF"/>
    <w:rsid w:val="00C15502"/>
    <w:rsid w:val="00C1582A"/>
    <w:rsid w:val="00C1591B"/>
    <w:rsid w:val="00C16900"/>
    <w:rsid w:val="00C16F3F"/>
    <w:rsid w:val="00C171F8"/>
    <w:rsid w:val="00C174F9"/>
    <w:rsid w:val="00C17AF9"/>
    <w:rsid w:val="00C17E6C"/>
    <w:rsid w:val="00C20246"/>
    <w:rsid w:val="00C2027B"/>
    <w:rsid w:val="00C20532"/>
    <w:rsid w:val="00C2093A"/>
    <w:rsid w:val="00C20D3F"/>
    <w:rsid w:val="00C21604"/>
    <w:rsid w:val="00C217BD"/>
    <w:rsid w:val="00C22149"/>
    <w:rsid w:val="00C223E9"/>
    <w:rsid w:val="00C22A3D"/>
    <w:rsid w:val="00C22A43"/>
    <w:rsid w:val="00C232AF"/>
    <w:rsid w:val="00C234D1"/>
    <w:rsid w:val="00C23740"/>
    <w:rsid w:val="00C23B69"/>
    <w:rsid w:val="00C248BA"/>
    <w:rsid w:val="00C25AE6"/>
    <w:rsid w:val="00C26E93"/>
    <w:rsid w:val="00C26EA2"/>
    <w:rsid w:val="00C27633"/>
    <w:rsid w:val="00C27CBF"/>
    <w:rsid w:val="00C27FF9"/>
    <w:rsid w:val="00C30306"/>
    <w:rsid w:val="00C30871"/>
    <w:rsid w:val="00C314E3"/>
    <w:rsid w:val="00C3196F"/>
    <w:rsid w:val="00C335BE"/>
    <w:rsid w:val="00C339BD"/>
    <w:rsid w:val="00C33E7E"/>
    <w:rsid w:val="00C3442C"/>
    <w:rsid w:val="00C34DE4"/>
    <w:rsid w:val="00C34FD6"/>
    <w:rsid w:val="00C36239"/>
    <w:rsid w:val="00C36DF8"/>
    <w:rsid w:val="00C36E9B"/>
    <w:rsid w:val="00C37580"/>
    <w:rsid w:val="00C37827"/>
    <w:rsid w:val="00C3788D"/>
    <w:rsid w:val="00C37936"/>
    <w:rsid w:val="00C37A44"/>
    <w:rsid w:val="00C40EF2"/>
    <w:rsid w:val="00C41393"/>
    <w:rsid w:val="00C4175E"/>
    <w:rsid w:val="00C417BD"/>
    <w:rsid w:val="00C41D1E"/>
    <w:rsid w:val="00C43832"/>
    <w:rsid w:val="00C4429B"/>
    <w:rsid w:val="00C442D8"/>
    <w:rsid w:val="00C44C90"/>
    <w:rsid w:val="00C45744"/>
    <w:rsid w:val="00C45B2C"/>
    <w:rsid w:val="00C469A0"/>
    <w:rsid w:val="00C46BDE"/>
    <w:rsid w:val="00C470BA"/>
    <w:rsid w:val="00C47552"/>
    <w:rsid w:val="00C5020F"/>
    <w:rsid w:val="00C5050D"/>
    <w:rsid w:val="00C5053A"/>
    <w:rsid w:val="00C50C9F"/>
    <w:rsid w:val="00C5161D"/>
    <w:rsid w:val="00C51B8D"/>
    <w:rsid w:val="00C51DF8"/>
    <w:rsid w:val="00C52631"/>
    <w:rsid w:val="00C52E48"/>
    <w:rsid w:val="00C531DE"/>
    <w:rsid w:val="00C5320E"/>
    <w:rsid w:val="00C535D8"/>
    <w:rsid w:val="00C537C7"/>
    <w:rsid w:val="00C538DD"/>
    <w:rsid w:val="00C538FF"/>
    <w:rsid w:val="00C53FC8"/>
    <w:rsid w:val="00C547F6"/>
    <w:rsid w:val="00C54DE8"/>
    <w:rsid w:val="00C54E89"/>
    <w:rsid w:val="00C5730E"/>
    <w:rsid w:val="00C57DF7"/>
    <w:rsid w:val="00C607D4"/>
    <w:rsid w:val="00C612DC"/>
    <w:rsid w:val="00C6177A"/>
    <w:rsid w:val="00C6190C"/>
    <w:rsid w:val="00C61CD8"/>
    <w:rsid w:val="00C62169"/>
    <w:rsid w:val="00C639EB"/>
    <w:rsid w:val="00C63CD2"/>
    <w:rsid w:val="00C64614"/>
    <w:rsid w:val="00C64BEC"/>
    <w:rsid w:val="00C6512A"/>
    <w:rsid w:val="00C6549F"/>
    <w:rsid w:val="00C65578"/>
    <w:rsid w:val="00C65E24"/>
    <w:rsid w:val="00C661A6"/>
    <w:rsid w:val="00C66E33"/>
    <w:rsid w:val="00C67682"/>
    <w:rsid w:val="00C67F53"/>
    <w:rsid w:val="00C70251"/>
    <w:rsid w:val="00C70C10"/>
    <w:rsid w:val="00C72048"/>
    <w:rsid w:val="00C73495"/>
    <w:rsid w:val="00C74598"/>
    <w:rsid w:val="00C74DD5"/>
    <w:rsid w:val="00C75FC0"/>
    <w:rsid w:val="00C762D8"/>
    <w:rsid w:val="00C764AE"/>
    <w:rsid w:val="00C767CC"/>
    <w:rsid w:val="00C7722C"/>
    <w:rsid w:val="00C773B8"/>
    <w:rsid w:val="00C77F52"/>
    <w:rsid w:val="00C80CB6"/>
    <w:rsid w:val="00C80E7F"/>
    <w:rsid w:val="00C80EB4"/>
    <w:rsid w:val="00C81697"/>
    <w:rsid w:val="00C8174B"/>
    <w:rsid w:val="00C81797"/>
    <w:rsid w:val="00C8247B"/>
    <w:rsid w:val="00C82944"/>
    <w:rsid w:val="00C82D9B"/>
    <w:rsid w:val="00C83275"/>
    <w:rsid w:val="00C853C9"/>
    <w:rsid w:val="00C8616F"/>
    <w:rsid w:val="00C867EE"/>
    <w:rsid w:val="00C86C05"/>
    <w:rsid w:val="00C87CFA"/>
    <w:rsid w:val="00C87F02"/>
    <w:rsid w:val="00C908F0"/>
    <w:rsid w:val="00C90D41"/>
    <w:rsid w:val="00C915C1"/>
    <w:rsid w:val="00C9188B"/>
    <w:rsid w:val="00C91AA3"/>
    <w:rsid w:val="00C91D72"/>
    <w:rsid w:val="00C91EF9"/>
    <w:rsid w:val="00C93F5E"/>
    <w:rsid w:val="00C94006"/>
    <w:rsid w:val="00C941CD"/>
    <w:rsid w:val="00C94ABA"/>
    <w:rsid w:val="00C94D0C"/>
    <w:rsid w:val="00C9598A"/>
    <w:rsid w:val="00C96087"/>
    <w:rsid w:val="00C96FAE"/>
    <w:rsid w:val="00C972EA"/>
    <w:rsid w:val="00C976D6"/>
    <w:rsid w:val="00C9779B"/>
    <w:rsid w:val="00C97C2F"/>
    <w:rsid w:val="00CA0469"/>
    <w:rsid w:val="00CA148C"/>
    <w:rsid w:val="00CA2136"/>
    <w:rsid w:val="00CA228F"/>
    <w:rsid w:val="00CA25E6"/>
    <w:rsid w:val="00CA29DA"/>
    <w:rsid w:val="00CA3592"/>
    <w:rsid w:val="00CA3719"/>
    <w:rsid w:val="00CA4020"/>
    <w:rsid w:val="00CA4ABB"/>
    <w:rsid w:val="00CA52B5"/>
    <w:rsid w:val="00CA5623"/>
    <w:rsid w:val="00CA5CBB"/>
    <w:rsid w:val="00CA6237"/>
    <w:rsid w:val="00CA693B"/>
    <w:rsid w:val="00CA6C3B"/>
    <w:rsid w:val="00CA7446"/>
    <w:rsid w:val="00CA7EB7"/>
    <w:rsid w:val="00CB0347"/>
    <w:rsid w:val="00CB15E5"/>
    <w:rsid w:val="00CB1E98"/>
    <w:rsid w:val="00CB22F0"/>
    <w:rsid w:val="00CB35DD"/>
    <w:rsid w:val="00CB37F5"/>
    <w:rsid w:val="00CB4196"/>
    <w:rsid w:val="00CB4888"/>
    <w:rsid w:val="00CB4D8F"/>
    <w:rsid w:val="00CB56C2"/>
    <w:rsid w:val="00CB5A5D"/>
    <w:rsid w:val="00CB6159"/>
    <w:rsid w:val="00CB61E8"/>
    <w:rsid w:val="00CB6DB9"/>
    <w:rsid w:val="00CB6E7C"/>
    <w:rsid w:val="00CB7663"/>
    <w:rsid w:val="00CC0153"/>
    <w:rsid w:val="00CC0DC8"/>
    <w:rsid w:val="00CC0F8B"/>
    <w:rsid w:val="00CC132E"/>
    <w:rsid w:val="00CC195A"/>
    <w:rsid w:val="00CC1BFB"/>
    <w:rsid w:val="00CC2D59"/>
    <w:rsid w:val="00CC2D90"/>
    <w:rsid w:val="00CC2E4B"/>
    <w:rsid w:val="00CC31AE"/>
    <w:rsid w:val="00CC4406"/>
    <w:rsid w:val="00CC55E3"/>
    <w:rsid w:val="00CC5EFD"/>
    <w:rsid w:val="00CC6D3B"/>
    <w:rsid w:val="00CC6D85"/>
    <w:rsid w:val="00CC7362"/>
    <w:rsid w:val="00CC744D"/>
    <w:rsid w:val="00CC747B"/>
    <w:rsid w:val="00CC76E6"/>
    <w:rsid w:val="00CD0CBD"/>
    <w:rsid w:val="00CD16F0"/>
    <w:rsid w:val="00CD1904"/>
    <w:rsid w:val="00CD1942"/>
    <w:rsid w:val="00CD1C5D"/>
    <w:rsid w:val="00CD22BA"/>
    <w:rsid w:val="00CD272C"/>
    <w:rsid w:val="00CD2B71"/>
    <w:rsid w:val="00CD3715"/>
    <w:rsid w:val="00CD4B9E"/>
    <w:rsid w:val="00CD4F15"/>
    <w:rsid w:val="00CD5BD4"/>
    <w:rsid w:val="00CD5CE3"/>
    <w:rsid w:val="00CD5F1C"/>
    <w:rsid w:val="00CD6AB9"/>
    <w:rsid w:val="00CD6D25"/>
    <w:rsid w:val="00CD705B"/>
    <w:rsid w:val="00CD724F"/>
    <w:rsid w:val="00CD7284"/>
    <w:rsid w:val="00CD7CB0"/>
    <w:rsid w:val="00CE04CC"/>
    <w:rsid w:val="00CE0667"/>
    <w:rsid w:val="00CE091F"/>
    <w:rsid w:val="00CE0F7A"/>
    <w:rsid w:val="00CE2FFF"/>
    <w:rsid w:val="00CE3045"/>
    <w:rsid w:val="00CE3373"/>
    <w:rsid w:val="00CE3849"/>
    <w:rsid w:val="00CE3C74"/>
    <w:rsid w:val="00CE431A"/>
    <w:rsid w:val="00CE5187"/>
    <w:rsid w:val="00CE52E1"/>
    <w:rsid w:val="00CE58A8"/>
    <w:rsid w:val="00CE6347"/>
    <w:rsid w:val="00CE6390"/>
    <w:rsid w:val="00CE6C09"/>
    <w:rsid w:val="00CE6D91"/>
    <w:rsid w:val="00CE6F99"/>
    <w:rsid w:val="00CE7362"/>
    <w:rsid w:val="00CE7647"/>
    <w:rsid w:val="00CE77EE"/>
    <w:rsid w:val="00CF084B"/>
    <w:rsid w:val="00CF0A25"/>
    <w:rsid w:val="00CF0B23"/>
    <w:rsid w:val="00CF1E3E"/>
    <w:rsid w:val="00CF22D0"/>
    <w:rsid w:val="00CF29A0"/>
    <w:rsid w:val="00CF2E1A"/>
    <w:rsid w:val="00CF3458"/>
    <w:rsid w:val="00CF3670"/>
    <w:rsid w:val="00CF3AB3"/>
    <w:rsid w:val="00CF49B2"/>
    <w:rsid w:val="00CF5178"/>
    <w:rsid w:val="00CF5C0E"/>
    <w:rsid w:val="00CF611B"/>
    <w:rsid w:val="00CF62BB"/>
    <w:rsid w:val="00CF673A"/>
    <w:rsid w:val="00CF7444"/>
    <w:rsid w:val="00CF74B3"/>
    <w:rsid w:val="00D00429"/>
    <w:rsid w:val="00D0171B"/>
    <w:rsid w:val="00D01D20"/>
    <w:rsid w:val="00D01E26"/>
    <w:rsid w:val="00D0204D"/>
    <w:rsid w:val="00D022B5"/>
    <w:rsid w:val="00D029AB"/>
    <w:rsid w:val="00D02D15"/>
    <w:rsid w:val="00D03712"/>
    <w:rsid w:val="00D03CA9"/>
    <w:rsid w:val="00D0405C"/>
    <w:rsid w:val="00D04163"/>
    <w:rsid w:val="00D0447E"/>
    <w:rsid w:val="00D0499E"/>
    <w:rsid w:val="00D04DCA"/>
    <w:rsid w:val="00D05690"/>
    <w:rsid w:val="00D05D66"/>
    <w:rsid w:val="00D104F1"/>
    <w:rsid w:val="00D109FA"/>
    <w:rsid w:val="00D111D4"/>
    <w:rsid w:val="00D115DE"/>
    <w:rsid w:val="00D1189A"/>
    <w:rsid w:val="00D12166"/>
    <w:rsid w:val="00D12483"/>
    <w:rsid w:val="00D1344A"/>
    <w:rsid w:val="00D136A1"/>
    <w:rsid w:val="00D13816"/>
    <w:rsid w:val="00D13A11"/>
    <w:rsid w:val="00D13D54"/>
    <w:rsid w:val="00D13FF4"/>
    <w:rsid w:val="00D15234"/>
    <w:rsid w:val="00D1608E"/>
    <w:rsid w:val="00D16156"/>
    <w:rsid w:val="00D16396"/>
    <w:rsid w:val="00D1673A"/>
    <w:rsid w:val="00D16826"/>
    <w:rsid w:val="00D16CFD"/>
    <w:rsid w:val="00D16EBD"/>
    <w:rsid w:val="00D17809"/>
    <w:rsid w:val="00D179B3"/>
    <w:rsid w:val="00D17A92"/>
    <w:rsid w:val="00D20204"/>
    <w:rsid w:val="00D2054A"/>
    <w:rsid w:val="00D207D8"/>
    <w:rsid w:val="00D20B8C"/>
    <w:rsid w:val="00D21143"/>
    <w:rsid w:val="00D2133E"/>
    <w:rsid w:val="00D213B4"/>
    <w:rsid w:val="00D2151B"/>
    <w:rsid w:val="00D216E4"/>
    <w:rsid w:val="00D21795"/>
    <w:rsid w:val="00D219C2"/>
    <w:rsid w:val="00D21B2F"/>
    <w:rsid w:val="00D21E91"/>
    <w:rsid w:val="00D221D1"/>
    <w:rsid w:val="00D224FF"/>
    <w:rsid w:val="00D22E68"/>
    <w:rsid w:val="00D233F4"/>
    <w:rsid w:val="00D23774"/>
    <w:rsid w:val="00D23DC0"/>
    <w:rsid w:val="00D24260"/>
    <w:rsid w:val="00D24806"/>
    <w:rsid w:val="00D24F23"/>
    <w:rsid w:val="00D25DF5"/>
    <w:rsid w:val="00D25EB5"/>
    <w:rsid w:val="00D25F8E"/>
    <w:rsid w:val="00D269D4"/>
    <w:rsid w:val="00D26F3B"/>
    <w:rsid w:val="00D27136"/>
    <w:rsid w:val="00D27496"/>
    <w:rsid w:val="00D30370"/>
    <w:rsid w:val="00D30D8F"/>
    <w:rsid w:val="00D31793"/>
    <w:rsid w:val="00D319BD"/>
    <w:rsid w:val="00D326DE"/>
    <w:rsid w:val="00D3279F"/>
    <w:rsid w:val="00D329FF"/>
    <w:rsid w:val="00D32A21"/>
    <w:rsid w:val="00D332C6"/>
    <w:rsid w:val="00D334F0"/>
    <w:rsid w:val="00D33600"/>
    <w:rsid w:val="00D337EA"/>
    <w:rsid w:val="00D34CCD"/>
    <w:rsid w:val="00D34D61"/>
    <w:rsid w:val="00D35BD8"/>
    <w:rsid w:val="00D35D4C"/>
    <w:rsid w:val="00D361D3"/>
    <w:rsid w:val="00D36B7A"/>
    <w:rsid w:val="00D37C1D"/>
    <w:rsid w:val="00D4032B"/>
    <w:rsid w:val="00D40740"/>
    <w:rsid w:val="00D410C8"/>
    <w:rsid w:val="00D414E6"/>
    <w:rsid w:val="00D42206"/>
    <w:rsid w:val="00D430EE"/>
    <w:rsid w:val="00D435C5"/>
    <w:rsid w:val="00D437D0"/>
    <w:rsid w:val="00D43B43"/>
    <w:rsid w:val="00D43C27"/>
    <w:rsid w:val="00D43D74"/>
    <w:rsid w:val="00D43DA7"/>
    <w:rsid w:val="00D440AD"/>
    <w:rsid w:val="00D4446A"/>
    <w:rsid w:val="00D455AF"/>
    <w:rsid w:val="00D45B65"/>
    <w:rsid w:val="00D4600A"/>
    <w:rsid w:val="00D4638F"/>
    <w:rsid w:val="00D4662F"/>
    <w:rsid w:val="00D47296"/>
    <w:rsid w:val="00D47B83"/>
    <w:rsid w:val="00D501DD"/>
    <w:rsid w:val="00D50267"/>
    <w:rsid w:val="00D50C4D"/>
    <w:rsid w:val="00D54010"/>
    <w:rsid w:val="00D54343"/>
    <w:rsid w:val="00D54539"/>
    <w:rsid w:val="00D54E52"/>
    <w:rsid w:val="00D54ED4"/>
    <w:rsid w:val="00D5501C"/>
    <w:rsid w:val="00D55C69"/>
    <w:rsid w:val="00D561BA"/>
    <w:rsid w:val="00D56354"/>
    <w:rsid w:val="00D56659"/>
    <w:rsid w:val="00D56A64"/>
    <w:rsid w:val="00D56D51"/>
    <w:rsid w:val="00D570E6"/>
    <w:rsid w:val="00D60B55"/>
    <w:rsid w:val="00D621D8"/>
    <w:rsid w:val="00D62478"/>
    <w:rsid w:val="00D626AA"/>
    <w:rsid w:val="00D62C2A"/>
    <w:rsid w:val="00D62F9D"/>
    <w:rsid w:val="00D640F4"/>
    <w:rsid w:val="00D64AC7"/>
    <w:rsid w:val="00D652E3"/>
    <w:rsid w:val="00D65304"/>
    <w:rsid w:val="00D65444"/>
    <w:rsid w:val="00D65C15"/>
    <w:rsid w:val="00D65D03"/>
    <w:rsid w:val="00D664FF"/>
    <w:rsid w:val="00D6690F"/>
    <w:rsid w:val="00D70C79"/>
    <w:rsid w:val="00D70D4F"/>
    <w:rsid w:val="00D70F79"/>
    <w:rsid w:val="00D71445"/>
    <w:rsid w:val="00D7161B"/>
    <w:rsid w:val="00D72FB3"/>
    <w:rsid w:val="00D7300A"/>
    <w:rsid w:val="00D7313D"/>
    <w:rsid w:val="00D7354C"/>
    <w:rsid w:val="00D73D1D"/>
    <w:rsid w:val="00D74198"/>
    <w:rsid w:val="00D74E4F"/>
    <w:rsid w:val="00D74EF2"/>
    <w:rsid w:val="00D74F07"/>
    <w:rsid w:val="00D751C2"/>
    <w:rsid w:val="00D756EE"/>
    <w:rsid w:val="00D75C46"/>
    <w:rsid w:val="00D762BC"/>
    <w:rsid w:val="00D7658C"/>
    <w:rsid w:val="00D769F1"/>
    <w:rsid w:val="00D77313"/>
    <w:rsid w:val="00D80915"/>
    <w:rsid w:val="00D80A26"/>
    <w:rsid w:val="00D80AD3"/>
    <w:rsid w:val="00D81623"/>
    <w:rsid w:val="00D82117"/>
    <w:rsid w:val="00D839E4"/>
    <w:rsid w:val="00D83DCB"/>
    <w:rsid w:val="00D84189"/>
    <w:rsid w:val="00D843C0"/>
    <w:rsid w:val="00D845DB"/>
    <w:rsid w:val="00D849C9"/>
    <w:rsid w:val="00D858DF"/>
    <w:rsid w:val="00D859D7"/>
    <w:rsid w:val="00D85A8A"/>
    <w:rsid w:val="00D85D93"/>
    <w:rsid w:val="00D85F91"/>
    <w:rsid w:val="00D86468"/>
    <w:rsid w:val="00D8776C"/>
    <w:rsid w:val="00D90082"/>
    <w:rsid w:val="00D90CF3"/>
    <w:rsid w:val="00D91158"/>
    <w:rsid w:val="00D9173D"/>
    <w:rsid w:val="00D9197E"/>
    <w:rsid w:val="00D91EDD"/>
    <w:rsid w:val="00D92697"/>
    <w:rsid w:val="00D92CD7"/>
    <w:rsid w:val="00D9314F"/>
    <w:rsid w:val="00D93386"/>
    <w:rsid w:val="00D93743"/>
    <w:rsid w:val="00D93884"/>
    <w:rsid w:val="00D94744"/>
    <w:rsid w:val="00D954F0"/>
    <w:rsid w:val="00D957E0"/>
    <w:rsid w:val="00D96EBE"/>
    <w:rsid w:val="00D975CF"/>
    <w:rsid w:val="00D97C6E"/>
    <w:rsid w:val="00DA0309"/>
    <w:rsid w:val="00DA0596"/>
    <w:rsid w:val="00DA0C2B"/>
    <w:rsid w:val="00DA103A"/>
    <w:rsid w:val="00DA1089"/>
    <w:rsid w:val="00DA10E1"/>
    <w:rsid w:val="00DA1584"/>
    <w:rsid w:val="00DA2654"/>
    <w:rsid w:val="00DA3912"/>
    <w:rsid w:val="00DA3B01"/>
    <w:rsid w:val="00DA3B50"/>
    <w:rsid w:val="00DA3D09"/>
    <w:rsid w:val="00DA4E0E"/>
    <w:rsid w:val="00DA5038"/>
    <w:rsid w:val="00DA767C"/>
    <w:rsid w:val="00DA7914"/>
    <w:rsid w:val="00DA7DFA"/>
    <w:rsid w:val="00DB011F"/>
    <w:rsid w:val="00DB09D6"/>
    <w:rsid w:val="00DB0B99"/>
    <w:rsid w:val="00DB1038"/>
    <w:rsid w:val="00DB20F3"/>
    <w:rsid w:val="00DB23AD"/>
    <w:rsid w:val="00DB254B"/>
    <w:rsid w:val="00DB2753"/>
    <w:rsid w:val="00DB28BB"/>
    <w:rsid w:val="00DB3120"/>
    <w:rsid w:val="00DB3965"/>
    <w:rsid w:val="00DB39A1"/>
    <w:rsid w:val="00DB3B6E"/>
    <w:rsid w:val="00DB41CD"/>
    <w:rsid w:val="00DB4888"/>
    <w:rsid w:val="00DB5F40"/>
    <w:rsid w:val="00DB6376"/>
    <w:rsid w:val="00DB65D7"/>
    <w:rsid w:val="00DB6790"/>
    <w:rsid w:val="00DB6E1A"/>
    <w:rsid w:val="00DB715A"/>
    <w:rsid w:val="00DB72E8"/>
    <w:rsid w:val="00DB7731"/>
    <w:rsid w:val="00DC1398"/>
    <w:rsid w:val="00DC14BD"/>
    <w:rsid w:val="00DC2C48"/>
    <w:rsid w:val="00DC30B4"/>
    <w:rsid w:val="00DC39E2"/>
    <w:rsid w:val="00DC3A6B"/>
    <w:rsid w:val="00DC3D36"/>
    <w:rsid w:val="00DC560C"/>
    <w:rsid w:val="00DC5798"/>
    <w:rsid w:val="00DC5C4B"/>
    <w:rsid w:val="00DC5EEF"/>
    <w:rsid w:val="00DC65CF"/>
    <w:rsid w:val="00DC6CF0"/>
    <w:rsid w:val="00DC7192"/>
    <w:rsid w:val="00DC740B"/>
    <w:rsid w:val="00DC76B3"/>
    <w:rsid w:val="00DC7823"/>
    <w:rsid w:val="00DC7C0B"/>
    <w:rsid w:val="00DD01DA"/>
    <w:rsid w:val="00DD1084"/>
    <w:rsid w:val="00DD18AC"/>
    <w:rsid w:val="00DD1951"/>
    <w:rsid w:val="00DD260D"/>
    <w:rsid w:val="00DD31D4"/>
    <w:rsid w:val="00DD33F7"/>
    <w:rsid w:val="00DD36B9"/>
    <w:rsid w:val="00DD3CBC"/>
    <w:rsid w:val="00DD435E"/>
    <w:rsid w:val="00DD46FA"/>
    <w:rsid w:val="00DD478D"/>
    <w:rsid w:val="00DD4A59"/>
    <w:rsid w:val="00DD4B14"/>
    <w:rsid w:val="00DD4DF3"/>
    <w:rsid w:val="00DD60B3"/>
    <w:rsid w:val="00DD675F"/>
    <w:rsid w:val="00DD6C5D"/>
    <w:rsid w:val="00DD79DB"/>
    <w:rsid w:val="00DD7E8D"/>
    <w:rsid w:val="00DE00A0"/>
    <w:rsid w:val="00DE030E"/>
    <w:rsid w:val="00DE068D"/>
    <w:rsid w:val="00DE07BF"/>
    <w:rsid w:val="00DE2636"/>
    <w:rsid w:val="00DE3471"/>
    <w:rsid w:val="00DE3903"/>
    <w:rsid w:val="00DE42F6"/>
    <w:rsid w:val="00DE49AA"/>
    <w:rsid w:val="00DE4B07"/>
    <w:rsid w:val="00DE4BB9"/>
    <w:rsid w:val="00DE591E"/>
    <w:rsid w:val="00DE5DCF"/>
    <w:rsid w:val="00DE6802"/>
    <w:rsid w:val="00DE6986"/>
    <w:rsid w:val="00DE705D"/>
    <w:rsid w:val="00DF00E5"/>
    <w:rsid w:val="00DF069B"/>
    <w:rsid w:val="00DF1014"/>
    <w:rsid w:val="00DF1810"/>
    <w:rsid w:val="00DF1A7B"/>
    <w:rsid w:val="00DF1C99"/>
    <w:rsid w:val="00DF1D04"/>
    <w:rsid w:val="00DF1FA8"/>
    <w:rsid w:val="00DF225B"/>
    <w:rsid w:val="00DF22CD"/>
    <w:rsid w:val="00DF243B"/>
    <w:rsid w:val="00DF3443"/>
    <w:rsid w:val="00DF50B3"/>
    <w:rsid w:val="00DF5462"/>
    <w:rsid w:val="00DF5B3E"/>
    <w:rsid w:val="00DF5EBC"/>
    <w:rsid w:val="00DF6196"/>
    <w:rsid w:val="00DF6700"/>
    <w:rsid w:val="00DF6CCD"/>
    <w:rsid w:val="00DF7382"/>
    <w:rsid w:val="00DF7ABD"/>
    <w:rsid w:val="00E00A48"/>
    <w:rsid w:val="00E00E33"/>
    <w:rsid w:val="00E02199"/>
    <w:rsid w:val="00E02610"/>
    <w:rsid w:val="00E0344E"/>
    <w:rsid w:val="00E036B5"/>
    <w:rsid w:val="00E0373A"/>
    <w:rsid w:val="00E04CB2"/>
    <w:rsid w:val="00E051C8"/>
    <w:rsid w:val="00E05F65"/>
    <w:rsid w:val="00E065A1"/>
    <w:rsid w:val="00E06BA2"/>
    <w:rsid w:val="00E0709B"/>
    <w:rsid w:val="00E0764C"/>
    <w:rsid w:val="00E0771E"/>
    <w:rsid w:val="00E1002B"/>
    <w:rsid w:val="00E1041B"/>
    <w:rsid w:val="00E1055E"/>
    <w:rsid w:val="00E1070B"/>
    <w:rsid w:val="00E107AD"/>
    <w:rsid w:val="00E10E5F"/>
    <w:rsid w:val="00E10F33"/>
    <w:rsid w:val="00E11042"/>
    <w:rsid w:val="00E11273"/>
    <w:rsid w:val="00E11DD7"/>
    <w:rsid w:val="00E121E9"/>
    <w:rsid w:val="00E12285"/>
    <w:rsid w:val="00E122F3"/>
    <w:rsid w:val="00E124CA"/>
    <w:rsid w:val="00E124D1"/>
    <w:rsid w:val="00E12E3A"/>
    <w:rsid w:val="00E12FDF"/>
    <w:rsid w:val="00E13088"/>
    <w:rsid w:val="00E13872"/>
    <w:rsid w:val="00E138F4"/>
    <w:rsid w:val="00E1427F"/>
    <w:rsid w:val="00E1535F"/>
    <w:rsid w:val="00E15403"/>
    <w:rsid w:val="00E15D4E"/>
    <w:rsid w:val="00E16902"/>
    <w:rsid w:val="00E16CBF"/>
    <w:rsid w:val="00E17FFD"/>
    <w:rsid w:val="00E21447"/>
    <w:rsid w:val="00E2144D"/>
    <w:rsid w:val="00E2164A"/>
    <w:rsid w:val="00E22202"/>
    <w:rsid w:val="00E22388"/>
    <w:rsid w:val="00E22592"/>
    <w:rsid w:val="00E227DA"/>
    <w:rsid w:val="00E22EBF"/>
    <w:rsid w:val="00E2394E"/>
    <w:rsid w:val="00E23E86"/>
    <w:rsid w:val="00E24674"/>
    <w:rsid w:val="00E25D2B"/>
    <w:rsid w:val="00E2660C"/>
    <w:rsid w:val="00E266B8"/>
    <w:rsid w:val="00E27FC6"/>
    <w:rsid w:val="00E3003E"/>
    <w:rsid w:val="00E30458"/>
    <w:rsid w:val="00E314E6"/>
    <w:rsid w:val="00E315E4"/>
    <w:rsid w:val="00E32DD7"/>
    <w:rsid w:val="00E33032"/>
    <w:rsid w:val="00E348D9"/>
    <w:rsid w:val="00E34BE5"/>
    <w:rsid w:val="00E3587F"/>
    <w:rsid w:val="00E358D8"/>
    <w:rsid w:val="00E35B18"/>
    <w:rsid w:val="00E35EFC"/>
    <w:rsid w:val="00E36252"/>
    <w:rsid w:val="00E369D1"/>
    <w:rsid w:val="00E3754B"/>
    <w:rsid w:val="00E37678"/>
    <w:rsid w:val="00E37F52"/>
    <w:rsid w:val="00E40014"/>
    <w:rsid w:val="00E40C99"/>
    <w:rsid w:val="00E418C3"/>
    <w:rsid w:val="00E41CBE"/>
    <w:rsid w:val="00E41CDB"/>
    <w:rsid w:val="00E41DE8"/>
    <w:rsid w:val="00E42249"/>
    <w:rsid w:val="00E43300"/>
    <w:rsid w:val="00E43CA3"/>
    <w:rsid w:val="00E44144"/>
    <w:rsid w:val="00E4487D"/>
    <w:rsid w:val="00E44CF6"/>
    <w:rsid w:val="00E45502"/>
    <w:rsid w:val="00E455CC"/>
    <w:rsid w:val="00E45B40"/>
    <w:rsid w:val="00E46228"/>
    <w:rsid w:val="00E47235"/>
    <w:rsid w:val="00E47721"/>
    <w:rsid w:val="00E479E2"/>
    <w:rsid w:val="00E47CAB"/>
    <w:rsid w:val="00E5013B"/>
    <w:rsid w:val="00E503BF"/>
    <w:rsid w:val="00E51D43"/>
    <w:rsid w:val="00E51F02"/>
    <w:rsid w:val="00E52A3E"/>
    <w:rsid w:val="00E52C8B"/>
    <w:rsid w:val="00E52F84"/>
    <w:rsid w:val="00E5346D"/>
    <w:rsid w:val="00E53A52"/>
    <w:rsid w:val="00E53A85"/>
    <w:rsid w:val="00E541C6"/>
    <w:rsid w:val="00E54B89"/>
    <w:rsid w:val="00E55266"/>
    <w:rsid w:val="00E55D91"/>
    <w:rsid w:val="00E568BA"/>
    <w:rsid w:val="00E5697B"/>
    <w:rsid w:val="00E56BC5"/>
    <w:rsid w:val="00E56D31"/>
    <w:rsid w:val="00E575C8"/>
    <w:rsid w:val="00E57DCC"/>
    <w:rsid w:val="00E600DD"/>
    <w:rsid w:val="00E60541"/>
    <w:rsid w:val="00E6092E"/>
    <w:rsid w:val="00E60EBB"/>
    <w:rsid w:val="00E612AE"/>
    <w:rsid w:val="00E62025"/>
    <w:rsid w:val="00E6213F"/>
    <w:rsid w:val="00E62E54"/>
    <w:rsid w:val="00E634D0"/>
    <w:rsid w:val="00E63A8B"/>
    <w:rsid w:val="00E6414C"/>
    <w:rsid w:val="00E647E5"/>
    <w:rsid w:val="00E64AF5"/>
    <w:rsid w:val="00E65B5A"/>
    <w:rsid w:val="00E65F83"/>
    <w:rsid w:val="00E66946"/>
    <w:rsid w:val="00E66DE1"/>
    <w:rsid w:val="00E66FE3"/>
    <w:rsid w:val="00E672E1"/>
    <w:rsid w:val="00E67FDC"/>
    <w:rsid w:val="00E700DE"/>
    <w:rsid w:val="00E70AD5"/>
    <w:rsid w:val="00E70B0A"/>
    <w:rsid w:val="00E70FCB"/>
    <w:rsid w:val="00E711B0"/>
    <w:rsid w:val="00E71294"/>
    <w:rsid w:val="00E716F6"/>
    <w:rsid w:val="00E7209F"/>
    <w:rsid w:val="00E731E4"/>
    <w:rsid w:val="00E733C1"/>
    <w:rsid w:val="00E73E7E"/>
    <w:rsid w:val="00E745A8"/>
    <w:rsid w:val="00E754D1"/>
    <w:rsid w:val="00E7597C"/>
    <w:rsid w:val="00E76082"/>
    <w:rsid w:val="00E76832"/>
    <w:rsid w:val="00E773B3"/>
    <w:rsid w:val="00E7760A"/>
    <w:rsid w:val="00E77829"/>
    <w:rsid w:val="00E77F2D"/>
    <w:rsid w:val="00E81C39"/>
    <w:rsid w:val="00E81D96"/>
    <w:rsid w:val="00E83C39"/>
    <w:rsid w:val="00E8427A"/>
    <w:rsid w:val="00E84794"/>
    <w:rsid w:val="00E84891"/>
    <w:rsid w:val="00E84D05"/>
    <w:rsid w:val="00E852C0"/>
    <w:rsid w:val="00E85A20"/>
    <w:rsid w:val="00E85E17"/>
    <w:rsid w:val="00E85E47"/>
    <w:rsid w:val="00E86AC9"/>
    <w:rsid w:val="00E87424"/>
    <w:rsid w:val="00E87485"/>
    <w:rsid w:val="00E87953"/>
    <w:rsid w:val="00E879B1"/>
    <w:rsid w:val="00E87DD5"/>
    <w:rsid w:val="00E87DFA"/>
    <w:rsid w:val="00E91756"/>
    <w:rsid w:val="00E923FD"/>
    <w:rsid w:val="00E92878"/>
    <w:rsid w:val="00E92A2F"/>
    <w:rsid w:val="00E942E2"/>
    <w:rsid w:val="00E9498E"/>
    <w:rsid w:val="00E94E40"/>
    <w:rsid w:val="00E95048"/>
    <w:rsid w:val="00E95DE4"/>
    <w:rsid w:val="00E9639A"/>
    <w:rsid w:val="00E963BE"/>
    <w:rsid w:val="00E968FA"/>
    <w:rsid w:val="00E96D1D"/>
    <w:rsid w:val="00E96E2B"/>
    <w:rsid w:val="00E9710A"/>
    <w:rsid w:val="00E97934"/>
    <w:rsid w:val="00EA06EC"/>
    <w:rsid w:val="00EA106E"/>
    <w:rsid w:val="00EA152F"/>
    <w:rsid w:val="00EA21E5"/>
    <w:rsid w:val="00EA2438"/>
    <w:rsid w:val="00EA2873"/>
    <w:rsid w:val="00EA2898"/>
    <w:rsid w:val="00EA3AD4"/>
    <w:rsid w:val="00EA3CF2"/>
    <w:rsid w:val="00EA43EB"/>
    <w:rsid w:val="00EA49EC"/>
    <w:rsid w:val="00EA554A"/>
    <w:rsid w:val="00EA599F"/>
    <w:rsid w:val="00EA60E2"/>
    <w:rsid w:val="00EA616A"/>
    <w:rsid w:val="00EA6BF0"/>
    <w:rsid w:val="00EA719B"/>
    <w:rsid w:val="00EA75E2"/>
    <w:rsid w:val="00EA78A4"/>
    <w:rsid w:val="00EB006E"/>
    <w:rsid w:val="00EB0095"/>
    <w:rsid w:val="00EB1A67"/>
    <w:rsid w:val="00EB1A7F"/>
    <w:rsid w:val="00EB2746"/>
    <w:rsid w:val="00EB27CF"/>
    <w:rsid w:val="00EB2E14"/>
    <w:rsid w:val="00EB3088"/>
    <w:rsid w:val="00EB3696"/>
    <w:rsid w:val="00EB4614"/>
    <w:rsid w:val="00EB4970"/>
    <w:rsid w:val="00EB51CE"/>
    <w:rsid w:val="00EB5EA8"/>
    <w:rsid w:val="00EB63C4"/>
    <w:rsid w:val="00EB662F"/>
    <w:rsid w:val="00EB6EDC"/>
    <w:rsid w:val="00EB6FA9"/>
    <w:rsid w:val="00EC09EA"/>
    <w:rsid w:val="00EC141D"/>
    <w:rsid w:val="00EC1B3A"/>
    <w:rsid w:val="00EC1F8E"/>
    <w:rsid w:val="00EC1FC6"/>
    <w:rsid w:val="00EC2B84"/>
    <w:rsid w:val="00EC2FAF"/>
    <w:rsid w:val="00EC3196"/>
    <w:rsid w:val="00EC3C72"/>
    <w:rsid w:val="00EC40CA"/>
    <w:rsid w:val="00EC55A4"/>
    <w:rsid w:val="00EC5979"/>
    <w:rsid w:val="00EC5D8E"/>
    <w:rsid w:val="00EC5E13"/>
    <w:rsid w:val="00EC612E"/>
    <w:rsid w:val="00EC7395"/>
    <w:rsid w:val="00EC7F08"/>
    <w:rsid w:val="00ED0DAB"/>
    <w:rsid w:val="00ED17FF"/>
    <w:rsid w:val="00ED271B"/>
    <w:rsid w:val="00ED2881"/>
    <w:rsid w:val="00ED39E9"/>
    <w:rsid w:val="00ED4371"/>
    <w:rsid w:val="00ED47AD"/>
    <w:rsid w:val="00ED5723"/>
    <w:rsid w:val="00ED58A6"/>
    <w:rsid w:val="00ED59CD"/>
    <w:rsid w:val="00ED6026"/>
    <w:rsid w:val="00ED63D7"/>
    <w:rsid w:val="00ED644E"/>
    <w:rsid w:val="00ED6CD3"/>
    <w:rsid w:val="00ED6F77"/>
    <w:rsid w:val="00ED747A"/>
    <w:rsid w:val="00ED7784"/>
    <w:rsid w:val="00ED7EC1"/>
    <w:rsid w:val="00EE006E"/>
    <w:rsid w:val="00EE0691"/>
    <w:rsid w:val="00EE0824"/>
    <w:rsid w:val="00EE11CC"/>
    <w:rsid w:val="00EE138C"/>
    <w:rsid w:val="00EE17BD"/>
    <w:rsid w:val="00EE1906"/>
    <w:rsid w:val="00EE261C"/>
    <w:rsid w:val="00EE306F"/>
    <w:rsid w:val="00EE343D"/>
    <w:rsid w:val="00EE3957"/>
    <w:rsid w:val="00EE3BD6"/>
    <w:rsid w:val="00EE3C30"/>
    <w:rsid w:val="00EE44BA"/>
    <w:rsid w:val="00EE464B"/>
    <w:rsid w:val="00EE4C2C"/>
    <w:rsid w:val="00EE5735"/>
    <w:rsid w:val="00EE5BCE"/>
    <w:rsid w:val="00EE6517"/>
    <w:rsid w:val="00EE6949"/>
    <w:rsid w:val="00EE7529"/>
    <w:rsid w:val="00EE7540"/>
    <w:rsid w:val="00EF0576"/>
    <w:rsid w:val="00EF0757"/>
    <w:rsid w:val="00EF137E"/>
    <w:rsid w:val="00EF183D"/>
    <w:rsid w:val="00EF1C27"/>
    <w:rsid w:val="00EF219D"/>
    <w:rsid w:val="00EF23BF"/>
    <w:rsid w:val="00EF2526"/>
    <w:rsid w:val="00EF2564"/>
    <w:rsid w:val="00EF25AF"/>
    <w:rsid w:val="00EF2EA5"/>
    <w:rsid w:val="00EF2F2E"/>
    <w:rsid w:val="00EF3176"/>
    <w:rsid w:val="00EF3C1E"/>
    <w:rsid w:val="00EF45FB"/>
    <w:rsid w:val="00EF48DD"/>
    <w:rsid w:val="00EF4928"/>
    <w:rsid w:val="00EF4A8A"/>
    <w:rsid w:val="00EF4D19"/>
    <w:rsid w:val="00EF4F89"/>
    <w:rsid w:val="00EF5050"/>
    <w:rsid w:val="00EF56EB"/>
    <w:rsid w:val="00EF57FF"/>
    <w:rsid w:val="00EF5804"/>
    <w:rsid w:val="00EF5E8A"/>
    <w:rsid w:val="00EF5FD3"/>
    <w:rsid w:val="00EF62CC"/>
    <w:rsid w:val="00EF65C7"/>
    <w:rsid w:val="00EF667A"/>
    <w:rsid w:val="00EF7950"/>
    <w:rsid w:val="00F00164"/>
    <w:rsid w:val="00F00B65"/>
    <w:rsid w:val="00F00E85"/>
    <w:rsid w:val="00F01961"/>
    <w:rsid w:val="00F01EF4"/>
    <w:rsid w:val="00F02A06"/>
    <w:rsid w:val="00F02E71"/>
    <w:rsid w:val="00F02EE0"/>
    <w:rsid w:val="00F03926"/>
    <w:rsid w:val="00F03DC9"/>
    <w:rsid w:val="00F0404A"/>
    <w:rsid w:val="00F0471B"/>
    <w:rsid w:val="00F04F45"/>
    <w:rsid w:val="00F04F4A"/>
    <w:rsid w:val="00F054C9"/>
    <w:rsid w:val="00F06073"/>
    <w:rsid w:val="00F061DC"/>
    <w:rsid w:val="00F0630E"/>
    <w:rsid w:val="00F063D6"/>
    <w:rsid w:val="00F06CE0"/>
    <w:rsid w:val="00F072D2"/>
    <w:rsid w:val="00F07A12"/>
    <w:rsid w:val="00F102E2"/>
    <w:rsid w:val="00F1033A"/>
    <w:rsid w:val="00F10936"/>
    <w:rsid w:val="00F1174F"/>
    <w:rsid w:val="00F12253"/>
    <w:rsid w:val="00F128B6"/>
    <w:rsid w:val="00F12EEF"/>
    <w:rsid w:val="00F1414E"/>
    <w:rsid w:val="00F1429A"/>
    <w:rsid w:val="00F14346"/>
    <w:rsid w:val="00F151A7"/>
    <w:rsid w:val="00F15CEA"/>
    <w:rsid w:val="00F1623F"/>
    <w:rsid w:val="00F16E23"/>
    <w:rsid w:val="00F1770D"/>
    <w:rsid w:val="00F2047A"/>
    <w:rsid w:val="00F20B23"/>
    <w:rsid w:val="00F20CC8"/>
    <w:rsid w:val="00F21232"/>
    <w:rsid w:val="00F214A4"/>
    <w:rsid w:val="00F219FC"/>
    <w:rsid w:val="00F2290A"/>
    <w:rsid w:val="00F229EA"/>
    <w:rsid w:val="00F22D84"/>
    <w:rsid w:val="00F23A17"/>
    <w:rsid w:val="00F23D6B"/>
    <w:rsid w:val="00F23DA3"/>
    <w:rsid w:val="00F23F62"/>
    <w:rsid w:val="00F2481D"/>
    <w:rsid w:val="00F248A5"/>
    <w:rsid w:val="00F251C5"/>
    <w:rsid w:val="00F2575A"/>
    <w:rsid w:val="00F259C2"/>
    <w:rsid w:val="00F25E17"/>
    <w:rsid w:val="00F264A4"/>
    <w:rsid w:val="00F267DE"/>
    <w:rsid w:val="00F26E29"/>
    <w:rsid w:val="00F2703A"/>
    <w:rsid w:val="00F27050"/>
    <w:rsid w:val="00F2705A"/>
    <w:rsid w:val="00F2717D"/>
    <w:rsid w:val="00F2796D"/>
    <w:rsid w:val="00F2796F"/>
    <w:rsid w:val="00F302D2"/>
    <w:rsid w:val="00F30A92"/>
    <w:rsid w:val="00F317C8"/>
    <w:rsid w:val="00F31DF5"/>
    <w:rsid w:val="00F320DC"/>
    <w:rsid w:val="00F32157"/>
    <w:rsid w:val="00F32D3A"/>
    <w:rsid w:val="00F330D6"/>
    <w:rsid w:val="00F33CD3"/>
    <w:rsid w:val="00F3472A"/>
    <w:rsid w:val="00F353BF"/>
    <w:rsid w:val="00F36303"/>
    <w:rsid w:val="00F367FA"/>
    <w:rsid w:val="00F37856"/>
    <w:rsid w:val="00F37B1B"/>
    <w:rsid w:val="00F37F0B"/>
    <w:rsid w:val="00F401AB"/>
    <w:rsid w:val="00F40269"/>
    <w:rsid w:val="00F40537"/>
    <w:rsid w:val="00F409B7"/>
    <w:rsid w:val="00F40B44"/>
    <w:rsid w:val="00F4170B"/>
    <w:rsid w:val="00F419A6"/>
    <w:rsid w:val="00F423F2"/>
    <w:rsid w:val="00F430EA"/>
    <w:rsid w:val="00F4377A"/>
    <w:rsid w:val="00F44A22"/>
    <w:rsid w:val="00F4597E"/>
    <w:rsid w:val="00F46196"/>
    <w:rsid w:val="00F46C13"/>
    <w:rsid w:val="00F47075"/>
    <w:rsid w:val="00F470EF"/>
    <w:rsid w:val="00F477AE"/>
    <w:rsid w:val="00F50182"/>
    <w:rsid w:val="00F509A8"/>
    <w:rsid w:val="00F50D80"/>
    <w:rsid w:val="00F512C0"/>
    <w:rsid w:val="00F51E74"/>
    <w:rsid w:val="00F528DB"/>
    <w:rsid w:val="00F52A3F"/>
    <w:rsid w:val="00F52B63"/>
    <w:rsid w:val="00F52DE0"/>
    <w:rsid w:val="00F53912"/>
    <w:rsid w:val="00F54478"/>
    <w:rsid w:val="00F549FA"/>
    <w:rsid w:val="00F54A43"/>
    <w:rsid w:val="00F54DF0"/>
    <w:rsid w:val="00F550D9"/>
    <w:rsid w:val="00F55B99"/>
    <w:rsid w:val="00F55FF8"/>
    <w:rsid w:val="00F56428"/>
    <w:rsid w:val="00F5691E"/>
    <w:rsid w:val="00F56CC9"/>
    <w:rsid w:val="00F56DBE"/>
    <w:rsid w:val="00F57450"/>
    <w:rsid w:val="00F57842"/>
    <w:rsid w:val="00F57CC7"/>
    <w:rsid w:val="00F57E13"/>
    <w:rsid w:val="00F6002A"/>
    <w:rsid w:val="00F61225"/>
    <w:rsid w:val="00F61A89"/>
    <w:rsid w:val="00F62174"/>
    <w:rsid w:val="00F621B5"/>
    <w:rsid w:val="00F62281"/>
    <w:rsid w:val="00F62A82"/>
    <w:rsid w:val="00F62AC7"/>
    <w:rsid w:val="00F6458D"/>
    <w:rsid w:val="00F64C21"/>
    <w:rsid w:val="00F64D47"/>
    <w:rsid w:val="00F65249"/>
    <w:rsid w:val="00F65791"/>
    <w:rsid w:val="00F65F01"/>
    <w:rsid w:val="00F65FE4"/>
    <w:rsid w:val="00F666F5"/>
    <w:rsid w:val="00F66C60"/>
    <w:rsid w:val="00F66C7E"/>
    <w:rsid w:val="00F66CE0"/>
    <w:rsid w:val="00F66CFF"/>
    <w:rsid w:val="00F67410"/>
    <w:rsid w:val="00F67D32"/>
    <w:rsid w:val="00F70130"/>
    <w:rsid w:val="00F7054B"/>
    <w:rsid w:val="00F70813"/>
    <w:rsid w:val="00F71088"/>
    <w:rsid w:val="00F710B0"/>
    <w:rsid w:val="00F71A94"/>
    <w:rsid w:val="00F71B2F"/>
    <w:rsid w:val="00F71CD3"/>
    <w:rsid w:val="00F72272"/>
    <w:rsid w:val="00F72840"/>
    <w:rsid w:val="00F7291B"/>
    <w:rsid w:val="00F72992"/>
    <w:rsid w:val="00F7350F"/>
    <w:rsid w:val="00F73F5B"/>
    <w:rsid w:val="00F7409D"/>
    <w:rsid w:val="00F74149"/>
    <w:rsid w:val="00F75AD0"/>
    <w:rsid w:val="00F75BF1"/>
    <w:rsid w:val="00F75C48"/>
    <w:rsid w:val="00F75C76"/>
    <w:rsid w:val="00F75DA8"/>
    <w:rsid w:val="00F7652F"/>
    <w:rsid w:val="00F768D7"/>
    <w:rsid w:val="00F76924"/>
    <w:rsid w:val="00F76AAA"/>
    <w:rsid w:val="00F80A84"/>
    <w:rsid w:val="00F80F3B"/>
    <w:rsid w:val="00F81883"/>
    <w:rsid w:val="00F81C99"/>
    <w:rsid w:val="00F81CB6"/>
    <w:rsid w:val="00F82487"/>
    <w:rsid w:val="00F82917"/>
    <w:rsid w:val="00F8390A"/>
    <w:rsid w:val="00F84454"/>
    <w:rsid w:val="00F84AF2"/>
    <w:rsid w:val="00F84B03"/>
    <w:rsid w:val="00F85533"/>
    <w:rsid w:val="00F8577C"/>
    <w:rsid w:val="00F859F9"/>
    <w:rsid w:val="00F864EC"/>
    <w:rsid w:val="00F865BE"/>
    <w:rsid w:val="00F86BC5"/>
    <w:rsid w:val="00F86C93"/>
    <w:rsid w:val="00F86D46"/>
    <w:rsid w:val="00F86EC7"/>
    <w:rsid w:val="00F87232"/>
    <w:rsid w:val="00F87B4F"/>
    <w:rsid w:val="00F87D36"/>
    <w:rsid w:val="00F900F5"/>
    <w:rsid w:val="00F902F0"/>
    <w:rsid w:val="00F9030E"/>
    <w:rsid w:val="00F90B37"/>
    <w:rsid w:val="00F9105B"/>
    <w:rsid w:val="00F91B50"/>
    <w:rsid w:val="00F920B4"/>
    <w:rsid w:val="00F929DD"/>
    <w:rsid w:val="00F93259"/>
    <w:rsid w:val="00F94320"/>
    <w:rsid w:val="00F94876"/>
    <w:rsid w:val="00F94D81"/>
    <w:rsid w:val="00F94F81"/>
    <w:rsid w:val="00F959BE"/>
    <w:rsid w:val="00F96212"/>
    <w:rsid w:val="00F96349"/>
    <w:rsid w:val="00F96A8D"/>
    <w:rsid w:val="00F96F3C"/>
    <w:rsid w:val="00F979A3"/>
    <w:rsid w:val="00F97FCE"/>
    <w:rsid w:val="00FA00AE"/>
    <w:rsid w:val="00FA00FF"/>
    <w:rsid w:val="00FA044A"/>
    <w:rsid w:val="00FA05F4"/>
    <w:rsid w:val="00FA1202"/>
    <w:rsid w:val="00FA1DA4"/>
    <w:rsid w:val="00FA291F"/>
    <w:rsid w:val="00FA2BED"/>
    <w:rsid w:val="00FA31B5"/>
    <w:rsid w:val="00FA3C4D"/>
    <w:rsid w:val="00FA46FB"/>
    <w:rsid w:val="00FA4F0C"/>
    <w:rsid w:val="00FA5B30"/>
    <w:rsid w:val="00FA6973"/>
    <w:rsid w:val="00FA706C"/>
    <w:rsid w:val="00FA75EA"/>
    <w:rsid w:val="00FA7881"/>
    <w:rsid w:val="00FA7AB7"/>
    <w:rsid w:val="00FB0016"/>
    <w:rsid w:val="00FB1009"/>
    <w:rsid w:val="00FB29C3"/>
    <w:rsid w:val="00FB29CD"/>
    <w:rsid w:val="00FB3B92"/>
    <w:rsid w:val="00FB3EF4"/>
    <w:rsid w:val="00FB4D02"/>
    <w:rsid w:val="00FB4E36"/>
    <w:rsid w:val="00FB4E8E"/>
    <w:rsid w:val="00FB66AB"/>
    <w:rsid w:val="00FB73EC"/>
    <w:rsid w:val="00FB7C1B"/>
    <w:rsid w:val="00FC05B2"/>
    <w:rsid w:val="00FC08D1"/>
    <w:rsid w:val="00FC0C53"/>
    <w:rsid w:val="00FC11DE"/>
    <w:rsid w:val="00FC1653"/>
    <w:rsid w:val="00FC22E8"/>
    <w:rsid w:val="00FC2542"/>
    <w:rsid w:val="00FC2B11"/>
    <w:rsid w:val="00FC2B9D"/>
    <w:rsid w:val="00FC2D01"/>
    <w:rsid w:val="00FC2FAB"/>
    <w:rsid w:val="00FC3787"/>
    <w:rsid w:val="00FC46E2"/>
    <w:rsid w:val="00FC4890"/>
    <w:rsid w:val="00FC4F50"/>
    <w:rsid w:val="00FC5088"/>
    <w:rsid w:val="00FC5EAD"/>
    <w:rsid w:val="00FC6549"/>
    <w:rsid w:val="00FC65ED"/>
    <w:rsid w:val="00FC68B0"/>
    <w:rsid w:val="00FC6AA3"/>
    <w:rsid w:val="00FC73EE"/>
    <w:rsid w:val="00FC79B9"/>
    <w:rsid w:val="00FC7E4D"/>
    <w:rsid w:val="00FC7EC0"/>
    <w:rsid w:val="00FD019C"/>
    <w:rsid w:val="00FD01F3"/>
    <w:rsid w:val="00FD0955"/>
    <w:rsid w:val="00FD0BC8"/>
    <w:rsid w:val="00FD0D8F"/>
    <w:rsid w:val="00FD2736"/>
    <w:rsid w:val="00FD2B75"/>
    <w:rsid w:val="00FD3761"/>
    <w:rsid w:val="00FD3A23"/>
    <w:rsid w:val="00FD3E4E"/>
    <w:rsid w:val="00FD4E1C"/>
    <w:rsid w:val="00FD4ECE"/>
    <w:rsid w:val="00FD4F7C"/>
    <w:rsid w:val="00FD5F46"/>
    <w:rsid w:val="00FD5F79"/>
    <w:rsid w:val="00FD6E99"/>
    <w:rsid w:val="00FD7336"/>
    <w:rsid w:val="00FD735B"/>
    <w:rsid w:val="00FE0C84"/>
    <w:rsid w:val="00FE2019"/>
    <w:rsid w:val="00FE2918"/>
    <w:rsid w:val="00FE2ADF"/>
    <w:rsid w:val="00FE2E07"/>
    <w:rsid w:val="00FE3689"/>
    <w:rsid w:val="00FE3E87"/>
    <w:rsid w:val="00FE5446"/>
    <w:rsid w:val="00FE5789"/>
    <w:rsid w:val="00FE6083"/>
    <w:rsid w:val="00FE62F4"/>
    <w:rsid w:val="00FE64FA"/>
    <w:rsid w:val="00FE6D6D"/>
    <w:rsid w:val="00FE7081"/>
    <w:rsid w:val="00FE7166"/>
    <w:rsid w:val="00FE7A24"/>
    <w:rsid w:val="00FF09F5"/>
    <w:rsid w:val="00FF14DD"/>
    <w:rsid w:val="00FF14F3"/>
    <w:rsid w:val="00FF1D20"/>
    <w:rsid w:val="00FF4FAD"/>
    <w:rsid w:val="00FF5478"/>
    <w:rsid w:val="00FF5777"/>
    <w:rsid w:val="00FF612B"/>
    <w:rsid w:val="00FF6383"/>
    <w:rsid w:val="00FF6C88"/>
    <w:rsid w:val="00FF6F17"/>
    <w:rsid w:val="00FF6FAC"/>
    <w:rsid w:val="00FF7907"/>
    <w:rsid w:val="00FF79E0"/>
    <w:rsid w:val="00FF7E2D"/>
    <w:rsid w:val="1A4913C6"/>
    <w:rsid w:val="1D133622"/>
    <w:rsid w:val="250E2B8A"/>
    <w:rsid w:val="556C18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B359"/>
  <w15:docId w15:val="{AC9A8301-427C-44E4-983C-A98E46F4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1"/>
    <w:qFormat/>
    <w:pPr>
      <w:autoSpaceDE w:val="0"/>
      <w:autoSpaceDN w:val="0"/>
      <w:adjustRightInd w:val="0"/>
      <w:ind w:left="112"/>
    </w:pPr>
    <w:rPr>
      <w:rFonts w:eastAsiaTheme="minorHAnsi"/>
      <w:sz w:val="18"/>
      <w:szCs w:val="18"/>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TMLCite">
    <w:name w:val="HTML Cite"/>
    <w:basedOn w:val="DefaultParagraphFont"/>
    <w:uiPriority w:val="99"/>
    <w:semiHidden/>
    <w:unhideWhenUsed/>
    <w:qFormat/>
    <w:rPr>
      <w:i/>
      <w:iC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eastAsia="en-GB"/>
    </w:rPr>
  </w:style>
  <w:style w:type="paragraph" w:customStyle="1" w:styleId="Body">
    <w:name w:val="Body"/>
    <w:qFormat/>
    <w:rPr>
      <w:rFonts w:ascii="Times New Roman" w:eastAsia="Arial Unicode MS" w:hAnsi="Arial Unicode MS" w:cs="Arial Unicode MS"/>
      <w:color w:val="000000"/>
      <w:sz w:val="24"/>
      <w:szCs w:val="24"/>
      <w:u w:color="000000"/>
      <w:lang w:val="en-US"/>
    </w:rPr>
  </w:style>
  <w:style w:type="character" w:customStyle="1" w:styleId="authornames">
    <w:name w:val="authornames"/>
    <w:basedOn w:val="DefaultParagraphFont"/>
    <w:qFormat/>
  </w:style>
  <w:style w:type="paragraph" w:styleId="ListParagraph">
    <w:name w:val="List Paragraph"/>
    <w:basedOn w:val="Normal"/>
    <w:qFormat/>
    <w:pPr>
      <w:ind w:left="720"/>
      <w:contextualSpacing/>
    </w:pPr>
  </w:style>
  <w:style w:type="character" w:customStyle="1" w:styleId="mb">
    <w:name w:val="mb"/>
    <w:basedOn w:val="DefaultParagraphFont"/>
    <w:qFormat/>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GB"/>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eastAsia="en-GB"/>
    </w:rPr>
  </w:style>
  <w:style w:type="paragraph" w:styleId="NoSpacing">
    <w:name w:val="No Spacing"/>
    <w:uiPriority w:val="1"/>
    <w:qFormat/>
    <w:rPr>
      <w:rFonts w:ascii="Times New Roman" w:eastAsia="Arial Unicode MS" w:hAnsi="Times New Roman" w:cs="Times New Roman"/>
      <w:sz w:val="24"/>
      <w:szCs w:val="24"/>
      <w:lang w:val="en-US" w:eastAsia="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E74B5" w:themeColor="accent1" w:themeShade="BF"/>
      <w:sz w:val="24"/>
      <w:szCs w:val="24"/>
      <w:lang w:eastAsia="en-GB"/>
    </w:rPr>
  </w:style>
  <w:style w:type="paragraph" w:customStyle="1" w:styleId="spacey">
    <w:name w:val="spacey"/>
    <w:basedOn w:val="Normal"/>
    <w:qFormat/>
    <w:pPr>
      <w:spacing w:before="100" w:beforeAutospacing="1" w:after="100" w:afterAutospacing="1"/>
    </w:pPr>
  </w:style>
  <w:style w:type="character" w:customStyle="1" w:styleId="footers">
    <w:name w:val="footers"/>
    <w:basedOn w:val="DefaultParagraphFont"/>
    <w:qFormat/>
  </w:style>
  <w:style w:type="character" w:customStyle="1" w:styleId="current-selection">
    <w:name w:val="current-selection"/>
    <w:basedOn w:val="DefaultParagraphFont"/>
    <w:qFormat/>
  </w:style>
  <w:style w:type="character" w:customStyle="1" w:styleId="Hyperlink0">
    <w:name w:val="Hyperlink.0"/>
    <w:basedOn w:val="DefaultParagraphFont"/>
    <w:qFormat/>
    <w:rPr>
      <w:color w:val="000000"/>
      <w:sz w:val="24"/>
      <w:szCs w:val="24"/>
      <w:u w:val="none" w:color="000000"/>
    </w:rPr>
  </w:style>
  <w:style w:type="character" w:customStyle="1" w:styleId="Hyperlink1">
    <w:name w:val="Hyperlink.1"/>
    <w:basedOn w:val="DefaultParagraphFont"/>
    <w:qFormat/>
    <w:rPr>
      <w:i/>
      <w:iCs/>
      <w:color w:val="000000"/>
      <w:sz w:val="24"/>
      <w:szCs w:val="24"/>
      <w:u w:val="none" w:color="000000"/>
    </w:rPr>
  </w:style>
  <w:style w:type="character" w:customStyle="1" w:styleId="Hyperlink2">
    <w:name w:val="Hyperlink.2"/>
    <w:basedOn w:val="DefaultParagraphFont"/>
    <w:qFormat/>
    <w:rPr>
      <w:color w:val="000000"/>
      <w:u w:val="none" w:color="000000"/>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lang w:eastAsia="en-GB"/>
    </w:rPr>
  </w:style>
  <w:style w:type="character" w:customStyle="1" w:styleId="highlight">
    <w:name w:val="highlight"/>
    <w:basedOn w:val="DefaultParagraphFont"/>
    <w:qFormat/>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eastAsia="en-GB"/>
    </w:rPr>
  </w:style>
  <w:style w:type="character" w:customStyle="1" w:styleId="il">
    <w:name w:val="il"/>
    <w:basedOn w:val="DefaultParagraphFont"/>
    <w:qFormat/>
  </w:style>
  <w:style w:type="paragraph" w:customStyle="1" w:styleId="Tabletitle">
    <w:name w:val="Table title"/>
    <w:basedOn w:val="Normal"/>
    <w:next w:val="Normal"/>
    <w:qFormat/>
    <w:pPr>
      <w:spacing w:before="240" w:line="360" w:lineRule="auto"/>
    </w:pPr>
  </w:style>
  <w:style w:type="paragraph" w:customStyle="1" w:styleId="Figurecaption">
    <w:name w:val="Figure caption"/>
    <w:basedOn w:val="Normal"/>
    <w:next w:val="Normal"/>
    <w:qFormat/>
    <w:pPr>
      <w:spacing w:before="240" w:line="360" w:lineRule="auto"/>
    </w:pPr>
  </w:style>
  <w:style w:type="character" w:customStyle="1" w:styleId="ng-scope">
    <w:name w:val="ng-scope"/>
    <w:basedOn w:val="DefaultParagraphFont"/>
    <w:qFormat/>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lang w:eastAsia="en-GB"/>
    </w:rPr>
  </w:style>
  <w:style w:type="paragraph" w:customStyle="1" w:styleId="inlinelist-item">
    <w:name w:val="inlinelist-item"/>
    <w:basedOn w:val="Normal"/>
    <w:qFormat/>
    <w:pPr>
      <w:spacing w:before="100" w:beforeAutospacing="1" w:after="100" w:afterAutospacing="1"/>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arkd9ffbxqrk">
    <w:name w:val="markd9ffbxqrk"/>
    <w:basedOn w:val="DefaultParagraphFont"/>
    <w:qFormat/>
  </w:style>
  <w:style w:type="character" w:customStyle="1" w:styleId="BodyTextChar">
    <w:name w:val="Body Text Char"/>
    <w:basedOn w:val="DefaultParagraphFont"/>
    <w:link w:val="BodyText"/>
    <w:uiPriority w:val="1"/>
    <w:qFormat/>
    <w:rPr>
      <w:rFonts w:ascii="Times New Roman" w:hAnsi="Times New Roman" w:cs="Times New Roman"/>
      <w:sz w:val="18"/>
      <w:szCs w:val="18"/>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eastAsia="en-GB"/>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343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doi.org/10.5258/SOTON/D0168"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holar.google.co.uk/scholar?q=teager-kaiser+energy+operator&amp;hl=en&amp;as_sdt=0&amp;as_vis=1&amp;oi=scholart"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rm1n16@soton.ac.uk"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D0FE22-7A13-4AA2-A39A-93D0C43E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47</Pages>
  <Words>39373</Words>
  <Characters>224429</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
    </vt:vector>
  </TitlesOfParts>
  <Company>Guy's and St Thomas'</Company>
  <LinksUpToDate>false</LinksUpToDate>
  <CharactersWithSpaces>263276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dc:creator>
  <cp:lastModifiedBy>Richard McKearney</cp:lastModifiedBy>
  <cp:revision>181</cp:revision>
  <cp:lastPrinted>2016-04-15T12:57:00Z</cp:lastPrinted>
  <dcterms:created xsi:type="dcterms:W3CDTF">2021-08-02T07:35:00Z</dcterms:created>
  <dcterms:modified xsi:type="dcterms:W3CDTF">2021-11-29T09:38:00Z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http://www.zotero.org/styles/international-journal-of-audiology</vt:lpwstr>
  </property>
  <property fmtid="{D5CDD505-2E9C-101B-9397-08002B2CF9AE}" pid="15" name="Mendeley Recent Style Name 6_1">
    <vt:lpwstr>International Journal of Audiology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8713ae13-671a-374b-b78a-39f36a126a5d</vt:lpwstr>
  </property>
  <property fmtid="{D5CDD505-2E9C-101B-9397-08002B2CF9AE}" pid="25" name="KSOProductBuildVer">
    <vt:lpwstr>2057-11.2.0.10223</vt:lpwstr>
  </property>
</Properties>
</file>