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DA97C" w14:textId="3C337146" w:rsidR="00640261" w:rsidRPr="004F076A" w:rsidRDefault="001E74EB" w:rsidP="00511AE5">
      <w:pPr>
        <w:spacing w:line="480" w:lineRule="auto"/>
        <w:jc w:val="center"/>
        <w:rPr>
          <w:b/>
          <w:bCs/>
          <w:color w:val="000000" w:themeColor="text1"/>
          <w:sz w:val="22"/>
          <w:szCs w:val="22"/>
        </w:rPr>
      </w:pPr>
      <w:bookmarkStart w:id="0" w:name="_GoBack"/>
      <w:bookmarkEnd w:id="0"/>
      <w:r>
        <w:rPr>
          <w:b/>
          <w:bCs/>
          <w:color w:val="000000" w:themeColor="text1"/>
          <w:sz w:val="22"/>
          <w:szCs w:val="22"/>
        </w:rPr>
        <w:t>L</w:t>
      </w:r>
      <w:r w:rsidR="001F214E" w:rsidRPr="004F076A">
        <w:rPr>
          <w:b/>
          <w:bCs/>
          <w:color w:val="000000" w:themeColor="text1"/>
          <w:sz w:val="22"/>
          <w:szCs w:val="22"/>
        </w:rPr>
        <w:t>eft atrial</w:t>
      </w:r>
      <w:r>
        <w:rPr>
          <w:b/>
          <w:bCs/>
          <w:color w:val="000000" w:themeColor="text1"/>
          <w:sz w:val="22"/>
          <w:szCs w:val="22"/>
        </w:rPr>
        <w:t xml:space="preserve"> structure and function are associated with </w:t>
      </w:r>
      <w:r w:rsidR="001F214E" w:rsidRPr="004F076A">
        <w:rPr>
          <w:b/>
          <w:bCs/>
          <w:color w:val="000000" w:themeColor="text1"/>
          <w:sz w:val="22"/>
          <w:szCs w:val="22"/>
        </w:rPr>
        <w:t>cardiovascular outcomes</w:t>
      </w:r>
      <w:r>
        <w:rPr>
          <w:b/>
          <w:bCs/>
          <w:color w:val="000000" w:themeColor="text1"/>
          <w:sz w:val="22"/>
          <w:szCs w:val="22"/>
        </w:rPr>
        <w:t xml:space="preserve"> independent of left ventricular measures: a </w:t>
      </w:r>
      <w:r w:rsidR="001F214E" w:rsidRPr="004F076A">
        <w:rPr>
          <w:b/>
          <w:bCs/>
          <w:color w:val="000000" w:themeColor="text1"/>
          <w:sz w:val="22"/>
          <w:szCs w:val="22"/>
        </w:rPr>
        <w:t>UK Biobank</w:t>
      </w:r>
      <w:r>
        <w:rPr>
          <w:b/>
          <w:bCs/>
          <w:color w:val="000000" w:themeColor="text1"/>
          <w:sz w:val="22"/>
          <w:szCs w:val="22"/>
        </w:rPr>
        <w:t xml:space="preserve"> CMR study</w:t>
      </w:r>
    </w:p>
    <w:p w14:paraId="21CB9EF4" w14:textId="71F6B61C" w:rsidR="001F214E" w:rsidRPr="004F076A" w:rsidRDefault="001F214E" w:rsidP="001F214E">
      <w:pPr>
        <w:spacing w:line="480" w:lineRule="auto"/>
        <w:rPr>
          <w:color w:val="000000" w:themeColor="text1"/>
          <w:sz w:val="22"/>
          <w:szCs w:val="22"/>
        </w:rPr>
      </w:pPr>
      <w:r w:rsidRPr="004F076A">
        <w:rPr>
          <w:color w:val="000000" w:themeColor="text1"/>
          <w:sz w:val="22"/>
          <w:szCs w:val="22"/>
        </w:rPr>
        <w:t>Zahra Raisi-Estabragh</w:t>
      </w:r>
      <w:r w:rsidRPr="004F076A">
        <w:rPr>
          <w:color w:val="000000" w:themeColor="text1"/>
          <w:sz w:val="22"/>
          <w:szCs w:val="22"/>
          <w:vertAlign w:val="superscript"/>
        </w:rPr>
        <w:t>1,2</w:t>
      </w:r>
      <w:r w:rsidRPr="004F076A">
        <w:rPr>
          <w:color w:val="000000" w:themeColor="text1"/>
          <w:sz w:val="22"/>
          <w:szCs w:val="22"/>
        </w:rPr>
        <w:t>*, Celeste McCracken</w:t>
      </w:r>
      <w:r w:rsidRPr="004F076A">
        <w:rPr>
          <w:color w:val="000000" w:themeColor="text1"/>
          <w:sz w:val="22"/>
          <w:szCs w:val="22"/>
          <w:vertAlign w:val="superscript"/>
        </w:rPr>
        <w:t>3</w:t>
      </w:r>
      <w:r w:rsidRPr="004F076A">
        <w:rPr>
          <w:color w:val="000000" w:themeColor="text1"/>
          <w:sz w:val="22"/>
          <w:szCs w:val="22"/>
        </w:rPr>
        <w:t>*, Dorina Condurache</w:t>
      </w:r>
      <w:r w:rsidRPr="004F076A">
        <w:rPr>
          <w:color w:val="000000" w:themeColor="text1"/>
          <w:sz w:val="22"/>
          <w:szCs w:val="22"/>
          <w:vertAlign w:val="superscript"/>
        </w:rPr>
        <w:t>4</w:t>
      </w:r>
      <w:r w:rsidRPr="004F076A">
        <w:rPr>
          <w:color w:val="000000" w:themeColor="text1"/>
          <w:sz w:val="22"/>
          <w:szCs w:val="22"/>
        </w:rPr>
        <w:t>, Nay Aung</w:t>
      </w:r>
      <w:r w:rsidRPr="004F076A">
        <w:rPr>
          <w:color w:val="000000" w:themeColor="text1"/>
          <w:sz w:val="22"/>
          <w:szCs w:val="22"/>
          <w:vertAlign w:val="superscript"/>
        </w:rPr>
        <w:t>1,2</w:t>
      </w:r>
      <w:r w:rsidRPr="004F076A">
        <w:rPr>
          <w:color w:val="000000" w:themeColor="text1"/>
          <w:sz w:val="22"/>
          <w:szCs w:val="22"/>
        </w:rPr>
        <w:t xml:space="preserve">, </w:t>
      </w:r>
      <w:r w:rsidRPr="004F076A">
        <w:rPr>
          <w:color w:val="000000" w:themeColor="text1"/>
          <w:sz w:val="22"/>
          <w:szCs w:val="22"/>
          <w:shd w:val="clear" w:color="auto" w:fill="FFFFFF"/>
        </w:rPr>
        <w:t>Jose D. Vargas</w:t>
      </w:r>
      <w:r w:rsidRPr="004F076A">
        <w:rPr>
          <w:color w:val="000000" w:themeColor="text1"/>
          <w:sz w:val="22"/>
          <w:szCs w:val="22"/>
          <w:shd w:val="clear" w:color="auto" w:fill="FFFFFF"/>
          <w:vertAlign w:val="superscript"/>
        </w:rPr>
        <w:t>1,5</w:t>
      </w:r>
      <w:r w:rsidRPr="004F076A">
        <w:rPr>
          <w:color w:val="000000" w:themeColor="text1"/>
          <w:sz w:val="22"/>
          <w:szCs w:val="22"/>
          <w:shd w:val="clear" w:color="auto" w:fill="FFFFFF"/>
        </w:rPr>
        <w:t>, Hafiz Naderi</w:t>
      </w:r>
      <w:r w:rsidRPr="004F076A">
        <w:rPr>
          <w:color w:val="000000" w:themeColor="text1"/>
          <w:sz w:val="22"/>
          <w:szCs w:val="22"/>
          <w:vertAlign w:val="superscript"/>
        </w:rPr>
        <w:t>1,2</w:t>
      </w:r>
      <w:r w:rsidRPr="004F076A">
        <w:rPr>
          <w:color w:val="000000" w:themeColor="text1"/>
          <w:sz w:val="22"/>
          <w:szCs w:val="22"/>
          <w:shd w:val="clear" w:color="auto" w:fill="FFFFFF"/>
        </w:rPr>
        <w:t>, Patricia B. Munroe</w:t>
      </w:r>
      <w:r w:rsidRPr="004F076A">
        <w:rPr>
          <w:color w:val="000000" w:themeColor="text1"/>
          <w:sz w:val="22"/>
          <w:szCs w:val="22"/>
          <w:shd w:val="clear" w:color="auto" w:fill="FFFFFF"/>
          <w:vertAlign w:val="superscript"/>
        </w:rPr>
        <w:t>1</w:t>
      </w:r>
      <w:r w:rsidRPr="004F076A">
        <w:rPr>
          <w:color w:val="000000" w:themeColor="text1"/>
          <w:sz w:val="22"/>
          <w:szCs w:val="22"/>
          <w:shd w:val="clear" w:color="auto" w:fill="FFFFFF"/>
        </w:rPr>
        <w:t xml:space="preserve">, </w:t>
      </w:r>
      <w:r w:rsidRPr="004F076A">
        <w:rPr>
          <w:color w:val="000000" w:themeColor="text1"/>
          <w:sz w:val="22"/>
          <w:szCs w:val="22"/>
        </w:rPr>
        <w:t>Stefan Neubauer</w:t>
      </w:r>
      <w:r w:rsidRPr="004F076A">
        <w:rPr>
          <w:color w:val="000000" w:themeColor="text1"/>
          <w:sz w:val="22"/>
          <w:szCs w:val="22"/>
          <w:vertAlign w:val="superscript"/>
        </w:rPr>
        <w:t>3</w:t>
      </w:r>
      <w:r w:rsidRPr="004F076A">
        <w:rPr>
          <w:color w:val="000000" w:themeColor="text1"/>
          <w:sz w:val="22"/>
          <w:szCs w:val="22"/>
        </w:rPr>
        <w:t>, Nicholas C. Harvey</w:t>
      </w:r>
      <w:r w:rsidRPr="004F076A">
        <w:rPr>
          <w:color w:val="000000" w:themeColor="text1"/>
          <w:sz w:val="22"/>
          <w:szCs w:val="22"/>
          <w:vertAlign w:val="superscript"/>
        </w:rPr>
        <w:t>6,7</w:t>
      </w:r>
      <w:r w:rsidRPr="004F076A">
        <w:rPr>
          <w:color w:val="000000" w:themeColor="text1"/>
          <w:sz w:val="22"/>
          <w:szCs w:val="22"/>
        </w:rPr>
        <w:t>, Steffen E. Petersen</w:t>
      </w:r>
      <w:r w:rsidRPr="004F076A">
        <w:rPr>
          <w:color w:val="000000" w:themeColor="text1"/>
          <w:sz w:val="22"/>
          <w:szCs w:val="22"/>
          <w:vertAlign w:val="superscript"/>
        </w:rPr>
        <w:t>1,2</w:t>
      </w:r>
      <w:r w:rsidR="00455885" w:rsidRPr="004F076A">
        <w:rPr>
          <w:color w:val="000000" w:themeColor="text1"/>
          <w:sz w:val="22"/>
          <w:szCs w:val="22"/>
          <w:vertAlign w:val="superscript"/>
        </w:rPr>
        <w:t>,8,9</w:t>
      </w:r>
      <w:r w:rsidRPr="004F076A">
        <w:rPr>
          <w:color w:val="000000" w:themeColor="text1"/>
          <w:sz w:val="22"/>
          <w:szCs w:val="22"/>
        </w:rPr>
        <w:t>†</w:t>
      </w:r>
    </w:p>
    <w:p w14:paraId="55734BC5" w14:textId="77777777" w:rsidR="00640261" w:rsidRPr="004F076A" w:rsidRDefault="00640261" w:rsidP="00511AE5">
      <w:pPr>
        <w:spacing w:line="480" w:lineRule="auto"/>
        <w:rPr>
          <w:color w:val="000000" w:themeColor="text1"/>
          <w:sz w:val="22"/>
          <w:szCs w:val="22"/>
        </w:rPr>
      </w:pPr>
    </w:p>
    <w:p w14:paraId="432EB7E2" w14:textId="77777777" w:rsidR="00640261" w:rsidRPr="004F076A" w:rsidRDefault="00640261" w:rsidP="00455885">
      <w:pPr>
        <w:pStyle w:val="ListParagraph"/>
        <w:numPr>
          <w:ilvl w:val="0"/>
          <w:numId w:val="1"/>
        </w:numPr>
        <w:spacing w:line="480" w:lineRule="auto"/>
        <w:rPr>
          <w:rFonts w:ascii="Times New Roman" w:hAnsi="Times New Roman" w:cs="Times New Roman"/>
          <w:color w:val="000000" w:themeColor="text1"/>
          <w:sz w:val="22"/>
          <w:szCs w:val="22"/>
        </w:rPr>
      </w:pPr>
      <w:r w:rsidRPr="004F076A">
        <w:rPr>
          <w:rFonts w:ascii="Times New Roman" w:hAnsi="Times New Roman" w:cs="Times New Roman"/>
          <w:color w:val="000000" w:themeColor="text1"/>
          <w:sz w:val="22"/>
          <w:szCs w:val="22"/>
        </w:rPr>
        <w:t>William Harvey Research Institute, NIHR Barts Biomedical Research Centre, Queen Mary University of London, Charterhouse Square, London, EC1M 6BQ, UK</w:t>
      </w:r>
    </w:p>
    <w:p w14:paraId="7251217B" w14:textId="78C813E5" w:rsidR="00640261" w:rsidRPr="004F076A" w:rsidRDefault="00640261" w:rsidP="00455885">
      <w:pPr>
        <w:pStyle w:val="ListParagraph"/>
        <w:numPr>
          <w:ilvl w:val="0"/>
          <w:numId w:val="1"/>
        </w:numPr>
        <w:spacing w:line="480" w:lineRule="auto"/>
        <w:rPr>
          <w:rFonts w:ascii="Times New Roman" w:hAnsi="Times New Roman" w:cs="Times New Roman"/>
          <w:color w:val="000000" w:themeColor="text1"/>
          <w:sz w:val="22"/>
          <w:szCs w:val="22"/>
        </w:rPr>
      </w:pPr>
      <w:r w:rsidRPr="004F076A">
        <w:rPr>
          <w:rFonts w:ascii="Times New Roman" w:hAnsi="Times New Roman" w:cs="Times New Roman"/>
          <w:color w:val="000000" w:themeColor="text1"/>
          <w:sz w:val="22"/>
          <w:szCs w:val="22"/>
        </w:rPr>
        <w:t>Barts Heart Centre, St Bartholomew’s Hospital, Barts Health NHS Trust, West Smithfield, London, EC1A 7BE, UK</w:t>
      </w:r>
    </w:p>
    <w:p w14:paraId="575073A5" w14:textId="77777777" w:rsidR="00640261" w:rsidRPr="004F076A" w:rsidRDefault="00640261" w:rsidP="00455885">
      <w:pPr>
        <w:pStyle w:val="ListParagraph"/>
        <w:numPr>
          <w:ilvl w:val="0"/>
          <w:numId w:val="1"/>
        </w:numPr>
        <w:spacing w:line="480" w:lineRule="auto"/>
        <w:rPr>
          <w:rFonts w:ascii="Times New Roman" w:hAnsi="Times New Roman" w:cs="Times New Roman"/>
          <w:color w:val="000000" w:themeColor="text1"/>
          <w:sz w:val="22"/>
          <w:szCs w:val="22"/>
        </w:rPr>
      </w:pPr>
      <w:r w:rsidRPr="004F076A">
        <w:rPr>
          <w:rFonts w:ascii="Times New Roman" w:hAnsi="Times New Roman" w:cs="Times New Roman"/>
          <w:color w:val="000000" w:themeColor="text1"/>
          <w:sz w:val="22"/>
          <w:szCs w:val="22"/>
        </w:rPr>
        <w:t>Division of Cardiovascular Medicine, Radcliffe Department of Medicine, University of Oxford, National Institute for Health Research Oxford Biomedical Research Centre, Oxford University Hospitals NHS Foundation Trust, Oxford, OX3 9DU, UK</w:t>
      </w:r>
    </w:p>
    <w:p w14:paraId="5C030699" w14:textId="77777777" w:rsidR="001F214E" w:rsidRPr="004F076A" w:rsidRDefault="00640261" w:rsidP="00455885">
      <w:pPr>
        <w:pStyle w:val="ListParagraph"/>
        <w:numPr>
          <w:ilvl w:val="0"/>
          <w:numId w:val="1"/>
        </w:numPr>
        <w:spacing w:line="480" w:lineRule="auto"/>
        <w:rPr>
          <w:rFonts w:ascii="Times New Roman" w:hAnsi="Times New Roman" w:cs="Times New Roman"/>
          <w:color w:val="000000" w:themeColor="text1"/>
          <w:sz w:val="22"/>
          <w:szCs w:val="22"/>
        </w:rPr>
      </w:pPr>
      <w:r w:rsidRPr="004F076A">
        <w:rPr>
          <w:rFonts w:ascii="Times New Roman" w:hAnsi="Times New Roman" w:cs="Times New Roman"/>
          <w:color w:val="000000" w:themeColor="text1"/>
          <w:sz w:val="22"/>
          <w:szCs w:val="22"/>
        </w:rPr>
        <w:t>London North West University Healthcare NHS Trust, Watford Road, Harrow, HA1 3UJ, UK</w:t>
      </w:r>
    </w:p>
    <w:p w14:paraId="6579E8D8" w14:textId="4DCAE404" w:rsidR="001F214E" w:rsidRPr="004F076A" w:rsidRDefault="001F214E" w:rsidP="00455885">
      <w:pPr>
        <w:pStyle w:val="ListParagraph"/>
        <w:numPr>
          <w:ilvl w:val="0"/>
          <w:numId w:val="1"/>
        </w:numPr>
        <w:spacing w:line="480" w:lineRule="auto"/>
        <w:rPr>
          <w:rFonts w:ascii="Times New Roman" w:hAnsi="Times New Roman" w:cs="Times New Roman"/>
          <w:color w:val="000000" w:themeColor="text1"/>
          <w:sz w:val="22"/>
          <w:szCs w:val="22"/>
        </w:rPr>
      </w:pPr>
      <w:r w:rsidRPr="004F076A">
        <w:rPr>
          <w:rFonts w:ascii="Times New Roman" w:hAnsi="Times New Roman" w:cs="Times New Roman"/>
          <w:color w:val="000000" w:themeColor="text1"/>
          <w:sz w:val="22"/>
          <w:szCs w:val="22"/>
          <w:shd w:val="clear" w:color="auto" w:fill="FFFFFF"/>
        </w:rPr>
        <w:t>MedStar Georgetown University Hospital, 3800 Reservoir Rd NW, Washington, DC 20007, United States.</w:t>
      </w:r>
    </w:p>
    <w:p w14:paraId="49C062EF" w14:textId="77777777" w:rsidR="00640261" w:rsidRPr="004F076A" w:rsidRDefault="00640261" w:rsidP="00455885">
      <w:pPr>
        <w:pStyle w:val="ListParagraph"/>
        <w:numPr>
          <w:ilvl w:val="0"/>
          <w:numId w:val="1"/>
        </w:numPr>
        <w:spacing w:line="480" w:lineRule="auto"/>
        <w:rPr>
          <w:rFonts w:ascii="Times New Roman" w:hAnsi="Times New Roman" w:cs="Times New Roman"/>
          <w:color w:val="000000" w:themeColor="text1"/>
          <w:sz w:val="22"/>
          <w:szCs w:val="22"/>
        </w:rPr>
      </w:pPr>
      <w:r w:rsidRPr="004F076A">
        <w:rPr>
          <w:rFonts w:ascii="Times New Roman" w:hAnsi="Times New Roman" w:cs="Times New Roman"/>
          <w:color w:val="000000" w:themeColor="text1"/>
          <w:sz w:val="22"/>
          <w:szCs w:val="22"/>
        </w:rPr>
        <w:t>MRC Lifecourse Epidemiology Unit, University of Southampton, Southampton, UK</w:t>
      </w:r>
    </w:p>
    <w:p w14:paraId="630AD063" w14:textId="77777777" w:rsidR="00455885" w:rsidRPr="004F076A" w:rsidRDefault="00640261" w:rsidP="00455885">
      <w:pPr>
        <w:pStyle w:val="ListParagraph"/>
        <w:numPr>
          <w:ilvl w:val="0"/>
          <w:numId w:val="1"/>
        </w:numPr>
        <w:spacing w:line="480" w:lineRule="auto"/>
        <w:rPr>
          <w:rFonts w:ascii="Times New Roman" w:hAnsi="Times New Roman" w:cs="Times New Roman"/>
          <w:color w:val="000000" w:themeColor="text1"/>
          <w:sz w:val="22"/>
          <w:szCs w:val="22"/>
        </w:rPr>
      </w:pPr>
      <w:r w:rsidRPr="004F076A">
        <w:rPr>
          <w:rFonts w:ascii="Times New Roman" w:hAnsi="Times New Roman" w:cs="Times New Roman"/>
          <w:color w:val="000000" w:themeColor="text1"/>
          <w:sz w:val="22"/>
          <w:szCs w:val="22"/>
        </w:rPr>
        <w:t>NIHR Southampton Biomedical Research Centre, University of Southampton and University Hospital Southampton NHS Foundation Trust, Southampton, UK</w:t>
      </w:r>
    </w:p>
    <w:p w14:paraId="0921EA83" w14:textId="7F30EE86" w:rsidR="00455885" w:rsidRPr="004F076A" w:rsidRDefault="00455885" w:rsidP="00455885">
      <w:pPr>
        <w:pStyle w:val="paragraph"/>
        <w:numPr>
          <w:ilvl w:val="0"/>
          <w:numId w:val="1"/>
        </w:numPr>
        <w:spacing w:before="0" w:beforeAutospacing="0" w:after="0" w:afterAutospacing="0" w:line="480" w:lineRule="auto"/>
        <w:textAlignment w:val="baseline"/>
        <w:rPr>
          <w:rFonts w:ascii="Calibri" w:hAnsi="Calibri" w:cs="Calibri"/>
          <w:color w:val="000000" w:themeColor="text1"/>
          <w:sz w:val="22"/>
          <w:szCs w:val="22"/>
        </w:rPr>
      </w:pPr>
      <w:r w:rsidRPr="004F076A">
        <w:rPr>
          <w:rStyle w:val="normaltextrun"/>
          <w:color w:val="000000" w:themeColor="text1"/>
          <w:sz w:val="22"/>
          <w:szCs w:val="22"/>
        </w:rPr>
        <w:t>Health Data Research UK, London, UK</w:t>
      </w:r>
    </w:p>
    <w:p w14:paraId="74A0415D" w14:textId="08C85D14" w:rsidR="00640261" w:rsidRPr="004F076A" w:rsidRDefault="00455885" w:rsidP="00455885">
      <w:pPr>
        <w:pStyle w:val="paragraph"/>
        <w:numPr>
          <w:ilvl w:val="0"/>
          <w:numId w:val="1"/>
        </w:numPr>
        <w:spacing w:before="0" w:beforeAutospacing="0" w:after="0" w:afterAutospacing="0" w:line="480" w:lineRule="auto"/>
        <w:textAlignment w:val="baseline"/>
        <w:rPr>
          <w:rStyle w:val="normaltextrun"/>
          <w:rFonts w:ascii="Calibri" w:hAnsi="Calibri" w:cs="Calibri"/>
          <w:color w:val="000000" w:themeColor="text1"/>
          <w:sz w:val="22"/>
          <w:szCs w:val="22"/>
        </w:rPr>
      </w:pPr>
      <w:r w:rsidRPr="004F076A">
        <w:rPr>
          <w:rStyle w:val="normaltextrun"/>
          <w:color w:val="000000" w:themeColor="text1"/>
          <w:sz w:val="22"/>
          <w:szCs w:val="22"/>
        </w:rPr>
        <w:t>Alan Turing Institute, London, UK</w:t>
      </w:r>
    </w:p>
    <w:p w14:paraId="09A7857C" w14:textId="77777777" w:rsidR="00455885" w:rsidRPr="004F076A" w:rsidRDefault="00455885" w:rsidP="00455885">
      <w:pPr>
        <w:pStyle w:val="paragraph"/>
        <w:spacing w:before="0" w:beforeAutospacing="0" w:after="0" w:afterAutospacing="0" w:line="480" w:lineRule="auto"/>
        <w:ind w:left="720"/>
        <w:textAlignment w:val="baseline"/>
        <w:rPr>
          <w:rFonts w:ascii="Calibri" w:hAnsi="Calibri" w:cs="Calibri"/>
          <w:color w:val="000000" w:themeColor="text1"/>
          <w:sz w:val="22"/>
          <w:szCs w:val="22"/>
        </w:rPr>
      </w:pPr>
    </w:p>
    <w:p w14:paraId="4354566C" w14:textId="04A35389" w:rsidR="00455885" w:rsidRPr="004F076A" w:rsidRDefault="00455885" w:rsidP="00455885">
      <w:pPr>
        <w:pStyle w:val="paragraph"/>
        <w:spacing w:before="0" w:beforeAutospacing="0" w:after="0" w:afterAutospacing="0"/>
        <w:textAlignment w:val="baseline"/>
        <w:rPr>
          <w:rFonts w:ascii="Calibri" w:hAnsi="Calibri" w:cs="Calibri"/>
          <w:color w:val="000000" w:themeColor="text1"/>
          <w:sz w:val="22"/>
          <w:szCs w:val="22"/>
        </w:rPr>
      </w:pPr>
      <w:r w:rsidRPr="004F076A">
        <w:rPr>
          <w:color w:val="000000" w:themeColor="text1"/>
          <w:sz w:val="22"/>
          <w:szCs w:val="22"/>
        </w:rPr>
        <w:t>*These authors have contributed equally to this work and share first authorship</w:t>
      </w:r>
    </w:p>
    <w:p w14:paraId="2249470F" w14:textId="5FC9DD1B" w:rsidR="00553E49" w:rsidRPr="004F076A" w:rsidRDefault="00640261" w:rsidP="00511AE5">
      <w:pPr>
        <w:pStyle w:val="NormalWeb"/>
        <w:spacing w:line="480" w:lineRule="auto"/>
        <w:rPr>
          <w:color w:val="000000" w:themeColor="text1"/>
          <w:sz w:val="22"/>
          <w:szCs w:val="22"/>
        </w:rPr>
      </w:pPr>
      <w:r w:rsidRPr="004F076A">
        <w:rPr>
          <w:color w:val="000000" w:themeColor="text1"/>
          <w:sz w:val="22"/>
          <w:szCs w:val="22"/>
        </w:rPr>
        <w:t xml:space="preserve">†Corresponding author: Professor Steffen Petersen, e-mail: </w:t>
      </w:r>
      <w:hyperlink r:id="rId12">
        <w:r w:rsidRPr="004F076A">
          <w:rPr>
            <w:rStyle w:val="Hyperlink"/>
            <w:color w:val="000000" w:themeColor="text1"/>
            <w:sz w:val="22"/>
            <w:szCs w:val="22"/>
          </w:rPr>
          <w:t>s.e.petersen@qmul.ac.uk</w:t>
        </w:r>
      </w:hyperlink>
      <w:r w:rsidRPr="004F076A">
        <w:rPr>
          <w:color w:val="000000" w:themeColor="text1"/>
          <w:sz w:val="22"/>
          <w:szCs w:val="22"/>
        </w:rPr>
        <w:t xml:space="preserve">, Tel: </w:t>
      </w:r>
      <w:r w:rsidR="00553E49" w:rsidRPr="004F076A">
        <w:rPr>
          <w:color w:val="000000" w:themeColor="text1"/>
          <w:sz w:val="22"/>
          <w:szCs w:val="22"/>
        </w:rPr>
        <w:t>+</w:t>
      </w:r>
      <w:r w:rsidRPr="004F076A">
        <w:rPr>
          <w:color w:val="000000" w:themeColor="text1"/>
          <w:sz w:val="22"/>
          <w:szCs w:val="22"/>
        </w:rPr>
        <w:t>44 (207) 882 6902.</w:t>
      </w:r>
      <w:r w:rsidR="00553E49" w:rsidRPr="004F076A">
        <w:rPr>
          <w:color w:val="000000" w:themeColor="text1"/>
          <w:sz w:val="22"/>
          <w:szCs w:val="22"/>
        </w:rPr>
        <w:br w:type="page"/>
      </w:r>
    </w:p>
    <w:p w14:paraId="1646E94A" w14:textId="6B574F16" w:rsidR="00553E49" w:rsidRPr="004F076A" w:rsidRDefault="58194B2D" w:rsidP="00511AE5">
      <w:pPr>
        <w:spacing w:line="480" w:lineRule="auto"/>
        <w:rPr>
          <w:b/>
          <w:bCs/>
          <w:color w:val="000000" w:themeColor="text1"/>
          <w:sz w:val="22"/>
          <w:szCs w:val="22"/>
          <w:shd w:val="clear" w:color="auto" w:fill="FFFFFF"/>
        </w:rPr>
      </w:pPr>
      <w:r w:rsidRPr="004F076A">
        <w:rPr>
          <w:b/>
          <w:bCs/>
          <w:color w:val="000000" w:themeColor="text1"/>
          <w:sz w:val="22"/>
          <w:szCs w:val="22"/>
          <w:shd w:val="clear" w:color="auto" w:fill="FFFFFF"/>
        </w:rPr>
        <w:lastRenderedPageBreak/>
        <w:t>Abstract</w:t>
      </w:r>
    </w:p>
    <w:p w14:paraId="2C8C0A25" w14:textId="77777777" w:rsidR="00553E49" w:rsidRPr="004F076A" w:rsidRDefault="00553E49" w:rsidP="00511AE5">
      <w:pPr>
        <w:spacing w:line="480" w:lineRule="auto"/>
        <w:rPr>
          <w:color w:val="000000" w:themeColor="text1"/>
          <w:sz w:val="22"/>
          <w:szCs w:val="22"/>
          <w:shd w:val="clear" w:color="auto" w:fill="FFFFFF"/>
        </w:rPr>
      </w:pPr>
    </w:p>
    <w:p w14:paraId="205B4EAB" w14:textId="0B056058" w:rsidR="005D28B2" w:rsidRPr="004F076A" w:rsidRDefault="3CD28451" w:rsidP="00511AE5">
      <w:pPr>
        <w:spacing w:line="480" w:lineRule="auto"/>
        <w:rPr>
          <w:color w:val="000000" w:themeColor="text1"/>
          <w:sz w:val="22"/>
          <w:szCs w:val="22"/>
          <w:shd w:val="clear" w:color="auto" w:fill="FFFFFF"/>
        </w:rPr>
      </w:pPr>
      <w:r w:rsidRPr="00911A8D">
        <w:rPr>
          <w:b/>
          <w:bCs/>
          <w:color w:val="000000" w:themeColor="text1"/>
          <w:sz w:val="22"/>
          <w:szCs w:val="22"/>
          <w:shd w:val="clear" w:color="auto" w:fill="FFFFFF"/>
        </w:rPr>
        <w:t xml:space="preserve">Aims: </w:t>
      </w:r>
      <w:r w:rsidR="00BC1A1D" w:rsidRPr="00911A8D">
        <w:rPr>
          <w:color w:val="000000" w:themeColor="text1"/>
          <w:sz w:val="22"/>
          <w:szCs w:val="22"/>
          <w:shd w:val="clear" w:color="auto" w:fill="FFFFFF"/>
        </w:rPr>
        <w:t>We evaluate</w:t>
      </w:r>
      <w:r w:rsidR="00331C69" w:rsidRPr="00911A8D">
        <w:rPr>
          <w:color w:val="000000" w:themeColor="text1"/>
          <w:sz w:val="22"/>
          <w:szCs w:val="22"/>
          <w:shd w:val="clear" w:color="auto" w:fill="FFFFFF"/>
        </w:rPr>
        <w:t>d</w:t>
      </w:r>
      <w:r w:rsidR="00BC1A1D" w:rsidRPr="00911A8D">
        <w:rPr>
          <w:color w:val="000000" w:themeColor="text1"/>
          <w:sz w:val="22"/>
          <w:szCs w:val="22"/>
          <w:shd w:val="clear" w:color="auto" w:fill="FFFFFF"/>
        </w:rPr>
        <w:t xml:space="preserve"> associations of left atrial </w:t>
      </w:r>
      <w:r w:rsidR="007B0E1E" w:rsidRPr="00911A8D">
        <w:rPr>
          <w:color w:val="000000" w:themeColor="text1"/>
          <w:sz w:val="22"/>
          <w:szCs w:val="22"/>
          <w:shd w:val="clear" w:color="auto" w:fill="FFFFFF"/>
        </w:rPr>
        <w:t xml:space="preserve">(LA) </w:t>
      </w:r>
      <w:r w:rsidR="00BC1A1D" w:rsidRPr="00911A8D">
        <w:rPr>
          <w:color w:val="000000" w:themeColor="text1"/>
          <w:sz w:val="22"/>
          <w:szCs w:val="22"/>
          <w:shd w:val="clear" w:color="auto" w:fill="FFFFFF"/>
        </w:rPr>
        <w:t>structure and function</w:t>
      </w:r>
      <w:r w:rsidR="007B0E1E" w:rsidRPr="00911A8D">
        <w:rPr>
          <w:color w:val="000000" w:themeColor="text1"/>
          <w:sz w:val="22"/>
          <w:szCs w:val="22"/>
          <w:shd w:val="clear" w:color="auto" w:fill="FFFFFF"/>
        </w:rPr>
        <w:t xml:space="preserve"> </w:t>
      </w:r>
      <w:r w:rsidR="00BC1A1D" w:rsidRPr="00911A8D">
        <w:rPr>
          <w:color w:val="000000" w:themeColor="text1"/>
          <w:sz w:val="22"/>
          <w:szCs w:val="22"/>
          <w:shd w:val="clear" w:color="auto" w:fill="FFFFFF"/>
        </w:rPr>
        <w:t xml:space="preserve">with prevalent and incident cardiovascular </w:t>
      </w:r>
      <w:r w:rsidR="00397A87" w:rsidRPr="00911A8D">
        <w:rPr>
          <w:color w:val="000000" w:themeColor="text1"/>
          <w:sz w:val="22"/>
          <w:szCs w:val="22"/>
          <w:shd w:val="clear" w:color="auto" w:fill="FFFFFF"/>
        </w:rPr>
        <w:t>disease (CVD</w:t>
      </w:r>
      <w:r w:rsidR="002A4B98" w:rsidRPr="00911A8D">
        <w:rPr>
          <w:color w:val="000000" w:themeColor="text1"/>
          <w:sz w:val="22"/>
          <w:szCs w:val="22"/>
          <w:shd w:val="clear" w:color="auto" w:fill="FFFFFF"/>
        </w:rPr>
        <w:t>)</w:t>
      </w:r>
      <w:r w:rsidR="005D28B2" w:rsidRPr="00911A8D">
        <w:rPr>
          <w:color w:val="000000" w:themeColor="text1"/>
          <w:sz w:val="22"/>
          <w:szCs w:val="22"/>
          <w:shd w:val="clear" w:color="auto" w:fill="FFFFFF"/>
        </w:rPr>
        <w:t>,</w:t>
      </w:r>
      <w:r w:rsidR="00457560" w:rsidRPr="00911A8D">
        <w:rPr>
          <w:color w:val="000000" w:themeColor="text1"/>
          <w:sz w:val="22"/>
          <w:szCs w:val="22"/>
          <w:shd w:val="clear" w:color="auto" w:fill="FFFFFF"/>
        </w:rPr>
        <w:t xml:space="preserve"> independent of left ventricular (LV) metrics</w:t>
      </w:r>
      <w:r w:rsidR="005D28B2" w:rsidRPr="00911A8D">
        <w:rPr>
          <w:color w:val="000000" w:themeColor="text1"/>
          <w:sz w:val="22"/>
          <w:szCs w:val="22"/>
          <w:shd w:val="clear" w:color="auto" w:fill="FFFFFF"/>
        </w:rPr>
        <w:t xml:space="preserve">, in </w:t>
      </w:r>
      <w:r w:rsidR="005D28B2" w:rsidRPr="00911A8D">
        <w:rPr>
          <w:color w:val="000000" w:themeColor="text1"/>
          <w:sz w:val="22"/>
          <w:szCs w:val="22"/>
        </w:rPr>
        <w:t>25,</w:t>
      </w:r>
      <w:r w:rsidR="00D51E55" w:rsidRPr="00911A8D">
        <w:rPr>
          <w:color w:val="000000" w:themeColor="text1"/>
          <w:sz w:val="22"/>
          <w:szCs w:val="22"/>
        </w:rPr>
        <w:t>896</w:t>
      </w:r>
      <w:r w:rsidR="00D51E55" w:rsidRPr="00911A8D">
        <w:rPr>
          <w:color w:val="000000" w:themeColor="text1"/>
          <w:sz w:val="22"/>
          <w:szCs w:val="22"/>
          <w:shd w:val="clear" w:color="auto" w:fill="FFFFFF"/>
        </w:rPr>
        <w:t xml:space="preserve"> </w:t>
      </w:r>
      <w:r w:rsidR="005D28B2" w:rsidRPr="00911A8D">
        <w:rPr>
          <w:color w:val="000000" w:themeColor="text1"/>
          <w:sz w:val="22"/>
          <w:szCs w:val="22"/>
          <w:shd w:val="clear" w:color="auto" w:fill="FFFFFF"/>
        </w:rPr>
        <w:t>UK Biobank participants.</w:t>
      </w:r>
    </w:p>
    <w:p w14:paraId="3EB11137" w14:textId="46CE6589" w:rsidR="0028140B" w:rsidRPr="004F076A" w:rsidRDefault="0028140B" w:rsidP="00511AE5">
      <w:pPr>
        <w:spacing w:line="480" w:lineRule="auto"/>
        <w:rPr>
          <w:color w:val="000000" w:themeColor="text1"/>
          <w:sz w:val="22"/>
          <w:szCs w:val="22"/>
          <w:shd w:val="clear" w:color="auto" w:fill="FFFFFF"/>
        </w:rPr>
      </w:pPr>
    </w:p>
    <w:p w14:paraId="5FB0093E" w14:textId="55871190" w:rsidR="0028140B" w:rsidRPr="005D28B2" w:rsidRDefault="3381737A" w:rsidP="00224F66">
      <w:pPr>
        <w:spacing w:line="480" w:lineRule="auto"/>
        <w:rPr>
          <w:color w:val="000000" w:themeColor="text1"/>
          <w:sz w:val="22"/>
          <w:szCs w:val="22"/>
          <w:shd w:val="clear" w:color="auto" w:fill="FFFFFF"/>
        </w:rPr>
      </w:pPr>
      <w:r w:rsidRPr="004F076A">
        <w:rPr>
          <w:b/>
          <w:bCs/>
          <w:color w:val="000000" w:themeColor="text1"/>
          <w:sz w:val="22"/>
          <w:szCs w:val="22"/>
          <w:shd w:val="clear" w:color="auto" w:fill="FFFFFF"/>
        </w:rPr>
        <w:t>Methods and results:</w:t>
      </w:r>
      <w:r w:rsidRPr="004F076A">
        <w:rPr>
          <w:color w:val="000000" w:themeColor="text1"/>
          <w:sz w:val="22"/>
          <w:szCs w:val="22"/>
          <w:shd w:val="clear" w:color="auto" w:fill="FFFFFF"/>
        </w:rPr>
        <w:t xml:space="preserve"> </w:t>
      </w:r>
      <w:r w:rsidR="005D28B2" w:rsidRPr="005D28B2">
        <w:rPr>
          <w:color w:val="000000" w:themeColor="text1"/>
          <w:sz w:val="22"/>
          <w:szCs w:val="22"/>
          <w:shd w:val="clear" w:color="auto" w:fill="FFFFFF"/>
        </w:rPr>
        <w:t>W</w:t>
      </w:r>
      <w:r w:rsidR="002060C5" w:rsidRPr="005D28B2">
        <w:rPr>
          <w:color w:val="000000" w:themeColor="text1"/>
          <w:sz w:val="22"/>
          <w:szCs w:val="22"/>
          <w:shd w:val="clear" w:color="auto" w:fill="FFFFFF"/>
        </w:rPr>
        <w:t xml:space="preserve">e </w:t>
      </w:r>
      <w:r w:rsidR="00EC1CAE" w:rsidRPr="005D28B2">
        <w:rPr>
          <w:color w:val="000000" w:themeColor="text1"/>
          <w:sz w:val="22"/>
          <w:szCs w:val="22"/>
        </w:rPr>
        <w:t>estimated</w:t>
      </w:r>
      <w:r w:rsidR="002060C5" w:rsidRPr="005D28B2">
        <w:rPr>
          <w:color w:val="000000" w:themeColor="text1"/>
          <w:sz w:val="22"/>
          <w:szCs w:val="22"/>
        </w:rPr>
        <w:t xml:space="preserve"> </w:t>
      </w:r>
      <w:r w:rsidR="00224F66" w:rsidRPr="005D28B2">
        <w:rPr>
          <w:color w:val="000000" w:themeColor="text1"/>
          <w:sz w:val="22"/>
          <w:szCs w:val="22"/>
        </w:rPr>
        <w:t>association</w:t>
      </w:r>
      <w:r w:rsidR="00224F66" w:rsidRPr="004F076A">
        <w:rPr>
          <w:color w:val="000000" w:themeColor="text1"/>
          <w:sz w:val="22"/>
          <w:szCs w:val="22"/>
        </w:rPr>
        <w:t xml:space="preserve"> of </w:t>
      </w:r>
      <w:r w:rsidR="00E9719E" w:rsidRPr="004F076A">
        <w:rPr>
          <w:color w:val="000000" w:themeColor="text1"/>
          <w:sz w:val="22"/>
          <w:szCs w:val="22"/>
        </w:rPr>
        <w:t xml:space="preserve">cardiovascular magnetic resonance (CMR) </w:t>
      </w:r>
      <w:r w:rsidR="002060C5" w:rsidRPr="004F076A">
        <w:rPr>
          <w:color w:val="000000" w:themeColor="text1"/>
          <w:sz w:val="22"/>
          <w:szCs w:val="22"/>
        </w:rPr>
        <w:t>metrics</w:t>
      </w:r>
      <w:r w:rsidR="00224F66" w:rsidRPr="004F076A">
        <w:rPr>
          <w:color w:val="000000" w:themeColor="text1"/>
          <w:sz w:val="22"/>
          <w:szCs w:val="22"/>
        </w:rPr>
        <w:t xml:space="preserve"> [</w:t>
      </w:r>
      <w:r w:rsidR="002060C5" w:rsidRPr="004F076A">
        <w:rPr>
          <w:color w:val="000000" w:themeColor="text1"/>
          <w:sz w:val="22"/>
          <w:szCs w:val="22"/>
        </w:rPr>
        <w:t xml:space="preserve">LAV (LA </w:t>
      </w:r>
      <w:r w:rsidR="0028140B" w:rsidRPr="004F076A">
        <w:rPr>
          <w:color w:val="000000" w:themeColor="text1"/>
          <w:sz w:val="22"/>
          <w:szCs w:val="22"/>
        </w:rPr>
        <w:t xml:space="preserve">maximum </w:t>
      </w:r>
      <w:r w:rsidR="002060C5" w:rsidRPr="004F076A">
        <w:rPr>
          <w:color w:val="000000" w:themeColor="text1"/>
          <w:sz w:val="22"/>
          <w:szCs w:val="22"/>
        </w:rPr>
        <w:t>volume), LAEF (LA ejection fraction), LVM:LVEDV (LV mass: LV</w:t>
      </w:r>
      <w:r w:rsidR="002A4B98" w:rsidRPr="004F076A">
        <w:rPr>
          <w:color w:val="000000" w:themeColor="text1"/>
          <w:sz w:val="22"/>
          <w:szCs w:val="22"/>
        </w:rPr>
        <w:t xml:space="preserve"> end-diastolic volume</w:t>
      </w:r>
      <w:r w:rsidR="002060C5" w:rsidRPr="004F076A">
        <w:rPr>
          <w:color w:val="000000" w:themeColor="text1"/>
          <w:sz w:val="22"/>
          <w:szCs w:val="22"/>
        </w:rPr>
        <w:t xml:space="preserve"> ratio), </w:t>
      </w:r>
      <w:r w:rsidR="0028140B" w:rsidRPr="004F076A">
        <w:rPr>
          <w:color w:val="000000" w:themeColor="text1"/>
          <w:sz w:val="22"/>
          <w:szCs w:val="22"/>
        </w:rPr>
        <w:t xml:space="preserve">GLS (global longitudinal strain), </w:t>
      </w:r>
      <w:r w:rsidR="00224F66" w:rsidRPr="004F076A">
        <w:rPr>
          <w:color w:val="000000" w:themeColor="text1"/>
          <w:sz w:val="22"/>
          <w:szCs w:val="22"/>
        </w:rPr>
        <w:t xml:space="preserve">LVFGI </w:t>
      </w:r>
      <w:r w:rsidR="002060C5" w:rsidRPr="004F076A">
        <w:rPr>
          <w:color w:val="000000" w:themeColor="text1"/>
          <w:sz w:val="22"/>
          <w:szCs w:val="22"/>
        </w:rPr>
        <w:t>(</w:t>
      </w:r>
      <w:r w:rsidR="00224F66" w:rsidRPr="004F076A">
        <w:rPr>
          <w:color w:val="000000" w:themeColor="text1"/>
          <w:sz w:val="22"/>
          <w:szCs w:val="22"/>
        </w:rPr>
        <w:t xml:space="preserve">LV </w:t>
      </w:r>
      <w:r w:rsidR="002060C5" w:rsidRPr="004F076A">
        <w:rPr>
          <w:color w:val="000000" w:themeColor="text1"/>
          <w:sz w:val="22"/>
          <w:szCs w:val="22"/>
        </w:rPr>
        <w:t>global function index)</w:t>
      </w:r>
      <w:r w:rsidR="00224F66" w:rsidRPr="004F076A">
        <w:rPr>
          <w:color w:val="000000" w:themeColor="text1"/>
          <w:sz w:val="22"/>
          <w:szCs w:val="22"/>
        </w:rPr>
        <w:t xml:space="preserve">] </w:t>
      </w:r>
      <w:r w:rsidR="007520D9" w:rsidRPr="004F076A">
        <w:rPr>
          <w:color w:val="000000" w:themeColor="text1"/>
          <w:sz w:val="22"/>
          <w:szCs w:val="22"/>
        </w:rPr>
        <w:t>with vascular risk factors (hypertension, diabetes, high cholesterol, smoking)</w:t>
      </w:r>
      <w:r w:rsidR="00EC1CAE">
        <w:rPr>
          <w:color w:val="000000" w:themeColor="text1"/>
          <w:sz w:val="22"/>
          <w:szCs w:val="22"/>
        </w:rPr>
        <w:t>,</w:t>
      </w:r>
      <w:r w:rsidR="00180E18">
        <w:rPr>
          <w:color w:val="000000" w:themeColor="text1"/>
          <w:sz w:val="22"/>
          <w:szCs w:val="22"/>
        </w:rPr>
        <w:t xml:space="preserve"> </w:t>
      </w:r>
      <w:r w:rsidR="007520D9" w:rsidRPr="004F076A">
        <w:rPr>
          <w:color w:val="000000" w:themeColor="text1"/>
          <w:sz w:val="22"/>
          <w:szCs w:val="22"/>
        </w:rPr>
        <w:t xml:space="preserve">prevalent </w:t>
      </w:r>
      <w:r w:rsidR="00180E18">
        <w:rPr>
          <w:color w:val="000000" w:themeColor="text1"/>
          <w:sz w:val="22"/>
          <w:szCs w:val="22"/>
        </w:rPr>
        <w:t xml:space="preserve">and incident CVDs </w:t>
      </w:r>
      <w:r w:rsidR="007520D9" w:rsidRPr="004F076A">
        <w:rPr>
          <w:color w:val="000000" w:themeColor="text1"/>
          <w:sz w:val="22"/>
          <w:szCs w:val="22"/>
        </w:rPr>
        <w:t>[atrial fibrillation (AF), stroke, ischaemic heart disease (IHD), myocardial infarction (MI)]</w:t>
      </w:r>
      <w:r w:rsidR="00180E18">
        <w:rPr>
          <w:color w:val="000000" w:themeColor="text1"/>
          <w:sz w:val="22"/>
          <w:szCs w:val="22"/>
        </w:rPr>
        <w:t xml:space="preserve">, </w:t>
      </w:r>
      <w:r w:rsidR="00180E18" w:rsidRPr="00BF5FDD">
        <w:rPr>
          <w:color w:val="000000" w:themeColor="text1"/>
          <w:sz w:val="22"/>
          <w:szCs w:val="22"/>
        </w:rPr>
        <w:t xml:space="preserve">all-cause mortality, </w:t>
      </w:r>
      <w:r w:rsidR="008816F2" w:rsidRPr="00BF5FDD">
        <w:rPr>
          <w:color w:val="000000" w:themeColor="text1"/>
          <w:sz w:val="22"/>
          <w:szCs w:val="22"/>
        </w:rPr>
        <w:t xml:space="preserve">and </w:t>
      </w:r>
      <w:r w:rsidR="00180E18" w:rsidRPr="00BF5FDD">
        <w:rPr>
          <w:color w:val="000000" w:themeColor="text1"/>
          <w:sz w:val="22"/>
          <w:szCs w:val="22"/>
        </w:rPr>
        <w:t>CVD mortality</w:t>
      </w:r>
      <w:r w:rsidR="007520D9" w:rsidRPr="00BF5FDD">
        <w:rPr>
          <w:color w:val="000000" w:themeColor="text1"/>
          <w:sz w:val="22"/>
          <w:szCs w:val="22"/>
        </w:rPr>
        <w:t>.</w:t>
      </w:r>
      <w:r w:rsidR="00D82DF6">
        <w:rPr>
          <w:color w:val="000000" w:themeColor="text1"/>
          <w:sz w:val="22"/>
          <w:szCs w:val="22"/>
        </w:rPr>
        <w:t xml:space="preserve"> We</w:t>
      </w:r>
      <w:r w:rsidR="00D82DF6" w:rsidRPr="004F076A">
        <w:rPr>
          <w:color w:val="000000" w:themeColor="text1"/>
          <w:sz w:val="22"/>
          <w:szCs w:val="22"/>
        </w:rPr>
        <w:t xml:space="preserve"> created uncorrelated CMR variables using orthogonal principal component analysis </w:t>
      </w:r>
      <w:r w:rsidR="00D82DF6" w:rsidRPr="00BF5FDD">
        <w:rPr>
          <w:color w:val="000000" w:themeColor="text1"/>
          <w:sz w:val="22"/>
          <w:szCs w:val="22"/>
        </w:rPr>
        <w:t>rotation.</w:t>
      </w:r>
      <w:r w:rsidR="0013031F" w:rsidRPr="00BF5FDD">
        <w:rPr>
          <w:color w:val="000000" w:themeColor="text1"/>
          <w:sz w:val="22"/>
          <w:szCs w:val="22"/>
        </w:rPr>
        <w:t xml:space="preserve"> </w:t>
      </w:r>
      <w:r w:rsidR="00D82DF6" w:rsidRPr="00BF5FDD">
        <w:rPr>
          <w:color w:val="000000" w:themeColor="text1"/>
          <w:sz w:val="22"/>
          <w:szCs w:val="22"/>
        </w:rPr>
        <w:t xml:space="preserve">All five CMR metrics were simultaneously entered into multivariable regression models adjusted for </w:t>
      </w:r>
      <w:r w:rsidR="0013031F" w:rsidRPr="00BF5FDD">
        <w:rPr>
          <w:color w:val="000000" w:themeColor="text1"/>
          <w:sz w:val="22"/>
          <w:szCs w:val="22"/>
        </w:rPr>
        <w:t xml:space="preserve">sex, </w:t>
      </w:r>
      <w:r w:rsidR="007B0E1E" w:rsidRPr="00BF5FDD">
        <w:rPr>
          <w:color w:val="000000" w:themeColor="text1"/>
          <w:sz w:val="22"/>
          <w:szCs w:val="22"/>
        </w:rPr>
        <w:t xml:space="preserve">age, </w:t>
      </w:r>
      <w:r w:rsidR="0013031F" w:rsidRPr="00BF5FDD">
        <w:rPr>
          <w:color w:val="000000" w:themeColor="text1"/>
          <w:sz w:val="22"/>
          <w:szCs w:val="22"/>
        </w:rPr>
        <w:t>ethnicity, deprivation, education, body size</w:t>
      </w:r>
      <w:r w:rsidR="007B0E1E" w:rsidRPr="00BF5FDD">
        <w:rPr>
          <w:color w:val="000000" w:themeColor="text1"/>
          <w:sz w:val="22"/>
          <w:szCs w:val="22"/>
        </w:rPr>
        <w:t xml:space="preserve">, </w:t>
      </w:r>
      <w:r w:rsidR="00352FF7" w:rsidRPr="00BF5FDD">
        <w:rPr>
          <w:color w:val="000000" w:themeColor="text1"/>
          <w:sz w:val="22"/>
          <w:szCs w:val="22"/>
        </w:rPr>
        <w:t xml:space="preserve">and </w:t>
      </w:r>
      <w:r w:rsidR="007B0E1E" w:rsidRPr="00BF5FDD">
        <w:rPr>
          <w:color w:val="000000" w:themeColor="text1"/>
          <w:sz w:val="22"/>
          <w:szCs w:val="22"/>
        </w:rPr>
        <w:t>physical activity</w:t>
      </w:r>
      <w:r w:rsidR="00D82DF6" w:rsidRPr="00BF5FDD">
        <w:rPr>
          <w:color w:val="000000" w:themeColor="text1"/>
          <w:sz w:val="22"/>
          <w:szCs w:val="22"/>
        </w:rPr>
        <w:t>. L</w:t>
      </w:r>
      <w:r w:rsidR="0028140B" w:rsidRPr="00BF5FDD">
        <w:rPr>
          <w:color w:val="000000" w:themeColor="text1"/>
          <w:sz w:val="22"/>
          <w:szCs w:val="22"/>
        </w:rPr>
        <w:t>ower LAEF</w:t>
      </w:r>
      <w:r w:rsidR="0028140B" w:rsidRPr="004F076A">
        <w:rPr>
          <w:color w:val="000000" w:themeColor="text1"/>
          <w:sz w:val="22"/>
          <w:szCs w:val="22"/>
        </w:rPr>
        <w:t xml:space="preserve"> was associated with diabetes, </w:t>
      </w:r>
      <w:r w:rsidR="00352FF7">
        <w:rPr>
          <w:color w:val="000000" w:themeColor="text1"/>
          <w:sz w:val="22"/>
          <w:szCs w:val="22"/>
        </w:rPr>
        <w:t xml:space="preserve">smoking, </w:t>
      </w:r>
      <w:r w:rsidR="0028140B" w:rsidRPr="004F076A">
        <w:rPr>
          <w:color w:val="000000" w:themeColor="text1"/>
          <w:sz w:val="22"/>
          <w:szCs w:val="22"/>
        </w:rPr>
        <w:t xml:space="preserve">and all the prevalent and incident </w:t>
      </w:r>
      <w:r w:rsidR="00E70DAD" w:rsidRPr="004F076A">
        <w:rPr>
          <w:color w:val="000000" w:themeColor="text1"/>
          <w:sz w:val="22"/>
          <w:szCs w:val="22"/>
        </w:rPr>
        <w:t>CVDs</w:t>
      </w:r>
      <w:r w:rsidR="0028140B" w:rsidRPr="004F076A">
        <w:rPr>
          <w:color w:val="000000" w:themeColor="text1"/>
          <w:sz w:val="22"/>
          <w:szCs w:val="22"/>
        </w:rPr>
        <w:t>. Diabetes, smoking</w:t>
      </w:r>
      <w:r w:rsidR="00352FF7">
        <w:rPr>
          <w:color w:val="000000" w:themeColor="text1"/>
          <w:sz w:val="22"/>
          <w:szCs w:val="22"/>
        </w:rPr>
        <w:t>, and high cholesterol</w:t>
      </w:r>
      <w:r w:rsidR="0028140B" w:rsidRPr="004F076A">
        <w:rPr>
          <w:color w:val="000000" w:themeColor="text1"/>
          <w:sz w:val="22"/>
          <w:szCs w:val="22"/>
        </w:rPr>
        <w:t xml:space="preserve"> were associated with smaller LAV. Hypertension, IHD</w:t>
      </w:r>
      <w:r w:rsidR="00397A87" w:rsidRPr="004F076A">
        <w:rPr>
          <w:color w:val="000000" w:themeColor="text1"/>
          <w:sz w:val="22"/>
          <w:szCs w:val="22"/>
        </w:rPr>
        <w:t xml:space="preserve">, </w:t>
      </w:r>
      <w:r w:rsidR="00352FF7">
        <w:rPr>
          <w:color w:val="000000" w:themeColor="text1"/>
          <w:sz w:val="22"/>
          <w:szCs w:val="22"/>
        </w:rPr>
        <w:t>AF (incident and prevalent)</w:t>
      </w:r>
      <w:r w:rsidR="00397A87" w:rsidRPr="004F076A">
        <w:rPr>
          <w:color w:val="000000" w:themeColor="text1"/>
          <w:sz w:val="22"/>
          <w:szCs w:val="22"/>
        </w:rPr>
        <w:t>, incident stroke</w:t>
      </w:r>
      <w:r w:rsidR="00846075">
        <w:rPr>
          <w:color w:val="000000" w:themeColor="text1"/>
          <w:sz w:val="22"/>
          <w:szCs w:val="22"/>
        </w:rPr>
        <w:t>, and CVD mortality</w:t>
      </w:r>
      <w:r w:rsidR="0028140B" w:rsidRPr="004F076A">
        <w:rPr>
          <w:color w:val="000000" w:themeColor="text1"/>
          <w:sz w:val="22"/>
          <w:szCs w:val="22"/>
        </w:rPr>
        <w:t xml:space="preserve"> were associated with larger LAV. </w:t>
      </w:r>
      <w:r w:rsidR="0018337C" w:rsidRPr="004F076A">
        <w:rPr>
          <w:color w:val="000000" w:themeColor="text1"/>
          <w:sz w:val="22"/>
          <w:szCs w:val="22"/>
        </w:rPr>
        <w:t xml:space="preserve">LV and LA metrics were </w:t>
      </w:r>
      <w:r w:rsidR="00352FF7">
        <w:rPr>
          <w:color w:val="000000" w:themeColor="text1"/>
          <w:sz w:val="22"/>
          <w:szCs w:val="22"/>
        </w:rPr>
        <w:t xml:space="preserve">both </w:t>
      </w:r>
      <w:r w:rsidR="0018337C" w:rsidRPr="004F076A">
        <w:rPr>
          <w:color w:val="000000" w:themeColor="text1"/>
          <w:sz w:val="22"/>
          <w:szCs w:val="22"/>
        </w:rPr>
        <w:t xml:space="preserve">independently informative in associations with </w:t>
      </w:r>
      <w:r w:rsidR="0018337C" w:rsidRPr="00BF5FDD">
        <w:rPr>
          <w:color w:val="000000" w:themeColor="text1"/>
          <w:sz w:val="22"/>
          <w:szCs w:val="22"/>
        </w:rPr>
        <w:t xml:space="preserve">prevalent disease, however LAEF showed the most consistent associations with incident CVDs. </w:t>
      </w:r>
      <w:r w:rsidR="00846075" w:rsidRPr="00BF5FDD">
        <w:rPr>
          <w:color w:val="000000" w:themeColor="text1"/>
          <w:sz w:val="22"/>
          <w:szCs w:val="22"/>
        </w:rPr>
        <w:t xml:space="preserve">Lower LVGFI was associated with </w:t>
      </w:r>
      <w:r w:rsidR="0023354F" w:rsidRPr="00BF5FDD">
        <w:rPr>
          <w:color w:val="000000" w:themeColor="text1"/>
          <w:sz w:val="22"/>
          <w:szCs w:val="22"/>
        </w:rPr>
        <w:t>greater</w:t>
      </w:r>
      <w:r w:rsidR="00846075" w:rsidRPr="00BF5FDD">
        <w:rPr>
          <w:color w:val="000000" w:themeColor="text1"/>
          <w:sz w:val="22"/>
          <w:szCs w:val="22"/>
        </w:rPr>
        <w:t xml:space="preserve"> all-cause and CVD mortality. </w:t>
      </w:r>
      <w:r w:rsidR="00D81843">
        <w:rPr>
          <w:color w:val="000000" w:themeColor="text1"/>
          <w:sz w:val="22"/>
          <w:szCs w:val="22"/>
        </w:rPr>
        <w:t>In secondary analyses,</w:t>
      </w:r>
      <w:r w:rsidR="00D81843" w:rsidRPr="00D81843">
        <w:rPr>
          <w:color w:val="000000" w:themeColor="text1"/>
          <w:sz w:val="22"/>
          <w:szCs w:val="22"/>
        </w:rPr>
        <w:t xml:space="preserve"> </w:t>
      </w:r>
      <w:r w:rsidR="00D81843">
        <w:rPr>
          <w:color w:val="000000" w:themeColor="text1"/>
          <w:sz w:val="22"/>
          <w:szCs w:val="22"/>
        </w:rPr>
        <w:t>compared to LVGFI, LV ejection fraction showed similar but less consistent associations.</w:t>
      </w:r>
    </w:p>
    <w:p w14:paraId="0DE07DDA" w14:textId="77777777" w:rsidR="0028140B" w:rsidRPr="004F076A" w:rsidRDefault="0028140B" w:rsidP="0028140B">
      <w:pPr>
        <w:spacing w:line="480" w:lineRule="auto"/>
        <w:rPr>
          <w:color w:val="000000" w:themeColor="text1"/>
          <w:sz w:val="22"/>
          <w:szCs w:val="22"/>
        </w:rPr>
      </w:pPr>
    </w:p>
    <w:p w14:paraId="39BB1088" w14:textId="6662C90C" w:rsidR="00553E49" w:rsidRPr="004F076A" w:rsidRDefault="3381737A" w:rsidP="00BF1990">
      <w:pPr>
        <w:spacing w:line="480" w:lineRule="auto"/>
        <w:rPr>
          <w:color w:val="000000" w:themeColor="text1"/>
          <w:sz w:val="22"/>
          <w:szCs w:val="22"/>
          <w:shd w:val="clear" w:color="auto" w:fill="FFFFFF"/>
        </w:rPr>
      </w:pPr>
      <w:r w:rsidRPr="00BF5FDD">
        <w:rPr>
          <w:b/>
          <w:bCs/>
          <w:color w:val="000000" w:themeColor="text1"/>
          <w:sz w:val="22"/>
          <w:szCs w:val="22"/>
          <w:shd w:val="clear" w:color="auto" w:fill="FFFFFF"/>
        </w:rPr>
        <w:t>Conclusion</w:t>
      </w:r>
      <w:r w:rsidR="25D8E411" w:rsidRPr="00BF5FDD">
        <w:rPr>
          <w:b/>
          <w:bCs/>
          <w:color w:val="000000" w:themeColor="text1"/>
          <w:sz w:val="22"/>
          <w:szCs w:val="22"/>
          <w:shd w:val="clear" w:color="auto" w:fill="FFFFFF"/>
        </w:rPr>
        <w:t>:</w:t>
      </w:r>
      <w:r w:rsidR="753A4C3A" w:rsidRPr="00BF5FDD">
        <w:rPr>
          <w:b/>
          <w:bCs/>
          <w:color w:val="000000" w:themeColor="text1"/>
          <w:sz w:val="22"/>
          <w:szCs w:val="22"/>
          <w:shd w:val="clear" w:color="auto" w:fill="FFFFFF"/>
        </w:rPr>
        <w:t xml:space="preserve"> </w:t>
      </w:r>
      <w:r w:rsidR="00352FF7" w:rsidRPr="00BF5FDD">
        <w:rPr>
          <w:color w:val="000000" w:themeColor="text1"/>
          <w:sz w:val="22"/>
          <w:szCs w:val="22"/>
          <w:shd w:val="clear" w:color="auto" w:fill="FFFFFF"/>
        </w:rPr>
        <w:t>LA structure and function measures (LAEF, LAV) demonstrate significant associations with key prevalent and incident cardiovascular outcomes, independent of LV metrics. These measures have potential clinical utility for disease discrimination and outcome prediction.</w:t>
      </w:r>
    </w:p>
    <w:p w14:paraId="7B446370" w14:textId="744AFFD6" w:rsidR="00553E49" w:rsidRPr="004F076A" w:rsidRDefault="00553E49" w:rsidP="00511AE5">
      <w:pPr>
        <w:spacing w:line="480" w:lineRule="auto"/>
        <w:rPr>
          <w:b/>
          <w:bCs/>
          <w:color w:val="000000" w:themeColor="text1"/>
          <w:sz w:val="22"/>
          <w:szCs w:val="22"/>
        </w:rPr>
      </w:pPr>
    </w:p>
    <w:p w14:paraId="254ABE9E" w14:textId="4B7CCF21" w:rsidR="009F7962" w:rsidRPr="00180E18" w:rsidRDefault="26F9A554" w:rsidP="00511AE5">
      <w:pPr>
        <w:spacing w:line="480" w:lineRule="auto"/>
        <w:rPr>
          <w:color w:val="000000" w:themeColor="text1"/>
          <w:sz w:val="22"/>
          <w:szCs w:val="22"/>
        </w:rPr>
      </w:pPr>
      <w:r w:rsidRPr="004F076A">
        <w:rPr>
          <w:b/>
          <w:bCs/>
          <w:color w:val="000000" w:themeColor="text1"/>
          <w:sz w:val="22"/>
          <w:szCs w:val="22"/>
          <w:shd w:val="clear" w:color="auto" w:fill="FFFFFF"/>
        </w:rPr>
        <w:t xml:space="preserve">Keywords: </w:t>
      </w:r>
      <w:r w:rsidRPr="004F076A">
        <w:rPr>
          <w:color w:val="000000" w:themeColor="text1"/>
          <w:sz w:val="22"/>
          <w:szCs w:val="22"/>
          <w:shd w:val="clear" w:color="auto" w:fill="FFFFFF"/>
        </w:rPr>
        <w:t xml:space="preserve">left atrium, </w:t>
      </w:r>
      <w:r w:rsidR="640215F1" w:rsidRPr="004F076A">
        <w:rPr>
          <w:color w:val="000000" w:themeColor="text1"/>
          <w:sz w:val="22"/>
          <w:szCs w:val="22"/>
          <w:shd w:val="clear" w:color="auto" w:fill="FFFFFF"/>
        </w:rPr>
        <w:t>left ventricle, cardiovascular magnetic resonance, v</w:t>
      </w:r>
      <w:r w:rsidRPr="004F076A">
        <w:rPr>
          <w:color w:val="000000" w:themeColor="text1"/>
          <w:sz w:val="22"/>
          <w:szCs w:val="22"/>
          <w:shd w:val="clear" w:color="auto" w:fill="FFFFFF"/>
        </w:rPr>
        <w:t xml:space="preserve">ascular risk factors, </w:t>
      </w:r>
      <w:r w:rsidR="162E53BD" w:rsidRPr="004F076A">
        <w:rPr>
          <w:color w:val="000000" w:themeColor="text1"/>
          <w:sz w:val="22"/>
          <w:szCs w:val="22"/>
          <w:shd w:val="clear" w:color="auto" w:fill="FFFFFF"/>
        </w:rPr>
        <w:t>atrial fibrillation, stroke, ischaemic heart disease</w:t>
      </w:r>
      <w:r w:rsidR="00224F66" w:rsidRPr="004F076A">
        <w:rPr>
          <w:color w:val="000000" w:themeColor="text1"/>
          <w:sz w:val="22"/>
          <w:szCs w:val="22"/>
          <w:shd w:val="clear" w:color="auto" w:fill="FFFFFF"/>
        </w:rPr>
        <w:t>, cardiovascular outcomes</w:t>
      </w:r>
      <w:r w:rsidR="00313839">
        <w:rPr>
          <w:color w:val="000000" w:themeColor="text1"/>
          <w:sz w:val="22"/>
          <w:szCs w:val="22"/>
          <w:shd w:val="clear" w:color="auto" w:fill="FFFFFF"/>
        </w:rPr>
        <w:t>, mortality</w:t>
      </w:r>
      <w:r w:rsidR="00180E18">
        <w:rPr>
          <w:color w:val="000000" w:themeColor="text1"/>
          <w:sz w:val="22"/>
          <w:szCs w:val="22"/>
        </w:rPr>
        <w:t>.</w:t>
      </w:r>
      <w:r w:rsidR="009F7962" w:rsidRPr="004F076A">
        <w:rPr>
          <w:b/>
          <w:bCs/>
          <w:color w:val="000000" w:themeColor="text1"/>
          <w:sz w:val="22"/>
          <w:szCs w:val="22"/>
          <w:shd w:val="clear" w:color="auto" w:fill="FFFFFF"/>
        </w:rPr>
        <w:br w:type="page"/>
      </w:r>
    </w:p>
    <w:p w14:paraId="5E12CBF5" w14:textId="38B9D1D8" w:rsidR="00553E49" w:rsidRPr="004F076A" w:rsidRDefault="00A8517A" w:rsidP="00511AE5">
      <w:pPr>
        <w:spacing w:line="480" w:lineRule="auto"/>
        <w:rPr>
          <w:b/>
          <w:bCs/>
          <w:color w:val="000000" w:themeColor="text1"/>
          <w:sz w:val="22"/>
          <w:szCs w:val="22"/>
        </w:rPr>
      </w:pPr>
      <w:r w:rsidRPr="004F076A">
        <w:rPr>
          <w:b/>
          <w:bCs/>
          <w:color w:val="000000" w:themeColor="text1"/>
          <w:sz w:val="22"/>
          <w:szCs w:val="22"/>
        </w:rPr>
        <w:lastRenderedPageBreak/>
        <w:t>Introduction</w:t>
      </w:r>
    </w:p>
    <w:p w14:paraId="5D755749" w14:textId="4178FC8A" w:rsidR="00613609" w:rsidRPr="004F076A" w:rsidRDefault="22A4A0AB" w:rsidP="00511AE5">
      <w:pPr>
        <w:spacing w:line="480" w:lineRule="auto"/>
        <w:rPr>
          <w:color w:val="000000" w:themeColor="text1"/>
          <w:sz w:val="22"/>
          <w:szCs w:val="22"/>
        </w:rPr>
      </w:pPr>
      <w:r w:rsidRPr="004F076A">
        <w:rPr>
          <w:color w:val="000000" w:themeColor="text1"/>
          <w:sz w:val="22"/>
          <w:szCs w:val="22"/>
        </w:rPr>
        <w:t xml:space="preserve">The left atrium (LA) is highly sensitive to </w:t>
      </w:r>
      <w:r w:rsidR="03932B52" w:rsidRPr="004F076A">
        <w:rPr>
          <w:color w:val="000000" w:themeColor="text1"/>
          <w:sz w:val="22"/>
          <w:szCs w:val="22"/>
        </w:rPr>
        <w:t>subtle</w:t>
      </w:r>
      <w:r w:rsidR="4FD48FB6" w:rsidRPr="004F076A">
        <w:rPr>
          <w:color w:val="000000" w:themeColor="text1"/>
          <w:sz w:val="22"/>
          <w:szCs w:val="22"/>
        </w:rPr>
        <w:t xml:space="preserve"> </w:t>
      </w:r>
      <w:r w:rsidRPr="004F076A">
        <w:rPr>
          <w:color w:val="000000" w:themeColor="text1"/>
          <w:sz w:val="22"/>
          <w:szCs w:val="22"/>
        </w:rPr>
        <w:t>left ventric</w:t>
      </w:r>
      <w:r w:rsidR="3FEB3E54" w:rsidRPr="004F076A">
        <w:rPr>
          <w:color w:val="000000" w:themeColor="text1"/>
          <w:sz w:val="22"/>
          <w:szCs w:val="22"/>
        </w:rPr>
        <w:t>u</w:t>
      </w:r>
      <w:r w:rsidRPr="004F076A">
        <w:rPr>
          <w:color w:val="000000" w:themeColor="text1"/>
          <w:sz w:val="22"/>
          <w:szCs w:val="22"/>
        </w:rPr>
        <w:t>l</w:t>
      </w:r>
      <w:r w:rsidR="15847FC2" w:rsidRPr="004F076A">
        <w:rPr>
          <w:color w:val="000000" w:themeColor="text1"/>
          <w:sz w:val="22"/>
          <w:szCs w:val="22"/>
        </w:rPr>
        <w:t>ar</w:t>
      </w:r>
      <w:r w:rsidRPr="004F076A">
        <w:rPr>
          <w:color w:val="000000" w:themeColor="text1"/>
          <w:sz w:val="22"/>
          <w:szCs w:val="22"/>
        </w:rPr>
        <w:t xml:space="preserve"> (LV)</w:t>
      </w:r>
      <w:r w:rsidR="17CB01E8" w:rsidRPr="004F076A">
        <w:rPr>
          <w:color w:val="000000" w:themeColor="text1"/>
          <w:sz w:val="22"/>
          <w:szCs w:val="22"/>
        </w:rPr>
        <w:t xml:space="preserve"> haemodynamic</w:t>
      </w:r>
      <w:r w:rsidR="54B0A3BD" w:rsidRPr="004F076A">
        <w:rPr>
          <w:color w:val="000000" w:themeColor="text1"/>
          <w:sz w:val="22"/>
          <w:szCs w:val="22"/>
        </w:rPr>
        <w:t xml:space="preserve"> changes</w:t>
      </w:r>
      <w:r w:rsidR="00C5554B" w:rsidRPr="004F076A">
        <w:rPr>
          <w:color w:val="000000" w:themeColor="text1"/>
          <w:sz w:val="22"/>
          <w:szCs w:val="22"/>
        </w:rPr>
        <w:t>.</w:t>
      </w:r>
      <w:r w:rsidR="00C5554B" w:rsidRPr="004F076A">
        <w:rPr>
          <w:color w:val="000000" w:themeColor="text1"/>
          <w:sz w:val="22"/>
          <w:szCs w:val="22"/>
        </w:rPr>
        <w:fldChar w:fldCharType="begin" w:fldLock="1"/>
      </w:r>
      <w:r w:rsidR="00511AE5" w:rsidRPr="004F076A">
        <w:rPr>
          <w:color w:val="000000" w:themeColor="text1"/>
          <w:sz w:val="22"/>
          <w:szCs w:val="22"/>
        </w:rPr>
        <w:instrText>ADDIN CSL_CITATION {"citationItems":[{"id":"ITEM-1","itemData":{"DOI":"10.1053/euhj.1999.2581","ISSN":"0195668X","PMID":"11133207","author":[{"dropping-particle":"","family":"Stefanadis","given":"C.","non-dropping-particle":"","parse-names":false,"suffix":""},{"dropping-particle":"","family":"Dernellis","given":"J.","non-dropping-particle":"","parse-names":false,"suffix":""},{"dropping-particle":"","family":"Toutouzas","given":"P.","non-dropping-particle":"","parse-names":false,"suffix":""}],"container-title":"European Heart Journal","id":"ITEM-1","issue":"1","issued":{"date-parts":[["2001"]]},"page":"22-36","publisher":"Eur Heart J","title":"A clinical appraisal of left atrial function","type":"article-journal","volume":"22"},"uris":["http://www.mendeley.com/documents/?uuid=e95a219a-7481-3d94-8d62-5a9f445052bb"]},{"id":"ITEM-2","itemData":{"DOI":"10.1093/ejechocard/jeq175","ISSN":"15252167","PMID":"21565866","abstract":"The interest in the left atrium (LA) has resurged over the recent years. In the early 1980s, multiple studies were conducted to determine the normal values of LA size. Over the past decade, LA size as an imaging biomarker has been consistently shown to be a powerful predictor of outcomes, including major public health problems such as atrial fibrillation, heart failure, stroke, and death. More recently, functional assessment of the LA has been shown to be, at least as, if not more robust, a marker of cardiovascular outcomes. Current available data suggest that the combined evaluation of LA size and LA function will augment prognostication. The aim of this review is to provide a critical appraisal of current echocardiographic techniques for the assessment of LA function and the implications of such assessment for prediction and disease prevention. © The Author 2010.","author":[{"dropping-particle":"","family":"Blume","given":"Gustavo G.","non-dropping-particle":"","parse-names":false,"suffix":""},{"dropping-particle":"","family":"McLeod","given":"Christopher J.","non-dropping-particle":"","parse-names":false,"suffix":""},{"dropping-particle":"","family":"Barnes","given":"Marion E.","non-dropping-particle":"","parse-names":false,"suffix":""},{"dropping-particle":"","family":"Seward","given":"James B.","non-dropping-particle":"","parse-names":false,"suffix":""},{"dropping-particle":"","family":"Pellikka","given":"Patricia A.","non-dropping-particle":"","parse-names":false,"suffix":""},{"dropping-particle":"","family":"Bastiansen","given":"Paul M.","non-dropping-particle":"","parse-names":false,"suffix":""},{"dropping-particle":"","family":"Tsang","given":"Teresa S.M.","non-dropping-particle":"","parse-names":false,"suffix":""}],"container-title":"European Journal of Echocardiography","id":"ITEM-2","issue":"6","issued":{"date-parts":[["2011","6","1"]]},"page":"421-430","publisher":"Oxford Academic","title":"Left atrial function: Physiology, assessment, and clinical implications","type":"article-journal","volume":"12"},"uris":["http://www.mendeley.com/documents/?uuid=6462352d-37db-3c13-a084-8fb7b6330020"]}],"mendeley":{"formattedCitation":"&lt;sup&gt;1,2&lt;/sup&gt;","plainTextFormattedCitation":"1,2","previouslyFormattedCitation":"&lt;sup&gt;1,2&lt;/sup&gt;"},"properties":{"noteIndex":0},"schema":"https://github.com/citation-style-language/schema/raw/master/csl-citation.json"}</w:instrText>
      </w:r>
      <w:r w:rsidR="00C5554B" w:rsidRPr="004F076A">
        <w:rPr>
          <w:color w:val="000000" w:themeColor="text1"/>
          <w:sz w:val="22"/>
          <w:szCs w:val="22"/>
        </w:rPr>
        <w:fldChar w:fldCharType="separate"/>
      </w:r>
      <w:r w:rsidR="00C5554B" w:rsidRPr="004F076A">
        <w:rPr>
          <w:noProof/>
          <w:color w:val="000000" w:themeColor="text1"/>
          <w:sz w:val="22"/>
          <w:szCs w:val="22"/>
          <w:vertAlign w:val="superscript"/>
        </w:rPr>
        <w:t>1,2</w:t>
      </w:r>
      <w:r w:rsidR="00C5554B" w:rsidRPr="004F076A">
        <w:rPr>
          <w:color w:val="000000" w:themeColor="text1"/>
          <w:sz w:val="22"/>
          <w:szCs w:val="22"/>
        </w:rPr>
        <w:fldChar w:fldCharType="end"/>
      </w:r>
      <w:r w:rsidRPr="004F076A">
        <w:rPr>
          <w:color w:val="000000" w:themeColor="text1"/>
          <w:sz w:val="22"/>
          <w:szCs w:val="22"/>
        </w:rPr>
        <w:t xml:space="preserve"> </w:t>
      </w:r>
      <w:r w:rsidR="00A9305D" w:rsidRPr="004F076A">
        <w:rPr>
          <w:color w:val="000000" w:themeColor="text1"/>
          <w:sz w:val="22"/>
          <w:szCs w:val="22"/>
        </w:rPr>
        <w:t>A</w:t>
      </w:r>
      <w:r w:rsidR="6855E533" w:rsidRPr="004F076A">
        <w:rPr>
          <w:color w:val="000000" w:themeColor="text1"/>
          <w:sz w:val="22"/>
          <w:szCs w:val="22"/>
        </w:rPr>
        <w:t>lterations in LA structure and function may precede detectable LV dysfunction and</w:t>
      </w:r>
      <w:r w:rsidR="059F5769" w:rsidRPr="004F076A">
        <w:rPr>
          <w:color w:val="000000" w:themeColor="text1"/>
          <w:sz w:val="22"/>
          <w:szCs w:val="22"/>
        </w:rPr>
        <w:t>, as such,</w:t>
      </w:r>
      <w:r w:rsidR="6855E533" w:rsidRPr="004F076A">
        <w:rPr>
          <w:color w:val="000000" w:themeColor="text1"/>
          <w:sz w:val="22"/>
          <w:szCs w:val="22"/>
        </w:rPr>
        <w:t xml:space="preserve"> have </w:t>
      </w:r>
      <w:r w:rsidR="586D514D" w:rsidRPr="004F076A">
        <w:rPr>
          <w:color w:val="000000" w:themeColor="text1"/>
          <w:sz w:val="22"/>
          <w:szCs w:val="22"/>
        </w:rPr>
        <w:t xml:space="preserve">potential </w:t>
      </w:r>
      <w:r w:rsidR="6855E533" w:rsidRPr="004F076A">
        <w:rPr>
          <w:color w:val="000000" w:themeColor="text1"/>
          <w:sz w:val="22"/>
          <w:szCs w:val="22"/>
        </w:rPr>
        <w:t xml:space="preserve">utility </w:t>
      </w:r>
      <w:r w:rsidR="2AAC0DAA" w:rsidRPr="004F076A">
        <w:rPr>
          <w:color w:val="000000" w:themeColor="text1"/>
          <w:sz w:val="22"/>
          <w:szCs w:val="22"/>
        </w:rPr>
        <w:t>for</w:t>
      </w:r>
      <w:r w:rsidR="7CA110CF" w:rsidRPr="004F076A">
        <w:rPr>
          <w:color w:val="000000" w:themeColor="text1"/>
          <w:sz w:val="22"/>
          <w:szCs w:val="22"/>
        </w:rPr>
        <w:t xml:space="preserve"> </w:t>
      </w:r>
      <w:r w:rsidR="6855E533" w:rsidRPr="004F076A">
        <w:rPr>
          <w:color w:val="000000" w:themeColor="text1"/>
          <w:sz w:val="22"/>
          <w:szCs w:val="22"/>
        </w:rPr>
        <w:t>ear</w:t>
      </w:r>
      <w:r w:rsidR="5D6A9370" w:rsidRPr="004F076A">
        <w:rPr>
          <w:color w:val="000000" w:themeColor="text1"/>
          <w:sz w:val="22"/>
          <w:szCs w:val="22"/>
        </w:rPr>
        <w:t>lier</w:t>
      </w:r>
      <w:r w:rsidR="6855E533" w:rsidRPr="004F076A">
        <w:rPr>
          <w:color w:val="000000" w:themeColor="text1"/>
          <w:sz w:val="22"/>
          <w:szCs w:val="22"/>
        </w:rPr>
        <w:t xml:space="preserve"> </w:t>
      </w:r>
      <w:r w:rsidR="4F491785" w:rsidRPr="004F076A">
        <w:rPr>
          <w:color w:val="000000" w:themeColor="text1"/>
          <w:sz w:val="22"/>
          <w:szCs w:val="22"/>
        </w:rPr>
        <w:t xml:space="preserve">and more accurate </w:t>
      </w:r>
      <w:r w:rsidR="6855E533" w:rsidRPr="004F076A">
        <w:rPr>
          <w:color w:val="000000" w:themeColor="text1"/>
          <w:sz w:val="22"/>
          <w:szCs w:val="22"/>
        </w:rPr>
        <w:t xml:space="preserve">disease </w:t>
      </w:r>
      <w:r w:rsidR="7C9662FB" w:rsidRPr="004F076A">
        <w:rPr>
          <w:color w:val="000000" w:themeColor="text1"/>
          <w:sz w:val="22"/>
          <w:szCs w:val="22"/>
        </w:rPr>
        <w:t>discrimination</w:t>
      </w:r>
      <w:r w:rsidR="6855E533" w:rsidRPr="004F076A">
        <w:rPr>
          <w:color w:val="000000" w:themeColor="text1"/>
          <w:sz w:val="22"/>
          <w:szCs w:val="22"/>
        </w:rPr>
        <w:t xml:space="preserve"> </w:t>
      </w:r>
      <w:r w:rsidR="05073223" w:rsidRPr="004F076A">
        <w:rPr>
          <w:color w:val="000000" w:themeColor="text1"/>
          <w:sz w:val="22"/>
          <w:szCs w:val="22"/>
        </w:rPr>
        <w:t>than</w:t>
      </w:r>
      <w:r w:rsidR="6855E533" w:rsidRPr="004F076A">
        <w:rPr>
          <w:color w:val="000000" w:themeColor="text1"/>
          <w:sz w:val="22"/>
          <w:szCs w:val="22"/>
        </w:rPr>
        <w:t xml:space="preserve"> LV metrics.</w:t>
      </w:r>
      <w:r w:rsidR="00C5554B" w:rsidRPr="004F076A">
        <w:rPr>
          <w:color w:val="000000" w:themeColor="text1"/>
          <w:sz w:val="22"/>
          <w:szCs w:val="22"/>
        </w:rPr>
        <w:fldChar w:fldCharType="begin" w:fldLock="1"/>
      </w:r>
      <w:r w:rsidR="00684A6A" w:rsidRPr="004F076A">
        <w:rPr>
          <w:color w:val="000000" w:themeColor="text1"/>
          <w:sz w:val="22"/>
          <w:szCs w:val="22"/>
        </w:rPr>
        <w:instrText>ADDIN CSL_CITATION {"citationItems":[{"id":"ITEM-1","itemData":{"DOI":"10.1093/ejechocard/jeq175","ISSN":"15252167","PMID":"21565866","abstract":"The interest in the left atrium (LA) has resurged over the recent years. In the early 1980s, multiple studies were conducted to determine the normal values of LA size. Over the past decade, LA size as an imaging biomarker has been consistently shown to be a powerful predictor of outcomes, including major public health problems such as atrial fibrillation, heart failure, stroke, and death. More recently, functional assessment of the LA has been shown to be, at least as, if not more robust, a marker of cardiovascular outcomes. Current available data suggest that the combined evaluation of LA size and LA function will augment prognostication. The aim of this review is to provide a critical appraisal of current echocardiographic techniques for the assessment of LA function and the implications of such assessment for prediction and disease prevention. © The Author 2010.","author":[{"dropping-particle":"","family":"Blume","given":"Gustavo G.","non-dropping-particle":"","parse-names":false,"suffix":""},{"dropping-particle":"","family":"McLeod","given":"Christopher J.","non-dropping-particle":"","parse-names":false,"suffix":""},{"dropping-particle":"","family":"Barnes","given":"Marion E.","non-dropping-particle":"","parse-names":false,"suffix":""},{"dropping-particle":"","family":"Seward","given":"James B.","non-dropping-particle":"","parse-names":false,"suffix":""},{"dropping-particle":"","family":"Pellikka","given":"Patricia A.","non-dropping-particle":"","parse-names":false,"suffix":""},{"dropping-particle":"","family":"Bastiansen","given":"Paul M.","non-dropping-particle":"","parse-names":false,"suffix":""},{"dropping-particle":"","family":"Tsang","given":"Teresa S.M.","non-dropping-particle":"","parse-names":false,"suffix":""}],"container-title":"European Journal of Echocardiography","id":"ITEM-1","issue":"6","issued":{"date-parts":[["2011","6","1"]]},"page":"421-430","publisher":"Oxford Academic","title":"Left atrial function: Physiology, assessment, and clinical implications","type":"article-journal","volume":"12"},"uris":["http://www.mendeley.com/documents/?uuid=6462352d-37db-3c13-a084-8fb7b6330020"]},{"id":"ITEM-2","itemData":{"DOI":"10.1053/euhj.1999.2581","ISSN":"0195668X","PMID":"11133207","author":[{"dropping-particle":"","family":"Stefanadis","given":"C.","non-dropping-particle":"","parse-names":false,"suffix":""},{"dropping-particle":"","family":"Dernellis","given":"J.","non-dropping-particle":"","parse-names":false,"suffix":""},{"dropping-particle":"","family":"Toutouzas","given":"P.","non-dropping-particle":"","parse-names":false,"suffix":""}],"container-title":"European Heart Journal","id":"ITEM-2","issue":"1","issued":{"date-parts":[["2001"]]},"page":"22-36","publisher":"Eur Heart J","title":"A clinical appraisal of left atrial function","type":"article-journal","volume":"22"},"uris":["http://www.mendeley.com/documents/?uuid=e95a219a-7481-3d94-8d62-5a9f445052bb"]},{"id":"ITEM-3","itemData":{"DOI":"10.1161/CIRCIMAGING.108.813071","ISSN":"19419651","PMID":"19808559","abstract":"Background-Abnormalities in left ventricular (LV) structure and function occur in patients with diastolic heart failure (DHF). The reasons for the transition from asymptomatic dysfunction to heart failure need better definition, including noninvasive measurements that can detect the transition. Methods and Results-In 64 patients undergoing right heart catheterization, simultaneous echocardiographic imaging was performed. As a control group, 27 healthy subjects were included. There were 25 with ejection factor (EF) 50%, 20 in DHF, and 19 with normal EF and LV hypertrophy but not in heart failure (diastolic dysfunction). LV volumes, mass, left atrial (LA) volumes and EF, annular atrial velocity (a'), and LA strain during systole (LAS), and atrial contraction (LAA) were measured. The ratio of wedge pressure to LAS strain was used as an index of LA stiffness, as was the ratio of E/e' to LAS strain. All 3 patient groups had increased LA volumes and depressed LA EF, a', and LAA strain, with no significant difference between patients with DHF and diastolic dysfunction in LA systolic function indices, LV mass, LA volumes, LV, and arterial elastance. LAS strain was lower in patients with DHF, and LA stiffness (invasive and noninvasive) was higher (both P&lt;0.01), related well to pulmonary artery systolic pressure (r=0.79, P&lt;0.001), and was most accurate in identifying DHF patients from those with diastolic dysfunction (invasive area under the curve: 0.93, noninvasive: 0.85). Conclusions-Patients with DHF have increased LV mass and LA volume in comparison with normal controls, but not versus patients with LV hypertrophy who are not in heart failure. On the other hand, LAS strain is significantly reduced and LA stiffness is the most accurate index in identifying patients with DHF. (Circ Cardiovasc Imaging. 2009;2:10-15.) © 2009 American Heart Association, Inc.","author":[{"dropping-particle":"","family":"Kurt","given":"Mustafa","non-dropping-particle":"","parse-names":false,"suffix":""},{"dropping-particle":"","family":"Wang","given":"Jianwen","non-dropping-particle":"","parse-names":false,"suffix":""},{"dropping-particle":"","family":"Torre-Amione","given":"Guillermo","non-dropping-particle":"","parse-names":false,"suffix":""},{"dropping-particle":"","family":"Nagueh","given":"Sherif F.","non-dropping-particle":"","parse-names":false,"suffix":""}],"container-title":"Circulation: Cardiovascular Imaging","id":"ITEM-3","issue":"1","issued":{"date-parts":[["2009","1"]]},"page":"10-15","publisher":"Lippincott Williams &amp; Wilkins","title":"Left atrial function in diastolic heart failure","type":"article-journal","volume":"2"},"uris":["http://www.mendeley.com/documents/?uuid=c5a1978e-2f44-33d5-9776-82af25a5fda4"]}],"mendeley":{"formattedCitation":"&lt;sup&gt;1–3&lt;/sup&gt;","plainTextFormattedCitation":"1–3","previouslyFormattedCitation":"&lt;sup&gt;1–3&lt;/sup&gt;"},"properties":{"noteIndex":0},"schema":"https://github.com/citation-style-language/schema/raw/master/csl-citation.json"}</w:instrText>
      </w:r>
      <w:r w:rsidR="00C5554B" w:rsidRPr="004F076A">
        <w:rPr>
          <w:color w:val="000000" w:themeColor="text1"/>
          <w:sz w:val="22"/>
          <w:szCs w:val="22"/>
        </w:rPr>
        <w:fldChar w:fldCharType="separate"/>
      </w:r>
      <w:r w:rsidR="00201479" w:rsidRPr="004F076A">
        <w:rPr>
          <w:noProof/>
          <w:color w:val="000000" w:themeColor="text1"/>
          <w:sz w:val="22"/>
          <w:szCs w:val="22"/>
          <w:vertAlign w:val="superscript"/>
        </w:rPr>
        <w:t>1–3</w:t>
      </w:r>
      <w:r w:rsidR="00C5554B" w:rsidRPr="004F076A">
        <w:rPr>
          <w:color w:val="000000" w:themeColor="text1"/>
          <w:sz w:val="22"/>
          <w:szCs w:val="22"/>
        </w:rPr>
        <w:fldChar w:fldCharType="end"/>
      </w:r>
      <w:r w:rsidR="5EF94339" w:rsidRPr="004F076A">
        <w:rPr>
          <w:color w:val="000000" w:themeColor="text1"/>
          <w:sz w:val="22"/>
          <w:szCs w:val="22"/>
        </w:rPr>
        <w:t xml:space="preserve"> </w:t>
      </w:r>
      <w:r w:rsidR="5B2772B3" w:rsidRPr="004F076A">
        <w:rPr>
          <w:color w:val="000000" w:themeColor="text1"/>
          <w:sz w:val="22"/>
          <w:szCs w:val="22"/>
        </w:rPr>
        <w:t>In particular, LA</w:t>
      </w:r>
      <w:r w:rsidR="0CA18BB5" w:rsidRPr="004F076A">
        <w:rPr>
          <w:color w:val="000000" w:themeColor="text1"/>
          <w:sz w:val="22"/>
          <w:szCs w:val="22"/>
        </w:rPr>
        <w:t xml:space="preserve"> size and function </w:t>
      </w:r>
      <w:r w:rsidR="7CE981EB" w:rsidRPr="004F076A">
        <w:rPr>
          <w:color w:val="000000" w:themeColor="text1"/>
          <w:sz w:val="22"/>
          <w:szCs w:val="22"/>
        </w:rPr>
        <w:t>are</w:t>
      </w:r>
      <w:r w:rsidR="0CA18BB5" w:rsidRPr="004F076A">
        <w:rPr>
          <w:color w:val="000000" w:themeColor="text1"/>
          <w:sz w:val="22"/>
          <w:szCs w:val="22"/>
        </w:rPr>
        <w:t xml:space="preserve"> altered in response to elevated LV filling pressures, an early feature of diastolic dysfunction and a key component of heart failure </w:t>
      </w:r>
      <w:r w:rsidR="0022433A" w:rsidRPr="004F076A">
        <w:rPr>
          <w:color w:val="000000" w:themeColor="text1"/>
          <w:sz w:val="22"/>
          <w:szCs w:val="22"/>
        </w:rPr>
        <w:t xml:space="preserve">with preserved </w:t>
      </w:r>
      <w:r w:rsidR="0CA18BB5" w:rsidRPr="004F076A">
        <w:rPr>
          <w:color w:val="000000" w:themeColor="text1"/>
          <w:sz w:val="22"/>
          <w:szCs w:val="22"/>
        </w:rPr>
        <w:t>ejection fraction (HFpEF).</w:t>
      </w:r>
      <w:r w:rsidR="00C5554B" w:rsidRPr="004F076A">
        <w:rPr>
          <w:color w:val="000000" w:themeColor="text1"/>
          <w:sz w:val="22"/>
          <w:szCs w:val="22"/>
        </w:rPr>
        <w:fldChar w:fldCharType="begin" w:fldLock="1"/>
      </w:r>
      <w:r w:rsidR="00511AE5" w:rsidRPr="004F076A">
        <w:rPr>
          <w:color w:val="000000" w:themeColor="text1"/>
          <w:sz w:val="22"/>
          <w:szCs w:val="22"/>
        </w:rPr>
        <w:instrText>ADDIN CSL_CITATION {"citationItems":[{"id":"ITEM-1","itemData":{"DOI":"10.1161/CIRCIMAGING.108.813071","ISSN":"19419651","PMID":"19808559","abstract":"Background-Abnormalities in left ventricular (LV) structure and function occur in patients with diastolic heart failure (DHF). The reasons for the transition from asymptomatic dysfunction to heart failure need better definition, including noninvasive measurements that can detect the transition. Methods and Results-In 64 patients undergoing right heart catheterization, simultaneous echocardiographic imaging was performed. As a control group, 27 healthy subjects were included. There were 25 with ejection factor (EF) 50%, 20 in DHF, and 19 with normal EF and LV hypertrophy but not in heart failure (diastolic dysfunction). LV volumes, mass, left atrial (LA) volumes and EF, annular atrial velocity (a'), and LA strain during systole (LAS), and atrial contraction (LAA) were measured. The ratio of wedge pressure to LAS strain was used as an index of LA stiffness, as was the ratio of E/e' to LAS strain. All 3 patient groups had increased LA volumes and depressed LA EF, a', and LAA strain, with no significant difference between patients with DHF and diastolic dysfunction in LA systolic function indices, LV mass, LA volumes, LV, and arterial elastance. LAS strain was lower in patients with DHF, and LA stiffness (invasive and noninvasive) was higher (both P&lt;0.01), related well to pulmonary artery systolic pressure (r=0.79, P&lt;0.001), and was most accurate in identifying DHF patients from those with diastolic dysfunction (invasive area under the curve: 0.93, noninvasive: 0.85). Conclusions-Patients with DHF have increased LV mass and LA volume in comparison with normal controls, but not versus patients with LV hypertrophy who are not in heart failure. On the other hand, LAS strain is significantly reduced and LA stiffness is the most accurate index in identifying patients with DHF. (Circ Cardiovasc Imaging. 2009;2:10-15.) © 2009 American Heart Association, Inc.","author":[{"dropping-particle":"","family":"Kurt","given":"Mustafa","non-dropping-particle":"","parse-names":false,"suffix":""},{"dropping-particle":"","family":"Wang","given":"Jianwen","non-dropping-particle":"","parse-names":false,"suffix":""},{"dropping-particle":"","family":"Torre-Amione","given":"Guillermo","non-dropping-particle":"","parse-names":false,"suffix":""},{"dropping-particle":"","family":"Nagueh","given":"Sherif F.","non-dropping-particle":"","parse-names":false,"suffix":""}],"container-title":"Circulation: Cardiovascular Imaging","id":"ITEM-1","issue":"1","issued":{"date-parts":[["2009","1"]]},"page":"10-15","publisher":"Lippincott Williams &amp; Wilkins","title":"Left atrial function in diastolic heart failure","type":"article-journal","volume":"2"},"uris":["http://www.mendeley.com/documents/?uuid=c5a1978e-2f44-33d5-9776-82af25a5fda4"]},{"id":"ITEM-2","itemData":{"DOI":"10.1053/euhj.1999.2581","ISSN":"0195668X","PMID":"11133207","author":[{"dropping-particle":"","family":"Stefanadis","given":"C.","non-dropping-particle":"","parse-names":false,"suffix":""},{"dropping-particle":"","family":"Dernellis","given":"J.","non-dropping-particle":"","parse-names":false,"suffix":""},{"dropping-particle":"","family":"Toutouzas","given":"P.","non-dropping-particle":"","parse-names":false,"suffix":""}],"container-title":"European Heart Journal","id":"ITEM-2","issue":"1","issued":{"date-parts":[["2001"]]},"page":"22-36","publisher":"Eur Heart J","title":"A clinical appraisal of left atrial function","type":"article-journal","volume":"22"},"uris":["http://www.mendeley.com/documents/?uuid=e95a219a-7481-3d94-8d62-5a9f445052bb"]}],"mendeley":{"formattedCitation":"&lt;sup&gt;1,3&lt;/sup&gt;","plainTextFormattedCitation":"1,3","previouslyFormattedCitation":"&lt;sup&gt;1,3&lt;/sup&gt;"},"properties":{"noteIndex":0},"schema":"https://github.com/citation-style-language/schema/raw/master/csl-citation.json"}</w:instrText>
      </w:r>
      <w:r w:rsidR="00C5554B" w:rsidRPr="004F076A">
        <w:rPr>
          <w:color w:val="000000" w:themeColor="text1"/>
          <w:sz w:val="22"/>
          <w:szCs w:val="22"/>
        </w:rPr>
        <w:fldChar w:fldCharType="separate"/>
      </w:r>
      <w:r w:rsidR="00166C6C" w:rsidRPr="004F076A">
        <w:rPr>
          <w:noProof/>
          <w:color w:val="000000" w:themeColor="text1"/>
          <w:sz w:val="22"/>
          <w:szCs w:val="22"/>
          <w:vertAlign w:val="superscript"/>
        </w:rPr>
        <w:t>1,3</w:t>
      </w:r>
      <w:r w:rsidR="00C5554B" w:rsidRPr="004F076A">
        <w:rPr>
          <w:color w:val="000000" w:themeColor="text1"/>
          <w:sz w:val="22"/>
          <w:szCs w:val="22"/>
        </w:rPr>
        <w:fldChar w:fldCharType="end"/>
      </w:r>
      <w:r w:rsidR="009E3033" w:rsidRPr="004F076A">
        <w:rPr>
          <w:color w:val="000000" w:themeColor="text1"/>
          <w:sz w:val="22"/>
          <w:szCs w:val="22"/>
        </w:rPr>
        <w:t xml:space="preserve"> </w:t>
      </w:r>
      <w:r w:rsidR="0B6FD0B5" w:rsidRPr="004F076A">
        <w:rPr>
          <w:color w:val="000000" w:themeColor="text1"/>
          <w:sz w:val="22"/>
          <w:szCs w:val="22"/>
        </w:rPr>
        <w:t xml:space="preserve">Furthermore, </w:t>
      </w:r>
      <w:r w:rsidR="5B2772B3" w:rsidRPr="004F076A">
        <w:rPr>
          <w:color w:val="000000" w:themeColor="text1"/>
          <w:sz w:val="22"/>
          <w:szCs w:val="22"/>
        </w:rPr>
        <w:t>clinically important arrhythmias</w:t>
      </w:r>
      <w:r w:rsidR="399ECE79" w:rsidRPr="004F076A">
        <w:rPr>
          <w:color w:val="000000" w:themeColor="text1"/>
          <w:sz w:val="22"/>
          <w:szCs w:val="22"/>
        </w:rPr>
        <w:t>,</w:t>
      </w:r>
      <w:r w:rsidR="5B2772B3" w:rsidRPr="004F076A">
        <w:rPr>
          <w:color w:val="000000" w:themeColor="text1"/>
          <w:sz w:val="22"/>
          <w:szCs w:val="22"/>
        </w:rPr>
        <w:t xml:space="preserve"> such as atrial fibrillation (AF)</w:t>
      </w:r>
      <w:r w:rsidR="03653D9B" w:rsidRPr="004F076A">
        <w:rPr>
          <w:color w:val="000000" w:themeColor="text1"/>
          <w:sz w:val="22"/>
          <w:szCs w:val="22"/>
        </w:rPr>
        <w:t>,</w:t>
      </w:r>
      <w:r w:rsidR="5B2772B3" w:rsidRPr="004F076A">
        <w:rPr>
          <w:color w:val="000000" w:themeColor="text1"/>
          <w:sz w:val="22"/>
          <w:szCs w:val="22"/>
        </w:rPr>
        <w:t xml:space="preserve"> </w:t>
      </w:r>
      <w:r w:rsidR="3F2B40F4" w:rsidRPr="004F076A">
        <w:rPr>
          <w:color w:val="000000" w:themeColor="text1"/>
          <w:sz w:val="22"/>
          <w:szCs w:val="22"/>
        </w:rPr>
        <w:t>primarily result in atrial (rather than ventricular) remodelling</w:t>
      </w:r>
      <w:r w:rsidR="7F0BDC34" w:rsidRPr="004F076A">
        <w:rPr>
          <w:color w:val="000000" w:themeColor="text1"/>
          <w:sz w:val="22"/>
          <w:szCs w:val="22"/>
        </w:rPr>
        <w:t>. T</w:t>
      </w:r>
      <w:r w:rsidR="1016918D" w:rsidRPr="004F076A">
        <w:rPr>
          <w:color w:val="000000" w:themeColor="text1"/>
          <w:sz w:val="22"/>
          <w:szCs w:val="22"/>
        </w:rPr>
        <w:t>h</w:t>
      </w:r>
      <w:r w:rsidR="5484118A" w:rsidRPr="004F076A">
        <w:rPr>
          <w:color w:val="000000" w:themeColor="text1"/>
          <w:sz w:val="22"/>
          <w:szCs w:val="22"/>
        </w:rPr>
        <w:t>us</w:t>
      </w:r>
      <w:r w:rsidR="1016918D" w:rsidRPr="004F076A">
        <w:rPr>
          <w:color w:val="000000" w:themeColor="text1"/>
          <w:sz w:val="22"/>
          <w:szCs w:val="22"/>
        </w:rPr>
        <w:t>,</w:t>
      </w:r>
      <w:r w:rsidR="3F2B40F4" w:rsidRPr="004F076A">
        <w:rPr>
          <w:color w:val="000000" w:themeColor="text1"/>
          <w:sz w:val="22"/>
          <w:szCs w:val="22"/>
        </w:rPr>
        <w:t xml:space="preserve"> atrial metrics may provide better indicator</w:t>
      </w:r>
      <w:r w:rsidR="08E9C1ED" w:rsidRPr="004F076A">
        <w:rPr>
          <w:color w:val="000000" w:themeColor="text1"/>
          <w:sz w:val="22"/>
          <w:szCs w:val="22"/>
        </w:rPr>
        <w:t>s</w:t>
      </w:r>
      <w:r w:rsidR="3F2B40F4" w:rsidRPr="004F076A">
        <w:rPr>
          <w:color w:val="000000" w:themeColor="text1"/>
          <w:sz w:val="22"/>
          <w:szCs w:val="22"/>
        </w:rPr>
        <w:t xml:space="preserve"> for the presen</w:t>
      </w:r>
      <w:r w:rsidR="2EC5711B" w:rsidRPr="004F076A">
        <w:rPr>
          <w:color w:val="000000" w:themeColor="text1"/>
          <w:sz w:val="22"/>
          <w:szCs w:val="22"/>
        </w:rPr>
        <w:t>ce</w:t>
      </w:r>
      <w:r w:rsidR="3F2B40F4" w:rsidRPr="004F076A">
        <w:rPr>
          <w:color w:val="000000" w:themeColor="text1"/>
          <w:sz w:val="22"/>
          <w:szCs w:val="22"/>
        </w:rPr>
        <w:t xml:space="preserve"> </w:t>
      </w:r>
      <w:r w:rsidR="00A9305D" w:rsidRPr="004F076A">
        <w:rPr>
          <w:color w:val="000000" w:themeColor="text1"/>
          <w:sz w:val="22"/>
          <w:szCs w:val="22"/>
        </w:rPr>
        <w:t xml:space="preserve">and occurrence </w:t>
      </w:r>
      <w:r w:rsidR="3F2B40F4" w:rsidRPr="004F076A">
        <w:rPr>
          <w:color w:val="000000" w:themeColor="text1"/>
          <w:sz w:val="22"/>
          <w:szCs w:val="22"/>
        </w:rPr>
        <w:t xml:space="preserve">of these conditions and </w:t>
      </w:r>
      <w:r w:rsidR="007F6BD2" w:rsidRPr="004F076A">
        <w:rPr>
          <w:color w:val="000000" w:themeColor="text1"/>
          <w:sz w:val="22"/>
          <w:szCs w:val="22"/>
        </w:rPr>
        <w:t>provide</w:t>
      </w:r>
      <w:r w:rsidR="3F2B40F4" w:rsidRPr="004F076A">
        <w:rPr>
          <w:color w:val="000000" w:themeColor="text1"/>
          <w:sz w:val="22"/>
          <w:szCs w:val="22"/>
        </w:rPr>
        <w:t xml:space="preserve"> </w:t>
      </w:r>
      <w:r w:rsidR="00042543" w:rsidRPr="004F076A">
        <w:rPr>
          <w:color w:val="000000" w:themeColor="text1"/>
          <w:sz w:val="22"/>
          <w:szCs w:val="22"/>
        </w:rPr>
        <w:t xml:space="preserve">incremental </w:t>
      </w:r>
      <w:r w:rsidR="3F2B40F4" w:rsidRPr="004F076A">
        <w:rPr>
          <w:color w:val="000000" w:themeColor="text1"/>
          <w:sz w:val="22"/>
          <w:szCs w:val="22"/>
        </w:rPr>
        <w:t xml:space="preserve">predictive value for </w:t>
      </w:r>
      <w:r w:rsidR="007F6BD2" w:rsidRPr="004F076A">
        <w:rPr>
          <w:color w:val="000000" w:themeColor="text1"/>
          <w:sz w:val="22"/>
          <w:szCs w:val="22"/>
        </w:rPr>
        <w:t xml:space="preserve">key </w:t>
      </w:r>
      <w:r w:rsidR="3F2B40F4" w:rsidRPr="004F076A">
        <w:rPr>
          <w:color w:val="000000" w:themeColor="text1"/>
          <w:sz w:val="22"/>
          <w:szCs w:val="22"/>
        </w:rPr>
        <w:t>related health outcomes, such as stroke.</w:t>
      </w:r>
      <w:r w:rsidR="00C5554B" w:rsidRPr="004F076A">
        <w:rPr>
          <w:color w:val="000000" w:themeColor="text1"/>
          <w:sz w:val="22"/>
          <w:szCs w:val="22"/>
        </w:rPr>
        <w:fldChar w:fldCharType="begin" w:fldLock="1"/>
      </w:r>
      <w:r w:rsidR="00C341C7" w:rsidRPr="004F076A">
        <w:rPr>
          <w:color w:val="000000" w:themeColor="text1"/>
          <w:sz w:val="22"/>
          <w:szCs w:val="22"/>
        </w:rPr>
        <w:instrText>ADDIN CSL_CITATION {"citationItems":[{"id":"ITEM-1","itemData":{"DOI":"10.1093/eurheartj/eht500","ISSN":"15229645","PMID":"24302269","abstract":"Aims The complex relationship between left atrial (LA) structure and function, electrical burden of atrial fibrillation (AF) and stroke risk is not well understood. We aimed to describe LA structure and function in AF. Methods and results Left atrial structure and function was assessed in 971 subjects enrolled in the echocardiographic substudy of ENGAGE AF-TIMI 48. Left atrial size, emptying fraction (LAEF), and contractile function were compared across AF types (paroxysmal, persistent, or permanent) and CHADS2 scores as an estimate of stroke risk. The majority of AF patients (55%) had both LA enlargement and reduced LAEF, with an inverse relationship between LA size and LAEF (R = -0.57, P &lt; 0.001). With an increasing electrical burden of AF and higher CHADS2 scores, LA size increased and LAEF declined. Moreover, 19% of AF subjects had impaired LAEF despite normal LA size, and LA contractile dysfunction was present even among the subset of AF subjects in sinus rhythm at the time of echocardiography. Conclusions In a contemporary AF population, LA structure and function were increasingly abnormal with a greater electrical burden of AF and higher stroke risk estimated by the CHADS2 score. Moreover, LA dysfunction was present despite normal LA size and sinus rhythm, suggesting that the assessment of LA function may add important incremental information in the evaluation of AF patients. Clinical Trial Registration: http://www.clinicaltrials.gov; ID = NCT00781391. © 2013 Published on behalf of the European Society of Cardiology. All rights reserved. © The Author 2013. For permissions please email: journals.permissions@oup.com.","author":[{"dropping-particle":"","family":"Gupta","given":"Deepak K.","non-dropping-particle":"","parse-names":false,"suffix":""},{"dropping-particle":"","family":"Shah","given":"Amil M.","non-dropping-particle":"","parse-names":false,"suffix":""},{"dropping-particle":"","family":"Giugliano","given":"Robert P.","non-dropping-particle":"","parse-names":false,"suffix":""},{"dropping-particle":"","family":"Ruff","given":"Christian T.","non-dropping-particle":"","parse-names":false,"suffix":""},{"dropping-particle":"","family":"Antman","given":"Elliott M.","non-dropping-particle":"","parse-names":false,"suffix":""},{"dropping-particle":"","family":"Grip","given":"Laura T.","non-dropping-particle":"","parse-names":false,"suffix":""},{"dropping-particle":"","family":"Deenadayalu","given":"Naveen","non-dropping-particle":"","parse-names":false,"suffix":""},{"dropping-particle":"","family":"Hoffman","given":"Elaine","non-dropping-particle":"","parse-names":false,"suffix":""},{"dropping-particle":"","family":"Patel","given":"Indravadan","non-dropping-particle":"","parse-names":false,"suffix":""},{"dropping-particle":"","family":"Shi","given":"Minggao","non-dropping-particle":"","parse-names":false,"suffix":""},{"dropping-particle":"","family":"Mercuri","given":"Michele","non-dropping-particle":"","parse-names":false,"suffix":""},{"dropping-particle":"","family":"Mitrovic","given":"Veselin","non-dropping-particle":"","parse-names":false,"suffix":""},{"dropping-particle":"","family":"Braunwald","given":"Eugene","non-dropping-particle":"","parse-names":false,"suffix":""},{"dropping-particle":"","family":"Solomon","given":"Scott D.","non-dropping-particle":"","parse-names":false,"suffix":""}],"container-title":"European Heart Journal","id":"ITEM-1","issue":"22","issued":{"date-parts":[["2014","6","7"]]},"page":"1457-1465","publisher":"Oxford University Press","title":"Left atrial structure and function in atrial fibrillation: ENGAGE AF-TIMI 48","type":"article-journal","volume":"35"},"uris":["http://www.mendeley.com/documents/?uuid=f63305c6-6701-31df-856f-b372ff7af3c8"]}],"mendeley":{"formattedCitation":"&lt;sup&gt;4&lt;/sup&gt;","plainTextFormattedCitation":"4","previouslyFormattedCitation":"&lt;sup&gt;4&lt;/sup&gt;"},"properties":{"noteIndex":0},"schema":"https://github.com/citation-style-language/schema/raw/master/csl-citation.json"}</w:instrText>
      </w:r>
      <w:r w:rsidR="00C5554B" w:rsidRPr="004F076A">
        <w:rPr>
          <w:color w:val="000000" w:themeColor="text1"/>
          <w:sz w:val="22"/>
          <w:szCs w:val="22"/>
        </w:rPr>
        <w:fldChar w:fldCharType="separate"/>
      </w:r>
      <w:r w:rsidR="00C5554B" w:rsidRPr="004F076A">
        <w:rPr>
          <w:noProof/>
          <w:color w:val="000000" w:themeColor="text1"/>
          <w:sz w:val="22"/>
          <w:szCs w:val="22"/>
          <w:vertAlign w:val="superscript"/>
        </w:rPr>
        <w:t>4</w:t>
      </w:r>
      <w:r w:rsidR="00C5554B" w:rsidRPr="004F076A">
        <w:rPr>
          <w:color w:val="000000" w:themeColor="text1"/>
          <w:sz w:val="22"/>
          <w:szCs w:val="22"/>
        </w:rPr>
        <w:fldChar w:fldCharType="end"/>
      </w:r>
    </w:p>
    <w:p w14:paraId="7BC54F52" w14:textId="5B81041C" w:rsidR="00172DB3" w:rsidRPr="004F076A" w:rsidRDefault="00172DB3" w:rsidP="00511AE5">
      <w:pPr>
        <w:spacing w:line="480" w:lineRule="auto"/>
        <w:rPr>
          <w:color w:val="000000" w:themeColor="text1"/>
          <w:sz w:val="22"/>
          <w:szCs w:val="22"/>
        </w:rPr>
      </w:pPr>
    </w:p>
    <w:p w14:paraId="3343F12F" w14:textId="61A00B19" w:rsidR="00201479" w:rsidRPr="004F076A" w:rsidRDefault="00161C91" w:rsidP="00161C91">
      <w:pPr>
        <w:spacing w:line="480" w:lineRule="auto"/>
        <w:rPr>
          <w:color w:val="000000" w:themeColor="text1"/>
          <w:sz w:val="22"/>
          <w:szCs w:val="22"/>
        </w:rPr>
      </w:pPr>
      <w:r w:rsidRPr="004F076A">
        <w:rPr>
          <w:color w:val="000000" w:themeColor="text1"/>
          <w:sz w:val="22"/>
          <w:szCs w:val="22"/>
        </w:rPr>
        <w:t>T</w:t>
      </w:r>
      <w:r w:rsidR="00172DB3" w:rsidRPr="004F076A">
        <w:rPr>
          <w:color w:val="000000" w:themeColor="text1"/>
          <w:sz w:val="22"/>
          <w:szCs w:val="22"/>
        </w:rPr>
        <w:t xml:space="preserve">he association of </w:t>
      </w:r>
      <w:r w:rsidRPr="004F076A">
        <w:rPr>
          <w:color w:val="000000" w:themeColor="text1"/>
          <w:sz w:val="22"/>
          <w:szCs w:val="22"/>
        </w:rPr>
        <w:t xml:space="preserve">echocardiography derived measures of </w:t>
      </w:r>
      <w:r w:rsidR="00172DB3" w:rsidRPr="004F076A">
        <w:rPr>
          <w:color w:val="000000" w:themeColor="text1"/>
          <w:sz w:val="22"/>
          <w:szCs w:val="22"/>
        </w:rPr>
        <w:t xml:space="preserve">LA </w:t>
      </w:r>
      <w:r w:rsidRPr="004F076A">
        <w:rPr>
          <w:color w:val="000000" w:themeColor="text1"/>
          <w:sz w:val="22"/>
          <w:szCs w:val="22"/>
        </w:rPr>
        <w:t>structure and function</w:t>
      </w:r>
      <w:r w:rsidR="00172DB3" w:rsidRPr="004F076A">
        <w:rPr>
          <w:color w:val="000000" w:themeColor="text1"/>
          <w:sz w:val="22"/>
          <w:szCs w:val="22"/>
        </w:rPr>
        <w:t xml:space="preserve"> with incident and prevalent cardiovascular diseases</w:t>
      </w:r>
      <w:r w:rsidR="00201479" w:rsidRPr="004F076A">
        <w:rPr>
          <w:color w:val="000000" w:themeColor="text1"/>
          <w:sz w:val="22"/>
          <w:szCs w:val="22"/>
        </w:rPr>
        <w:t xml:space="preserve"> (CVD</w:t>
      </w:r>
      <w:r w:rsidR="0072515A" w:rsidRPr="004F076A">
        <w:rPr>
          <w:color w:val="000000" w:themeColor="text1"/>
          <w:sz w:val="22"/>
          <w:szCs w:val="22"/>
        </w:rPr>
        <w:t>s</w:t>
      </w:r>
      <w:r w:rsidR="00201479" w:rsidRPr="004F076A">
        <w:rPr>
          <w:color w:val="000000" w:themeColor="text1"/>
          <w:sz w:val="22"/>
          <w:szCs w:val="22"/>
        </w:rPr>
        <w:t>)</w:t>
      </w:r>
      <w:r w:rsidR="00172DB3" w:rsidRPr="004F076A">
        <w:rPr>
          <w:color w:val="000000" w:themeColor="text1"/>
          <w:sz w:val="22"/>
          <w:szCs w:val="22"/>
        </w:rPr>
        <w:t xml:space="preserve"> has been repeatedly demonstrated.</w:t>
      </w:r>
      <w:r w:rsidR="00172DB3" w:rsidRPr="004F076A">
        <w:rPr>
          <w:color w:val="000000" w:themeColor="text1"/>
          <w:sz w:val="22"/>
          <w:szCs w:val="22"/>
        </w:rPr>
        <w:fldChar w:fldCharType="begin" w:fldLock="1"/>
      </w:r>
      <w:r w:rsidR="00D33752" w:rsidRPr="004F076A">
        <w:rPr>
          <w:color w:val="000000" w:themeColor="text1"/>
          <w:sz w:val="22"/>
          <w:szCs w:val="22"/>
        </w:rPr>
        <w:instrText>ADDIN CSL_CITATION {"citationItems":[{"id":"ITEM-1","itemData":{"DOI":"10.1186/s12872-016-0229-z","ISSN":"14712261","PMID":"26944401","abstract":"Background: Left atrial enlargement (LAE) has been proven to be significantly related to stroke and cardiovascular diseases. In China, few studies related to LAE have been conducted, especially in the general population. To the best of our knowledge, our study is the first to explore the prevalence of LAE and associated risk factors in the general Chinese population. Methods: This study included a total of 11,956 subjects aged ≥35 years. All participants completed a questionnaire, and underwent complete physical examination, electrocardiogram (ECG) and echocardiogram. We defined LAE as a LA diameter exceeding 4.0 cm in men and 3.8 cm in women. We conducted a multivariable logistic regression analysis and a linear regression analysis to identify independent factors of LAE. Results: The overall prevalence of LAE was 6.43 % for subjects aged over 35 years. The prevalence of LAE was 6.78 % in women and 6.02 % in men. The major risk factors of LAE were female sex (odds ration [OR]: 1.229, β: 0.197), advancing age (OR: 1.015, β: 0.036), high systolic blood pressure (OR: 2.331, β: 0.185), high body mass index (BMI) (OR: 3.956, β: 0.373), diabetes (OR: 1.498, β: 0.030), high left ventricular myocardial index (OR: 1.003, β: 0.073), and low left ventricular ejection fraction, low heart rate, and low estimated glomerular filtration rate. Additionally, the association between BMI and LAE was the most obvious. Conclusions: Female sex, advancing age, high systolic blood pressure, high BMI, diabetes, high left ventricular myocardial index, low estimated glomerular filtration rate, low left ventricular ejection fraction, and low heart rate were proven to be risk factors of LAE.","author":[{"dropping-particle":"","family":"Ou","given":"Qiaoyun","non-dropping-particle":"","parse-names":false,"suffix":""},{"dropping-particle":"","family":"Chen","given":"Yintao","non-dropping-particle":"","parse-names":false,"suffix":""},{"dropping-particle":"","family":"Yu","given":"Shasha","non-dropping-particle":"","parse-names":false,"suffix":""},{"dropping-particle":"","family":"Guo","given":"Xiaofan","non-dropping-particle":"","parse-names":false,"suffix":""},{"dropping-particle":"","family":"Zhao","given":"Huijie","non-dropping-particle":"","parse-names":false,"suffix":""},{"dropping-particle":"","family":"Sun","given":"Yingxian","non-dropping-particle":"","parse-names":false,"suffix":""}],"container-title":"BMC Cardiovascular Disorders","id":"ITEM-1","issue":"1","issued":{"date-parts":[["2016","3","5"]]},"publisher":"BioMed Central Ltd.","title":"Prevalence of left atrial enlargement and its risk factors in general Chinese population","type":"article-journal","volume":"16"},"uris":["http://www.mendeley.com/documents/?uuid=feb3d8a8-5387-3663-8cef-8686f0c6d239"]},{"id":"ITEM-2","itemData":{"DOI":"10.1161/01.CIR.92.4.835","ISSN":"00097322","PMID":"7641364","abstract":"Background: The medical literature contains conflicting reports on the association of left atrial (LA) enlargement with risk of stroke. The relation of LA size to risk of stroke and death in the general population remains largely unexplored. Methods and Results: Subjects 50 years of age and older from the Framingham Heart Study were studied to assess the relations between echocardiographic LA size and risk of stroke and death. During 8 years of follow-up, 64 of 1371 (4.7%) men and 73 of 1728 (4.2%) women sustained a stroke, and 296 (21.6%) men and 271 (15.7%) women died. Sex-specific Cox proportional-hazards models were adjusted for age, hypertension, diabetes, atrial fibrillation, smoking, ECG left ventricular (LV) hypertrophy, and congestive heart failure or myocardial infarction. After multivariable adjustment, for every 10-mm increase in LA size, the relative risk of stroke was 2.4 in men (95% CI, 1.6 to 3.7) and 1.4 in women (95% CI, 0.9 to 2.1); the relative risk of death was 1.3 in men (95% CI, 1.0 to 1.5) and 1.4 in women (95% CI, 1.1 to 1.7). Adjusting for ECG LV mass/height attenuated the relation of LA size to stroke and death. Conclusions: After multivariable adjustment, LA enlargement remained a significant predictor of stroke in men and death in both sexes. The relation of LA enlargement to stroke and death appears to be partially mediated by LV mass.","author":[{"dropping-particle":"","family":"Benjamin","given":"Emelia J.","non-dropping-particle":"","parse-names":false,"suffix":""},{"dropping-particle":"","family":"D'Agostino","given":"Ralph B.","non-dropping-particle":"","parse-names":false,"suffix":""},{"dropping-particle":"","family":"Belanger","given":"Albert J.","non-dropping-particle":"","parse-names":false,"suffix":""},{"dropping-particle":"","family":"Wolf","given":"Philip A.","non-dropping-particle":"","parse-names":false,"suffix":""},{"dropping-particle":"","family":"Levy","given":"Daniel","non-dropping-particle":"","parse-names":false,"suffix":""}],"container-title":"Circulation","id":"ITEM-2","issue":"4","issued":{"date-parts":[["1995","8","15"]]},"page":"835-841","publisher":"Lippincott Williams and Wilkins","title":"Left atrial size and the risk of stroke and death: The Framingham Heart Study","type":"article-journal","volume":"92"},"uris":["http://www.mendeley.com/documents/?uuid=ff6b0213-dee0-30c6-a252-c5f3a2656ca9"]},{"id":"ITEM-3","itemData":{"DOI":"10.1016/j.ijcard.2016.01.169","ISSN":"18741754","PMID":"26808988","abstract":"Background Female sex is associated with thromboembolism related to atrial fibrillation (AF). Left atrial (LA) diameter independently predicted incident cardiovascular (CV) major events in the general population. In AF patients, LA enlargement is associated to AF occurrence and recurrence. No data have previously been reported on the relationship between LA enlargement, sex and CV death in AF patients. Methods and results All patients enrolled in the AFFIRM Trial with available data about LA dimension were included in this post-hoc analysis. Of the 2615 eligible for the present analysis, LA enlargement was recorded in 67.0%, more commonly in women than in men (p = 0.032). Patients with LA enlargement had higher body mass index (BMI), and were more frequently hypertensive, diabetic, and diagnosed with a structural heart disease, prior coronary artery disease (CAD) and heart failure (HF). BMI, left ventricular mass, female sex and mitral valve insufficiency (p &lt; 0.001) were associated with LA enlargement. AF female patients with LA enlargement had a higher risk for CV death (p = 0.011). LA diameter showed a significant association with CV death (p &lt; 0.001). Cox regression analysis demonstrated that LA diameter was an independent predictor of CV death in female AF patients (p = 0.003). Conclusions LA diameter enlargement is associated with female sex, and carries a higher risk for CV death, particularly in females. LA diameter was an independent predictor of CV death in female AF patients.","author":[{"dropping-particle":"","family":"Proietti","given":"Marco","non-dropping-particle":"","parse-names":false,"suffix":""},{"dropping-particle":"","family":"Raparelli","given":"Valeria","non-dropping-particle":"","parse-names":false,"suffix":""},{"dropping-particle":"","family":"Basili","given":"Stefania","non-dropping-particle":"","parse-names":false,"suffix":""},{"dropping-particle":"","family":"Olshansky","given":"Brian","non-dropping-particle":"","parse-names":false,"suffix":""},{"dropping-particle":"","family":"Lip","given":"Gregory Y.H.","non-dropping-particle":"","parse-names":false,"suffix":""}],"container-title":"International Journal of Cardiology","id":"ITEM-3","issued":{"date-parts":[["2016","3","15"]]},"page":"258-263","publisher":"Elsevier Ireland Ltd","title":"Relation of female sex to left atrial diameter and cardiovascular death in atrial fibrillation: The AFFIRM Trial","type":"article-journal","volume":"207"},"uris":["http://www.mendeley.com/documents/?uuid=188d3d88-4dd6-32a1-8b1f-8f7262a7671c"]},{"id":"ITEM-4","itemData":{"DOI":"10.1002/ejhf.1606","ISSN":"18790844","PMID":"31777160","abstract":"Aims: The present study aimed to assess the association between left atrial (LA) structure and function and the risk for cardiovascular (CV) death or heart failure (HF) hospitalization in a population with atrial fibrillation (AF). Methods and results: In a prospective echocardiographic substudy of the Effective Anticoagulation with Factor Xa Next Generation in AF-Thrombolysis in Myocardial Infarction 48 (ENGAGE AF-TIMI 48) study, 971 patients underwent transthoracic echocardiography. The associations between LA structure (LA volume index [LAVi]) and function (LA emptying fraction [LAEF] and LA expansion index [LAEi]) and risk for the composite endpoint of CV death or HF hospitalization, and its components, were assessed. Over a median follow-up of 2.5 years, 142 patients (14.6%) experienced CV death or HF hospitalization. Higher LAVi and lower LAEF and LAEi were each associated with a higher unadjusted risk for the composite outcome and its components. After adjustment for clinical and echocardiographic confounders, only measures of impaired LA function were predictive of the composite outcome (hazard ratio [HR] per 1 standard deviation [SD] decrease in LAEF: 1.35; 95% confidence interval [CI] 1.09–1.67 [P = 0.005]; HR per 1 SD decrease in LAEi: 1.34; 95% CI 1.06–1.69 [P = 0.012]). These findings were similar regardless of left ventricular ejection fraction, history of HF or whether patients were in AF or sinus rhythm at the time of the echocardiographic examination. Conclusions: In patients with AF, LA dysfunction was significantly associated with an increased risk for CV death or HF hospitalization and was more predictive of these outcomes than LA size. These parameters may help to identify AF patients at greatest risk for the development of HF. Clinical Trial Registration: ClinicalTrials.gov, NCT00781391.","author":[{"dropping-particle":"","family":"Inciardi","given":"Riccardo M.","non-dropping-particle":"","parse-names":false,"suffix":""},{"dropping-particle":"","family":"Giugliano","given":"Robert P.","non-dropping-particle":"","parse-names":false,"suffix":""},{"dropping-particle":"","family":"Claggett","given":"Brian","non-dropping-particle":"","parse-names":false,"suffix":""},{"dropping-particle":"","family":"Gupta","given":"Deepak K.","non-dropping-particle":"","parse-names":false,"suffix":""},{"dropping-particle":"","family":"Chandra","given":"Alvin","non-dropping-particle":"","parse-names":false,"suffix":""},{"dropping-particle":"","family":"Ruff","given":"Christian T.","non-dropping-particle":"","parse-names":false,"suffix":""},{"dropping-particle":"","family":"Antman","given":"Elliott M.","non-dropping-particle":"","parse-names":false,"suffix":""},{"dropping-particle":"","family":"Mercuri","given":"Michele F.","non-dropping-particle":"","parse-names":false,"suffix":""},{"dropping-particle":"","family":"Grosso","given":"Michael A.","non-dropping-particle":"","parse-names":false,"suffix":""},{"dropping-particle":"","family":"Braunwald","given":"Eugene","non-dropping-particle":"","parse-names":false,"suffix":""},{"dropping-particle":"","family":"Solomon","given":"Scott D.","non-dropping-particle":"","parse-names":false,"suffix":""}],"container-title":"European Journal of Heart Failure","id":"ITEM-4","issue":"12","issued":{"date-parts":[["2019","12","1"]]},"page":"1571-1579","publisher":"John Wiley and Sons Ltd","title":"Left atrial structure and function and the risk of death or heart failure in atrial fibrillation","type":"article-journal","volume":"21"},"uris":["http://www.mendeley.com/documents/?uuid=d830425a-303a-3e08-8795-2eded5da65e0"]},{"id":"ITEM-5","itemData":{"DOI":"10.1136/bmjopen-2013-004001","ISBN":"2013004001","ISSN":"20446055","PMID":"24384901","abstract":"Objectives: We investigate how early adult and 20-year changes in modifiable cardiovascular risk factors (MRF) predict left atrial dimension (LAD) at age 43-55 years. Methods: The Coronary Artery Risk Development in Young Adults (CARDIA) study enrolled black and white adults (1985-1986). We included 2903 participants with echocardiography and MRF assessment in followup years 5 and 25. At years 5 and 25, LAD was assessed by M-mode echocardiography, then indexed to body surface area (BSA) or height. Blood pressure (BP), body mass index (BMI), heart rate (HR), smoking, alcohol use, diabetes and physical activity were defined as MRF. Associations of MRF with LAD were assessed using multivariable regression adjusted for age, ethnicity, gender and year-5 left atrial (LA) size. Results: The participants were 30±4 years; 55% white; 44% men. LAD and LAD/height were modest but significantly higher over the follow-up period, but LAD/BSA decreased slightly. Increased baseline and 20-year changes in BP were related to enlargement of LAD and indices. Higher baseline and changes in BMI were also related to higher LAD and LAD/height, but the opposite direction was found for LAD/BSA. Increase in baseline HR was related to lower LAD but not LAD indices, when only baseline covariates were included in the model. However, baseline and 20-year changes in HR were significantly associated to LA size. Conclusions: In a biracial cohort of young adults, the most robust predictors for LA enlargement over a 20-year follow-up period were higher BP and BMI. However, an inverse direction was found for the relationship between BMI and LAD/BSA. HR showed an inverse relation to LA size.","author":[{"dropping-particle":"","family":"Armstrong","given":"Anderson C.","non-dropping-particle":"","parse-names":false,"suffix":""},{"dropping-particle":"","family":"Gidding","given":"Samuel S.","non-dropping-particle":"","parse-names":false,"suffix":""},{"dropping-particle":"","family":"Colangelo","given":"Laura A.","non-dropping-particle":"","parse-names":false,"suffix":""},{"dropping-particle":"","family":"Kishi","given":"Satoru","non-dropping-particle":"","parse-names":false,"suffix":""},{"dropping-particle":"","family":"Liu","given":"Kiang","non-dropping-particle":"","parse-names":false,"suffix":""},{"dropping-particle":"","family":"Sidney","given":"Stephen","non-dropping-particle":"","parse-names":false,"suffix":""},{"dropping-particle":"","family":"Konety","given":"Suma","non-dropping-particle":"","parse-names":false,"suffix":""},{"dropping-particle":"","family":"Lewis","given":"Cora E.","non-dropping-particle":"","parse-names":false,"suffix":""},{"dropping-particle":"","family":"Correia","given":"Luís C.L.","non-dropping-particle":"","parse-names":false,"suffix":""},{"dropping-particle":"","family":"Lima","given":"Joao A.C.","non-dropping-particle":"","parse-names":false,"suffix":""}],"container-title":"BMJ Open","id":"ITEM-5","issue":"1","issued":{"date-parts":[["2014","1","1"]]},"page":"1-7","publisher":"British Medical Journal Publishing Group","title":"Association of early adult modifiable cardiovascular risk factors with left atrial size over a 20-year follow-up period: The CARDIA study","type":"article-journal","volume":"4"},"uris":["http://www.mendeley.com/documents/?uuid=75727bc3-2fab-4c07-8646-34794644bfee"]}],"mendeley":{"formattedCitation":"&lt;sup&gt;5–9&lt;/sup&gt;","plainTextFormattedCitation":"5–9","previouslyFormattedCitation":"&lt;sup&gt;5–9&lt;/sup&gt;"},"properties":{"noteIndex":0},"schema":"https://github.com/citation-style-language/schema/raw/master/csl-citation.json"}</w:instrText>
      </w:r>
      <w:r w:rsidR="00172DB3" w:rsidRPr="004F076A">
        <w:rPr>
          <w:color w:val="000000" w:themeColor="text1"/>
          <w:sz w:val="22"/>
          <w:szCs w:val="22"/>
        </w:rPr>
        <w:fldChar w:fldCharType="separate"/>
      </w:r>
      <w:r w:rsidR="00D33752" w:rsidRPr="004F076A">
        <w:rPr>
          <w:noProof/>
          <w:color w:val="000000" w:themeColor="text1"/>
          <w:sz w:val="22"/>
          <w:szCs w:val="22"/>
          <w:vertAlign w:val="superscript"/>
        </w:rPr>
        <w:t>5–9</w:t>
      </w:r>
      <w:r w:rsidR="00172DB3" w:rsidRPr="004F076A">
        <w:rPr>
          <w:color w:val="000000" w:themeColor="text1"/>
          <w:sz w:val="22"/>
          <w:szCs w:val="22"/>
        </w:rPr>
        <w:fldChar w:fldCharType="end"/>
      </w:r>
      <w:r w:rsidR="00172DB3" w:rsidRPr="004F076A">
        <w:rPr>
          <w:color w:val="000000" w:themeColor="text1"/>
          <w:sz w:val="22"/>
          <w:szCs w:val="22"/>
        </w:rPr>
        <w:t xml:space="preserve"> </w:t>
      </w:r>
      <w:r w:rsidRPr="004F076A">
        <w:rPr>
          <w:color w:val="000000" w:themeColor="text1"/>
          <w:sz w:val="22"/>
          <w:szCs w:val="22"/>
        </w:rPr>
        <w:t>However, whilst the incremental value of LA over LV metrics seems biologically plausible, formal demonstration of this requires further study. Furthermore, although e</w:t>
      </w:r>
      <w:r w:rsidR="00201479" w:rsidRPr="004F076A">
        <w:rPr>
          <w:color w:val="000000" w:themeColor="text1"/>
          <w:sz w:val="22"/>
          <w:szCs w:val="22"/>
        </w:rPr>
        <w:t xml:space="preserve">chocardiography is </w:t>
      </w:r>
      <w:r w:rsidR="004F076A">
        <w:rPr>
          <w:color w:val="000000" w:themeColor="text1"/>
          <w:sz w:val="22"/>
          <w:szCs w:val="22"/>
        </w:rPr>
        <w:t>a valuable</w:t>
      </w:r>
      <w:r w:rsidR="00201479" w:rsidRPr="004F076A">
        <w:rPr>
          <w:color w:val="000000" w:themeColor="text1"/>
          <w:sz w:val="22"/>
          <w:szCs w:val="22"/>
        </w:rPr>
        <w:t xml:space="preserve"> first</w:t>
      </w:r>
      <w:r w:rsidR="004F076A">
        <w:rPr>
          <w:color w:val="000000" w:themeColor="text1"/>
          <w:sz w:val="22"/>
          <w:szCs w:val="22"/>
        </w:rPr>
        <w:t xml:space="preserve"> </w:t>
      </w:r>
      <w:r w:rsidR="00201479" w:rsidRPr="004F076A">
        <w:rPr>
          <w:color w:val="000000" w:themeColor="text1"/>
          <w:sz w:val="22"/>
          <w:szCs w:val="22"/>
        </w:rPr>
        <w:t>line modality</w:t>
      </w:r>
      <w:r w:rsidR="004F076A">
        <w:rPr>
          <w:color w:val="000000" w:themeColor="text1"/>
          <w:sz w:val="22"/>
          <w:szCs w:val="22"/>
        </w:rPr>
        <w:t xml:space="preserve"> </w:t>
      </w:r>
      <w:r w:rsidR="00201479" w:rsidRPr="004F076A">
        <w:rPr>
          <w:color w:val="000000" w:themeColor="text1"/>
          <w:sz w:val="22"/>
          <w:szCs w:val="22"/>
        </w:rPr>
        <w:t>in clinical settings</w:t>
      </w:r>
      <w:r w:rsidR="003A0B4C" w:rsidRPr="004F076A">
        <w:rPr>
          <w:color w:val="000000" w:themeColor="text1"/>
          <w:sz w:val="22"/>
          <w:szCs w:val="22"/>
        </w:rPr>
        <w:t xml:space="preserve">, </w:t>
      </w:r>
      <w:r w:rsidR="00201479" w:rsidRPr="004F076A">
        <w:rPr>
          <w:color w:val="000000" w:themeColor="text1"/>
          <w:sz w:val="22"/>
          <w:szCs w:val="22"/>
        </w:rPr>
        <w:t xml:space="preserve">cardiovascular magnetic resonance (CMR) is the reference standard </w:t>
      </w:r>
      <w:r w:rsidRPr="004F076A">
        <w:rPr>
          <w:color w:val="000000" w:themeColor="text1"/>
          <w:sz w:val="22"/>
          <w:szCs w:val="22"/>
        </w:rPr>
        <w:t xml:space="preserve">for </w:t>
      </w:r>
      <w:r w:rsidR="00201479" w:rsidRPr="004F076A">
        <w:rPr>
          <w:color w:val="000000" w:themeColor="text1"/>
          <w:sz w:val="22"/>
          <w:szCs w:val="22"/>
        </w:rPr>
        <w:t>cardiac chamber quantification</w:t>
      </w:r>
      <w:r w:rsidR="003A0B4C" w:rsidRPr="004F076A">
        <w:rPr>
          <w:color w:val="000000" w:themeColor="text1"/>
          <w:sz w:val="22"/>
          <w:szCs w:val="22"/>
        </w:rPr>
        <w:t xml:space="preserve"> </w:t>
      </w:r>
      <w:r w:rsidRPr="004F076A">
        <w:rPr>
          <w:color w:val="000000" w:themeColor="text1"/>
          <w:sz w:val="22"/>
          <w:szCs w:val="22"/>
        </w:rPr>
        <w:t xml:space="preserve">providing highly reproducible metrics calculated </w:t>
      </w:r>
      <w:r w:rsidR="00201479" w:rsidRPr="004F076A">
        <w:rPr>
          <w:color w:val="000000" w:themeColor="text1"/>
          <w:sz w:val="22"/>
          <w:szCs w:val="22"/>
        </w:rPr>
        <w:t xml:space="preserve">with fewer geometric </w:t>
      </w:r>
      <w:r w:rsidR="003A0B4C" w:rsidRPr="004F076A">
        <w:rPr>
          <w:color w:val="000000" w:themeColor="text1"/>
          <w:sz w:val="22"/>
          <w:szCs w:val="22"/>
        </w:rPr>
        <w:t xml:space="preserve">assumptions than </w:t>
      </w:r>
      <w:r w:rsidRPr="004F076A">
        <w:rPr>
          <w:color w:val="000000" w:themeColor="text1"/>
          <w:sz w:val="22"/>
          <w:szCs w:val="22"/>
        </w:rPr>
        <w:t xml:space="preserve">in </w:t>
      </w:r>
      <w:r w:rsidR="003A0B4C" w:rsidRPr="004F076A">
        <w:rPr>
          <w:color w:val="000000" w:themeColor="text1"/>
          <w:sz w:val="22"/>
          <w:szCs w:val="22"/>
        </w:rPr>
        <w:t xml:space="preserve">echocardiography. </w:t>
      </w:r>
      <w:r w:rsidRPr="004F076A">
        <w:rPr>
          <w:color w:val="000000" w:themeColor="text1"/>
          <w:sz w:val="22"/>
          <w:szCs w:val="22"/>
        </w:rPr>
        <w:t xml:space="preserve">Existing CMR studies of the utility of LA metrics are mostly based on small </w:t>
      </w:r>
      <w:r w:rsidR="0072515A" w:rsidRPr="004F076A">
        <w:rPr>
          <w:color w:val="000000" w:themeColor="text1"/>
          <w:sz w:val="22"/>
          <w:szCs w:val="22"/>
        </w:rPr>
        <w:t xml:space="preserve">select </w:t>
      </w:r>
      <w:r w:rsidRPr="004F076A">
        <w:rPr>
          <w:color w:val="000000" w:themeColor="text1"/>
          <w:sz w:val="22"/>
          <w:szCs w:val="22"/>
        </w:rPr>
        <w:t>samples of clinical cohorts,</w:t>
      </w:r>
      <w:r w:rsidRPr="004F076A">
        <w:rPr>
          <w:color w:val="000000" w:themeColor="text1"/>
          <w:sz w:val="22"/>
          <w:szCs w:val="22"/>
        </w:rPr>
        <w:fldChar w:fldCharType="begin" w:fldLock="1"/>
      </w:r>
      <w:r w:rsidRPr="004F076A">
        <w:rPr>
          <w:color w:val="000000" w:themeColor="text1"/>
          <w:sz w:val="22"/>
          <w:szCs w:val="22"/>
        </w:rPr>
        <w:instrText>ADDIN CSL_CITATION {"citationItems":[{"id":"ITEM-1","itemData":{"DOI":"10.1007/s10554-017-1213-0","ISBN":"0123456789","ISSN":"15730743","PMID":"28721548","abstract":"The aims of this study were to use cardiovascular magnetic resonance (CMR) cine to assess left atrium (LA) and left ventricle (LV) function and structure in normotensive type 2 diabetes mellitus (T2DM) patients and to identify the most sensitive index of those T2DM-related cardiac changes. Fifty T2DM patients with normotension (25 males, age 54.7 ± 8.7 years, duration of diabetes: 7.5 ± 5.1 years) and 35 controls (16 males, age: 52.2 ± 13.2 years) were prospectively enrolled. All patients were scanned using CMR four- and two-chamber long-axis cine to assess LA and LV structure and function. Normotensive T2DM patients were associated with decreased LA total ejection fraction (EF), passive EF and LV end diastolic volume, normal LA active EF and LV myocardial mass and increased LV mass/volume (M/V). LA total EF and passive EF correlated with body mass index, duration of diabetes and M/V. To differentiate between diabetic patients and healthy controls, area under the receiver operating characteristic (ROC) curve (AUC) values were calculated to be 0.763, 0.706, 0.647 and 0.649 for LA passive EF, total EF, LVEDV and M/V, respectively. The addition of LA total EF, LVEDV, M/V and the combination thereof did not significantly improve AUC values in a model containing LA passive EF. Normotensive T2DM patients were associated with LA decreased total ejection fraction, decreased passive EF and LV concentric remodeling. Among these indices, LA passive EF was the most sensitive to T2DM-related LA function changes.","author":[{"dropping-particle":"","family":"Shang","given":"Yongning","non-dropping-particle":"","parse-names":false,"suffix":""},{"dropping-particle":"","family":"Zhang","given":"Xiaochun","non-dropping-particle":"","parse-names":false,"suffix":""},{"dropping-particle":"","family":"Leng","given":"Weiling","non-dropping-particle":"","parse-names":false,"suffix":""},{"dropping-particle":"","family":"Lei","given":"Xiaotian","non-dropping-particle":"","parse-names":false,"suffix":""},{"dropping-particle":"","family":"Chen","given":"Liu","non-dropping-particle":"","parse-names":false,"suffix":""},{"dropping-particle":"","family":"Liang","given":"Ziwen","non-dropping-particle":"","parse-names":false,"suffix":""},{"dropping-particle":"","family":"Wang","given":"Jian","non-dropping-particle":"","parse-names":false,"suffix":""}],"container-title":"International Journal of Cardiovascular Imaging","id":"ITEM-1","issue":"1","issued":{"date-parts":[["2018"]]},"page":"141-151","publisher":"Springer Netherlands","title":"Left atrium passive ejection fraction is the most sensitive index of type 2 diabetes mellitus-related cardiac changes","type":"article-journal","volume":"34"},"uris":["http://www.mendeley.com/documents/?uuid=07d8956b-38d9-4c22-8ff4-f173b68953bc"]},{"id":"ITEM-2","itemData":{"DOI":"10.1186/s12968-018-0514-3","ISSN":"1532429X","PMID":"30602395","abstract":"Background: Left atrial (LA) late gadolinium enhancement (LGE) on cardiovascular magnetic resonance (CMR) imaging is indicative of fibrosis, and has been correlated with reduced LA function, increased LA volume, and poor procedural outcomes in cohorts with atrial fibrillation (AF). However, the role of LGE as a prognostic biomarker for arrhythmia in cardiac disease has not been examined. Methods: In this study, we assessed LA LGE using a 3D LGE CMR sequence to examine its relationships with new onset atrial arrhythmia, and LA and left ventricular (LV) mechanical function. Results: LA LGE images were acquired in 111 patients undergoing CMR imaging, including 66 patients with no prior history of an atrial arrhythmia. During the median follow-up of 2.7 years (interquartile range (IQR) 1.8-3.7 years), 15/66 (23%) of patients developed a new atrial arrhythmia. LA LGE ≥10% of LA myocardial volume was significantly associated with an increased rate of new-onset atrial arrhythmia, with a hazard ratio of 3.16 (95% CI 1.14-8.72), p = 0.026. There were significant relationships between LA LGE and both LA ejection fraction (r = - 0.39, p &lt; 0.0005) and echocardiographic LV septal e' (r = - 0.24, p = 0.04) and septal E/e' (r = 0.31, p = 0.007). Conclusions: Elevated LA LGE is associated with reduced LA function and reduced LV diastolic function. LA LGE is associated with new onset atrial arrhythmia during follow-up.","author":[{"dropping-particle":"","family":"Quail","given":"Michael","non-dropping-particle":"","parse-names":false,"suffix":""},{"dropping-particle":"","family":"Grunseich","given":"Karl","non-dropping-particle":"","parse-names":false,"suffix":""},{"dropping-particle":"","family":"Baldassarre","given":"Lauren A.","non-dropping-particle":"","parse-names":false,"suffix":""},{"dropping-particle":"","family":"Mojibian","given":"Hamid","non-dropping-particle":"","parse-names":false,"suffix":""},{"dropping-particle":"","family":"Marieb","given":"Mark A.","non-dropping-particle":"","parse-names":false,"suffix":""},{"dropping-particle":"","family":"Cornfeld","given":"Daniel","non-dropping-particle":"","parse-names":false,"suffix":""},{"dropping-particle":"","family":"Soufer","given":"Aaron","non-dropping-particle":"","parse-names":false,"suffix":""},{"dropping-particle":"","family":"Sinusas","given":"Albert J.","non-dropping-particle":"","parse-names":false,"suffix":""},{"dropping-particle":"","family":"Peters","given":"Dana C.","non-dropping-particle":"","parse-names":false,"suffix":""}],"container-title":"Journal of Cardiovascular Magnetic Resonance","id":"ITEM-2","issue":"1","issued":{"date-parts":[["2019","1","3"]]},"publisher":"BioMed Central Ltd.","title":"Prognostic and functional implications of left atrial late gadolinium enhancement cardiovascular magnetic resonance","type":"article-journal","volume":"21"},"uris":["http://www.mendeley.com/documents/?uuid=e135d44a-bff9-3475-8e83-5dbdf4c735cb"]},{"id":"ITEM-3","itemData":{"DOI":"10.1161/JAHA.115.001844","ISSN":"20479980","PMID":"25917441","abstract":"Background-Recent evidence suggests that left atrial (LA) dysfunction may be mechanistically contributing to cerebrovascular events in patients with atrial fibrillation (AF). We investigated the association between regional LA function and a prior history of stroke during sinus rhythm in patients referred for catheter ablation of AF. Methods and Results-A total of 169 patients (59±10 years, 74% male, 29% persistent AF) with a history of AF in sinus rhythm at the time of pre-ablation cardiac magnetic resonance (CMR) were analyzed. The LA volume, emptying fraction, strain (S), and strain rate (SR) were assessed by tissue-tracking cardiac magnetic resonance. The patients with a history of stroke or transient ischemic attack (n=18) had greater LA volumes (Vmax and Vmin; P=0.02 and P&lt;0.001, respectively), lower LA total emptying fraction (P&lt;0.001), lower LA maximum and pre-atrial contraction strains (Smax and SpreA; P&lt;0.001 and P=0.01, respectively), and lower absolute values of LA SR during left ventricular (LV) systole and early diastole (SRs and SRe; P=0.005 and 0.03, respectively) than those without stroke/transient ischemic attack (n=151). Multivariable analysis demonstrated that the LA reservoir function, including total emptying fraction, Smax, and SRs, was associated with stroke/transient ischemic attack (odds ratio 0.94, 0.91, and 0.17; P=0.03, 0.02, and 0.04, respectively) after adjusting for the CHA2DS2-VASc score and LA Vmin. Conclusions-Depressed LA reservoir function assessed by tissue-tracking cardiac magnetic resonance is significantly associated with a prior history of stroke/transient ischemic attack in patients with AF. Our findings suggest that assessment of LA reservoir function can improve the risk stratification of cerebrovascular events in AF patients.","author":[{"dropping-particle":"","family":"Inoue","given":"Yuko Y.","non-dropping-particle":"","parse-names":false,"suffix":""},{"dropping-particle":"","family":"Alissa","given":"Abdullah","non-dropping-particle":"","parse-names":false,"suffix":""},{"dropping-particle":"","family":"Khurram","given":"Irfan M.","non-dropping-particle":"","parse-names":false,"suffix":""},{"dropping-particle":"","family":"Fukumoto","given":"Kotaro","non-dropping-particle":"","parse-names":false,"suffix":""},{"dropping-particle":"","family":"Habibi","given":"Mohammadali","non-dropping-particle":"","parse-names":false,"suffix":""},{"dropping-particle":"","family":"Venkatesh","given":"Bharath A.","non-dropping-particle":"","parse-names":false,"suffix":""},{"dropping-particle":"","family":"Zimmerman","given":"Stefan L.","non-dropping-particle":"","parse-names":false,"suffix":""},{"dropping-particle":"","family":"Nazarian","given":"Saman","non-dropping-particle":"","parse-names":false,"suffix":""},{"dropping-particle":"","family":"Berger","given":"Ronald D.","non-dropping-particle":"","parse-names":false,"suffix":""},{"dropping-particle":"","family":"Calkins","given":"Hugh","non-dropping-particle":"","parse-names":false,"suffix":""},{"dropping-particle":"","family":"Lima","given":"Joao A.","non-dropping-particle":"","parse-names":false,"suffix":""},{"dropping-particle":"","family":"Ashikaga","given":"Hiroshi","non-dropping-particle":"","parse-names":false,"suffix":""}],"container-title":"Journal of the American Heart Association","id":"ITEM-3","issue":"4","issued":{"date-parts":[["2015","4","27"]]},"page":"e001844","publisher":"John Wiley and Sons Inc.","title":"Quantitative tissue-tracking cardiac magnetic resonance (CMR) of left atrial deformation and the risk of stroke in patients with atrial fibrillation","type":"article-journal","volume":"4"},"uris":["http://www.mendeley.com/documents/?uuid=b287862b-b72d-33e8-a27c-57c175d96ffe"]}],"mendeley":{"formattedCitation":"&lt;sup&gt;10–12&lt;/sup&gt;","plainTextFormattedCitation":"10–12","previouslyFormattedCitation":"&lt;sup&gt;10–12&lt;/sup&gt;"},"properties":{"noteIndex":0},"schema":"https://github.com/citation-style-language/schema/raw/master/csl-citation.json"}</w:instrText>
      </w:r>
      <w:r w:rsidRPr="004F076A">
        <w:rPr>
          <w:color w:val="000000" w:themeColor="text1"/>
          <w:sz w:val="22"/>
          <w:szCs w:val="22"/>
        </w:rPr>
        <w:fldChar w:fldCharType="separate"/>
      </w:r>
      <w:r w:rsidRPr="004F076A">
        <w:rPr>
          <w:noProof/>
          <w:color w:val="000000" w:themeColor="text1"/>
          <w:sz w:val="22"/>
          <w:szCs w:val="22"/>
          <w:vertAlign w:val="superscript"/>
        </w:rPr>
        <w:t>10–12</w:t>
      </w:r>
      <w:r w:rsidRPr="004F076A">
        <w:rPr>
          <w:color w:val="000000" w:themeColor="text1"/>
          <w:sz w:val="22"/>
          <w:szCs w:val="22"/>
        </w:rPr>
        <w:fldChar w:fldCharType="end"/>
      </w:r>
      <w:r w:rsidRPr="004F076A">
        <w:rPr>
          <w:color w:val="000000" w:themeColor="text1"/>
          <w:sz w:val="22"/>
          <w:szCs w:val="22"/>
        </w:rPr>
        <w:t xml:space="preserve"> with a paucity of data from larger population-based sample</w:t>
      </w:r>
      <w:r w:rsidR="00680008" w:rsidRPr="004F076A">
        <w:rPr>
          <w:color w:val="000000" w:themeColor="text1"/>
          <w:sz w:val="22"/>
          <w:szCs w:val="22"/>
        </w:rPr>
        <w:t>s</w:t>
      </w:r>
      <w:r w:rsidRPr="004F076A">
        <w:rPr>
          <w:color w:val="000000" w:themeColor="text1"/>
          <w:sz w:val="22"/>
          <w:szCs w:val="22"/>
        </w:rPr>
        <w:t>.</w:t>
      </w:r>
    </w:p>
    <w:p w14:paraId="5EB94518" w14:textId="049C95C5" w:rsidR="00AE373F" w:rsidRPr="004F076A" w:rsidRDefault="00AE373F" w:rsidP="00161C91">
      <w:pPr>
        <w:spacing w:line="480" w:lineRule="auto"/>
        <w:rPr>
          <w:color w:val="000000" w:themeColor="text1"/>
          <w:sz w:val="22"/>
          <w:szCs w:val="22"/>
        </w:rPr>
      </w:pPr>
    </w:p>
    <w:p w14:paraId="73EA83A9" w14:textId="155AFE99" w:rsidR="00553E49" w:rsidRPr="003C2C91" w:rsidRDefault="00AE373F" w:rsidP="00511AE5">
      <w:pPr>
        <w:spacing w:line="480" w:lineRule="auto"/>
        <w:rPr>
          <w:color w:val="000000" w:themeColor="text1"/>
          <w:sz w:val="22"/>
          <w:szCs w:val="22"/>
        </w:rPr>
      </w:pPr>
      <w:r w:rsidRPr="00BF5FDD">
        <w:rPr>
          <w:color w:val="000000" w:themeColor="text1"/>
          <w:sz w:val="22"/>
          <w:szCs w:val="22"/>
          <w:shd w:val="clear" w:color="auto" w:fill="FFFFFF"/>
        </w:rPr>
        <w:t xml:space="preserve">The UK Biobank is a very large </w:t>
      </w:r>
      <w:r w:rsidR="0072515A" w:rsidRPr="00BF5FDD">
        <w:rPr>
          <w:color w:val="000000" w:themeColor="text1"/>
          <w:sz w:val="22"/>
          <w:szCs w:val="22"/>
          <w:shd w:val="clear" w:color="auto" w:fill="FFFFFF"/>
        </w:rPr>
        <w:t xml:space="preserve">population-based </w:t>
      </w:r>
      <w:r w:rsidRPr="00BF5FDD">
        <w:rPr>
          <w:color w:val="000000" w:themeColor="text1"/>
          <w:sz w:val="22"/>
          <w:szCs w:val="22"/>
          <w:shd w:val="clear" w:color="auto" w:fill="FFFFFF"/>
        </w:rPr>
        <w:t xml:space="preserve">cohort study including detailed participant characterisation, linked </w:t>
      </w:r>
      <w:r w:rsidR="007F6BD2" w:rsidRPr="00BF5FDD">
        <w:rPr>
          <w:color w:val="000000" w:themeColor="text1"/>
          <w:sz w:val="22"/>
          <w:szCs w:val="22"/>
          <w:shd w:val="clear" w:color="auto" w:fill="FFFFFF"/>
        </w:rPr>
        <w:t xml:space="preserve">longitudinally tracked </w:t>
      </w:r>
      <w:r w:rsidRPr="00BF5FDD">
        <w:rPr>
          <w:color w:val="000000" w:themeColor="text1"/>
          <w:sz w:val="22"/>
          <w:szCs w:val="22"/>
          <w:shd w:val="clear" w:color="auto" w:fill="FFFFFF"/>
        </w:rPr>
        <w:t xml:space="preserve">health outcome data, and detailed </w:t>
      </w:r>
      <w:r w:rsidR="007F6BD2" w:rsidRPr="00BF5FDD">
        <w:rPr>
          <w:color w:val="000000" w:themeColor="text1"/>
          <w:sz w:val="22"/>
          <w:szCs w:val="22"/>
          <w:shd w:val="clear" w:color="auto" w:fill="FFFFFF"/>
        </w:rPr>
        <w:t xml:space="preserve">standardised </w:t>
      </w:r>
      <w:r w:rsidRPr="00BF5FDD">
        <w:rPr>
          <w:color w:val="000000" w:themeColor="text1"/>
          <w:sz w:val="22"/>
          <w:szCs w:val="22"/>
          <w:shd w:val="clear" w:color="auto" w:fill="FFFFFF"/>
        </w:rPr>
        <w:t>CMR.</w:t>
      </w:r>
      <w:r w:rsidR="001E74EB" w:rsidRPr="00BF5FDD">
        <w:rPr>
          <w:color w:val="000000" w:themeColor="text1"/>
          <w:sz w:val="22"/>
          <w:szCs w:val="22"/>
          <w:shd w:val="clear" w:color="auto" w:fill="FFFFFF"/>
        </w:rPr>
        <w:t xml:space="preserve"> </w:t>
      </w:r>
      <w:r w:rsidR="00161C91" w:rsidRPr="00BF5FDD">
        <w:rPr>
          <w:color w:val="000000" w:themeColor="text1"/>
          <w:sz w:val="22"/>
          <w:szCs w:val="22"/>
          <w:shd w:val="clear" w:color="auto" w:fill="FFFFFF"/>
        </w:rPr>
        <w:t xml:space="preserve">Thus, </w:t>
      </w:r>
      <w:r w:rsidR="003C2C91" w:rsidRPr="00BF5FDD">
        <w:rPr>
          <w:color w:val="000000" w:themeColor="text1"/>
          <w:sz w:val="22"/>
          <w:szCs w:val="22"/>
          <w:shd w:val="clear" w:color="auto" w:fill="FFFFFF"/>
        </w:rPr>
        <w:t xml:space="preserve">we evaluated, in </w:t>
      </w:r>
      <w:r w:rsidR="003C2C91" w:rsidRPr="00BF5FDD">
        <w:rPr>
          <w:color w:val="000000" w:themeColor="text1"/>
          <w:sz w:val="22"/>
          <w:szCs w:val="22"/>
        </w:rPr>
        <w:t>25,</w:t>
      </w:r>
      <w:r w:rsidR="00D51E55" w:rsidRPr="00BF5FDD">
        <w:rPr>
          <w:color w:val="000000" w:themeColor="text1"/>
          <w:sz w:val="22"/>
          <w:szCs w:val="22"/>
        </w:rPr>
        <w:t>896</w:t>
      </w:r>
      <w:r w:rsidR="00D51E55" w:rsidRPr="00BF5FDD">
        <w:rPr>
          <w:color w:val="000000" w:themeColor="text1"/>
          <w:sz w:val="22"/>
          <w:szCs w:val="22"/>
          <w:shd w:val="clear" w:color="auto" w:fill="FFFFFF"/>
        </w:rPr>
        <w:t xml:space="preserve"> </w:t>
      </w:r>
      <w:r w:rsidR="003C2C91" w:rsidRPr="00BF5FDD">
        <w:rPr>
          <w:color w:val="000000" w:themeColor="text1"/>
          <w:sz w:val="22"/>
          <w:szCs w:val="22"/>
          <w:shd w:val="clear" w:color="auto" w:fill="FFFFFF"/>
        </w:rPr>
        <w:t xml:space="preserve">UK Biobank participants, clinical associations of LA structure and function independent of LV metrics. We </w:t>
      </w:r>
      <w:r w:rsidR="001B499D">
        <w:rPr>
          <w:color w:val="000000" w:themeColor="text1"/>
          <w:sz w:val="22"/>
          <w:szCs w:val="22"/>
          <w:shd w:val="clear" w:color="auto" w:fill="FFFFFF"/>
        </w:rPr>
        <w:t>estimated</w:t>
      </w:r>
      <w:r w:rsidR="003C2C91" w:rsidRPr="00BF5FDD">
        <w:rPr>
          <w:color w:val="000000" w:themeColor="text1"/>
          <w:sz w:val="22"/>
          <w:szCs w:val="22"/>
          <w:shd w:val="clear" w:color="auto" w:fill="FFFFFF"/>
        </w:rPr>
        <w:t xml:space="preserve"> associations of </w:t>
      </w:r>
      <w:r w:rsidR="42135598" w:rsidRPr="00BF5FDD">
        <w:rPr>
          <w:color w:val="000000" w:themeColor="text1"/>
          <w:sz w:val="22"/>
          <w:szCs w:val="22"/>
        </w:rPr>
        <w:t xml:space="preserve">CMR derived LA </w:t>
      </w:r>
      <w:r w:rsidR="0072515A" w:rsidRPr="00BF5FDD">
        <w:rPr>
          <w:color w:val="000000" w:themeColor="text1"/>
          <w:sz w:val="22"/>
          <w:szCs w:val="22"/>
        </w:rPr>
        <w:t xml:space="preserve">and LV </w:t>
      </w:r>
      <w:r w:rsidR="003C2C91" w:rsidRPr="00BF5FDD">
        <w:rPr>
          <w:color w:val="000000" w:themeColor="text1"/>
          <w:sz w:val="22"/>
          <w:szCs w:val="22"/>
        </w:rPr>
        <w:t>metrics</w:t>
      </w:r>
      <w:r w:rsidR="42135598" w:rsidRPr="00BF5FDD">
        <w:rPr>
          <w:color w:val="000000" w:themeColor="text1"/>
          <w:sz w:val="22"/>
          <w:szCs w:val="22"/>
        </w:rPr>
        <w:t xml:space="preserve"> with</w:t>
      </w:r>
      <w:r w:rsidR="003C2C91" w:rsidRPr="00BF5FDD">
        <w:rPr>
          <w:color w:val="000000" w:themeColor="text1"/>
          <w:sz w:val="22"/>
          <w:szCs w:val="22"/>
        </w:rPr>
        <w:t xml:space="preserve"> </w:t>
      </w:r>
      <w:r w:rsidR="007F6BD2" w:rsidRPr="00BF5FDD">
        <w:rPr>
          <w:color w:val="000000" w:themeColor="text1"/>
          <w:sz w:val="22"/>
          <w:szCs w:val="22"/>
        </w:rPr>
        <w:t xml:space="preserve">vascular risk factors (VRFs), prevalent </w:t>
      </w:r>
      <w:r w:rsidR="00680008" w:rsidRPr="00BF5FDD">
        <w:rPr>
          <w:color w:val="000000" w:themeColor="text1"/>
          <w:sz w:val="22"/>
          <w:szCs w:val="22"/>
        </w:rPr>
        <w:t>CVD</w:t>
      </w:r>
      <w:r w:rsidR="007F6BD2" w:rsidRPr="00BF5FDD">
        <w:rPr>
          <w:color w:val="000000" w:themeColor="text1"/>
          <w:sz w:val="22"/>
          <w:szCs w:val="22"/>
        </w:rPr>
        <w:t>,</w:t>
      </w:r>
      <w:r w:rsidR="00A05EA8" w:rsidRPr="00BF5FDD">
        <w:rPr>
          <w:color w:val="000000" w:themeColor="text1"/>
          <w:sz w:val="22"/>
          <w:szCs w:val="22"/>
        </w:rPr>
        <w:t xml:space="preserve"> </w:t>
      </w:r>
      <w:r w:rsidR="007F6BD2" w:rsidRPr="00BF5FDD">
        <w:rPr>
          <w:color w:val="000000" w:themeColor="text1"/>
          <w:sz w:val="22"/>
          <w:szCs w:val="22"/>
        </w:rPr>
        <w:t xml:space="preserve">incident </w:t>
      </w:r>
      <w:r w:rsidR="00313839" w:rsidRPr="00BF5FDD">
        <w:rPr>
          <w:color w:val="000000" w:themeColor="text1"/>
          <w:sz w:val="22"/>
          <w:szCs w:val="22"/>
        </w:rPr>
        <w:t>CVD, and mortality outcomes</w:t>
      </w:r>
      <w:r w:rsidR="003C2C91" w:rsidRPr="00BF5FDD">
        <w:rPr>
          <w:color w:val="000000" w:themeColor="text1"/>
          <w:sz w:val="22"/>
          <w:szCs w:val="22"/>
        </w:rPr>
        <w:t>.</w:t>
      </w:r>
      <w:r w:rsidR="00A05EA8" w:rsidRPr="00BF5FDD">
        <w:rPr>
          <w:color w:val="000000" w:themeColor="text1"/>
          <w:sz w:val="22"/>
          <w:szCs w:val="22"/>
        </w:rPr>
        <w:t xml:space="preserve"> </w:t>
      </w:r>
      <w:r w:rsidR="003C2C91" w:rsidRPr="00BF5FDD">
        <w:rPr>
          <w:color w:val="000000" w:themeColor="text1"/>
          <w:sz w:val="22"/>
          <w:szCs w:val="22"/>
        </w:rPr>
        <w:t>We</w:t>
      </w:r>
      <w:r w:rsidR="00A05EA8" w:rsidRPr="00BF5FDD">
        <w:rPr>
          <w:color w:val="000000" w:themeColor="text1"/>
          <w:sz w:val="22"/>
          <w:szCs w:val="22"/>
        </w:rPr>
        <w:t xml:space="preserve"> </w:t>
      </w:r>
      <w:r w:rsidR="003C2C91" w:rsidRPr="00BF5FDD">
        <w:rPr>
          <w:color w:val="000000" w:themeColor="text1"/>
          <w:sz w:val="22"/>
          <w:szCs w:val="22"/>
        </w:rPr>
        <w:t>considered</w:t>
      </w:r>
      <w:r w:rsidR="00A05EA8" w:rsidRPr="00BF5FDD">
        <w:rPr>
          <w:color w:val="000000" w:themeColor="text1"/>
          <w:sz w:val="22"/>
          <w:szCs w:val="22"/>
        </w:rPr>
        <w:t xml:space="preserve"> a wide range of demographic and clinical confounders</w:t>
      </w:r>
      <w:r w:rsidR="003C2C91" w:rsidRPr="00BF5FDD">
        <w:rPr>
          <w:color w:val="000000" w:themeColor="text1"/>
          <w:sz w:val="22"/>
          <w:szCs w:val="22"/>
        </w:rPr>
        <w:t xml:space="preserve"> and, c</w:t>
      </w:r>
      <w:r w:rsidR="00D22F17" w:rsidRPr="00BF5FDD">
        <w:rPr>
          <w:color w:val="000000" w:themeColor="text1"/>
          <w:sz w:val="22"/>
          <w:szCs w:val="22"/>
        </w:rPr>
        <w:t>ritically</w:t>
      </w:r>
      <w:r w:rsidR="2A5B4AED" w:rsidRPr="00BF5FDD">
        <w:rPr>
          <w:color w:val="000000" w:themeColor="text1"/>
          <w:sz w:val="22"/>
          <w:szCs w:val="22"/>
        </w:rPr>
        <w:t>, we</w:t>
      </w:r>
      <w:r w:rsidR="00E86798" w:rsidRPr="00BF5FDD">
        <w:rPr>
          <w:color w:val="000000" w:themeColor="text1"/>
          <w:sz w:val="22"/>
          <w:szCs w:val="22"/>
        </w:rPr>
        <w:t xml:space="preserve"> </w:t>
      </w:r>
      <w:r w:rsidR="003C2C91" w:rsidRPr="00BF5FDD">
        <w:rPr>
          <w:color w:val="000000" w:themeColor="text1"/>
          <w:sz w:val="22"/>
          <w:szCs w:val="22"/>
        </w:rPr>
        <w:t>assessed</w:t>
      </w:r>
      <w:r w:rsidR="00A05EA8" w:rsidRPr="00BF5FDD">
        <w:rPr>
          <w:color w:val="000000" w:themeColor="text1"/>
          <w:sz w:val="22"/>
          <w:szCs w:val="22"/>
        </w:rPr>
        <w:t xml:space="preserve"> </w:t>
      </w:r>
      <w:r w:rsidR="2A5B4AED" w:rsidRPr="00BF5FDD">
        <w:rPr>
          <w:color w:val="000000" w:themeColor="text1"/>
          <w:sz w:val="22"/>
          <w:szCs w:val="22"/>
        </w:rPr>
        <w:t xml:space="preserve">the </w:t>
      </w:r>
      <w:r w:rsidR="003A4753">
        <w:rPr>
          <w:color w:val="000000" w:themeColor="text1"/>
          <w:sz w:val="22"/>
          <w:szCs w:val="22"/>
        </w:rPr>
        <w:t>independent</w:t>
      </w:r>
      <w:r w:rsidR="2A5B4AED" w:rsidRPr="00BF5FDD">
        <w:rPr>
          <w:color w:val="000000" w:themeColor="text1"/>
          <w:sz w:val="22"/>
          <w:szCs w:val="22"/>
        </w:rPr>
        <w:t xml:space="preserve"> value of LA metrics over measures of LV structure and function.</w:t>
      </w:r>
      <w:r w:rsidR="00553E49" w:rsidRPr="004F076A">
        <w:rPr>
          <w:color w:val="000000" w:themeColor="text1"/>
          <w:sz w:val="22"/>
          <w:szCs w:val="22"/>
        </w:rPr>
        <w:br w:type="page"/>
      </w:r>
    </w:p>
    <w:p w14:paraId="6032343E" w14:textId="7DEB2C44" w:rsidR="00640261" w:rsidRPr="004F076A" w:rsidRDefault="00A8517A" w:rsidP="00511AE5">
      <w:pPr>
        <w:spacing w:line="480" w:lineRule="auto"/>
        <w:rPr>
          <w:b/>
          <w:bCs/>
          <w:color w:val="000000" w:themeColor="text1"/>
          <w:sz w:val="22"/>
          <w:szCs w:val="22"/>
        </w:rPr>
      </w:pPr>
      <w:r w:rsidRPr="004F076A">
        <w:rPr>
          <w:b/>
          <w:bCs/>
          <w:color w:val="000000" w:themeColor="text1"/>
          <w:sz w:val="22"/>
          <w:szCs w:val="22"/>
        </w:rPr>
        <w:t>Methods</w:t>
      </w:r>
    </w:p>
    <w:p w14:paraId="420E1AD9" w14:textId="25EEFBC0" w:rsidR="00A8517A" w:rsidRPr="004F076A" w:rsidRDefault="00A8517A" w:rsidP="00511AE5">
      <w:pPr>
        <w:spacing w:line="480" w:lineRule="auto"/>
        <w:rPr>
          <w:b/>
          <w:bCs/>
          <w:color w:val="000000" w:themeColor="text1"/>
          <w:sz w:val="22"/>
          <w:szCs w:val="22"/>
        </w:rPr>
      </w:pPr>
      <w:r w:rsidRPr="004F076A">
        <w:rPr>
          <w:b/>
          <w:bCs/>
          <w:color w:val="000000" w:themeColor="text1"/>
          <w:sz w:val="22"/>
          <w:szCs w:val="22"/>
        </w:rPr>
        <w:t>Setting and study participants</w:t>
      </w:r>
    </w:p>
    <w:p w14:paraId="30EF2689" w14:textId="1105A735" w:rsidR="00A8517A" w:rsidRPr="004F076A" w:rsidRDefault="2F181A11" w:rsidP="00511AE5">
      <w:pPr>
        <w:spacing w:line="480" w:lineRule="auto"/>
        <w:rPr>
          <w:color w:val="000000" w:themeColor="text1"/>
          <w:sz w:val="22"/>
          <w:szCs w:val="22"/>
        </w:rPr>
      </w:pPr>
      <w:r w:rsidRPr="004F076A">
        <w:rPr>
          <w:color w:val="000000" w:themeColor="text1"/>
          <w:sz w:val="22"/>
          <w:szCs w:val="22"/>
        </w:rPr>
        <w:t xml:space="preserve">The UK Biobank </w:t>
      </w:r>
      <w:r w:rsidR="25BB1EBF" w:rsidRPr="004F076A">
        <w:rPr>
          <w:color w:val="000000" w:themeColor="text1"/>
          <w:sz w:val="22"/>
          <w:szCs w:val="22"/>
        </w:rPr>
        <w:t>includes over 500,000 participants</w:t>
      </w:r>
      <w:r w:rsidR="02F4FB1F" w:rsidRPr="004F076A">
        <w:rPr>
          <w:color w:val="000000" w:themeColor="text1"/>
          <w:sz w:val="22"/>
          <w:szCs w:val="22"/>
        </w:rPr>
        <w:t xml:space="preserve"> from across the UK. Individuals aged 40-69 years-old were identified using National Health Service (NHS) registers and recruited between 2006-2010 through postal invitations</w:t>
      </w:r>
      <w:r w:rsidR="4464BF01" w:rsidRPr="004F076A">
        <w:rPr>
          <w:color w:val="000000" w:themeColor="text1"/>
          <w:sz w:val="22"/>
          <w:szCs w:val="22"/>
        </w:rPr>
        <w:t>.</w:t>
      </w:r>
      <w:r w:rsidR="00A8517A" w:rsidRPr="004F076A">
        <w:rPr>
          <w:color w:val="000000" w:themeColor="text1"/>
          <w:sz w:val="22"/>
          <w:szCs w:val="22"/>
        </w:rPr>
        <w:fldChar w:fldCharType="begin" w:fldLock="1"/>
      </w:r>
      <w:r w:rsidR="00D33752" w:rsidRPr="004F076A">
        <w:rPr>
          <w:color w:val="000000" w:themeColor="text1"/>
          <w:sz w:val="22"/>
          <w:szCs w:val="22"/>
        </w:rPr>
        <w:instrText>ADDIN CSL_CITATION {"citationItems":[{"id":"ITEM-1","itemData":{"DOI":"10.1126/scitranslmed.3008601","ISSN":"19466242","author":[{"dropping-particle":"","family":"Allen","given":"Naomi E.","non-dropping-particle":"","parse-names":false,"suffix":""},{"dropping-particle":"","family":"Sudlow","given":"Cathie","non-dropping-particle":"","parse-names":false,"suffix":""},{"dropping-particle":"","family":"Peakman","given":"Tim","non-dropping-particle":"","parse-names":false,"suffix":""},{"dropping-particle":"","family":"Collins","given":"Rory","non-dropping-particle":"","parse-names":false,"suffix":""}],"container-title":"Science Translational Medicine","id":"ITEM-1","issue":"224","issued":{"date-parts":[["2014","2","19"]]},"page":"224ed4","publisher":"American Association for the Advancement of Science","title":"UK biobank data: Come and get it","type":"article-journal","volume":"6"},"uris":["http://www.mendeley.com/documents/?uuid=24b0d515-8c3f-36c4-b50f-8c0009d27634"]}],"mendeley":{"formattedCitation":"&lt;sup&gt;13&lt;/sup&gt;","plainTextFormattedCitation":"13","previouslyFormattedCitation":"&lt;sup&gt;13&lt;/sup&gt;"},"properties":{"noteIndex":0},"schema":"https://github.com/citation-style-language/schema/raw/master/csl-citation.json"}</w:instrText>
      </w:r>
      <w:r w:rsidR="00A8517A" w:rsidRPr="004F076A">
        <w:rPr>
          <w:color w:val="000000" w:themeColor="text1"/>
          <w:sz w:val="22"/>
          <w:szCs w:val="22"/>
        </w:rPr>
        <w:fldChar w:fldCharType="separate"/>
      </w:r>
      <w:r w:rsidR="00D33752" w:rsidRPr="004F076A">
        <w:rPr>
          <w:noProof/>
          <w:color w:val="000000" w:themeColor="text1"/>
          <w:sz w:val="22"/>
          <w:szCs w:val="22"/>
          <w:vertAlign w:val="superscript"/>
        </w:rPr>
        <w:t>13</w:t>
      </w:r>
      <w:r w:rsidR="00A8517A" w:rsidRPr="004F076A">
        <w:rPr>
          <w:color w:val="000000" w:themeColor="text1"/>
          <w:sz w:val="22"/>
          <w:szCs w:val="22"/>
        </w:rPr>
        <w:fldChar w:fldCharType="end"/>
      </w:r>
      <w:r w:rsidR="121F4227" w:rsidRPr="004F076A">
        <w:rPr>
          <w:color w:val="000000" w:themeColor="text1"/>
          <w:sz w:val="22"/>
          <w:szCs w:val="22"/>
        </w:rPr>
        <w:t xml:space="preserve"> </w:t>
      </w:r>
      <w:r w:rsidR="589FC0F3" w:rsidRPr="004F076A">
        <w:rPr>
          <w:color w:val="000000" w:themeColor="text1"/>
          <w:sz w:val="22"/>
          <w:szCs w:val="22"/>
        </w:rPr>
        <w:t>Baseline assessment comprised</w:t>
      </w:r>
      <w:r w:rsidR="121F4227" w:rsidRPr="004F076A">
        <w:rPr>
          <w:color w:val="000000" w:themeColor="text1"/>
          <w:sz w:val="22"/>
          <w:szCs w:val="22"/>
        </w:rPr>
        <w:t xml:space="preserve"> detailed</w:t>
      </w:r>
      <w:r w:rsidR="55A4C788" w:rsidRPr="004F076A">
        <w:rPr>
          <w:color w:val="000000" w:themeColor="text1"/>
          <w:sz w:val="22"/>
          <w:szCs w:val="22"/>
        </w:rPr>
        <w:t xml:space="preserve"> </w:t>
      </w:r>
      <w:r w:rsidR="121F4227" w:rsidRPr="004F076A">
        <w:rPr>
          <w:color w:val="000000" w:themeColor="text1"/>
          <w:sz w:val="22"/>
          <w:szCs w:val="22"/>
        </w:rPr>
        <w:t xml:space="preserve">characterisation of </w:t>
      </w:r>
      <w:r w:rsidR="65A77DE4" w:rsidRPr="004F076A">
        <w:rPr>
          <w:color w:val="000000" w:themeColor="text1"/>
          <w:sz w:val="22"/>
          <w:szCs w:val="22"/>
        </w:rPr>
        <w:t xml:space="preserve">participant demographic, lifestyle, environmental, and </w:t>
      </w:r>
      <w:r w:rsidR="1AFF8871" w:rsidRPr="004F076A">
        <w:rPr>
          <w:color w:val="000000" w:themeColor="text1"/>
          <w:sz w:val="22"/>
          <w:szCs w:val="22"/>
        </w:rPr>
        <w:t xml:space="preserve">medical </w:t>
      </w:r>
      <w:r w:rsidR="5F6C2346" w:rsidRPr="004F076A">
        <w:rPr>
          <w:color w:val="000000" w:themeColor="text1"/>
          <w:sz w:val="22"/>
          <w:szCs w:val="22"/>
        </w:rPr>
        <w:t>factors</w:t>
      </w:r>
      <w:r w:rsidR="65A77DE4" w:rsidRPr="004F076A">
        <w:rPr>
          <w:color w:val="000000" w:themeColor="text1"/>
          <w:sz w:val="22"/>
          <w:szCs w:val="22"/>
        </w:rPr>
        <w:t xml:space="preserve">, as well as a series of physical measures and blood sampling. </w:t>
      </w:r>
      <w:r w:rsidR="56D9E64D" w:rsidRPr="004F076A">
        <w:rPr>
          <w:color w:val="000000" w:themeColor="text1"/>
          <w:sz w:val="22"/>
          <w:szCs w:val="22"/>
        </w:rPr>
        <w:t>Individuals who could not complete baseline assessment due to discomfort or ill health were not recruited. The UK Biobank protocol is publicly available</w:t>
      </w:r>
      <w:r w:rsidR="09D725AA" w:rsidRPr="004F076A">
        <w:rPr>
          <w:color w:val="000000" w:themeColor="text1"/>
          <w:sz w:val="22"/>
          <w:szCs w:val="22"/>
        </w:rPr>
        <w:t>.</w:t>
      </w:r>
      <w:r w:rsidR="00A8517A" w:rsidRPr="004F076A">
        <w:rPr>
          <w:color w:val="000000" w:themeColor="text1"/>
          <w:sz w:val="22"/>
          <w:szCs w:val="22"/>
        </w:rPr>
        <w:fldChar w:fldCharType="begin" w:fldLock="1"/>
      </w:r>
      <w:r w:rsidR="00D33752" w:rsidRPr="004F076A">
        <w:rPr>
          <w:color w:val="000000" w:themeColor="text1"/>
          <w:sz w:val="22"/>
          <w:szCs w:val="22"/>
        </w:rPr>
        <w:instrText>ADDIN CSL_CITATION {"citationItems":[{"id":"ITEM-1","itemData":{"URL":"https://www.ukbiobank.ac.uk/wp-content/uploads/2011/11/UK-Biobank-Protocol.pdf","accessed":{"date-parts":[["2019","12","13"]]},"id":"ITEM-1","issued":{"date-parts":[["2007"]]},"title":"UK Biobank: Protocol for a large-scale prospective epidemiological resource","type":"webpage"},"uris":["http://www.mendeley.com/documents/?uuid=b594a985-6dd1-3d5c-a8ed-657713d389f7"]}],"mendeley":{"formattedCitation":"&lt;sup&gt;14&lt;/sup&gt;","plainTextFormattedCitation":"14","previouslyFormattedCitation":"&lt;sup&gt;14&lt;/sup&gt;"},"properties":{"noteIndex":0},"schema":"https://github.com/citation-style-language/schema/raw/master/csl-citation.json"}</w:instrText>
      </w:r>
      <w:r w:rsidR="00A8517A" w:rsidRPr="004F076A">
        <w:rPr>
          <w:color w:val="000000" w:themeColor="text1"/>
          <w:sz w:val="22"/>
          <w:szCs w:val="22"/>
        </w:rPr>
        <w:fldChar w:fldCharType="separate"/>
      </w:r>
      <w:r w:rsidR="00D33752" w:rsidRPr="004F076A">
        <w:rPr>
          <w:noProof/>
          <w:color w:val="000000" w:themeColor="text1"/>
          <w:sz w:val="22"/>
          <w:szCs w:val="22"/>
          <w:vertAlign w:val="superscript"/>
        </w:rPr>
        <w:t>14</w:t>
      </w:r>
      <w:r w:rsidR="00A8517A" w:rsidRPr="004F076A">
        <w:rPr>
          <w:color w:val="000000" w:themeColor="text1"/>
          <w:sz w:val="22"/>
          <w:szCs w:val="22"/>
        </w:rPr>
        <w:fldChar w:fldCharType="end"/>
      </w:r>
      <w:r w:rsidR="481DB41D" w:rsidRPr="004F076A">
        <w:rPr>
          <w:color w:val="000000" w:themeColor="text1"/>
          <w:sz w:val="22"/>
          <w:szCs w:val="22"/>
        </w:rPr>
        <w:t xml:space="preserve"> Linkages have been established</w:t>
      </w:r>
      <w:r w:rsidR="00C34046">
        <w:rPr>
          <w:color w:val="000000" w:themeColor="text1"/>
          <w:sz w:val="22"/>
          <w:szCs w:val="22"/>
        </w:rPr>
        <w:t xml:space="preserve"> </w:t>
      </w:r>
      <w:r w:rsidR="481DB41D" w:rsidRPr="004F076A">
        <w:rPr>
          <w:color w:val="000000" w:themeColor="text1"/>
          <w:sz w:val="22"/>
          <w:szCs w:val="22"/>
        </w:rPr>
        <w:t xml:space="preserve">with </w:t>
      </w:r>
      <w:r w:rsidR="00C34046">
        <w:rPr>
          <w:color w:val="000000" w:themeColor="text1"/>
          <w:sz w:val="22"/>
          <w:szCs w:val="22"/>
        </w:rPr>
        <w:t xml:space="preserve">key </w:t>
      </w:r>
      <w:r w:rsidR="481DB41D" w:rsidRPr="004F076A">
        <w:rPr>
          <w:color w:val="000000" w:themeColor="text1"/>
          <w:sz w:val="22"/>
          <w:szCs w:val="22"/>
        </w:rPr>
        <w:t>routine health data including hospital episode statistics (HES) and death register</w:t>
      </w:r>
      <w:r w:rsidR="62D2629D" w:rsidRPr="004F076A">
        <w:rPr>
          <w:color w:val="000000" w:themeColor="text1"/>
          <w:sz w:val="22"/>
          <w:szCs w:val="22"/>
        </w:rPr>
        <w:t>s</w:t>
      </w:r>
      <w:r w:rsidR="481DB41D" w:rsidRPr="004F076A">
        <w:rPr>
          <w:color w:val="000000" w:themeColor="text1"/>
          <w:sz w:val="22"/>
          <w:szCs w:val="22"/>
        </w:rPr>
        <w:t xml:space="preserve">, with health outcomes documented according to standardised International Classification of Diseases (ICD) codes. </w:t>
      </w:r>
      <w:r w:rsidR="391ADE4A" w:rsidRPr="004F076A">
        <w:rPr>
          <w:color w:val="000000" w:themeColor="text1"/>
          <w:sz w:val="22"/>
          <w:szCs w:val="22"/>
        </w:rPr>
        <w:t xml:space="preserve">This </w:t>
      </w:r>
      <w:r w:rsidR="66F90133" w:rsidRPr="004F076A">
        <w:rPr>
          <w:color w:val="000000" w:themeColor="text1"/>
          <w:sz w:val="22"/>
          <w:szCs w:val="22"/>
        </w:rPr>
        <w:t xml:space="preserve">linked </w:t>
      </w:r>
      <w:r w:rsidR="391ADE4A" w:rsidRPr="004F076A">
        <w:rPr>
          <w:color w:val="000000" w:themeColor="text1"/>
          <w:sz w:val="22"/>
          <w:szCs w:val="22"/>
        </w:rPr>
        <w:t xml:space="preserve">information is </w:t>
      </w:r>
      <w:r w:rsidR="3483DAB7" w:rsidRPr="004F076A">
        <w:rPr>
          <w:color w:val="000000" w:themeColor="text1"/>
          <w:sz w:val="22"/>
          <w:szCs w:val="22"/>
        </w:rPr>
        <w:t xml:space="preserve">continually </w:t>
      </w:r>
      <w:r w:rsidR="391ADE4A" w:rsidRPr="004F076A">
        <w:rPr>
          <w:color w:val="000000" w:themeColor="text1"/>
          <w:sz w:val="22"/>
          <w:szCs w:val="22"/>
        </w:rPr>
        <w:t>updated</w:t>
      </w:r>
      <w:r w:rsidR="50EB6110" w:rsidRPr="004F076A">
        <w:rPr>
          <w:color w:val="000000" w:themeColor="text1"/>
          <w:sz w:val="22"/>
          <w:szCs w:val="22"/>
        </w:rPr>
        <w:t xml:space="preserve"> </w:t>
      </w:r>
      <w:r w:rsidR="391ADE4A" w:rsidRPr="004F076A">
        <w:rPr>
          <w:color w:val="000000" w:themeColor="text1"/>
          <w:sz w:val="22"/>
          <w:szCs w:val="22"/>
        </w:rPr>
        <w:t xml:space="preserve">allowing </w:t>
      </w:r>
      <w:r w:rsidR="50ED9793" w:rsidRPr="004F076A">
        <w:rPr>
          <w:color w:val="000000" w:themeColor="text1"/>
          <w:sz w:val="22"/>
          <w:szCs w:val="22"/>
        </w:rPr>
        <w:t xml:space="preserve">reliable </w:t>
      </w:r>
      <w:r w:rsidR="391ADE4A" w:rsidRPr="004F076A">
        <w:rPr>
          <w:color w:val="000000" w:themeColor="text1"/>
          <w:sz w:val="22"/>
          <w:szCs w:val="22"/>
        </w:rPr>
        <w:t xml:space="preserve">longitudinal tracking of </w:t>
      </w:r>
      <w:r w:rsidR="3992D4A8" w:rsidRPr="004F076A">
        <w:rPr>
          <w:color w:val="000000" w:themeColor="text1"/>
          <w:sz w:val="22"/>
          <w:szCs w:val="22"/>
        </w:rPr>
        <w:t>incident events</w:t>
      </w:r>
      <w:r w:rsidR="27B04988" w:rsidRPr="004F076A">
        <w:rPr>
          <w:color w:val="000000" w:themeColor="text1"/>
          <w:sz w:val="22"/>
          <w:szCs w:val="22"/>
        </w:rPr>
        <w:t xml:space="preserve"> for </w:t>
      </w:r>
      <w:r w:rsidR="3A9DCA36" w:rsidRPr="004F076A">
        <w:rPr>
          <w:color w:val="000000" w:themeColor="text1"/>
          <w:sz w:val="22"/>
          <w:szCs w:val="22"/>
        </w:rPr>
        <w:t>all participants</w:t>
      </w:r>
      <w:r w:rsidR="4CEF9087" w:rsidRPr="004F076A">
        <w:rPr>
          <w:color w:val="000000" w:themeColor="text1"/>
          <w:sz w:val="22"/>
          <w:szCs w:val="22"/>
        </w:rPr>
        <w:t xml:space="preserve">. Furthermore, the UK Biobank has produced adjudicated algorithmically defined incident health outcome data for key illnesses, such as </w:t>
      </w:r>
      <w:r w:rsidR="085C30E3" w:rsidRPr="004F076A">
        <w:rPr>
          <w:color w:val="000000" w:themeColor="text1"/>
          <w:sz w:val="22"/>
          <w:szCs w:val="22"/>
        </w:rPr>
        <w:t>myocardial infarction (</w:t>
      </w:r>
      <w:r w:rsidR="463F7363" w:rsidRPr="004F076A">
        <w:rPr>
          <w:color w:val="000000" w:themeColor="text1"/>
          <w:sz w:val="22"/>
          <w:szCs w:val="22"/>
        </w:rPr>
        <w:t>MI</w:t>
      </w:r>
      <w:r w:rsidR="4CF1B55F" w:rsidRPr="004F076A">
        <w:rPr>
          <w:color w:val="000000" w:themeColor="text1"/>
          <w:sz w:val="22"/>
          <w:szCs w:val="22"/>
        </w:rPr>
        <w:t>)</w:t>
      </w:r>
      <w:r w:rsidR="4CEF9087" w:rsidRPr="004F076A">
        <w:rPr>
          <w:color w:val="000000" w:themeColor="text1"/>
          <w:sz w:val="22"/>
          <w:szCs w:val="22"/>
        </w:rPr>
        <w:t xml:space="preserve"> and stroke</w:t>
      </w:r>
      <w:r w:rsidR="77ED5BC3" w:rsidRPr="004F076A">
        <w:rPr>
          <w:color w:val="000000" w:themeColor="text1"/>
          <w:sz w:val="22"/>
          <w:szCs w:val="22"/>
        </w:rPr>
        <w:t>.</w:t>
      </w:r>
      <w:r w:rsidR="00A8517A" w:rsidRPr="004F076A">
        <w:rPr>
          <w:color w:val="000000" w:themeColor="text1"/>
          <w:sz w:val="22"/>
          <w:szCs w:val="22"/>
        </w:rPr>
        <w:fldChar w:fldCharType="begin" w:fldLock="1"/>
      </w:r>
      <w:r w:rsidR="00D33752" w:rsidRPr="004F076A">
        <w:rPr>
          <w:color w:val="000000" w:themeColor="text1"/>
          <w:sz w:val="22"/>
          <w:szCs w:val="22"/>
        </w:rPr>
        <w:instrText>ADDIN CSL_CITATION {"citationItems":[{"id":"ITEM-1","itemData":{"URL":"https://biobank.ctsu.ox.ac.uk/crystal/crystal/docs/alg_outcome_main.pdf","accessed":{"date-parts":[["2020","3","27"]]},"author":[{"dropping-particle":"","family":"Schnier","given":"Christian","non-dropping-particle":"","parse-names":false,"suffix":""},{"dropping-particle":"","family":"Sudlow Biobank","given":"Cathie UK","non-dropping-particle":"","parse-names":false,"suffix":""}],"id":"ITEM-1","issued":{"date-parts":[["2017"]]},"title":"Algorithmically-defined health outcomes (Chief Scientist), with input from members of the UK Biobank Follow-up and Outcomes Adjudication Group","type":"webpage"},"uris":["http://www.mendeley.com/documents/?uuid=4b10956c-e319-3dce-a26a-5a5c5ecbcff0"]}],"mendeley":{"formattedCitation":"&lt;sup&gt;15&lt;/sup&gt;","plainTextFormattedCitation":"15","previouslyFormattedCitation":"&lt;sup&gt;15&lt;/sup&gt;"},"properties":{"noteIndex":0},"schema":"https://github.com/citation-style-language/schema/raw/master/csl-citation.json"}</w:instrText>
      </w:r>
      <w:r w:rsidR="00A8517A" w:rsidRPr="004F076A">
        <w:rPr>
          <w:color w:val="000000" w:themeColor="text1"/>
          <w:sz w:val="22"/>
          <w:szCs w:val="22"/>
        </w:rPr>
        <w:fldChar w:fldCharType="separate"/>
      </w:r>
      <w:r w:rsidR="00D33752" w:rsidRPr="004F076A">
        <w:rPr>
          <w:noProof/>
          <w:color w:val="000000" w:themeColor="text1"/>
          <w:sz w:val="22"/>
          <w:szCs w:val="22"/>
          <w:vertAlign w:val="superscript"/>
        </w:rPr>
        <w:t>15</w:t>
      </w:r>
      <w:r w:rsidR="00A8517A" w:rsidRPr="004F076A">
        <w:rPr>
          <w:color w:val="000000" w:themeColor="text1"/>
          <w:sz w:val="22"/>
          <w:szCs w:val="22"/>
        </w:rPr>
        <w:fldChar w:fldCharType="end"/>
      </w:r>
      <w:r w:rsidR="391ADE4A" w:rsidRPr="004F076A">
        <w:rPr>
          <w:color w:val="000000" w:themeColor="text1"/>
          <w:sz w:val="22"/>
          <w:szCs w:val="22"/>
        </w:rPr>
        <w:t xml:space="preserve"> The UK Biobank imaging study, launched in 2015, aims to </w:t>
      </w:r>
      <w:r w:rsidR="391ADE4A" w:rsidRPr="00BF5FDD">
        <w:rPr>
          <w:color w:val="000000" w:themeColor="text1"/>
          <w:sz w:val="22"/>
          <w:szCs w:val="22"/>
        </w:rPr>
        <w:t xml:space="preserve">scan </w:t>
      </w:r>
      <w:r w:rsidR="00EC1CAE" w:rsidRPr="00BF5FDD">
        <w:rPr>
          <w:color w:val="000000" w:themeColor="text1"/>
          <w:sz w:val="22"/>
          <w:szCs w:val="22"/>
        </w:rPr>
        <w:t xml:space="preserve">a random </w:t>
      </w:r>
      <w:r w:rsidR="391ADE4A" w:rsidRPr="00BF5FDD">
        <w:rPr>
          <w:color w:val="000000" w:themeColor="text1"/>
          <w:sz w:val="22"/>
          <w:szCs w:val="22"/>
        </w:rPr>
        <w:t xml:space="preserve">100,000 </w:t>
      </w:r>
      <w:r w:rsidR="00EC1CAE" w:rsidRPr="00BF5FDD">
        <w:rPr>
          <w:color w:val="000000" w:themeColor="text1"/>
          <w:sz w:val="22"/>
          <w:szCs w:val="22"/>
        </w:rPr>
        <w:t xml:space="preserve">subset </w:t>
      </w:r>
      <w:r w:rsidR="391ADE4A" w:rsidRPr="00BF5FDD">
        <w:rPr>
          <w:color w:val="000000" w:themeColor="text1"/>
          <w:sz w:val="22"/>
          <w:szCs w:val="22"/>
        </w:rPr>
        <w:t>of the</w:t>
      </w:r>
      <w:r w:rsidR="391ADE4A" w:rsidRPr="004F076A">
        <w:rPr>
          <w:color w:val="000000" w:themeColor="text1"/>
          <w:sz w:val="22"/>
          <w:szCs w:val="22"/>
        </w:rPr>
        <w:t xml:space="preserve"> original participants and includes, amongst other things, detailed CMR</w:t>
      </w:r>
      <w:r w:rsidR="1A72C12F" w:rsidRPr="004F076A">
        <w:rPr>
          <w:color w:val="000000" w:themeColor="text1"/>
          <w:sz w:val="22"/>
          <w:szCs w:val="22"/>
        </w:rPr>
        <w:t xml:space="preserve"> imaging</w:t>
      </w:r>
      <w:r w:rsidR="150210C7" w:rsidRPr="004F076A">
        <w:rPr>
          <w:color w:val="000000" w:themeColor="text1"/>
          <w:sz w:val="22"/>
          <w:szCs w:val="22"/>
        </w:rPr>
        <w:t>.</w:t>
      </w:r>
      <w:r w:rsidR="00A8517A" w:rsidRPr="004F076A">
        <w:rPr>
          <w:color w:val="000000" w:themeColor="text1"/>
          <w:sz w:val="22"/>
          <w:szCs w:val="22"/>
        </w:rPr>
        <w:fldChar w:fldCharType="begin" w:fldLock="1"/>
      </w:r>
      <w:r w:rsidR="00D33752" w:rsidRPr="004F076A">
        <w:rPr>
          <w:color w:val="000000" w:themeColor="text1"/>
          <w:sz w:val="22"/>
          <w:szCs w:val="22"/>
        </w:rPr>
        <w:instrText>ADDIN CSL_CITATION {"citationItems":[{"id":"ITEM-1","itemData":{"DOI":"10.1093/ehjci/jeaa297","ISSN":"2047-2404","abstract":"The UK Biobank (UKB) is a health research resource of major international importance, incorporating comprehensive characterization of &amp;gt;500 000 men and women recruited between 2006 and 2010 from across the UK. There is prospective tracking of health outcomes for all participants through linkages with national cohorts (death registers, cancer registers, electronic hospital records, and primary care records). The dataset has been enhanced with the UKB imaging study, which aims to scan a subset of 100 000 participants. The imaging protocol includes magnetic resonance imaging of the brain, heart, and abdomen, carotid ultrasound, and whole-body dual X-ray absorptiometry. Since its launch in 2015, over 48 000 participants have completed the imaging study with scheduled completion in 2023. Repeat imaging of 10 000 participants has been approved and commenced in 2019. The cardiovascular magnetic resonance (CMR) scan provides detailed assessment of cardiac structure and function comprising bright blood anatomic assessment (sagittal, coronal, and axial), left and right ventricular cine images (long and short axes), myocardial tagging, native T1 mapping, aortic flow, and imaging of the thoracic aorta. The UKB is an open access resource available to health researchers across all scientific disciplines from both academia and industry with no preferential access or exclusivity. In this paper, we consider how we may best utilize the UKB CMR data to advance cardiovascular research and review notable achievements to date.","author":[{"dropping-particle":"","family":"Raisi-Estabragh","given":"Zahra","non-dropping-particle":"","parse-names":false,"suffix":""},{"dropping-particle":"","family":"Harvey","given":"Nicholas C","non-dropping-particle":"","parse-names":false,"suffix":""},{"dropping-particle":"","family":"Neubauer","given":"Stefan","non-dropping-particle":"","parse-names":false,"suffix":""},{"dropping-particle":"","family":"Petersen","given":"Steffen E","non-dropping-particle":"","parse-names":false,"suffix":""}],"container-title":"European Heart Journal - Cardiovascular Imaging","id":"ITEM-1","issue":"3","issued":{"date-parts":[["2021","2","22"]]},"page":"251-258","title":"Cardiovascular magnetic resonance imaging in the UK Biobank: a major international health research resource","type":"article-journal","volume":"22"},"uris":["http://www.mendeley.com/documents/?uuid=b6a6ca7c-f8f7-4141-8d50-f3df3e9624bc"]}],"mendeley":{"formattedCitation":"&lt;sup&gt;16&lt;/sup&gt;","plainTextFormattedCitation":"16","previouslyFormattedCitation":"&lt;sup&gt;16&lt;/sup&gt;"},"properties":{"noteIndex":0},"schema":"https://github.com/citation-style-language/schema/raw/master/csl-citation.json"}</w:instrText>
      </w:r>
      <w:r w:rsidR="00A8517A" w:rsidRPr="004F076A">
        <w:rPr>
          <w:color w:val="000000" w:themeColor="text1"/>
          <w:sz w:val="22"/>
          <w:szCs w:val="22"/>
        </w:rPr>
        <w:fldChar w:fldCharType="separate"/>
      </w:r>
      <w:r w:rsidR="00D33752" w:rsidRPr="004F076A">
        <w:rPr>
          <w:noProof/>
          <w:color w:val="000000" w:themeColor="text1"/>
          <w:sz w:val="22"/>
          <w:szCs w:val="22"/>
          <w:vertAlign w:val="superscript"/>
        </w:rPr>
        <w:t>16</w:t>
      </w:r>
      <w:r w:rsidR="00A8517A" w:rsidRPr="004F076A">
        <w:rPr>
          <w:color w:val="000000" w:themeColor="text1"/>
          <w:sz w:val="22"/>
          <w:szCs w:val="22"/>
        </w:rPr>
        <w:fldChar w:fldCharType="end"/>
      </w:r>
    </w:p>
    <w:p w14:paraId="5BA9384C" w14:textId="09015563" w:rsidR="2079E721" w:rsidRPr="004F076A" w:rsidRDefault="2079E721" w:rsidP="00511AE5">
      <w:pPr>
        <w:spacing w:line="480" w:lineRule="auto"/>
        <w:rPr>
          <w:color w:val="000000" w:themeColor="text1"/>
          <w:sz w:val="22"/>
          <w:szCs w:val="22"/>
        </w:rPr>
      </w:pPr>
    </w:p>
    <w:p w14:paraId="13D2D44A" w14:textId="77777777" w:rsidR="001638BF" w:rsidRPr="004F076A" w:rsidRDefault="001638BF" w:rsidP="00511AE5">
      <w:pPr>
        <w:spacing w:line="480" w:lineRule="auto"/>
        <w:rPr>
          <w:b/>
          <w:bCs/>
          <w:color w:val="000000" w:themeColor="text1"/>
          <w:sz w:val="22"/>
          <w:szCs w:val="22"/>
          <w:shd w:val="clear" w:color="auto" w:fill="FFFFFF"/>
        </w:rPr>
      </w:pPr>
      <w:r w:rsidRPr="004F076A">
        <w:rPr>
          <w:b/>
          <w:bCs/>
          <w:color w:val="000000" w:themeColor="text1"/>
          <w:sz w:val="22"/>
          <w:szCs w:val="22"/>
          <w:shd w:val="clear" w:color="auto" w:fill="FFFFFF"/>
        </w:rPr>
        <w:t>CMR image acquisition</w:t>
      </w:r>
    </w:p>
    <w:p w14:paraId="1A26CBAA" w14:textId="70DB21E7" w:rsidR="001638BF" w:rsidRPr="004F076A" w:rsidRDefault="74D15D34" w:rsidP="00511AE5">
      <w:pPr>
        <w:spacing w:line="480" w:lineRule="auto"/>
        <w:rPr>
          <w:color w:val="000000" w:themeColor="text1"/>
          <w:sz w:val="22"/>
          <w:szCs w:val="22"/>
        </w:rPr>
      </w:pPr>
      <w:r w:rsidRPr="004F076A">
        <w:rPr>
          <w:color w:val="000000" w:themeColor="text1"/>
          <w:sz w:val="22"/>
          <w:szCs w:val="22"/>
        </w:rPr>
        <w:t xml:space="preserve">The UK Biobank imaging study is performed using </w:t>
      </w:r>
      <w:r w:rsidR="75B674B0" w:rsidRPr="004F076A">
        <w:rPr>
          <w:color w:val="000000" w:themeColor="text1"/>
          <w:sz w:val="22"/>
          <w:szCs w:val="22"/>
        </w:rPr>
        <w:t>standardised</w:t>
      </w:r>
      <w:r w:rsidRPr="004F076A">
        <w:rPr>
          <w:color w:val="000000" w:themeColor="text1"/>
          <w:sz w:val="22"/>
          <w:szCs w:val="22"/>
        </w:rPr>
        <w:t xml:space="preserve"> pre-defined operating procedures, equipment, and staff training. CMR imaging was with 1.5 Tesla scanners (MAGNETOM Aera, Syngo Platform VD13A, Siemens Healthcare, Erlangen, Germany), the acquisition protocol is published elsewhere</w:t>
      </w:r>
      <w:r w:rsidR="2AB9F78E" w:rsidRPr="004F076A">
        <w:rPr>
          <w:color w:val="000000" w:themeColor="text1"/>
          <w:sz w:val="22"/>
          <w:szCs w:val="22"/>
        </w:rPr>
        <w:t>.</w:t>
      </w:r>
      <w:r w:rsidR="001638BF" w:rsidRPr="004F076A">
        <w:rPr>
          <w:color w:val="000000" w:themeColor="text1"/>
          <w:sz w:val="22"/>
          <w:szCs w:val="22"/>
        </w:rPr>
        <w:fldChar w:fldCharType="begin" w:fldLock="1"/>
      </w:r>
      <w:r w:rsidR="00D33752" w:rsidRPr="004F076A">
        <w:rPr>
          <w:color w:val="000000" w:themeColor="text1"/>
          <w:sz w:val="22"/>
          <w:szCs w:val="22"/>
        </w:rPr>
        <w:instrText>ADDIN CSL_CITATION {"citationItems":[{"id":"ITEM-1","itemData":{"DOI":"10.1186/s12968-016-0227-4","ISSN":"1532-429X","abstract":"UK Biobank’s ambitious aim is to perform cardiovascular magnetic resonance (CMR) in 100,000 people previously recruited into this prospective cohort study of half a million 40-69 year-olds. We describe the CMR protocol applied in UK Biobank’s pilot phase, which will be extended into the main phase with three centres using the same equipment and protocols. The CMR protocol includes white blood CMR (sagittal anatomy, coronary and transverse anatomy), cine CMR (long axis cines, short axis cines of the ventricles, coronal LVOT cine), strain CMR (tagging), flow CMR (aortic valve flow) and parametric CMR (native T1 map). This report will serve as a reference to researchers intending to use the UK Biobank resource or to replicate the UK Biobank cardiovascular magnetic resonance protocol in different settings.","author":[{"dropping-particle":"","family":"Petersen","given":"Steffen E.","non-dropping-particle":"","parse-names":false,"suffix":""},{"dropping-particle":"","family":"Matthews","given":"Paul M.","non-dropping-particle":"","parse-names":false,"suffix":""},{"dropping-particle":"","family":"Francis","given":"Jane M.","non-dropping-particle":"","parse-names":false,"suffix":""},{"dropping-particle":"","family":"Robson","given":"Matthew D.","non-dropping-particle":"","parse-names":false,"suffix":""},{"dropping-particle":"","family":"Zemrak","given":"Filip","non-dropping-particle":"","parse-names":false,"suffix":""},{"dropping-particle":"","family":"Boubertakh","given":"Redha","non-dropping-particle":"","parse-names":false,"suffix":""},{"dropping-particle":"","family":"Young","given":"Alistair A.","non-dropping-particle":"","parse-names":false,"suffix":""},{"dropping-particle":"","family":"Hudson","given":"Sarah","non-dropping-particle":"","parse-names":false,"suffix":""},{"dropping-particle":"","family":"Weale","given":"Peter","non-dropping-particle":"","parse-names":false,"suffix":""},{"dropping-particle":"","family":"Garratt","given":"Steve","non-dropping-particle":"","parse-names":false,"suffix":""},{"dropping-particle":"","family":"Collins","given":"Rory","non-dropping-particle":"","parse-names":false,"suffix":""},{"dropping-particle":"","family":"Piechnik","given":"Stefan","non-dropping-particle":"","parse-names":false,"suffix":""},{"dropping-particle":"","family":"Neubauer","given":"Stefan","non-dropping-particle":"","parse-names":false,"suffix":""}],"container-title":"Journal of Cardiovascular Magnetic Resonance","id":"ITEM-1","issue":"1","issued":{"date-parts":[["2015","12","1"]]},"page":"8","publisher":"BioMed Central","title":"UK Biobank’s cardiovascular magnetic resonance protocol","type":"article-journal","volume":"18"},"uris":["http://www.mendeley.com/documents/?uuid=8bee3010-88ca-3578-a84d-fb560cdba4b3"]}],"mendeley":{"formattedCitation":"&lt;sup&gt;17&lt;/sup&gt;","plainTextFormattedCitation":"17","previouslyFormattedCitation":"&lt;sup&gt;17&lt;/sup&gt;"},"properties":{"noteIndex":0},"schema":"https://github.com/citation-style-language/schema/raw/master/csl-citation.json"}</w:instrText>
      </w:r>
      <w:r w:rsidR="001638BF" w:rsidRPr="004F076A">
        <w:rPr>
          <w:color w:val="000000" w:themeColor="text1"/>
          <w:sz w:val="22"/>
          <w:szCs w:val="22"/>
        </w:rPr>
        <w:fldChar w:fldCharType="separate"/>
      </w:r>
      <w:r w:rsidR="00D33752" w:rsidRPr="004F076A">
        <w:rPr>
          <w:noProof/>
          <w:color w:val="000000" w:themeColor="text1"/>
          <w:sz w:val="22"/>
          <w:szCs w:val="22"/>
          <w:vertAlign w:val="superscript"/>
        </w:rPr>
        <w:t>17</w:t>
      </w:r>
      <w:r w:rsidR="001638BF" w:rsidRPr="004F076A">
        <w:rPr>
          <w:color w:val="000000" w:themeColor="text1"/>
          <w:sz w:val="22"/>
          <w:szCs w:val="22"/>
        </w:rPr>
        <w:fldChar w:fldCharType="end"/>
      </w:r>
      <w:r w:rsidRPr="004F076A">
        <w:rPr>
          <w:color w:val="000000" w:themeColor="text1"/>
          <w:sz w:val="22"/>
          <w:szCs w:val="22"/>
        </w:rPr>
        <w:t xml:space="preserve"> </w:t>
      </w:r>
      <w:r w:rsidR="21CAB6B0" w:rsidRPr="004F076A">
        <w:rPr>
          <w:color w:val="000000" w:themeColor="text1"/>
          <w:sz w:val="22"/>
          <w:szCs w:val="22"/>
        </w:rPr>
        <w:t>In brief, c</w:t>
      </w:r>
      <w:r w:rsidRPr="004F076A">
        <w:rPr>
          <w:color w:val="000000" w:themeColor="text1"/>
          <w:sz w:val="22"/>
          <w:szCs w:val="22"/>
        </w:rPr>
        <w:t>ardiac function assessment comprised three long axis cines and a complete short axis stack covering the left and right ventricles acquired at one slice per breath hold using balanced steady-state free precession sequences.</w:t>
      </w:r>
    </w:p>
    <w:p w14:paraId="07C37503" w14:textId="77777777" w:rsidR="00C8745C" w:rsidRPr="004F076A" w:rsidRDefault="00C8745C" w:rsidP="00511AE5">
      <w:pPr>
        <w:spacing w:line="480" w:lineRule="auto"/>
        <w:rPr>
          <w:color w:val="000000" w:themeColor="text1"/>
          <w:sz w:val="22"/>
          <w:szCs w:val="22"/>
        </w:rPr>
      </w:pPr>
    </w:p>
    <w:p w14:paraId="45639B0B" w14:textId="3FDD9AA0" w:rsidR="001638BF" w:rsidRPr="004F076A" w:rsidRDefault="001638BF" w:rsidP="00511AE5">
      <w:pPr>
        <w:spacing w:line="480" w:lineRule="auto"/>
        <w:rPr>
          <w:color w:val="000000" w:themeColor="text1"/>
          <w:sz w:val="22"/>
          <w:szCs w:val="22"/>
        </w:rPr>
      </w:pPr>
      <w:r w:rsidRPr="004F076A">
        <w:rPr>
          <w:b/>
          <w:bCs/>
          <w:color w:val="000000" w:themeColor="text1"/>
          <w:sz w:val="22"/>
          <w:szCs w:val="22"/>
          <w:shd w:val="clear" w:color="auto" w:fill="FFFFFF"/>
        </w:rPr>
        <w:t xml:space="preserve">CMR image </w:t>
      </w:r>
      <w:r w:rsidR="00B1732E" w:rsidRPr="004F076A">
        <w:rPr>
          <w:b/>
          <w:bCs/>
          <w:color w:val="000000" w:themeColor="text1"/>
          <w:sz w:val="22"/>
          <w:szCs w:val="22"/>
          <w:shd w:val="clear" w:color="auto" w:fill="FFFFFF"/>
        </w:rPr>
        <w:t>analysis</w:t>
      </w:r>
    </w:p>
    <w:p w14:paraId="60B35201" w14:textId="48F7FC3F" w:rsidR="007A37CD" w:rsidRPr="004F076A" w:rsidRDefault="5B144104" w:rsidP="00511AE5">
      <w:pPr>
        <w:spacing w:line="480" w:lineRule="auto"/>
        <w:rPr>
          <w:color w:val="000000" w:themeColor="text1"/>
          <w:sz w:val="22"/>
          <w:szCs w:val="22"/>
        </w:rPr>
      </w:pPr>
      <w:r w:rsidRPr="004F076A">
        <w:rPr>
          <w:color w:val="000000" w:themeColor="text1"/>
          <w:sz w:val="22"/>
          <w:szCs w:val="22"/>
        </w:rPr>
        <w:t xml:space="preserve">CMR indices were derived using a fully automated quality-controlled image analysis pipeline previously developed and validated in </w:t>
      </w:r>
      <w:r w:rsidR="011258C8" w:rsidRPr="004F076A">
        <w:rPr>
          <w:color w:val="000000" w:themeColor="text1"/>
          <w:sz w:val="22"/>
          <w:szCs w:val="22"/>
        </w:rPr>
        <w:t xml:space="preserve">a large subset of </w:t>
      </w:r>
      <w:r w:rsidRPr="004F076A">
        <w:rPr>
          <w:color w:val="000000" w:themeColor="text1"/>
          <w:sz w:val="22"/>
          <w:szCs w:val="22"/>
        </w:rPr>
        <w:t>the UK Biobank</w:t>
      </w:r>
      <w:r w:rsidR="1F2ABD64" w:rsidRPr="004F076A">
        <w:rPr>
          <w:color w:val="000000" w:themeColor="text1"/>
          <w:sz w:val="22"/>
          <w:szCs w:val="22"/>
        </w:rPr>
        <w:t>.</w:t>
      </w:r>
      <w:r w:rsidR="00EF4A7F" w:rsidRPr="004F076A">
        <w:rPr>
          <w:color w:val="000000" w:themeColor="text1"/>
          <w:sz w:val="22"/>
          <w:szCs w:val="22"/>
        </w:rPr>
        <w:fldChar w:fldCharType="begin" w:fldLock="1"/>
      </w:r>
      <w:r w:rsidR="00D33752" w:rsidRPr="004F076A">
        <w:rPr>
          <w:color w:val="000000" w:themeColor="text1"/>
          <w:sz w:val="22"/>
          <w:szCs w:val="22"/>
        </w:rPr>
        <w:instrText>ADDIN CSL_CITATION {"citationItems":[{"id":"ITEM-1","itemData":{"DOI":"10.1186/s12968-018-0471-x","ISBN":"1097-6647 (Print)\r1097-6647","PMID":"30217194","abstract":"BACKGROUND: Cardiovascular resonance (CMR) imaging is a standard imaging modality for assessing cardiovascular diseases (CVDs), the leading cause of death globally. CMR enables accurate quantification of the cardiac chamber volume, ejection fraction and myocardial mass, providing information for diagnosis and monitoring of CVDs. However, for years, clinicians have been relying on manual approaches for CMR image analysis, which is time consuming and prone to subjective errors. It is a major clinical challenge to automatically derive quantitative and clinically relevant information from CMR images. METHODS: Deep neural networks have shown a great potential in image pattern recognition and segmentation for a variety of tasks. Here we demonstrate an automated analysis method for CMR images, which is based on a fully convolutional network (FCN). The network is trained and evaluated on a large-scale dataset from the UK Biobank, consisting of 4,875 subjects with 93,500 pixelwise annotated images. The performance of the method has been evaluated using a number of technical metrics, including the Dice metric, mean contour distance and Hausdorff distance, as well as clinically relevant measures, including left ventricle (LV) end-diastolic volume (LVEDV) and end-systolic volume (LVESV), LV mass (LVM); right ventricle (RV) end-diastolic volume (RVEDV) and end-systolic volume (RVESV). RESULTS: By combining FCN with a large-scale annotated dataset, the proposed automated method achieves a high performance in segmenting the LV and RV on short-axis CMR images and the left atrium (LA) and right atrium (RA) on long-axis CMR images. On a short-axis image test set of 600 subjects, it achieves an average Dice metric of 0.94 for the LV cavity, 0.88 for the LV myocardium and 0.90 for the RV cavity. The mean absolute difference between automated measurement and manual measurement is 6.1 mL for LVEDV, 5.3 mL for LVESV, 6.9 gram for LVM, 8.5 mL for RVEDV and 7.2 mL for RVESV. On long-axis image test sets, the average Dice metric is 0.93 for the LA cavity (2-chamber view), 0.95 for the LA cavity (4-chamber view) and 0.96 for the RA cavity (4-chamber view). The performance is comparable to human inter-observer variability. CONCLUSIONS: We show that an automated method achieves a performance on par with human experts in analysing CMR images and deriving clinically relevant measures.","author":[{"dropping-particle":"","family":"Bai","given":"W","non-dropping-particle":"","parse-names":false,"suffix":""},{"dropping-particle":"","family":"Sinclair","given":"M","non-dropping-particle":"","parse-names":false,"suffix":""},{"dropping-particle":"","family":"Tarroni","given":"G","non-dropping-particle":"","parse-names":false,"suffix":""},{"dropping-particle":"","family":"Oktay","given":"O","non-dropping-particle":"","parse-names":false,"suffix":""},{"dropping-particle":"","family":"Rajchl","given":"M","non-dropping-particle":"","parse-names":false,"suffix":""},{"dropping-particle":"","family":"Vaillant","given":"G","non-dropping-particle":"","parse-names":false,"suffix":""},{"dropping-particle":"","family":"Lee","given":"A M","non-dropping-particle":"","parse-names":false,"suffix":""},{"dropping-particle":"","family":"Aung","given":"N","non-dropping-particle":"","parse-names":false,"suffix":""},{"dropping-particle":"","family":"Lukaschuk","given":"E","non-dropping-particle":"","parse-names":false,"suffix":""},{"dropping-particle":"","family":"Sanghvi","given":"M M","non-dropping-particle":"","parse-names":false,"suffix":""},{"dropping-particle":"","family":"Zemrak","given":"F","non-dropping-particle":"","parse-names":false,"suffix":""},{"dropping-particle":"","family":"Fung","given":"K","non-dropping-particle":"","parse-names":false,"suffix":""},{"dropping-particle":"","family":"Paiva","given":"J M","non-dropping-particle":"","parse-names":false,"suffix":""},{"dropping-particle":"","family":"Carapella","given":"V","non-dropping-particle":"","parse-names":false,"suffix":""},{"dropping-particle":"","family":"Kim","given":"Y J","non-dropping-particle":"","parse-names":false,"suffix":""},{"dropping-particle":"","family":"Suzuki","given":"H","non-dropping-particle":"","parse-names":false,"suffix":""},{"dropping-particle":"","family":"Kainz","given":"B","non-dropping-particle":"","parse-names":false,"suffix":""},{"dropping-particle":"","family":"Matthews","given":"P M","non-dropping-particle":"","parse-names":false,"suffix":""},{"dropping-particle":"","family":"Petersen","given":"S E","non-dropping-particle":"","parse-names":false,"suffix":""},{"dropping-particle":"","family":"Piechnik","given":"S K","non-dropping-particle":"","parse-names":false,"suffix":""},{"dropping-particle":"","family":"Neubauer","given":"S","non-dropping-particle":"","parse-names":false,"suffix":""},{"dropping-particle":"","family":"Glocker","given":"B","non-dropping-particle":"","parse-names":false,"suffix":""},{"dropping-particle":"","family":"Rueckert","given":"D","non-dropping-particle":"","parse-names":false,"suffix":""}],"container-title":"J Cardiovasc Magn Reson","edition":"2018/09/16","id":"ITEM-1","issue":"1","issued":{"date-parts":[["2018"]]},"language":"eng","note":"1532-429x\nBai, Wenjia\nOrcid: 0000-0003-2943-7698\nSinclair, Matthew\nTarroni, Giacomo\nOktay, Ozan\nRajchl, Martin\nVaillant, Ghislain\nLee, Aaron M\nAung, Nay\nLukaschuk, Elena\nSanghvi, Mihir M\nZemrak, Filip\nFung, Kenneth\nPaiva, Jose Miguel\nCarapella, Valentina\nKim, Young Jin\nSuzuki, Hideaki\nKainz, Bernhard\nMatthews, Paul M\nPetersen, Steffen E\nPiechnik, Stefan K\nNeubauer, Stefan\nGlocker, Ben\nRueckert, Daniel\nEP/P001009/1/Engineering and Physical Sciences Research Council/International\nMC_QA137853/MRC_/Medical Research Council/United Kingdom\nMR/L016311/1/MRC_/Medical Research Council/United Kingdom\nPG/14/89/31194/BHF_/British Heart Foundation/United Kingdom\n203553/Z/Z/WT_/Wellcome Trust/United Kingdom\nWT_/Wellcome Trust/United Kingdom\nMC_PC_17228/MRC_/Medical Research Council/United Kingdom\n203553/Z/16/Z/WT_/Wellcome Trust/United Kingdom\nJournal Article\nResearch Support, Non-U.S. Gov't\nVideo-Audio Media\nJ Cardiovasc Magn Reson. 2018 Sep 14;20(1):65. doi: 10.1186/s12968-018-0471-x.","page":"65","title":"Automated cardiovascular magnetic resonance image analysis with fully convolutional networks","type":"article-journal","volume":"20"},"uris":["http://www.mendeley.com/documents/?uuid=ea19848a-2665-46ab-a7f2-e85c9fd4bf35"]}],"mendeley":{"formattedCitation":"&lt;sup&gt;18&lt;/sup&gt;","plainTextFormattedCitation":"18","previouslyFormattedCitation":"&lt;sup&gt;18&lt;/sup&gt;"},"properties":{"noteIndex":0},"schema":"https://github.com/citation-style-language/schema/raw/master/csl-citation.json"}</w:instrText>
      </w:r>
      <w:r w:rsidR="00EF4A7F" w:rsidRPr="004F076A">
        <w:rPr>
          <w:color w:val="000000" w:themeColor="text1"/>
          <w:sz w:val="22"/>
          <w:szCs w:val="22"/>
        </w:rPr>
        <w:fldChar w:fldCharType="separate"/>
      </w:r>
      <w:r w:rsidR="00D33752" w:rsidRPr="004F076A">
        <w:rPr>
          <w:noProof/>
          <w:color w:val="000000" w:themeColor="text1"/>
          <w:sz w:val="22"/>
          <w:szCs w:val="22"/>
          <w:vertAlign w:val="superscript"/>
        </w:rPr>
        <w:t>18</w:t>
      </w:r>
      <w:r w:rsidR="00EF4A7F" w:rsidRPr="004F076A">
        <w:rPr>
          <w:color w:val="000000" w:themeColor="text1"/>
          <w:sz w:val="22"/>
          <w:szCs w:val="22"/>
        </w:rPr>
        <w:fldChar w:fldCharType="end"/>
      </w:r>
      <w:r w:rsidR="00C34046" w:rsidRPr="00C34046">
        <w:rPr>
          <w:color w:val="000000" w:themeColor="text1"/>
          <w:sz w:val="22"/>
          <w:szCs w:val="22"/>
          <w:vertAlign w:val="superscript"/>
        </w:rPr>
        <w:t>,</w:t>
      </w:r>
      <w:r w:rsidR="00EF4A7F" w:rsidRPr="004F076A">
        <w:rPr>
          <w:color w:val="000000" w:themeColor="text1"/>
          <w:sz w:val="22"/>
          <w:szCs w:val="22"/>
        </w:rPr>
        <w:fldChar w:fldCharType="begin" w:fldLock="1"/>
      </w:r>
      <w:r w:rsidR="00D33752" w:rsidRPr="004F076A">
        <w:rPr>
          <w:color w:val="000000" w:themeColor="text1"/>
          <w:sz w:val="22"/>
          <w:szCs w:val="22"/>
        </w:rPr>
        <w:instrText>ADDIN CSL_CITATION {"citationItems":[{"id":"ITEM-1","itemData":{"DOI":"10.1186/s12968-017-0327-9","ISSN":"1532-429X","abstract":"BACKGROUND: Cardiovascular magnetic resonance (CMR) is the gold standard method for the assessment of cardiac structure and function. Reference ranges permit differentiation between normal and pathological states. To date, this study is the largest to provide CMR specific reference ranges for left ventricular, right ventricular, left atrial and right atrial structure and function derived from truly healthy Caucasian adults aged 45-74., METHODS: Five thousand sixty-five UK Biobank participants underwent CMR using steady-state free precession imaging at 1.5 Tesla. Manual analysis was performed for all four cardiac chambers. Participants with non-Caucasian ethnicity, known cardiovascular disease and other conditions known to affect cardiac chamber size and function were excluded. Remaining participants formed the healthy reference cohort; reference ranges were calculated and were stratified by gender and age (45-54, 55-64, 65-74)., RESULTS: After applying exclusion criteria, 804 (16.2%) participants were available for analysis. Left ventricular (LV) volumes were larger in males compared to females for absolute and indexed values. With advancing age, LV volumes were mostly smaller in both sexes. LV ejection fraction was significantly greater in females compared to males (mean +/- standard deviation [SD] of 61 +/- 5% vs 58 +/- 5%) and remained static with age for both genders. In older age groups, LV mass was lower in men, but remained virtually unchanged in women. LV mass was significantly higher in males compared to females (mean +/- SD of 53 +/- 9 g/m2 vs 42 +/- 7 g/m2). Right ventricular (RV) volumes were significantly larger in males compared to females for absolute and indexed values and were smaller with advancing age. RV ejection fraction was higher with increasing age in females only. Left atrial (LA) maximal volume and stroke volume were significantly larger in males compared to females for absolute values but not for indexed values. LA ejection fraction was similar for both sexes. Right atrial (RA) maximal volume was significantly larger in males for both absolute and indexed values, while RA ejection fraction was significantly higher in females., CONCLUSIONS: We describe age- and sex-specific reference ranges for the left ventricle, right ventricle and atria in the largest validated normal Caucasian population.","author":[{"dropping-particle":"","family":"Petersen","given":"Steffen E","non-dropping-particle":"","parse-names":false,"suffix":""},{"dropping-particle":"","family":"Aung","given":"Nay","non-dropping-particle":"","parse-names":false,"suffix":""},{"dropping-particle":"","family":"Sanghvi","given":"Mihir M","non-dropping-particle":"","parse-names":false,"suffix":""},{"dropping-particle":"","family":"Zemrak","given":"Filip","non-dropping-particle":"","parse-names":false,"suffix":""},{"dropping-particle":"","family":"Fung","given":"Kenneth","non-dropping-particle":"","parse-names":false,"suffix":""},{"dropping-particle":"","family":"Paiva","given":"Jose Miguel","non-dropping-particle":"","parse-names":false,"suffix":""},{"dropping-particle":"","family":"Francis","given":"Jane M","non-dropping-particle":"","parse-names":false,"suffix":""},{"dropping-particle":"","family":"Khanji","given":"Mohammed Y","non-dropping-particle":"","parse-names":false,"suffix":""},{"dropping-particle":"","family":"Lukaschuk","given":"Elena","non-dropping-particle":"","parse-names":false,"suffix":""},{"dropping-particle":"","family":"Lee","given":"Aaron M","non-dropping-particle":"","parse-names":false,"suffix":""},{"dropping-particle":"","family":"Carapella","given":"Valentina","non-dropping-particle":"","parse-names":false,"suffix":""},{"dropping-particle":"","family":"Kim","given":"Young Jin","non-dropping-particle":"","parse-names":false,"suffix":""},{"dropping-particle":"","family":"Leeson","given":"Paul","non-dropping-particle":"","parse-names":false,"suffix":""},{"dropping-particle":"","family":"Piechnik","given":"Stefan K","non-dropping-particle":"","parse-names":false,"suffix":""},{"dropping-particle":"","family":"Neubauer","given":"Stefan","non-dropping-particle":"","parse-names":false,"suffix":""}],"container-title":"Journal of cardiovascular magnetic resonance : official journal of the Society for Cardiovascular Magnetic Resonance","id":"ITEM-1","issue":"1","issued":{"date-parts":[["2017"]]},"language":"English","page":"18","publisher-place":"England","title":"Reference ranges for cardiac structure and function using cardiovascular magnetic resonance (CMR) in Caucasians from the UK Biobank population cohort","type":"article-journal","volume":"19"},"uris":["http://www.mendeley.com/documents/?uuid=bf278166-5e4e-4df4-b0b6-8b1f17400480"]}],"mendeley":{"formattedCitation":"&lt;sup&gt;19&lt;/sup&gt;","plainTextFormattedCitation":"19","previouslyFormattedCitation":"&lt;sup&gt;19&lt;/sup&gt;"},"properties":{"noteIndex":0},"schema":"https://github.com/citation-style-language/schema/raw/master/csl-citation.json"}</w:instrText>
      </w:r>
      <w:r w:rsidR="00EF4A7F" w:rsidRPr="004F076A">
        <w:rPr>
          <w:color w:val="000000" w:themeColor="text1"/>
          <w:sz w:val="22"/>
          <w:szCs w:val="22"/>
        </w:rPr>
        <w:fldChar w:fldCharType="separate"/>
      </w:r>
      <w:r w:rsidR="00D33752" w:rsidRPr="004F076A">
        <w:rPr>
          <w:noProof/>
          <w:color w:val="000000" w:themeColor="text1"/>
          <w:sz w:val="22"/>
          <w:szCs w:val="22"/>
          <w:vertAlign w:val="superscript"/>
        </w:rPr>
        <w:t>19</w:t>
      </w:r>
      <w:r w:rsidR="00EF4A7F" w:rsidRPr="004F076A">
        <w:rPr>
          <w:color w:val="000000" w:themeColor="text1"/>
          <w:sz w:val="22"/>
          <w:szCs w:val="22"/>
        </w:rPr>
        <w:fldChar w:fldCharType="end"/>
      </w:r>
      <w:r w:rsidR="011258C8" w:rsidRPr="004F076A">
        <w:rPr>
          <w:color w:val="000000" w:themeColor="text1"/>
          <w:sz w:val="22"/>
          <w:szCs w:val="22"/>
        </w:rPr>
        <w:t xml:space="preserve"> </w:t>
      </w:r>
      <w:r w:rsidR="7EE5B9BE" w:rsidRPr="008B0B07">
        <w:rPr>
          <w:color w:val="000000" w:themeColor="text1"/>
          <w:sz w:val="22"/>
          <w:szCs w:val="22"/>
        </w:rPr>
        <w:t xml:space="preserve">CMR metrics </w:t>
      </w:r>
      <w:r w:rsidR="51C97A39" w:rsidRPr="008B0B07">
        <w:rPr>
          <w:color w:val="000000" w:themeColor="text1"/>
          <w:sz w:val="22"/>
          <w:szCs w:val="22"/>
        </w:rPr>
        <w:t xml:space="preserve">were available for the first </w:t>
      </w:r>
      <w:r w:rsidR="00546383" w:rsidRPr="008B0B07">
        <w:rPr>
          <w:color w:val="000000" w:themeColor="text1"/>
          <w:sz w:val="22"/>
          <w:szCs w:val="22"/>
        </w:rPr>
        <w:t>26, 891 UK Biobank CMR studies, of these both LA and LV data was available for 25,896 participants, which we include in the study (</w:t>
      </w:r>
      <w:r w:rsidR="00546383" w:rsidRPr="008B0B07">
        <w:rPr>
          <w:b/>
          <w:bCs/>
          <w:color w:val="000000" w:themeColor="text1"/>
          <w:sz w:val="22"/>
          <w:szCs w:val="22"/>
        </w:rPr>
        <w:t>Supplementary Figure 1</w:t>
      </w:r>
      <w:r w:rsidR="00546383" w:rsidRPr="008B0B07">
        <w:rPr>
          <w:color w:val="000000" w:themeColor="text1"/>
          <w:sz w:val="22"/>
          <w:szCs w:val="22"/>
        </w:rPr>
        <w:t>)</w:t>
      </w:r>
      <w:r w:rsidR="011258C8" w:rsidRPr="008B0B07">
        <w:rPr>
          <w:color w:val="000000" w:themeColor="text1"/>
          <w:sz w:val="22"/>
          <w:szCs w:val="22"/>
        </w:rPr>
        <w:t>. We</w:t>
      </w:r>
      <w:r w:rsidR="011258C8" w:rsidRPr="004F076A">
        <w:rPr>
          <w:color w:val="000000" w:themeColor="text1"/>
          <w:sz w:val="22"/>
          <w:szCs w:val="22"/>
        </w:rPr>
        <w:t xml:space="preserve"> considered the following CMR me</w:t>
      </w:r>
      <w:r w:rsidR="3E641544" w:rsidRPr="004F076A">
        <w:rPr>
          <w:color w:val="000000" w:themeColor="text1"/>
          <w:sz w:val="22"/>
          <w:szCs w:val="22"/>
        </w:rPr>
        <w:t>asures:</w:t>
      </w:r>
      <w:r w:rsidR="000D4735" w:rsidRPr="004F076A">
        <w:rPr>
          <w:color w:val="000000" w:themeColor="text1"/>
          <w:sz w:val="22"/>
          <w:szCs w:val="22"/>
        </w:rPr>
        <w:t xml:space="preserve"> LAV (LA maximum volume), LAEF (LA ejection fraction, calculated as: LA maximum volume – LA minimum volume/ LA maximum volume), LVM:</w:t>
      </w:r>
      <w:r w:rsidR="00D54ACB" w:rsidRPr="004F076A">
        <w:rPr>
          <w:color w:val="000000" w:themeColor="text1"/>
          <w:sz w:val="22"/>
          <w:szCs w:val="22"/>
        </w:rPr>
        <w:t xml:space="preserve"> </w:t>
      </w:r>
      <w:r w:rsidR="000D4735" w:rsidRPr="004F076A">
        <w:rPr>
          <w:color w:val="000000" w:themeColor="text1"/>
          <w:sz w:val="22"/>
          <w:szCs w:val="22"/>
        </w:rPr>
        <w:t xml:space="preserve">LVEDV (LV mass: LV end-diastolic volume ratio), GLS (global longitudinal strain). </w:t>
      </w:r>
      <w:r w:rsidR="00E926D2" w:rsidRPr="004F076A">
        <w:rPr>
          <w:color w:val="000000" w:themeColor="text1"/>
          <w:sz w:val="22"/>
          <w:szCs w:val="22"/>
        </w:rPr>
        <w:t xml:space="preserve">We considered LV global function index (LVGFI) as an additional measure of LV function. </w:t>
      </w:r>
      <w:r w:rsidR="007A37CD" w:rsidRPr="004F076A">
        <w:rPr>
          <w:color w:val="000000" w:themeColor="text1"/>
          <w:sz w:val="22"/>
          <w:szCs w:val="22"/>
        </w:rPr>
        <w:t>Previous reports have identified LVGFI as a strong predictor of heart failure and CVD events with incremental utility over LV ejection fraction</w:t>
      </w:r>
      <w:r w:rsidR="00C34046">
        <w:rPr>
          <w:color w:val="000000" w:themeColor="text1"/>
          <w:sz w:val="22"/>
          <w:szCs w:val="22"/>
        </w:rPr>
        <w:t>.</w:t>
      </w:r>
      <w:r w:rsidR="007A37CD" w:rsidRPr="004F076A">
        <w:rPr>
          <w:color w:val="000000" w:themeColor="text1"/>
          <w:sz w:val="22"/>
          <w:szCs w:val="22"/>
        </w:rPr>
        <w:fldChar w:fldCharType="begin" w:fldLock="1"/>
      </w:r>
      <w:r w:rsidR="00D33752" w:rsidRPr="004F076A">
        <w:rPr>
          <w:color w:val="000000" w:themeColor="text1"/>
          <w:sz w:val="22"/>
          <w:szCs w:val="22"/>
        </w:rPr>
        <w:instrText>ADDIN CSL_CITATION {"citationItems":[{"id":"ITEM-1","itemData":{"DOI":"10.1093/ehjci/jey123","ISSN":"20472412","PMID":"30247530","abstract":"Aims: Left ventricular (LV) ejection fraction (LVEF) is an extensively utilized marker of LV function that is often interpreted without recourse to alterations in LV geometry and hypertrophy. LV global function index (LVGFI) is a novel marker that incorporates LV structure in the assessment of LV cardiac performance. We evaluated the prognostic utility of LVGFI from young adulthood into middle age for incident heart failure (HF) and cardiovascular disease (CVD) in comparison to LVEF. Methods and results: Included were 4107 CARDIA participants with echocardiograms in Year-5 (1990-1991). LVGFI was defined as LV stroke volume/LV global volume</w:instrText>
      </w:r>
      <w:r w:rsidR="00D33752" w:rsidRPr="004F076A">
        <w:rPr>
          <w:rFonts w:ascii="Cambria Math" w:hAnsi="Cambria Math" w:cs="Cambria Math"/>
          <w:color w:val="000000" w:themeColor="text1"/>
          <w:sz w:val="22"/>
          <w:szCs w:val="22"/>
        </w:rPr>
        <w:instrText>∗</w:instrText>
      </w:r>
      <w:r w:rsidR="00D33752" w:rsidRPr="004F076A">
        <w:rPr>
          <w:color w:val="000000" w:themeColor="text1"/>
          <w:sz w:val="22"/>
          <w:szCs w:val="22"/>
        </w:rPr>
        <w:instrText>100, where LV global volume was the sum of the LV mean cavity volume ((LV end-diastolic volume + LV end-systolic volume)/2) and myocardial volume (LV mass/density). Adjusted Cox proportional hazard models were utilized to predict incident HF and CVD outcomes. Mean age of participants was 29.8 ± 3.7 years, 55% female, and 48.7% black. Higher body mass index [beta coefficient (B) = -0.11 standard error (SE) = 0.02, P &lt; 0.001], higher blood pressure (B = -0.04, SE = 0.01, P &lt; 0.01), smoking (B = -0.82, SE = 0.22, P &lt; 0.001), male sex (P &lt; 0.001), and black race (P &lt; 0.001) were associated with worse LVGFI. A total of 207 incident CVD events were observed over the course of 98 035 person-years at risk. Higher LVGFI was associated with HF, hazard ratio (HR) = 0.70, 95% confidence interval (CI) (0.54-0.91), hard CVD HR = 0.83, 95% CI (0.71-0.96), and all CVD HR = 0.83, 95% CI (0.72-0.96). For HF outcomes, Harrell's C-statistic for LVGFI (0.80) was greater than LVEF (0.66). Conclusion: LVGFI is a strong, independent predictor of incident HF and CVD that provides incremental prognostic value compared with LVEF. Male sex, black race, obesity, hypertension, and smoking are associated with worse LVGFI in the early adult lifespan. Published on behalf of the European Society of Cardiology. All rights reserved.","author":[{"dropping-particle":"","family":"Nwabuo","given":"Chike C.","non-dropping-particle":"","parse-names":false,"suffix":""},{"dropping-particle":"","family":"Moreira","given":"Henrique T.","non-dropping-particle":"","parse-names":false,"suffix":""},{"dropping-particle":"","family":"Vasconcellos","given":"Henrique D.","non-dropping-particle":"","parse-names":false,"suffix":""},{"dropping-particle":"","family":"Mewton","given":"Nathan","non-dropping-particle":"","parse-names":false,"suffix":""},{"dropping-particle":"","family":"Opdahl","given":"Anders","non-dropping-particle":"","parse-names":false,"suffix":""},{"dropping-particle":"","family":"Ogunyankin","given":"Kofo O.","non-dropping-particle":"","parse-names":false,"suffix":""},{"dropping-particle":"","family":"Ambale-Venkatesh","given":"Bharath","non-dropping-particle":"","parse-names":false,"suffix":""},{"dropping-particle":"","family":"Schreiner","given":"Pamela J.","non-dropping-particle":"","parse-names":false,"suffix":""},{"dropping-particle":"","family":"Armstrong","given":"Anderson A.C.","non-dropping-particle":"","parse-names":false,"suffix":""},{"dropping-particle":"","family":"Lewis","given":"Cora E.","non-dropping-particle":"","parse-names":false,"suffix":""},{"dropping-particle":"","family":"Jacobs","given":"David R.","non-dropping-particle":"","parse-names":false,"suffix":""},{"dropping-particle":"","family":"Lloyd-Jones","given":"Donald","non-dropping-particle":"","parse-names":false,"suffix":""},{"dropping-particle":"","family":"Gidding","given":"Samuel S.","non-dropping-particle":"","parse-names":false,"suffix":""},{"dropping-particle":"","family":"Lima","given":"João A.C.","non-dropping-particle":"","parse-names":false,"suffix":""}],"container-title":"European Heart Journal Cardiovascular Imaging","id":"ITEM-1","issue":"5","issued":{"date-parts":[["2019"]]},"page":"533-540","title":"Left ventricular global function index predicts incident heart failure and cardiovascular disease in young adults: The coronary artery risk development in young adults (CARDIA) study","type":"article-journal","volume":"20"},"uris":["http://www.mendeley.com/documents/?uuid=40697a06-10fa-4234-95b2-286ac4c68f5e"]},{"id":"ITEM-2","itemData":{"DOI":"https://dx.doi.org/10.1161/HYPERTENSIONAHA.111.198028","ISSN":"1524-4563","abstract":"Left ventricular (LV) function is generally assessed independent of structural remodeling and vice versa. The purpose of this study was to evaluate a novel LV global function index (LVGFI) that integrates LV structure with global function and to assess its predictive value for cardiovascular (CV) events throughout adult life in a multiethnic population of men and women without history of CV diseases at baseline. A total of 5004 participants in the Multi-Ethnic Study of Atherosclerosis underwent a cardiac magnetic resonance study and were followed up for a median of 7.2 years. The LVGFI by cardiac magnetic resonance was defined by the ratio of stroke volume divided by LV total volume defined as the sum of mean LV cavity and myocardial volumes. Cox proportional hazard models were constructed to predict the end points of heart failure, hard CV events, and a combined end point of all CV events after adjustment for established risk factors, calcium score, and biomarkers. A total of 579 (11.6%) CV events were observed during the follow-up period. In adjusted models, the end points of heart failure, hard CV events, and all events were all significantly associated with LVGFI (heart failure, hazard ratio=0.64, P&lt;0.0001; hard CV events, hazard ratio=0.79, P=0.007; all events, hazard ratio=0.79, P&lt;0.0001). LVGFI had a significant independent predictive value in the multivariable models for all CV event categories. The LVGFI was a powerful predictor of incident HF, hard CV events, and a composite end point, including all events in this multiethnic cohort.","author":[{"dropping-particle":"","family":"Mewton","given":"Nathan","non-dropping-particle":"","parse-names":false,"suffix":""},{"dropping-particle":"","family":"Opdahl","given":"Anders","non-dropping-particle":"","parse-names":false,"suffix":""},{"dropping-particle":"","family":"Choi","given":"Eui-Young","non-dropping-particle":"","parse-names":false,"suffix":""},{"dropping-particle":"","family":"Almeida","given":"Andre L C","non-dropping-particle":"","parse-names":false,"suffix":""},{"dropping-particle":"","family":"Kawel","given":"Nadine","non-dropping-particle":"","parse-names":false,"suffix":""},{"dropping-particle":"","family":"Wu","given":"Colin O","non-dropping-particle":"","parse-names":false,"suffix":""},{"dropping-particle":"","family":"Burke","given":"Gregory L","non-dropping-particle":"","parse-names":false,"suffix":""},{"dropping-particle":"","family":"Liu","given":"Songtao","non-dropping-particle":"","parse-names":false,"suffix":""},{"dropping-particle":"","family":"Liu","given":"Kiang","non-dropping-particle":"","parse-names":false,"suffix":""},{"dropping-particle":"","family":"Bluemke","given":"David A","non-dropping-particle":"","parse-names":false,"suffix":""},{"dropping-particle":"","family":"Lima","given":"Joao A C","non-dropping-particle":"","parse-names":false,"suffix":""}],"collection-title":"[Comment in: Hypertension. 2013 Apr;61(4):762-4; PMID: 23424234 [https://www.ncbi.nlm.nih.gov/pubmed/23424234]]","container-title":"Hypertension (Dallas, Tex. : 1979)","id":"ITEM-2","issue":"4","issued":{"date-parts":[["2013"]]},"note":"Comment in (CIN)","page":"770-778","publisher-place":"United States","title":"Left ventricular global function index by magnetic resonance imaging--a novel marker for assessment of cardiac performance for the prediction of cardiovascular events: the multi-ethnic study of atherosclerosis.","type":"article-journal","volume":"61"},"uris":["http://www.mendeley.com/documents/?uuid=49db29b1-9e06-4f9a-a8c8-838666e77cd9"]}],"mendeley":{"formattedCitation":"&lt;sup&gt;20,21&lt;/sup&gt;","plainTextFormattedCitation":"20,21","previouslyFormattedCitation":"&lt;sup&gt;20,21&lt;/sup&gt;"},"properties":{"noteIndex":0},"schema":"https://github.com/citation-style-language/schema/raw/master/csl-citation.json"}</w:instrText>
      </w:r>
      <w:r w:rsidR="007A37CD" w:rsidRPr="004F076A">
        <w:rPr>
          <w:color w:val="000000" w:themeColor="text1"/>
          <w:sz w:val="22"/>
          <w:szCs w:val="22"/>
        </w:rPr>
        <w:fldChar w:fldCharType="separate"/>
      </w:r>
      <w:r w:rsidR="00D33752" w:rsidRPr="004F076A">
        <w:rPr>
          <w:noProof/>
          <w:color w:val="000000" w:themeColor="text1"/>
          <w:sz w:val="22"/>
          <w:szCs w:val="22"/>
          <w:vertAlign w:val="superscript"/>
        </w:rPr>
        <w:t>20,21</w:t>
      </w:r>
      <w:r w:rsidR="007A37CD" w:rsidRPr="004F076A">
        <w:rPr>
          <w:color w:val="000000" w:themeColor="text1"/>
          <w:sz w:val="22"/>
          <w:szCs w:val="22"/>
        </w:rPr>
        <w:fldChar w:fldCharType="end"/>
      </w:r>
      <w:r w:rsidR="007A37CD" w:rsidRPr="004F076A">
        <w:rPr>
          <w:color w:val="000000" w:themeColor="text1"/>
          <w:sz w:val="22"/>
          <w:szCs w:val="22"/>
        </w:rPr>
        <w:t xml:space="preserve"> </w:t>
      </w:r>
      <w:r w:rsidR="0033150E" w:rsidRPr="004F076A">
        <w:rPr>
          <w:color w:val="000000" w:themeColor="text1"/>
          <w:sz w:val="22"/>
          <w:szCs w:val="22"/>
        </w:rPr>
        <w:t>As per previous descriptions</w:t>
      </w:r>
      <w:r w:rsidR="0033150E" w:rsidRPr="004F076A">
        <w:rPr>
          <w:color w:val="000000" w:themeColor="text1"/>
          <w:sz w:val="22"/>
          <w:szCs w:val="22"/>
        </w:rPr>
        <w:fldChar w:fldCharType="begin" w:fldLock="1"/>
      </w:r>
      <w:r w:rsidR="00D33752" w:rsidRPr="004F076A">
        <w:rPr>
          <w:color w:val="000000" w:themeColor="text1"/>
          <w:sz w:val="22"/>
          <w:szCs w:val="22"/>
        </w:rPr>
        <w:instrText>ADDIN CSL_CITATION {"citationItems":[{"id":"ITEM-1","itemData":{"DOI":"10.1093/ehjci/jey123","ISSN":"20472412","PMID":"30247530","abstract":"Aims: Left ventricular (LV) ejection fraction (LVEF) is an extensively utilized marker of LV function that is often interpreted without recourse to alterations in LV geometry and hypertrophy. LV global function index (LVGFI) is a novel marker that incorporates LV structure in the assessment of LV cardiac performance. We evaluated the prognostic utility of LVGFI from young adulthood into middle age for incident heart failure (HF) and cardiovascular disease (CVD) in comparison to LVEF. Methods and results: Included were 4107 CARDIA participants with echocardiograms in Year-5 (1990-1991). LVGFI was defined as LV stroke volume/LV global volume</w:instrText>
      </w:r>
      <w:r w:rsidR="00D33752" w:rsidRPr="004F076A">
        <w:rPr>
          <w:rFonts w:ascii="Cambria Math" w:hAnsi="Cambria Math" w:cs="Cambria Math"/>
          <w:color w:val="000000" w:themeColor="text1"/>
          <w:sz w:val="22"/>
          <w:szCs w:val="22"/>
        </w:rPr>
        <w:instrText>∗</w:instrText>
      </w:r>
      <w:r w:rsidR="00D33752" w:rsidRPr="004F076A">
        <w:rPr>
          <w:color w:val="000000" w:themeColor="text1"/>
          <w:sz w:val="22"/>
          <w:szCs w:val="22"/>
        </w:rPr>
        <w:instrText>100, where LV global volume was the sum of the LV mean cavity volume ((LV end-diastolic volume + LV end-systolic volume)/2) and myocardial volume (LV mass/density). Adjusted Cox proportional hazard models were utilized to predict incident HF and CVD outcomes. Mean age of participants was 29.8 ± 3.7 years, 55% female, and 48.7% black. Higher body mass index [beta coefficient (B) = -0.11 standard error (SE) = 0.02, P &lt; 0.001], higher blood pressure (B = -0.04, SE = 0.01, P &lt; 0.01), smoking (B = -0.82, SE = 0.22, P &lt; 0.001), male sex (P &lt; 0.001), and black race (P &lt; 0.001) were associated with worse LVGFI. A total of 207 incident CVD events were observed over the course of 98 035 person-years at risk. Higher LVGFI was associated with HF, hazard ratio (HR) = 0.70, 95% confidence interval (CI) (0.54-0.91), hard CVD HR = 0.83, 95% CI (0.71-0.96), and all CVD HR = 0.83, 95% CI (0.72-0.96). For HF outcomes, Harrell's C-statistic for LVGFI (0.80) was greater than LVEF (0.66). Conclusion: LVGFI is a strong, independent predictor of incident HF and CVD that provides incremental prognostic value compared with LVEF. Male sex, black race, obesity, hypertension, and smoking are associated with worse LVGFI in the early adult lifespan. Published on behalf of the European Society of Cardiology. All rights reserved.","author":[{"dropping-particle":"","family":"Nwabuo","given":"Chike C.","non-dropping-particle":"","parse-names":false,"suffix":""},{"dropping-particle":"","family":"Moreira","given":"Henrique T.","non-dropping-particle":"","parse-names":false,"suffix":""},{"dropping-particle":"","family":"Vasconcellos","given":"Henrique D.","non-dropping-particle":"","parse-names":false,"suffix":""},{"dropping-particle":"","family":"Mewton","given":"Nathan","non-dropping-particle":"","parse-names":false,"suffix":""},{"dropping-particle":"","family":"Opdahl","given":"Anders","non-dropping-particle":"","parse-names":false,"suffix":""},{"dropping-particle":"","family":"Ogunyankin","given":"Kofo O.","non-dropping-particle":"","parse-names":false,"suffix":""},{"dropping-particle":"","family":"Ambale-Venkatesh","given":"Bharath","non-dropping-particle":"","parse-names":false,"suffix":""},{"dropping-particle":"","family":"Schreiner","given":"Pamela J.","non-dropping-particle":"","parse-names":false,"suffix":""},{"dropping-particle":"","family":"Armstrong","given":"Anderson A.C.","non-dropping-particle":"","parse-names":false,"suffix":""},{"dropping-particle":"","family":"Lewis","given":"Cora E.","non-dropping-particle":"","parse-names":false,"suffix":""},{"dropping-particle":"","family":"Jacobs","given":"David R.","non-dropping-particle":"","parse-names":false,"suffix":""},{"dropping-particle":"","family":"Lloyd-Jones","given":"Donald","non-dropping-particle":"","parse-names":false,"suffix":""},{"dropping-particle":"","family":"Gidding","given":"Samuel S.","non-dropping-particle":"","parse-names":false,"suffix":""},{"dropping-particle":"","family":"Lima","given":"João A.C.","non-dropping-particle":"","parse-names":false,"suffix":""}],"container-title":"European Heart Journal Cardiovascular Imaging","id":"ITEM-1","issue":"5","issued":{"date-parts":[["2019"]]},"page":"533-540","title":"Left ventricular global function index predicts incident heart failure and cardiovascular disease in young adults: The coronary artery risk development in young adults (CARDIA) study","type":"article-journal","volume":"20"},"uris":["http://www.mendeley.com/documents/?uuid=40697a06-10fa-4234-95b2-286ac4c68f5e"]},{"id":"ITEM-2","itemData":{"DOI":"https://dx.doi.org/10.1161/HYPERTENSIONAHA.111.198028","ISSN":"1524-4563","abstract":"Left ventricular (LV) function is generally assessed independent of structural remodeling and vice versa. The purpose of this study was to evaluate a novel LV global function index (LVGFI) that integrates LV structure with global function and to assess its predictive value for cardiovascular (CV) events throughout adult life in a multiethnic population of men and women without history of CV diseases at baseline. A total of 5004 participants in the Multi-Ethnic Study of Atherosclerosis underwent a cardiac magnetic resonance study and were followed up for a median of 7.2 years. The LVGFI by cardiac magnetic resonance was defined by the ratio of stroke volume divided by LV total volume defined as the sum of mean LV cavity and myocardial volumes. Cox proportional hazard models were constructed to predict the end points of heart failure, hard CV events, and a combined end point of all CV events after adjustment for established risk factors, calcium score, and biomarkers. A total of 579 (11.6%) CV events were observed during the follow-up period. In adjusted models, the end points of heart failure, hard CV events, and all events were all significantly associated with LVGFI (heart failure, hazard ratio=0.64, P&lt;0.0001; hard CV events, hazard ratio=0.79, P=0.007; all events, hazard ratio=0.79, P&lt;0.0001). LVGFI had a significant independent predictive value in the multivariable models for all CV event categories. The LVGFI was a powerful predictor of incident HF, hard CV events, and a composite end point, including all events in this multiethnic cohort.","author":[{"dropping-particle":"","family":"Mewton","given":"Nathan","non-dropping-particle":"","parse-names":false,"suffix":""},{"dropping-particle":"","family":"Opdahl","given":"Anders","non-dropping-particle":"","parse-names":false,"suffix":""},{"dropping-particle":"","family":"Choi","given":"Eui-Young","non-dropping-particle":"","parse-names":false,"suffix":""},{"dropping-particle":"","family":"Almeida","given":"Andre L C","non-dropping-particle":"","parse-names":false,"suffix":""},{"dropping-particle":"","family":"Kawel","given":"Nadine","non-dropping-particle":"","parse-names":false,"suffix":""},{"dropping-particle":"","family":"Wu","given":"Colin O","non-dropping-particle":"","parse-names":false,"suffix":""},{"dropping-particle":"","family":"Burke","given":"Gregory L","non-dropping-particle":"","parse-names":false,"suffix":""},{"dropping-particle":"","family":"Liu","given":"Songtao","non-dropping-particle":"","parse-names":false,"suffix":""},{"dropping-particle":"","family":"Liu","given":"Kiang","non-dropping-particle":"","parse-names":false,"suffix":""},{"dropping-particle":"","family":"Bluemke","given":"David A","non-dropping-particle":"","parse-names":false,"suffix":""},{"dropping-particle":"","family":"Lima","given":"Joao A C","non-dropping-particle":"","parse-names":false,"suffix":""}],"collection-title":"[Comment in: Hypertension. 2013 Apr;61(4):762-4; PMID: 23424234 [https://www.ncbi.nlm.nih.gov/pubmed/23424234]]","container-title":"Hypertension (Dallas, Tex. : 1979)","id":"ITEM-2","issue":"4","issued":{"date-parts":[["2013"]]},"note":"Comment in (CIN)","page":"770-778","publisher-place":"United States","title":"Left ventricular global function index by magnetic resonance imaging--a novel marker for assessment of cardiac performance for the prediction of cardiovascular events: the multi-ethnic study of atherosclerosis.","type":"article-journal","volume":"61"},"uris":["http://www.mendeley.com/documents/?uuid=49db29b1-9e06-4f9a-a8c8-838666e77cd9"]}],"mendeley":{"formattedCitation":"&lt;sup&gt;20,21&lt;/sup&gt;","plainTextFormattedCitation":"20,21","previouslyFormattedCitation":"&lt;sup&gt;20,21&lt;/sup&gt;"},"properties":{"noteIndex":0},"schema":"https://github.com/citation-style-language/schema/raw/master/csl-citation.json"}</w:instrText>
      </w:r>
      <w:r w:rsidR="0033150E" w:rsidRPr="004F076A">
        <w:rPr>
          <w:color w:val="000000" w:themeColor="text1"/>
          <w:sz w:val="22"/>
          <w:szCs w:val="22"/>
        </w:rPr>
        <w:fldChar w:fldCharType="separate"/>
      </w:r>
      <w:r w:rsidR="00D33752" w:rsidRPr="004F076A">
        <w:rPr>
          <w:noProof/>
          <w:color w:val="000000" w:themeColor="text1"/>
          <w:sz w:val="22"/>
          <w:szCs w:val="22"/>
          <w:vertAlign w:val="superscript"/>
        </w:rPr>
        <w:t>20,21</w:t>
      </w:r>
      <w:r w:rsidR="0033150E" w:rsidRPr="004F076A">
        <w:rPr>
          <w:color w:val="000000" w:themeColor="text1"/>
          <w:sz w:val="22"/>
          <w:szCs w:val="22"/>
        </w:rPr>
        <w:fldChar w:fldCharType="end"/>
      </w:r>
      <w:r w:rsidR="0033150E" w:rsidRPr="004F076A">
        <w:rPr>
          <w:color w:val="000000" w:themeColor="text1"/>
          <w:sz w:val="22"/>
          <w:szCs w:val="22"/>
        </w:rPr>
        <w:t>, we</w:t>
      </w:r>
      <w:r w:rsidR="007A37CD" w:rsidRPr="004F076A">
        <w:rPr>
          <w:color w:val="000000" w:themeColor="text1"/>
          <w:sz w:val="22"/>
          <w:szCs w:val="22"/>
        </w:rPr>
        <w:t xml:space="preserve"> </w:t>
      </w:r>
      <w:r w:rsidR="0033150E" w:rsidRPr="004F076A">
        <w:rPr>
          <w:color w:val="000000" w:themeColor="text1"/>
          <w:sz w:val="22"/>
          <w:szCs w:val="22"/>
        </w:rPr>
        <w:t xml:space="preserve">defined </w:t>
      </w:r>
      <w:r w:rsidR="007A37CD" w:rsidRPr="004F076A">
        <w:rPr>
          <w:color w:val="000000" w:themeColor="text1"/>
          <w:sz w:val="22"/>
          <w:szCs w:val="22"/>
        </w:rPr>
        <w:t>LVGFI (%)</w:t>
      </w:r>
      <w:r w:rsidR="0033150E" w:rsidRPr="004F076A">
        <w:rPr>
          <w:color w:val="000000" w:themeColor="text1"/>
          <w:sz w:val="22"/>
          <w:szCs w:val="22"/>
        </w:rPr>
        <w:t xml:space="preserve"> </w:t>
      </w:r>
      <w:r w:rsidR="007A37CD" w:rsidRPr="004F076A">
        <w:rPr>
          <w:color w:val="000000" w:themeColor="text1"/>
          <w:sz w:val="22"/>
          <w:szCs w:val="22"/>
        </w:rPr>
        <w:t xml:space="preserve">as LV stroke volume/LV global volume*100 where LV global volume was calculated as the sum of the LV mean cavity volume ((LV end-diastolic volume </w:t>
      </w:r>
      <w:r w:rsidR="00424E43">
        <w:rPr>
          <w:color w:val="000000" w:themeColor="text1"/>
          <w:sz w:val="22"/>
          <w:szCs w:val="22"/>
        </w:rPr>
        <w:t>+</w:t>
      </w:r>
      <w:r w:rsidR="00424E43" w:rsidRPr="004F076A">
        <w:rPr>
          <w:color w:val="000000" w:themeColor="text1"/>
          <w:sz w:val="22"/>
          <w:szCs w:val="22"/>
        </w:rPr>
        <w:t xml:space="preserve"> </w:t>
      </w:r>
      <w:r w:rsidR="007A37CD" w:rsidRPr="004F076A">
        <w:rPr>
          <w:color w:val="000000" w:themeColor="text1"/>
          <w:sz w:val="22"/>
          <w:szCs w:val="22"/>
        </w:rPr>
        <w:t xml:space="preserve">LV end-systolic volume)/2) and myocardium volume (LV mass/density). Density of LV was specified as 1.05 g/mL. A higher LVGFI reflects better LV </w:t>
      </w:r>
      <w:r w:rsidR="00C34046" w:rsidRPr="008B0B07">
        <w:rPr>
          <w:color w:val="000000" w:themeColor="text1"/>
          <w:sz w:val="22"/>
          <w:szCs w:val="22"/>
        </w:rPr>
        <w:t>function</w:t>
      </w:r>
      <w:r w:rsidR="007A37CD" w:rsidRPr="008B0B07">
        <w:rPr>
          <w:color w:val="000000" w:themeColor="text1"/>
          <w:sz w:val="22"/>
          <w:szCs w:val="22"/>
        </w:rPr>
        <w:t>.</w:t>
      </w:r>
      <w:r w:rsidR="00EC1CAE" w:rsidRPr="008B0B07">
        <w:rPr>
          <w:color w:val="000000" w:themeColor="text1"/>
          <w:sz w:val="22"/>
          <w:szCs w:val="22"/>
        </w:rPr>
        <w:t xml:space="preserve"> As LV ejection fraction (LVEF) is a more clinically established metric, we also consider</w:t>
      </w:r>
      <w:r w:rsidR="008B0B07">
        <w:rPr>
          <w:color w:val="000000" w:themeColor="text1"/>
          <w:sz w:val="22"/>
          <w:szCs w:val="22"/>
        </w:rPr>
        <w:t>ed</w:t>
      </w:r>
      <w:r w:rsidR="00EC1CAE" w:rsidRPr="008B0B07">
        <w:rPr>
          <w:color w:val="000000" w:themeColor="text1"/>
          <w:sz w:val="22"/>
          <w:szCs w:val="22"/>
        </w:rPr>
        <w:t xml:space="preserve"> associations with </w:t>
      </w:r>
      <w:r w:rsidR="00180E18" w:rsidRPr="008B0B07">
        <w:rPr>
          <w:color w:val="000000" w:themeColor="text1"/>
          <w:sz w:val="22"/>
          <w:szCs w:val="22"/>
        </w:rPr>
        <w:t>LVEF and compare</w:t>
      </w:r>
      <w:r w:rsidR="008B0B07">
        <w:rPr>
          <w:color w:val="000000" w:themeColor="text1"/>
          <w:sz w:val="22"/>
          <w:szCs w:val="22"/>
        </w:rPr>
        <w:t>d</w:t>
      </w:r>
      <w:r w:rsidR="00180E18" w:rsidRPr="008B0B07">
        <w:rPr>
          <w:color w:val="000000" w:themeColor="text1"/>
          <w:sz w:val="22"/>
          <w:szCs w:val="22"/>
        </w:rPr>
        <w:t xml:space="preserve"> its performance to LVGFI.</w:t>
      </w:r>
    </w:p>
    <w:p w14:paraId="6F4CD4D6" w14:textId="718DFAF8" w:rsidR="001F348F" w:rsidRPr="004F076A" w:rsidRDefault="001F348F" w:rsidP="00511AE5">
      <w:pPr>
        <w:spacing w:line="480" w:lineRule="auto"/>
        <w:rPr>
          <w:color w:val="000000" w:themeColor="text1"/>
          <w:sz w:val="22"/>
          <w:szCs w:val="22"/>
        </w:rPr>
      </w:pPr>
    </w:p>
    <w:p w14:paraId="596C914A" w14:textId="2ED1E28A" w:rsidR="5F693DDC" w:rsidRPr="004F076A" w:rsidRDefault="5F693DDC" w:rsidP="00511AE5">
      <w:pPr>
        <w:spacing w:line="480" w:lineRule="auto"/>
        <w:rPr>
          <w:b/>
          <w:bCs/>
          <w:color w:val="000000" w:themeColor="text1"/>
          <w:sz w:val="22"/>
          <w:szCs w:val="22"/>
        </w:rPr>
      </w:pPr>
      <w:r w:rsidRPr="004F076A">
        <w:rPr>
          <w:b/>
          <w:bCs/>
          <w:color w:val="000000" w:themeColor="text1"/>
          <w:sz w:val="22"/>
          <w:szCs w:val="22"/>
        </w:rPr>
        <w:t>Defining participant characteristics</w:t>
      </w:r>
    </w:p>
    <w:p w14:paraId="53A1E5D3" w14:textId="18B25932" w:rsidR="41A31CDF" w:rsidRPr="004F076A" w:rsidRDefault="03EB5CB3" w:rsidP="00511AE5">
      <w:pPr>
        <w:spacing w:line="480" w:lineRule="auto"/>
        <w:rPr>
          <w:color w:val="000000" w:themeColor="text1"/>
          <w:sz w:val="22"/>
          <w:szCs w:val="22"/>
        </w:rPr>
      </w:pPr>
      <w:r w:rsidRPr="004F076A">
        <w:rPr>
          <w:color w:val="000000" w:themeColor="text1"/>
          <w:sz w:val="22"/>
          <w:szCs w:val="22"/>
        </w:rPr>
        <w:t>S</w:t>
      </w:r>
      <w:r w:rsidR="41A31CDF" w:rsidRPr="004F076A">
        <w:rPr>
          <w:color w:val="000000" w:themeColor="text1"/>
          <w:sz w:val="22"/>
          <w:szCs w:val="22"/>
        </w:rPr>
        <w:t xml:space="preserve">ex, and ethnicity were taken as </w:t>
      </w:r>
      <w:r w:rsidR="516B417F" w:rsidRPr="004F076A">
        <w:rPr>
          <w:color w:val="000000" w:themeColor="text1"/>
          <w:sz w:val="22"/>
          <w:szCs w:val="22"/>
        </w:rPr>
        <w:t>self-reported</w:t>
      </w:r>
      <w:r w:rsidR="5A1725FC" w:rsidRPr="004F076A">
        <w:rPr>
          <w:color w:val="000000" w:themeColor="text1"/>
          <w:sz w:val="22"/>
          <w:szCs w:val="22"/>
        </w:rPr>
        <w:t xml:space="preserve"> </w:t>
      </w:r>
      <w:r w:rsidR="41A31CDF" w:rsidRPr="004F076A">
        <w:rPr>
          <w:color w:val="000000" w:themeColor="text1"/>
          <w:sz w:val="22"/>
          <w:szCs w:val="22"/>
        </w:rPr>
        <w:t>at baseline. Ethnicity was converted into a binar</w:t>
      </w:r>
      <w:r w:rsidR="5933DE45" w:rsidRPr="004F076A">
        <w:rPr>
          <w:color w:val="000000" w:themeColor="text1"/>
          <w:sz w:val="22"/>
          <w:szCs w:val="22"/>
        </w:rPr>
        <w:t xml:space="preserve">y variable of White and BAME (Black Asian and minority ethnic) groups. Socioeconomic deprivation </w:t>
      </w:r>
      <w:r w:rsidR="12A19884" w:rsidRPr="004F076A">
        <w:rPr>
          <w:color w:val="000000" w:themeColor="text1"/>
          <w:sz w:val="22"/>
          <w:szCs w:val="22"/>
        </w:rPr>
        <w:t>was</w:t>
      </w:r>
      <w:r w:rsidR="5933DE45" w:rsidRPr="004F076A">
        <w:rPr>
          <w:color w:val="000000" w:themeColor="text1"/>
          <w:sz w:val="22"/>
          <w:szCs w:val="22"/>
        </w:rPr>
        <w:t xml:space="preserve"> recorded </w:t>
      </w:r>
      <w:r w:rsidR="7620AFDB" w:rsidRPr="004F076A">
        <w:rPr>
          <w:color w:val="000000" w:themeColor="text1"/>
          <w:sz w:val="22"/>
          <w:szCs w:val="22"/>
        </w:rPr>
        <w:t xml:space="preserve">at the baseline </w:t>
      </w:r>
      <w:r w:rsidR="5933DE45" w:rsidRPr="004F076A">
        <w:rPr>
          <w:color w:val="000000" w:themeColor="text1"/>
          <w:sz w:val="22"/>
          <w:szCs w:val="22"/>
        </w:rPr>
        <w:t xml:space="preserve">UK Biobank </w:t>
      </w:r>
      <w:r w:rsidR="1B4E84C0" w:rsidRPr="004F076A">
        <w:rPr>
          <w:color w:val="000000" w:themeColor="text1"/>
          <w:sz w:val="22"/>
          <w:szCs w:val="22"/>
        </w:rPr>
        <w:t xml:space="preserve">assessment </w:t>
      </w:r>
      <w:r w:rsidR="5933DE45" w:rsidRPr="004F076A">
        <w:rPr>
          <w:color w:val="000000" w:themeColor="text1"/>
          <w:sz w:val="22"/>
          <w:szCs w:val="22"/>
        </w:rPr>
        <w:t xml:space="preserve">as </w:t>
      </w:r>
      <w:r w:rsidR="6C5237F9" w:rsidRPr="004F076A">
        <w:rPr>
          <w:color w:val="000000" w:themeColor="text1"/>
          <w:sz w:val="22"/>
          <w:szCs w:val="22"/>
        </w:rPr>
        <w:t>the Townsend index, a measure</w:t>
      </w:r>
      <w:r w:rsidR="56C9739F" w:rsidRPr="004F076A">
        <w:rPr>
          <w:color w:val="000000" w:themeColor="text1"/>
          <w:sz w:val="22"/>
          <w:szCs w:val="22"/>
        </w:rPr>
        <w:t xml:space="preserve"> of </w:t>
      </w:r>
      <w:r w:rsidR="6C5237F9" w:rsidRPr="004F076A">
        <w:rPr>
          <w:color w:val="000000" w:themeColor="text1"/>
          <w:sz w:val="22"/>
          <w:szCs w:val="22"/>
        </w:rPr>
        <w:t>deprivation relative to national averages.</w:t>
      </w:r>
      <w:r w:rsidR="005C2574" w:rsidRPr="004F076A">
        <w:rPr>
          <w:color w:val="000000" w:themeColor="text1"/>
          <w:sz w:val="22"/>
          <w:szCs w:val="22"/>
        </w:rPr>
        <w:fldChar w:fldCharType="begin" w:fldLock="1"/>
      </w:r>
      <w:r w:rsidR="00D33752" w:rsidRPr="004F076A">
        <w:rPr>
          <w:color w:val="000000" w:themeColor="text1"/>
          <w:sz w:val="22"/>
          <w:szCs w:val="22"/>
        </w:rPr>
        <w:instrText>ADDIN CSL_CITATION {"citationItems":[{"id":"ITEM-1","itemData":{"DOI":"10.7748/ns.2.17.34.s66","ISSN":"0029-6570","abstract":"Definitions of health range from absence of disease [Illegible Word] state of complete men™ physical and social well being. Are they individual? To what extent do wider social problems, eg. employment status, affect health Is health related to material deprivation? If so, how do we measure it?","author":[{"dropping-particle":"","family":"Townsend","given":"P","non-dropping-particle":"","parse-names":false,"suffix":""},{"dropping-particle":"","family":"Phillimore","given":"P","non-dropping-particle":"","parse-names":false,"suffix":""},{"dropping-particle":"","family":"Beattie","given":"A","non-dropping-particle":"","parse-names":false,"suffix":""}],"container-title":"Nursing Standard","id":"ITEM-1","issue":"17","issued":{"date-parts":[["1988","1","30"]]},"page":"34-34","publisher":"RCN Publishing Ltd.","title":"Health and Deprivation: Inequality and the North","type":"article-journal","volume":"2"},"uris":["http://www.mendeley.com/documents/?uuid=16e18d0b-a829-3058-aad9-75db7328af12"]}],"mendeley":{"formattedCitation":"&lt;sup&gt;22&lt;/sup&gt;","plainTextFormattedCitation":"22","previouslyFormattedCitation":"&lt;sup&gt;22&lt;/sup&gt;"},"properties":{"noteIndex":0},"schema":"https://github.com/citation-style-language/schema/raw/master/csl-citation.json"}</w:instrText>
      </w:r>
      <w:r w:rsidR="005C2574" w:rsidRPr="004F076A">
        <w:rPr>
          <w:color w:val="000000" w:themeColor="text1"/>
          <w:sz w:val="22"/>
          <w:szCs w:val="22"/>
        </w:rPr>
        <w:fldChar w:fldCharType="separate"/>
      </w:r>
      <w:r w:rsidR="00D33752" w:rsidRPr="004F076A">
        <w:rPr>
          <w:noProof/>
          <w:color w:val="000000" w:themeColor="text1"/>
          <w:sz w:val="22"/>
          <w:szCs w:val="22"/>
          <w:vertAlign w:val="superscript"/>
        </w:rPr>
        <w:t>22</w:t>
      </w:r>
      <w:r w:rsidR="005C2574" w:rsidRPr="004F076A">
        <w:rPr>
          <w:color w:val="000000" w:themeColor="text1"/>
          <w:sz w:val="22"/>
          <w:szCs w:val="22"/>
        </w:rPr>
        <w:fldChar w:fldCharType="end"/>
      </w:r>
      <w:r w:rsidR="6C5237F9" w:rsidRPr="004F076A">
        <w:rPr>
          <w:color w:val="000000" w:themeColor="text1"/>
          <w:sz w:val="22"/>
          <w:szCs w:val="22"/>
        </w:rPr>
        <w:t xml:space="preserve"> </w:t>
      </w:r>
      <w:r w:rsidR="37145EE6" w:rsidRPr="004F076A">
        <w:rPr>
          <w:color w:val="000000" w:themeColor="text1"/>
          <w:sz w:val="22"/>
          <w:szCs w:val="22"/>
        </w:rPr>
        <w:t xml:space="preserve">Age was calculated at the time of imaging. </w:t>
      </w:r>
      <w:r w:rsidR="6C5237F9" w:rsidRPr="004F076A">
        <w:rPr>
          <w:color w:val="000000" w:themeColor="text1"/>
          <w:sz w:val="22"/>
          <w:szCs w:val="22"/>
        </w:rPr>
        <w:t xml:space="preserve">Body mass index (BMI) was calculated from height and weight recorded at imaging. </w:t>
      </w:r>
      <w:r w:rsidR="4EDE856D" w:rsidRPr="004F076A">
        <w:rPr>
          <w:color w:val="000000" w:themeColor="text1"/>
          <w:sz w:val="22"/>
          <w:szCs w:val="22"/>
        </w:rPr>
        <w:t>Educational level</w:t>
      </w:r>
      <w:r w:rsidR="49C870C3" w:rsidRPr="004F076A">
        <w:rPr>
          <w:color w:val="000000" w:themeColor="text1"/>
          <w:sz w:val="22"/>
          <w:szCs w:val="22"/>
        </w:rPr>
        <w:t xml:space="preserve"> and smoking status were taken from self-report. Physical activity level was </w:t>
      </w:r>
      <w:r w:rsidR="0CDCC66E" w:rsidRPr="004F076A">
        <w:rPr>
          <w:color w:val="000000" w:themeColor="text1"/>
          <w:sz w:val="22"/>
          <w:szCs w:val="22"/>
        </w:rPr>
        <w:t>expressed as a continuous value of metabolic equivalent (MET) minutes/week, calculated by weighting different types of activity (walking, moderate, or vigorous) by its energy requirements using values derived from the International Physical Activity Questionnaire (IPAQ) study.</w:t>
      </w:r>
      <w:r w:rsidR="005C2574" w:rsidRPr="004F076A">
        <w:rPr>
          <w:color w:val="000000" w:themeColor="text1"/>
          <w:sz w:val="22"/>
          <w:szCs w:val="22"/>
        </w:rPr>
        <w:fldChar w:fldCharType="begin" w:fldLock="1"/>
      </w:r>
      <w:r w:rsidR="00D33752" w:rsidRPr="004F076A">
        <w:rPr>
          <w:color w:val="000000" w:themeColor="text1"/>
          <w:sz w:val="22"/>
          <w:szCs w:val="22"/>
        </w:rPr>
        <w:instrText>ADDIN CSL_CITATION {"citationItems":[{"id":"ITEM-1","itemData":{"DOI":"10.1249/01.MSS.0000078924.61453.FB","ISSN":"0195-9131","PMID":"12900694","abstract":"BACKGROUND Physical inactivity is a global concern, but diverse physical activity measures in use prevent international comparisons. The International Physical Activity Questionnaire (IPAQ) was developed as an instrument for cross-national monitoring of physical activity and inactivity. METHODS Between 1997 and 1998, an International Consensus Group developed four long and four short forms of the IPAQ instruments (administered by telephone interview or self-administration, with two alternate reference periods, either the \"last 7 d\" or a \"usual week\" of recalled physical activity). During 2000, 14 centers from 12 countries collected reliability and/or validity data on at least two of the eight IPAQ instruments. Test-retest repeatability was assessed within the same week. Concurrent (inter-method) validity was assessed at the same administration, and criterion IPAQ validity was assessed against the CSA (now MTI) accelerometer. Spearman's correlation coefficients are reported, based on the total reported physical activity. RESULTS Overall, the IPAQ questionnaires produced repeatable data (Spearman's rho clustered around 0.8), with comparable data from short and long forms. Criterion validity had a median rho of about 0.30, which was comparable to most other self-report validation studies. The \"usual week\" and \"last 7 d\" reference periods performed similarly, and the reliability of telephone administration was similar to the self-administered mode. CONCLUSIONS The IPAQ instruments have acceptable measurement properties, at least as good as other established self-reports. Considering the diverse samples in this study, IPAQ has reasonable measurement properties for monitoring population levels of physical activity among 18- to 65-yr-old adults in diverse settings. The short IPAQ form \"last 7 d recall\" is recommended for national monitoring and the long form for research requiring more detailed assessment.","author":[{"dropping-particle":"","family":"Craig","given":"Cora L","non-dropping-particle":"","parse-names":false,"suffix":""},{"dropping-particle":"","family":"Marshall","given":"Alison L","non-dropping-particle":"","parse-names":false,"suffix":""},{"dropping-particle":"","family":"Sjöström","given":"Michael","non-dropping-particle":"","parse-names":false,"suffix":""},{"dropping-particle":"","family":"Bauman","given":"Adrian E","non-dropping-particle":"","parse-names":false,"suffix":""},{"dropping-particle":"","family":"Booth","given":"Michael L","non-dropping-particle":"","parse-names":false,"suffix":""},{"dropping-particle":"","family":"Ainsworth","given":"Barbara E","non-dropping-particle":"","parse-names":false,"suffix":""},{"dropping-particle":"","family":"Pratt","given":"Michael","non-dropping-particle":"","parse-names":false,"suffix":""},{"dropping-particle":"","family":"Ekelund","given":"Ulf","non-dropping-particle":"","parse-names":false,"suffix":""},{"dropping-particle":"","family":"Yngve","given":"Agneta","non-dropping-particle":"","parse-names":false,"suffix":""},{"dropping-particle":"","family":"Sallis","given":"James F","non-dropping-particle":"","parse-names":false,"suffix":""},{"dropping-particle":"","family":"Oja","given":"Pekka","non-dropping-particle":"","parse-names":false,"suffix":""}],"container-title":"Medicine and science in sports and exercise","id":"ITEM-1","issue":"8","issued":{"date-parts":[["2003","8"]]},"page":"1381-95","title":"International physical activity questionnaire: 12-country reliability and validity.","type":"article-journal","volume":"35"},"uris":["http://www.mendeley.com/documents/?uuid=a668e849-410d-38ee-8b0d-c077d81cb6c8"]}],"mendeley":{"formattedCitation":"&lt;sup&gt;23&lt;/sup&gt;","plainTextFormattedCitation":"23","previouslyFormattedCitation":"&lt;sup&gt;23&lt;/sup&gt;"},"properties":{"noteIndex":0},"schema":"https://github.com/citation-style-language/schema/raw/master/csl-citation.json"}</w:instrText>
      </w:r>
      <w:r w:rsidR="005C2574" w:rsidRPr="004F076A">
        <w:rPr>
          <w:color w:val="000000" w:themeColor="text1"/>
          <w:sz w:val="22"/>
          <w:szCs w:val="22"/>
        </w:rPr>
        <w:fldChar w:fldCharType="separate"/>
      </w:r>
      <w:r w:rsidR="00D33752" w:rsidRPr="004F076A">
        <w:rPr>
          <w:noProof/>
          <w:color w:val="000000" w:themeColor="text1"/>
          <w:sz w:val="22"/>
          <w:szCs w:val="22"/>
          <w:vertAlign w:val="superscript"/>
        </w:rPr>
        <w:t>23</w:t>
      </w:r>
      <w:r w:rsidR="005C2574" w:rsidRPr="004F076A">
        <w:rPr>
          <w:color w:val="000000" w:themeColor="text1"/>
          <w:sz w:val="22"/>
          <w:szCs w:val="22"/>
        </w:rPr>
        <w:fldChar w:fldCharType="end"/>
      </w:r>
      <w:r w:rsidR="0CDCC66E" w:rsidRPr="004F076A">
        <w:rPr>
          <w:color w:val="000000" w:themeColor="text1"/>
          <w:sz w:val="22"/>
          <w:szCs w:val="22"/>
        </w:rPr>
        <w:t xml:space="preserve"> </w:t>
      </w:r>
    </w:p>
    <w:p w14:paraId="43F156D9" w14:textId="64C0A6D6" w:rsidR="41A31CDF" w:rsidRPr="004F076A" w:rsidRDefault="41A31CDF" w:rsidP="00511AE5">
      <w:pPr>
        <w:spacing w:line="480" w:lineRule="auto"/>
        <w:rPr>
          <w:color w:val="000000" w:themeColor="text1"/>
          <w:sz w:val="22"/>
          <w:szCs w:val="22"/>
        </w:rPr>
      </w:pPr>
    </w:p>
    <w:p w14:paraId="21CAC0C6" w14:textId="01EC7EE4" w:rsidR="41A31CDF" w:rsidRPr="004F076A" w:rsidRDefault="234C1D56" w:rsidP="00511AE5">
      <w:pPr>
        <w:spacing w:line="480" w:lineRule="auto"/>
        <w:rPr>
          <w:b/>
          <w:bCs/>
          <w:color w:val="000000" w:themeColor="text1"/>
          <w:sz w:val="22"/>
          <w:szCs w:val="22"/>
        </w:rPr>
      </w:pPr>
      <w:r w:rsidRPr="004F076A">
        <w:rPr>
          <w:b/>
          <w:bCs/>
          <w:color w:val="000000" w:themeColor="text1"/>
          <w:sz w:val="22"/>
          <w:szCs w:val="22"/>
        </w:rPr>
        <w:t xml:space="preserve">Ascertainment of </w:t>
      </w:r>
      <w:r w:rsidR="6C46D059" w:rsidRPr="004F076A">
        <w:rPr>
          <w:b/>
          <w:bCs/>
          <w:color w:val="000000" w:themeColor="text1"/>
          <w:sz w:val="22"/>
          <w:szCs w:val="22"/>
        </w:rPr>
        <w:t>vascular</w:t>
      </w:r>
      <w:r w:rsidRPr="004F076A">
        <w:rPr>
          <w:b/>
          <w:bCs/>
          <w:color w:val="000000" w:themeColor="text1"/>
          <w:sz w:val="22"/>
          <w:szCs w:val="22"/>
        </w:rPr>
        <w:t xml:space="preserve"> risk factors</w:t>
      </w:r>
      <w:r w:rsidR="00180E18">
        <w:rPr>
          <w:b/>
          <w:bCs/>
          <w:color w:val="000000" w:themeColor="text1"/>
          <w:sz w:val="22"/>
          <w:szCs w:val="22"/>
        </w:rPr>
        <w:t>,</w:t>
      </w:r>
      <w:r w:rsidRPr="004F076A">
        <w:rPr>
          <w:b/>
          <w:bCs/>
          <w:color w:val="000000" w:themeColor="text1"/>
          <w:sz w:val="22"/>
          <w:szCs w:val="22"/>
        </w:rPr>
        <w:t xml:space="preserve"> </w:t>
      </w:r>
      <w:r w:rsidR="027C101F" w:rsidRPr="004F076A">
        <w:rPr>
          <w:b/>
          <w:bCs/>
          <w:color w:val="000000" w:themeColor="text1"/>
          <w:sz w:val="22"/>
          <w:szCs w:val="22"/>
        </w:rPr>
        <w:t xml:space="preserve">cardiovascular </w:t>
      </w:r>
      <w:r w:rsidRPr="004F076A">
        <w:rPr>
          <w:b/>
          <w:bCs/>
          <w:color w:val="000000" w:themeColor="text1"/>
          <w:sz w:val="22"/>
          <w:szCs w:val="22"/>
        </w:rPr>
        <w:t>disease</w:t>
      </w:r>
      <w:r w:rsidR="00180E18">
        <w:rPr>
          <w:b/>
          <w:bCs/>
          <w:color w:val="000000" w:themeColor="text1"/>
          <w:sz w:val="22"/>
          <w:szCs w:val="22"/>
        </w:rPr>
        <w:t>, and mortality outcomes</w:t>
      </w:r>
    </w:p>
    <w:p w14:paraId="1854F7B5" w14:textId="4A0F6C01" w:rsidR="000D4735" w:rsidRPr="004F076A" w:rsidRDefault="2AAF0E21" w:rsidP="000D4735">
      <w:pPr>
        <w:spacing w:line="480" w:lineRule="auto"/>
        <w:rPr>
          <w:color w:val="000000" w:themeColor="text1"/>
          <w:sz w:val="22"/>
          <w:szCs w:val="22"/>
        </w:rPr>
      </w:pPr>
      <w:r w:rsidRPr="004F076A">
        <w:rPr>
          <w:color w:val="000000" w:themeColor="text1"/>
          <w:sz w:val="22"/>
          <w:szCs w:val="22"/>
        </w:rPr>
        <w:t xml:space="preserve">We considered </w:t>
      </w:r>
      <w:r w:rsidR="6D1405F9" w:rsidRPr="004F076A">
        <w:rPr>
          <w:color w:val="000000" w:themeColor="text1"/>
          <w:sz w:val="22"/>
          <w:szCs w:val="22"/>
        </w:rPr>
        <w:t xml:space="preserve">the following VRFs: </w:t>
      </w:r>
      <w:r w:rsidR="192CF003" w:rsidRPr="004F076A">
        <w:rPr>
          <w:color w:val="000000" w:themeColor="text1"/>
          <w:sz w:val="22"/>
          <w:szCs w:val="22"/>
        </w:rPr>
        <w:t xml:space="preserve">hypertension, diabetes, high cholesterol, </w:t>
      </w:r>
      <w:r w:rsidR="17D15A2E" w:rsidRPr="004F076A">
        <w:rPr>
          <w:color w:val="000000" w:themeColor="text1"/>
          <w:sz w:val="22"/>
          <w:szCs w:val="22"/>
        </w:rPr>
        <w:t xml:space="preserve">and </w:t>
      </w:r>
      <w:r w:rsidR="192CF003" w:rsidRPr="004F076A">
        <w:rPr>
          <w:color w:val="000000" w:themeColor="text1"/>
          <w:sz w:val="22"/>
          <w:szCs w:val="22"/>
        </w:rPr>
        <w:t>smoking</w:t>
      </w:r>
      <w:r w:rsidR="6E04E1EB" w:rsidRPr="004F076A">
        <w:rPr>
          <w:color w:val="000000" w:themeColor="text1"/>
          <w:sz w:val="22"/>
          <w:szCs w:val="22"/>
        </w:rPr>
        <w:t>, and the following</w:t>
      </w:r>
      <w:r w:rsidR="387EE795" w:rsidRPr="004F076A">
        <w:rPr>
          <w:color w:val="000000" w:themeColor="text1"/>
          <w:sz w:val="22"/>
          <w:szCs w:val="22"/>
        </w:rPr>
        <w:t xml:space="preserve"> CVDs</w:t>
      </w:r>
      <w:r w:rsidR="1B7F9C1B" w:rsidRPr="004F076A">
        <w:rPr>
          <w:color w:val="000000" w:themeColor="text1"/>
          <w:sz w:val="22"/>
          <w:szCs w:val="22"/>
        </w:rPr>
        <w:t xml:space="preserve"> (incident and prevalent)</w:t>
      </w:r>
      <w:r w:rsidR="387EE795" w:rsidRPr="004F076A">
        <w:rPr>
          <w:color w:val="000000" w:themeColor="text1"/>
          <w:sz w:val="22"/>
          <w:szCs w:val="22"/>
        </w:rPr>
        <w:t xml:space="preserve">: </w:t>
      </w:r>
      <w:r w:rsidR="192CF003" w:rsidRPr="004F076A">
        <w:rPr>
          <w:color w:val="000000" w:themeColor="text1"/>
          <w:sz w:val="22"/>
          <w:szCs w:val="22"/>
        </w:rPr>
        <w:t>atrial fibrillation (AF), stroke</w:t>
      </w:r>
      <w:r w:rsidR="00F3550B">
        <w:rPr>
          <w:color w:val="000000" w:themeColor="text1"/>
          <w:sz w:val="22"/>
          <w:szCs w:val="22"/>
        </w:rPr>
        <w:t xml:space="preserve">, </w:t>
      </w:r>
      <w:r w:rsidR="192CF003" w:rsidRPr="004F076A">
        <w:rPr>
          <w:color w:val="000000" w:themeColor="text1"/>
          <w:sz w:val="22"/>
          <w:szCs w:val="22"/>
        </w:rPr>
        <w:t xml:space="preserve">ischaemic heart disease (IHD), </w:t>
      </w:r>
      <w:r w:rsidR="111CA049" w:rsidRPr="008B0B07">
        <w:rPr>
          <w:color w:val="000000" w:themeColor="text1"/>
          <w:sz w:val="22"/>
          <w:szCs w:val="22"/>
        </w:rPr>
        <w:t>and MI.</w:t>
      </w:r>
      <w:r w:rsidR="005D265D" w:rsidRPr="008B0B07">
        <w:rPr>
          <w:color w:val="000000" w:themeColor="text1"/>
          <w:sz w:val="22"/>
          <w:szCs w:val="22"/>
        </w:rPr>
        <w:t xml:space="preserve"> </w:t>
      </w:r>
      <w:r w:rsidR="00180E18" w:rsidRPr="008B0B07">
        <w:rPr>
          <w:color w:val="000000" w:themeColor="text1"/>
          <w:sz w:val="22"/>
          <w:szCs w:val="22"/>
        </w:rPr>
        <w:t xml:space="preserve">Mortality outcomes were ascertained from death register data. We considered all-cause and CVD </w:t>
      </w:r>
      <w:r w:rsidR="00546383" w:rsidRPr="007C01A7">
        <w:rPr>
          <w:color w:val="000000" w:themeColor="text1"/>
          <w:sz w:val="22"/>
          <w:szCs w:val="22"/>
        </w:rPr>
        <w:t>mortality;</w:t>
      </w:r>
      <w:r w:rsidR="00233F42" w:rsidRPr="007C01A7">
        <w:rPr>
          <w:color w:val="000000" w:themeColor="text1"/>
          <w:sz w:val="22"/>
          <w:szCs w:val="22"/>
        </w:rPr>
        <w:t xml:space="preserve"> the latter was defined as primary cause of death recorded as any CVD</w:t>
      </w:r>
      <w:r w:rsidR="00546383" w:rsidRPr="007C01A7">
        <w:rPr>
          <w:color w:val="000000" w:themeColor="text1"/>
          <w:sz w:val="22"/>
          <w:szCs w:val="22"/>
        </w:rPr>
        <w:t xml:space="preserve"> (ICD10 Chapter IX I00-I99).</w:t>
      </w:r>
      <w:r w:rsidR="00180E18" w:rsidRPr="007C01A7">
        <w:rPr>
          <w:color w:val="000000" w:themeColor="text1"/>
          <w:sz w:val="22"/>
          <w:szCs w:val="22"/>
        </w:rPr>
        <w:t xml:space="preserve"> </w:t>
      </w:r>
      <w:r w:rsidR="005D265D" w:rsidRPr="007C01A7">
        <w:rPr>
          <w:color w:val="000000" w:themeColor="text1"/>
          <w:sz w:val="22"/>
          <w:szCs w:val="22"/>
        </w:rPr>
        <w:t xml:space="preserve">Incident </w:t>
      </w:r>
      <w:r w:rsidR="000D4735" w:rsidRPr="007C01A7">
        <w:rPr>
          <w:color w:val="000000" w:themeColor="text1"/>
          <w:sz w:val="22"/>
          <w:szCs w:val="22"/>
        </w:rPr>
        <w:t>CVDs</w:t>
      </w:r>
      <w:r w:rsidR="005D265D" w:rsidRPr="007C01A7">
        <w:rPr>
          <w:color w:val="000000" w:themeColor="text1"/>
          <w:sz w:val="22"/>
          <w:szCs w:val="22"/>
        </w:rPr>
        <w:t xml:space="preserve"> </w:t>
      </w:r>
      <w:r w:rsidR="00180E18" w:rsidRPr="007C01A7">
        <w:rPr>
          <w:color w:val="000000" w:themeColor="text1"/>
          <w:sz w:val="22"/>
          <w:szCs w:val="22"/>
        </w:rPr>
        <w:t xml:space="preserve">and mortality outcomes </w:t>
      </w:r>
      <w:r w:rsidR="005D265D" w:rsidRPr="007C01A7">
        <w:rPr>
          <w:color w:val="000000" w:themeColor="text1"/>
          <w:sz w:val="22"/>
          <w:szCs w:val="22"/>
        </w:rPr>
        <w:t>were considered as those occurring after CMR imaging.</w:t>
      </w:r>
      <w:r w:rsidR="000D4735" w:rsidRPr="007C01A7">
        <w:rPr>
          <w:color w:val="000000" w:themeColor="text1"/>
          <w:sz w:val="22"/>
          <w:szCs w:val="22"/>
        </w:rPr>
        <w:t xml:space="preserve"> </w:t>
      </w:r>
      <w:r w:rsidR="00F3550B" w:rsidRPr="007C01A7">
        <w:rPr>
          <w:color w:val="000000" w:themeColor="text1"/>
          <w:sz w:val="22"/>
          <w:szCs w:val="22"/>
        </w:rPr>
        <w:t>The</w:t>
      </w:r>
      <w:r w:rsidR="000D4735" w:rsidRPr="008B0B07">
        <w:rPr>
          <w:color w:val="000000" w:themeColor="text1"/>
          <w:sz w:val="22"/>
          <w:szCs w:val="22"/>
        </w:rPr>
        <w:t xml:space="preserve"> average follow</w:t>
      </w:r>
      <w:r w:rsidR="00180E18" w:rsidRPr="008B0B07">
        <w:rPr>
          <w:color w:val="000000" w:themeColor="text1"/>
          <w:sz w:val="22"/>
          <w:szCs w:val="22"/>
        </w:rPr>
        <w:t>-</w:t>
      </w:r>
      <w:r w:rsidR="000D4735" w:rsidRPr="008B0B07">
        <w:rPr>
          <w:color w:val="000000" w:themeColor="text1"/>
          <w:sz w:val="22"/>
          <w:szCs w:val="22"/>
        </w:rPr>
        <w:t xml:space="preserve">up time </w:t>
      </w:r>
      <w:r w:rsidR="00F3550B" w:rsidRPr="008B0B07">
        <w:rPr>
          <w:color w:val="000000" w:themeColor="text1"/>
          <w:sz w:val="22"/>
          <w:szCs w:val="22"/>
        </w:rPr>
        <w:t xml:space="preserve">available </w:t>
      </w:r>
      <w:r w:rsidR="00180E18" w:rsidRPr="008B0B07">
        <w:rPr>
          <w:color w:val="000000" w:themeColor="text1"/>
          <w:sz w:val="22"/>
          <w:szCs w:val="22"/>
        </w:rPr>
        <w:t xml:space="preserve">for HES </w:t>
      </w:r>
      <w:r w:rsidR="00546383" w:rsidRPr="008B0B07">
        <w:rPr>
          <w:color w:val="000000" w:themeColor="text1"/>
          <w:sz w:val="22"/>
          <w:szCs w:val="22"/>
        </w:rPr>
        <w:t xml:space="preserve">and mortality </w:t>
      </w:r>
      <w:r w:rsidR="00180E18" w:rsidRPr="008B0B07">
        <w:rPr>
          <w:color w:val="000000" w:themeColor="text1"/>
          <w:sz w:val="22"/>
          <w:szCs w:val="22"/>
        </w:rPr>
        <w:t xml:space="preserve">data </w:t>
      </w:r>
      <w:r w:rsidR="00F3550B" w:rsidRPr="008B0B07">
        <w:rPr>
          <w:color w:val="000000" w:themeColor="text1"/>
          <w:sz w:val="22"/>
          <w:szCs w:val="22"/>
        </w:rPr>
        <w:t>was</w:t>
      </w:r>
      <w:r w:rsidR="00F3550B">
        <w:rPr>
          <w:color w:val="000000" w:themeColor="text1"/>
          <w:sz w:val="22"/>
          <w:szCs w:val="22"/>
        </w:rPr>
        <w:t xml:space="preserve"> </w:t>
      </w:r>
      <w:r w:rsidR="000D4735" w:rsidRPr="004F076A">
        <w:rPr>
          <w:color w:val="000000" w:themeColor="text1"/>
          <w:sz w:val="22"/>
          <w:szCs w:val="22"/>
        </w:rPr>
        <w:t>4.</w:t>
      </w:r>
      <w:r w:rsidR="00442215">
        <w:rPr>
          <w:color w:val="000000" w:themeColor="text1"/>
          <w:sz w:val="22"/>
          <w:szCs w:val="22"/>
        </w:rPr>
        <w:t>2</w:t>
      </w:r>
      <w:r w:rsidR="00442215" w:rsidRPr="004F076A">
        <w:rPr>
          <w:color w:val="000000" w:themeColor="text1"/>
          <w:sz w:val="22"/>
          <w:szCs w:val="22"/>
        </w:rPr>
        <w:t xml:space="preserve"> </w:t>
      </w:r>
      <w:r w:rsidR="000D4735" w:rsidRPr="004F076A">
        <w:rPr>
          <w:color w:val="000000" w:themeColor="text1"/>
          <w:sz w:val="22"/>
          <w:szCs w:val="22"/>
        </w:rPr>
        <w:t>±1.2 (range: 2.</w:t>
      </w:r>
      <w:r w:rsidR="005F07F9">
        <w:rPr>
          <w:color w:val="000000" w:themeColor="text1"/>
          <w:sz w:val="22"/>
          <w:szCs w:val="22"/>
        </w:rPr>
        <w:t>5</w:t>
      </w:r>
      <w:r w:rsidR="000D4735" w:rsidRPr="004F076A">
        <w:rPr>
          <w:color w:val="000000" w:themeColor="text1"/>
          <w:sz w:val="22"/>
          <w:szCs w:val="22"/>
        </w:rPr>
        <w:t>-6.</w:t>
      </w:r>
      <w:r w:rsidR="00442215">
        <w:rPr>
          <w:color w:val="000000" w:themeColor="text1"/>
          <w:sz w:val="22"/>
          <w:szCs w:val="22"/>
        </w:rPr>
        <w:t>9</w:t>
      </w:r>
      <w:r w:rsidR="000D4735" w:rsidRPr="004F076A">
        <w:rPr>
          <w:color w:val="000000" w:themeColor="text1"/>
          <w:sz w:val="22"/>
          <w:szCs w:val="22"/>
        </w:rPr>
        <w:t>) years</w:t>
      </w:r>
      <w:r w:rsidR="00546383">
        <w:rPr>
          <w:color w:val="000000" w:themeColor="text1"/>
          <w:sz w:val="22"/>
          <w:szCs w:val="22"/>
        </w:rPr>
        <w:t>.</w:t>
      </w:r>
    </w:p>
    <w:p w14:paraId="7FC66E7E" w14:textId="2457B0C2" w:rsidR="72627157" w:rsidRPr="004F076A" w:rsidRDefault="72627157" w:rsidP="00511AE5">
      <w:pPr>
        <w:spacing w:line="480" w:lineRule="auto"/>
        <w:rPr>
          <w:color w:val="000000" w:themeColor="text1"/>
          <w:sz w:val="22"/>
          <w:szCs w:val="22"/>
        </w:rPr>
      </w:pPr>
    </w:p>
    <w:p w14:paraId="0FF638A5" w14:textId="23264160" w:rsidR="41A31CDF" w:rsidRPr="00F3550B" w:rsidRDefault="36DC26EA" w:rsidP="00511AE5">
      <w:pPr>
        <w:spacing w:line="480" w:lineRule="auto"/>
        <w:rPr>
          <w:color w:val="000000" w:themeColor="text1"/>
          <w:sz w:val="22"/>
          <w:szCs w:val="22"/>
        </w:rPr>
      </w:pPr>
      <w:r w:rsidRPr="004F076A">
        <w:rPr>
          <w:color w:val="000000" w:themeColor="text1"/>
          <w:sz w:val="22"/>
          <w:szCs w:val="22"/>
        </w:rPr>
        <w:t xml:space="preserve">For </w:t>
      </w:r>
      <w:r w:rsidRPr="008B0B07">
        <w:rPr>
          <w:color w:val="000000" w:themeColor="text1"/>
          <w:sz w:val="22"/>
          <w:szCs w:val="22"/>
        </w:rPr>
        <w:t xml:space="preserve">ascertainment of </w:t>
      </w:r>
      <w:r w:rsidR="00180E18" w:rsidRPr="008B0B07">
        <w:rPr>
          <w:color w:val="000000" w:themeColor="text1"/>
          <w:sz w:val="22"/>
          <w:szCs w:val="22"/>
        </w:rPr>
        <w:t xml:space="preserve">prevalent </w:t>
      </w:r>
      <w:r w:rsidR="00F3550B" w:rsidRPr="008B0B07">
        <w:rPr>
          <w:color w:val="000000" w:themeColor="text1"/>
          <w:sz w:val="22"/>
          <w:szCs w:val="22"/>
        </w:rPr>
        <w:t xml:space="preserve">VRFs and </w:t>
      </w:r>
      <w:r w:rsidR="470D5C21" w:rsidRPr="008B0B07">
        <w:rPr>
          <w:color w:val="000000" w:themeColor="text1"/>
          <w:sz w:val="22"/>
          <w:szCs w:val="22"/>
        </w:rPr>
        <w:t>CVDs</w:t>
      </w:r>
      <w:r w:rsidRPr="008B0B07">
        <w:rPr>
          <w:color w:val="000000" w:themeColor="text1"/>
          <w:sz w:val="22"/>
          <w:szCs w:val="22"/>
        </w:rPr>
        <w:t>, we referred to</w:t>
      </w:r>
      <w:r w:rsidR="79DDA137" w:rsidRPr="008B0B07">
        <w:rPr>
          <w:color w:val="000000" w:themeColor="text1"/>
          <w:sz w:val="22"/>
          <w:szCs w:val="22"/>
        </w:rPr>
        <w:t xml:space="preserve"> </w:t>
      </w:r>
      <w:r w:rsidR="11C05E48" w:rsidRPr="008B0B07">
        <w:rPr>
          <w:color w:val="000000" w:themeColor="text1"/>
          <w:sz w:val="22"/>
          <w:szCs w:val="22"/>
        </w:rPr>
        <w:t>baseline</w:t>
      </w:r>
      <w:r w:rsidR="545586E8" w:rsidRPr="008B0B07">
        <w:rPr>
          <w:color w:val="000000" w:themeColor="text1"/>
          <w:sz w:val="22"/>
          <w:szCs w:val="22"/>
        </w:rPr>
        <w:t xml:space="preserve"> </w:t>
      </w:r>
      <w:r w:rsidR="47105571" w:rsidRPr="008B0B07">
        <w:rPr>
          <w:color w:val="000000" w:themeColor="text1"/>
          <w:sz w:val="22"/>
          <w:szCs w:val="22"/>
        </w:rPr>
        <w:t>verbal</w:t>
      </w:r>
      <w:r w:rsidR="545586E8" w:rsidRPr="008B0B07">
        <w:rPr>
          <w:color w:val="000000" w:themeColor="text1"/>
          <w:sz w:val="22"/>
          <w:szCs w:val="22"/>
        </w:rPr>
        <w:t xml:space="preserve"> interview</w:t>
      </w:r>
      <w:r w:rsidR="55933B3C" w:rsidRPr="008B0B07">
        <w:rPr>
          <w:color w:val="000000" w:themeColor="text1"/>
          <w:sz w:val="22"/>
          <w:szCs w:val="22"/>
        </w:rPr>
        <w:t>,</w:t>
      </w:r>
      <w:r w:rsidR="545586E8" w:rsidRPr="008B0B07">
        <w:rPr>
          <w:color w:val="000000" w:themeColor="text1"/>
          <w:sz w:val="22"/>
          <w:szCs w:val="22"/>
        </w:rPr>
        <w:t xml:space="preserve"> </w:t>
      </w:r>
      <w:r w:rsidR="1EFD7AA7" w:rsidRPr="008B0B07">
        <w:rPr>
          <w:color w:val="000000" w:themeColor="text1"/>
          <w:sz w:val="22"/>
          <w:szCs w:val="22"/>
        </w:rPr>
        <w:t xml:space="preserve">documentation of </w:t>
      </w:r>
      <w:r w:rsidR="545586E8" w:rsidRPr="008B0B07">
        <w:rPr>
          <w:color w:val="000000" w:themeColor="text1"/>
          <w:sz w:val="22"/>
          <w:szCs w:val="22"/>
        </w:rPr>
        <w:t>relevant HES codes</w:t>
      </w:r>
      <w:r w:rsidR="10A3D5A3" w:rsidRPr="008B0B07">
        <w:rPr>
          <w:color w:val="000000" w:themeColor="text1"/>
          <w:sz w:val="22"/>
          <w:szCs w:val="22"/>
        </w:rPr>
        <w:t xml:space="preserve">, </w:t>
      </w:r>
      <w:r w:rsidR="326862E2" w:rsidRPr="008B0B07">
        <w:rPr>
          <w:color w:val="000000" w:themeColor="text1"/>
          <w:sz w:val="22"/>
          <w:szCs w:val="22"/>
        </w:rPr>
        <w:t xml:space="preserve">or record in </w:t>
      </w:r>
      <w:r w:rsidR="005D265D" w:rsidRPr="008B0B07">
        <w:rPr>
          <w:color w:val="000000" w:themeColor="text1"/>
          <w:sz w:val="22"/>
          <w:szCs w:val="22"/>
        </w:rPr>
        <w:t xml:space="preserve">UK Biobank </w:t>
      </w:r>
      <w:r w:rsidR="326862E2" w:rsidRPr="008B0B07">
        <w:rPr>
          <w:color w:val="000000" w:themeColor="text1"/>
          <w:sz w:val="22"/>
          <w:szCs w:val="22"/>
        </w:rPr>
        <w:t xml:space="preserve">algorithmically defined </w:t>
      </w:r>
      <w:r w:rsidR="005D265D" w:rsidRPr="008B0B07">
        <w:rPr>
          <w:color w:val="000000" w:themeColor="text1"/>
          <w:sz w:val="22"/>
          <w:szCs w:val="22"/>
        </w:rPr>
        <w:t xml:space="preserve">health </w:t>
      </w:r>
      <w:r w:rsidR="326862E2" w:rsidRPr="008B0B07">
        <w:rPr>
          <w:color w:val="000000" w:themeColor="text1"/>
          <w:sz w:val="22"/>
          <w:szCs w:val="22"/>
        </w:rPr>
        <w:t>outcomes (for MI and stroke)</w:t>
      </w:r>
      <w:r w:rsidR="545586E8" w:rsidRPr="008B0B07">
        <w:rPr>
          <w:color w:val="000000" w:themeColor="text1"/>
          <w:sz w:val="22"/>
          <w:szCs w:val="22"/>
        </w:rPr>
        <w:t>.</w:t>
      </w:r>
      <w:r w:rsidR="18C9667E" w:rsidRPr="008B0B07">
        <w:rPr>
          <w:color w:val="000000" w:themeColor="text1"/>
          <w:sz w:val="22"/>
          <w:szCs w:val="22"/>
        </w:rPr>
        <w:t xml:space="preserve"> </w:t>
      </w:r>
      <w:r w:rsidR="00F3550B" w:rsidRPr="008B0B07">
        <w:rPr>
          <w:color w:val="000000" w:themeColor="text1"/>
          <w:sz w:val="22"/>
          <w:szCs w:val="22"/>
        </w:rPr>
        <w:t xml:space="preserve">For diabetes and high cholesterol, we also referred to biochemistry data (glycosylated haemoglobin &gt;48 mmol/mol and total cholesterol &gt;7 mmol/L, respectively). </w:t>
      </w:r>
      <w:r w:rsidR="6E191827" w:rsidRPr="008B0B07">
        <w:rPr>
          <w:color w:val="000000" w:themeColor="text1"/>
          <w:sz w:val="22"/>
          <w:szCs w:val="22"/>
        </w:rPr>
        <w:t>The approach to ascertainment of VRFs</w:t>
      </w:r>
      <w:r w:rsidR="00233F42" w:rsidRPr="008B0B07">
        <w:rPr>
          <w:color w:val="000000" w:themeColor="text1"/>
          <w:sz w:val="22"/>
          <w:szCs w:val="22"/>
        </w:rPr>
        <w:t xml:space="preserve"> and</w:t>
      </w:r>
      <w:r w:rsidR="6E191827" w:rsidRPr="008B0B07">
        <w:rPr>
          <w:color w:val="000000" w:themeColor="text1"/>
          <w:sz w:val="22"/>
          <w:szCs w:val="22"/>
        </w:rPr>
        <w:t xml:space="preserve"> CVDs along with a</w:t>
      </w:r>
      <w:r w:rsidR="2D80B857" w:rsidRPr="008B0B07">
        <w:rPr>
          <w:color w:val="000000" w:themeColor="text1"/>
          <w:sz w:val="22"/>
          <w:szCs w:val="22"/>
        </w:rPr>
        <w:t xml:space="preserve"> full list of </w:t>
      </w:r>
      <w:r w:rsidR="6C4FE034" w:rsidRPr="008B0B07">
        <w:rPr>
          <w:color w:val="000000" w:themeColor="text1"/>
          <w:sz w:val="22"/>
          <w:szCs w:val="22"/>
        </w:rPr>
        <w:t>ICD</w:t>
      </w:r>
      <w:r w:rsidR="2D80B857" w:rsidRPr="008B0B07">
        <w:rPr>
          <w:color w:val="000000" w:themeColor="text1"/>
          <w:sz w:val="22"/>
          <w:szCs w:val="22"/>
        </w:rPr>
        <w:t xml:space="preserve"> codes </w:t>
      </w:r>
      <w:r w:rsidR="5C675F45" w:rsidRPr="008B0B07">
        <w:rPr>
          <w:color w:val="000000" w:themeColor="text1"/>
          <w:sz w:val="22"/>
          <w:szCs w:val="22"/>
        </w:rPr>
        <w:t xml:space="preserve">used </w:t>
      </w:r>
      <w:r w:rsidR="2D80B857" w:rsidRPr="008B0B07">
        <w:rPr>
          <w:color w:val="000000" w:themeColor="text1"/>
          <w:sz w:val="22"/>
          <w:szCs w:val="22"/>
        </w:rPr>
        <w:t xml:space="preserve">is presented in </w:t>
      </w:r>
      <w:r w:rsidR="2D80B857" w:rsidRPr="008B0B07">
        <w:rPr>
          <w:b/>
          <w:bCs/>
          <w:color w:val="000000" w:themeColor="text1"/>
          <w:sz w:val="22"/>
          <w:szCs w:val="22"/>
        </w:rPr>
        <w:t>Supplementary Table 1.</w:t>
      </w:r>
    </w:p>
    <w:p w14:paraId="47064BF6" w14:textId="6D071FA0" w:rsidR="655C9926" w:rsidRPr="004F076A" w:rsidRDefault="655C9926" w:rsidP="00511AE5">
      <w:pPr>
        <w:spacing w:line="480" w:lineRule="auto"/>
        <w:rPr>
          <w:b/>
          <w:bCs/>
          <w:color w:val="000000" w:themeColor="text1"/>
          <w:sz w:val="22"/>
          <w:szCs w:val="22"/>
        </w:rPr>
      </w:pPr>
    </w:p>
    <w:p w14:paraId="6EE1E537" w14:textId="00765F6F" w:rsidR="001F348F" w:rsidRPr="004F076A" w:rsidRDefault="001F348F" w:rsidP="00511AE5">
      <w:pPr>
        <w:spacing w:line="480" w:lineRule="auto"/>
        <w:rPr>
          <w:b/>
          <w:bCs/>
          <w:color w:val="000000" w:themeColor="text1"/>
          <w:sz w:val="22"/>
          <w:szCs w:val="22"/>
        </w:rPr>
      </w:pPr>
      <w:r w:rsidRPr="004F076A">
        <w:rPr>
          <w:b/>
          <w:bCs/>
          <w:color w:val="000000" w:themeColor="text1"/>
          <w:sz w:val="22"/>
          <w:szCs w:val="22"/>
        </w:rPr>
        <w:t>Statistical analysis</w:t>
      </w:r>
    </w:p>
    <w:p w14:paraId="006D8EE3" w14:textId="709B34FA" w:rsidR="00CE199B" w:rsidRPr="004F076A" w:rsidRDefault="5E5AAE1E" w:rsidP="00511AE5">
      <w:pPr>
        <w:spacing w:line="480" w:lineRule="auto"/>
        <w:rPr>
          <w:color w:val="000000" w:themeColor="text1"/>
          <w:sz w:val="22"/>
          <w:szCs w:val="22"/>
        </w:rPr>
      </w:pPr>
      <w:r w:rsidRPr="004F076A">
        <w:rPr>
          <w:color w:val="000000" w:themeColor="text1"/>
          <w:sz w:val="22"/>
          <w:szCs w:val="22"/>
        </w:rPr>
        <w:t xml:space="preserve">Statistical analysis was performed using </w:t>
      </w:r>
      <w:r w:rsidR="005C2574" w:rsidRPr="004F076A">
        <w:rPr>
          <w:color w:val="000000" w:themeColor="text1"/>
          <w:sz w:val="22"/>
          <w:szCs w:val="22"/>
        </w:rPr>
        <w:t xml:space="preserve">R version </w:t>
      </w:r>
      <w:r w:rsidR="00262179" w:rsidRPr="004F076A">
        <w:rPr>
          <w:color w:val="000000" w:themeColor="text1"/>
          <w:sz w:val="22"/>
          <w:szCs w:val="22"/>
        </w:rPr>
        <w:t>4.0.3</w:t>
      </w:r>
      <w:r w:rsidR="005C2574" w:rsidRPr="004F076A">
        <w:rPr>
          <w:color w:val="000000" w:themeColor="text1"/>
          <w:sz w:val="22"/>
          <w:szCs w:val="22"/>
        </w:rPr>
        <w:fldChar w:fldCharType="begin" w:fldLock="1"/>
      </w:r>
      <w:r w:rsidR="00D33752" w:rsidRPr="004F076A">
        <w:rPr>
          <w:color w:val="000000" w:themeColor="text1"/>
          <w:sz w:val="22"/>
          <w:szCs w:val="22"/>
        </w:rPr>
        <w:instrText>ADDIN CSL_CITATION {"citationItems":[{"id":"ITEM-1","itemData":{"id":"ITEM-1","issued":{"date-parts":[["0"]]},"title":"R Core Team (2019). R: A language and environment for statistical computing. R Foundation for Statistical Computing, Vienna, Austria.","type":"article"},"uris":["http://www.mendeley.com/documents/?uuid=30a32421-bbe5-3b2e-8c69-6edc0c1dcc83"]}],"mendeley":{"formattedCitation":"&lt;sup&gt;24&lt;/sup&gt;","plainTextFormattedCitation":"24","previouslyFormattedCitation":"&lt;sup&gt;24&lt;/sup&gt;"},"properties":{"noteIndex":0},"schema":"https://github.com/citation-style-language/schema/raw/master/csl-citation.json"}</w:instrText>
      </w:r>
      <w:r w:rsidR="005C2574" w:rsidRPr="004F076A">
        <w:rPr>
          <w:color w:val="000000" w:themeColor="text1"/>
          <w:sz w:val="22"/>
          <w:szCs w:val="22"/>
        </w:rPr>
        <w:fldChar w:fldCharType="separate"/>
      </w:r>
      <w:r w:rsidR="00D33752" w:rsidRPr="004F076A">
        <w:rPr>
          <w:noProof/>
          <w:color w:val="000000" w:themeColor="text1"/>
          <w:sz w:val="22"/>
          <w:szCs w:val="22"/>
          <w:vertAlign w:val="superscript"/>
        </w:rPr>
        <w:t>24</w:t>
      </w:r>
      <w:r w:rsidR="005C2574" w:rsidRPr="004F076A">
        <w:rPr>
          <w:color w:val="000000" w:themeColor="text1"/>
          <w:sz w:val="22"/>
          <w:szCs w:val="22"/>
        </w:rPr>
        <w:fldChar w:fldCharType="end"/>
      </w:r>
      <w:r w:rsidR="005C2574" w:rsidRPr="004F076A">
        <w:rPr>
          <w:color w:val="000000" w:themeColor="text1"/>
          <w:sz w:val="22"/>
          <w:szCs w:val="22"/>
        </w:rPr>
        <w:t xml:space="preserve"> and RStudio Version 1.3.1093</w:t>
      </w:r>
      <w:r w:rsidRPr="004F076A">
        <w:rPr>
          <w:color w:val="000000" w:themeColor="text1"/>
          <w:sz w:val="22"/>
          <w:szCs w:val="22"/>
        </w:rPr>
        <w:t>.</w:t>
      </w:r>
      <w:r w:rsidR="005C2574" w:rsidRPr="004F076A">
        <w:rPr>
          <w:color w:val="000000" w:themeColor="text1"/>
          <w:sz w:val="22"/>
          <w:szCs w:val="22"/>
        </w:rPr>
        <w:fldChar w:fldCharType="begin" w:fldLock="1"/>
      </w:r>
      <w:r w:rsidR="00D33752" w:rsidRPr="004F076A">
        <w:rPr>
          <w:color w:val="000000" w:themeColor="text1"/>
          <w:sz w:val="22"/>
          <w:szCs w:val="22"/>
        </w:rPr>
        <w:instrText>ADDIN CSL_CITATION {"citationItems":[{"id":"ITEM-1","itemData":{"URL":"https://rstudio.com/","accessed":{"date-parts":[["2020","10","18"]]},"id":"ITEM-1","issued":{"date-parts":[["0"]]},"title":"RStudio: Integrated Development for R. RStudio, Inc., Boston, MA","type":"webpage"},"uris":["http://www.mendeley.com/documents/?uuid=084f004e-dfe9-30d2-bb89-c863b6085d6c"]}],"mendeley":{"formattedCitation":"&lt;sup&gt;25&lt;/sup&gt;","plainTextFormattedCitation":"25","previouslyFormattedCitation":"&lt;sup&gt;25&lt;/sup&gt;"},"properties":{"noteIndex":0},"schema":"https://github.com/citation-style-language/schema/raw/master/csl-citation.json"}</w:instrText>
      </w:r>
      <w:r w:rsidR="005C2574" w:rsidRPr="004F076A">
        <w:rPr>
          <w:color w:val="000000" w:themeColor="text1"/>
          <w:sz w:val="22"/>
          <w:szCs w:val="22"/>
        </w:rPr>
        <w:fldChar w:fldCharType="separate"/>
      </w:r>
      <w:r w:rsidR="00D33752" w:rsidRPr="004F076A">
        <w:rPr>
          <w:noProof/>
          <w:color w:val="000000" w:themeColor="text1"/>
          <w:sz w:val="22"/>
          <w:szCs w:val="22"/>
          <w:vertAlign w:val="superscript"/>
        </w:rPr>
        <w:t>25</w:t>
      </w:r>
      <w:r w:rsidR="005C2574" w:rsidRPr="004F076A">
        <w:rPr>
          <w:color w:val="000000" w:themeColor="text1"/>
          <w:sz w:val="22"/>
          <w:szCs w:val="22"/>
        </w:rPr>
        <w:fldChar w:fldCharType="end"/>
      </w:r>
      <w:r w:rsidRPr="004F076A">
        <w:rPr>
          <w:color w:val="000000" w:themeColor="text1"/>
          <w:sz w:val="22"/>
          <w:szCs w:val="22"/>
        </w:rPr>
        <w:t xml:space="preserve"> We included all UK Biobank participants with </w:t>
      </w:r>
      <w:r w:rsidR="00445186" w:rsidRPr="004F076A">
        <w:rPr>
          <w:color w:val="000000" w:themeColor="text1"/>
          <w:sz w:val="22"/>
          <w:szCs w:val="22"/>
        </w:rPr>
        <w:t xml:space="preserve">quality-controlled </w:t>
      </w:r>
      <w:r w:rsidRPr="004F076A">
        <w:rPr>
          <w:color w:val="000000" w:themeColor="text1"/>
          <w:sz w:val="22"/>
          <w:szCs w:val="22"/>
        </w:rPr>
        <w:t>CMR data available.</w:t>
      </w:r>
    </w:p>
    <w:p w14:paraId="092A8057" w14:textId="77777777" w:rsidR="00CF5D66" w:rsidRDefault="00CF5D66" w:rsidP="00511AE5">
      <w:pPr>
        <w:spacing w:line="480" w:lineRule="auto"/>
        <w:rPr>
          <w:bCs/>
          <w:i/>
          <w:iCs/>
          <w:color w:val="000000" w:themeColor="text1"/>
          <w:sz w:val="22"/>
          <w:szCs w:val="22"/>
          <w:shd w:val="clear" w:color="auto" w:fill="FFFFFF"/>
        </w:rPr>
      </w:pPr>
    </w:p>
    <w:p w14:paraId="532C2A62" w14:textId="2A742200" w:rsidR="00672277" w:rsidRPr="00233F42" w:rsidRDefault="00D052E3" w:rsidP="00511AE5">
      <w:pPr>
        <w:spacing w:line="480" w:lineRule="auto"/>
        <w:rPr>
          <w:color w:val="000000" w:themeColor="text1"/>
          <w:sz w:val="22"/>
          <w:szCs w:val="22"/>
        </w:rPr>
      </w:pPr>
      <w:r>
        <w:rPr>
          <w:color w:val="000000" w:themeColor="text1"/>
          <w:sz w:val="22"/>
          <w:szCs w:val="22"/>
        </w:rPr>
        <w:t>W</w:t>
      </w:r>
      <w:r w:rsidR="002A3819" w:rsidRPr="004F076A">
        <w:rPr>
          <w:color w:val="000000" w:themeColor="text1"/>
          <w:sz w:val="22"/>
          <w:szCs w:val="22"/>
        </w:rPr>
        <w:t xml:space="preserve">e performed orthogonal principal component analysis (PCA) rotation of the five CMR metrics (LAVi, LAEF, </w:t>
      </w:r>
      <w:r w:rsidR="00D54ACB" w:rsidRPr="004F076A">
        <w:rPr>
          <w:color w:val="000000" w:themeColor="text1"/>
          <w:sz w:val="22"/>
          <w:szCs w:val="22"/>
        </w:rPr>
        <w:t>LVM: LVEDV</w:t>
      </w:r>
      <w:r w:rsidR="002A3819" w:rsidRPr="004F076A">
        <w:rPr>
          <w:color w:val="000000" w:themeColor="text1"/>
          <w:sz w:val="22"/>
          <w:szCs w:val="22"/>
        </w:rPr>
        <w:t>, GLS, LVGFI), creating uncorrelated CMR variables whilst retaining more than 90% of their individual variance</w:t>
      </w:r>
      <w:r w:rsidR="005943E2">
        <w:rPr>
          <w:color w:val="000000" w:themeColor="text1"/>
          <w:sz w:val="22"/>
          <w:szCs w:val="22"/>
        </w:rPr>
        <w:t xml:space="preserve">, as </w:t>
      </w:r>
      <w:r w:rsidR="00B76C3D">
        <w:rPr>
          <w:color w:val="000000" w:themeColor="text1"/>
          <w:sz w:val="22"/>
          <w:szCs w:val="22"/>
        </w:rPr>
        <w:t>descri</w:t>
      </w:r>
      <w:r w:rsidR="00180CF5">
        <w:rPr>
          <w:color w:val="000000" w:themeColor="text1"/>
          <w:sz w:val="22"/>
          <w:szCs w:val="22"/>
        </w:rPr>
        <w:t>bed in previous work</w:t>
      </w:r>
      <w:r w:rsidR="00B76C3D">
        <w:rPr>
          <w:color w:val="000000" w:themeColor="text1"/>
          <w:sz w:val="22"/>
          <w:szCs w:val="22"/>
        </w:rPr>
        <w:t>.</w:t>
      </w:r>
      <w:r w:rsidR="00B76C3D">
        <w:rPr>
          <w:color w:val="000000" w:themeColor="text1"/>
          <w:sz w:val="22"/>
          <w:szCs w:val="22"/>
        </w:rPr>
        <w:fldChar w:fldCharType="begin" w:fldLock="1"/>
      </w:r>
      <w:r w:rsidR="0002244A">
        <w:rPr>
          <w:color w:val="000000" w:themeColor="text1"/>
          <w:sz w:val="22"/>
          <w:szCs w:val="22"/>
        </w:rPr>
        <w:instrText>ADDIN CSL_CITATION {"citationItems":[{"id":"ITEM-1","itemData":{"DOI":"10.1016/j.ypmed.2016.04.006","ISSN":"10960260","PMID":"27095322","abstract":"Metabolic syndrome is a cluster of cardio-metabolic risk factors and is associated with increased mortality. There is no standard, validated way to assess the severity of aggregated metabolic syndrome risk factors.Cardiovascular and diabetes risk factor data came from two studies conducted in Australia from 2006 to 2010 in adults aged 18 or above. In medication free adults, sex-specific clinical thresholds and Principal Component Analysis were used to develop a formula to calculate a metabolic syndrome severity score (MetSSS). These scores were compared to scores derived using the same process in subgroups by sex, age, medication status, and time. We also examined the MetSSS in relation to other known risk factors.In 2125 adults (57.6 ± 14.7 years of age), the MetSSS ranged from 0 to 8.7 with a mean of 2.6. There were strong correlations (.95-.99) between the MetSSS in medication free adults and the MetSSS calculated from subgroups. MetSSS predicted medication initiation for hypertension, hyperlipidemia and hyperglycemia over six months (OR = 1.31, 95% CI [1.00-1.70], per MetSSS unit, p = .043). Lower education, medication prescription, history of smoking and age were associated with higher MetSSS (all p &lt; .05). Higher physical but not mental health quality of life was associated with lower MetSSS (p &lt; .001).A standardized formula to measure cardio-metabolic risk factor severity was constructed and demonstrated expected relations with known risk factors. The use of the MetSSS is recommended as a measure of change within individuals in cardio-metabolic risk factors and to guide treatment and management.","author":[{"dropping-particle":"","family":"Wiley","given":"Joshua F.","non-dropping-particle":"","parse-names":false,"suffix":""},{"dropping-particle":"","family":"Carrington","given":"Melinda J.","non-dropping-particle":"","parse-names":false,"suffix":""}],"container-title":"Preventive Medicine","id":"ITEM-1","issued":{"date-parts":[["2016","7","1"]]},"page":"189-195","publisher":"Academic Press Inc.","title":"A metabolic syndrome severity score: A tool to quantify cardio-metabolic risk factors","type":"article-journal","volume":"88"},"uris":["http://www.mendeley.com/documents/?uuid=d6623d35-ae64-3a10-96e5-46969a5e633b"]},{"id":"ITEM-2","itemData":{"DOI":"10.1016/j.neuroimage.2013.05.066","ISSN":"10538119","PMID":"23707588","abstract":"Introduction: We performed a whole-transcriptome correlation analysis, followed by the pathway enrichment and testing of innate immune response pathway analyses to evaluate the hypothesis that transcriptional activity can predict cortical gray matter thickness (GMT) variability during normal cerebral aging. Methods: Transcriptome and GMT data were available for 379 individuals (age range. =. 28-85) community-dwelling members of large extended Mexican American families. Collection of transcriptome data preceded that of neuroimaging data by 17. years. Genome-wide gene transcriptome data consisted of 20,413 heritable lymphocytes-based transcripts. GMT measurements were performed from high-resolution (isotropic 800. μm) T1-weighted MRI. Transcriptome-wide and pathway enrichment analysis was used to classify genes correlated with GMT. Transcripts for sixty genes from seven innate immune pathways were tested as specific predictors of GMT variability. Results: Transcripts for eight genes (IGFBP3, LRRN3, CRIP2, SCD, IDS, TCF4, GATA3, and HN1) passed the transcriptome-wide significance threshold. Four orthogonal factors extracted from this set predicted 31.9% of the variability in the whole-brain and between 23.4 and 35% of regional GMT measurements. Pathway enrichment analysis identified six functional categories including cellular proliferation, aggregation, differentiation, viral infection, and metabolism. The integrin signaling pathway was significantly (p&lt;10-6) enriched with GMT. Finally, three innate immune pathways (complement signaling, toll-receptors and scavenger and immunoglobulins) were significantly associated with GMT. Conclusion: Expression activity for the genes that regulate cellular proliferation, adhesion, differentiation and inflammation can explain a significant proportion of individual variability in cortical GMT. Our findings suggest that normal cerebral aging is the product of a progressive decline in regenerative capacity and increased neuroinflammation. © 2013 Elsevier Inc.","author":[{"dropping-particle":"","family":"Kochunov","given":"P.","non-dropping-particle":"","parse-names":false,"suffix":""},{"dropping-particle":"","family":"Charlesworth","given":"J.","non-dropping-particle":"","parse-names":false,"suffix":""},{"dropping-particle":"","family":"Winkler","given":"A.","non-dropping-particle":"","parse-names":false,"suffix":""},{"dropping-particle":"","family":"Hong","given":"L. E.","non-dropping-particle":"","parse-names":false,"suffix":""},{"dropping-particle":"","family":"Nichols","given":"T. E.","non-dropping-particle":"","parse-names":false,"suffix":""},{"dropping-particle":"","family":"Curran","given":"J. E.","non-dropping-particle":"","parse-names":false,"suffix":""},{"dropping-particle":"","family":"Sprooten","given":"E.","non-dropping-particle":"","parse-names":false,"suffix":""},{"dropping-particle":"","family":"Jahanshad","given":"N.","non-dropping-particle":"","parse-names":false,"suffix":""},{"dropping-particle":"","family":"Thompson","given":"P. M.","non-dropping-particle":"","parse-names":false,"suffix":""},{"dropping-particle":"","family":"Johnson","given":"M. P.","non-dropping-particle":"","parse-names":false,"suffix":""},{"dropping-particle":"","family":"Kent","given":"J. W.","non-dropping-particle":"","parse-names":false,"suffix":""},{"dropping-particle":"","family":"Landman","given":"B. A.","non-dropping-particle":"","parse-names":false,"suffix":""},{"dropping-particle":"","family":"Mitchell","given":"B.","non-dropping-particle":"","parse-names":false,"suffix":""},{"dropping-particle":"","family":"Cole","given":"S. A.","non-dropping-particle":"","parse-names":false,"suffix":""},{"dropping-particle":"","family":"Dyer","given":"T. D.","non-dropping-particle":"","parse-names":false,"suffix":""},{"dropping-particle":"","family":"Moses","given":"E. K.","non-dropping-particle":"","parse-names":false,"suffix":""},{"dropping-particle":"","family":"Goring","given":"H. H.H.","non-dropping-particle":"","parse-names":false,"suffix":""},{"dropping-particle":"","family":"Almasy","given":"L.","non-dropping-particle":"","parse-names":false,"suffix":""},{"dropping-particle":"","family":"Duggirala","given":"R.","non-dropping-particle":"","parse-names":false,"suffix":""},{"dropping-particle":"","family":"Olvera","given":"R. L.","non-dropping-particle":"","parse-names":false,"suffix":""},{"dropping-particle":"","family":"Glahn","given":"D. C.","non-dropping-particle":"","parse-names":false,"suffix":""},{"dropping-particle":"","family":"Blangero","given":"J.","non-dropping-particle":"","parse-names":false,"suffix":""}],"container-title":"NeuroImage","id":"ITEM-2","issued":{"date-parts":[["2013","11","5"]]},"page":"273-283","publisher":"Academic Press","title":"Transcriptomics of cortical gray matter thickness decline during normal aging","type":"article-journal","volume":"82"},"uris":["http://www.mendeley.com/documents/?uuid=0d76fbb2-9637-3125-9be0-7903872d7264"]},{"id":"ITEM-3","itemData":{"DOI":"10.1111/j.1600-0587.2012.07348.x","ISSN":"16000587","abstract":"Collinearity refers to the non independence of predictor variables, usually in a regression-type analysis. It is a common feature of any descriptive ecological data set and can be a problem for parameter estimation because it inflates the variance of regression parameters and hence potentially leads to the wrong identification of relevant predictors in a statistical model. Collinearity is a severe problem when a model is trained on data from one region or time, and predicted to another with a different or unknown structure of collinearity. To demonstrate the reach of the problem of collinearity in ecology, we show how relationships among predictors differ between biomes, change over spatial scales and through time. Across disciplines, different approaches to addressing collinearity problems have been developed, ranging from clustering of predictors, threshold-based pre-selection, through latent variable methods, to shrinkage and regularisation. Using simulated data with five predictor-response relationships of increasing complexity and eight levels of collinearity we compared ways to address collinearity with standard multiple regression and machine-learning approaches. We assessed the performance of each approach by testing its impact on prediction to new data. In the extreme, we tested whether the methods were able to identify the true underlying relationship in a training dataset with strong collinearity by evaluating its performance on a test dataset without any collinearity. We found that methods specifically designed for collinearity, such as latent variable methods and tree based models, did not outperform the traditional GLM and threshold-based pre-selection. Our results highlight the value of GLM in combination with penalised methods (particularly ridge) and threshold-based pre-selection when omitted variables are considered in the final interpretation. However, all approaches tested yielded degraded predictions under change in collinearity structure and the 'folk lore'-thresholds of correlation coefficients between predictor variables of |r| &gt;0.7 was an appropriate indicator for when collinearity begins to severely distort model estimation and subsequent prediction. The use of ecological understanding of the system in pre-analysis variable selection and the choice of the least sensitive statistical approaches reduce the problems of collinearity, but cannot ultimately solve them. © 2012 The Authors. Ecography © 2012 Nordic Society Oikos.","author":[{"dropping-particle":"","family":"Dormann","given":"Carsten F.","non-dropping-particle":"","parse-names":false,"suffix":""},{"dropping-particle":"","family":"Elith","given":"Jane","non-dropping-particle":"","parse-names":false,"suffix":""},{"dropping-particle":"","family":"Bacher","given":"Sven","non-dropping-particle":"","parse-names":false,"suffix":""},{"dropping-particle":"","family":"Buchmann","given":"Carsten","non-dropping-particle":"","parse-names":false,"suffix":""},{"dropping-particle":"","family":"Carl","given":"Gudrun","non-dropping-particle":"","parse-names":false,"suffix":""},{"dropping-particle":"","family":"Carré","given":"Gabriel","non-dropping-particle":"","parse-names":false,"suffix":""},{"dropping-particle":"","family":"Marquéz","given":"Jaime R.García","non-dropping-particle":"","parse-names":false,"suffix":""},{"dropping-particle":"","family":"Gruber","given":"Bernd","non-dropping-particle":"","parse-names":false,"suffix":""},{"dropping-particle":"","family":"Lafourcade","given":"Bruno","non-dropping-particle":"","parse-names":false,"suffix":""},{"dropping-particle":"","family":"Leitão","given":"Pedro J.","non-dropping-particle":"","parse-names":false,"suffix":""},{"dropping-particle":"","family":"Münkemüller","given":"Tamara","non-dropping-particle":"","parse-names":false,"suffix":""},{"dropping-particle":"","family":"Mcclean","given":"Colin","non-dropping-particle":"","parse-names":false,"suffix":""},{"dropping-particle":"","family":"Osborne","given":"Patrick E.","non-dropping-particle":"","parse-names":false,"suffix":""},{"dropping-particle":"","family":"Reineking","given":"Björn","non-dropping-particle":"","parse-names":false,"suffix":""},{"dropping-particle":"","family":"Schröder","given":"Boris","non-dropping-particle":"","parse-names":false,"suffix":""},{"dropping-particle":"","family":"Skidmore","given":"Andrew K.","non-dropping-particle":"","parse-names":false,"suffix":""},{"dropping-particle":"","family":"Zurell","given":"Damaris","non-dropping-particle":"","parse-names":false,"suffix":""},{"dropping-particle":"","family":"Lautenbach","given":"Sven","non-dropping-particle":"","parse-names":false,"suffix":""}],"container-title":"Ecography","id":"ITEM-3","issue":"1","issued":{"date-parts":[["2013"]]},"page":"27-46","publisher":"Blackwell Publishing Ltd","title":"Collinearity: A review of methods to deal with it and a simulation study evaluating their performance","type":"article-journal","volume":"36"},"uris":["http://www.mendeley.com/documents/?uuid=93256e80-dfbf-32fb-9895-2c163bad8eb3"]}],"mendeley":{"formattedCitation":"&lt;sup&gt;26–28&lt;/sup&gt;","plainTextFormattedCitation":"26–28","previouslyFormattedCitation":"&lt;sup&gt;26–28&lt;/sup&gt;"},"properties":{"noteIndex":0},"schema":"https://github.com/citation-style-language/schema/raw/master/csl-citation.json"}</w:instrText>
      </w:r>
      <w:r w:rsidR="00B76C3D">
        <w:rPr>
          <w:color w:val="000000" w:themeColor="text1"/>
          <w:sz w:val="22"/>
          <w:szCs w:val="22"/>
        </w:rPr>
        <w:fldChar w:fldCharType="separate"/>
      </w:r>
      <w:r w:rsidR="00134030" w:rsidRPr="00134030">
        <w:rPr>
          <w:noProof/>
          <w:color w:val="000000" w:themeColor="text1"/>
          <w:sz w:val="22"/>
          <w:szCs w:val="22"/>
          <w:vertAlign w:val="superscript"/>
        </w:rPr>
        <w:t>26–28</w:t>
      </w:r>
      <w:r w:rsidR="00B76C3D">
        <w:rPr>
          <w:color w:val="000000" w:themeColor="text1"/>
          <w:sz w:val="22"/>
          <w:szCs w:val="22"/>
        </w:rPr>
        <w:fldChar w:fldCharType="end"/>
      </w:r>
      <w:r w:rsidR="00B76C3D">
        <w:rPr>
          <w:color w:val="000000" w:themeColor="text1"/>
          <w:sz w:val="22"/>
          <w:szCs w:val="22"/>
        </w:rPr>
        <w:t xml:space="preserve"> </w:t>
      </w:r>
      <w:r w:rsidR="00180CF5" w:rsidRPr="004F076A">
        <w:rPr>
          <w:color w:val="000000" w:themeColor="text1"/>
          <w:sz w:val="22"/>
          <w:szCs w:val="22"/>
        </w:rPr>
        <w:t xml:space="preserve">Thus, we </w:t>
      </w:r>
      <w:r w:rsidR="00B31017">
        <w:rPr>
          <w:color w:val="000000" w:themeColor="text1"/>
          <w:sz w:val="22"/>
          <w:szCs w:val="22"/>
        </w:rPr>
        <w:t xml:space="preserve">removed significant interdependencies between the CMR metrics and were </w:t>
      </w:r>
      <w:r w:rsidR="00180CF5" w:rsidRPr="004F076A">
        <w:rPr>
          <w:color w:val="000000" w:themeColor="text1"/>
          <w:sz w:val="22"/>
          <w:szCs w:val="22"/>
        </w:rPr>
        <w:t xml:space="preserve">able to include the rotated CMR </w:t>
      </w:r>
      <w:r w:rsidR="00180CF5" w:rsidRPr="008B0B07">
        <w:rPr>
          <w:color w:val="000000" w:themeColor="text1"/>
          <w:sz w:val="22"/>
          <w:szCs w:val="22"/>
        </w:rPr>
        <w:t>variables together as exposures in the same model</w:t>
      </w:r>
      <w:r w:rsidR="00236267" w:rsidRPr="008B0B07">
        <w:rPr>
          <w:color w:val="000000" w:themeColor="text1"/>
          <w:sz w:val="22"/>
          <w:szCs w:val="22"/>
        </w:rPr>
        <w:t xml:space="preserve">. For inclusion to the PCA, LAV and LAEF contained 0.03% missing values, and GLS contained 3.7% missing values that were imputed with the mean. </w:t>
      </w:r>
      <w:r w:rsidR="00233F42" w:rsidRPr="008B0B07">
        <w:rPr>
          <w:color w:val="000000" w:themeColor="text1"/>
          <w:sz w:val="22"/>
          <w:szCs w:val="22"/>
        </w:rPr>
        <w:t xml:space="preserve">For comparison, we created a separate set of PCA rotated CMR metrics replacing LVGFI with LVEF. </w:t>
      </w:r>
      <w:r w:rsidR="00236267" w:rsidRPr="008B0B07">
        <w:rPr>
          <w:color w:val="000000" w:themeColor="text1"/>
          <w:sz w:val="22"/>
          <w:szCs w:val="22"/>
        </w:rPr>
        <w:t xml:space="preserve">The PCA loadings are presented in </w:t>
      </w:r>
      <w:r w:rsidR="00236267" w:rsidRPr="008B0B07">
        <w:rPr>
          <w:rStyle w:val="Strong"/>
          <w:color w:val="000000" w:themeColor="text1"/>
          <w:sz w:val="22"/>
          <w:szCs w:val="22"/>
        </w:rPr>
        <w:t xml:space="preserve">Supplementary Table 2 </w:t>
      </w:r>
      <w:r w:rsidR="00236267" w:rsidRPr="008B0B07">
        <w:rPr>
          <w:color w:val="000000" w:themeColor="text1"/>
          <w:sz w:val="22"/>
          <w:szCs w:val="22"/>
        </w:rPr>
        <w:t xml:space="preserve">and </w:t>
      </w:r>
      <w:r w:rsidR="00F52549" w:rsidRPr="008B0B07">
        <w:rPr>
          <w:b/>
          <w:bCs/>
          <w:color w:val="000000" w:themeColor="text1"/>
          <w:sz w:val="22"/>
          <w:szCs w:val="22"/>
        </w:rPr>
        <w:t>Supplementary Table 3</w:t>
      </w:r>
      <w:r w:rsidR="00672277" w:rsidRPr="008B0B07">
        <w:rPr>
          <w:color w:val="000000" w:themeColor="text1"/>
          <w:sz w:val="22"/>
          <w:szCs w:val="22"/>
        </w:rPr>
        <w:t>. We estimated the independent association of the PCA rotated CMR metrics with VRFs (hypertension, diabetes, high cholesterol, smoking) and prevalent CVDs (AF, stroke, IHD, MI) in multivariable logistic regression models simultaneously modelling all five CMR metrics and adjusting for confounders (age, sex, ethnicity, deprivation, education, physical activity, BMI)</w:t>
      </w:r>
      <w:r w:rsidR="00F52549" w:rsidRPr="008B0B07">
        <w:rPr>
          <w:color w:val="000000" w:themeColor="text1"/>
          <w:sz w:val="22"/>
          <w:szCs w:val="22"/>
        </w:rPr>
        <w:t xml:space="preserve">. We used Cox proportional hazards regression for incident CVDs and mortality outcomes (with covariate adjustment as before). </w:t>
      </w:r>
      <w:r w:rsidR="00F52549" w:rsidRPr="008B0B07">
        <w:rPr>
          <w:bCs/>
          <w:color w:val="000000" w:themeColor="text1"/>
          <w:sz w:val="22"/>
          <w:szCs w:val="22"/>
          <w:shd w:val="clear" w:color="auto" w:fill="FFFFFF"/>
        </w:rPr>
        <w:t>In associations with incident CVD</w:t>
      </w:r>
      <w:r w:rsidR="00560C07">
        <w:rPr>
          <w:bCs/>
          <w:color w:val="000000" w:themeColor="text1"/>
          <w:sz w:val="22"/>
          <w:szCs w:val="22"/>
          <w:shd w:val="clear" w:color="auto" w:fill="FFFFFF"/>
        </w:rPr>
        <w:t>s</w:t>
      </w:r>
      <w:r w:rsidR="00F52549" w:rsidRPr="008B0B07">
        <w:rPr>
          <w:bCs/>
          <w:color w:val="000000" w:themeColor="text1"/>
          <w:sz w:val="22"/>
          <w:szCs w:val="22"/>
          <w:shd w:val="clear" w:color="auto" w:fill="FFFFFF"/>
        </w:rPr>
        <w:t>, we excluded participants who had already had the same outcome prior to CMR.</w:t>
      </w:r>
    </w:p>
    <w:p w14:paraId="487CC739" w14:textId="77777777" w:rsidR="00672277" w:rsidRDefault="00672277" w:rsidP="00511AE5">
      <w:pPr>
        <w:spacing w:line="480" w:lineRule="auto"/>
        <w:rPr>
          <w:color w:val="000000" w:themeColor="text1"/>
          <w:sz w:val="22"/>
          <w:szCs w:val="22"/>
        </w:rPr>
      </w:pPr>
    </w:p>
    <w:p w14:paraId="59B1985B" w14:textId="15F31B89" w:rsidR="2727B4AB" w:rsidRPr="004F076A" w:rsidRDefault="00F52549" w:rsidP="00511AE5">
      <w:pPr>
        <w:spacing w:line="480" w:lineRule="auto"/>
        <w:rPr>
          <w:color w:val="000000" w:themeColor="text1"/>
          <w:sz w:val="22"/>
          <w:szCs w:val="22"/>
        </w:rPr>
      </w:pPr>
      <w:r w:rsidRPr="008B0B07">
        <w:rPr>
          <w:color w:val="000000" w:themeColor="text1"/>
          <w:sz w:val="22"/>
          <w:szCs w:val="22"/>
        </w:rPr>
        <w:t xml:space="preserve">We also present associations with individually entered raw CMR metrics. For </w:t>
      </w:r>
      <w:r w:rsidR="00DB178D" w:rsidRPr="008B0B07">
        <w:rPr>
          <w:color w:val="000000" w:themeColor="text1"/>
          <w:sz w:val="22"/>
          <w:szCs w:val="22"/>
        </w:rPr>
        <w:t xml:space="preserve">associations with </w:t>
      </w:r>
      <w:r w:rsidRPr="008B0B07">
        <w:rPr>
          <w:color w:val="000000" w:themeColor="text1"/>
          <w:sz w:val="22"/>
          <w:szCs w:val="22"/>
        </w:rPr>
        <w:t xml:space="preserve">prevalent </w:t>
      </w:r>
      <w:r w:rsidR="00560C07">
        <w:rPr>
          <w:color w:val="000000" w:themeColor="text1"/>
          <w:sz w:val="22"/>
          <w:szCs w:val="22"/>
        </w:rPr>
        <w:t>diseases</w:t>
      </w:r>
      <w:r w:rsidRPr="008B0B07">
        <w:rPr>
          <w:color w:val="000000" w:themeColor="text1"/>
          <w:sz w:val="22"/>
          <w:szCs w:val="22"/>
        </w:rPr>
        <w:t xml:space="preserve">, we used multivariable linear regression, considering individual </w:t>
      </w:r>
      <w:r w:rsidR="00DB178D" w:rsidRPr="008B0B07">
        <w:rPr>
          <w:color w:val="000000" w:themeColor="text1"/>
          <w:sz w:val="22"/>
          <w:szCs w:val="22"/>
        </w:rPr>
        <w:t xml:space="preserve">raw </w:t>
      </w:r>
      <w:r w:rsidRPr="008B0B07">
        <w:rPr>
          <w:color w:val="000000" w:themeColor="text1"/>
          <w:sz w:val="22"/>
          <w:szCs w:val="22"/>
        </w:rPr>
        <w:t>CMR metrics as the model outcome and VRFs and prevalent CVDs as exposure variables. For incident outcomes, we used Cox proportional hazards regression with raw CMR metrics entered individually as exposure variables. We adjusted for confounders as before</w:t>
      </w:r>
      <w:r w:rsidR="007B6FE4" w:rsidRPr="008B0B07">
        <w:rPr>
          <w:color w:val="000000" w:themeColor="text1"/>
          <w:sz w:val="22"/>
          <w:szCs w:val="22"/>
        </w:rPr>
        <w:t>.</w:t>
      </w:r>
      <w:r w:rsidR="00D052E3" w:rsidRPr="008B0B07">
        <w:rPr>
          <w:bCs/>
          <w:i/>
          <w:iCs/>
          <w:color w:val="000000" w:themeColor="text1"/>
          <w:sz w:val="22"/>
          <w:szCs w:val="22"/>
          <w:shd w:val="clear" w:color="auto" w:fill="FFFFFF"/>
        </w:rPr>
        <w:t xml:space="preserve"> </w:t>
      </w:r>
      <w:r w:rsidR="001819FD" w:rsidRPr="008B0B07">
        <w:rPr>
          <w:color w:val="000000" w:themeColor="text1"/>
          <w:sz w:val="22"/>
          <w:szCs w:val="22"/>
        </w:rPr>
        <w:t>In all models, LAV was log-transformed to remove skew.</w:t>
      </w:r>
      <w:r w:rsidR="003D30B6" w:rsidRPr="008B0B07">
        <w:rPr>
          <w:color w:val="000000" w:themeColor="text1"/>
          <w:sz w:val="22"/>
          <w:szCs w:val="22"/>
        </w:rPr>
        <w:t xml:space="preserve"> </w:t>
      </w:r>
      <w:r w:rsidR="13C8755D" w:rsidRPr="008B0B07">
        <w:rPr>
          <w:color w:val="000000" w:themeColor="text1"/>
          <w:sz w:val="22"/>
          <w:szCs w:val="22"/>
        </w:rPr>
        <w:t>W</w:t>
      </w:r>
      <w:r w:rsidR="0F5F24CB" w:rsidRPr="008B0B07">
        <w:rPr>
          <w:color w:val="000000" w:themeColor="text1"/>
          <w:sz w:val="22"/>
          <w:szCs w:val="22"/>
        </w:rPr>
        <w:t xml:space="preserve">e </w:t>
      </w:r>
      <w:r w:rsidR="59C8F8BF" w:rsidRPr="008B0B07">
        <w:rPr>
          <w:color w:val="000000" w:themeColor="text1"/>
          <w:sz w:val="22"/>
          <w:szCs w:val="22"/>
        </w:rPr>
        <w:t>corrected for</w:t>
      </w:r>
      <w:r w:rsidR="0F5F24CB" w:rsidRPr="008B0B07">
        <w:rPr>
          <w:color w:val="000000" w:themeColor="text1"/>
          <w:sz w:val="22"/>
          <w:szCs w:val="22"/>
        </w:rPr>
        <w:t xml:space="preserve"> multiple comparisons using </w:t>
      </w:r>
      <w:r w:rsidR="00D4447F" w:rsidRPr="008B0B07">
        <w:rPr>
          <w:color w:val="000000" w:themeColor="text1"/>
          <w:sz w:val="22"/>
          <w:szCs w:val="22"/>
        </w:rPr>
        <w:t>a false discovery rate</w:t>
      </w:r>
      <w:r w:rsidR="00D4447F" w:rsidRPr="004F076A">
        <w:rPr>
          <w:color w:val="000000" w:themeColor="text1"/>
          <w:sz w:val="22"/>
          <w:szCs w:val="22"/>
        </w:rPr>
        <w:t xml:space="preserve"> of 0.05 across exposure variables</w:t>
      </w:r>
      <w:r w:rsidR="2809F4F6" w:rsidRPr="004F076A">
        <w:rPr>
          <w:color w:val="000000" w:themeColor="text1"/>
          <w:sz w:val="22"/>
          <w:szCs w:val="22"/>
        </w:rPr>
        <w:t>.</w:t>
      </w:r>
      <w:r w:rsidR="2727B4AB" w:rsidRPr="004F076A">
        <w:rPr>
          <w:color w:val="000000" w:themeColor="text1"/>
          <w:sz w:val="22"/>
          <w:szCs w:val="22"/>
        </w:rPr>
        <w:br w:type="page"/>
      </w:r>
    </w:p>
    <w:p w14:paraId="2A1A40C9" w14:textId="654E1458" w:rsidR="0C9AA727" w:rsidRPr="004F076A" w:rsidRDefault="0C9AA727" w:rsidP="00511AE5">
      <w:pPr>
        <w:spacing w:line="480" w:lineRule="auto"/>
        <w:rPr>
          <w:b/>
          <w:bCs/>
          <w:color w:val="000000" w:themeColor="text1"/>
          <w:sz w:val="22"/>
          <w:szCs w:val="22"/>
        </w:rPr>
      </w:pPr>
      <w:r w:rsidRPr="004F076A">
        <w:rPr>
          <w:b/>
          <w:bCs/>
          <w:color w:val="000000" w:themeColor="text1"/>
          <w:sz w:val="22"/>
          <w:szCs w:val="22"/>
        </w:rPr>
        <w:t>Results</w:t>
      </w:r>
    </w:p>
    <w:p w14:paraId="190EFA03" w14:textId="4E32B9EF" w:rsidR="66CB2BF8" w:rsidRPr="008B0B07" w:rsidRDefault="3758C670" w:rsidP="00511AE5">
      <w:pPr>
        <w:spacing w:line="480" w:lineRule="auto"/>
        <w:rPr>
          <w:b/>
          <w:bCs/>
          <w:color w:val="000000" w:themeColor="text1"/>
          <w:sz w:val="22"/>
          <w:szCs w:val="22"/>
        </w:rPr>
      </w:pPr>
      <w:r w:rsidRPr="004F076A">
        <w:rPr>
          <w:b/>
          <w:bCs/>
          <w:color w:val="000000" w:themeColor="text1"/>
          <w:sz w:val="22"/>
          <w:szCs w:val="22"/>
        </w:rPr>
        <w:t>P</w:t>
      </w:r>
      <w:r w:rsidR="66CB2BF8" w:rsidRPr="004F076A">
        <w:rPr>
          <w:b/>
          <w:bCs/>
          <w:color w:val="000000" w:themeColor="text1"/>
          <w:sz w:val="22"/>
          <w:szCs w:val="22"/>
        </w:rPr>
        <w:t xml:space="preserve">opulation </w:t>
      </w:r>
      <w:r w:rsidR="66CB2BF8" w:rsidRPr="008B0B07">
        <w:rPr>
          <w:b/>
          <w:bCs/>
          <w:color w:val="000000" w:themeColor="text1"/>
          <w:sz w:val="22"/>
          <w:szCs w:val="22"/>
        </w:rPr>
        <w:t>characteristics</w:t>
      </w:r>
    </w:p>
    <w:p w14:paraId="409114DA" w14:textId="193364A4" w:rsidR="007D6679" w:rsidRDefault="6DDC14BC" w:rsidP="00511AE5">
      <w:pPr>
        <w:spacing w:line="480" w:lineRule="auto"/>
        <w:rPr>
          <w:color w:val="000000" w:themeColor="text1"/>
          <w:sz w:val="22"/>
          <w:szCs w:val="22"/>
        </w:rPr>
      </w:pPr>
      <w:r w:rsidRPr="008B0B07">
        <w:rPr>
          <w:color w:val="000000" w:themeColor="text1"/>
          <w:sz w:val="22"/>
          <w:szCs w:val="22"/>
        </w:rPr>
        <w:t>We studied</w:t>
      </w:r>
      <w:r w:rsidR="64D904EF" w:rsidRPr="008B0B07">
        <w:rPr>
          <w:color w:val="000000" w:themeColor="text1"/>
          <w:sz w:val="22"/>
          <w:szCs w:val="22"/>
        </w:rPr>
        <w:t xml:space="preserve"> </w:t>
      </w:r>
      <w:r w:rsidR="00442215" w:rsidRPr="008B0B07">
        <w:rPr>
          <w:color w:val="000000" w:themeColor="text1"/>
          <w:sz w:val="22"/>
          <w:szCs w:val="22"/>
        </w:rPr>
        <w:t>25,896</w:t>
      </w:r>
      <w:r w:rsidR="64D904EF" w:rsidRPr="008B0B07">
        <w:rPr>
          <w:color w:val="000000" w:themeColor="text1"/>
          <w:sz w:val="22"/>
          <w:szCs w:val="22"/>
        </w:rPr>
        <w:t xml:space="preserve"> participants </w:t>
      </w:r>
      <w:r w:rsidR="00457560" w:rsidRPr="008B0B07">
        <w:rPr>
          <w:color w:val="000000" w:themeColor="text1"/>
          <w:sz w:val="22"/>
          <w:szCs w:val="22"/>
        </w:rPr>
        <w:t>for whom CMR data was available (</w:t>
      </w:r>
      <w:r w:rsidR="00457560" w:rsidRPr="008B0B07">
        <w:rPr>
          <w:b/>
          <w:bCs/>
          <w:color w:val="000000" w:themeColor="text1"/>
          <w:sz w:val="22"/>
          <w:szCs w:val="22"/>
        </w:rPr>
        <w:t>Supplementary Figure 1)</w:t>
      </w:r>
      <w:r w:rsidR="00457560" w:rsidRPr="008B0B07">
        <w:rPr>
          <w:color w:val="000000" w:themeColor="text1"/>
          <w:sz w:val="22"/>
          <w:szCs w:val="22"/>
        </w:rPr>
        <w:t>. The</w:t>
      </w:r>
      <w:r w:rsidR="00457560" w:rsidRPr="008B0B07">
        <w:rPr>
          <w:b/>
          <w:bCs/>
          <w:color w:val="000000" w:themeColor="text1"/>
          <w:sz w:val="22"/>
          <w:szCs w:val="22"/>
        </w:rPr>
        <w:t xml:space="preserve"> </w:t>
      </w:r>
      <w:r w:rsidR="00457560" w:rsidRPr="008B0B07">
        <w:rPr>
          <w:color w:val="000000" w:themeColor="text1"/>
          <w:sz w:val="22"/>
          <w:szCs w:val="22"/>
        </w:rPr>
        <w:t>cohort had an</w:t>
      </w:r>
      <w:r w:rsidR="64D904EF" w:rsidRPr="008B0B07">
        <w:rPr>
          <w:color w:val="000000" w:themeColor="text1"/>
          <w:sz w:val="22"/>
          <w:szCs w:val="22"/>
        </w:rPr>
        <w:t xml:space="preserve"> average age of </w:t>
      </w:r>
      <w:r w:rsidR="0D886E3E" w:rsidRPr="008B0B07">
        <w:rPr>
          <w:color w:val="000000" w:themeColor="text1"/>
          <w:sz w:val="22"/>
          <w:szCs w:val="22"/>
        </w:rPr>
        <w:t>62.9 (±7.5)</w:t>
      </w:r>
      <w:r w:rsidR="64D904EF" w:rsidRPr="008B0B07">
        <w:rPr>
          <w:color w:val="000000" w:themeColor="text1"/>
          <w:sz w:val="22"/>
          <w:szCs w:val="22"/>
        </w:rPr>
        <w:t xml:space="preserve"> years</w:t>
      </w:r>
      <w:r w:rsidR="13B7BA75" w:rsidRPr="008B0B07">
        <w:rPr>
          <w:color w:val="000000" w:themeColor="text1"/>
          <w:sz w:val="22"/>
          <w:szCs w:val="22"/>
        </w:rPr>
        <w:t>-old</w:t>
      </w:r>
      <w:r w:rsidR="00F1781F" w:rsidRPr="008B0B07">
        <w:rPr>
          <w:color w:val="000000" w:themeColor="text1"/>
          <w:sz w:val="22"/>
          <w:szCs w:val="22"/>
        </w:rPr>
        <w:t>; 52% (n=13,</w:t>
      </w:r>
      <w:r w:rsidR="00442215" w:rsidRPr="008B0B07">
        <w:rPr>
          <w:color w:val="000000" w:themeColor="text1"/>
          <w:sz w:val="22"/>
          <w:szCs w:val="22"/>
        </w:rPr>
        <w:t>488</w:t>
      </w:r>
      <w:r w:rsidR="00F1781F" w:rsidRPr="008B0B07">
        <w:rPr>
          <w:color w:val="000000" w:themeColor="text1"/>
          <w:sz w:val="22"/>
          <w:szCs w:val="22"/>
        </w:rPr>
        <w:t>) were women</w:t>
      </w:r>
      <w:r w:rsidR="4B5C2A76" w:rsidRPr="008B0B07">
        <w:rPr>
          <w:color w:val="000000" w:themeColor="text1"/>
          <w:sz w:val="22"/>
          <w:szCs w:val="22"/>
        </w:rPr>
        <w:t xml:space="preserve"> (</w:t>
      </w:r>
      <w:r w:rsidR="4B5C2A76" w:rsidRPr="008B0B07">
        <w:rPr>
          <w:b/>
          <w:bCs/>
          <w:color w:val="000000" w:themeColor="text1"/>
          <w:sz w:val="22"/>
          <w:szCs w:val="22"/>
        </w:rPr>
        <w:t>Table 1</w:t>
      </w:r>
      <w:r w:rsidR="4B5C2A76" w:rsidRPr="008B0B07">
        <w:rPr>
          <w:color w:val="000000" w:themeColor="text1"/>
          <w:sz w:val="22"/>
          <w:szCs w:val="22"/>
        </w:rPr>
        <w:t>)</w:t>
      </w:r>
      <w:r w:rsidR="64D904EF" w:rsidRPr="008B0B07">
        <w:rPr>
          <w:color w:val="000000" w:themeColor="text1"/>
          <w:sz w:val="22"/>
          <w:szCs w:val="22"/>
        </w:rPr>
        <w:t>. The</w:t>
      </w:r>
      <w:r w:rsidR="51630817" w:rsidRPr="008B0B07">
        <w:rPr>
          <w:color w:val="000000" w:themeColor="text1"/>
          <w:sz w:val="22"/>
          <w:szCs w:val="22"/>
        </w:rPr>
        <w:t xml:space="preserve"> proportion of participants with hypertension,</w:t>
      </w:r>
      <w:r w:rsidR="1A74E60F" w:rsidRPr="008B0B07">
        <w:rPr>
          <w:color w:val="000000" w:themeColor="text1"/>
          <w:sz w:val="22"/>
          <w:szCs w:val="22"/>
        </w:rPr>
        <w:t xml:space="preserve"> </w:t>
      </w:r>
      <w:r w:rsidR="6F62267E" w:rsidRPr="008B0B07">
        <w:rPr>
          <w:color w:val="000000" w:themeColor="text1"/>
          <w:sz w:val="22"/>
          <w:szCs w:val="22"/>
        </w:rPr>
        <w:t xml:space="preserve">diabetes, </w:t>
      </w:r>
      <w:r w:rsidR="51630817" w:rsidRPr="008B0B07">
        <w:rPr>
          <w:color w:val="000000" w:themeColor="text1"/>
          <w:sz w:val="22"/>
          <w:szCs w:val="22"/>
        </w:rPr>
        <w:t>high cholesterol</w:t>
      </w:r>
      <w:r w:rsidR="39DF010B" w:rsidRPr="008B0B07">
        <w:rPr>
          <w:color w:val="000000" w:themeColor="text1"/>
          <w:sz w:val="22"/>
          <w:szCs w:val="22"/>
        </w:rPr>
        <w:t>, and smoking</w:t>
      </w:r>
      <w:r w:rsidR="51630817" w:rsidRPr="008B0B07">
        <w:rPr>
          <w:color w:val="000000" w:themeColor="text1"/>
          <w:sz w:val="22"/>
          <w:szCs w:val="22"/>
        </w:rPr>
        <w:t xml:space="preserve"> was</w:t>
      </w:r>
      <w:r w:rsidR="6C32B31C" w:rsidRPr="008B0B07">
        <w:rPr>
          <w:color w:val="000000" w:themeColor="text1"/>
          <w:sz w:val="22"/>
          <w:szCs w:val="22"/>
        </w:rPr>
        <w:t xml:space="preserve"> 32.</w:t>
      </w:r>
      <w:r w:rsidR="005F07F9" w:rsidRPr="008B0B07">
        <w:rPr>
          <w:color w:val="000000" w:themeColor="text1"/>
          <w:sz w:val="22"/>
          <w:szCs w:val="22"/>
        </w:rPr>
        <w:t>7</w:t>
      </w:r>
      <w:r w:rsidR="6C32B31C" w:rsidRPr="008B0B07">
        <w:rPr>
          <w:color w:val="000000" w:themeColor="text1"/>
          <w:sz w:val="22"/>
          <w:szCs w:val="22"/>
        </w:rPr>
        <w:t>%</w:t>
      </w:r>
      <w:r w:rsidR="51630817" w:rsidRPr="008B0B07">
        <w:rPr>
          <w:color w:val="000000" w:themeColor="text1"/>
          <w:sz w:val="22"/>
          <w:szCs w:val="22"/>
        </w:rPr>
        <w:t xml:space="preserve">, </w:t>
      </w:r>
      <w:r w:rsidR="1FFFE4E3" w:rsidRPr="008B0B07">
        <w:rPr>
          <w:color w:val="000000" w:themeColor="text1"/>
          <w:sz w:val="22"/>
          <w:szCs w:val="22"/>
        </w:rPr>
        <w:t>5.</w:t>
      </w:r>
      <w:r w:rsidR="005F07F9" w:rsidRPr="008B0B07">
        <w:rPr>
          <w:color w:val="000000" w:themeColor="text1"/>
          <w:sz w:val="22"/>
          <w:szCs w:val="22"/>
        </w:rPr>
        <w:t>7</w:t>
      </w:r>
      <w:r w:rsidR="1FFFE4E3" w:rsidRPr="008B0B07">
        <w:rPr>
          <w:color w:val="000000" w:themeColor="text1"/>
          <w:sz w:val="22"/>
          <w:szCs w:val="22"/>
        </w:rPr>
        <w:t>%</w:t>
      </w:r>
      <w:r w:rsidR="51630817" w:rsidRPr="008B0B07">
        <w:rPr>
          <w:color w:val="000000" w:themeColor="text1"/>
          <w:sz w:val="22"/>
          <w:szCs w:val="22"/>
        </w:rPr>
        <w:t xml:space="preserve">, </w:t>
      </w:r>
      <w:r w:rsidR="2CA592CD" w:rsidRPr="008B0B07">
        <w:rPr>
          <w:color w:val="000000" w:themeColor="text1"/>
          <w:sz w:val="22"/>
          <w:szCs w:val="22"/>
        </w:rPr>
        <w:t>34.</w:t>
      </w:r>
      <w:r w:rsidR="005F07F9" w:rsidRPr="008B0B07">
        <w:rPr>
          <w:color w:val="000000" w:themeColor="text1"/>
          <w:sz w:val="22"/>
          <w:szCs w:val="22"/>
        </w:rPr>
        <w:t>5</w:t>
      </w:r>
      <w:r w:rsidR="2CA592CD" w:rsidRPr="008B0B07">
        <w:rPr>
          <w:color w:val="000000" w:themeColor="text1"/>
          <w:sz w:val="22"/>
          <w:szCs w:val="22"/>
        </w:rPr>
        <w:t>%</w:t>
      </w:r>
      <w:r w:rsidR="58CCBAF4" w:rsidRPr="008B0B07">
        <w:rPr>
          <w:color w:val="000000" w:themeColor="text1"/>
          <w:sz w:val="22"/>
          <w:szCs w:val="22"/>
        </w:rPr>
        <w:t xml:space="preserve">, </w:t>
      </w:r>
      <w:r w:rsidR="51630817" w:rsidRPr="008B0B07">
        <w:rPr>
          <w:color w:val="000000" w:themeColor="text1"/>
          <w:sz w:val="22"/>
          <w:szCs w:val="22"/>
        </w:rPr>
        <w:t xml:space="preserve">and </w:t>
      </w:r>
      <w:r w:rsidR="2866E201" w:rsidRPr="008B0B07">
        <w:rPr>
          <w:color w:val="000000" w:themeColor="text1"/>
          <w:sz w:val="22"/>
          <w:szCs w:val="22"/>
        </w:rPr>
        <w:t>3.7%</w:t>
      </w:r>
      <w:r w:rsidR="51630817" w:rsidRPr="008B0B07">
        <w:rPr>
          <w:color w:val="000000" w:themeColor="text1"/>
          <w:sz w:val="22"/>
          <w:szCs w:val="22"/>
        </w:rPr>
        <w:t xml:space="preserve">, respectively. </w:t>
      </w:r>
      <w:r w:rsidR="2CED2B1A" w:rsidRPr="008B0B07">
        <w:rPr>
          <w:color w:val="000000" w:themeColor="text1"/>
          <w:sz w:val="22"/>
          <w:szCs w:val="22"/>
        </w:rPr>
        <w:t>There was</w:t>
      </w:r>
      <w:r w:rsidR="5D4D63C9" w:rsidRPr="008B0B07">
        <w:rPr>
          <w:color w:val="000000" w:themeColor="text1"/>
          <w:sz w:val="22"/>
          <w:szCs w:val="22"/>
        </w:rPr>
        <w:t>, overall,</w:t>
      </w:r>
      <w:r w:rsidR="2CED2B1A" w:rsidRPr="008B0B07">
        <w:rPr>
          <w:color w:val="000000" w:themeColor="text1"/>
          <w:sz w:val="22"/>
          <w:szCs w:val="22"/>
        </w:rPr>
        <w:t xml:space="preserve"> less socio-economic</w:t>
      </w:r>
      <w:r w:rsidR="2CED2B1A" w:rsidRPr="004F076A">
        <w:rPr>
          <w:color w:val="000000" w:themeColor="text1"/>
          <w:sz w:val="22"/>
          <w:szCs w:val="22"/>
        </w:rPr>
        <w:t xml:space="preserve"> </w:t>
      </w:r>
      <w:r w:rsidR="7A03C01C" w:rsidRPr="004F076A">
        <w:rPr>
          <w:color w:val="000000" w:themeColor="text1"/>
          <w:sz w:val="22"/>
          <w:szCs w:val="22"/>
        </w:rPr>
        <w:t>deprivation than UK national averages</w:t>
      </w:r>
      <w:r w:rsidR="4D204E3B" w:rsidRPr="004F076A">
        <w:rPr>
          <w:color w:val="000000" w:themeColor="text1"/>
          <w:sz w:val="22"/>
          <w:szCs w:val="22"/>
        </w:rPr>
        <w:t xml:space="preserve">. </w:t>
      </w:r>
      <w:r w:rsidR="54ECA8CB" w:rsidRPr="004F076A">
        <w:rPr>
          <w:color w:val="000000" w:themeColor="text1"/>
          <w:sz w:val="22"/>
          <w:szCs w:val="22"/>
        </w:rPr>
        <w:t>Th</w:t>
      </w:r>
      <w:r w:rsidR="64B81029" w:rsidRPr="004F076A">
        <w:rPr>
          <w:color w:val="000000" w:themeColor="text1"/>
          <w:sz w:val="22"/>
          <w:szCs w:val="22"/>
        </w:rPr>
        <w:t>e</w:t>
      </w:r>
      <w:r w:rsidR="54ECA8CB" w:rsidRPr="004F076A">
        <w:rPr>
          <w:color w:val="000000" w:themeColor="text1"/>
          <w:sz w:val="22"/>
          <w:szCs w:val="22"/>
        </w:rPr>
        <w:t xml:space="preserve"> </w:t>
      </w:r>
      <w:r w:rsidR="41C25960" w:rsidRPr="004F076A">
        <w:rPr>
          <w:color w:val="000000" w:themeColor="text1"/>
          <w:sz w:val="22"/>
          <w:szCs w:val="22"/>
        </w:rPr>
        <w:t>p</w:t>
      </w:r>
      <w:r w:rsidR="54ECA8CB" w:rsidRPr="004F076A">
        <w:rPr>
          <w:color w:val="000000" w:themeColor="text1"/>
          <w:sz w:val="22"/>
          <w:szCs w:val="22"/>
        </w:rPr>
        <w:t>r</w:t>
      </w:r>
      <w:r w:rsidR="41C25960" w:rsidRPr="004F076A">
        <w:rPr>
          <w:color w:val="000000" w:themeColor="text1"/>
          <w:sz w:val="22"/>
          <w:szCs w:val="22"/>
        </w:rPr>
        <w:t>oportion</w:t>
      </w:r>
      <w:r w:rsidR="54ECA8CB" w:rsidRPr="004F076A">
        <w:rPr>
          <w:color w:val="000000" w:themeColor="text1"/>
          <w:sz w:val="22"/>
          <w:szCs w:val="22"/>
        </w:rPr>
        <w:t xml:space="preserve"> of participants with </w:t>
      </w:r>
      <w:r w:rsidR="5214D0CB" w:rsidRPr="004F076A">
        <w:rPr>
          <w:color w:val="000000" w:themeColor="text1"/>
          <w:sz w:val="22"/>
          <w:szCs w:val="22"/>
        </w:rPr>
        <w:t xml:space="preserve">prevalent </w:t>
      </w:r>
      <w:r w:rsidR="401D2EB7" w:rsidRPr="004F076A">
        <w:rPr>
          <w:color w:val="000000" w:themeColor="text1"/>
          <w:sz w:val="22"/>
          <w:szCs w:val="22"/>
        </w:rPr>
        <w:t>AF</w:t>
      </w:r>
      <w:r w:rsidR="5214D0CB" w:rsidRPr="004F076A">
        <w:rPr>
          <w:color w:val="000000" w:themeColor="text1"/>
          <w:sz w:val="22"/>
          <w:szCs w:val="22"/>
        </w:rPr>
        <w:t>, stroke, IHD, and MI at time of CMR</w:t>
      </w:r>
      <w:r w:rsidR="00E926D2" w:rsidRPr="004F076A">
        <w:rPr>
          <w:color w:val="000000" w:themeColor="text1"/>
          <w:sz w:val="22"/>
          <w:szCs w:val="22"/>
        </w:rPr>
        <w:t xml:space="preserve"> w</w:t>
      </w:r>
      <w:r w:rsidR="00D54ACB" w:rsidRPr="004F076A">
        <w:rPr>
          <w:color w:val="000000" w:themeColor="text1"/>
          <w:sz w:val="22"/>
          <w:szCs w:val="22"/>
        </w:rPr>
        <w:t>as</w:t>
      </w:r>
      <w:r w:rsidR="5214D0CB" w:rsidRPr="004F076A">
        <w:rPr>
          <w:color w:val="000000" w:themeColor="text1"/>
          <w:sz w:val="22"/>
          <w:szCs w:val="22"/>
        </w:rPr>
        <w:t xml:space="preserve"> </w:t>
      </w:r>
      <w:r w:rsidR="2E3C41B6" w:rsidRPr="004F076A">
        <w:rPr>
          <w:color w:val="000000" w:themeColor="text1"/>
          <w:sz w:val="22"/>
          <w:szCs w:val="22"/>
        </w:rPr>
        <w:t>1.5%</w:t>
      </w:r>
      <w:r w:rsidR="5214D0CB" w:rsidRPr="004F076A">
        <w:rPr>
          <w:color w:val="000000" w:themeColor="text1"/>
          <w:sz w:val="22"/>
          <w:szCs w:val="22"/>
        </w:rPr>
        <w:t xml:space="preserve">, </w:t>
      </w:r>
      <w:r w:rsidR="00457560">
        <w:rPr>
          <w:color w:val="000000" w:themeColor="text1"/>
          <w:sz w:val="22"/>
          <w:szCs w:val="22"/>
        </w:rPr>
        <w:t>1</w:t>
      </w:r>
      <w:r w:rsidR="068A3BA8" w:rsidRPr="004F076A">
        <w:rPr>
          <w:color w:val="000000" w:themeColor="text1"/>
          <w:sz w:val="22"/>
          <w:szCs w:val="22"/>
        </w:rPr>
        <w:t>.</w:t>
      </w:r>
      <w:r w:rsidR="00457560">
        <w:rPr>
          <w:color w:val="000000" w:themeColor="text1"/>
          <w:sz w:val="22"/>
          <w:szCs w:val="22"/>
        </w:rPr>
        <w:t>9</w:t>
      </w:r>
      <w:r w:rsidR="068A3BA8" w:rsidRPr="004F076A">
        <w:rPr>
          <w:color w:val="000000" w:themeColor="text1"/>
          <w:sz w:val="22"/>
          <w:szCs w:val="22"/>
        </w:rPr>
        <w:t>%</w:t>
      </w:r>
      <w:r w:rsidR="5214D0CB" w:rsidRPr="004F076A">
        <w:rPr>
          <w:color w:val="000000" w:themeColor="text1"/>
          <w:sz w:val="22"/>
          <w:szCs w:val="22"/>
        </w:rPr>
        <w:t xml:space="preserve">, </w:t>
      </w:r>
      <w:r w:rsidR="4BE416EE" w:rsidRPr="004F076A">
        <w:rPr>
          <w:color w:val="000000" w:themeColor="text1"/>
          <w:sz w:val="22"/>
          <w:szCs w:val="22"/>
        </w:rPr>
        <w:t>6.0%</w:t>
      </w:r>
      <w:r w:rsidR="5214D0CB" w:rsidRPr="004F076A">
        <w:rPr>
          <w:color w:val="000000" w:themeColor="text1"/>
          <w:sz w:val="22"/>
          <w:szCs w:val="22"/>
        </w:rPr>
        <w:t xml:space="preserve">, and </w:t>
      </w:r>
      <w:r w:rsidR="048F2B3B" w:rsidRPr="004F076A">
        <w:rPr>
          <w:color w:val="000000" w:themeColor="text1"/>
          <w:sz w:val="22"/>
          <w:szCs w:val="22"/>
        </w:rPr>
        <w:t>2.</w:t>
      </w:r>
      <w:r w:rsidR="00457560">
        <w:rPr>
          <w:color w:val="000000" w:themeColor="text1"/>
          <w:sz w:val="22"/>
          <w:szCs w:val="22"/>
        </w:rPr>
        <w:t>4</w:t>
      </w:r>
      <w:r w:rsidR="048F2B3B" w:rsidRPr="004F076A">
        <w:rPr>
          <w:color w:val="000000" w:themeColor="text1"/>
          <w:sz w:val="22"/>
          <w:szCs w:val="22"/>
        </w:rPr>
        <w:t>%</w:t>
      </w:r>
      <w:r w:rsidR="5214D0CB" w:rsidRPr="004F076A">
        <w:rPr>
          <w:color w:val="000000" w:themeColor="text1"/>
          <w:sz w:val="22"/>
          <w:szCs w:val="22"/>
        </w:rPr>
        <w:t>, respectively</w:t>
      </w:r>
      <w:r w:rsidR="68E52711" w:rsidRPr="004F076A">
        <w:rPr>
          <w:color w:val="000000" w:themeColor="text1"/>
          <w:sz w:val="22"/>
          <w:szCs w:val="22"/>
        </w:rPr>
        <w:t xml:space="preserve"> (</w:t>
      </w:r>
      <w:r w:rsidR="68E52711" w:rsidRPr="004F076A">
        <w:rPr>
          <w:b/>
          <w:bCs/>
          <w:color w:val="000000" w:themeColor="text1"/>
          <w:sz w:val="22"/>
          <w:szCs w:val="22"/>
        </w:rPr>
        <w:t>Table 1</w:t>
      </w:r>
      <w:r w:rsidR="68E52711" w:rsidRPr="004F076A">
        <w:rPr>
          <w:color w:val="000000" w:themeColor="text1"/>
          <w:sz w:val="22"/>
          <w:szCs w:val="22"/>
        </w:rPr>
        <w:t>)</w:t>
      </w:r>
      <w:r w:rsidR="5214D0CB" w:rsidRPr="004F076A">
        <w:rPr>
          <w:color w:val="000000" w:themeColor="text1"/>
          <w:sz w:val="22"/>
          <w:szCs w:val="22"/>
        </w:rPr>
        <w:t>.</w:t>
      </w:r>
      <w:r w:rsidR="00180CF5">
        <w:rPr>
          <w:color w:val="000000" w:themeColor="text1"/>
          <w:sz w:val="22"/>
          <w:szCs w:val="22"/>
        </w:rPr>
        <w:t xml:space="preserve"> </w:t>
      </w:r>
    </w:p>
    <w:p w14:paraId="77EDB9D3" w14:textId="77777777" w:rsidR="007D6679" w:rsidRDefault="007D6679" w:rsidP="00511AE5">
      <w:pPr>
        <w:spacing w:line="480" w:lineRule="auto"/>
        <w:rPr>
          <w:color w:val="000000" w:themeColor="text1"/>
          <w:sz w:val="22"/>
          <w:szCs w:val="22"/>
        </w:rPr>
      </w:pPr>
    </w:p>
    <w:p w14:paraId="0C6BEAA0" w14:textId="704A5724" w:rsidR="00154CD5" w:rsidRPr="008B0B07" w:rsidRDefault="00D82FCE" w:rsidP="00511AE5">
      <w:pPr>
        <w:spacing w:line="480" w:lineRule="auto"/>
        <w:rPr>
          <w:color w:val="000000" w:themeColor="text1"/>
          <w:sz w:val="22"/>
          <w:szCs w:val="22"/>
          <w:shd w:val="clear" w:color="auto" w:fill="FFFFFF"/>
        </w:rPr>
      </w:pPr>
      <w:r w:rsidRPr="004F076A">
        <w:rPr>
          <w:color w:val="000000" w:themeColor="text1"/>
          <w:sz w:val="22"/>
          <w:szCs w:val="22"/>
          <w:shd w:val="clear" w:color="auto" w:fill="FFFFFF"/>
        </w:rPr>
        <w:t xml:space="preserve">LA size and function were </w:t>
      </w:r>
      <w:r w:rsidRPr="008B0B07">
        <w:rPr>
          <w:color w:val="000000" w:themeColor="text1"/>
          <w:sz w:val="22"/>
          <w:szCs w:val="22"/>
          <w:shd w:val="clear" w:color="auto" w:fill="FFFFFF"/>
        </w:rPr>
        <w:t>comparable in men and women after adjustment for body size (</w:t>
      </w:r>
      <w:r w:rsidRPr="008B0B07">
        <w:rPr>
          <w:b/>
          <w:bCs/>
          <w:color w:val="000000" w:themeColor="text1"/>
          <w:sz w:val="22"/>
          <w:szCs w:val="22"/>
        </w:rPr>
        <w:t>Table 1</w:t>
      </w:r>
      <w:r w:rsidRPr="008B0B07">
        <w:rPr>
          <w:color w:val="000000" w:themeColor="text1"/>
          <w:sz w:val="22"/>
          <w:szCs w:val="22"/>
          <w:shd w:val="clear" w:color="auto" w:fill="FFFFFF"/>
        </w:rPr>
        <w:t>). Compared to women, men</w:t>
      </w:r>
      <w:r w:rsidR="00D54ACB" w:rsidRPr="008B0B07">
        <w:rPr>
          <w:color w:val="000000" w:themeColor="text1"/>
          <w:sz w:val="22"/>
          <w:szCs w:val="22"/>
          <w:shd w:val="clear" w:color="auto" w:fill="FFFFFF"/>
        </w:rPr>
        <w:t xml:space="preserve"> </w:t>
      </w:r>
      <w:r w:rsidRPr="008B0B07">
        <w:rPr>
          <w:color w:val="000000" w:themeColor="text1"/>
          <w:sz w:val="22"/>
          <w:szCs w:val="22"/>
          <w:shd w:val="clear" w:color="auto" w:fill="FFFFFF"/>
        </w:rPr>
        <w:t>had,</w:t>
      </w:r>
      <w:r w:rsidR="00D54ACB" w:rsidRPr="008B0B07">
        <w:rPr>
          <w:color w:val="000000" w:themeColor="text1"/>
          <w:sz w:val="22"/>
          <w:szCs w:val="22"/>
          <w:shd w:val="clear" w:color="auto" w:fill="FFFFFF"/>
        </w:rPr>
        <w:t xml:space="preserve"> </w:t>
      </w:r>
      <w:r w:rsidRPr="008B0B07">
        <w:rPr>
          <w:color w:val="000000" w:themeColor="text1"/>
          <w:sz w:val="22"/>
          <w:szCs w:val="22"/>
          <w:shd w:val="clear" w:color="auto" w:fill="FFFFFF"/>
        </w:rPr>
        <w:t>on average,</w:t>
      </w:r>
      <w:r w:rsidR="00D54ACB" w:rsidRPr="008B0B07">
        <w:rPr>
          <w:color w:val="000000" w:themeColor="text1"/>
          <w:sz w:val="22"/>
          <w:szCs w:val="22"/>
          <w:shd w:val="clear" w:color="auto" w:fill="FFFFFF"/>
        </w:rPr>
        <w:t xml:space="preserve"> </w:t>
      </w:r>
      <w:r w:rsidRPr="008B0B07">
        <w:rPr>
          <w:color w:val="000000" w:themeColor="text1"/>
          <w:sz w:val="22"/>
          <w:szCs w:val="22"/>
          <w:shd w:val="clear" w:color="auto" w:fill="FFFFFF"/>
        </w:rPr>
        <w:t>more concentric LV</w:t>
      </w:r>
      <w:r w:rsidR="00D54ACB" w:rsidRPr="008B0B07">
        <w:rPr>
          <w:color w:val="000000" w:themeColor="text1"/>
          <w:sz w:val="22"/>
          <w:szCs w:val="22"/>
          <w:shd w:val="clear" w:color="auto" w:fill="FFFFFF"/>
        </w:rPr>
        <w:t xml:space="preserve"> </w:t>
      </w:r>
      <w:r w:rsidRPr="008B0B07">
        <w:rPr>
          <w:color w:val="000000" w:themeColor="text1"/>
          <w:sz w:val="22"/>
          <w:szCs w:val="22"/>
          <w:shd w:val="clear" w:color="auto" w:fill="FFFFFF"/>
        </w:rPr>
        <w:t>remodelling</w:t>
      </w:r>
      <w:r w:rsidR="00D54ACB" w:rsidRPr="008B0B07">
        <w:rPr>
          <w:color w:val="000000" w:themeColor="text1"/>
          <w:sz w:val="22"/>
          <w:szCs w:val="22"/>
          <w:shd w:val="clear" w:color="auto" w:fill="FFFFFF"/>
        </w:rPr>
        <w:t xml:space="preserve"> </w:t>
      </w:r>
      <w:r w:rsidRPr="008B0B07">
        <w:rPr>
          <w:color w:val="000000" w:themeColor="text1"/>
          <w:sz w:val="22"/>
          <w:szCs w:val="22"/>
          <w:shd w:val="clear" w:color="auto" w:fill="FFFFFF"/>
        </w:rPr>
        <w:t>patterns</w:t>
      </w:r>
      <w:r w:rsidR="00D54ACB" w:rsidRPr="008B0B07">
        <w:rPr>
          <w:color w:val="000000" w:themeColor="text1"/>
          <w:sz w:val="22"/>
          <w:szCs w:val="22"/>
          <w:shd w:val="clear" w:color="auto" w:fill="FFFFFF"/>
        </w:rPr>
        <w:t xml:space="preserve"> </w:t>
      </w:r>
      <w:r w:rsidRPr="008B0B07">
        <w:rPr>
          <w:color w:val="000000" w:themeColor="text1"/>
          <w:sz w:val="22"/>
          <w:szCs w:val="22"/>
          <w:shd w:val="clear" w:color="auto" w:fill="FFFFFF"/>
        </w:rPr>
        <w:t>(higher LVM</w:t>
      </w:r>
      <w:r w:rsidR="003866C5" w:rsidRPr="008B0B07">
        <w:rPr>
          <w:color w:val="000000" w:themeColor="text1"/>
          <w:sz w:val="22"/>
          <w:szCs w:val="22"/>
          <w:shd w:val="clear" w:color="auto" w:fill="FFFFFF"/>
        </w:rPr>
        <w:t xml:space="preserve">: </w:t>
      </w:r>
      <w:r w:rsidRPr="008B0B07">
        <w:rPr>
          <w:color w:val="000000" w:themeColor="text1"/>
          <w:sz w:val="22"/>
          <w:szCs w:val="22"/>
          <w:shd w:val="clear" w:color="auto" w:fill="FFFFFF"/>
        </w:rPr>
        <w:t>LVEDV) and poorer LV function by GLS</w:t>
      </w:r>
      <w:r w:rsidR="00154CD5" w:rsidRPr="008B0B07">
        <w:rPr>
          <w:color w:val="000000" w:themeColor="text1"/>
          <w:sz w:val="22"/>
          <w:szCs w:val="22"/>
          <w:shd w:val="clear" w:color="auto" w:fill="FFFFFF"/>
        </w:rPr>
        <w:t>,</w:t>
      </w:r>
      <w:r w:rsidRPr="008B0B07">
        <w:rPr>
          <w:color w:val="000000" w:themeColor="text1"/>
          <w:sz w:val="22"/>
          <w:szCs w:val="22"/>
          <w:shd w:val="clear" w:color="auto" w:fill="FFFFFF"/>
        </w:rPr>
        <w:t xml:space="preserve"> L</w:t>
      </w:r>
      <w:r w:rsidR="00F1781F" w:rsidRPr="008B0B07">
        <w:rPr>
          <w:color w:val="000000" w:themeColor="text1"/>
          <w:sz w:val="22"/>
          <w:szCs w:val="22"/>
          <w:shd w:val="clear" w:color="auto" w:fill="FFFFFF"/>
        </w:rPr>
        <w:t>VGFI</w:t>
      </w:r>
      <w:r w:rsidR="00154CD5" w:rsidRPr="008B0B07">
        <w:rPr>
          <w:color w:val="000000" w:themeColor="text1"/>
          <w:sz w:val="22"/>
          <w:szCs w:val="22"/>
          <w:shd w:val="clear" w:color="auto" w:fill="FFFFFF"/>
        </w:rPr>
        <w:t>, and LVEF</w:t>
      </w:r>
      <w:r w:rsidRPr="008B0B07">
        <w:rPr>
          <w:color w:val="000000" w:themeColor="text1"/>
          <w:sz w:val="22"/>
          <w:szCs w:val="22"/>
          <w:shd w:val="clear" w:color="auto" w:fill="FFFFFF"/>
        </w:rPr>
        <w:t> (</w:t>
      </w:r>
      <w:r w:rsidRPr="008B0B07">
        <w:rPr>
          <w:b/>
          <w:bCs/>
          <w:color w:val="000000" w:themeColor="text1"/>
          <w:sz w:val="22"/>
          <w:szCs w:val="22"/>
        </w:rPr>
        <w:t>Table 1</w:t>
      </w:r>
      <w:r w:rsidRPr="008B0B07">
        <w:rPr>
          <w:color w:val="000000" w:themeColor="text1"/>
          <w:sz w:val="22"/>
          <w:szCs w:val="22"/>
          <w:shd w:val="clear" w:color="auto" w:fill="FFFFFF"/>
        </w:rPr>
        <w:t>).</w:t>
      </w:r>
      <w:r w:rsidR="005F035D" w:rsidRPr="008B0B07">
        <w:rPr>
          <w:color w:val="000000" w:themeColor="text1"/>
          <w:sz w:val="22"/>
          <w:szCs w:val="22"/>
          <w:shd w:val="clear" w:color="auto" w:fill="FFFFFF"/>
        </w:rPr>
        <w:t xml:space="preserve"> </w:t>
      </w:r>
      <w:r w:rsidR="00154CD5" w:rsidRPr="008B0B07">
        <w:rPr>
          <w:color w:val="000000" w:themeColor="text1"/>
          <w:sz w:val="22"/>
          <w:szCs w:val="22"/>
          <w:shd w:val="clear" w:color="auto" w:fill="FFFFFF"/>
        </w:rPr>
        <w:t>We additionally examined CMR metrics in subsets of participants 1)without VRFs or CVD</w:t>
      </w:r>
      <w:r w:rsidR="00F61472" w:rsidRPr="008B0B07">
        <w:rPr>
          <w:color w:val="000000" w:themeColor="text1"/>
          <w:sz w:val="22"/>
          <w:szCs w:val="22"/>
          <w:shd w:val="clear" w:color="auto" w:fill="FFFFFF"/>
        </w:rPr>
        <w:t xml:space="preserve"> (healthy)</w:t>
      </w:r>
      <w:r w:rsidR="00154CD5" w:rsidRPr="008B0B07">
        <w:rPr>
          <w:color w:val="000000" w:themeColor="text1"/>
          <w:sz w:val="22"/>
          <w:szCs w:val="22"/>
          <w:shd w:val="clear" w:color="auto" w:fill="FFFFFF"/>
        </w:rPr>
        <w:t>, 2)with VRFs, but without CVD, and 3)with CVD</w:t>
      </w:r>
      <w:r w:rsidR="00CE1BCD" w:rsidRPr="008B0B07">
        <w:rPr>
          <w:color w:val="000000" w:themeColor="text1"/>
          <w:sz w:val="22"/>
          <w:szCs w:val="22"/>
          <w:shd w:val="clear" w:color="auto" w:fill="FFFFFF"/>
        </w:rPr>
        <w:t xml:space="preserve"> (</w:t>
      </w:r>
      <w:r w:rsidR="00CE1BCD" w:rsidRPr="008B0B07">
        <w:rPr>
          <w:b/>
          <w:bCs/>
          <w:color w:val="000000" w:themeColor="text1"/>
          <w:sz w:val="22"/>
          <w:szCs w:val="22"/>
          <w:shd w:val="clear" w:color="auto" w:fill="FFFFFF"/>
        </w:rPr>
        <w:t>Figure 1</w:t>
      </w:r>
      <w:r w:rsidR="00B90C68" w:rsidRPr="008B0B07">
        <w:rPr>
          <w:b/>
          <w:bCs/>
          <w:color w:val="000000" w:themeColor="text1"/>
          <w:sz w:val="22"/>
          <w:szCs w:val="22"/>
          <w:shd w:val="clear" w:color="auto" w:fill="FFFFFF"/>
        </w:rPr>
        <w:t>, Supplementary Table 4</w:t>
      </w:r>
      <w:r w:rsidR="00CE1BCD" w:rsidRPr="008B0B07">
        <w:rPr>
          <w:color w:val="000000" w:themeColor="text1"/>
          <w:sz w:val="22"/>
          <w:szCs w:val="22"/>
          <w:shd w:val="clear" w:color="auto" w:fill="FFFFFF"/>
        </w:rPr>
        <w:t>)</w:t>
      </w:r>
      <w:r w:rsidR="00154CD5" w:rsidRPr="008B0B07">
        <w:rPr>
          <w:color w:val="000000" w:themeColor="text1"/>
          <w:sz w:val="22"/>
          <w:szCs w:val="22"/>
          <w:shd w:val="clear" w:color="auto" w:fill="FFFFFF"/>
        </w:rPr>
        <w:t>. There was a stepwise decline in LV</w:t>
      </w:r>
      <w:r w:rsidR="00B90C68" w:rsidRPr="008B0B07">
        <w:rPr>
          <w:color w:val="000000" w:themeColor="text1"/>
          <w:sz w:val="22"/>
          <w:szCs w:val="22"/>
          <w:shd w:val="clear" w:color="auto" w:fill="FFFFFF"/>
        </w:rPr>
        <w:t xml:space="preserve"> </w:t>
      </w:r>
      <w:r w:rsidR="000960C8" w:rsidRPr="008B0B07">
        <w:rPr>
          <w:color w:val="000000" w:themeColor="text1"/>
          <w:sz w:val="22"/>
          <w:szCs w:val="22"/>
          <w:shd w:val="clear" w:color="auto" w:fill="FFFFFF"/>
        </w:rPr>
        <w:t>(</w:t>
      </w:r>
      <w:r w:rsidR="00B90C68" w:rsidRPr="008B0B07">
        <w:rPr>
          <w:color w:val="000000" w:themeColor="text1"/>
          <w:sz w:val="22"/>
          <w:szCs w:val="22"/>
          <w:shd w:val="clear" w:color="auto" w:fill="FFFFFF"/>
        </w:rPr>
        <w:t>by LVGFI and GLS</w:t>
      </w:r>
      <w:r w:rsidR="000960C8" w:rsidRPr="008B0B07">
        <w:rPr>
          <w:color w:val="000000" w:themeColor="text1"/>
          <w:sz w:val="22"/>
          <w:szCs w:val="22"/>
          <w:shd w:val="clear" w:color="auto" w:fill="FFFFFF"/>
        </w:rPr>
        <w:t>)</w:t>
      </w:r>
      <w:r w:rsidR="00154CD5" w:rsidRPr="008B0B07">
        <w:rPr>
          <w:color w:val="000000" w:themeColor="text1"/>
          <w:sz w:val="22"/>
          <w:szCs w:val="22"/>
          <w:shd w:val="clear" w:color="auto" w:fill="FFFFFF"/>
        </w:rPr>
        <w:t xml:space="preserve"> </w:t>
      </w:r>
      <w:r w:rsidR="00B90C68" w:rsidRPr="008B0B07">
        <w:rPr>
          <w:color w:val="000000" w:themeColor="text1"/>
          <w:sz w:val="22"/>
          <w:szCs w:val="22"/>
          <w:shd w:val="clear" w:color="auto" w:fill="FFFFFF"/>
        </w:rPr>
        <w:t>and</w:t>
      </w:r>
      <w:r w:rsidR="000960C8" w:rsidRPr="008B0B07">
        <w:rPr>
          <w:color w:val="000000" w:themeColor="text1"/>
          <w:sz w:val="22"/>
          <w:szCs w:val="22"/>
          <w:shd w:val="clear" w:color="auto" w:fill="FFFFFF"/>
        </w:rPr>
        <w:t xml:space="preserve"> </w:t>
      </w:r>
      <w:r w:rsidR="00B90C68" w:rsidRPr="008B0B07">
        <w:rPr>
          <w:color w:val="000000" w:themeColor="text1"/>
          <w:sz w:val="22"/>
          <w:szCs w:val="22"/>
          <w:shd w:val="clear" w:color="auto" w:fill="FFFFFF"/>
        </w:rPr>
        <w:t xml:space="preserve">LA </w:t>
      </w:r>
      <w:r w:rsidR="00154CD5" w:rsidRPr="008B0B07">
        <w:rPr>
          <w:color w:val="000000" w:themeColor="text1"/>
          <w:sz w:val="22"/>
          <w:szCs w:val="22"/>
          <w:shd w:val="clear" w:color="auto" w:fill="FFFFFF"/>
        </w:rPr>
        <w:t>function</w:t>
      </w:r>
      <w:r w:rsidR="000960C8" w:rsidRPr="008B0B07">
        <w:rPr>
          <w:color w:val="000000" w:themeColor="text1"/>
          <w:sz w:val="22"/>
          <w:szCs w:val="22"/>
          <w:shd w:val="clear" w:color="auto" w:fill="FFFFFF"/>
        </w:rPr>
        <w:t xml:space="preserve"> (</w:t>
      </w:r>
      <w:r w:rsidR="00B90C68" w:rsidRPr="008B0B07">
        <w:rPr>
          <w:color w:val="000000" w:themeColor="text1"/>
          <w:sz w:val="22"/>
          <w:szCs w:val="22"/>
          <w:shd w:val="clear" w:color="auto" w:fill="FFFFFF"/>
        </w:rPr>
        <w:t>by</w:t>
      </w:r>
      <w:r w:rsidR="00154CD5" w:rsidRPr="008B0B07">
        <w:rPr>
          <w:color w:val="000000" w:themeColor="text1"/>
          <w:sz w:val="22"/>
          <w:szCs w:val="22"/>
          <w:shd w:val="clear" w:color="auto" w:fill="FFFFFF"/>
        </w:rPr>
        <w:t xml:space="preserve"> LAEF</w:t>
      </w:r>
      <w:r w:rsidR="000960C8" w:rsidRPr="008B0B07">
        <w:rPr>
          <w:color w:val="000000" w:themeColor="text1"/>
          <w:sz w:val="22"/>
          <w:szCs w:val="22"/>
          <w:shd w:val="clear" w:color="auto" w:fill="FFFFFF"/>
        </w:rPr>
        <w:t>)</w:t>
      </w:r>
      <w:r w:rsidR="00154CD5" w:rsidRPr="008B0B07">
        <w:rPr>
          <w:color w:val="000000" w:themeColor="text1"/>
          <w:sz w:val="22"/>
          <w:szCs w:val="22"/>
          <w:shd w:val="clear" w:color="auto" w:fill="FFFFFF"/>
        </w:rPr>
        <w:t xml:space="preserve"> from </w:t>
      </w:r>
      <w:r w:rsidR="00B90C68" w:rsidRPr="008B0B07">
        <w:rPr>
          <w:color w:val="000000" w:themeColor="text1"/>
          <w:sz w:val="22"/>
          <w:szCs w:val="22"/>
          <w:shd w:val="clear" w:color="auto" w:fill="FFFFFF"/>
        </w:rPr>
        <w:t xml:space="preserve">the </w:t>
      </w:r>
      <w:r w:rsidR="00154CD5" w:rsidRPr="008B0B07">
        <w:rPr>
          <w:color w:val="000000" w:themeColor="text1"/>
          <w:sz w:val="22"/>
          <w:szCs w:val="22"/>
          <w:shd w:val="clear" w:color="auto" w:fill="FFFFFF"/>
        </w:rPr>
        <w:t xml:space="preserve">healthy </w:t>
      </w:r>
      <w:r w:rsidR="00B90C68" w:rsidRPr="008B0B07">
        <w:rPr>
          <w:color w:val="000000" w:themeColor="text1"/>
          <w:sz w:val="22"/>
          <w:szCs w:val="22"/>
          <w:shd w:val="clear" w:color="auto" w:fill="FFFFFF"/>
        </w:rPr>
        <w:t>subset</w:t>
      </w:r>
      <w:r w:rsidR="00154CD5" w:rsidRPr="008B0B07">
        <w:rPr>
          <w:color w:val="000000" w:themeColor="text1"/>
          <w:sz w:val="22"/>
          <w:szCs w:val="22"/>
          <w:shd w:val="clear" w:color="auto" w:fill="FFFFFF"/>
        </w:rPr>
        <w:t xml:space="preserve"> to those with VRFs</w:t>
      </w:r>
      <w:r w:rsidR="00B90C68" w:rsidRPr="008B0B07">
        <w:rPr>
          <w:color w:val="000000" w:themeColor="text1"/>
          <w:sz w:val="22"/>
          <w:szCs w:val="22"/>
          <w:shd w:val="clear" w:color="auto" w:fill="FFFFFF"/>
        </w:rPr>
        <w:t xml:space="preserve"> and </w:t>
      </w:r>
      <w:r w:rsidR="00154CD5" w:rsidRPr="008B0B07">
        <w:rPr>
          <w:color w:val="000000" w:themeColor="text1"/>
          <w:sz w:val="22"/>
          <w:szCs w:val="22"/>
          <w:shd w:val="clear" w:color="auto" w:fill="FFFFFF"/>
        </w:rPr>
        <w:t>to those with CVD</w:t>
      </w:r>
      <w:r w:rsidR="00CE1BCD" w:rsidRPr="008B0B07">
        <w:rPr>
          <w:color w:val="000000" w:themeColor="text1"/>
          <w:sz w:val="22"/>
          <w:szCs w:val="22"/>
          <w:shd w:val="clear" w:color="auto" w:fill="FFFFFF"/>
        </w:rPr>
        <w:t xml:space="preserve"> (</w:t>
      </w:r>
      <w:r w:rsidR="00CE1BCD" w:rsidRPr="008B0B07">
        <w:rPr>
          <w:b/>
          <w:bCs/>
          <w:color w:val="000000" w:themeColor="text1"/>
          <w:sz w:val="22"/>
          <w:szCs w:val="22"/>
          <w:shd w:val="clear" w:color="auto" w:fill="FFFFFF"/>
        </w:rPr>
        <w:t>Figure 1</w:t>
      </w:r>
      <w:r w:rsidR="00CE1BCD" w:rsidRPr="008B0B07">
        <w:rPr>
          <w:color w:val="000000" w:themeColor="text1"/>
          <w:sz w:val="22"/>
          <w:szCs w:val="22"/>
          <w:shd w:val="clear" w:color="auto" w:fill="FFFFFF"/>
        </w:rPr>
        <w:t>)</w:t>
      </w:r>
      <w:r w:rsidR="00154CD5" w:rsidRPr="008B0B07">
        <w:rPr>
          <w:color w:val="000000" w:themeColor="text1"/>
          <w:sz w:val="22"/>
          <w:szCs w:val="22"/>
          <w:shd w:val="clear" w:color="auto" w:fill="FFFFFF"/>
        </w:rPr>
        <w:t xml:space="preserve">. </w:t>
      </w:r>
      <w:r w:rsidR="000960C8" w:rsidRPr="008B0B07">
        <w:rPr>
          <w:color w:val="000000" w:themeColor="text1"/>
          <w:sz w:val="22"/>
          <w:szCs w:val="22"/>
          <w:shd w:val="clear" w:color="auto" w:fill="FFFFFF"/>
        </w:rPr>
        <w:t xml:space="preserve">Average </w:t>
      </w:r>
      <w:r w:rsidR="00154CD5" w:rsidRPr="008B0B07">
        <w:rPr>
          <w:color w:val="000000" w:themeColor="text1"/>
          <w:sz w:val="22"/>
          <w:szCs w:val="22"/>
          <w:shd w:val="clear" w:color="auto" w:fill="FFFFFF"/>
        </w:rPr>
        <w:t xml:space="preserve">LVEF was higher in the participants with VRFs compared to the healthy subset, and lower than both subsets in those with CVD. Individuals with VRFs had smaller LAVi than healthy participants; those with CVD had the </w:t>
      </w:r>
      <w:r w:rsidR="000960C8" w:rsidRPr="008B0B07">
        <w:rPr>
          <w:color w:val="000000" w:themeColor="text1"/>
          <w:sz w:val="22"/>
          <w:szCs w:val="22"/>
          <w:shd w:val="clear" w:color="auto" w:fill="FFFFFF"/>
        </w:rPr>
        <w:t>largest</w:t>
      </w:r>
      <w:r w:rsidR="00154CD5" w:rsidRPr="008B0B07">
        <w:rPr>
          <w:color w:val="000000" w:themeColor="text1"/>
          <w:sz w:val="22"/>
          <w:szCs w:val="22"/>
          <w:shd w:val="clear" w:color="auto" w:fill="FFFFFF"/>
        </w:rPr>
        <w:t xml:space="preserve"> LAVi. The VRF </w:t>
      </w:r>
      <w:r w:rsidR="006669A1" w:rsidRPr="008B0B07">
        <w:rPr>
          <w:color w:val="000000" w:themeColor="text1"/>
          <w:sz w:val="22"/>
          <w:szCs w:val="22"/>
          <w:shd w:val="clear" w:color="auto" w:fill="FFFFFF"/>
        </w:rPr>
        <w:t xml:space="preserve">and CVDs </w:t>
      </w:r>
      <w:r w:rsidR="000960C8" w:rsidRPr="008B0B07">
        <w:rPr>
          <w:color w:val="000000" w:themeColor="text1"/>
          <w:sz w:val="22"/>
          <w:szCs w:val="22"/>
          <w:shd w:val="clear" w:color="auto" w:fill="FFFFFF"/>
        </w:rPr>
        <w:t xml:space="preserve">subset had </w:t>
      </w:r>
      <w:r w:rsidR="006669A1" w:rsidRPr="008B0B07">
        <w:rPr>
          <w:color w:val="000000" w:themeColor="text1"/>
          <w:sz w:val="22"/>
          <w:szCs w:val="22"/>
          <w:shd w:val="clear" w:color="auto" w:fill="FFFFFF"/>
        </w:rPr>
        <w:t>higher</w:t>
      </w:r>
      <w:r w:rsidR="000960C8" w:rsidRPr="008B0B07">
        <w:rPr>
          <w:color w:val="000000" w:themeColor="text1"/>
          <w:sz w:val="22"/>
          <w:szCs w:val="22"/>
          <w:shd w:val="clear" w:color="auto" w:fill="FFFFFF"/>
        </w:rPr>
        <w:t xml:space="preserve"> LVM: LVEDV</w:t>
      </w:r>
      <w:r w:rsidR="006669A1" w:rsidRPr="008B0B07">
        <w:rPr>
          <w:color w:val="000000" w:themeColor="text1"/>
          <w:sz w:val="22"/>
          <w:szCs w:val="22"/>
          <w:shd w:val="clear" w:color="auto" w:fill="FFFFFF"/>
        </w:rPr>
        <w:t xml:space="preserve"> than </w:t>
      </w:r>
      <w:r w:rsidR="000960C8" w:rsidRPr="008B0B07">
        <w:rPr>
          <w:color w:val="000000" w:themeColor="text1"/>
          <w:sz w:val="22"/>
          <w:szCs w:val="22"/>
          <w:shd w:val="clear" w:color="auto" w:fill="FFFFFF"/>
        </w:rPr>
        <w:t xml:space="preserve">the healthy cohort </w:t>
      </w:r>
      <w:r w:rsidR="00CE1BCD" w:rsidRPr="008B0B07">
        <w:rPr>
          <w:color w:val="000000" w:themeColor="text1"/>
          <w:sz w:val="22"/>
          <w:szCs w:val="22"/>
          <w:shd w:val="clear" w:color="auto" w:fill="FFFFFF"/>
        </w:rPr>
        <w:t>(</w:t>
      </w:r>
      <w:r w:rsidR="00CE1BCD" w:rsidRPr="008B0B07">
        <w:rPr>
          <w:b/>
          <w:bCs/>
          <w:color w:val="000000" w:themeColor="text1"/>
          <w:sz w:val="22"/>
          <w:szCs w:val="22"/>
          <w:shd w:val="clear" w:color="auto" w:fill="FFFFFF"/>
        </w:rPr>
        <w:t>Figure 1</w:t>
      </w:r>
      <w:r w:rsidR="006669A1" w:rsidRPr="008B0B07">
        <w:rPr>
          <w:b/>
          <w:bCs/>
          <w:color w:val="000000" w:themeColor="text1"/>
          <w:sz w:val="22"/>
          <w:szCs w:val="22"/>
          <w:shd w:val="clear" w:color="auto" w:fill="FFFFFF"/>
        </w:rPr>
        <w:t>, Supplementary Table 4</w:t>
      </w:r>
      <w:r w:rsidR="00CE1BCD" w:rsidRPr="008B0B07">
        <w:rPr>
          <w:color w:val="000000" w:themeColor="text1"/>
          <w:sz w:val="22"/>
          <w:szCs w:val="22"/>
          <w:shd w:val="clear" w:color="auto" w:fill="FFFFFF"/>
        </w:rPr>
        <w:t>).</w:t>
      </w:r>
    </w:p>
    <w:p w14:paraId="2696C6E2" w14:textId="2CACCBF0" w:rsidR="004807CF" w:rsidRPr="008B0B07" w:rsidRDefault="004807CF" w:rsidP="00511AE5">
      <w:pPr>
        <w:spacing w:line="480" w:lineRule="auto"/>
        <w:rPr>
          <w:color w:val="000000" w:themeColor="text1"/>
          <w:sz w:val="22"/>
          <w:szCs w:val="22"/>
        </w:rPr>
      </w:pPr>
    </w:p>
    <w:p w14:paraId="2659F1A7" w14:textId="21F3152E" w:rsidR="00F1781F" w:rsidRPr="00CE1BCD" w:rsidRDefault="003866C5" w:rsidP="00511AE5">
      <w:pPr>
        <w:spacing w:line="480" w:lineRule="auto"/>
        <w:rPr>
          <w:color w:val="000000" w:themeColor="text1"/>
          <w:sz w:val="22"/>
          <w:szCs w:val="22"/>
        </w:rPr>
      </w:pPr>
      <w:r w:rsidRPr="008B0B07">
        <w:rPr>
          <w:color w:val="000000" w:themeColor="text1"/>
          <w:sz w:val="22"/>
          <w:szCs w:val="22"/>
        </w:rPr>
        <w:t xml:space="preserve">Over </w:t>
      </w:r>
      <w:r w:rsidR="00D82FCE" w:rsidRPr="008B0B07">
        <w:rPr>
          <w:color w:val="000000" w:themeColor="text1"/>
          <w:sz w:val="22"/>
          <w:szCs w:val="22"/>
        </w:rPr>
        <w:t xml:space="preserve">the average follow-up time </w:t>
      </w:r>
      <w:r w:rsidRPr="008B0B07">
        <w:rPr>
          <w:color w:val="000000" w:themeColor="text1"/>
          <w:sz w:val="22"/>
          <w:szCs w:val="22"/>
        </w:rPr>
        <w:t>of</w:t>
      </w:r>
      <w:r w:rsidR="004807CF" w:rsidRPr="008B0B07">
        <w:rPr>
          <w:color w:val="000000" w:themeColor="text1"/>
          <w:sz w:val="22"/>
          <w:szCs w:val="22"/>
        </w:rPr>
        <w:t xml:space="preserve"> </w:t>
      </w:r>
      <w:r w:rsidR="00D82FCE" w:rsidRPr="008B0B07">
        <w:rPr>
          <w:color w:val="000000" w:themeColor="text1"/>
          <w:sz w:val="22"/>
          <w:szCs w:val="22"/>
        </w:rPr>
        <w:t>4.</w:t>
      </w:r>
      <w:r w:rsidR="005F07F9" w:rsidRPr="008B0B07">
        <w:rPr>
          <w:color w:val="000000" w:themeColor="text1"/>
          <w:sz w:val="22"/>
          <w:szCs w:val="22"/>
        </w:rPr>
        <w:t xml:space="preserve">2 </w:t>
      </w:r>
      <w:r w:rsidRPr="008B0B07">
        <w:rPr>
          <w:color w:val="000000" w:themeColor="text1"/>
          <w:sz w:val="22"/>
          <w:szCs w:val="22"/>
        </w:rPr>
        <w:t>±1.2 years, w</w:t>
      </w:r>
      <w:r w:rsidR="41ABF1E1" w:rsidRPr="008B0B07">
        <w:rPr>
          <w:color w:val="000000" w:themeColor="text1"/>
          <w:sz w:val="22"/>
          <w:szCs w:val="22"/>
        </w:rPr>
        <w:t xml:space="preserve">e observed </w:t>
      </w:r>
      <w:r w:rsidR="3622E257" w:rsidRPr="008B0B07">
        <w:rPr>
          <w:color w:val="000000" w:themeColor="text1"/>
          <w:sz w:val="22"/>
          <w:szCs w:val="22"/>
        </w:rPr>
        <w:t>1</w:t>
      </w:r>
      <w:r w:rsidR="000960C8" w:rsidRPr="008B0B07">
        <w:rPr>
          <w:color w:val="000000" w:themeColor="text1"/>
          <w:sz w:val="22"/>
          <w:szCs w:val="22"/>
        </w:rPr>
        <w:t>80</w:t>
      </w:r>
      <w:r w:rsidR="3622E257" w:rsidRPr="008B0B07">
        <w:rPr>
          <w:color w:val="000000" w:themeColor="text1"/>
          <w:sz w:val="22"/>
          <w:szCs w:val="22"/>
        </w:rPr>
        <w:t xml:space="preserve"> (0.7%)</w:t>
      </w:r>
      <w:r w:rsidR="41ABF1E1" w:rsidRPr="008B0B07">
        <w:rPr>
          <w:color w:val="000000" w:themeColor="text1"/>
          <w:sz w:val="22"/>
          <w:szCs w:val="22"/>
        </w:rPr>
        <w:t xml:space="preserve">, </w:t>
      </w:r>
      <w:r w:rsidR="35011808" w:rsidRPr="008B0B07">
        <w:rPr>
          <w:color w:val="000000" w:themeColor="text1"/>
          <w:sz w:val="22"/>
          <w:szCs w:val="22"/>
        </w:rPr>
        <w:t>17</w:t>
      </w:r>
      <w:r w:rsidR="000960C8" w:rsidRPr="008B0B07">
        <w:rPr>
          <w:color w:val="000000" w:themeColor="text1"/>
          <w:sz w:val="22"/>
          <w:szCs w:val="22"/>
        </w:rPr>
        <w:t>8</w:t>
      </w:r>
      <w:r w:rsidR="35011808" w:rsidRPr="008B0B07">
        <w:rPr>
          <w:color w:val="000000" w:themeColor="text1"/>
          <w:sz w:val="22"/>
          <w:szCs w:val="22"/>
        </w:rPr>
        <w:t xml:space="preserve"> (0.7%)</w:t>
      </w:r>
      <w:r w:rsidR="41ABF1E1" w:rsidRPr="008B0B07">
        <w:rPr>
          <w:color w:val="000000" w:themeColor="text1"/>
          <w:sz w:val="22"/>
          <w:szCs w:val="22"/>
        </w:rPr>
        <w:t xml:space="preserve">, </w:t>
      </w:r>
      <w:r w:rsidR="55C83ACB" w:rsidRPr="008B0B07">
        <w:rPr>
          <w:color w:val="000000" w:themeColor="text1"/>
          <w:sz w:val="22"/>
          <w:szCs w:val="22"/>
        </w:rPr>
        <w:t>53</w:t>
      </w:r>
      <w:r w:rsidR="000960C8" w:rsidRPr="008B0B07">
        <w:rPr>
          <w:color w:val="000000" w:themeColor="text1"/>
          <w:sz w:val="22"/>
          <w:szCs w:val="22"/>
        </w:rPr>
        <w:t>0</w:t>
      </w:r>
      <w:r w:rsidR="55C83ACB" w:rsidRPr="008B0B07">
        <w:rPr>
          <w:color w:val="000000" w:themeColor="text1"/>
          <w:sz w:val="22"/>
          <w:szCs w:val="22"/>
        </w:rPr>
        <w:t xml:space="preserve"> (2.0%)</w:t>
      </w:r>
      <w:r w:rsidR="41ABF1E1" w:rsidRPr="008B0B07">
        <w:rPr>
          <w:color w:val="000000" w:themeColor="text1"/>
          <w:sz w:val="22"/>
          <w:szCs w:val="22"/>
        </w:rPr>
        <w:t xml:space="preserve">, and </w:t>
      </w:r>
      <w:r w:rsidR="7BCDDF22" w:rsidRPr="008B0B07">
        <w:rPr>
          <w:color w:val="000000" w:themeColor="text1"/>
          <w:sz w:val="22"/>
          <w:szCs w:val="22"/>
        </w:rPr>
        <w:t>19</w:t>
      </w:r>
      <w:r w:rsidR="000960C8" w:rsidRPr="008B0B07">
        <w:rPr>
          <w:color w:val="000000" w:themeColor="text1"/>
          <w:sz w:val="22"/>
          <w:szCs w:val="22"/>
        </w:rPr>
        <w:t>7</w:t>
      </w:r>
      <w:r w:rsidR="7BCDDF22" w:rsidRPr="008B0B07">
        <w:rPr>
          <w:color w:val="000000" w:themeColor="text1"/>
          <w:sz w:val="22"/>
          <w:szCs w:val="22"/>
        </w:rPr>
        <w:t xml:space="preserve"> (0.8%)</w:t>
      </w:r>
      <w:r w:rsidR="41ABF1E1" w:rsidRPr="008B0B07">
        <w:rPr>
          <w:color w:val="000000" w:themeColor="text1"/>
          <w:sz w:val="22"/>
          <w:szCs w:val="22"/>
        </w:rPr>
        <w:t xml:space="preserve"> incident cases of </w:t>
      </w:r>
      <w:r w:rsidR="4088160A" w:rsidRPr="008B0B07">
        <w:rPr>
          <w:color w:val="000000" w:themeColor="text1"/>
          <w:sz w:val="22"/>
          <w:szCs w:val="22"/>
        </w:rPr>
        <w:t>AF</w:t>
      </w:r>
      <w:r w:rsidR="41ABF1E1" w:rsidRPr="008B0B07">
        <w:rPr>
          <w:color w:val="000000" w:themeColor="text1"/>
          <w:sz w:val="22"/>
          <w:szCs w:val="22"/>
        </w:rPr>
        <w:t xml:space="preserve">, stroke, IHD, and MI respectively. </w:t>
      </w:r>
      <w:r w:rsidR="00545AC9" w:rsidRPr="008B0B07">
        <w:rPr>
          <w:color w:val="000000" w:themeColor="text1"/>
          <w:sz w:val="22"/>
          <w:szCs w:val="22"/>
        </w:rPr>
        <w:t xml:space="preserve">There were </w:t>
      </w:r>
      <w:r w:rsidR="00CE1BCD" w:rsidRPr="008B0B07">
        <w:rPr>
          <w:color w:val="000000" w:themeColor="text1"/>
          <w:sz w:val="22"/>
          <w:szCs w:val="22"/>
        </w:rPr>
        <w:t>331</w:t>
      </w:r>
      <w:r w:rsidR="00545AC9" w:rsidRPr="008B0B07">
        <w:rPr>
          <w:color w:val="000000" w:themeColor="text1"/>
          <w:sz w:val="22"/>
          <w:szCs w:val="22"/>
        </w:rPr>
        <w:t xml:space="preserve"> deaths during the available follow-up period</w:t>
      </w:r>
      <w:r w:rsidR="000960C8" w:rsidRPr="008B0B07">
        <w:rPr>
          <w:color w:val="000000" w:themeColor="text1"/>
          <w:sz w:val="22"/>
          <w:szCs w:val="22"/>
        </w:rPr>
        <w:t>;</w:t>
      </w:r>
      <w:r w:rsidR="00545AC9" w:rsidRPr="008B0B07">
        <w:rPr>
          <w:color w:val="000000" w:themeColor="text1"/>
          <w:sz w:val="22"/>
          <w:szCs w:val="22"/>
        </w:rPr>
        <w:t xml:space="preserve"> of these</w:t>
      </w:r>
      <w:r w:rsidR="000960C8" w:rsidRPr="008B0B07">
        <w:rPr>
          <w:color w:val="000000" w:themeColor="text1"/>
          <w:sz w:val="22"/>
          <w:szCs w:val="22"/>
        </w:rPr>
        <w:t>,</w:t>
      </w:r>
      <w:r w:rsidR="00545AC9" w:rsidRPr="008B0B07">
        <w:rPr>
          <w:color w:val="000000" w:themeColor="text1"/>
          <w:sz w:val="22"/>
          <w:szCs w:val="22"/>
        </w:rPr>
        <w:t xml:space="preserve"> </w:t>
      </w:r>
      <w:r w:rsidR="00CE1BCD" w:rsidRPr="008B0B07">
        <w:rPr>
          <w:color w:val="000000" w:themeColor="text1"/>
          <w:sz w:val="22"/>
          <w:szCs w:val="22"/>
        </w:rPr>
        <w:t>58</w:t>
      </w:r>
      <w:r w:rsidR="00545AC9" w:rsidRPr="008B0B07">
        <w:rPr>
          <w:color w:val="000000" w:themeColor="text1"/>
          <w:sz w:val="22"/>
          <w:szCs w:val="22"/>
        </w:rPr>
        <w:t xml:space="preserve"> were attributed to CVD. </w:t>
      </w:r>
      <w:r w:rsidR="00F1781F" w:rsidRPr="008B0B07">
        <w:rPr>
          <w:color w:val="000000" w:themeColor="text1"/>
          <w:sz w:val="22"/>
          <w:szCs w:val="22"/>
        </w:rPr>
        <w:t>In total 8</w:t>
      </w:r>
      <w:r w:rsidR="000960C8" w:rsidRPr="008B0B07">
        <w:rPr>
          <w:color w:val="000000" w:themeColor="text1"/>
          <w:sz w:val="22"/>
          <w:szCs w:val="22"/>
        </w:rPr>
        <w:t>80</w:t>
      </w:r>
      <w:r w:rsidR="00F1781F" w:rsidRPr="008B0B07">
        <w:rPr>
          <w:color w:val="000000" w:themeColor="text1"/>
          <w:sz w:val="22"/>
          <w:szCs w:val="22"/>
        </w:rPr>
        <w:t xml:space="preserve"> (3</w:t>
      </w:r>
      <w:r w:rsidR="000960C8" w:rsidRPr="008B0B07">
        <w:rPr>
          <w:color w:val="000000" w:themeColor="text1"/>
          <w:sz w:val="22"/>
          <w:szCs w:val="22"/>
        </w:rPr>
        <w:t>.4</w:t>
      </w:r>
      <w:r w:rsidR="00F1781F" w:rsidRPr="008B0B07">
        <w:rPr>
          <w:color w:val="000000" w:themeColor="text1"/>
          <w:sz w:val="22"/>
          <w:szCs w:val="22"/>
        </w:rPr>
        <w:t>%) participants had at least one incident event, of these 34% (n=29</w:t>
      </w:r>
      <w:r w:rsidR="000960C8" w:rsidRPr="008B0B07">
        <w:rPr>
          <w:color w:val="000000" w:themeColor="text1"/>
          <w:sz w:val="22"/>
          <w:szCs w:val="22"/>
        </w:rPr>
        <w:t>7</w:t>
      </w:r>
      <w:r w:rsidR="00F1781F" w:rsidRPr="008B0B07">
        <w:rPr>
          <w:color w:val="000000" w:themeColor="text1"/>
          <w:sz w:val="22"/>
          <w:szCs w:val="22"/>
        </w:rPr>
        <w:t>) were women (</w:t>
      </w:r>
      <w:r w:rsidR="00F1781F" w:rsidRPr="008B0B07">
        <w:rPr>
          <w:b/>
          <w:bCs/>
          <w:color w:val="000000" w:themeColor="text1"/>
          <w:sz w:val="22"/>
          <w:szCs w:val="22"/>
        </w:rPr>
        <w:t xml:space="preserve">Supplementary Table </w:t>
      </w:r>
      <w:r w:rsidR="00CE1BCD" w:rsidRPr="008B0B07">
        <w:rPr>
          <w:b/>
          <w:bCs/>
          <w:color w:val="000000" w:themeColor="text1"/>
          <w:sz w:val="22"/>
          <w:szCs w:val="22"/>
        </w:rPr>
        <w:t>5</w:t>
      </w:r>
      <w:r w:rsidR="00F1781F" w:rsidRPr="008B0B07">
        <w:rPr>
          <w:color w:val="000000" w:themeColor="text1"/>
          <w:sz w:val="22"/>
          <w:szCs w:val="22"/>
        </w:rPr>
        <w:t>). These participants had higher burden of VRFs than the whole cohort, with hypertension, diabetes, high cholesterol, and smoking documented in 50.</w:t>
      </w:r>
      <w:r w:rsidR="000960C8" w:rsidRPr="008B0B07">
        <w:rPr>
          <w:color w:val="000000" w:themeColor="text1"/>
          <w:sz w:val="22"/>
          <w:szCs w:val="22"/>
        </w:rPr>
        <w:t>5</w:t>
      </w:r>
      <w:r w:rsidR="00F1781F" w:rsidRPr="008B0B07">
        <w:rPr>
          <w:color w:val="000000" w:themeColor="text1"/>
          <w:sz w:val="22"/>
          <w:szCs w:val="22"/>
        </w:rPr>
        <w:t>%, 9.</w:t>
      </w:r>
      <w:r w:rsidR="000960C8" w:rsidRPr="008B0B07">
        <w:rPr>
          <w:color w:val="000000" w:themeColor="text1"/>
          <w:sz w:val="22"/>
          <w:szCs w:val="22"/>
        </w:rPr>
        <w:t>9</w:t>
      </w:r>
      <w:r w:rsidR="00F1781F" w:rsidRPr="008B0B07">
        <w:rPr>
          <w:color w:val="000000" w:themeColor="text1"/>
          <w:sz w:val="22"/>
          <w:szCs w:val="22"/>
        </w:rPr>
        <w:t>%, 4</w:t>
      </w:r>
      <w:r w:rsidR="000960C8" w:rsidRPr="008B0B07">
        <w:rPr>
          <w:color w:val="000000" w:themeColor="text1"/>
          <w:sz w:val="22"/>
          <w:szCs w:val="22"/>
        </w:rPr>
        <w:t>6.7</w:t>
      </w:r>
      <w:r w:rsidR="00F1781F" w:rsidRPr="008B0B07">
        <w:rPr>
          <w:color w:val="000000" w:themeColor="text1"/>
          <w:sz w:val="22"/>
          <w:szCs w:val="22"/>
        </w:rPr>
        <w:t xml:space="preserve">%, and 3.9% </w:t>
      </w:r>
      <w:r w:rsidR="000960C8" w:rsidRPr="008B0B07">
        <w:rPr>
          <w:color w:val="000000" w:themeColor="text1"/>
          <w:sz w:val="22"/>
          <w:szCs w:val="22"/>
        </w:rPr>
        <w:t xml:space="preserve">respectively </w:t>
      </w:r>
      <w:r w:rsidR="00F1781F" w:rsidRPr="008B0B07">
        <w:rPr>
          <w:color w:val="000000" w:themeColor="text1"/>
          <w:sz w:val="22"/>
          <w:szCs w:val="22"/>
        </w:rPr>
        <w:t>(</w:t>
      </w:r>
      <w:r w:rsidR="00F1781F" w:rsidRPr="008B0B07">
        <w:rPr>
          <w:b/>
          <w:bCs/>
          <w:color w:val="000000" w:themeColor="text1"/>
          <w:sz w:val="22"/>
          <w:szCs w:val="22"/>
        </w:rPr>
        <w:t xml:space="preserve">Supplementary Table </w:t>
      </w:r>
      <w:r w:rsidR="00CE1BCD" w:rsidRPr="008B0B07">
        <w:rPr>
          <w:b/>
          <w:bCs/>
          <w:color w:val="000000" w:themeColor="text1"/>
          <w:sz w:val="22"/>
          <w:szCs w:val="22"/>
        </w:rPr>
        <w:t>5</w:t>
      </w:r>
      <w:r w:rsidR="00F1781F" w:rsidRPr="008B0B07">
        <w:rPr>
          <w:color w:val="000000" w:themeColor="text1"/>
          <w:sz w:val="22"/>
          <w:szCs w:val="22"/>
        </w:rPr>
        <w:t>).</w:t>
      </w:r>
    </w:p>
    <w:p w14:paraId="44BA1742" w14:textId="21663B35" w:rsidR="24EB06F6" w:rsidRPr="004F076A" w:rsidRDefault="24EB06F6" w:rsidP="00511AE5">
      <w:pPr>
        <w:spacing w:line="480" w:lineRule="auto"/>
        <w:rPr>
          <w:b/>
          <w:bCs/>
          <w:color w:val="000000" w:themeColor="text1"/>
          <w:sz w:val="22"/>
          <w:szCs w:val="22"/>
        </w:rPr>
      </w:pPr>
    </w:p>
    <w:p w14:paraId="7F5D10CC" w14:textId="3805F50A" w:rsidR="002FDBB6" w:rsidRPr="004F076A" w:rsidRDefault="1212C5A3" w:rsidP="00511AE5">
      <w:pPr>
        <w:spacing w:line="480" w:lineRule="auto"/>
        <w:rPr>
          <w:b/>
          <w:bCs/>
          <w:color w:val="000000" w:themeColor="text1"/>
          <w:sz w:val="22"/>
          <w:szCs w:val="22"/>
        </w:rPr>
      </w:pPr>
      <w:r w:rsidRPr="004F076A">
        <w:rPr>
          <w:b/>
          <w:bCs/>
          <w:color w:val="000000" w:themeColor="text1"/>
          <w:sz w:val="22"/>
          <w:szCs w:val="22"/>
        </w:rPr>
        <w:t xml:space="preserve">Association of </w:t>
      </w:r>
      <w:r w:rsidR="00180CF5">
        <w:rPr>
          <w:b/>
          <w:bCs/>
          <w:color w:val="000000" w:themeColor="text1"/>
          <w:sz w:val="22"/>
          <w:szCs w:val="22"/>
        </w:rPr>
        <w:t xml:space="preserve">CMR metrics with </w:t>
      </w:r>
      <w:r w:rsidRPr="004F076A">
        <w:rPr>
          <w:b/>
          <w:bCs/>
          <w:color w:val="000000" w:themeColor="text1"/>
          <w:sz w:val="22"/>
          <w:szCs w:val="22"/>
        </w:rPr>
        <w:t>vascular risk factors</w:t>
      </w:r>
    </w:p>
    <w:p w14:paraId="3D02D22D" w14:textId="30A42DC0" w:rsidR="00180CF5" w:rsidRDefault="00180CF5" w:rsidP="00511AE5">
      <w:pPr>
        <w:spacing w:line="480" w:lineRule="auto"/>
        <w:rPr>
          <w:color w:val="000000" w:themeColor="text1"/>
          <w:sz w:val="22"/>
          <w:szCs w:val="22"/>
        </w:rPr>
      </w:pPr>
      <w:r>
        <w:rPr>
          <w:color w:val="000000" w:themeColor="text1"/>
          <w:sz w:val="22"/>
          <w:szCs w:val="22"/>
        </w:rPr>
        <w:t xml:space="preserve">In fully adjusted logistic regression models, </w:t>
      </w:r>
      <w:r w:rsidR="00F3550B">
        <w:rPr>
          <w:color w:val="000000" w:themeColor="text1"/>
          <w:sz w:val="22"/>
          <w:szCs w:val="22"/>
        </w:rPr>
        <w:t xml:space="preserve">including </w:t>
      </w:r>
      <w:r>
        <w:rPr>
          <w:color w:val="000000" w:themeColor="text1"/>
          <w:sz w:val="22"/>
          <w:szCs w:val="22"/>
        </w:rPr>
        <w:t xml:space="preserve">all </w:t>
      </w:r>
      <w:r w:rsidR="002765A8">
        <w:rPr>
          <w:color w:val="000000" w:themeColor="text1"/>
          <w:sz w:val="22"/>
          <w:szCs w:val="22"/>
        </w:rPr>
        <w:t xml:space="preserve">the PCA rotated </w:t>
      </w:r>
      <w:r>
        <w:rPr>
          <w:color w:val="000000" w:themeColor="text1"/>
          <w:sz w:val="22"/>
          <w:szCs w:val="22"/>
        </w:rPr>
        <w:t xml:space="preserve">CMR metrics, we observed association of </w:t>
      </w:r>
      <w:r w:rsidR="00B61ED4">
        <w:rPr>
          <w:color w:val="000000" w:themeColor="text1"/>
          <w:sz w:val="22"/>
          <w:szCs w:val="22"/>
        </w:rPr>
        <w:t>a</w:t>
      </w:r>
      <w:r>
        <w:rPr>
          <w:color w:val="000000" w:themeColor="text1"/>
          <w:sz w:val="22"/>
          <w:szCs w:val="22"/>
        </w:rPr>
        <w:t>ll the VRFs with poorer LA function (lower LAEF)</w:t>
      </w:r>
      <w:r w:rsidRPr="004F076A">
        <w:rPr>
          <w:color w:val="000000" w:themeColor="text1"/>
          <w:sz w:val="22"/>
          <w:szCs w:val="22"/>
        </w:rPr>
        <w:t xml:space="preserve">, with statistically significant relationships observed with </w:t>
      </w:r>
      <w:r w:rsidRPr="008B0B07">
        <w:rPr>
          <w:color w:val="000000" w:themeColor="text1"/>
          <w:sz w:val="22"/>
          <w:szCs w:val="22"/>
        </w:rPr>
        <w:t>diabetes and smoking (</w:t>
      </w:r>
      <w:r w:rsidRPr="008B0B07">
        <w:rPr>
          <w:b/>
          <w:bCs/>
          <w:color w:val="000000" w:themeColor="text1"/>
          <w:sz w:val="22"/>
          <w:szCs w:val="22"/>
        </w:rPr>
        <w:t>Table 2</w:t>
      </w:r>
      <w:r w:rsidRPr="008B0B07">
        <w:rPr>
          <w:color w:val="000000" w:themeColor="text1"/>
          <w:sz w:val="22"/>
          <w:szCs w:val="22"/>
        </w:rPr>
        <w:t>).</w:t>
      </w:r>
      <w:r w:rsidR="00B61ED4" w:rsidRPr="008B0B07">
        <w:rPr>
          <w:color w:val="000000" w:themeColor="text1"/>
          <w:sz w:val="22"/>
          <w:szCs w:val="22"/>
        </w:rPr>
        <w:t xml:space="preserve"> Diabetes</w:t>
      </w:r>
      <w:r w:rsidR="003D30B6" w:rsidRPr="008B0B07">
        <w:rPr>
          <w:color w:val="000000" w:themeColor="text1"/>
          <w:sz w:val="22"/>
          <w:szCs w:val="22"/>
        </w:rPr>
        <w:t>, high cholesterol,</w:t>
      </w:r>
      <w:r w:rsidR="00B61ED4" w:rsidRPr="008B0B07">
        <w:rPr>
          <w:color w:val="000000" w:themeColor="text1"/>
          <w:sz w:val="22"/>
          <w:szCs w:val="22"/>
        </w:rPr>
        <w:t xml:space="preserve"> and smoking were associated with smaller LA sizes (lower LAV), whilst hypertension was associated with larger LA size (</w:t>
      </w:r>
      <w:r w:rsidR="00B61ED4" w:rsidRPr="008B0B07">
        <w:rPr>
          <w:b/>
          <w:bCs/>
          <w:color w:val="000000" w:themeColor="text1"/>
          <w:sz w:val="22"/>
          <w:szCs w:val="22"/>
        </w:rPr>
        <w:t>Table 2</w:t>
      </w:r>
      <w:r w:rsidR="00B61ED4" w:rsidRPr="008B0B07">
        <w:rPr>
          <w:color w:val="000000" w:themeColor="text1"/>
          <w:sz w:val="22"/>
          <w:szCs w:val="22"/>
        </w:rPr>
        <w:t xml:space="preserve">). There was significant association of all </w:t>
      </w:r>
      <w:r w:rsidR="00760756" w:rsidRPr="008B0B07">
        <w:rPr>
          <w:color w:val="000000" w:themeColor="text1"/>
          <w:sz w:val="22"/>
          <w:szCs w:val="22"/>
        </w:rPr>
        <w:t xml:space="preserve">the </w:t>
      </w:r>
      <w:r w:rsidR="00B61ED4" w:rsidRPr="008B0B07">
        <w:rPr>
          <w:color w:val="000000" w:themeColor="text1"/>
          <w:sz w:val="22"/>
          <w:szCs w:val="22"/>
        </w:rPr>
        <w:t xml:space="preserve">VRFs with concentric LV remodelling patterns (higher LVM: LVEDV). </w:t>
      </w:r>
      <w:r w:rsidR="003D30B6" w:rsidRPr="008B0B07">
        <w:rPr>
          <w:color w:val="000000" w:themeColor="text1"/>
          <w:sz w:val="22"/>
          <w:szCs w:val="22"/>
        </w:rPr>
        <w:t>Hypertension, diabetes, and smoking were associated with significantly poorer LV function by LVGFI and GLS (</w:t>
      </w:r>
      <w:r w:rsidR="003D30B6" w:rsidRPr="008B0B07">
        <w:rPr>
          <w:b/>
          <w:bCs/>
          <w:color w:val="000000" w:themeColor="text1"/>
          <w:sz w:val="22"/>
          <w:szCs w:val="22"/>
        </w:rPr>
        <w:t>Table 2</w:t>
      </w:r>
      <w:r w:rsidR="003D30B6" w:rsidRPr="008B0B07">
        <w:rPr>
          <w:color w:val="000000" w:themeColor="text1"/>
          <w:sz w:val="22"/>
          <w:szCs w:val="22"/>
        </w:rPr>
        <w:t xml:space="preserve">). </w:t>
      </w:r>
      <w:r w:rsidR="00760756" w:rsidRPr="008B0B07">
        <w:rPr>
          <w:color w:val="000000" w:themeColor="text1"/>
          <w:sz w:val="22"/>
          <w:szCs w:val="22"/>
        </w:rPr>
        <w:t xml:space="preserve">In mutually adjusted models with LVEF instead of LVGFI, diabetes was associated with significantly lower LVEF; associations </w:t>
      </w:r>
      <w:r w:rsidR="00F61472" w:rsidRPr="008B0B07">
        <w:rPr>
          <w:color w:val="000000" w:themeColor="text1"/>
          <w:sz w:val="22"/>
          <w:szCs w:val="22"/>
        </w:rPr>
        <w:t xml:space="preserve">of LVEF </w:t>
      </w:r>
      <w:r w:rsidR="00760756" w:rsidRPr="008B0B07">
        <w:rPr>
          <w:color w:val="000000" w:themeColor="text1"/>
          <w:sz w:val="22"/>
          <w:szCs w:val="22"/>
        </w:rPr>
        <w:t>with other VRFs were not statistically significant (</w:t>
      </w:r>
      <w:r w:rsidR="00760756" w:rsidRPr="008B0B07">
        <w:rPr>
          <w:b/>
          <w:bCs/>
          <w:color w:val="000000" w:themeColor="text1"/>
          <w:sz w:val="22"/>
          <w:szCs w:val="22"/>
        </w:rPr>
        <w:t>Supplementary Table 6</w:t>
      </w:r>
      <w:r w:rsidR="00760756" w:rsidRPr="008B0B07">
        <w:rPr>
          <w:color w:val="000000" w:themeColor="text1"/>
          <w:sz w:val="22"/>
          <w:szCs w:val="22"/>
        </w:rPr>
        <w:t xml:space="preserve">). </w:t>
      </w:r>
      <w:r w:rsidR="00B61ED4" w:rsidRPr="008B0B07">
        <w:rPr>
          <w:color w:val="000000" w:themeColor="text1"/>
          <w:sz w:val="22"/>
          <w:szCs w:val="22"/>
        </w:rPr>
        <w:t>There was a similar pattern of associations in models using raw CMR metrics</w:t>
      </w:r>
      <w:r w:rsidR="00760756" w:rsidRPr="008B0B07">
        <w:rPr>
          <w:color w:val="000000" w:themeColor="text1"/>
          <w:sz w:val="22"/>
          <w:szCs w:val="22"/>
        </w:rPr>
        <w:t xml:space="preserve"> entered individually</w:t>
      </w:r>
      <w:r w:rsidR="00B61ED4" w:rsidRPr="008B0B07">
        <w:rPr>
          <w:color w:val="000000" w:themeColor="text1"/>
          <w:sz w:val="22"/>
          <w:szCs w:val="22"/>
        </w:rPr>
        <w:t xml:space="preserve"> (</w:t>
      </w:r>
      <w:r w:rsidR="00B61ED4" w:rsidRPr="008B0B07">
        <w:rPr>
          <w:b/>
          <w:bCs/>
          <w:color w:val="000000" w:themeColor="text1"/>
          <w:sz w:val="22"/>
          <w:szCs w:val="22"/>
        </w:rPr>
        <w:t xml:space="preserve">Supplementary Table </w:t>
      </w:r>
      <w:r w:rsidR="00760756" w:rsidRPr="008B0B07">
        <w:rPr>
          <w:b/>
          <w:bCs/>
          <w:color w:val="000000" w:themeColor="text1"/>
          <w:sz w:val="22"/>
          <w:szCs w:val="22"/>
        </w:rPr>
        <w:t>7</w:t>
      </w:r>
      <w:r w:rsidR="00B61ED4" w:rsidRPr="008B0B07">
        <w:rPr>
          <w:b/>
          <w:bCs/>
          <w:color w:val="000000" w:themeColor="text1"/>
          <w:sz w:val="22"/>
          <w:szCs w:val="22"/>
        </w:rPr>
        <w:t>)</w:t>
      </w:r>
      <w:r w:rsidR="00B61ED4" w:rsidRPr="008B0B07">
        <w:rPr>
          <w:color w:val="000000" w:themeColor="text1"/>
          <w:sz w:val="22"/>
          <w:szCs w:val="22"/>
        </w:rPr>
        <w:t>.</w:t>
      </w:r>
      <w:r w:rsidR="00B61ED4">
        <w:rPr>
          <w:color w:val="000000" w:themeColor="text1"/>
          <w:sz w:val="22"/>
          <w:szCs w:val="22"/>
        </w:rPr>
        <w:t xml:space="preserve"> </w:t>
      </w:r>
    </w:p>
    <w:p w14:paraId="557B87A9" w14:textId="77777777" w:rsidR="00B61ED4" w:rsidRPr="004F076A" w:rsidRDefault="00B61ED4" w:rsidP="00511AE5">
      <w:pPr>
        <w:spacing w:line="480" w:lineRule="auto"/>
        <w:rPr>
          <w:color w:val="000000" w:themeColor="text1"/>
          <w:sz w:val="22"/>
          <w:szCs w:val="22"/>
        </w:rPr>
      </w:pPr>
    </w:p>
    <w:p w14:paraId="67F5BBD6" w14:textId="2A2F12EF" w:rsidR="002FDBB6" w:rsidRPr="004F076A" w:rsidRDefault="149CCFF4" w:rsidP="00511AE5">
      <w:pPr>
        <w:spacing w:line="480" w:lineRule="auto"/>
        <w:rPr>
          <w:b/>
          <w:bCs/>
          <w:color w:val="000000" w:themeColor="text1"/>
          <w:sz w:val="22"/>
          <w:szCs w:val="22"/>
        </w:rPr>
      </w:pPr>
      <w:r w:rsidRPr="004F076A">
        <w:rPr>
          <w:b/>
          <w:bCs/>
          <w:color w:val="000000" w:themeColor="text1"/>
          <w:sz w:val="22"/>
          <w:szCs w:val="22"/>
        </w:rPr>
        <w:t xml:space="preserve">Association of </w:t>
      </w:r>
      <w:r w:rsidR="003D30B6">
        <w:rPr>
          <w:b/>
          <w:bCs/>
          <w:color w:val="000000" w:themeColor="text1"/>
          <w:sz w:val="22"/>
          <w:szCs w:val="22"/>
        </w:rPr>
        <w:t xml:space="preserve">CMR metrics </w:t>
      </w:r>
      <w:r w:rsidR="00F61472">
        <w:rPr>
          <w:b/>
          <w:bCs/>
          <w:color w:val="000000" w:themeColor="text1"/>
          <w:sz w:val="22"/>
          <w:szCs w:val="22"/>
        </w:rPr>
        <w:t xml:space="preserve">with </w:t>
      </w:r>
      <w:r w:rsidRPr="004F076A">
        <w:rPr>
          <w:b/>
          <w:bCs/>
          <w:color w:val="000000" w:themeColor="text1"/>
          <w:sz w:val="22"/>
          <w:szCs w:val="22"/>
        </w:rPr>
        <w:t>prevalent cardiovascular disease</w:t>
      </w:r>
    </w:p>
    <w:p w14:paraId="3B843706" w14:textId="0F3E99F5" w:rsidR="24EB06F6" w:rsidRPr="0023072B" w:rsidRDefault="00B61ED4" w:rsidP="00511AE5">
      <w:pPr>
        <w:spacing w:line="480" w:lineRule="auto"/>
        <w:rPr>
          <w:color w:val="000000" w:themeColor="text1"/>
          <w:sz w:val="22"/>
          <w:szCs w:val="22"/>
        </w:rPr>
      </w:pPr>
      <w:r>
        <w:rPr>
          <w:color w:val="000000" w:themeColor="text1"/>
          <w:sz w:val="22"/>
          <w:szCs w:val="22"/>
        </w:rPr>
        <w:t>In fully adjusted logistic regression models</w:t>
      </w:r>
      <w:r w:rsidR="00B01C7D">
        <w:rPr>
          <w:color w:val="000000" w:themeColor="text1"/>
          <w:sz w:val="22"/>
          <w:szCs w:val="22"/>
        </w:rPr>
        <w:t>,</w:t>
      </w:r>
      <w:r>
        <w:rPr>
          <w:color w:val="000000" w:themeColor="text1"/>
          <w:sz w:val="22"/>
          <w:szCs w:val="22"/>
        </w:rPr>
        <w:t xml:space="preserve"> </w:t>
      </w:r>
      <w:r w:rsidR="00F3550B">
        <w:rPr>
          <w:color w:val="000000" w:themeColor="text1"/>
          <w:sz w:val="22"/>
          <w:szCs w:val="22"/>
        </w:rPr>
        <w:t>including</w:t>
      </w:r>
      <w:r>
        <w:rPr>
          <w:color w:val="000000" w:themeColor="text1"/>
          <w:sz w:val="22"/>
          <w:szCs w:val="22"/>
        </w:rPr>
        <w:t xml:space="preserve"> all </w:t>
      </w:r>
      <w:r w:rsidR="002765A8">
        <w:rPr>
          <w:color w:val="000000" w:themeColor="text1"/>
          <w:sz w:val="22"/>
          <w:szCs w:val="22"/>
        </w:rPr>
        <w:t xml:space="preserve">the PCA rotated </w:t>
      </w:r>
      <w:r>
        <w:rPr>
          <w:color w:val="000000" w:themeColor="text1"/>
          <w:sz w:val="22"/>
          <w:szCs w:val="22"/>
        </w:rPr>
        <w:t>CMR metrics, all the prevalent CVDs were associated with significantly lower LAEF (</w:t>
      </w:r>
      <w:r>
        <w:rPr>
          <w:b/>
          <w:bCs/>
          <w:color w:val="000000" w:themeColor="text1"/>
          <w:sz w:val="22"/>
          <w:szCs w:val="22"/>
        </w:rPr>
        <w:t>Table 2)</w:t>
      </w:r>
      <w:r>
        <w:rPr>
          <w:color w:val="000000" w:themeColor="text1"/>
          <w:sz w:val="22"/>
          <w:szCs w:val="22"/>
        </w:rPr>
        <w:t>. AF and IHD were associated with significantly larger LA sizes (</w:t>
      </w:r>
      <w:r w:rsidRPr="00B61ED4">
        <w:rPr>
          <w:b/>
          <w:bCs/>
          <w:color w:val="000000" w:themeColor="text1"/>
          <w:sz w:val="22"/>
          <w:szCs w:val="22"/>
        </w:rPr>
        <w:t>Table 2</w:t>
      </w:r>
      <w:r>
        <w:rPr>
          <w:color w:val="000000" w:themeColor="text1"/>
          <w:sz w:val="22"/>
          <w:szCs w:val="22"/>
        </w:rPr>
        <w:t xml:space="preserve">). </w:t>
      </w:r>
      <w:r w:rsidR="0023072B" w:rsidRPr="0023072B">
        <w:rPr>
          <w:color w:val="000000" w:themeColor="text1"/>
          <w:sz w:val="22"/>
          <w:szCs w:val="22"/>
        </w:rPr>
        <w:t>As e</w:t>
      </w:r>
      <w:r w:rsidR="0023072B">
        <w:rPr>
          <w:color w:val="000000" w:themeColor="text1"/>
          <w:sz w:val="22"/>
          <w:szCs w:val="22"/>
        </w:rPr>
        <w:t>xpected, these relationships appeared most dominant for AF (</w:t>
      </w:r>
      <w:r w:rsidR="0023072B" w:rsidRPr="0023072B">
        <w:rPr>
          <w:b/>
          <w:bCs/>
          <w:color w:val="000000" w:themeColor="text1"/>
          <w:sz w:val="22"/>
          <w:szCs w:val="22"/>
        </w:rPr>
        <w:t>Table 2</w:t>
      </w:r>
      <w:r w:rsidR="0023072B" w:rsidRPr="008B0B07">
        <w:rPr>
          <w:color w:val="000000" w:themeColor="text1"/>
          <w:sz w:val="22"/>
          <w:szCs w:val="22"/>
        </w:rPr>
        <w:t>). AF, IHD, and MI were associated with more eccentric LV remodelling pattern (lower LVM: LVEDV)</w:t>
      </w:r>
      <w:r w:rsidR="00181153" w:rsidRPr="008B0B07">
        <w:rPr>
          <w:color w:val="000000" w:themeColor="text1"/>
          <w:sz w:val="22"/>
          <w:szCs w:val="22"/>
        </w:rPr>
        <w:t>. IHD</w:t>
      </w:r>
      <w:r w:rsidR="00F61472" w:rsidRPr="008B0B07">
        <w:rPr>
          <w:color w:val="000000" w:themeColor="text1"/>
          <w:sz w:val="22"/>
          <w:szCs w:val="22"/>
        </w:rPr>
        <w:t xml:space="preserve">, </w:t>
      </w:r>
      <w:r w:rsidR="0092751D" w:rsidRPr="008B0B07">
        <w:rPr>
          <w:color w:val="000000" w:themeColor="text1"/>
          <w:sz w:val="22"/>
          <w:szCs w:val="22"/>
        </w:rPr>
        <w:t xml:space="preserve">and </w:t>
      </w:r>
      <w:r w:rsidR="00181153" w:rsidRPr="008B0B07">
        <w:rPr>
          <w:color w:val="000000" w:themeColor="text1"/>
          <w:sz w:val="22"/>
          <w:szCs w:val="22"/>
        </w:rPr>
        <w:t>MI</w:t>
      </w:r>
      <w:r w:rsidR="0092751D" w:rsidRPr="008B0B07">
        <w:rPr>
          <w:color w:val="000000" w:themeColor="text1"/>
          <w:sz w:val="22"/>
          <w:szCs w:val="22"/>
        </w:rPr>
        <w:t xml:space="preserve"> </w:t>
      </w:r>
      <w:r w:rsidR="00181153" w:rsidRPr="008B0B07">
        <w:rPr>
          <w:color w:val="000000" w:themeColor="text1"/>
          <w:sz w:val="22"/>
          <w:szCs w:val="22"/>
        </w:rPr>
        <w:t>were associated with</w:t>
      </w:r>
      <w:r w:rsidR="0023072B" w:rsidRPr="008B0B07">
        <w:rPr>
          <w:color w:val="000000" w:themeColor="text1"/>
          <w:sz w:val="22"/>
          <w:szCs w:val="22"/>
        </w:rPr>
        <w:t xml:space="preserve"> poorer LV function by LVGFI (</w:t>
      </w:r>
      <w:r w:rsidR="0023072B" w:rsidRPr="008B0B07">
        <w:rPr>
          <w:b/>
          <w:bCs/>
          <w:color w:val="000000" w:themeColor="text1"/>
          <w:sz w:val="22"/>
          <w:szCs w:val="22"/>
        </w:rPr>
        <w:t>Table 2</w:t>
      </w:r>
      <w:r w:rsidR="0023072B" w:rsidRPr="008B0B07">
        <w:rPr>
          <w:color w:val="000000" w:themeColor="text1"/>
          <w:sz w:val="22"/>
          <w:szCs w:val="22"/>
        </w:rPr>
        <w:t xml:space="preserve">). </w:t>
      </w:r>
      <w:r w:rsidR="00F61472" w:rsidRPr="008B0B07">
        <w:rPr>
          <w:color w:val="000000" w:themeColor="text1"/>
          <w:sz w:val="22"/>
          <w:szCs w:val="22"/>
        </w:rPr>
        <w:t>The same pattern of associations was observed with LVEF in mutually adjusted models with LVEF instead of LVGFI (</w:t>
      </w:r>
      <w:r w:rsidR="00F61472" w:rsidRPr="008B0B07">
        <w:rPr>
          <w:b/>
          <w:bCs/>
          <w:color w:val="000000" w:themeColor="text1"/>
          <w:sz w:val="22"/>
          <w:szCs w:val="22"/>
        </w:rPr>
        <w:t>Supplementary Table 6</w:t>
      </w:r>
      <w:r w:rsidR="00F61472" w:rsidRPr="008B0B07">
        <w:rPr>
          <w:color w:val="000000" w:themeColor="text1"/>
          <w:sz w:val="22"/>
          <w:szCs w:val="22"/>
        </w:rPr>
        <w:t xml:space="preserve">). </w:t>
      </w:r>
      <w:r w:rsidR="0023072B" w:rsidRPr="008B0B07">
        <w:rPr>
          <w:color w:val="000000" w:themeColor="text1"/>
          <w:sz w:val="22"/>
          <w:szCs w:val="22"/>
        </w:rPr>
        <w:t>These relationships were broadly similar in</w:t>
      </w:r>
      <w:r w:rsidR="654F8A30" w:rsidRPr="008B0B07">
        <w:rPr>
          <w:color w:val="000000" w:themeColor="text1"/>
          <w:sz w:val="22"/>
          <w:szCs w:val="22"/>
        </w:rPr>
        <w:t xml:space="preserve"> </w:t>
      </w:r>
      <w:r w:rsidR="0023072B" w:rsidRPr="008B0B07">
        <w:rPr>
          <w:color w:val="000000" w:themeColor="text1"/>
          <w:sz w:val="22"/>
          <w:szCs w:val="22"/>
        </w:rPr>
        <w:t>models using individual raw CMR metrics; in these models, MI and AF were additionally associated with significantly poorer GLS</w:t>
      </w:r>
      <w:r w:rsidR="0092751D" w:rsidRPr="008B0B07">
        <w:rPr>
          <w:color w:val="000000" w:themeColor="text1"/>
          <w:sz w:val="22"/>
          <w:szCs w:val="22"/>
        </w:rPr>
        <w:t>, LVGFI,</w:t>
      </w:r>
      <w:r w:rsidR="007F277B" w:rsidRPr="008B0B07">
        <w:rPr>
          <w:color w:val="000000" w:themeColor="text1"/>
          <w:sz w:val="22"/>
          <w:szCs w:val="22"/>
        </w:rPr>
        <w:t xml:space="preserve"> and LVEF</w:t>
      </w:r>
      <w:r w:rsidR="0023072B" w:rsidRPr="008B0B07">
        <w:rPr>
          <w:color w:val="000000" w:themeColor="text1"/>
          <w:sz w:val="22"/>
          <w:szCs w:val="22"/>
        </w:rPr>
        <w:t>, but these relationships were attenuated in the mutually adjusted models</w:t>
      </w:r>
      <w:r w:rsidR="00D91117" w:rsidRPr="008B0B07">
        <w:rPr>
          <w:color w:val="000000" w:themeColor="text1"/>
          <w:sz w:val="22"/>
          <w:szCs w:val="22"/>
        </w:rPr>
        <w:t xml:space="preserve"> (</w:t>
      </w:r>
      <w:r w:rsidR="00D91117" w:rsidRPr="008B0B07">
        <w:rPr>
          <w:b/>
          <w:bCs/>
          <w:color w:val="000000" w:themeColor="text1"/>
          <w:sz w:val="22"/>
          <w:szCs w:val="22"/>
        </w:rPr>
        <w:t xml:space="preserve">Supplementary Table </w:t>
      </w:r>
      <w:r w:rsidR="00F61472" w:rsidRPr="008B0B07">
        <w:rPr>
          <w:b/>
          <w:bCs/>
          <w:color w:val="000000" w:themeColor="text1"/>
          <w:sz w:val="22"/>
          <w:szCs w:val="22"/>
        </w:rPr>
        <w:t>7</w:t>
      </w:r>
      <w:r w:rsidR="00D91117" w:rsidRPr="008B0B07">
        <w:rPr>
          <w:color w:val="000000" w:themeColor="text1"/>
          <w:sz w:val="22"/>
          <w:szCs w:val="22"/>
        </w:rPr>
        <w:t>)</w:t>
      </w:r>
      <w:r w:rsidR="0023072B" w:rsidRPr="008B0B07">
        <w:rPr>
          <w:color w:val="000000" w:themeColor="text1"/>
          <w:sz w:val="22"/>
          <w:szCs w:val="22"/>
        </w:rPr>
        <w:t>.</w:t>
      </w:r>
    </w:p>
    <w:p w14:paraId="64B5E96B" w14:textId="77777777" w:rsidR="0023072B" w:rsidRPr="004F076A" w:rsidRDefault="0023072B" w:rsidP="00511AE5">
      <w:pPr>
        <w:spacing w:line="480" w:lineRule="auto"/>
        <w:rPr>
          <w:color w:val="000000" w:themeColor="text1"/>
          <w:sz w:val="22"/>
          <w:szCs w:val="22"/>
        </w:rPr>
      </w:pPr>
    </w:p>
    <w:p w14:paraId="416DB937" w14:textId="6582AB69" w:rsidR="0036788A" w:rsidRPr="0036788A" w:rsidRDefault="149CCFF4" w:rsidP="00511AE5">
      <w:pPr>
        <w:spacing w:line="480" w:lineRule="auto"/>
        <w:rPr>
          <w:b/>
          <w:bCs/>
          <w:color w:val="000000" w:themeColor="text1"/>
          <w:sz w:val="22"/>
          <w:szCs w:val="22"/>
        </w:rPr>
      </w:pPr>
      <w:r w:rsidRPr="004F076A">
        <w:rPr>
          <w:b/>
          <w:bCs/>
          <w:color w:val="000000" w:themeColor="text1"/>
          <w:sz w:val="22"/>
          <w:szCs w:val="22"/>
        </w:rPr>
        <w:t>Association of CMR metrics with incident cardiovascular disease</w:t>
      </w:r>
    </w:p>
    <w:p w14:paraId="3952700A" w14:textId="24A23EB2" w:rsidR="00516BC7" w:rsidRDefault="78D19415" w:rsidP="00511AE5">
      <w:pPr>
        <w:spacing w:line="480" w:lineRule="auto"/>
        <w:rPr>
          <w:color w:val="000000" w:themeColor="text1"/>
          <w:sz w:val="22"/>
          <w:szCs w:val="22"/>
        </w:rPr>
      </w:pPr>
      <w:r w:rsidRPr="004F076A">
        <w:rPr>
          <w:color w:val="000000" w:themeColor="text1"/>
          <w:sz w:val="22"/>
          <w:szCs w:val="22"/>
        </w:rPr>
        <w:t>In fully adjusted Cox regression models</w:t>
      </w:r>
      <w:r w:rsidR="00B01C7D">
        <w:rPr>
          <w:color w:val="000000" w:themeColor="text1"/>
          <w:sz w:val="22"/>
          <w:szCs w:val="22"/>
        </w:rPr>
        <w:t>,</w:t>
      </w:r>
      <w:r w:rsidR="0036788A">
        <w:rPr>
          <w:color w:val="000000" w:themeColor="text1"/>
          <w:sz w:val="22"/>
          <w:szCs w:val="22"/>
        </w:rPr>
        <w:t xml:space="preserve"> </w:t>
      </w:r>
      <w:r w:rsidR="00B01C7D">
        <w:rPr>
          <w:color w:val="000000" w:themeColor="text1"/>
          <w:sz w:val="22"/>
          <w:szCs w:val="22"/>
        </w:rPr>
        <w:t>with mutual inclusion of all the</w:t>
      </w:r>
      <w:r w:rsidR="002765A8">
        <w:rPr>
          <w:color w:val="000000" w:themeColor="text1"/>
          <w:sz w:val="22"/>
          <w:szCs w:val="22"/>
        </w:rPr>
        <w:t xml:space="preserve"> PCA rotated </w:t>
      </w:r>
      <w:r w:rsidR="005339D8">
        <w:rPr>
          <w:color w:val="000000" w:themeColor="text1"/>
          <w:sz w:val="22"/>
          <w:szCs w:val="22"/>
        </w:rPr>
        <w:t>CMR metrics</w:t>
      </w:r>
      <w:r w:rsidR="0036788A">
        <w:rPr>
          <w:color w:val="000000" w:themeColor="text1"/>
          <w:sz w:val="22"/>
          <w:szCs w:val="22"/>
        </w:rPr>
        <w:t>,</w:t>
      </w:r>
      <w:r w:rsidRPr="004F076A">
        <w:rPr>
          <w:color w:val="000000" w:themeColor="text1"/>
          <w:sz w:val="22"/>
          <w:szCs w:val="22"/>
        </w:rPr>
        <w:t xml:space="preserve"> </w:t>
      </w:r>
      <w:r w:rsidR="0036788A">
        <w:rPr>
          <w:color w:val="000000" w:themeColor="text1"/>
          <w:sz w:val="22"/>
          <w:szCs w:val="22"/>
        </w:rPr>
        <w:t>poorer LA function (</w:t>
      </w:r>
      <w:r w:rsidR="00955C27" w:rsidRPr="004F076A">
        <w:rPr>
          <w:color w:val="000000" w:themeColor="text1"/>
          <w:sz w:val="22"/>
          <w:szCs w:val="22"/>
        </w:rPr>
        <w:t xml:space="preserve">lower </w:t>
      </w:r>
      <w:r w:rsidR="00955C27" w:rsidRPr="00E52A7D">
        <w:rPr>
          <w:color w:val="000000" w:themeColor="text1"/>
          <w:sz w:val="22"/>
          <w:szCs w:val="22"/>
        </w:rPr>
        <w:t>LAEF</w:t>
      </w:r>
      <w:r w:rsidR="0036788A" w:rsidRPr="00E52A7D">
        <w:rPr>
          <w:color w:val="000000" w:themeColor="text1"/>
          <w:sz w:val="22"/>
          <w:szCs w:val="22"/>
        </w:rPr>
        <w:t>)</w:t>
      </w:r>
      <w:r w:rsidR="00955C27" w:rsidRPr="00E52A7D">
        <w:rPr>
          <w:color w:val="000000" w:themeColor="text1"/>
          <w:sz w:val="22"/>
          <w:szCs w:val="22"/>
        </w:rPr>
        <w:t xml:space="preserve"> was associated with significantly higher risk of incidence of all the CVDs considered</w:t>
      </w:r>
      <w:r w:rsidR="0051365D" w:rsidRPr="00E52A7D">
        <w:rPr>
          <w:color w:val="000000" w:themeColor="text1"/>
          <w:sz w:val="22"/>
          <w:szCs w:val="22"/>
        </w:rPr>
        <w:t xml:space="preserve">, </w:t>
      </w:r>
      <w:r w:rsidR="0051365D" w:rsidRPr="008B0B07">
        <w:rPr>
          <w:color w:val="000000" w:themeColor="text1"/>
          <w:sz w:val="22"/>
          <w:szCs w:val="22"/>
        </w:rPr>
        <w:t>specifically</w:t>
      </w:r>
      <w:r w:rsidR="00A433B9" w:rsidRPr="008B0B07">
        <w:rPr>
          <w:color w:val="000000" w:themeColor="text1"/>
          <w:sz w:val="22"/>
          <w:szCs w:val="22"/>
        </w:rPr>
        <w:t xml:space="preserve"> AF, stroke, IHD, and MI</w:t>
      </w:r>
      <w:r w:rsidR="00955C27" w:rsidRPr="008B0B07">
        <w:rPr>
          <w:color w:val="000000" w:themeColor="text1"/>
          <w:sz w:val="22"/>
          <w:szCs w:val="22"/>
        </w:rPr>
        <w:t xml:space="preserve"> (</w:t>
      </w:r>
      <w:r w:rsidR="00955C27" w:rsidRPr="008B0B07">
        <w:rPr>
          <w:b/>
          <w:bCs/>
          <w:color w:val="000000" w:themeColor="text1"/>
          <w:sz w:val="22"/>
          <w:szCs w:val="22"/>
        </w:rPr>
        <w:t>Table 3</w:t>
      </w:r>
      <w:r w:rsidR="003E5559" w:rsidRPr="008B0B07">
        <w:rPr>
          <w:b/>
          <w:bCs/>
          <w:color w:val="000000" w:themeColor="text1"/>
          <w:sz w:val="22"/>
          <w:szCs w:val="22"/>
        </w:rPr>
        <w:t xml:space="preserve">, </w:t>
      </w:r>
      <w:r w:rsidR="006B7275">
        <w:rPr>
          <w:b/>
          <w:bCs/>
          <w:color w:val="000000" w:themeColor="text1"/>
          <w:sz w:val="22"/>
          <w:szCs w:val="22"/>
        </w:rPr>
        <w:t>Graphical Abstract</w:t>
      </w:r>
      <w:r w:rsidR="00955C27" w:rsidRPr="008B0B07">
        <w:rPr>
          <w:color w:val="000000" w:themeColor="text1"/>
          <w:sz w:val="22"/>
          <w:szCs w:val="22"/>
        </w:rPr>
        <w:t>). Larger LA size was associated with significantly higher risk of incident AF. More concentric LV remodelling pattern</w:t>
      </w:r>
      <w:r w:rsidR="00180699" w:rsidRPr="008B0B07">
        <w:rPr>
          <w:color w:val="000000" w:themeColor="text1"/>
          <w:sz w:val="22"/>
          <w:szCs w:val="22"/>
        </w:rPr>
        <w:t>s</w:t>
      </w:r>
      <w:r w:rsidR="00955C27" w:rsidRPr="008B0B07">
        <w:rPr>
          <w:color w:val="000000" w:themeColor="text1"/>
          <w:sz w:val="22"/>
          <w:szCs w:val="22"/>
        </w:rPr>
        <w:t xml:space="preserve"> (higher LVM</w:t>
      </w:r>
      <w:r w:rsidR="003866C5" w:rsidRPr="008B0B07">
        <w:rPr>
          <w:color w:val="000000" w:themeColor="text1"/>
          <w:sz w:val="22"/>
          <w:szCs w:val="22"/>
        </w:rPr>
        <w:t xml:space="preserve">: </w:t>
      </w:r>
      <w:r w:rsidR="00955C27" w:rsidRPr="008B0B07">
        <w:rPr>
          <w:color w:val="000000" w:themeColor="text1"/>
          <w:sz w:val="22"/>
          <w:szCs w:val="22"/>
        </w:rPr>
        <w:t>LVEDV) w</w:t>
      </w:r>
      <w:r w:rsidR="00180699" w:rsidRPr="008B0B07">
        <w:rPr>
          <w:color w:val="000000" w:themeColor="text1"/>
          <w:sz w:val="22"/>
          <w:szCs w:val="22"/>
        </w:rPr>
        <w:t>ere</w:t>
      </w:r>
      <w:r w:rsidR="00955C27" w:rsidRPr="008B0B07">
        <w:rPr>
          <w:color w:val="000000" w:themeColor="text1"/>
          <w:sz w:val="22"/>
          <w:szCs w:val="22"/>
        </w:rPr>
        <w:t xml:space="preserve"> associated with significantly increased risk of incident stroke</w:t>
      </w:r>
      <w:r w:rsidR="006A558A" w:rsidRPr="008B0B07">
        <w:rPr>
          <w:color w:val="000000" w:themeColor="text1"/>
          <w:sz w:val="22"/>
          <w:szCs w:val="22"/>
        </w:rPr>
        <w:t xml:space="preserve"> and</w:t>
      </w:r>
      <w:r w:rsidR="00955C27" w:rsidRPr="008B0B07">
        <w:rPr>
          <w:color w:val="000000" w:themeColor="text1"/>
          <w:sz w:val="22"/>
          <w:szCs w:val="22"/>
        </w:rPr>
        <w:t xml:space="preserve"> </w:t>
      </w:r>
      <w:r w:rsidR="0051365D" w:rsidRPr="008B0B07">
        <w:rPr>
          <w:color w:val="000000" w:themeColor="text1"/>
          <w:sz w:val="22"/>
          <w:szCs w:val="22"/>
        </w:rPr>
        <w:t xml:space="preserve">incident </w:t>
      </w:r>
      <w:r w:rsidR="00955C27" w:rsidRPr="008B0B07">
        <w:rPr>
          <w:color w:val="000000" w:themeColor="text1"/>
          <w:sz w:val="22"/>
          <w:szCs w:val="22"/>
        </w:rPr>
        <w:t>IHD</w:t>
      </w:r>
      <w:r w:rsidR="006A558A" w:rsidRPr="008B0B07">
        <w:rPr>
          <w:color w:val="000000" w:themeColor="text1"/>
          <w:sz w:val="22"/>
          <w:szCs w:val="22"/>
        </w:rPr>
        <w:t xml:space="preserve"> </w:t>
      </w:r>
      <w:r w:rsidR="00955C27" w:rsidRPr="008B0B07">
        <w:rPr>
          <w:color w:val="000000" w:themeColor="text1"/>
          <w:sz w:val="22"/>
          <w:szCs w:val="22"/>
        </w:rPr>
        <w:t>(</w:t>
      </w:r>
      <w:r w:rsidR="00955C27" w:rsidRPr="008B0B07">
        <w:rPr>
          <w:b/>
          <w:bCs/>
          <w:color w:val="000000" w:themeColor="text1"/>
          <w:sz w:val="22"/>
          <w:szCs w:val="22"/>
        </w:rPr>
        <w:t>Table 3</w:t>
      </w:r>
      <w:r w:rsidR="00955C27" w:rsidRPr="008B0B07">
        <w:rPr>
          <w:color w:val="000000" w:themeColor="text1"/>
          <w:sz w:val="22"/>
          <w:szCs w:val="22"/>
        </w:rPr>
        <w:t xml:space="preserve">). </w:t>
      </w:r>
      <w:r w:rsidR="004C7D50" w:rsidRPr="008B0B07">
        <w:rPr>
          <w:color w:val="000000" w:themeColor="text1"/>
          <w:sz w:val="22"/>
          <w:szCs w:val="22"/>
        </w:rPr>
        <w:t>Lower LVGFI was associated with significantly higher risk of incident IHD</w:t>
      </w:r>
      <w:r w:rsidR="007F277B" w:rsidRPr="008B0B07">
        <w:rPr>
          <w:color w:val="000000" w:themeColor="text1"/>
          <w:sz w:val="22"/>
          <w:szCs w:val="22"/>
        </w:rPr>
        <w:t xml:space="preserve"> (</w:t>
      </w:r>
      <w:r w:rsidR="007F277B" w:rsidRPr="008B0B07">
        <w:rPr>
          <w:b/>
          <w:bCs/>
          <w:color w:val="000000" w:themeColor="text1"/>
          <w:sz w:val="22"/>
          <w:szCs w:val="22"/>
        </w:rPr>
        <w:t>Table 3</w:t>
      </w:r>
      <w:r w:rsidR="007F277B" w:rsidRPr="008B0B07">
        <w:rPr>
          <w:color w:val="000000" w:themeColor="text1"/>
          <w:sz w:val="22"/>
          <w:szCs w:val="22"/>
        </w:rPr>
        <w:t>)</w:t>
      </w:r>
      <w:r w:rsidR="004C7D50" w:rsidRPr="008B0B07">
        <w:rPr>
          <w:color w:val="000000" w:themeColor="text1"/>
          <w:sz w:val="22"/>
          <w:szCs w:val="22"/>
        </w:rPr>
        <w:t>.</w:t>
      </w:r>
      <w:r w:rsidR="007F277B" w:rsidRPr="008B0B07">
        <w:rPr>
          <w:color w:val="000000" w:themeColor="text1"/>
          <w:sz w:val="22"/>
          <w:szCs w:val="22"/>
        </w:rPr>
        <w:t xml:space="preserve"> In mutually adjusted models with LVEF instead of LVGFI, there was no significant association between LVEF and any of the incident CVDs</w:t>
      </w:r>
      <w:r w:rsidR="00B01C7D" w:rsidRPr="008B0B07">
        <w:rPr>
          <w:color w:val="000000" w:themeColor="text1"/>
          <w:sz w:val="22"/>
          <w:szCs w:val="22"/>
        </w:rPr>
        <w:t xml:space="preserve"> (</w:t>
      </w:r>
      <w:r w:rsidR="00B01C7D" w:rsidRPr="008B0B07">
        <w:rPr>
          <w:b/>
          <w:bCs/>
          <w:color w:val="000000" w:themeColor="text1"/>
          <w:sz w:val="22"/>
          <w:szCs w:val="22"/>
        </w:rPr>
        <w:t>Supplementary Table 8</w:t>
      </w:r>
      <w:r w:rsidR="00B01C7D" w:rsidRPr="008B0B07">
        <w:rPr>
          <w:color w:val="000000" w:themeColor="text1"/>
          <w:sz w:val="22"/>
          <w:szCs w:val="22"/>
        </w:rPr>
        <w:t>)</w:t>
      </w:r>
      <w:r w:rsidR="007F277B" w:rsidRPr="008B0B07">
        <w:rPr>
          <w:color w:val="000000" w:themeColor="text1"/>
          <w:sz w:val="22"/>
          <w:szCs w:val="22"/>
        </w:rPr>
        <w:t xml:space="preserve">. </w:t>
      </w:r>
      <w:r w:rsidR="0036788A" w:rsidRPr="008B0B07">
        <w:rPr>
          <w:color w:val="000000" w:themeColor="text1"/>
          <w:sz w:val="22"/>
          <w:szCs w:val="22"/>
        </w:rPr>
        <w:t xml:space="preserve">In </w:t>
      </w:r>
      <w:r w:rsidR="005339D8" w:rsidRPr="008B0B07">
        <w:rPr>
          <w:color w:val="000000" w:themeColor="text1"/>
          <w:sz w:val="22"/>
          <w:szCs w:val="22"/>
        </w:rPr>
        <w:t xml:space="preserve">equivalent </w:t>
      </w:r>
      <w:r w:rsidR="0036788A" w:rsidRPr="008B0B07">
        <w:rPr>
          <w:color w:val="000000" w:themeColor="text1"/>
          <w:sz w:val="22"/>
          <w:szCs w:val="22"/>
        </w:rPr>
        <w:t>Cox regression models</w:t>
      </w:r>
      <w:r w:rsidR="005339D8" w:rsidRPr="008B0B07">
        <w:rPr>
          <w:color w:val="000000" w:themeColor="text1"/>
          <w:sz w:val="22"/>
          <w:szCs w:val="22"/>
        </w:rPr>
        <w:t xml:space="preserve"> with</w:t>
      </w:r>
      <w:r w:rsidR="0036788A" w:rsidRPr="008B0B07">
        <w:rPr>
          <w:color w:val="000000" w:themeColor="text1"/>
          <w:sz w:val="22"/>
          <w:szCs w:val="22"/>
        </w:rPr>
        <w:t xml:space="preserve"> </w:t>
      </w:r>
      <w:r w:rsidR="00B01C7D" w:rsidRPr="008B0B07">
        <w:rPr>
          <w:color w:val="000000" w:themeColor="text1"/>
          <w:sz w:val="22"/>
          <w:szCs w:val="22"/>
        </w:rPr>
        <w:t>raw</w:t>
      </w:r>
      <w:r w:rsidR="0036788A" w:rsidRPr="008B0B07">
        <w:rPr>
          <w:color w:val="000000" w:themeColor="text1"/>
          <w:sz w:val="22"/>
          <w:szCs w:val="22"/>
        </w:rPr>
        <w:t xml:space="preserve"> </w:t>
      </w:r>
      <w:r w:rsidR="00B01C7D" w:rsidRPr="008B0B07">
        <w:rPr>
          <w:color w:val="000000" w:themeColor="text1"/>
          <w:sz w:val="22"/>
          <w:szCs w:val="22"/>
        </w:rPr>
        <w:t xml:space="preserve">individually entered </w:t>
      </w:r>
      <w:r w:rsidR="0036788A" w:rsidRPr="008B0B07">
        <w:rPr>
          <w:color w:val="000000" w:themeColor="text1"/>
          <w:sz w:val="22"/>
          <w:szCs w:val="22"/>
        </w:rPr>
        <w:t xml:space="preserve">CMR metrics, </w:t>
      </w:r>
      <w:r w:rsidR="00A07D63" w:rsidRPr="008B0B07">
        <w:rPr>
          <w:color w:val="000000" w:themeColor="text1"/>
          <w:sz w:val="22"/>
          <w:szCs w:val="22"/>
        </w:rPr>
        <w:t>the associations with LA metrics were largely unchanged (</w:t>
      </w:r>
      <w:r w:rsidR="00A07D63" w:rsidRPr="008B0B07">
        <w:rPr>
          <w:b/>
          <w:bCs/>
          <w:color w:val="000000" w:themeColor="text1"/>
          <w:sz w:val="22"/>
          <w:szCs w:val="22"/>
        </w:rPr>
        <w:t xml:space="preserve">Supplementary Table </w:t>
      </w:r>
      <w:r w:rsidR="007F277B" w:rsidRPr="008B0B07">
        <w:rPr>
          <w:b/>
          <w:bCs/>
          <w:color w:val="000000" w:themeColor="text1"/>
          <w:sz w:val="22"/>
          <w:szCs w:val="22"/>
        </w:rPr>
        <w:t>9</w:t>
      </w:r>
      <w:r w:rsidR="00A07D63" w:rsidRPr="008B0B07">
        <w:rPr>
          <w:color w:val="000000" w:themeColor="text1"/>
          <w:sz w:val="22"/>
          <w:szCs w:val="22"/>
        </w:rPr>
        <w:t xml:space="preserve">). In these models, </w:t>
      </w:r>
      <w:r w:rsidR="00D91117" w:rsidRPr="008B0B07">
        <w:rPr>
          <w:color w:val="000000" w:themeColor="text1"/>
          <w:sz w:val="22"/>
          <w:szCs w:val="22"/>
        </w:rPr>
        <w:t>AF, stroke, and IHD were associated with significantly lower LVGFI</w:t>
      </w:r>
      <w:r w:rsidR="005339D8" w:rsidRPr="008B0B07">
        <w:rPr>
          <w:color w:val="000000" w:themeColor="text1"/>
          <w:sz w:val="22"/>
          <w:szCs w:val="22"/>
        </w:rPr>
        <w:t>,</w:t>
      </w:r>
      <w:r w:rsidR="00D91117" w:rsidRPr="008B0B07">
        <w:rPr>
          <w:color w:val="000000" w:themeColor="text1"/>
          <w:sz w:val="22"/>
          <w:szCs w:val="22"/>
        </w:rPr>
        <w:t xml:space="preserve"> stroke</w:t>
      </w:r>
      <w:r w:rsidR="00D91117">
        <w:rPr>
          <w:color w:val="000000" w:themeColor="text1"/>
          <w:sz w:val="22"/>
          <w:szCs w:val="22"/>
        </w:rPr>
        <w:t xml:space="preserve"> and IHD were associated with significantly poorer GLS</w:t>
      </w:r>
      <w:r w:rsidR="00B01C7D">
        <w:rPr>
          <w:color w:val="000000" w:themeColor="text1"/>
          <w:sz w:val="22"/>
          <w:szCs w:val="22"/>
        </w:rPr>
        <w:t>, and AF</w:t>
      </w:r>
      <w:r w:rsidR="005339D8">
        <w:rPr>
          <w:color w:val="000000" w:themeColor="text1"/>
          <w:sz w:val="22"/>
          <w:szCs w:val="22"/>
        </w:rPr>
        <w:t xml:space="preserve"> </w:t>
      </w:r>
      <w:r w:rsidR="00B01C7D">
        <w:rPr>
          <w:color w:val="000000" w:themeColor="text1"/>
          <w:sz w:val="22"/>
          <w:szCs w:val="22"/>
        </w:rPr>
        <w:t xml:space="preserve">was associated with lower LVEF </w:t>
      </w:r>
      <w:r w:rsidR="005339D8">
        <w:rPr>
          <w:color w:val="000000" w:themeColor="text1"/>
          <w:sz w:val="22"/>
          <w:szCs w:val="22"/>
        </w:rPr>
        <w:t>(</w:t>
      </w:r>
      <w:r w:rsidR="005339D8" w:rsidRPr="005339D8">
        <w:rPr>
          <w:b/>
          <w:bCs/>
          <w:color w:val="000000" w:themeColor="text1"/>
          <w:sz w:val="22"/>
          <w:szCs w:val="22"/>
        </w:rPr>
        <w:t xml:space="preserve">Supplementary Table </w:t>
      </w:r>
      <w:r w:rsidR="00B01C7D">
        <w:rPr>
          <w:b/>
          <w:bCs/>
          <w:color w:val="000000" w:themeColor="text1"/>
          <w:sz w:val="22"/>
          <w:szCs w:val="22"/>
        </w:rPr>
        <w:t>9</w:t>
      </w:r>
      <w:r w:rsidR="005339D8">
        <w:rPr>
          <w:color w:val="000000" w:themeColor="text1"/>
          <w:sz w:val="22"/>
          <w:szCs w:val="22"/>
        </w:rPr>
        <w:t>); t</w:t>
      </w:r>
      <w:r w:rsidR="00D91117">
        <w:rPr>
          <w:color w:val="000000" w:themeColor="text1"/>
          <w:sz w:val="22"/>
          <w:szCs w:val="22"/>
        </w:rPr>
        <w:t>hese relationship</w:t>
      </w:r>
      <w:r w:rsidR="00A04AA0">
        <w:rPr>
          <w:color w:val="000000" w:themeColor="text1"/>
          <w:sz w:val="22"/>
          <w:szCs w:val="22"/>
        </w:rPr>
        <w:t>s</w:t>
      </w:r>
      <w:r w:rsidR="00D91117">
        <w:rPr>
          <w:color w:val="000000" w:themeColor="text1"/>
          <w:sz w:val="22"/>
          <w:szCs w:val="22"/>
        </w:rPr>
        <w:t xml:space="preserve"> (with exception of IHD and LVGFI) were attenuated in models mutually adjusting for all the CMR metrics</w:t>
      </w:r>
      <w:r w:rsidR="007A4F15" w:rsidRPr="004F076A">
        <w:rPr>
          <w:color w:val="000000" w:themeColor="text1"/>
          <w:sz w:val="22"/>
          <w:szCs w:val="22"/>
        </w:rPr>
        <w:t xml:space="preserve"> (</w:t>
      </w:r>
      <w:r w:rsidR="00D91117">
        <w:rPr>
          <w:b/>
          <w:bCs/>
          <w:color w:val="000000" w:themeColor="text1"/>
          <w:sz w:val="22"/>
          <w:szCs w:val="22"/>
        </w:rPr>
        <w:t>Table 3</w:t>
      </w:r>
      <w:r w:rsidR="007A4F15" w:rsidRPr="004F076A">
        <w:rPr>
          <w:b/>
          <w:bCs/>
          <w:color w:val="000000" w:themeColor="text1"/>
          <w:sz w:val="22"/>
          <w:szCs w:val="22"/>
        </w:rPr>
        <w:t>)</w:t>
      </w:r>
      <w:r w:rsidR="005339D8">
        <w:rPr>
          <w:color w:val="000000" w:themeColor="text1"/>
          <w:sz w:val="22"/>
          <w:szCs w:val="22"/>
        </w:rPr>
        <w:t>.</w:t>
      </w:r>
    </w:p>
    <w:p w14:paraId="7B51E287" w14:textId="77777777" w:rsidR="00516BC7" w:rsidRDefault="00516BC7" w:rsidP="00511AE5">
      <w:pPr>
        <w:spacing w:line="480" w:lineRule="auto"/>
        <w:rPr>
          <w:color w:val="000000" w:themeColor="text1"/>
          <w:sz w:val="22"/>
          <w:szCs w:val="22"/>
        </w:rPr>
      </w:pPr>
    </w:p>
    <w:p w14:paraId="48DE7158" w14:textId="0355CA92" w:rsidR="00516BC7" w:rsidRPr="008B0B07" w:rsidRDefault="00516BC7" w:rsidP="00511AE5">
      <w:pPr>
        <w:spacing w:line="480" w:lineRule="auto"/>
        <w:rPr>
          <w:b/>
          <w:bCs/>
          <w:color w:val="000000" w:themeColor="text1"/>
          <w:sz w:val="22"/>
          <w:szCs w:val="22"/>
        </w:rPr>
      </w:pPr>
      <w:r w:rsidRPr="008B0B07">
        <w:rPr>
          <w:b/>
          <w:bCs/>
          <w:color w:val="000000" w:themeColor="text1"/>
          <w:sz w:val="22"/>
          <w:szCs w:val="22"/>
        </w:rPr>
        <w:t>Association of CMR metrics with mortality outcomes</w:t>
      </w:r>
    </w:p>
    <w:p w14:paraId="1FF654D0" w14:textId="60D64E8E" w:rsidR="24EB06F6" w:rsidRPr="00F42600" w:rsidRDefault="00516BC7" w:rsidP="00511AE5">
      <w:pPr>
        <w:spacing w:line="480" w:lineRule="auto"/>
        <w:rPr>
          <w:b/>
          <w:bCs/>
          <w:color w:val="000000" w:themeColor="text1"/>
          <w:sz w:val="22"/>
          <w:szCs w:val="22"/>
        </w:rPr>
      </w:pPr>
      <w:r w:rsidRPr="008B0B07">
        <w:rPr>
          <w:color w:val="000000" w:themeColor="text1"/>
          <w:sz w:val="22"/>
          <w:szCs w:val="22"/>
        </w:rPr>
        <w:t>In fully adjusted Cox regression models, including all the PCA rotated CMR metrics, larger LAVi was associated with significantly greater hazard of CVD mortality. Poorer GLS was associated with significantly higher risk of all-cause mortality</w:t>
      </w:r>
      <w:r w:rsidR="00F42600" w:rsidRPr="008B0B07">
        <w:rPr>
          <w:color w:val="000000" w:themeColor="text1"/>
          <w:sz w:val="22"/>
          <w:szCs w:val="22"/>
        </w:rPr>
        <w:t>. Lower LVGFI was associated with significantly higher risk of both all-cause and CVD mortality (</w:t>
      </w:r>
      <w:r w:rsidR="00F42600" w:rsidRPr="008B0B07">
        <w:rPr>
          <w:b/>
          <w:bCs/>
          <w:color w:val="000000" w:themeColor="text1"/>
          <w:sz w:val="22"/>
          <w:szCs w:val="22"/>
        </w:rPr>
        <w:t>Table 3</w:t>
      </w:r>
      <w:r w:rsidR="00F42600" w:rsidRPr="008B0B07">
        <w:rPr>
          <w:color w:val="000000" w:themeColor="text1"/>
          <w:sz w:val="22"/>
          <w:szCs w:val="22"/>
        </w:rPr>
        <w:t>). In mutually adjusted models with LVEF instead of LVGFI, LVEF was also associated with significantly lower risk of all-cause and CVD mortality, but with slightly smaller effect sizes than LVGFI (</w:t>
      </w:r>
      <w:r w:rsidR="00F42600" w:rsidRPr="008B0B07">
        <w:rPr>
          <w:b/>
          <w:bCs/>
          <w:color w:val="000000" w:themeColor="text1"/>
          <w:sz w:val="22"/>
          <w:szCs w:val="22"/>
        </w:rPr>
        <w:t>Supplementary Table 8, Table 3</w:t>
      </w:r>
      <w:r w:rsidR="00F42600" w:rsidRPr="008B0B07">
        <w:rPr>
          <w:color w:val="000000" w:themeColor="text1"/>
          <w:sz w:val="22"/>
          <w:szCs w:val="22"/>
        </w:rPr>
        <w:t>).</w:t>
      </w:r>
      <w:r w:rsidR="24EB06F6" w:rsidRPr="004F076A">
        <w:rPr>
          <w:color w:val="000000" w:themeColor="text1"/>
          <w:sz w:val="22"/>
          <w:szCs w:val="22"/>
        </w:rPr>
        <w:br w:type="page"/>
      </w:r>
    </w:p>
    <w:p w14:paraId="189FEF73" w14:textId="0DFCC5D2" w:rsidR="3ED4C0E7" w:rsidRPr="004F076A" w:rsidRDefault="3ED4C0E7" w:rsidP="00511AE5">
      <w:pPr>
        <w:spacing w:line="480" w:lineRule="auto"/>
        <w:rPr>
          <w:b/>
          <w:bCs/>
          <w:color w:val="000000" w:themeColor="text1"/>
          <w:sz w:val="22"/>
          <w:szCs w:val="22"/>
        </w:rPr>
      </w:pPr>
      <w:r w:rsidRPr="004F076A">
        <w:rPr>
          <w:b/>
          <w:bCs/>
          <w:color w:val="000000" w:themeColor="text1"/>
          <w:sz w:val="22"/>
          <w:szCs w:val="22"/>
        </w:rPr>
        <w:t>Discussion</w:t>
      </w:r>
    </w:p>
    <w:p w14:paraId="50389B49" w14:textId="3146E35A" w:rsidR="3ED4C0E7" w:rsidRPr="004F076A" w:rsidRDefault="5E4CCBC5" w:rsidP="00511AE5">
      <w:pPr>
        <w:spacing w:line="480" w:lineRule="auto"/>
        <w:rPr>
          <w:b/>
          <w:bCs/>
          <w:color w:val="000000" w:themeColor="text1"/>
          <w:sz w:val="22"/>
          <w:szCs w:val="22"/>
        </w:rPr>
      </w:pPr>
      <w:r w:rsidRPr="004F076A">
        <w:rPr>
          <w:b/>
          <w:bCs/>
          <w:color w:val="000000" w:themeColor="text1"/>
          <w:sz w:val="22"/>
          <w:szCs w:val="22"/>
        </w:rPr>
        <w:t>Summary of findings</w:t>
      </w:r>
    </w:p>
    <w:p w14:paraId="1A9EDB97" w14:textId="27748291" w:rsidR="00993F1D" w:rsidRPr="004F076A" w:rsidRDefault="005E790D" w:rsidP="00511AE5">
      <w:pPr>
        <w:spacing w:line="480" w:lineRule="auto"/>
        <w:rPr>
          <w:color w:val="000000" w:themeColor="text1"/>
          <w:sz w:val="22"/>
          <w:szCs w:val="22"/>
        </w:rPr>
      </w:pPr>
      <w:r w:rsidRPr="004F076A">
        <w:rPr>
          <w:color w:val="000000" w:themeColor="text1"/>
          <w:sz w:val="22"/>
          <w:szCs w:val="22"/>
        </w:rPr>
        <w:t xml:space="preserve">In this study of </w:t>
      </w:r>
      <w:r w:rsidR="006669A1">
        <w:rPr>
          <w:color w:val="000000" w:themeColor="text1"/>
          <w:sz w:val="22"/>
          <w:szCs w:val="22"/>
        </w:rPr>
        <w:t>25,896</w:t>
      </w:r>
      <w:r w:rsidRPr="004F076A">
        <w:rPr>
          <w:color w:val="000000" w:themeColor="text1"/>
          <w:sz w:val="22"/>
          <w:szCs w:val="22"/>
        </w:rPr>
        <w:t xml:space="preserve"> UK Biobank</w:t>
      </w:r>
      <w:r w:rsidR="00993F1D" w:rsidRPr="004F076A">
        <w:rPr>
          <w:color w:val="000000" w:themeColor="text1"/>
          <w:sz w:val="22"/>
          <w:szCs w:val="22"/>
        </w:rPr>
        <w:t xml:space="preserve"> participants</w:t>
      </w:r>
      <w:r w:rsidRPr="004F076A">
        <w:rPr>
          <w:color w:val="000000" w:themeColor="text1"/>
          <w:sz w:val="22"/>
          <w:szCs w:val="22"/>
        </w:rPr>
        <w:t xml:space="preserve">, we demonstrate associations of </w:t>
      </w:r>
      <w:r w:rsidR="00993F1D" w:rsidRPr="004F076A">
        <w:rPr>
          <w:color w:val="000000" w:themeColor="text1"/>
          <w:sz w:val="22"/>
          <w:szCs w:val="22"/>
        </w:rPr>
        <w:t>CMR derived LA structure and function metrics</w:t>
      </w:r>
      <w:r w:rsidR="006669A1">
        <w:rPr>
          <w:color w:val="000000" w:themeColor="text1"/>
          <w:sz w:val="22"/>
          <w:szCs w:val="22"/>
        </w:rPr>
        <w:t xml:space="preserve"> </w:t>
      </w:r>
      <w:r w:rsidR="00993F1D" w:rsidRPr="004F076A">
        <w:rPr>
          <w:color w:val="000000" w:themeColor="text1"/>
          <w:sz w:val="22"/>
          <w:szCs w:val="22"/>
        </w:rPr>
        <w:t>with VRFs, prevalent CVDs, incident CVDs</w:t>
      </w:r>
      <w:r w:rsidR="00DE019A">
        <w:rPr>
          <w:color w:val="000000" w:themeColor="text1"/>
          <w:sz w:val="22"/>
          <w:szCs w:val="22"/>
        </w:rPr>
        <w:t xml:space="preserve"> and mortality outcomes</w:t>
      </w:r>
      <w:r w:rsidR="007152DF">
        <w:rPr>
          <w:color w:val="000000" w:themeColor="text1"/>
          <w:sz w:val="22"/>
          <w:szCs w:val="22"/>
        </w:rPr>
        <w:t xml:space="preserve">, </w:t>
      </w:r>
      <w:r w:rsidR="006669A1">
        <w:rPr>
          <w:color w:val="000000" w:themeColor="text1"/>
          <w:sz w:val="22"/>
          <w:szCs w:val="22"/>
        </w:rPr>
        <w:t xml:space="preserve">independent of LV measures and </w:t>
      </w:r>
      <w:r w:rsidR="00993F1D" w:rsidRPr="004F076A">
        <w:rPr>
          <w:color w:val="000000" w:themeColor="text1"/>
          <w:sz w:val="22"/>
          <w:szCs w:val="22"/>
        </w:rPr>
        <w:t xml:space="preserve">a wide range of </w:t>
      </w:r>
      <w:r w:rsidR="006669A1">
        <w:rPr>
          <w:color w:val="000000" w:themeColor="text1"/>
          <w:sz w:val="22"/>
          <w:szCs w:val="22"/>
        </w:rPr>
        <w:t xml:space="preserve">clinical </w:t>
      </w:r>
      <w:r w:rsidR="00993F1D" w:rsidRPr="004F076A">
        <w:rPr>
          <w:color w:val="000000" w:themeColor="text1"/>
          <w:sz w:val="22"/>
          <w:szCs w:val="22"/>
        </w:rPr>
        <w:t>confounders</w:t>
      </w:r>
      <w:r w:rsidR="007152DF">
        <w:rPr>
          <w:color w:val="000000" w:themeColor="text1"/>
          <w:sz w:val="22"/>
          <w:szCs w:val="22"/>
        </w:rPr>
        <w:t>.</w:t>
      </w:r>
    </w:p>
    <w:p w14:paraId="3C79647E" w14:textId="77777777" w:rsidR="00166C6C" w:rsidRPr="004F076A" w:rsidRDefault="00166C6C" w:rsidP="00511AE5">
      <w:pPr>
        <w:spacing w:line="480" w:lineRule="auto"/>
        <w:rPr>
          <w:color w:val="000000" w:themeColor="text1"/>
          <w:sz w:val="22"/>
          <w:szCs w:val="22"/>
        </w:rPr>
      </w:pPr>
    </w:p>
    <w:p w14:paraId="2C4BB7B5" w14:textId="7A8BF328" w:rsidR="00993F1D" w:rsidRPr="004F076A" w:rsidRDefault="00547410" w:rsidP="00993F1D">
      <w:pPr>
        <w:spacing w:line="480" w:lineRule="auto"/>
        <w:rPr>
          <w:color w:val="000000" w:themeColor="text1"/>
          <w:sz w:val="22"/>
          <w:szCs w:val="22"/>
        </w:rPr>
      </w:pPr>
      <w:r w:rsidRPr="004F076A">
        <w:rPr>
          <w:color w:val="000000" w:themeColor="text1"/>
          <w:sz w:val="22"/>
          <w:szCs w:val="22"/>
        </w:rPr>
        <w:t>L</w:t>
      </w:r>
      <w:r w:rsidR="003B0F28" w:rsidRPr="004F076A">
        <w:rPr>
          <w:color w:val="000000" w:themeColor="text1"/>
          <w:sz w:val="22"/>
          <w:szCs w:val="22"/>
        </w:rPr>
        <w:t xml:space="preserve">ower </w:t>
      </w:r>
      <w:r w:rsidR="005E790D" w:rsidRPr="004F076A">
        <w:rPr>
          <w:color w:val="000000" w:themeColor="text1"/>
          <w:sz w:val="22"/>
          <w:szCs w:val="22"/>
        </w:rPr>
        <w:t xml:space="preserve">LAEF emerged as a consistent and independent indicator of </w:t>
      </w:r>
      <w:r w:rsidR="003B0F28" w:rsidRPr="004F076A">
        <w:rPr>
          <w:color w:val="000000" w:themeColor="text1"/>
          <w:sz w:val="22"/>
          <w:szCs w:val="22"/>
        </w:rPr>
        <w:t>VRFs (diabetes</w:t>
      </w:r>
      <w:r w:rsidR="00FB4373">
        <w:rPr>
          <w:color w:val="000000" w:themeColor="text1"/>
          <w:sz w:val="22"/>
          <w:szCs w:val="22"/>
        </w:rPr>
        <w:t>, smoking</w:t>
      </w:r>
      <w:r w:rsidR="003B0F28" w:rsidRPr="004F076A">
        <w:rPr>
          <w:color w:val="000000" w:themeColor="text1"/>
          <w:sz w:val="22"/>
          <w:szCs w:val="22"/>
        </w:rPr>
        <w:t>) and prevalent and incident CVDs (AF, stroke, IHD, MI).</w:t>
      </w:r>
      <w:r w:rsidR="00166C6C" w:rsidRPr="004F076A">
        <w:rPr>
          <w:color w:val="000000" w:themeColor="text1"/>
          <w:sz w:val="22"/>
          <w:szCs w:val="22"/>
        </w:rPr>
        <w:t xml:space="preserve"> </w:t>
      </w:r>
      <w:r w:rsidR="00187B59" w:rsidRPr="004F076A">
        <w:rPr>
          <w:color w:val="000000" w:themeColor="text1"/>
          <w:sz w:val="22"/>
          <w:szCs w:val="22"/>
        </w:rPr>
        <w:t>Diabetes</w:t>
      </w:r>
      <w:r w:rsidR="007D6679">
        <w:rPr>
          <w:color w:val="000000" w:themeColor="text1"/>
          <w:sz w:val="22"/>
          <w:szCs w:val="22"/>
        </w:rPr>
        <w:t xml:space="preserve">, high cholesterol, </w:t>
      </w:r>
      <w:r w:rsidR="00187B59" w:rsidRPr="004F076A">
        <w:rPr>
          <w:color w:val="000000" w:themeColor="text1"/>
          <w:sz w:val="22"/>
          <w:szCs w:val="22"/>
        </w:rPr>
        <w:t xml:space="preserve">and smoking were associated with </w:t>
      </w:r>
      <w:r w:rsidR="007152DF">
        <w:rPr>
          <w:color w:val="000000" w:themeColor="text1"/>
          <w:sz w:val="22"/>
          <w:szCs w:val="22"/>
        </w:rPr>
        <w:t>smaller</w:t>
      </w:r>
      <w:r w:rsidR="008762FD">
        <w:rPr>
          <w:color w:val="000000" w:themeColor="text1"/>
          <w:sz w:val="22"/>
          <w:szCs w:val="22"/>
        </w:rPr>
        <w:t xml:space="preserve"> LAV</w:t>
      </w:r>
      <w:r w:rsidR="00564AA6">
        <w:rPr>
          <w:color w:val="000000" w:themeColor="text1"/>
          <w:sz w:val="22"/>
          <w:szCs w:val="22"/>
        </w:rPr>
        <w:t>. H</w:t>
      </w:r>
      <w:r w:rsidR="00166C6C" w:rsidRPr="004F076A">
        <w:rPr>
          <w:color w:val="000000" w:themeColor="text1"/>
          <w:sz w:val="22"/>
          <w:szCs w:val="22"/>
        </w:rPr>
        <w:t>ypertension</w:t>
      </w:r>
      <w:r w:rsidR="00564AA6">
        <w:rPr>
          <w:color w:val="000000" w:themeColor="text1"/>
          <w:sz w:val="22"/>
          <w:szCs w:val="22"/>
        </w:rPr>
        <w:t xml:space="preserve"> and IHD </w:t>
      </w:r>
      <w:r w:rsidR="008762FD">
        <w:rPr>
          <w:color w:val="000000" w:themeColor="text1"/>
          <w:sz w:val="22"/>
          <w:szCs w:val="22"/>
        </w:rPr>
        <w:t>were associated with l</w:t>
      </w:r>
      <w:r w:rsidR="008762FD" w:rsidRPr="004F076A">
        <w:rPr>
          <w:color w:val="000000" w:themeColor="text1"/>
          <w:sz w:val="22"/>
          <w:szCs w:val="22"/>
        </w:rPr>
        <w:t>arger LA</w:t>
      </w:r>
      <w:r w:rsidR="007152DF">
        <w:rPr>
          <w:color w:val="000000" w:themeColor="text1"/>
          <w:sz w:val="22"/>
          <w:szCs w:val="22"/>
        </w:rPr>
        <w:t>V,</w:t>
      </w:r>
      <w:r w:rsidR="008762FD" w:rsidRPr="004F076A">
        <w:rPr>
          <w:color w:val="000000" w:themeColor="text1"/>
          <w:sz w:val="22"/>
          <w:szCs w:val="22"/>
        </w:rPr>
        <w:t xml:space="preserve"> </w:t>
      </w:r>
      <w:r w:rsidR="00187B59" w:rsidRPr="004F076A">
        <w:rPr>
          <w:color w:val="000000" w:themeColor="text1"/>
          <w:sz w:val="22"/>
          <w:szCs w:val="22"/>
        </w:rPr>
        <w:t>perhaps reflecting more advanced diastolic dysfunction in these conditions.</w:t>
      </w:r>
      <w:r w:rsidR="00564AA6">
        <w:rPr>
          <w:color w:val="000000" w:themeColor="text1"/>
          <w:sz w:val="22"/>
          <w:szCs w:val="22"/>
        </w:rPr>
        <w:t xml:space="preserve"> </w:t>
      </w:r>
      <w:r w:rsidR="007152DF">
        <w:rPr>
          <w:color w:val="000000" w:themeColor="text1"/>
          <w:sz w:val="22"/>
          <w:szCs w:val="22"/>
        </w:rPr>
        <w:t>B</w:t>
      </w:r>
      <w:r w:rsidR="00564AA6">
        <w:rPr>
          <w:color w:val="000000" w:themeColor="text1"/>
          <w:sz w:val="22"/>
          <w:szCs w:val="22"/>
        </w:rPr>
        <w:t>oth prevalent and incident AF were associated with large LA sizes.</w:t>
      </w:r>
      <w:r w:rsidR="00187B59" w:rsidRPr="004F076A">
        <w:rPr>
          <w:color w:val="000000" w:themeColor="text1"/>
          <w:sz w:val="22"/>
          <w:szCs w:val="22"/>
        </w:rPr>
        <w:t xml:space="preserve"> More</w:t>
      </w:r>
      <w:r w:rsidR="00993F1D" w:rsidRPr="004F076A">
        <w:rPr>
          <w:color w:val="000000" w:themeColor="text1"/>
          <w:sz w:val="22"/>
          <w:szCs w:val="22"/>
        </w:rPr>
        <w:t xml:space="preserve"> concentric LV remodelling patterns </w:t>
      </w:r>
      <w:r w:rsidR="00187B59" w:rsidRPr="004F076A">
        <w:rPr>
          <w:color w:val="000000" w:themeColor="text1"/>
          <w:sz w:val="22"/>
          <w:szCs w:val="22"/>
        </w:rPr>
        <w:t xml:space="preserve">were associated </w:t>
      </w:r>
      <w:r w:rsidR="00993F1D" w:rsidRPr="004F076A">
        <w:rPr>
          <w:color w:val="000000" w:themeColor="text1"/>
          <w:sz w:val="22"/>
          <w:szCs w:val="22"/>
        </w:rPr>
        <w:t xml:space="preserve">with VRFs and incident CVDs, whilst prevalent CVDs were associated with more eccentric LV remodelling. These </w:t>
      </w:r>
      <w:r w:rsidR="00993F1D" w:rsidRPr="008B0B07">
        <w:rPr>
          <w:color w:val="000000" w:themeColor="text1"/>
          <w:sz w:val="22"/>
          <w:szCs w:val="22"/>
        </w:rPr>
        <w:t>observations likely reflect differential dominance of LV pressure and volume overload in the transition from risk factor to disease, with volume overload becoming dominant after disease occurrence.</w:t>
      </w:r>
      <w:r w:rsidR="00187B59" w:rsidRPr="008B0B07">
        <w:rPr>
          <w:color w:val="000000" w:themeColor="text1"/>
          <w:sz w:val="22"/>
          <w:szCs w:val="22"/>
        </w:rPr>
        <w:t xml:space="preserve"> </w:t>
      </w:r>
      <w:r w:rsidR="00993F1D" w:rsidRPr="008B0B07">
        <w:rPr>
          <w:color w:val="000000" w:themeColor="text1"/>
          <w:sz w:val="22"/>
          <w:szCs w:val="22"/>
        </w:rPr>
        <w:t>LVGFI</w:t>
      </w:r>
      <w:r w:rsidR="00F42600" w:rsidRPr="008B0B07">
        <w:rPr>
          <w:color w:val="000000" w:themeColor="text1"/>
          <w:sz w:val="22"/>
          <w:szCs w:val="22"/>
        </w:rPr>
        <w:t xml:space="preserve">, </w:t>
      </w:r>
      <w:r w:rsidR="00993F1D" w:rsidRPr="008B0B07">
        <w:rPr>
          <w:color w:val="000000" w:themeColor="text1"/>
          <w:sz w:val="22"/>
          <w:szCs w:val="22"/>
        </w:rPr>
        <w:t>GLS</w:t>
      </w:r>
      <w:r w:rsidR="00F42600" w:rsidRPr="008B0B07">
        <w:rPr>
          <w:color w:val="000000" w:themeColor="text1"/>
          <w:sz w:val="22"/>
          <w:szCs w:val="22"/>
        </w:rPr>
        <w:t>, and LVEF</w:t>
      </w:r>
      <w:r w:rsidR="00993F1D" w:rsidRPr="008B0B07">
        <w:rPr>
          <w:color w:val="000000" w:themeColor="text1"/>
          <w:sz w:val="22"/>
          <w:szCs w:val="22"/>
        </w:rPr>
        <w:t xml:space="preserve"> provided good indications of VRFs and prevalent CVDs</w:t>
      </w:r>
      <w:r w:rsidR="00187B59" w:rsidRPr="008B0B07">
        <w:rPr>
          <w:color w:val="000000" w:themeColor="text1"/>
          <w:sz w:val="22"/>
          <w:szCs w:val="22"/>
        </w:rPr>
        <w:t xml:space="preserve">, </w:t>
      </w:r>
      <w:r w:rsidR="00564AA6" w:rsidRPr="008B0B07">
        <w:rPr>
          <w:color w:val="000000" w:themeColor="text1"/>
          <w:sz w:val="22"/>
          <w:szCs w:val="22"/>
        </w:rPr>
        <w:t>with LVGFI showing</w:t>
      </w:r>
      <w:r w:rsidR="00564AA6">
        <w:rPr>
          <w:color w:val="000000" w:themeColor="text1"/>
          <w:sz w:val="22"/>
          <w:szCs w:val="22"/>
        </w:rPr>
        <w:t xml:space="preserve"> the most consistent results. </w:t>
      </w:r>
      <w:r w:rsidR="00F42600">
        <w:rPr>
          <w:color w:val="000000" w:themeColor="text1"/>
          <w:sz w:val="22"/>
          <w:szCs w:val="22"/>
        </w:rPr>
        <w:t>LVGFI and LVEF were independent predictors of all-cause and CVD mortality, with larger effect sizes observed with LVGFI. Higher LAVi was independently associated with significantly higher CVD mortality.</w:t>
      </w:r>
    </w:p>
    <w:p w14:paraId="6C91B14D" w14:textId="77777777" w:rsidR="00993F1D" w:rsidRPr="004F076A" w:rsidRDefault="00993F1D" w:rsidP="00511AE5">
      <w:pPr>
        <w:spacing w:line="480" w:lineRule="auto"/>
        <w:rPr>
          <w:color w:val="000000" w:themeColor="text1"/>
          <w:sz w:val="22"/>
          <w:szCs w:val="22"/>
        </w:rPr>
      </w:pPr>
    </w:p>
    <w:p w14:paraId="5A2CD338" w14:textId="16202212" w:rsidR="00993F1D" w:rsidRPr="008B0B07" w:rsidRDefault="00564AA6" w:rsidP="00511AE5">
      <w:pPr>
        <w:spacing w:line="480" w:lineRule="auto"/>
        <w:rPr>
          <w:color w:val="000000" w:themeColor="text1"/>
          <w:sz w:val="22"/>
          <w:szCs w:val="22"/>
        </w:rPr>
      </w:pPr>
      <w:r>
        <w:rPr>
          <w:color w:val="000000" w:themeColor="text1"/>
          <w:sz w:val="22"/>
          <w:szCs w:val="22"/>
        </w:rPr>
        <w:t>Both the</w:t>
      </w:r>
      <w:r w:rsidR="00993F1D" w:rsidRPr="004F076A">
        <w:rPr>
          <w:color w:val="000000" w:themeColor="text1"/>
          <w:sz w:val="22"/>
          <w:szCs w:val="22"/>
        </w:rPr>
        <w:t xml:space="preserve"> LV and LA metrics were independently informative in associations with </w:t>
      </w:r>
      <w:r>
        <w:rPr>
          <w:color w:val="000000" w:themeColor="text1"/>
          <w:sz w:val="22"/>
          <w:szCs w:val="22"/>
        </w:rPr>
        <w:t xml:space="preserve">risk factors and </w:t>
      </w:r>
      <w:r w:rsidR="00993F1D" w:rsidRPr="004F076A">
        <w:rPr>
          <w:color w:val="000000" w:themeColor="text1"/>
          <w:sz w:val="22"/>
          <w:szCs w:val="22"/>
        </w:rPr>
        <w:t>prevalent disease</w:t>
      </w:r>
      <w:r w:rsidR="00187B59" w:rsidRPr="004F076A">
        <w:rPr>
          <w:color w:val="000000" w:themeColor="text1"/>
          <w:sz w:val="22"/>
          <w:szCs w:val="22"/>
        </w:rPr>
        <w:t>.</w:t>
      </w:r>
      <w:r w:rsidR="00993F1D" w:rsidRPr="004F076A">
        <w:rPr>
          <w:color w:val="000000" w:themeColor="text1"/>
          <w:sz w:val="22"/>
          <w:szCs w:val="22"/>
        </w:rPr>
        <w:t xml:space="preserve"> </w:t>
      </w:r>
      <w:r w:rsidR="007152DF">
        <w:rPr>
          <w:color w:val="000000" w:themeColor="text1"/>
          <w:sz w:val="22"/>
          <w:szCs w:val="22"/>
        </w:rPr>
        <w:t>I</w:t>
      </w:r>
      <w:r w:rsidR="00993F1D" w:rsidRPr="004F076A">
        <w:rPr>
          <w:color w:val="000000" w:themeColor="text1"/>
          <w:sz w:val="22"/>
          <w:szCs w:val="22"/>
        </w:rPr>
        <w:t xml:space="preserve">n associations with incident outcomes many of the LV associations were attenuated, whilst LAEF associations </w:t>
      </w:r>
      <w:r w:rsidR="007152DF" w:rsidRPr="004F076A">
        <w:rPr>
          <w:color w:val="000000" w:themeColor="text1"/>
          <w:sz w:val="22"/>
          <w:szCs w:val="22"/>
        </w:rPr>
        <w:t xml:space="preserve">with all incident CVDs </w:t>
      </w:r>
      <w:r w:rsidR="00993F1D" w:rsidRPr="004F076A">
        <w:rPr>
          <w:color w:val="000000" w:themeColor="text1"/>
          <w:sz w:val="22"/>
          <w:szCs w:val="22"/>
        </w:rPr>
        <w:t xml:space="preserve">remained </w:t>
      </w:r>
      <w:r w:rsidR="00187B59" w:rsidRPr="004F076A">
        <w:rPr>
          <w:color w:val="000000" w:themeColor="text1"/>
          <w:sz w:val="22"/>
          <w:szCs w:val="22"/>
        </w:rPr>
        <w:t>robust</w:t>
      </w:r>
      <w:r w:rsidR="007152DF">
        <w:rPr>
          <w:color w:val="000000" w:themeColor="text1"/>
          <w:sz w:val="22"/>
          <w:szCs w:val="22"/>
        </w:rPr>
        <w:t xml:space="preserve"> </w:t>
      </w:r>
      <w:r w:rsidR="00993F1D" w:rsidRPr="004F076A">
        <w:rPr>
          <w:color w:val="000000" w:themeColor="text1"/>
          <w:sz w:val="22"/>
          <w:szCs w:val="22"/>
        </w:rPr>
        <w:t xml:space="preserve">independent of LV metrics </w:t>
      </w:r>
      <w:r w:rsidR="00187B59" w:rsidRPr="004F076A">
        <w:rPr>
          <w:color w:val="000000" w:themeColor="text1"/>
          <w:sz w:val="22"/>
          <w:szCs w:val="22"/>
        </w:rPr>
        <w:t xml:space="preserve">and </w:t>
      </w:r>
      <w:r w:rsidR="00187B59" w:rsidRPr="008B0B07">
        <w:rPr>
          <w:color w:val="000000" w:themeColor="text1"/>
          <w:sz w:val="22"/>
          <w:szCs w:val="22"/>
        </w:rPr>
        <w:t>other confounders</w:t>
      </w:r>
      <w:r w:rsidR="00993F1D" w:rsidRPr="008B0B07">
        <w:rPr>
          <w:color w:val="000000" w:themeColor="text1"/>
          <w:sz w:val="22"/>
          <w:szCs w:val="22"/>
        </w:rPr>
        <w:t>.</w:t>
      </w:r>
      <w:r w:rsidR="001F32C1" w:rsidRPr="008B0B07">
        <w:rPr>
          <w:color w:val="000000" w:themeColor="text1"/>
          <w:sz w:val="22"/>
          <w:szCs w:val="22"/>
        </w:rPr>
        <w:t xml:space="preserve"> </w:t>
      </w:r>
      <w:r w:rsidR="006669A1" w:rsidRPr="008B0B07">
        <w:rPr>
          <w:color w:val="000000" w:themeColor="text1"/>
          <w:sz w:val="22"/>
          <w:szCs w:val="22"/>
        </w:rPr>
        <w:t xml:space="preserve">Larger </w:t>
      </w:r>
      <w:r w:rsidR="00F42600" w:rsidRPr="008B0B07">
        <w:rPr>
          <w:color w:val="000000" w:themeColor="text1"/>
          <w:sz w:val="22"/>
          <w:szCs w:val="22"/>
        </w:rPr>
        <w:t xml:space="preserve">LAVi appeared a strong independent predictor for CVD mortality. </w:t>
      </w:r>
      <w:r w:rsidR="001F32C1" w:rsidRPr="008B0B07">
        <w:rPr>
          <w:color w:val="000000" w:themeColor="text1"/>
          <w:sz w:val="22"/>
          <w:szCs w:val="22"/>
        </w:rPr>
        <w:t>These observations demonstrate the independent utility of LA</w:t>
      </w:r>
      <w:r w:rsidR="00F42600" w:rsidRPr="008B0B07">
        <w:rPr>
          <w:color w:val="000000" w:themeColor="text1"/>
          <w:sz w:val="22"/>
          <w:szCs w:val="22"/>
        </w:rPr>
        <w:t xml:space="preserve"> structure and function metrics</w:t>
      </w:r>
      <w:r w:rsidR="0086121B" w:rsidRPr="008B0B07">
        <w:rPr>
          <w:color w:val="000000" w:themeColor="text1"/>
          <w:sz w:val="22"/>
          <w:szCs w:val="22"/>
        </w:rPr>
        <w:t xml:space="preserve">, particularly for </w:t>
      </w:r>
      <w:r w:rsidR="001F32C1" w:rsidRPr="008B0B07">
        <w:rPr>
          <w:color w:val="000000" w:themeColor="text1"/>
          <w:sz w:val="22"/>
          <w:szCs w:val="22"/>
        </w:rPr>
        <w:t>predict</w:t>
      </w:r>
      <w:r w:rsidR="0086121B" w:rsidRPr="008B0B07">
        <w:rPr>
          <w:color w:val="000000" w:themeColor="text1"/>
          <w:sz w:val="22"/>
          <w:szCs w:val="22"/>
        </w:rPr>
        <w:t>ion</w:t>
      </w:r>
      <w:r w:rsidR="001F32C1" w:rsidRPr="008B0B07">
        <w:rPr>
          <w:color w:val="000000" w:themeColor="text1"/>
          <w:sz w:val="22"/>
          <w:szCs w:val="22"/>
        </w:rPr>
        <w:t xml:space="preserve"> of incident</w:t>
      </w:r>
      <w:r w:rsidR="00DE019A" w:rsidRPr="008B0B07">
        <w:rPr>
          <w:color w:val="000000" w:themeColor="text1"/>
          <w:sz w:val="22"/>
          <w:szCs w:val="22"/>
        </w:rPr>
        <w:t xml:space="preserve"> </w:t>
      </w:r>
      <w:r w:rsidR="0086121B" w:rsidRPr="008B0B07">
        <w:rPr>
          <w:color w:val="000000" w:themeColor="text1"/>
          <w:sz w:val="22"/>
          <w:szCs w:val="22"/>
        </w:rPr>
        <w:t xml:space="preserve">outcomes, which likely reflects </w:t>
      </w:r>
      <w:r w:rsidR="0002244A" w:rsidRPr="008B0B07">
        <w:rPr>
          <w:color w:val="000000" w:themeColor="text1"/>
          <w:sz w:val="22"/>
          <w:szCs w:val="22"/>
        </w:rPr>
        <w:t xml:space="preserve">pre-clinical </w:t>
      </w:r>
      <w:r w:rsidR="0086121B" w:rsidRPr="008B0B07">
        <w:rPr>
          <w:color w:val="000000" w:themeColor="text1"/>
          <w:sz w:val="22"/>
          <w:szCs w:val="22"/>
        </w:rPr>
        <w:t>LA remodelling before establishment of LV alterations.</w:t>
      </w:r>
      <w:r w:rsidR="00F42600" w:rsidRPr="008B0B07">
        <w:rPr>
          <w:color w:val="000000" w:themeColor="text1"/>
          <w:sz w:val="22"/>
          <w:szCs w:val="22"/>
        </w:rPr>
        <w:t xml:space="preserve"> </w:t>
      </w:r>
    </w:p>
    <w:p w14:paraId="40A33894" w14:textId="77777777" w:rsidR="0086121B" w:rsidRPr="008B0B07" w:rsidRDefault="0086121B" w:rsidP="00511AE5">
      <w:pPr>
        <w:spacing w:line="480" w:lineRule="auto"/>
        <w:rPr>
          <w:color w:val="000000" w:themeColor="text1"/>
          <w:sz w:val="22"/>
          <w:szCs w:val="22"/>
        </w:rPr>
      </w:pPr>
    </w:p>
    <w:p w14:paraId="0ECC2C23" w14:textId="4927BABD" w:rsidR="113F8A5C" w:rsidRPr="004F076A" w:rsidRDefault="113F8A5C" w:rsidP="00511AE5">
      <w:pPr>
        <w:spacing w:line="480" w:lineRule="auto"/>
        <w:rPr>
          <w:b/>
          <w:bCs/>
          <w:color w:val="000000" w:themeColor="text1"/>
          <w:sz w:val="22"/>
          <w:szCs w:val="22"/>
        </w:rPr>
      </w:pPr>
      <w:r w:rsidRPr="008B0B07">
        <w:rPr>
          <w:b/>
          <w:bCs/>
          <w:color w:val="000000" w:themeColor="text1"/>
          <w:sz w:val="22"/>
          <w:szCs w:val="22"/>
        </w:rPr>
        <w:t>Comparison with exi</w:t>
      </w:r>
      <w:r w:rsidRPr="004F076A">
        <w:rPr>
          <w:b/>
          <w:bCs/>
          <w:color w:val="000000" w:themeColor="text1"/>
          <w:sz w:val="22"/>
          <w:szCs w:val="22"/>
        </w:rPr>
        <w:t>sting research</w:t>
      </w:r>
    </w:p>
    <w:p w14:paraId="3434022A" w14:textId="1C2E1CB9" w:rsidR="009F5D7D" w:rsidRPr="004F076A" w:rsidRDefault="003F4145" w:rsidP="00511AE5">
      <w:pPr>
        <w:spacing w:line="480" w:lineRule="auto"/>
        <w:rPr>
          <w:color w:val="000000" w:themeColor="text1"/>
          <w:sz w:val="22"/>
          <w:szCs w:val="22"/>
        </w:rPr>
      </w:pPr>
      <w:r w:rsidRPr="004F076A">
        <w:rPr>
          <w:color w:val="000000" w:themeColor="text1"/>
          <w:sz w:val="22"/>
          <w:szCs w:val="22"/>
        </w:rPr>
        <w:t xml:space="preserve">We observed strong and significant associations of lower LAEF and larger LAV with both prevalent and incident AF. </w:t>
      </w:r>
      <w:r w:rsidR="0002244A">
        <w:rPr>
          <w:color w:val="000000" w:themeColor="text1"/>
          <w:sz w:val="22"/>
          <w:szCs w:val="22"/>
        </w:rPr>
        <w:t>Consistently,</w:t>
      </w:r>
      <w:r w:rsidR="00851471" w:rsidRPr="004F076A">
        <w:rPr>
          <w:color w:val="000000" w:themeColor="text1"/>
          <w:sz w:val="22"/>
          <w:szCs w:val="22"/>
        </w:rPr>
        <w:t xml:space="preserve"> Bertelsen et al.</w:t>
      </w:r>
      <w:r w:rsidR="00851471" w:rsidRPr="004F076A">
        <w:rPr>
          <w:color w:val="000000" w:themeColor="text1"/>
          <w:sz w:val="22"/>
          <w:szCs w:val="22"/>
        </w:rPr>
        <w:fldChar w:fldCharType="begin" w:fldLock="1"/>
      </w:r>
      <w:r w:rsidR="0002244A">
        <w:rPr>
          <w:color w:val="000000" w:themeColor="text1"/>
          <w:sz w:val="22"/>
          <w:szCs w:val="22"/>
        </w:rPr>
        <w:instrText>ADDIN CSL_CITATION {"citationItems":[{"id":"ITEM-1","itemData":{"DOI":"10.1093/europace/euaa035","ISSN":"15322092","PMID":"32125356","abstract":"Aims We aimed to investigate whether left atrial (LA) markers from cardiovascular magnetic resonance (CMR) were able to predict atrial fibrillation (AF) in elderly patients with risk factors for stroke. Methods At baseline, 203 participants with stroke risk factors but without history of AF underwent advanced CMR and re- and results ceived an implantable loop recorder. During a median of 40 (37-42) months of continuous monitoring, incident AF was detected in 79 patients (39%). With regards to CMR markers, a steep increase in incidence rate of AF was seen with LA maximum volume (LAmax) above 55 mL/m2, LA minimum volume (LAmin) above 30 mL/m2, LA total emptying fraction (LA TEF) below 45%, LA active emptying fraction (LA AEF) below 37%, LA strain S below 25%, LA strain A below 17%, and LA strain rate A above 1.7 s1. After multivariate adjustment, the above-mentioned CMR markers remained associated with AF incidence: hazard ratio (95% confidence interval) 1.25 (1.06-1.48) and 1.51 (1.22-1.87) per 10 mL/m2 increase of LAmax and LAmin, respectively, 1.49 (1.26-1.76) and 1.46 CI (1.25-1.71) per 5% decrease in LA TEF and LA AEF, respectively, 1.23 (1.05-1.44) and 1.56 (1.18-2.06) per 5% decrease in LA strain S and A, respectively, and 2.06 (1.31-3.23) per s1 increase in LA strain rate A. In prediction analyses, LA functional indices increased area under the receiver operating characteristic curve significantly. Conclusion The risk of AF, including asymptomatic AF, increases significantly with increasing LA volumes and worsening LA function.","author":[{"dropping-particle":"","family":"Bertelsen","given":"Litten","non-dropping-particle":"","parse-names":false,"suffix":""},{"dropping-particle":"","family":"Diederichsen","given":"Søren Zöga","non-dropping-particle":"","parse-names":false,"suffix":""},{"dropping-particle":"","family":"Haugan","given":"Ketil Jørgen","non-dropping-particle":"","parse-names":false,"suffix":""},{"dropping-particle":"","family":"Brandes","given":"Axel","non-dropping-particle":"","parse-names":false,"suffix":""},{"dropping-particle":"","family":"Graff","given":"Claus","non-dropping-particle":"","parse-names":false,"suffix":""},{"dropping-particle":"","family":"Krieger","given":"Derk","non-dropping-particle":"","parse-names":false,"suffix":""},{"dropping-particle":"","family":"Kronborg","given":"Christian","non-dropping-particle":"","parse-names":false,"suffix":""},{"dropping-particle":"","family":"Køber","given":"Lars","non-dropping-particle":"","parse-names":false,"suffix":""},{"dropping-particle":"","family":"Højberg","given":"Søren","non-dropping-particle":"","parse-names":false,"suffix":""},{"dropping-particle":"","family":"Vejlstrup","given":"Niels","non-dropping-particle":"","parse-names":false,"suffix":""},{"dropping-particle":"","family":"Svendsen","given":"Jesper Hastrup","non-dropping-particle":"","parse-names":false,"suffix":""}],"container-title":"Europace","id":"ITEM-1","issue":"5","issued":{"date-parts":[["2020"]]},"page":"724-731","title":"Left atrial volume and function assessed by cardiac magnetic resonance imaging are markers of subclinical atrial fibrillation as detected by continuous monitoring","type":"article-journal","volume":"22"},"uris":["http://www.mendeley.com/documents/?uuid=4c535aa9-91ed-40e0-8958-1346efc454ac"]}],"mendeley":{"formattedCitation":"&lt;sup&gt;29&lt;/sup&gt;","plainTextFormattedCitation":"29","previouslyFormattedCitation":"&lt;sup&gt;29&lt;/sup&gt;"},"properties":{"noteIndex":0},"schema":"https://github.com/citation-style-language/schema/raw/master/csl-citation.json"}</w:instrText>
      </w:r>
      <w:r w:rsidR="00851471" w:rsidRPr="004F076A">
        <w:rPr>
          <w:color w:val="000000" w:themeColor="text1"/>
          <w:sz w:val="22"/>
          <w:szCs w:val="22"/>
        </w:rPr>
        <w:fldChar w:fldCharType="separate"/>
      </w:r>
      <w:r w:rsidR="00134030" w:rsidRPr="00134030">
        <w:rPr>
          <w:noProof/>
          <w:color w:val="000000" w:themeColor="text1"/>
          <w:sz w:val="22"/>
          <w:szCs w:val="22"/>
          <w:vertAlign w:val="superscript"/>
        </w:rPr>
        <w:t>29</w:t>
      </w:r>
      <w:r w:rsidR="00851471" w:rsidRPr="004F076A">
        <w:rPr>
          <w:color w:val="000000" w:themeColor="text1"/>
          <w:sz w:val="22"/>
          <w:szCs w:val="22"/>
        </w:rPr>
        <w:fldChar w:fldCharType="end"/>
      </w:r>
      <w:r w:rsidR="00851471" w:rsidRPr="004F076A">
        <w:rPr>
          <w:color w:val="000000" w:themeColor="text1"/>
          <w:sz w:val="22"/>
          <w:szCs w:val="22"/>
        </w:rPr>
        <w:t xml:space="preserve"> </w:t>
      </w:r>
      <w:r w:rsidR="0002244A">
        <w:rPr>
          <w:color w:val="000000" w:themeColor="text1"/>
          <w:sz w:val="22"/>
          <w:szCs w:val="22"/>
        </w:rPr>
        <w:t>also</w:t>
      </w:r>
      <w:r w:rsidR="00851471" w:rsidRPr="004F076A">
        <w:rPr>
          <w:color w:val="000000" w:themeColor="text1"/>
          <w:sz w:val="22"/>
          <w:szCs w:val="22"/>
        </w:rPr>
        <w:t xml:space="preserve"> demonstrate significant association of larger </w:t>
      </w:r>
      <w:r w:rsidR="00547410" w:rsidRPr="004F076A">
        <w:rPr>
          <w:color w:val="000000" w:themeColor="text1"/>
          <w:sz w:val="22"/>
          <w:szCs w:val="22"/>
        </w:rPr>
        <w:t xml:space="preserve">CMR derived </w:t>
      </w:r>
      <w:r w:rsidR="00851471" w:rsidRPr="004F076A">
        <w:rPr>
          <w:color w:val="000000" w:themeColor="text1"/>
          <w:sz w:val="22"/>
          <w:szCs w:val="22"/>
        </w:rPr>
        <w:t xml:space="preserve">LA volumes and poorer LA function with greater risk of AF </w:t>
      </w:r>
      <w:r w:rsidR="0002244A">
        <w:rPr>
          <w:color w:val="000000" w:themeColor="text1"/>
          <w:sz w:val="22"/>
          <w:szCs w:val="22"/>
        </w:rPr>
        <w:t xml:space="preserve">detected </w:t>
      </w:r>
      <w:r w:rsidR="00851471" w:rsidRPr="004F076A">
        <w:rPr>
          <w:color w:val="000000" w:themeColor="text1"/>
          <w:sz w:val="22"/>
          <w:szCs w:val="22"/>
        </w:rPr>
        <w:t>on an implantable loop recorder in 203 participants with stroke risk factors but without pre-existing AF.</w:t>
      </w:r>
      <w:r w:rsidR="00851471" w:rsidRPr="004F076A">
        <w:rPr>
          <w:color w:val="000000" w:themeColor="text1"/>
          <w:sz w:val="22"/>
          <w:szCs w:val="22"/>
        </w:rPr>
        <w:fldChar w:fldCharType="begin" w:fldLock="1"/>
      </w:r>
      <w:r w:rsidR="0002244A">
        <w:rPr>
          <w:color w:val="000000" w:themeColor="text1"/>
          <w:sz w:val="22"/>
          <w:szCs w:val="22"/>
        </w:rPr>
        <w:instrText>ADDIN CSL_CITATION {"citationItems":[{"id":"ITEM-1","itemData":{"DOI":"10.1093/europace/euaa035","ISSN":"15322092","PMID":"32125356","abstract":"Aims We aimed to investigate whether left atrial (LA) markers from cardiovascular magnetic resonance (CMR) were able to predict atrial fibrillation (AF) in elderly patients with risk factors for stroke. Methods At baseline, 203 participants with stroke risk factors but without history of AF underwent advanced CMR and re- and results ceived an implantable loop recorder. During a median of 40 (37-42) months of continuous monitoring, incident AF was detected in 79 patients (39%). With regards to CMR markers, a steep increase in incidence rate of AF was seen with LA maximum volume (LAmax) above 55 mL/m2, LA minimum volume (LAmin) above 30 mL/m2, LA total emptying fraction (LA TEF) below 45%, LA active emptying fraction (LA AEF) below 37%, LA strain S below 25%, LA strain A below 17%, and LA strain rate A above 1.7 s1. After multivariate adjustment, the above-mentioned CMR markers remained associated with AF incidence: hazard ratio (95% confidence interval) 1.25 (1.06-1.48) and 1.51 (1.22-1.87) per 10 mL/m2 increase of LAmax and LAmin, respectively, 1.49 (1.26-1.76) and 1.46 CI (1.25-1.71) per 5% decrease in LA TEF and LA AEF, respectively, 1.23 (1.05-1.44) and 1.56 (1.18-2.06) per 5% decrease in LA strain S and A, respectively, and 2.06 (1.31-3.23) per s1 increase in LA strain rate A. In prediction analyses, LA functional indices increased area under the receiver operating characteristic curve significantly. Conclusion The risk of AF, including asymptomatic AF, increases significantly with increasing LA volumes and worsening LA function.","author":[{"dropping-particle":"","family":"Bertelsen","given":"Litten","non-dropping-particle":"","parse-names":false,"suffix":""},{"dropping-particle":"","family":"Diederichsen","given":"Søren Zöga","non-dropping-particle":"","parse-names":false,"suffix":""},{"dropping-particle":"","family":"Haugan","given":"Ketil Jørgen","non-dropping-particle":"","parse-names":false,"suffix":""},{"dropping-particle":"","family":"Brandes","given":"Axel","non-dropping-particle":"","parse-names":false,"suffix":""},{"dropping-particle":"","family":"Graff","given":"Claus","non-dropping-particle":"","parse-names":false,"suffix":""},{"dropping-particle":"","family":"Krieger","given":"Derk","non-dropping-particle":"","parse-names":false,"suffix":""},{"dropping-particle":"","family":"Kronborg","given":"Christian","non-dropping-particle":"","parse-names":false,"suffix":""},{"dropping-particle":"","family":"Køber","given":"Lars","non-dropping-particle":"","parse-names":false,"suffix":""},{"dropping-particle":"","family":"Højberg","given":"Søren","non-dropping-particle":"","parse-names":false,"suffix":""},{"dropping-particle":"","family":"Vejlstrup","given":"Niels","non-dropping-particle":"","parse-names":false,"suffix":""},{"dropping-particle":"","family":"Svendsen","given":"Jesper Hastrup","non-dropping-particle":"","parse-names":false,"suffix":""}],"container-title":"Europace","id":"ITEM-1","issue":"5","issued":{"date-parts":[["2020"]]},"page":"724-731","title":"Left atrial volume and function assessed by cardiac magnetic resonance imaging are markers of subclinical atrial fibrillation as detected by continuous monitoring","type":"article-journal","volume":"22"},"uris":["http://www.mendeley.com/documents/?uuid=4c535aa9-91ed-40e0-8958-1346efc454ac"]}],"mendeley":{"formattedCitation":"&lt;sup&gt;29&lt;/sup&gt;","plainTextFormattedCitation":"29","previouslyFormattedCitation":"&lt;sup&gt;29&lt;/sup&gt;"},"properties":{"noteIndex":0},"schema":"https://github.com/citation-style-language/schema/raw/master/csl-citation.json"}</w:instrText>
      </w:r>
      <w:r w:rsidR="00851471" w:rsidRPr="004F076A">
        <w:rPr>
          <w:color w:val="000000" w:themeColor="text1"/>
          <w:sz w:val="22"/>
          <w:szCs w:val="22"/>
        </w:rPr>
        <w:fldChar w:fldCharType="separate"/>
      </w:r>
      <w:r w:rsidR="00134030" w:rsidRPr="00134030">
        <w:rPr>
          <w:noProof/>
          <w:color w:val="000000" w:themeColor="text1"/>
          <w:sz w:val="22"/>
          <w:szCs w:val="22"/>
          <w:vertAlign w:val="superscript"/>
        </w:rPr>
        <w:t>29</w:t>
      </w:r>
      <w:r w:rsidR="00851471" w:rsidRPr="004F076A">
        <w:rPr>
          <w:color w:val="000000" w:themeColor="text1"/>
          <w:sz w:val="22"/>
          <w:szCs w:val="22"/>
        </w:rPr>
        <w:fldChar w:fldCharType="end"/>
      </w:r>
      <w:r w:rsidR="008F6CF6" w:rsidRPr="004F076A">
        <w:rPr>
          <w:color w:val="000000" w:themeColor="text1"/>
          <w:sz w:val="22"/>
          <w:szCs w:val="22"/>
        </w:rPr>
        <w:t xml:space="preserve"> These </w:t>
      </w:r>
      <w:r w:rsidR="0002244A">
        <w:rPr>
          <w:color w:val="000000" w:themeColor="text1"/>
          <w:sz w:val="22"/>
          <w:szCs w:val="22"/>
        </w:rPr>
        <w:t xml:space="preserve">LA </w:t>
      </w:r>
      <w:r w:rsidR="008F6CF6" w:rsidRPr="004F076A">
        <w:rPr>
          <w:color w:val="000000" w:themeColor="text1"/>
          <w:sz w:val="22"/>
          <w:szCs w:val="22"/>
        </w:rPr>
        <w:t>alterations</w:t>
      </w:r>
      <w:r w:rsidR="00E873B1" w:rsidRPr="004F076A">
        <w:rPr>
          <w:color w:val="000000" w:themeColor="text1"/>
          <w:sz w:val="22"/>
          <w:szCs w:val="22"/>
        </w:rPr>
        <w:t xml:space="preserve"> </w:t>
      </w:r>
      <w:r w:rsidR="008F6CF6" w:rsidRPr="004F076A">
        <w:rPr>
          <w:color w:val="000000" w:themeColor="text1"/>
          <w:sz w:val="22"/>
          <w:szCs w:val="22"/>
        </w:rPr>
        <w:t xml:space="preserve">likely reflect </w:t>
      </w:r>
      <w:r w:rsidR="00547410" w:rsidRPr="004F076A">
        <w:rPr>
          <w:color w:val="000000" w:themeColor="text1"/>
          <w:sz w:val="22"/>
          <w:szCs w:val="22"/>
        </w:rPr>
        <w:t xml:space="preserve">underlying </w:t>
      </w:r>
      <w:r w:rsidR="008F6CF6" w:rsidRPr="004F076A">
        <w:rPr>
          <w:color w:val="000000" w:themeColor="text1"/>
          <w:sz w:val="22"/>
          <w:szCs w:val="22"/>
        </w:rPr>
        <w:t>atrial remodelling, which predispose</w:t>
      </w:r>
      <w:r w:rsidR="00E873B1" w:rsidRPr="004F076A">
        <w:rPr>
          <w:color w:val="000000" w:themeColor="text1"/>
          <w:sz w:val="22"/>
          <w:szCs w:val="22"/>
        </w:rPr>
        <w:t>s</w:t>
      </w:r>
      <w:r w:rsidR="008F6CF6" w:rsidRPr="004F076A">
        <w:rPr>
          <w:color w:val="000000" w:themeColor="text1"/>
          <w:sz w:val="22"/>
          <w:szCs w:val="22"/>
        </w:rPr>
        <w:t xml:space="preserve"> to </w:t>
      </w:r>
      <w:r w:rsidR="00547410" w:rsidRPr="004F076A">
        <w:rPr>
          <w:color w:val="000000" w:themeColor="text1"/>
          <w:sz w:val="22"/>
          <w:szCs w:val="22"/>
        </w:rPr>
        <w:t xml:space="preserve">(and can </w:t>
      </w:r>
      <w:r w:rsidR="00E17CAF" w:rsidRPr="004F076A">
        <w:rPr>
          <w:color w:val="000000" w:themeColor="text1"/>
          <w:sz w:val="22"/>
          <w:szCs w:val="22"/>
        </w:rPr>
        <w:t xml:space="preserve">also </w:t>
      </w:r>
      <w:r w:rsidR="00547410" w:rsidRPr="004F076A">
        <w:rPr>
          <w:color w:val="000000" w:themeColor="text1"/>
          <w:sz w:val="22"/>
          <w:szCs w:val="22"/>
        </w:rPr>
        <w:t xml:space="preserve">occur as a result of) </w:t>
      </w:r>
      <w:r w:rsidR="008F6CF6" w:rsidRPr="004F076A">
        <w:rPr>
          <w:color w:val="000000" w:themeColor="text1"/>
          <w:sz w:val="22"/>
          <w:szCs w:val="22"/>
        </w:rPr>
        <w:t>AF.</w:t>
      </w:r>
      <w:r w:rsidR="009F5D7D" w:rsidRPr="004F076A">
        <w:rPr>
          <w:color w:val="000000" w:themeColor="text1"/>
          <w:sz w:val="22"/>
          <w:szCs w:val="22"/>
        </w:rPr>
        <w:t xml:space="preserve"> </w:t>
      </w:r>
      <w:r w:rsidR="00E873B1" w:rsidRPr="004F076A">
        <w:rPr>
          <w:color w:val="000000" w:themeColor="text1"/>
          <w:sz w:val="22"/>
          <w:szCs w:val="22"/>
        </w:rPr>
        <w:t xml:space="preserve">In a study of 1,148 MESA (Multi-Ethnic Study of Atherosclerosis) participants, </w:t>
      </w:r>
      <w:r w:rsidR="009F5D7D" w:rsidRPr="004F076A">
        <w:rPr>
          <w:color w:val="000000" w:themeColor="text1"/>
          <w:sz w:val="22"/>
          <w:szCs w:val="22"/>
        </w:rPr>
        <w:t>Heckbert et al.</w:t>
      </w:r>
      <w:r w:rsidR="009F5D7D" w:rsidRPr="004F076A">
        <w:rPr>
          <w:color w:val="000000" w:themeColor="text1"/>
          <w:sz w:val="22"/>
          <w:szCs w:val="22"/>
        </w:rPr>
        <w:fldChar w:fldCharType="begin" w:fldLock="1"/>
      </w:r>
      <w:r w:rsidR="0002244A">
        <w:rPr>
          <w:color w:val="000000" w:themeColor="text1"/>
          <w:sz w:val="22"/>
          <w:szCs w:val="22"/>
        </w:rPr>
        <w:instrText>ADDIN CSL_CITATION {"citationItems":[{"id":"ITEM-1","itemData":{"DOI":"10.1161/JAHA.120.018093","ISSN":"20479980","PMID":"33538182","abstract":"BACKGROUND: High levels of supraventricular ectopy are associated with greater risk of atrial fibrillation, stroke, and death. Little information is available about differences by race/ethnicity in the extent of supraventricular ectopy, or about whether high levels of supraventricular ectopy are associated with impaired left atrial (LA) function and LA enlargement. METHODS AND RESULTS: In the MESA (Multi-Ethnic Study of Atherosclerosis), 1148 participants (47% men; mean age, 67 years) had cardiovascular magnetic resonance imaging in 2010 to 2012, followed by 14-day ambulatory electrocardiographic monitoring in 2016 to 2018. We analyzed participant characteristics and cardiovascular magnetic resonance measures of LA function and structure in relation to average count of premature atrial contractions (PACs) per hour and average number of runs per day of supraventricular tachycardia. In adjusted regression analyses, older age, male sex, White race, elevated NT-proBNP (N-terminal pro-B-type natriuretic peptide), and a history of clinically detected atrial fibrillation were associated with more PACs/hour. Chinese and Hispanic participants had on average fewer PACs/hour than White participants (Chinese participants, 31% less [95% CI, 8%–49%]; Hispanic participants, 38% less [95% CI, 19%–52%]). Greater LA total emptying fraction was associated with fewer PACs/hour (per SD, 16% fewer PACs/hour [95% CI, 7%–25% fewer PACs/hour]). Larger LA minimum volume was associated with more PACs/hour (per SD, 7% more PACs/hour [95% CI, 2%–13% more PACs/hour]). Associations of LA volumes with runs of supraventricular tachycardia/day were similar in direction but were weaker. CONCLUSIONS: Impaired LA function and LA enlargement were associated with more PACs/hour on extended ambulatory electrocardiographic monitoring. Measurement of supraventricular ectopy may provide information about the extent of atrial myopathy.","author":[{"dropping-particle":"","family":"Heckbert","given":"Susan R.","non-dropping-particle":"","parse-names":false,"suffix":""},{"dropping-particle":"","family":"Jensen","given":"Paul N.","non-dropping-particle":"","parse-names":false,"suffix":""},{"dropping-particle":"","family":"Austin","given":"Thomas R.","non-dropping-particle":"","parse-names":false,"suffix":""},{"dropping-particle":"","family":"Chen","given":"Lin Yee","non-dropping-particle":"","parse-names":false,"suffix":""},{"dropping-particle":"","family":"Post","given":"Wendy S.","non-dropping-particle":"","parse-names":false,"suffix":""},{"dropping-particle":"","family":"Venkatesh","given":"Bharath Ambale","non-dropping-particle":"","parse-names":false,"suffix":""},{"dropping-particle":"","family":"Soliman","given":"Elsayed Z.","non-dropping-particle":"","parse-names":false,"suffix":""},{"dropping-particle":"","family":"Floyd","given":"James S.","non-dropping-particle":"","parse-names":false,"suffix":""},{"dropping-particle":"","family":"Sotoodehnia","given":"Nona","non-dropping-particle":"","parse-names":false,"suffix":""},{"dropping-particle":"","family":"Kronmal","given":"Richard A.","non-dropping-particle":"","parse-names":false,"suffix":""},{"dropping-particle":"","family":"Lima","given":"Joao A.C.","non-dropping-particle":"","parse-names":false,"suffix":""}],"container-title":"Journal of the American Heart Association","id":"ITEM-1","issue":"4","issued":{"date-parts":[["2021","2","16"]]},"page":"1-19","publisher":"American Heart Association Inc.","title":"Associations of left atrial function and structure with supraventricular ectopy: The multi-ethnic study of atherosclerosis","type":"article-journal","volume":"10"},"uris":["http://www.mendeley.com/documents/?uuid=4de96fba-1de4-3d4d-b98f-d349cace040a"]}],"mendeley":{"formattedCitation":"&lt;sup&gt;30&lt;/sup&gt;","plainTextFormattedCitation":"30","previouslyFormattedCitation":"&lt;sup&gt;30&lt;/sup&gt;"},"properties":{"noteIndex":0},"schema":"https://github.com/citation-style-language/schema/raw/master/csl-citation.json"}</w:instrText>
      </w:r>
      <w:r w:rsidR="009F5D7D" w:rsidRPr="004F076A">
        <w:rPr>
          <w:color w:val="000000" w:themeColor="text1"/>
          <w:sz w:val="22"/>
          <w:szCs w:val="22"/>
        </w:rPr>
        <w:fldChar w:fldCharType="separate"/>
      </w:r>
      <w:r w:rsidR="00134030" w:rsidRPr="00134030">
        <w:rPr>
          <w:noProof/>
          <w:color w:val="000000" w:themeColor="text1"/>
          <w:sz w:val="22"/>
          <w:szCs w:val="22"/>
          <w:vertAlign w:val="superscript"/>
        </w:rPr>
        <w:t>30</w:t>
      </w:r>
      <w:r w:rsidR="009F5D7D" w:rsidRPr="004F076A">
        <w:rPr>
          <w:color w:val="000000" w:themeColor="text1"/>
          <w:sz w:val="22"/>
          <w:szCs w:val="22"/>
        </w:rPr>
        <w:fldChar w:fldCharType="end"/>
      </w:r>
      <w:r w:rsidR="009F5D7D" w:rsidRPr="004F076A">
        <w:rPr>
          <w:color w:val="000000" w:themeColor="text1"/>
          <w:sz w:val="22"/>
          <w:szCs w:val="22"/>
        </w:rPr>
        <w:t xml:space="preserve"> demonstrate association of lower total LAEF and larger LA</w:t>
      </w:r>
      <w:r w:rsidR="005533E2">
        <w:rPr>
          <w:color w:val="000000" w:themeColor="text1"/>
          <w:sz w:val="22"/>
          <w:szCs w:val="22"/>
        </w:rPr>
        <w:t xml:space="preserve">V </w:t>
      </w:r>
      <w:r w:rsidR="009F5D7D" w:rsidRPr="004F076A">
        <w:rPr>
          <w:color w:val="000000" w:themeColor="text1"/>
          <w:sz w:val="22"/>
          <w:szCs w:val="22"/>
        </w:rPr>
        <w:t>with greater burden of premature atrial contractions on ambulatory electrocardiographic monitoring</w:t>
      </w:r>
      <w:r w:rsidR="00E873B1" w:rsidRPr="004F076A">
        <w:rPr>
          <w:color w:val="000000" w:themeColor="text1"/>
          <w:sz w:val="22"/>
          <w:szCs w:val="22"/>
        </w:rPr>
        <w:t>;</w:t>
      </w:r>
      <w:r w:rsidR="00E17CAF" w:rsidRPr="004F076A">
        <w:rPr>
          <w:color w:val="000000" w:themeColor="text1"/>
          <w:sz w:val="22"/>
          <w:szCs w:val="22"/>
        </w:rPr>
        <w:t xml:space="preserve"> such arrhythmias may be precursors of AF and indicative of atrial fibrosis</w:t>
      </w:r>
      <w:r w:rsidR="00806B78" w:rsidRPr="004F076A">
        <w:rPr>
          <w:color w:val="000000" w:themeColor="text1"/>
          <w:sz w:val="22"/>
          <w:szCs w:val="22"/>
        </w:rPr>
        <w:t xml:space="preserve">. </w:t>
      </w:r>
      <w:r w:rsidR="00E17CAF" w:rsidRPr="004F076A">
        <w:rPr>
          <w:color w:val="000000" w:themeColor="text1"/>
          <w:sz w:val="22"/>
          <w:szCs w:val="22"/>
        </w:rPr>
        <w:t>Indeed</w:t>
      </w:r>
      <w:r w:rsidR="008F6CF6" w:rsidRPr="004F076A">
        <w:rPr>
          <w:color w:val="000000" w:themeColor="text1"/>
          <w:sz w:val="22"/>
          <w:szCs w:val="22"/>
        </w:rPr>
        <w:t xml:space="preserve">, in a study of 111 patients </w:t>
      </w:r>
      <w:r w:rsidR="008F6CF6" w:rsidRPr="004F076A">
        <w:rPr>
          <w:color w:val="000000" w:themeColor="text1"/>
          <w:sz w:val="22"/>
          <w:szCs w:val="22"/>
          <w:shd w:val="clear" w:color="auto" w:fill="FFFFFF"/>
        </w:rPr>
        <w:t>without a prior history of atrial arrhythmia</w:t>
      </w:r>
      <w:r w:rsidR="008F6CF6" w:rsidRPr="004F076A">
        <w:rPr>
          <w:color w:val="000000" w:themeColor="text1"/>
          <w:sz w:val="22"/>
          <w:szCs w:val="22"/>
        </w:rPr>
        <w:t>, Quail et al.</w:t>
      </w:r>
      <w:r w:rsidR="008F6CF6" w:rsidRPr="004F076A">
        <w:rPr>
          <w:color w:val="000000" w:themeColor="text1"/>
          <w:sz w:val="22"/>
          <w:szCs w:val="22"/>
        </w:rPr>
        <w:fldChar w:fldCharType="begin" w:fldLock="1"/>
      </w:r>
      <w:r w:rsidR="00D33752" w:rsidRPr="004F076A">
        <w:rPr>
          <w:color w:val="000000" w:themeColor="text1"/>
          <w:sz w:val="22"/>
          <w:szCs w:val="22"/>
        </w:rPr>
        <w:instrText>ADDIN CSL_CITATION {"citationItems":[{"id":"ITEM-1","itemData":{"DOI":"10.1186/s12968-018-0514-3","ISSN":"1532429X","PMID":"30602395","abstract":"Background: Left atrial (LA) late gadolinium enhancement (LGE) on cardiovascular magnetic resonance (CMR) imaging is indicative of fibrosis, and has been correlated with reduced LA function, increased LA volume, and poor procedural outcomes in cohorts with atrial fibrillation (AF). However, the role of LGE as a prognostic biomarker for arrhythmia in cardiac disease has not been examined. Methods: In this study, we assessed LA LGE using a 3D LGE CMR sequence to examine its relationships with new onset atrial arrhythmia, and LA and left ventricular (LV) mechanical function. Results: LA LGE images were acquired in 111 patients undergoing CMR imaging, including 66 patients with no prior history of an atrial arrhythmia. During the median follow-up of 2.7 years (interquartile range (IQR) 1.8-3.7 years), 15/66 (23%) of patients developed a new atrial arrhythmia. LA LGE ≥10% of LA myocardial volume was significantly associated with an increased rate of new-onset atrial arrhythmia, with a hazard ratio of 3.16 (95% CI 1.14-8.72), p = 0.026. There were significant relationships between LA LGE and both LA ejection fraction (r = - 0.39, p &lt; 0.0005) and echocardiographic LV septal e' (r = - 0.24, p = 0.04) and septal E/e' (r = 0.31, p = 0.007). Conclusions: Elevated LA LGE is associated with reduced LA function and reduced LV diastolic function. LA LGE is associated with new onset atrial arrhythmia during follow-up.","author":[{"dropping-particle":"","family":"Quail","given":"Michael","non-dropping-particle":"","parse-names":false,"suffix":""},{"dropping-particle":"","family":"Grunseich","given":"Karl","non-dropping-particle":"","parse-names":false,"suffix":""},{"dropping-particle":"","family":"Baldassarre","given":"Lauren A.","non-dropping-particle":"","parse-names":false,"suffix":""},{"dropping-particle":"","family":"Mojibian","given":"Hamid","non-dropping-particle":"","parse-names":false,"suffix":""},{"dropping-particle":"","family":"Marieb","given":"Mark A.","non-dropping-particle":"","parse-names":false,"suffix":""},{"dropping-particle":"","family":"Cornfeld","given":"Daniel","non-dropping-particle":"","parse-names":false,"suffix":""},{"dropping-particle":"","family":"Soufer","given":"Aaron","non-dropping-particle":"","parse-names":false,"suffix":""},{"dropping-particle":"","family":"Sinusas","given":"Albert J.","non-dropping-particle":"","parse-names":false,"suffix":""},{"dropping-particle":"","family":"Peters","given":"Dana C.","non-dropping-particle":"","parse-names":false,"suffix":""}],"container-title":"Journal of Cardiovascular Magnetic Resonance","id":"ITEM-1","issue":"1","issued":{"date-parts":[["2019","1","3"]]},"publisher":"BioMed Central Ltd.","title":"Prognostic and functional implications of left atrial late gadolinium enhancement cardiovascular magnetic resonance","type":"article-journal","volume":"21"},"uris":["http://www.mendeley.com/documents/?uuid=e135d44a-bff9-3475-8e83-5dbdf4c735cb"]}],"mendeley":{"formattedCitation":"&lt;sup&gt;11&lt;/sup&gt;","plainTextFormattedCitation":"11","previouslyFormattedCitation":"&lt;sup&gt;11&lt;/sup&gt;"},"properties":{"noteIndex":0},"schema":"https://github.com/citation-style-language/schema/raw/master/csl-citation.json"}</w:instrText>
      </w:r>
      <w:r w:rsidR="008F6CF6" w:rsidRPr="004F076A">
        <w:rPr>
          <w:color w:val="000000" w:themeColor="text1"/>
          <w:sz w:val="22"/>
          <w:szCs w:val="22"/>
        </w:rPr>
        <w:fldChar w:fldCharType="separate"/>
      </w:r>
      <w:r w:rsidR="00D33752" w:rsidRPr="004F076A">
        <w:rPr>
          <w:noProof/>
          <w:color w:val="000000" w:themeColor="text1"/>
          <w:sz w:val="22"/>
          <w:szCs w:val="22"/>
          <w:vertAlign w:val="superscript"/>
        </w:rPr>
        <w:t>11</w:t>
      </w:r>
      <w:r w:rsidR="008F6CF6" w:rsidRPr="004F076A">
        <w:rPr>
          <w:color w:val="000000" w:themeColor="text1"/>
          <w:sz w:val="22"/>
          <w:szCs w:val="22"/>
        </w:rPr>
        <w:fldChar w:fldCharType="end"/>
      </w:r>
      <w:r w:rsidR="008F6CF6" w:rsidRPr="004F076A">
        <w:rPr>
          <w:color w:val="000000" w:themeColor="text1"/>
          <w:sz w:val="22"/>
          <w:szCs w:val="22"/>
        </w:rPr>
        <w:t xml:space="preserve"> demonstrate association of LA late gadolinium enhancement </w:t>
      </w:r>
      <w:r w:rsidR="00806B78" w:rsidRPr="004F076A">
        <w:rPr>
          <w:color w:val="000000" w:themeColor="text1"/>
          <w:sz w:val="22"/>
          <w:szCs w:val="22"/>
        </w:rPr>
        <w:t xml:space="preserve">(a marker of atrial fibrosis) </w:t>
      </w:r>
      <w:r w:rsidR="008F6CF6" w:rsidRPr="004F076A">
        <w:rPr>
          <w:color w:val="000000" w:themeColor="text1"/>
          <w:sz w:val="22"/>
          <w:szCs w:val="22"/>
        </w:rPr>
        <w:t xml:space="preserve">with </w:t>
      </w:r>
      <w:r w:rsidR="008F6CF6" w:rsidRPr="004F076A">
        <w:rPr>
          <w:color w:val="000000" w:themeColor="text1"/>
          <w:sz w:val="22"/>
          <w:szCs w:val="22"/>
          <w:shd w:val="clear" w:color="auto" w:fill="FFFFFF"/>
        </w:rPr>
        <w:t>incident atrial arrhythmia</w:t>
      </w:r>
      <w:r w:rsidR="00806B78" w:rsidRPr="004F076A">
        <w:rPr>
          <w:color w:val="000000" w:themeColor="text1"/>
          <w:sz w:val="22"/>
          <w:szCs w:val="22"/>
          <w:shd w:val="clear" w:color="auto" w:fill="FFFFFF"/>
        </w:rPr>
        <w:t>s.</w:t>
      </w:r>
    </w:p>
    <w:p w14:paraId="4BD456EC" w14:textId="77777777" w:rsidR="009F5D7D" w:rsidRPr="004F076A" w:rsidRDefault="009F5D7D" w:rsidP="00511AE5">
      <w:pPr>
        <w:spacing w:line="480" w:lineRule="auto"/>
        <w:rPr>
          <w:color w:val="000000" w:themeColor="text1"/>
          <w:sz w:val="22"/>
          <w:szCs w:val="22"/>
          <w:shd w:val="clear" w:color="auto" w:fill="FFFFFF"/>
        </w:rPr>
      </w:pPr>
    </w:p>
    <w:p w14:paraId="5EFFAAAD" w14:textId="5D50E8D2" w:rsidR="008F6CF6" w:rsidRPr="0002244A" w:rsidRDefault="008F6CF6" w:rsidP="00511AE5">
      <w:pPr>
        <w:spacing w:line="480" w:lineRule="auto"/>
        <w:rPr>
          <w:color w:val="000000" w:themeColor="text1"/>
          <w:sz w:val="22"/>
          <w:szCs w:val="22"/>
          <w:shd w:val="clear" w:color="auto" w:fill="FFFFFF"/>
        </w:rPr>
      </w:pPr>
      <w:r w:rsidRPr="004F076A">
        <w:rPr>
          <w:color w:val="000000" w:themeColor="text1"/>
          <w:sz w:val="22"/>
          <w:szCs w:val="22"/>
          <w:shd w:val="clear" w:color="auto" w:fill="FFFFFF"/>
        </w:rPr>
        <w:t>We observed, association of poorer LAEF with both prevalent and incident stroke</w:t>
      </w:r>
      <w:r w:rsidR="00806B78" w:rsidRPr="004F076A">
        <w:rPr>
          <w:color w:val="000000" w:themeColor="text1"/>
          <w:sz w:val="22"/>
          <w:szCs w:val="22"/>
          <w:shd w:val="clear" w:color="auto" w:fill="FFFFFF"/>
        </w:rPr>
        <w:t xml:space="preserve"> independent of other CMR metrics</w:t>
      </w:r>
      <w:r w:rsidRPr="004F076A">
        <w:rPr>
          <w:color w:val="000000" w:themeColor="text1"/>
          <w:sz w:val="22"/>
          <w:szCs w:val="22"/>
          <w:shd w:val="clear" w:color="auto" w:fill="FFFFFF"/>
        </w:rPr>
        <w:t xml:space="preserve">. Larger LAV was associated with </w:t>
      </w:r>
      <w:r w:rsidR="005533E2">
        <w:rPr>
          <w:color w:val="000000" w:themeColor="text1"/>
          <w:sz w:val="22"/>
          <w:szCs w:val="22"/>
          <w:shd w:val="clear" w:color="auto" w:fill="FFFFFF"/>
        </w:rPr>
        <w:t xml:space="preserve">significantly </w:t>
      </w:r>
      <w:r w:rsidRPr="004F076A">
        <w:rPr>
          <w:color w:val="000000" w:themeColor="text1"/>
          <w:sz w:val="22"/>
          <w:szCs w:val="22"/>
          <w:shd w:val="clear" w:color="auto" w:fill="FFFFFF"/>
        </w:rPr>
        <w:t xml:space="preserve">greater risk of incident stroke in individual </w:t>
      </w:r>
      <w:r w:rsidR="00806B78" w:rsidRPr="004F076A">
        <w:rPr>
          <w:color w:val="000000" w:themeColor="text1"/>
          <w:sz w:val="22"/>
          <w:szCs w:val="22"/>
          <w:shd w:val="clear" w:color="auto" w:fill="FFFFFF"/>
        </w:rPr>
        <w:t>models</w:t>
      </w:r>
      <w:r w:rsidR="005533E2">
        <w:rPr>
          <w:color w:val="000000" w:themeColor="text1"/>
          <w:sz w:val="22"/>
          <w:szCs w:val="22"/>
          <w:shd w:val="clear" w:color="auto" w:fill="FFFFFF"/>
        </w:rPr>
        <w:t>,</w:t>
      </w:r>
      <w:r w:rsidR="00806B78" w:rsidRPr="004F076A">
        <w:rPr>
          <w:color w:val="000000" w:themeColor="text1"/>
          <w:sz w:val="22"/>
          <w:szCs w:val="22"/>
          <w:shd w:val="clear" w:color="auto" w:fill="FFFFFF"/>
        </w:rPr>
        <w:t xml:space="preserve"> but</w:t>
      </w:r>
      <w:r w:rsidRPr="004F076A">
        <w:rPr>
          <w:color w:val="000000" w:themeColor="text1"/>
          <w:sz w:val="22"/>
          <w:szCs w:val="22"/>
          <w:shd w:val="clear" w:color="auto" w:fill="FFFFFF"/>
        </w:rPr>
        <w:t xml:space="preserve"> </w:t>
      </w:r>
      <w:r w:rsidR="00806B78" w:rsidRPr="004F076A">
        <w:rPr>
          <w:color w:val="000000" w:themeColor="text1"/>
          <w:sz w:val="22"/>
          <w:szCs w:val="22"/>
          <w:shd w:val="clear" w:color="auto" w:fill="FFFFFF"/>
        </w:rPr>
        <w:t xml:space="preserve">not </w:t>
      </w:r>
      <w:r w:rsidRPr="004F076A">
        <w:rPr>
          <w:color w:val="000000" w:themeColor="text1"/>
          <w:sz w:val="22"/>
          <w:szCs w:val="22"/>
          <w:shd w:val="clear" w:color="auto" w:fill="FFFFFF"/>
        </w:rPr>
        <w:t xml:space="preserve">in models including other CMR metrics. </w:t>
      </w:r>
      <w:r w:rsidR="00806B78" w:rsidRPr="004F076A">
        <w:rPr>
          <w:color w:val="000000" w:themeColor="text1"/>
          <w:sz w:val="22"/>
          <w:szCs w:val="22"/>
          <w:shd w:val="clear" w:color="auto" w:fill="FFFFFF"/>
        </w:rPr>
        <w:t>In a study of 169 patients with AF referred for catheter ablation, Inoue et al.</w:t>
      </w:r>
      <w:r w:rsidR="00806B78" w:rsidRPr="004F076A">
        <w:rPr>
          <w:color w:val="000000" w:themeColor="text1"/>
          <w:sz w:val="22"/>
          <w:szCs w:val="22"/>
          <w:shd w:val="clear" w:color="auto" w:fill="FFFFFF"/>
        </w:rPr>
        <w:fldChar w:fldCharType="begin" w:fldLock="1"/>
      </w:r>
      <w:r w:rsidR="00201479" w:rsidRPr="004F076A">
        <w:rPr>
          <w:color w:val="000000" w:themeColor="text1"/>
          <w:sz w:val="22"/>
          <w:szCs w:val="22"/>
          <w:shd w:val="clear" w:color="auto" w:fill="FFFFFF"/>
        </w:rPr>
        <w:instrText>ADDIN CSL_CITATION {"citationItems":[{"id":"ITEM-1","itemData":{"DOI":"10.1161/JAHA.115.001844","ISSN":"20479980","PMID":"25917441","abstract":"Background-Recent evidence suggests that left atrial (LA) dysfunction may be mechanistically contributing to cerebrovascular events in patients with atrial fibrillation (AF). We investigated the association between regional LA function and a prior history of stroke during sinus rhythm in patients referred for catheter ablation of AF. Methods and Results-A total of 169 patients (59±10 years, 74% male, 29% persistent AF) with a history of AF in sinus rhythm at the time of pre-ablation cardiac magnetic resonance (CMR) were analyzed. The LA volume, emptying fraction, strain (S), and strain rate (SR) were assessed by tissue-tracking cardiac magnetic resonance. The patients with a history of stroke or transient ischemic attack (n=18) had greater LA volumes (Vmax and Vmin; P=0.02 and P&lt;0.001, respectively), lower LA total emptying fraction (P&lt;0.001), lower LA maximum and pre-atrial contraction strains (Smax and SpreA; P&lt;0.001 and P=0.01, respectively), and lower absolute values of LA SR during left ventricular (LV) systole and early diastole (SRs and SRe; P=0.005 and 0.03, respectively) than those without stroke/transient ischemic attack (n=151). Multivariable analysis demonstrated that the LA reservoir function, including total emptying fraction, Smax, and SRs, was associated with stroke/transient ischemic attack (odds ratio 0.94, 0.91, and 0.17; P=0.03, 0.02, and 0.04, respectively) after adjusting for the CHA2DS2-VASc score and LA Vmin. Conclusions-Depressed LA reservoir function assessed by tissue-tracking cardiac magnetic resonance is significantly associated with a prior history of stroke/transient ischemic attack in patients with AF. Our findings suggest that assessment of LA reservoir function can improve the risk stratification of cerebrovascular events in AF patients.","author":[{"dropping-particle":"","family":"Inoue","given":"Yuko Y.","non-dropping-particle":"","parse-names":false,"suffix":""},{"dropping-particle":"","family":"Alissa","given":"Abdullah","non-dropping-particle":"","parse-names":false,"suffix":""},{"dropping-particle":"","family":"Khurram","given":"Irfan M.","non-dropping-particle":"","parse-names":false,"suffix":""},{"dropping-particle":"","family":"Fukumoto","given":"Kotaro","non-dropping-particle":"","parse-names":false,"suffix":""},{"dropping-particle":"","family":"Habibi","given":"Mohammadali","non-dropping-particle":"","parse-names":false,"suffix":""},{"dropping-particle":"","family":"Venkatesh","given":"Bharath A.","non-dropping-particle":"","parse-names":false,"suffix":""},{"dropping-particle":"","family":"Zimmerman","given":"Stefan L.","non-dropping-particle":"","parse-names":false,"suffix":""},{"dropping-particle":"","family":"Nazarian","given":"Saman","non-dropping-particle":"","parse-names":false,"suffix":""},{"dropping-particle":"","family":"Berger","given":"Ronald D.","non-dropping-particle":"","parse-names":false,"suffix":""},{"dropping-particle":"","family":"Calkins","given":"Hugh","non-dropping-particle":"","parse-names":false,"suffix":""},{"dropping-particle":"","family":"Lima","given":"Joao A.","non-dropping-particle":"","parse-names":false,"suffix":""},{"dropping-particle":"","family":"Ashikaga","given":"Hiroshi","non-dropping-particle":"","parse-names":false,"suffix":""}],"container-title":"Journal of the American Heart Association","id":"ITEM-1","issue":"4","issued":{"date-parts":[["2015","4","27"]]},"page":"e001844","publisher":"John Wiley and Sons Inc.","title":"Quantitative tissue-tracking cardiac magnetic resonance (CMR) of left atrial deformation and the risk of stroke in patients with atrial fibrillation","type":"article-journal","volume":"4"},"uris":["http://www.mendeley.com/documents/?uuid=b287862b-b72d-33e8-a27c-57c175d96ffe"]}],"mendeley":{"formattedCitation":"&lt;sup&gt;12&lt;/sup&gt;","plainTextFormattedCitation":"12","previouslyFormattedCitation":"&lt;sup&gt;12&lt;/sup&gt;"},"properties":{"noteIndex":0},"schema":"https://github.com/citation-style-language/schema/raw/master/csl-citation.json"}</w:instrText>
      </w:r>
      <w:r w:rsidR="00806B78" w:rsidRPr="004F076A">
        <w:rPr>
          <w:color w:val="000000" w:themeColor="text1"/>
          <w:sz w:val="22"/>
          <w:szCs w:val="22"/>
          <w:shd w:val="clear" w:color="auto" w:fill="FFFFFF"/>
        </w:rPr>
        <w:fldChar w:fldCharType="separate"/>
      </w:r>
      <w:r w:rsidR="00D33752" w:rsidRPr="004F076A">
        <w:rPr>
          <w:noProof/>
          <w:color w:val="000000" w:themeColor="text1"/>
          <w:sz w:val="22"/>
          <w:szCs w:val="22"/>
          <w:shd w:val="clear" w:color="auto" w:fill="FFFFFF"/>
          <w:vertAlign w:val="superscript"/>
        </w:rPr>
        <w:t>12</w:t>
      </w:r>
      <w:r w:rsidR="00806B78" w:rsidRPr="004F076A">
        <w:rPr>
          <w:color w:val="000000" w:themeColor="text1"/>
          <w:sz w:val="22"/>
          <w:szCs w:val="22"/>
          <w:shd w:val="clear" w:color="auto" w:fill="FFFFFF"/>
        </w:rPr>
        <w:fldChar w:fldCharType="end"/>
      </w:r>
      <w:r w:rsidR="00806B78" w:rsidRPr="004F076A">
        <w:rPr>
          <w:color w:val="000000" w:themeColor="text1"/>
          <w:sz w:val="22"/>
          <w:szCs w:val="22"/>
          <w:shd w:val="clear" w:color="auto" w:fill="FFFFFF"/>
        </w:rPr>
        <w:t xml:space="preserve"> </w:t>
      </w:r>
      <w:r w:rsidR="00483E3B" w:rsidRPr="004F076A">
        <w:rPr>
          <w:color w:val="000000" w:themeColor="text1"/>
          <w:sz w:val="22"/>
          <w:szCs w:val="22"/>
          <w:shd w:val="clear" w:color="auto" w:fill="FFFFFF"/>
        </w:rPr>
        <w:t xml:space="preserve">similarly </w:t>
      </w:r>
      <w:r w:rsidR="00806B78" w:rsidRPr="004F076A">
        <w:rPr>
          <w:color w:val="000000" w:themeColor="text1"/>
          <w:sz w:val="22"/>
          <w:szCs w:val="22"/>
          <w:shd w:val="clear" w:color="auto" w:fill="FFFFFF"/>
        </w:rPr>
        <w:t>demonstrate association of poorer LA function (LAEF) with prior stroke or transient ischaemic attack.</w:t>
      </w:r>
      <w:r w:rsidR="00483E3B" w:rsidRPr="004F076A">
        <w:rPr>
          <w:color w:val="000000" w:themeColor="text1"/>
          <w:sz w:val="22"/>
          <w:szCs w:val="22"/>
          <w:shd w:val="clear" w:color="auto" w:fill="FFFFFF"/>
        </w:rPr>
        <w:t xml:space="preserve"> </w:t>
      </w:r>
      <w:r w:rsidR="005533E2" w:rsidRPr="004F076A">
        <w:rPr>
          <w:color w:val="000000" w:themeColor="text1"/>
          <w:sz w:val="22"/>
          <w:szCs w:val="22"/>
          <w:shd w:val="clear" w:color="auto" w:fill="FFFFFF"/>
        </w:rPr>
        <w:t>Habibi et al.</w:t>
      </w:r>
      <w:r w:rsidR="005533E2" w:rsidRPr="004F076A">
        <w:rPr>
          <w:color w:val="000000" w:themeColor="text1"/>
          <w:sz w:val="22"/>
          <w:szCs w:val="22"/>
          <w:shd w:val="clear" w:color="auto" w:fill="FFFFFF"/>
        </w:rPr>
        <w:fldChar w:fldCharType="begin" w:fldLock="1"/>
      </w:r>
      <w:r w:rsidR="0002244A">
        <w:rPr>
          <w:color w:val="000000" w:themeColor="text1"/>
          <w:sz w:val="22"/>
          <w:szCs w:val="22"/>
          <w:shd w:val="clear" w:color="auto" w:fill="FFFFFF"/>
        </w:rPr>
        <w:instrText>ADDIN CSL_CITATION {"citationItems":[{"id":"ITEM-1","itemData":{"DOI":"10.1016/j.jcmg.2019.02.021","ISSN":"18767591","PMID":"31005519","abstract":"Objectives: This study sought to assess the association of baseline left atrial (LA) phasic function measured with cardia magnetic resonance (CMR) and incident ischemic cerebrovascular events (CVE). Background: LA remodeling is a known predictor of atrial fibrillation (AF), which is a risk factor for ischemic CVE. Despite studies showing an association between LA remodeling and ischemic CVE, the association of LA mechanical function with ischemic CVE in a population free of known cardiovascular disease is not fully studied. Methods: Phasic LA volumes; total, passive, and active LA emptying fractions (LAEF); and peak longitudinal LA strain were measured using feature-tracking CMR in 4,261 MESA (Multi-Ethnic Study of Atherosclerosis) participants (61 ± 10 years of age; 48% male). All individuals were free of clinical cardiovascular disease at baseline. Participants were followed for 11.6 ± 3.5 years for the diagnosis of incident ischemic CVE, defined as ischemic stroke or transient ischemic attack adjudicated by vascular neurologists. Results: During the follow-up, 193 (1.26 per 1,000 person-years) ischemic CVE (134 ischemic strokes and 59 TIAs) occurred. Individuals with incident ischemic CVE had larger LA volumes and lower passive, active, and total LAEFs at baseline. In multivariate analysis adjusted for known CVE risk factors, left ventricular mass and interim AF, total LAEF was associated with incident ischemic CVE (hazard ratio [HR]: 0.85 per SD; 95% confidence interval [CI]: 0.74 to 0.98; p = 0.027). The unadjusted HR for the lowest tertile of total LAEF compared to the highest tertile was 2.0 (95% CI: 1.43 to 2.79; p &lt; 0.001), and the adjusted HR was 1.47 (95% CI: 1.04 to 2.05; p = 0.031). Addition of total LAEF to known clinical risk factors of CVE and left ventricular mass resulted in an improved predictive accuracy (C statistic of 0.76 vs. 0.73, respectively; p = 0.039). Conclusions: Reduced total LAEF was associated with incident ischemic CVE independent of known cerebrovascular risk factors and incident AF. Assessment of LA function may add further information in stratifying asymptomatic individuals at risk for ischemic stroke.","author":[{"dropping-particle":"","family":"Habibi","given":"Mohammadali","non-dropping-particle":"","parse-names":false,"suffix":""},{"dropping-particle":"","family":"Zareian","given":"Mytra","non-dropping-particle":"","parse-names":false,"suffix":""},{"dropping-particle":"","family":"Ambale Venkatesh","given":"Bharath","non-dropping-particle":"","parse-names":false,"suffix":""},{"dropping-particle":"","family":"Samiei","given":"Sanaz","non-dropping-particle":"","parse-names":false,"suffix":""},{"dropping-particle":"","family":"Imai","given":"Masamichi","non-dropping-particle":"","parse-names":false,"suffix":""},{"dropping-particle":"","family":"Wu","given":"Colin","non-dropping-particle":"","parse-names":false,"suffix":""},{"dropping-particle":"","family":"Launer","given":"Lenore J.","non-dropping-particle":"","parse-names":false,"suffix":""},{"dropping-particle":"","family":"Shea","given":"Steven","non-dropping-particle":"","parse-names":false,"suffix":""},{"dropping-particle":"","family":"Gottesman","given":"Rebecca F.","non-dropping-particle":"","parse-names":false,"suffix":""},{"dropping-particle":"","family":"Heckbert","given":"Susan R.","non-dropping-particle":"","parse-names":false,"suffix":""},{"dropping-particle":"","family":"Bluemke","given":"David A.","non-dropping-particle":"","parse-names":false,"suffix":""},{"dropping-particle":"","family":"Lima","given":"João A.C.","non-dropping-particle":"","parse-names":false,"suffix":""}],"container-title":"JACC: Cardiovascular Imaging","id":"ITEM-1","issue":"12","issued":{"date-parts":[["2019","12","1"]]},"page":"2417-2427","publisher":"Elsevier Inc.","title":"Left Atrial Mechanical Function and Incident Ischemic Cerebrovascular Events Independent of AF: Insights From the MESA Study","type":"article-journal","volume":"12"},"uris":["http://www.mendeley.com/documents/?uuid=f1b24608-aca6-3ba6-967a-9865df644225"]}],"mendeley":{"formattedCitation":"&lt;sup&gt;31&lt;/sup&gt;","plainTextFormattedCitation":"31","previouslyFormattedCitation":"&lt;sup&gt;31&lt;/sup&gt;"},"properties":{"noteIndex":0},"schema":"https://github.com/citation-style-language/schema/raw/master/csl-citation.json"}</w:instrText>
      </w:r>
      <w:r w:rsidR="005533E2" w:rsidRPr="004F076A">
        <w:rPr>
          <w:color w:val="000000" w:themeColor="text1"/>
          <w:sz w:val="22"/>
          <w:szCs w:val="22"/>
          <w:shd w:val="clear" w:color="auto" w:fill="FFFFFF"/>
        </w:rPr>
        <w:fldChar w:fldCharType="separate"/>
      </w:r>
      <w:r w:rsidR="00134030" w:rsidRPr="00134030">
        <w:rPr>
          <w:noProof/>
          <w:color w:val="000000" w:themeColor="text1"/>
          <w:sz w:val="22"/>
          <w:szCs w:val="22"/>
          <w:shd w:val="clear" w:color="auto" w:fill="FFFFFF"/>
          <w:vertAlign w:val="superscript"/>
        </w:rPr>
        <w:t>31</w:t>
      </w:r>
      <w:r w:rsidR="005533E2" w:rsidRPr="004F076A">
        <w:rPr>
          <w:color w:val="000000" w:themeColor="text1"/>
          <w:sz w:val="22"/>
          <w:szCs w:val="22"/>
          <w:shd w:val="clear" w:color="auto" w:fill="FFFFFF"/>
        </w:rPr>
        <w:fldChar w:fldCharType="end"/>
      </w:r>
      <w:r w:rsidR="005533E2" w:rsidRPr="004F076A">
        <w:rPr>
          <w:color w:val="000000" w:themeColor="text1"/>
          <w:sz w:val="22"/>
          <w:szCs w:val="22"/>
          <w:shd w:val="clear" w:color="auto" w:fill="FFFFFF"/>
        </w:rPr>
        <w:t xml:space="preserve"> also report significant association of lower LAEF, but not LA size, with incident ischaemic stroke</w:t>
      </w:r>
      <w:r w:rsidR="005533E2">
        <w:rPr>
          <w:color w:val="000000" w:themeColor="text1"/>
          <w:sz w:val="22"/>
          <w:szCs w:val="22"/>
          <w:shd w:val="clear" w:color="auto" w:fill="FFFFFF"/>
        </w:rPr>
        <w:t xml:space="preserve"> i</w:t>
      </w:r>
      <w:r w:rsidR="00F04AEE" w:rsidRPr="004F076A">
        <w:rPr>
          <w:color w:val="000000" w:themeColor="text1"/>
          <w:sz w:val="22"/>
          <w:szCs w:val="22"/>
          <w:shd w:val="clear" w:color="auto" w:fill="FFFFFF"/>
        </w:rPr>
        <w:t xml:space="preserve">n </w:t>
      </w:r>
      <w:r w:rsidR="00F04AEE" w:rsidRPr="004F076A">
        <w:rPr>
          <w:color w:val="000000" w:themeColor="text1"/>
          <w:sz w:val="22"/>
          <w:szCs w:val="22"/>
        </w:rPr>
        <w:t>4,261 MESA participants</w:t>
      </w:r>
      <w:r w:rsidR="00483E3B" w:rsidRPr="004F076A">
        <w:rPr>
          <w:color w:val="000000" w:themeColor="text1"/>
          <w:sz w:val="22"/>
          <w:szCs w:val="22"/>
          <w:shd w:val="clear" w:color="auto" w:fill="FFFFFF"/>
        </w:rPr>
        <w:t>.</w:t>
      </w:r>
      <w:r w:rsidR="0002244A">
        <w:rPr>
          <w:color w:val="000000" w:themeColor="text1"/>
          <w:sz w:val="22"/>
          <w:szCs w:val="22"/>
          <w:shd w:val="clear" w:color="auto" w:fill="FFFFFF"/>
        </w:rPr>
        <w:t xml:space="preserve"> </w:t>
      </w:r>
      <w:r w:rsidR="00F04AEE" w:rsidRPr="004F076A">
        <w:rPr>
          <w:color w:val="000000" w:themeColor="text1"/>
          <w:sz w:val="22"/>
          <w:szCs w:val="22"/>
          <w:shd w:val="clear" w:color="auto" w:fill="FFFFFF"/>
        </w:rPr>
        <w:t xml:space="preserve">We additionally demonstrate </w:t>
      </w:r>
      <w:r w:rsidR="009F5D7D" w:rsidRPr="008B0B07">
        <w:rPr>
          <w:color w:val="000000" w:themeColor="text1"/>
          <w:sz w:val="22"/>
          <w:szCs w:val="22"/>
          <w:shd w:val="clear" w:color="auto" w:fill="FFFFFF"/>
        </w:rPr>
        <w:t xml:space="preserve">significant </w:t>
      </w:r>
      <w:r w:rsidR="00F04AEE" w:rsidRPr="008B0B07">
        <w:rPr>
          <w:color w:val="000000" w:themeColor="text1"/>
          <w:sz w:val="22"/>
          <w:szCs w:val="22"/>
          <w:shd w:val="clear" w:color="auto" w:fill="FFFFFF"/>
        </w:rPr>
        <w:t>association</w:t>
      </w:r>
      <w:r w:rsidR="003B33EA" w:rsidRPr="008B0B07">
        <w:rPr>
          <w:color w:val="000000" w:themeColor="text1"/>
          <w:sz w:val="22"/>
          <w:szCs w:val="22"/>
          <w:shd w:val="clear" w:color="auto" w:fill="FFFFFF"/>
        </w:rPr>
        <w:t>s</w:t>
      </w:r>
      <w:r w:rsidR="00F04AEE" w:rsidRPr="008B0B07">
        <w:rPr>
          <w:color w:val="000000" w:themeColor="text1"/>
          <w:sz w:val="22"/>
          <w:szCs w:val="22"/>
          <w:shd w:val="clear" w:color="auto" w:fill="FFFFFF"/>
        </w:rPr>
        <w:t xml:space="preserve"> of lower LAEF </w:t>
      </w:r>
      <w:r w:rsidR="00806B78" w:rsidRPr="008B0B07">
        <w:rPr>
          <w:color w:val="000000" w:themeColor="text1"/>
          <w:sz w:val="22"/>
          <w:szCs w:val="22"/>
          <w:shd w:val="clear" w:color="auto" w:fill="FFFFFF"/>
        </w:rPr>
        <w:t xml:space="preserve">with </w:t>
      </w:r>
      <w:r w:rsidR="00F04AEE" w:rsidRPr="008B0B07">
        <w:rPr>
          <w:color w:val="000000" w:themeColor="text1"/>
          <w:sz w:val="22"/>
          <w:szCs w:val="22"/>
          <w:shd w:val="clear" w:color="auto" w:fill="FFFFFF"/>
        </w:rPr>
        <w:t>incident IHD and incident MI</w:t>
      </w:r>
      <w:r w:rsidR="003B33EA" w:rsidRPr="008B0B07">
        <w:rPr>
          <w:color w:val="000000" w:themeColor="text1"/>
          <w:sz w:val="22"/>
          <w:szCs w:val="22"/>
          <w:shd w:val="clear" w:color="auto" w:fill="FFFFFF"/>
        </w:rPr>
        <w:t>, independent of other CMR metrics</w:t>
      </w:r>
      <w:r w:rsidR="00F04AEE" w:rsidRPr="008B0B07">
        <w:rPr>
          <w:color w:val="000000" w:themeColor="text1"/>
          <w:sz w:val="22"/>
          <w:szCs w:val="22"/>
          <w:shd w:val="clear" w:color="auto" w:fill="FFFFFF"/>
        </w:rPr>
        <w:t>.</w:t>
      </w:r>
      <w:r w:rsidR="009F5D7D" w:rsidRPr="008B0B07">
        <w:rPr>
          <w:color w:val="000000" w:themeColor="text1"/>
          <w:sz w:val="22"/>
          <w:szCs w:val="22"/>
          <w:shd w:val="clear" w:color="auto" w:fill="FFFFFF"/>
        </w:rPr>
        <w:t xml:space="preserve"> </w:t>
      </w:r>
      <w:r w:rsidR="00F04AEE" w:rsidRPr="008B0B07">
        <w:rPr>
          <w:color w:val="000000" w:themeColor="text1"/>
          <w:sz w:val="22"/>
          <w:szCs w:val="22"/>
          <w:shd w:val="clear" w:color="auto" w:fill="FFFFFF"/>
        </w:rPr>
        <w:t xml:space="preserve">In a study of </w:t>
      </w:r>
      <w:r w:rsidR="00F04AEE" w:rsidRPr="008B0B07">
        <w:rPr>
          <w:color w:val="000000" w:themeColor="text1"/>
          <w:sz w:val="22"/>
          <w:szCs w:val="22"/>
        </w:rPr>
        <w:t xml:space="preserve">536 </w:t>
      </w:r>
      <w:r w:rsidR="009F5D7D" w:rsidRPr="008B0B07">
        <w:rPr>
          <w:color w:val="000000" w:themeColor="text1"/>
          <w:sz w:val="22"/>
          <w:szCs w:val="22"/>
        </w:rPr>
        <w:t xml:space="preserve">diabetic </w:t>
      </w:r>
      <w:r w:rsidR="00F04AEE" w:rsidRPr="008B0B07">
        <w:rPr>
          <w:color w:val="000000" w:themeColor="text1"/>
          <w:sz w:val="22"/>
          <w:szCs w:val="22"/>
        </w:rPr>
        <w:t xml:space="preserve">MESA participants </w:t>
      </w:r>
      <w:r w:rsidR="009F5D7D" w:rsidRPr="008B0B07">
        <w:rPr>
          <w:color w:val="000000" w:themeColor="text1"/>
          <w:sz w:val="22"/>
          <w:szCs w:val="22"/>
        </w:rPr>
        <w:t>without</w:t>
      </w:r>
      <w:r w:rsidR="00F04AEE" w:rsidRPr="008B0B07">
        <w:rPr>
          <w:color w:val="000000" w:themeColor="text1"/>
          <w:sz w:val="22"/>
          <w:szCs w:val="22"/>
        </w:rPr>
        <w:t xml:space="preserve"> clinical CVD, </w:t>
      </w:r>
      <w:r w:rsidR="009F5D7D" w:rsidRPr="008B0B07">
        <w:rPr>
          <w:color w:val="000000" w:themeColor="text1"/>
          <w:sz w:val="22"/>
          <w:szCs w:val="22"/>
        </w:rPr>
        <w:t>Markman et al.</w:t>
      </w:r>
      <w:r w:rsidR="009F5D7D" w:rsidRPr="008B0B07">
        <w:rPr>
          <w:color w:val="000000" w:themeColor="text1"/>
          <w:sz w:val="22"/>
          <w:szCs w:val="22"/>
        </w:rPr>
        <w:fldChar w:fldCharType="begin" w:fldLock="1"/>
      </w:r>
      <w:r w:rsidR="0002244A" w:rsidRPr="008B0B07">
        <w:rPr>
          <w:color w:val="000000" w:themeColor="text1"/>
          <w:sz w:val="22"/>
          <w:szCs w:val="22"/>
        </w:rPr>
        <w:instrText>ADDIN CSL_CITATION {"citationItems":[{"id":"ITEM-1","itemData":{"DOI":"10.1093/ehjci/jew332","ISSN":"20472412","PMID":"28329137","abstract":"Aims: Diabetes mellitus (DM) is associated with the development of cardiovascular disease (CVD). Morphological changes in the left atrium (LA) may appear before symptoms. We aimed to investigate the association between cardiac magnetic resonance imaging (CMR) measured LA structure and function and incident CVD in asymptomatic individuals with DM. Methods and results: Tissue tracking CMR was used to measure LA size and phasic function (emptying fractions and strain) on all 536 Multi-Ethnic Study of Atherosclerosis (MESA) participants with DM and available CMR at baseline in 2000-2002. At the time of enrolment, all participants were free of clinically recognized CVD, which was defined as MI, resuscitated cardiac arrest, angina, stroke, heart failure, and atrial fibrillation. Cox regression was used to assess the association of LA parameters with incident CVD adjusted for traditional cardiovascular risk factors, LV mass, NT Pro-BNP and maximum LA volume. Kaplan-Meier curves, adjusted for traditional risk factors, were generated for each LA measurement for the 25% of participants with the most abnormal values versus the remaining 75%. After a mean follow up of 11.4 ± 3.4 years, 141 individuals developed CVD. Individuals with incident CVD (mean age 66 years, 66% male vs. mean age 64 years, 50% male) had larger maximum and minimum LA volume index (LAVI) (32.1 vs. 26.8 mm3/m2; 19.4 vs. 14.2 mm3/m2 respectively, P &lt; 0.001 for both), and lower total, passive, and active EF than those without CVD (P &lt; 0.01 for all). In the fully adjusted model, there was a significant association of minimum LAVI, LA total EF, LA passive EF and LA active EF with incident CVD (HR 1.12 per mm3/m2, P &lt; 0.001; HR 0.95 per %, P &lt; 0.001; HR 0.97 per %, P = 0.021; HR 0.98 per %, P &lt; 0.027, respectively). Conclusions: CMR measured LA minimum volume and LA function as measured by emptying fraction are predictive of CVD in a diabetic multi-ethnic population free of any clinically recognized CVD at baseline.","author":[{"dropping-particle":"","family":"Markman","given":"Timothy M.","non-dropping-particle":"","parse-names":false,"suffix":""},{"dropping-particle":"","family":"Habibi","given":"Mohammadali","non-dropping-particle":"","parse-names":false,"suffix":""},{"dropping-particle":"","family":"Venkatesh","given":"Bharath Ambale","non-dropping-particle":"","parse-names":false,"suffix":""},{"dropping-particle":"","family":"Zareian","given":"Mytra","non-dropping-particle":"","parse-names":false,"suffix":""},{"dropping-particle":"","family":"Wu","given":"Colin","non-dropping-particle":"","parse-names":false,"suffix":""},{"dropping-particle":"","family":"Heckbert","given":"Susan R.","non-dropping-particle":"","parse-names":false,"suffix":""},{"dropping-particle":"","family":"Bluemke","given":"David A.","non-dropping-particle":"","parse-names":false,"suffix":""},{"dropping-particle":"","family":"Lima","given":"Joao A.C.","non-dropping-particle":"","parse-names":false,"suffix":""}],"container-title":"European Heart Journal Cardiovascular Imaging","id":"ITEM-1","issue":"10","issued":{"date-parts":[["2017","10","1"]]},"page":"1138-1144","publisher":"Oxford University Press","title":"Association of left atrial structure and function and incident cardiovascular disease in patients with diabetes mellitus: Results from multi-ethnic study of atherosclerosis (MESA)","type":"article-journal","volume":"18"},"uris":["http://www.mendeley.com/documents/?uuid=96a8c6f1-463c-318e-a053-cab0c094a241"]}],"mendeley":{"formattedCitation":"&lt;sup&gt;32&lt;/sup&gt;","plainTextFormattedCitation":"32","previouslyFormattedCitation":"&lt;sup&gt;32&lt;/sup&gt;"},"properties":{"noteIndex":0},"schema":"https://github.com/citation-style-language/schema/raw/master/csl-citation.json"}</w:instrText>
      </w:r>
      <w:r w:rsidR="009F5D7D" w:rsidRPr="008B0B07">
        <w:rPr>
          <w:color w:val="000000" w:themeColor="text1"/>
          <w:sz w:val="22"/>
          <w:szCs w:val="22"/>
        </w:rPr>
        <w:fldChar w:fldCharType="separate"/>
      </w:r>
      <w:r w:rsidR="00134030" w:rsidRPr="008B0B07">
        <w:rPr>
          <w:noProof/>
          <w:color w:val="000000" w:themeColor="text1"/>
          <w:sz w:val="22"/>
          <w:szCs w:val="22"/>
          <w:vertAlign w:val="superscript"/>
        </w:rPr>
        <w:t>32</w:t>
      </w:r>
      <w:r w:rsidR="009F5D7D" w:rsidRPr="008B0B07">
        <w:rPr>
          <w:color w:val="000000" w:themeColor="text1"/>
          <w:sz w:val="22"/>
          <w:szCs w:val="22"/>
        </w:rPr>
        <w:fldChar w:fldCharType="end"/>
      </w:r>
      <w:r w:rsidR="009F5D7D" w:rsidRPr="008B0B07">
        <w:rPr>
          <w:color w:val="000000" w:themeColor="text1"/>
          <w:sz w:val="22"/>
          <w:szCs w:val="22"/>
        </w:rPr>
        <w:t xml:space="preserve"> </w:t>
      </w:r>
      <w:r w:rsidR="00CE3378" w:rsidRPr="008B0B07">
        <w:rPr>
          <w:color w:val="000000" w:themeColor="text1"/>
          <w:sz w:val="22"/>
          <w:szCs w:val="22"/>
        </w:rPr>
        <w:t xml:space="preserve">also </w:t>
      </w:r>
      <w:r w:rsidR="009F5D7D" w:rsidRPr="008B0B07">
        <w:rPr>
          <w:color w:val="000000" w:themeColor="text1"/>
          <w:sz w:val="22"/>
          <w:szCs w:val="22"/>
        </w:rPr>
        <w:t>demonstrate association of poorer LA function with inciden</w:t>
      </w:r>
      <w:r w:rsidR="00806B78" w:rsidRPr="008B0B07">
        <w:rPr>
          <w:color w:val="000000" w:themeColor="text1"/>
          <w:sz w:val="22"/>
          <w:szCs w:val="22"/>
        </w:rPr>
        <w:t xml:space="preserve">t </w:t>
      </w:r>
      <w:r w:rsidR="009F5D7D" w:rsidRPr="008B0B07">
        <w:rPr>
          <w:color w:val="000000" w:themeColor="text1"/>
          <w:sz w:val="22"/>
          <w:szCs w:val="22"/>
        </w:rPr>
        <w:t xml:space="preserve">CVD (defined as composite of </w:t>
      </w:r>
      <w:r w:rsidR="00F04AEE" w:rsidRPr="008B0B07">
        <w:rPr>
          <w:color w:val="000000" w:themeColor="text1"/>
          <w:sz w:val="22"/>
          <w:szCs w:val="22"/>
        </w:rPr>
        <w:t xml:space="preserve">MI, resuscitated cardiac arrest, angina, stroke, heart failure, </w:t>
      </w:r>
      <w:r w:rsidR="009F5D7D" w:rsidRPr="008B0B07">
        <w:rPr>
          <w:color w:val="000000" w:themeColor="text1"/>
          <w:sz w:val="22"/>
          <w:szCs w:val="22"/>
        </w:rPr>
        <w:t>or</w:t>
      </w:r>
      <w:r w:rsidR="00F04AEE" w:rsidRPr="008B0B07">
        <w:rPr>
          <w:color w:val="000000" w:themeColor="text1"/>
          <w:sz w:val="22"/>
          <w:szCs w:val="22"/>
        </w:rPr>
        <w:t xml:space="preserve"> </w:t>
      </w:r>
      <w:r w:rsidR="009F5D7D" w:rsidRPr="008B0B07">
        <w:rPr>
          <w:color w:val="000000" w:themeColor="text1"/>
          <w:sz w:val="22"/>
          <w:szCs w:val="22"/>
        </w:rPr>
        <w:t>AF).</w:t>
      </w:r>
      <w:r w:rsidR="00DE019A" w:rsidRPr="008B0B07">
        <w:rPr>
          <w:color w:val="000000" w:themeColor="text1"/>
          <w:sz w:val="22"/>
          <w:szCs w:val="22"/>
        </w:rPr>
        <w:t xml:space="preserve"> Our findings add to the literature by demonstrating specific independent association of larger LAVi and higher CVD mortality risk.</w:t>
      </w:r>
    </w:p>
    <w:p w14:paraId="6766BEFE" w14:textId="5DF04BDE" w:rsidR="008F6CF6" w:rsidRPr="004F076A" w:rsidRDefault="008F6CF6" w:rsidP="00511AE5">
      <w:pPr>
        <w:spacing w:line="480" w:lineRule="auto"/>
        <w:rPr>
          <w:color w:val="000000" w:themeColor="text1"/>
          <w:sz w:val="22"/>
          <w:szCs w:val="22"/>
        </w:rPr>
      </w:pPr>
    </w:p>
    <w:p w14:paraId="0B38B6C6" w14:textId="06D79668" w:rsidR="00401BB2" w:rsidRDefault="00483E3B" w:rsidP="00511AE5">
      <w:pPr>
        <w:spacing w:line="480" w:lineRule="auto"/>
        <w:rPr>
          <w:color w:val="000000" w:themeColor="text1"/>
          <w:sz w:val="22"/>
          <w:szCs w:val="22"/>
        </w:rPr>
      </w:pPr>
      <w:r w:rsidRPr="004F076A">
        <w:rPr>
          <w:color w:val="000000" w:themeColor="text1"/>
          <w:sz w:val="22"/>
          <w:szCs w:val="22"/>
        </w:rPr>
        <w:t>We observed association of diabetes with smaller LA</w:t>
      </w:r>
      <w:r w:rsidR="00CE3378" w:rsidRPr="004F076A">
        <w:rPr>
          <w:color w:val="000000" w:themeColor="text1"/>
          <w:sz w:val="22"/>
          <w:szCs w:val="22"/>
        </w:rPr>
        <w:t>V and lower LAEF</w:t>
      </w:r>
      <w:r w:rsidRPr="004F076A">
        <w:rPr>
          <w:color w:val="000000" w:themeColor="text1"/>
          <w:sz w:val="22"/>
          <w:szCs w:val="22"/>
        </w:rPr>
        <w:t xml:space="preserve">, along with more concentric LV remodelling and poorer LV function metrics. </w:t>
      </w:r>
      <w:r w:rsidR="0002244A">
        <w:rPr>
          <w:color w:val="000000" w:themeColor="text1"/>
          <w:sz w:val="22"/>
          <w:szCs w:val="22"/>
        </w:rPr>
        <w:t>Two studies of small diabetic cohorts have also demonstrated lower LAEF in diabetics compared to controls, but have not demonstrated any significant difference in LA size.</w:t>
      </w:r>
      <w:r w:rsidRPr="004F076A">
        <w:rPr>
          <w:color w:val="000000" w:themeColor="text1"/>
          <w:sz w:val="22"/>
          <w:szCs w:val="22"/>
        </w:rPr>
        <w:fldChar w:fldCharType="begin" w:fldLock="1"/>
      </w:r>
      <w:r w:rsidR="0002244A">
        <w:rPr>
          <w:color w:val="000000" w:themeColor="text1"/>
          <w:sz w:val="22"/>
          <w:szCs w:val="22"/>
        </w:rPr>
        <w:instrText>ADDIN CSL_CITATION {"citationItems":[{"id":"ITEM-1","itemData":{"DOI":"10.1007/s10554-017-1213-0","ISBN":"0123456789","ISSN":"15730743","PMID":"28721548","abstract":"The aims of this study were to use cardiovascular magnetic resonance (CMR) cine to assess left atrium (LA) and left ventricle (LV) function and structure in normotensive type 2 diabetes mellitus (T2DM) patients and to identify the most sensitive index of those T2DM-related cardiac changes. Fifty T2DM patients with normotension (25 males, age 54.7 ± 8.7 years, duration of diabetes: 7.5 ± 5.1 years) and 35 controls (16 males, age: 52.2 ± 13.2 years) were prospectively enrolled. All patients were scanned using CMR four- and two-chamber long-axis cine to assess LA and LV structure and function. Normotensive T2DM patients were associated with decreased LA total ejection fraction (EF), passive EF and LV end diastolic volume, normal LA active EF and LV myocardial mass and increased LV mass/volume (M/V). LA total EF and passive EF correlated with body mass index, duration of diabetes and M/V. To differentiate between diabetic patients and healthy controls, area under the receiver operating characteristic (ROC) curve (AUC) values were calculated to be 0.763, 0.706, 0.647 and 0.649 for LA passive EF, total EF, LVEDV and M/V, respectively. The addition of LA total EF, LVEDV, M/V and the combination thereof did not significantly improve AUC values in a model containing LA passive EF. Normotensive T2DM patients were associated with LA decreased total ejection fraction, decreased passive EF and LV concentric remodeling. Among these indices, LA passive EF was the most sensitive to T2DM-related LA function changes.","author":[{"dropping-particle":"","family":"Shang","given":"Yongning","non-dropping-particle":"","parse-names":false,"suffix":""},{"dropping-particle":"","family":"Zhang","given":"Xiaochun","non-dropping-particle":"","parse-names":false,"suffix":""},{"dropping-particle":"","family":"Leng","given":"Weiling","non-dropping-particle":"","parse-names":false,"suffix":""},{"dropping-particle":"","family":"Lei","given":"Xiaotian","non-dropping-particle":"","parse-names":false,"suffix":""},{"dropping-particle":"","family":"Chen","given":"Liu","non-dropping-particle":"","parse-names":false,"suffix":""},{"dropping-particle":"","family":"Liang","given":"Ziwen","non-dropping-particle":"","parse-names":false,"suffix":""},{"dropping-particle":"","family":"Wang","given":"Jian","non-dropping-particle":"","parse-names":false,"suffix":""}],"container-title":"International Journal of Cardiovascular Imaging","id":"ITEM-1","issue":"1","issued":{"date-parts":[["2018"]]},"page":"141-151","publisher":"Springer Netherlands","title":"Left atrium passive ejection fraction is the most sensitive index of type 2 diabetes mellitus-related cardiac changes","type":"article-journal","volume":"34"},"uris":["http://www.mendeley.com/documents/?uuid=07d8956b-38d9-4c22-8ff4-f173b68953bc"]},{"id":"ITEM-2","itemData":{"DOI":"10.1007/s00330-014-3299-2","ISSN":"14321084","PMID":"25027838","abstract":"Objectives: The left atrium (LA) modulates left ventricular filling through reservoir, conduit and booster pump functions. Only limited data exist on LA involvement in type 2 diabetes mellitus (DM2). This study sought to assess LA function in asymptomatic DM2 with cardiac MRI. We hypothesized that cardiac MRI can detect LA dysfunction in asymptomatic DM2.\nMethods: Forty-five patients with asymptomatic DM2 and 24 normoglycaemic controls were studied. MRI cine imaging was performed to measure LA maximal and minimal volumes. A flow-sensitive phase-contrast gradient-echo sequence was used for flow measurements perpendicular to the orifice of the mitral valve, to quantify active LA stroke volume. LA total, passive and active emptying volumes and fractions were calculated.\nConclusions: Cardiac MRI enables the detection of LA dysfunction in asymptomatic DM2, characterized by a reduction in LA reservoir and conduit functions.\nResults: LA reservoir function, namely LA total ejection fraction, was significantly greater in controls compared to patients with DM2 (62.2 ± 5.2 vs 57.0 ± 7.6 %, P = 0.004). LA passive ejection fraction was also greater in the controls (26.2 ± 9.5 vs 16.1 ± 11.0 %, P &lt; 0.001). Regarding parameters of LA booster pump function, LA active ejection fraction was not significantly different between groups. DM2 was demonstrated to be an independent determinant of LA function.","author":[{"dropping-particle":"","family":"Graça","given":"Bruno","non-dropping-particle":"","parse-names":false,"suffix":""},{"dropping-particle":"","family":"Ferreira","given":"Maria João","non-dropping-particle":"","parse-names":false,"suffix":""},{"dropping-particle":"","family":"Donato","given":"Paulo","non-dropping-particle":"","parse-names":false,"suffix":""},{"dropping-particle":"","family":"Gomes","given":"Leonor","non-dropping-particle":"","parse-names":false,"suffix":""},{"dropping-particle":"","family":"Castelo-Branco","given":"Miguel","non-dropping-particle":"","parse-names":false,"suffix":""},{"dropping-particle":"","family":"Caseiro-Alves","given":"Filipe","non-dropping-particle":"","parse-names":false,"suffix":""}],"container-title":"European Radiology","id":"ITEM-2","issue":"11","issued":{"date-parts":[["2014"]]},"page":"2669-2676","title":"Left atrial dysfunction in type 2 diabetes mellitus: insights from cardiac MRI","type":"article-journal","volume":"24"},"uris":["http://www.mendeley.com/documents/?uuid=0d7956ac-928e-4494-82ca-011ae9ca05ae"]}],"mendeley":{"formattedCitation":"&lt;sup&gt;10,33&lt;/sup&gt;","plainTextFormattedCitation":"10,33","previouslyFormattedCitation":"&lt;sup&gt;10&lt;/sup&gt;"},"properties":{"noteIndex":0},"schema":"https://github.com/citation-style-language/schema/raw/master/csl-citation.json"}</w:instrText>
      </w:r>
      <w:r w:rsidRPr="004F076A">
        <w:rPr>
          <w:color w:val="000000" w:themeColor="text1"/>
          <w:sz w:val="22"/>
          <w:szCs w:val="22"/>
        </w:rPr>
        <w:fldChar w:fldCharType="separate"/>
      </w:r>
      <w:r w:rsidR="0002244A" w:rsidRPr="0002244A">
        <w:rPr>
          <w:noProof/>
          <w:color w:val="000000" w:themeColor="text1"/>
          <w:sz w:val="22"/>
          <w:szCs w:val="22"/>
          <w:vertAlign w:val="superscript"/>
        </w:rPr>
        <w:t>10,33</w:t>
      </w:r>
      <w:r w:rsidRPr="004F076A">
        <w:rPr>
          <w:color w:val="000000" w:themeColor="text1"/>
          <w:sz w:val="22"/>
          <w:szCs w:val="22"/>
        </w:rPr>
        <w:fldChar w:fldCharType="end"/>
      </w:r>
      <w:r w:rsidR="00EC22AD" w:rsidRPr="004F076A">
        <w:rPr>
          <w:color w:val="000000" w:themeColor="text1"/>
          <w:sz w:val="22"/>
          <w:szCs w:val="22"/>
        </w:rPr>
        <w:t xml:space="preserve"> </w:t>
      </w:r>
      <w:r w:rsidR="00491A89" w:rsidRPr="004F076A">
        <w:rPr>
          <w:color w:val="000000" w:themeColor="text1"/>
          <w:sz w:val="22"/>
          <w:szCs w:val="22"/>
        </w:rPr>
        <w:t>Similar to our observations, studies using the first release of the UK Biobank CMR data have demonstrated association of diabetes with smaller atrial volumes.</w:t>
      </w:r>
      <w:r w:rsidR="00491A89" w:rsidRPr="004F076A">
        <w:rPr>
          <w:color w:val="000000" w:themeColor="text1"/>
          <w:sz w:val="22"/>
          <w:szCs w:val="22"/>
        </w:rPr>
        <w:fldChar w:fldCharType="begin" w:fldLock="1"/>
      </w:r>
      <w:r w:rsidR="0002244A">
        <w:rPr>
          <w:color w:val="000000" w:themeColor="text1"/>
          <w:sz w:val="22"/>
          <w:szCs w:val="22"/>
        </w:rPr>
        <w:instrText>ADDIN CSL_CITATION {"citationItems":[{"id":"ITEM-1","itemData":{"DOI":"10.1371/journal.pone.0185114","ISBN":"1111111111","ISSN":"19326203","PMID":"28973022","abstract":"AIMS The UK Biobank is a large-scale population-based study utilising cardiovascular magnetic resonance (CMR) to generate measurements of atrial and ventricular structure and function. This study aimed to quantify the association between modifiable cardiovascular risk factors and cardiac morphology and function in individuals without known cardiovascular disease. METHODS Age, sex, ethnicity (non-modifiable) and systolic blood pressure, diastolic blood pressure, smoking status, exercise, body mass index (BMI), high cholesterol, diabetes, alcohol intake (modifiable) were considered important cardiovascular risk factors. Multivariable regression models were built to ascertain the association of risk factors on left ventricular (LV), right ventricular (RV), left atrial (LA) and right atrial (RA) CMR parameters. RESULTS 4,651 participants were included in the analysis. All modifiable risk factors had significant effects on differing atrial and ventricular parameters. BMI was the modifiable risk factor most consistently associated with subclinical changes to CMR parameters, particularly in relation to higher LV mass (+8.3% per SD [4.3 kg/m2], 95% CI: 7.6 to 8.9%), LV (EDV: +4.8% per SD, 95% CI: 4.2 to 5.4%); ESV: +4.4% per SD, 95% CI: 3.5 to 5.3%), RV (EDV: +5.3% per SD, 95% CI: 4.7 to 5.9%; ESV: +5.4% per SD, 95% CI: 4.5 to 6.4%) and LA maximal (+8.6% per SD, 95% CI: 7.4 to 9.7%) volumes. Increases in SBP were associated with higher LV mass (+6.8% per SD, 95% CI: 5.9 to 7.7%), LV (EDV: +4.5% per SD, 95% CI: 3.6 to 5.4%; ESV: +2.0% per SD, 95% CI: 0.8 to 3.3%) volumes. The presence of diabetes or high cholesterol resulted in smaller volumes and lower ejection fractions. CONCLUSIONS Modifiable risk factors are associated with subclinical alterations in structure and function in all four cardiac chambers. BMI and systolic blood pressure are the most important modifiable risk factors affecting CMR parameters known to be linked to adverse outcomes.","author":[{"dropping-particle":"","family":"Petersen","given":"Steffen E.","non-dropping-particle":"","parse-names":false,"suffix":""},{"dropping-particle":"","family":"Sanghvi","given":"Mihir M.","non-dropping-particle":"","parse-names":false,"suffix":""},{"dropping-particle":"","family":"Aung","given":"Nay","non-dropping-particle":"","parse-names":false,"suffix":""},{"dropping-particle":"","family":"Cooper","given":"Jackie A.","non-dropping-particle":"","parse-names":false,"suffix":""},{"dropping-particle":"","family":"Paiva","given":"José Miguel","non-dropping-particle":"","parse-names":false,"suffix":""},{"dropping-particle":"","family":"Zemrak","given":"Filip","non-dropping-particle":"","parse-names":false,"suffix":""},{"dropping-particle":"","family":"Fung","given":"Kenneth","non-dropping-particle":"","parse-names":false,"suffix":""},{"dropping-particle":"","family":"Lukaschuk","given":"Elena","non-dropping-particle":"","parse-names":false,"suffix":""},{"dropping-particle":"","family":"Lee","given":"Aaron M.","non-dropping-particle":"","parse-names":false,"suffix":""},{"dropping-particle":"","family":"Carapella","given":"Valentina","non-dropping-particle":"","parse-names":false,"suffix":""},{"dropping-particle":"","family":"Kim","given":"Young Jin","non-dropping-particle":"","parse-names":false,"suffix":""},{"dropping-particle":"","family":"Piechnik","given":"Stefan K.","non-dropping-particle":"","parse-names":false,"suffix":""},{"dropping-particle":"","family":"Neubauer","given":"Stefan","non-dropping-particle":"","parse-names":false,"suffix":""}],"container-title":"PLoS ONE","id":"ITEM-1","issue":"10","issued":{"date-parts":[["2017"]]},"page":"45-52","title":"The impact of cardiovascular risk factors on cardiac structure and function: Insights from the UK Biobank imaging enhancement study","type":"article-journal","volume":"12"},"uris":["http://www.mendeley.com/documents/?uuid=87fce6e6-a6d8-4659-81a0-f6999a6de29e"]},{"id":"ITEM-2","itemData":{"DOI":"10.1161/CIRCIMAGING.119.009476","ISSN":"1941-9651","PMID":"31522551","abstract":"BACKGROUND Diabetes mellitus (DM) is associated with increased risk of cardiovascular disease. Detection of early cardiac changes before manifest disease develops is important. We investigated early alterations in cardiac structure and function associated with DM using cardiovascular magnetic resonance imaging. METHODS Participants from the UK Biobank Cardiovascular Magnetic Resonance Substudy, a community cohort study, without known cardiovascular disease and left ventricular ejection fraction ≥50% were included. Multivariable linear regression models were performed. The investigators were blinded to DM status. RESULTS A total of 3984 individuals, 45% men, (mean [SD]) age 61.3 (7.5) years, hereof 143 individuals (3.6%) with DM. There was no difference in left ventricular (LV) ejection fraction (DM versus no DM; coefficient [95% CI]: -0.86% [-1.8 to 0.5]; P=0.065), LV mass (-0.13 g/m2 [-1.6 to 1.3], P=0.86), or right ventricular ejection fraction (-0.23% [-1.2 to 0.8], P=0.65). However, both LV and right ventricular volumes were significantly smaller in DM, (LV end-diastolic volume/m2: -3.46 mL/m2 [-5.8 to -1.2], P=0.003, right ventricular end-diastolic volume/m2: -4.2 mL/m2 [-6.8 to -1.7], P=0.001, LV stroke volume/m2: -3.0 mL/m2 [-4.5 to -1.5], P&lt;0.001; right ventricular stroke volume/m2: -3.8 mL/m2 [-6.5 to -1.1], P=0.005), LV mass/volume: 0.026 (0.01 to 0.04) g/mL, P=0.006. Both left atrial and right atrial emptying fraction were lower in DM (right atrial emptying fraction: -6.2% [-10.2 to -2.1], P=0.003; left atrial emptying fraction:-3.5% [-6.9 to -0.1], P=0.043). LV global circumferential strain was impaired in DM (coefficient [95% CI]: 0.38% [0.01 to 0.7], P=0.045). CONCLUSIONS In a low-risk general population without known cardiovascular disease and with preserved LV ejection fraction, DM is associated with early changes in all 4 cardiac chambers. These findings suggest that diabetic cardiomyopathy is not a regional condition of the LV but affects the heart globally.","author":[{"dropping-particle":"","family":"Jensen","given":"Magnus T.","non-dropping-particle":"","parse-names":false,"suffix":""},{"dropping-particle":"","family":"Fung","given":"Kenneth","non-dropping-particle":"","parse-names":false,"suffix":""},{"dropping-particle":"","family":"Aung","given":"Nay","non-dropping-particle":"","parse-names":false,"suffix":""},{"dropping-particle":"","family":"Sanghvi","given":"Mihir M.","non-dropping-particle":"","parse-names":false,"suffix":""},{"dropping-particle":"","family":"Chadalavada","given":"Sucharitha","non-dropping-particle":"","parse-names":false,"suffix":""},{"dropping-particle":"","family":"Paiva","given":"Jose M.","non-dropping-particle":"","parse-names":false,"suffix":""},{"dropping-particle":"","family":"Khanji","given":"Mohammed Y.","non-dropping-particle":"","parse-names":false,"suffix":""},{"dropping-particle":"","family":"Knegt","given":"Martina C.","non-dropping-particle":"de","parse-names":false,"suffix":""},{"dropping-particle":"","family":"Lukaschuk","given":"Elena","non-dropping-particle":"","parse-names":false,"suffix":""},{"dropping-particle":"","family":"Lee","given":"Aaron M.","non-dropping-particle":"","parse-names":false,"suffix":""},{"dropping-particle":"","family":"Barutcu","given":"Ahmet","non-dropping-particle":"","parse-names":false,"suffix":""},{"dropping-particle":"","family":"Maclean","given":"Edd","non-dropping-particle":"","parse-names":false,"suffix":""},{"dropping-particle":"","family":"Carapella","given":"Valentina","non-dropping-particle":"","parse-names":false,"suffix":""},{"dropping-particle":"","family":"Cooper","given":"Jackie","non-dropping-particle":"","parse-names":false,"suffix":""},{"dropping-particle":"","family":"Young","given":"Alistair","non-dropping-particle":"","parse-names":false,"suffix":""},{"dropping-particle":"","family":"Piechnik","given":"Stefan K.","non-dropping-particle":"","parse-names":false,"suffix":""},{"dropping-particle":"","family":"Neubauer","given":"Stefan","non-dropping-particle":"","parse-names":false,"suffix":""},{"dropping-particle":"","family":"Petersen","given":"Steffen E.","non-dropping-particle":"","parse-names":false,"suffix":""}],"container-title":"Circulation: Cardiovascular Imaging","id":"ITEM-2","issue":"9","issued":{"date-parts":[["2019","9"]]},"page":"e009476","title":"Changes in Cardiac Morphology and Function in Individuals With Diabetes Mellitus","type":"article-journal","volume":"12"},"uris":["http://www.mendeley.com/documents/?uuid=18b6b0b6-209b-3df0-b08f-96aed853769f"]}],"mendeley":{"formattedCitation":"&lt;sup&gt;34,35&lt;/sup&gt;","plainTextFormattedCitation":"34,35","previouslyFormattedCitation":"&lt;sup&gt;34,35&lt;/sup&gt;"},"properties":{"noteIndex":0},"schema":"https://github.com/citation-style-language/schema/raw/master/csl-citation.json"}</w:instrText>
      </w:r>
      <w:r w:rsidR="00491A89" w:rsidRPr="004F076A">
        <w:rPr>
          <w:color w:val="000000" w:themeColor="text1"/>
          <w:sz w:val="22"/>
          <w:szCs w:val="22"/>
        </w:rPr>
        <w:fldChar w:fldCharType="separate"/>
      </w:r>
      <w:r w:rsidR="00134030" w:rsidRPr="00134030">
        <w:rPr>
          <w:noProof/>
          <w:color w:val="000000" w:themeColor="text1"/>
          <w:sz w:val="22"/>
          <w:szCs w:val="22"/>
          <w:vertAlign w:val="superscript"/>
        </w:rPr>
        <w:t>34,35</w:t>
      </w:r>
      <w:r w:rsidR="00491A89" w:rsidRPr="004F076A">
        <w:rPr>
          <w:color w:val="000000" w:themeColor="text1"/>
          <w:sz w:val="22"/>
          <w:szCs w:val="22"/>
        </w:rPr>
        <w:fldChar w:fldCharType="end"/>
      </w:r>
      <w:r w:rsidR="00491A89" w:rsidRPr="004F076A">
        <w:rPr>
          <w:color w:val="000000" w:themeColor="text1"/>
          <w:sz w:val="22"/>
          <w:szCs w:val="22"/>
        </w:rPr>
        <w:t xml:space="preserve"> </w:t>
      </w:r>
      <w:r w:rsidR="00EC22AD" w:rsidRPr="004F076A">
        <w:rPr>
          <w:color w:val="000000" w:themeColor="text1"/>
          <w:sz w:val="22"/>
          <w:szCs w:val="22"/>
        </w:rPr>
        <w:t>Conversely</w:t>
      </w:r>
      <w:r w:rsidR="00491A89" w:rsidRPr="004F076A">
        <w:rPr>
          <w:color w:val="000000" w:themeColor="text1"/>
          <w:sz w:val="22"/>
          <w:szCs w:val="22"/>
        </w:rPr>
        <w:t xml:space="preserve">, some echocardiography </w:t>
      </w:r>
      <w:r w:rsidR="00C33919">
        <w:rPr>
          <w:color w:val="000000" w:themeColor="text1"/>
          <w:sz w:val="22"/>
          <w:szCs w:val="22"/>
        </w:rPr>
        <w:t xml:space="preserve">studies </w:t>
      </w:r>
      <w:r w:rsidR="00491A89" w:rsidRPr="004F076A">
        <w:rPr>
          <w:color w:val="000000" w:themeColor="text1"/>
          <w:sz w:val="22"/>
          <w:szCs w:val="22"/>
        </w:rPr>
        <w:t>have demonstrated association of diabetes with larger LA sizes. For example, Armstrong et al.</w:t>
      </w:r>
      <w:r w:rsidR="00491A89" w:rsidRPr="004F076A">
        <w:rPr>
          <w:color w:val="000000" w:themeColor="text1"/>
          <w:sz w:val="22"/>
          <w:szCs w:val="22"/>
        </w:rPr>
        <w:fldChar w:fldCharType="begin" w:fldLock="1"/>
      </w:r>
      <w:r w:rsidR="00D33752" w:rsidRPr="004F076A">
        <w:rPr>
          <w:color w:val="000000" w:themeColor="text1"/>
          <w:sz w:val="22"/>
          <w:szCs w:val="22"/>
        </w:rPr>
        <w:instrText>ADDIN CSL_CITATION {"citationItems":[{"id":"ITEM-1","itemData":{"DOI":"10.1136/bmjopen-2013-004001","ISBN":"2013004001","ISSN":"20446055","PMID":"24384901","abstract":"Objectives: We investigate how early adult and 20-year changes in modifiable cardiovascular risk factors (MRF) predict left atrial dimension (LAD) at age 43-55 years. Methods: The Coronary Artery Risk Development in Young Adults (CARDIA) study enrolled black and white adults (1985-1986). We included 2903 participants with echocardiography and MRF assessment in followup years 5 and 25. At years 5 and 25, LAD was assessed by M-mode echocardiography, then indexed to body surface area (BSA) or height. Blood pressure (BP), body mass index (BMI), heart rate (HR), smoking, alcohol use, diabetes and physical activity were defined as MRF. Associations of MRF with LAD were assessed using multivariable regression adjusted for age, ethnicity, gender and year-5 left atrial (LA) size. Results: The participants were 30±4 years; 55% white; 44% men. LAD and LAD/height were modest but significantly higher over the follow-up period, but LAD/BSA decreased slightly. Increased baseline and 20-year changes in BP were related to enlargement of LAD and indices. Higher baseline and changes in BMI were also related to higher LAD and LAD/height, but the opposite direction was found for LAD/BSA. Increase in baseline HR was related to lower LAD but not LAD indices, when only baseline covariates were included in the model. However, baseline and 20-year changes in HR were significantly associated to LA size. Conclusions: In a biracial cohort of young adults, the most robust predictors for LA enlargement over a 20-year follow-up period were higher BP and BMI. However, an inverse direction was found for the relationship between BMI and LAD/BSA. HR showed an inverse relation to LA size.","author":[{"dropping-particle":"","family":"Armstrong","given":"Anderson C.","non-dropping-particle":"","parse-names":false,"suffix":""},{"dropping-particle":"","family":"Gidding","given":"Samuel S.","non-dropping-particle":"","parse-names":false,"suffix":""},{"dropping-particle":"","family":"Colangelo","given":"Laura A.","non-dropping-particle":"","parse-names":false,"suffix":""},{"dropping-particle":"","family":"Kishi","given":"Satoru","non-dropping-particle":"","parse-names":false,"suffix":""},{"dropping-particle":"","family":"Liu","given":"Kiang","non-dropping-particle":"","parse-names":false,"suffix":""},{"dropping-particle":"","family":"Sidney","given":"Stephen","non-dropping-particle":"","parse-names":false,"suffix":""},{"dropping-particle":"","family":"Konety","given":"Suma","non-dropping-particle":"","parse-names":false,"suffix":""},{"dropping-particle":"","family":"Lewis","given":"Cora E.","non-dropping-particle":"","parse-names":false,"suffix":""},{"dropping-particle":"","family":"Correia","given":"Luís C.L.","non-dropping-particle":"","parse-names":false,"suffix":""},{"dropping-particle":"","family":"Lima","given":"Joao A.C.","non-dropping-particle":"","parse-names":false,"suffix":""}],"container-title":"BMJ Open","id":"ITEM-1","issue":"1","issued":{"date-parts":[["2014","1","1"]]},"page":"1-7","publisher":"British Medical Journal Publishing Group","title":"Association of early adult modifiable cardiovascular risk factors with left atrial size over a 20-year follow-up period: The CARDIA study","type":"article-journal","volume":"4"},"uris":["http://www.mendeley.com/documents/?uuid=75727bc3-2fab-4c07-8646-34794644bfee"]}],"mendeley":{"formattedCitation":"&lt;sup&gt;9&lt;/sup&gt;","plainTextFormattedCitation":"9","previouslyFormattedCitation":"&lt;sup&gt;9&lt;/sup&gt;"},"properties":{"noteIndex":0},"schema":"https://github.com/citation-style-language/schema/raw/master/csl-citation.json"}</w:instrText>
      </w:r>
      <w:r w:rsidR="00491A89" w:rsidRPr="004F076A">
        <w:rPr>
          <w:color w:val="000000" w:themeColor="text1"/>
          <w:sz w:val="22"/>
          <w:szCs w:val="22"/>
        </w:rPr>
        <w:fldChar w:fldCharType="separate"/>
      </w:r>
      <w:r w:rsidR="00D33752" w:rsidRPr="004F076A">
        <w:rPr>
          <w:noProof/>
          <w:color w:val="000000" w:themeColor="text1"/>
          <w:sz w:val="22"/>
          <w:szCs w:val="22"/>
          <w:vertAlign w:val="superscript"/>
        </w:rPr>
        <w:t>9</w:t>
      </w:r>
      <w:r w:rsidR="00491A89" w:rsidRPr="004F076A">
        <w:rPr>
          <w:color w:val="000000" w:themeColor="text1"/>
          <w:sz w:val="22"/>
          <w:szCs w:val="22"/>
        </w:rPr>
        <w:fldChar w:fldCharType="end"/>
      </w:r>
      <w:r w:rsidR="00491A89" w:rsidRPr="004F076A">
        <w:rPr>
          <w:color w:val="000000" w:themeColor="text1"/>
          <w:sz w:val="22"/>
          <w:szCs w:val="22"/>
        </w:rPr>
        <w:t xml:space="preserve"> demonstrate association of larger LA diameter with prevalent diabetes in 2,903 CARDIA study</w:t>
      </w:r>
      <w:r w:rsidR="00C33919">
        <w:rPr>
          <w:color w:val="000000" w:themeColor="text1"/>
          <w:sz w:val="22"/>
          <w:szCs w:val="22"/>
        </w:rPr>
        <w:t xml:space="preserve"> </w:t>
      </w:r>
      <w:r w:rsidR="00C33919" w:rsidRPr="004F076A">
        <w:rPr>
          <w:color w:val="000000" w:themeColor="text1"/>
          <w:sz w:val="22"/>
          <w:szCs w:val="22"/>
        </w:rPr>
        <w:t>participants</w:t>
      </w:r>
      <w:r w:rsidR="00491A89" w:rsidRPr="004F076A">
        <w:rPr>
          <w:color w:val="000000" w:themeColor="text1"/>
          <w:sz w:val="22"/>
          <w:szCs w:val="22"/>
        </w:rPr>
        <w:t xml:space="preserve">. </w:t>
      </w:r>
      <w:r w:rsidR="00401BB2" w:rsidRPr="004F076A">
        <w:rPr>
          <w:color w:val="000000" w:themeColor="text1"/>
          <w:sz w:val="22"/>
          <w:szCs w:val="22"/>
        </w:rPr>
        <w:t xml:space="preserve">LA </w:t>
      </w:r>
      <w:r w:rsidR="00C33919">
        <w:rPr>
          <w:color w:val="000000" w:themeColor="text1"/>
          <w:sz w:val="22"/>
          <w:szCs w:val="22"/>
        </w:rPr>
        <w:t xml:space="preserve">alterations </w:t>
      </w:r>
      <w:r w:rsidR="00401BB2" w:rsidRPr="004F076A">
        <w:rPr>
          <w:color w:val="000000" w:themeColor="text1"/>
          <w:sz w:val="22"/>
          <w:szCs w:val="22"/>
        </w:rPr>
        <w:t>evolve with disease progression</w:t>
      </w:r>
      <w:r w:rsidR="0086121B" w:rsidRPr="004F076A">
        <w:rPr>
          <w:color w:val="000000" w:themeColor="text1"/>
          <w:sz w:val="22"/>
          <w:szCs w:val="22"/>
        </w:rPr>
        <w:t>,</w:t>
      </w:r>
      <w:r w:rsidR="00401BB2" w:rsidRPr="004F076A">
        <w:rPr>
          <w:color w:val="000000" w:themeColor="text1"/>
          <w:sz w:val="22"/>
          <w:szCs w:val="22"/>
        </w:rPr>
        <w:t xml:space="preserve"> with LA dilatation reflecting persistent</w:t>
      </w:r>
      <w:r w:rsidR="00C33919">
        <w:rPr>
          <w:color w:val="000000" w:themeColor="text1"/>
          <w:sz w:val="22"/>
          <w:szCs w:val="22"/>
        </w:rPr>
        <w:t>ly</w:t>
      </w:r>
      <w:r w:rsidR="00401BB2" w:rsidRPr="004F076A">
        <w:rPr>
          <w:color w:val="000000" w:themeColor="text1"/>
          <w:sz w:val="22"/>
          <w:szCs w:val="22"/>
        </w:rPr>
        <w:t xml:space="preserve"> elevat</w:t>
      </w:r>
      <w:r w:rsidR="00C33919">
        <w:rPr>
          <w:color w:val="000000" w:themeColor="text1"/>
          <w:sz w:val="22"/>
          <w:szCs w:val="22"/>
        </w:rPr>
        <w:t>ed</w:t>
      </w:r>
      <w:r w:rsidR="00401BB2" w:rsidRPr="004F076A">
        <w:rPr>
          <w:color w:val="000000" w:themeColor="text1"/>
          <w:sz w:val="22"/>
          <w:szCs w:val="22"/>
        </w:rPr>
        <w:t xml:space="preserve"> LV filling pressures and advancement of diastolic (and systolic) LV dysfunction.</w:t>
      </w:r>
      <w:r w:rsidR="00F02147">
        <w:rPr>
          <w:color w:val="000000" w:themeColor="text1"/>
          <w:sz w:val="22"/>
          <w:szCs w:val="22"/>
        </w:rPr>
        <w:fldChar w:fldCharType="begin" w:fldLock="1"/>
      </w:r>
      <w:r w:rsidR="00134030">
        <w:rPr>
          <w:color w:val="000000" w:themeColor="text1"/>
          <w:sz w:val="22"/>
          <w:szCs w:val="22"/>
        </w:rPr>
        <w:instrText>ADDIN CSL_CITATION {"citationItems":[{"id":"ITEM-1","itemData":{"DOI":"10.1161/CIRCIMAGING.108.813071","ISSN":"19419651","PMID":"19808559","abstract":"Background-Abnormalities in left ventricular (LV) structure and function occur in patients with diastolic heart failure (DHF). The reasons for the transition from asymptomatic dysfunction to heart failure need better definition, including noninvasive measurements that can detect the transition. Methods and Results-In 64 patients undergoing right heart catheterization, simultaneous echocardiographic imaging was performed. As a control group, 27 healthy subjects were included. There were 25 with ejection factor (EF) 50%, 20 in DHF, and 19 with normal EF and LV hypertrophy but not in heart failure (diastolic dysfunction). LV volumes, mass, left atrial (LA) volumes and EF, annular atrial velocity (a'), and LA strain during systole (LAS), and atrial contraction (LAA) were measured. The ratio of wedge pressure to LAS strain was used as an index of LA stiffness, as was the ratio of E/e' to LAS strain. All 3 patient groups had increased LA volumes and depressed LA EF, a', and LAA strain, with no significant difference between patients with DHF and diastolic dysfunction in LA systolic function indices, LV mass, LA volumes, LV, and arterial elastance. LAS strain was lower in patients with DHF, and LA stiffness (invasive and noninvasive) was higher (both P&lt;0.01), related well to pulmonary artery systolic pressure (r=0.79, P&lt;0.001), and was most accurate in identifying DHF patients from those with diastolic dysfunction (invasive area under the curve: 0.93, noninvasive: 0.85). Conclusions-Patients with DHF have increased LV mass and LA volume in comparison with normal controls, but not versus patients with LV hypertrophy who are not in heart failure. On the other hand, LAS strain is significantly reduced and LA stiffness is the most accurate index in identifying patients with DHF. (Circ Cardiovasc Imaging. 2009;2:10-15.) © 2009 American Heart Association, Inc.","author":[{"dropping-particle":"","family":"Kurt","given":"Mustafa","non-dropping-particle":"","parse-names":false,"suffix":""},{"dropping-particle":"","family":"Wang","given":"Jianwen","non-dropping-particle":"","parse-names":false,"suffix":""},{"dropping-particle":"","family":"Torre-Amione","given":"Guillermo","non-dropping-particle":"","parse-names":false,"suffix":""},{"dropping-particle":"","family":"Nagueh","given":"Sherif F.","non-dropping-particle":"","parse-names":false,"suffix":""}],"container-title":"Circulation: Cardiovascular Imaging","id":"ITEM-1","issue":"1","issued":{"date-parts":[["2009","1"]]},"page":"10-15","publisher":"Lippincott Williams &amp; Wilkins","title":"Left atrial function in diastolic heart failure","type":"article-journal","volume":"2"},"uris":["http://www.mendeley.com/documents/?uuid=c5a1978e-2f44-33d5-9776-82af25a5fda4"]}],"mendeley":{"formattedCitation":"&lt;sup&gt;3&lt;/sup&gt;","plainTextFormattedCitation":"3","previouslyFormattedCitation":"&lt;sup&gt;3&lt;/sup&gt;"},"properties":{"noteIndex":0},"schema":"https://github.com/citation-style-language/schema/raw/master/csl-citation.json"}</w:instrText>
      </w:r>
      <w:r w:rsidR="00F02147">
        <w:rPr>
          <w:color w:val="000000" w:themeColor="text1"/>
          <w:sz w:val="22"/>
          <w:szCs w:val="22"/>
        </w:rPr>
        <w:fldChar w:fldCharType="separate"/>
      </w:r>
      <w:r w:rsidR="00F02147" w:rsidRPr="00F02147">
        <w:rPr>
          <w:noProof/>
          <w:color w:val="000000" w:themeColor="text1"/>
          <w:sz w:val="22"/>
          <w:szCs w:val="22"/>
          <w:vertAlign w:val="superscript"/>
        </w:rPr>
        <w:t>3</w:t>
      </w:r>
      <w:r w:rsidR="00F02147">
        <w:rPr>
          <w:color w:val="000000" w:themeColor="text1"/>
          <w:sz w:val="22"/>
          <w:szCs w:val="22"/>
        </w:rPr>
        <w:fldChar w:fldCharType="end"/>
      </w:r>
      <w:r w:rsidR="00401BB2" w:rsidRPr="004F076A">
        <w:rPr>
          <w:color w:val="000000" w:themeColor="text1"/>
          <w:sz w:val="22"/>
          <w:szCs w:val="22"/>
        </w:rPr>
        <w:t xml:space="preserve"> Thus, the duration of exposure </w:t>
      </w:r>
      <w:r w:rsidR="00C33919">
        <w:rPr>
          <w:color w:val="000000" w:themeColor="text1"/>
          <w:sz w:val="22"/>
          <w:szCs w:val="22"/>
        </w:rPr>
        <w:t xml:space="preserve">to </w:t>
      </w:r>
      <w:r w:rsidR="00401BB2" w:rsidRPr="004F076A">
        <w:rPr>
          <w:color w:val="000000" w:themeColor="text1"/>
          <w:sz w:val="22"/>
          <w:szCs w:val="22"/>
        </w:rPr>
        <w:t xml:space="preserve">and control of the diabetes, as well as the overall risk factor profile of </w:t>
      </w:r>
      <w:r w:rsidR="00CE3378" w:rsidRPr="004F076A">
        <w:rPr>
          <w:color w:val="000000" w:themeColor="text1"/>
          <w:sz w:val="22"/>
          <w:szCs w:val="22"/>
        </w:rPr>
        <w:t>participants</w:t>
      </w:r>
      <w:r w:rsidR="00401BB2" w:rsidRPr="004F076A">
        <w:rPr>
          <w:color w:val="000000" w:themeColor="text1"/>
          <w:sz w:val="22"/>
          <w:szCs w:val="22"/>
        </w:rPr>
        <w:t xml:space="preserve"> </w:t>
      </w:r>
      <w:r w:rsidR="00CE3378" w:rsidRPr="004F076A">
        <w:rPr>
          <w:color w:val="000000" w:themeColor="text1"/>
          <w:sz w:val="22"/>
          <w:szCs w:val="22"/>
        </w:rPr>
        <w:t xml:space="preserve">likely </w:t>
      </w:r>
      <w:r w:rsidR="00401BB2" w:rsidRPr="004F076A">
        <w:rPr>
          <w:color w:val="000000" w:themeColor="text1"/>
          <w:sz w:val="22"/>
          <w:szCs w:val="22"/>
        </w:rPr>
        <w:t xml:space="preserve">influence associations with LA size. As </w:t>
      </w:r>
      <w:r w:rsidR="00F02147">
        <w:rPr>
          <w:color w:val="000000" w:themeColor="text1"/>
          <w:sz w:val="22"/>
          <w:szCs w:val="22"/>
        </w:rPr>
        <w:t xml:space="preserve">the </w:t>
      </w:r>
      <w:r w:rsidR="00401BB2" w:rsidRPr="004F076A">
        <w:rPr>
          <w:color w:val="000000" w:themeColor="text1"/>
          <w:sz w:val="22"/>
          <w:szCs w:val="22"/>
        </w:rPr>
        <w:t xml:space="preserve">UK Biobank </w:t>
      </w:r>
      <w:r w:rsidR="00F02147">
        <w:rPr>
          <w:color w:val="000000" w:themeColor="text1"/>
          <w:sz w:val="22"/>
          <w:szCs w:val="22"/>
        </w:rPr>
        <w:t>comprises</w:t>
      </w:r>
      <w:r w:rsidR="00401BB2" w:rsidRPr="004F076A">
        <w:rPr>
          <w:color w:val="000000" w:themeColor="text1"/>
          <w:sz w:val="22"/>
          <w:szCs w:val="22"/>
        </w:rPr>
        <w:t xml:space="preserve"> a relatively healthy cohort, our observations reflect milder disease. Indeed, we observed significant association of larger LA</w:t>
      </w:r>
      <w:r w:rsidR="00C33919">
        <w:rPr>
          <w:color w:val="000000" w:themeColor="text1"/>
          <w:sz w:val="22"/>
          <w:szCs w:val="22"/>
        </w:rPr>
        <w:t>V</w:t>
      </w:r>
      <w:r w:rsidR="00401BB2" w:rsidRPr="004F076A">
        <w:rPr>
          <w:color w:val="000000" w:themeColor="text1"/>
          <w:sz w:val="22"/>
          <w:szCs w:val="22"/>
        </w:rPr>
        <w:t xml:space="preserve"> with pre-existing IHD, a condition associated with more advanced LV impairment. </w:t>
      </w:r>
      <w:r w:rsidR="00DE019A" w:rsidRPr="008B0B07">
        <w:rPr>
          <w:color w:val="000000" w:themeColor="text1"/>
          <w:sz w:val="22"/>
          <w:szCs w:val="22"/>
        </w:rPr>
        <w:t>This is further supported by the observed association of larger LAV with greater CVD mortality</w:t>
      </w:r>
      <w:r w:rsidR="008B0B07">
        <w:rPr>
          <w:color w:val="000000" w:themeColor="text1"/>
          <w:sz w:val="22"/>
          <w:szCs w:val="22"/>
        </w:rPr>
        <w:t xml:space="preserve"> risk</w:t>
      </w:r>
      <w:r w:rsidR="00DE019A" w:rsidRPr="008B0B07">
        <w:rPr>
          <w:color w:val="000000" w:themeColor="text1"/>
          <w:sz w:val="22"/>
          <w:szCs w:val="22"/>
        </w:rPr>
        <w:t xml:space="preserve">. </w:t>
      </w:r>
      <w:r w:rsidR="00401BB2" w:rsidRPr="008B0B07">
        <w:rPr>
          <w:color w:val="000000" w:themeColor="text1"/>
          <w:sz w:val="22"/>
          <w:szCs w:val="22"/>
        </w:rPr>
        <w:t>In our study, and in existing literature, LAEF appears as a reliable and consistent indicator of diabetes and other</w:t>
      </w:r>
      <w:r w:rsidR="00401BB2" w:rsidRPr="004F076A">
        <w:rPr>
          <w:color w:val="000000" w:themeColor="text1"/>
          <w:sz w:val="22"/>
          <w:szCs w:val="22"/>
        </w:rPr>
        <w:t xml:space="preserve"> key morbidities.</w:t>
      </w:r>
    </w:p>
    <w:p w14:paraId="53E1AF6E" w14:textId="1413FA09" w:rsidR="00741480" w:rsidRDefault="00741480" w:rsidP="00511AE5">
      <w:pPr>
        <w:spacing w:line="480" w:lineRule="auto"/>
        <w:rPr>
          <w:color w:val="000000" w:themeColor="text1"/>
          <w:sz w:val="22"/>
          <w:szCs w:val="22"/>
        </w:rPr>
      </w:pPr>
    </w:p>
    <w:p w14:paraId="5D6BF466" w14:textId="326E6103" w:rsidR="00741480" w:rsidRPr="008B0B07" w:rsidRDefault="00741480" w:rsidP="00511AE5">
      <w:pPr>
        <w:spacing w:line="480" w:lineRule="auto"/>
        <w:rPr>
          <w:color w:val="000000" w:themeColor="text1"/>
          <w:sz w:val="22"/>
          <w:szCs w:val="22"/>
          <w:shd w:val="clear" w:color="auto" w:fill="FFFFFF"/>
        </w:rPr>
      </w:pPr>
      <w:r>
        <w:rPr>
          <w:color w:val="000000" w:themeColor="text1"/>
          <w:sz w:val="22"/>
          <w:szCs w:val="22"/>
        </w:rPr>
        <w:t>We observed</w:t>
      </w:r>
      <w:r w:rsidRPr="004F076A">
        <w:rPr>
          <w:color w:val="000000" w:themeColor="text1"/>
          <w:sz w:val="22"/>
          <w:szCs w:val="22"/>
        </w:rPr>
        <w:t xml:space="preserve"> the association of more concentric LV remodelling patterns with VRFs and incident CVDs, whilst prevalent CVDs were associated with more eccentric LV remodelling patterns. These observations likely reflect predominance of pressure overload in the presence of VRFs</w:t>
      </w:r>
      <w:r>
        <w:rPr>
          <w:color w:val="000000" w:themeColor="text1"/>
          <w:sz w:val="22"/>
          <w:szCs w:val="22"/>
        </w:rPr>
        <w:t xml:space="preserve"> and</w:t>
      </w:r>
      <w:r w:rsidRPr="004F076A">
        <w:rPr>
          <w:color w:val="000000" w:themeColor="text1"/>
          <w:sz w:val="22"/>
          <w:szCs w:val="22"/>
        </w:rPr>
        <w:t xml:space="preserve"> prior to disease occurrence, but dominance of volume overload after development of clinical cardiovascular disease. Our analysis also demonstrates consistent and significant association of </w:t>
      </w:r>
      <w:r>
        <w:rPr>
          <w:color w:val="000000" w:themeColor="text1"/>
          <w:sz w:val="22"/>
          <w:szCs w:val="22"/>
        </w:rPr>
        <w:t xml:space="preserve">lower </w:t>
      </w:r>
      <w:r w:rsidRPr="004F076A">
        <w:rPr>
          <w:color w:val="000000" w:themeColor="text1"/>
          <w:sz w:val="22"/>
          <w:szCs w:val="22"/>
        </w:rPr>
        <w:t>LVGFI with VRFs</w:t>
      </w:r>
      <w:r>
        <w:rPr>
          <w:color w:val="000000" w:themeColor="text1"/>
          <w:sz w:val="22"/>
          <w:szCs w:val="22"/>
        </w:rPr>
        <w:t xml:space="preserve">, prevalent </w:t>
      </w:r>
      <w:r w:rsidRPr="004F076A">
        <w:rPr>
          <w:color w:val="000000" w:themeColor="text1"/>
          <w:sz w:val="22"/>
          <w:szCs w:val="22"/>
        </w:rPr>
        <w:t>CVDs</w:t>
      </w:r>
      <w:r>
        <w:rPr>
          <w:color w:val="000000" w:themeColor="text1"/>
          <w:sz w:val="22"/>
          <w:szCs w:val="22"/>
        </w:rPr>
        <w:t>, incident IHD, and higher risk of all-cause and CVD mortality. In separate analyses comparing LVGFI to LVEF, the latter showed similar but less consistent associations.</w:t>
      </w:r>
      <w:r>
        <w:rPr>
          <w:color w:val="000000" w:themeColor="text1"/>
          <w:sz w:val="22"/>
          <w:szCs w:val="22"/>
          <w:shd w:val="clear" w:color="auto" w:fill="FFFFFF"/>
        </w:rPr>
        <w:t xml:space="preserve"> Our findings</w:t>
      </w:r>
      <w:r>
        <w:rPr>
          <w:color w:val="000000" w:themeColor="text1"/>
          <w:sz w:val="22"/>
          <w:szCs w:val="22"/>
        </w:rPr>
        <w:t xml:space="preserve"> </w:t>
      </w:r>
      <w:r w:rsidRPr="004F076A">
        <w:rPr>
          <w:color w:val="000000" w:themeColor="text1"/>
          <w:sz w:val="22"/>
          <w:szCs w:val="22"/>
        </w:rPr>
        <w:t xml:space="preserve">add strength to existing studies which have proposed </w:t>
      </w:r>
      <w:r>
        <w:rPr>
          <w:color w:val="000000" w:themeColor="text1"/>
          <w:sz w:val="22"/>
          <w:szCs w:val="22"/>
        </w:rPr>
        <w:t xml:space="preserve">the high utility of this LVGFI as a </w:t>
      </w:r>
      <w:r w:rsidRPr="008B0B07">
        <w:rPr>
          <w:color w:val="000000" w:themeColor="text1"/>
          <w:sz w:val="22"/>
          <w:szCs w:val="22"/>
        </w:rPr>
        <w:t>measure of LV function.</w:t>
      </w:r>
      <w:r w:rsidRPr="008B0B07">
        <w:rPr>
          <w:color w:val="000000" w:themeColor="text1"/>
          <w:sz w:val="22"/>
          <w:szCs w:val="22"/>
        </w:rPr>
        <w:fldChar w:fldCharType="begin" w:fldLock="1"/>
      </w:r>
      <w:r w:rsidRPr="008B0B07">
        <w:rPr>
          <w:color w:val="000000" w:themeColor="text1"/>
          <w:sz w:val="22"/>
          <w:szCs w:val="22"/>
        </w:rPr>
        <w:instrText>ADDIN CSL_CITATION {"citationItems":[{"id":"ITEM-1","itemData":{"DOI":"10.1093/ehjci/jey123","ISSN":"20472412","PMID":"30247530","abstract":"Aims: Left ventricular (LV) ejection fraction (LVEF) is an extensively utilized marker of LV function that is often interpreted without recourse to alterations in LV geometry and hypertrophy. LV global function index (LVGFI) is a novel marker that incorporates LV structure in the assessment of LV cardiac performance. We evaluated the prognostic utility of LVGFI from young adulthood into middle age for incident heart failure (HF) and cardiovascular disease (CVD) in comparison to LVEF. Methods and results: Included were 4107 CARDIA participants with echocardiograms in Year-5 (1990-1991). LVGFI was defined as LV stroke volume/LV global volume</w:instrText>
      </w:r>
      <w:r w:rsidRPr="008B0B07">
        <w:rPr>
          <w:rFonts w:ascii="Cambria Math" w:hAnsi="Cambria Math" w:cs="Cambria Math"/>
          <w:color w:val="000000" w:themeColor="text1"/>
          <w:sz w:val="22"/>
          <w:szCs w:val="22"/>
        </w:rPr>
        <w:instrText>∗</w:instrText>
      </w:r>
      <w:r w:rsidRPr="008B0B07">
        <w:rPr>
          <w:color w:val="000000" w:themeColor="text1"/>
          <w:sz w:val="22"/>
          <w:szCs w:val="22"/>
        </w:rPr>
        <w:instrText>100, where LV global volume was the sum of the LV mean cavity volume ((LV end-diastolic volume + LV end-systolic volume)/2) and myocardial volume (LV mass/density). Adjusted Cox proportional hazard models were utilized to predict incident HF and CVD outcomes. Mean age of participants was 29.8 ± 3.7 years, 55% female, and 48.7% black. Higher body mass index [beta coefficient (B) = -0.11 standard error (SE) = 0.02, P &lt; 0.001], higher blood pressure (B = -0.04, SE = 0.01, P &lt; 0.01), smoking (B = -0.82, SE = 0.22, P &lt; 0.001), male sex (P &lt; 0.001), and black race (P &lt; 0.001) were associated with worse LVGFI. A total of 207 incident CVD events were observed over the course of 98 035 person-years at risk. Higher LVGFI was associated with HF, hazard ratio (HR) = 0.70, 95% confidence interval (CI) (0.54-0.91), hard CVD HR = 0.83, 95% CI (0.71-0.96), and all CVD HR = 0.83, 95% CI (0.72-0.96). For HF outcomes, Harrell's C-statistic for LVGFI (0.80) was greater than LVEF (0.66). Conclusion: LVGFI is a strong, independent predictor of incident HF and CVD that provides incremental prognostic value compared with LVEF. Male sex, black race, obesity, hypertension, and smoking are associated with worse LVGFI in the early adult lifespan. Published on behalf of the European Society of Cardiology. All rights reserved.","author":[{"dropping-particle":"","family":"Nwabuo","given":"Chike C.","non-dropping-particle":"","parse-names":false,"suffix":""},{"dropping-particle":"","family":"Moreira","given":"Henrique T.","non-dropping-particle":"","parse-names":false,"suffix":""},{"dropping-particle":"","family":"Vasconcellos","given":"Henrique D.","non-dropping-particle":"","parse-names":false,"suffix":""},{"dropping-particle":"","family":"Mewton","given":"Nathan","non-dropping-particle":"","parse-names":false,"suffix":""},{"dropping-particle":"","family":"Opdahl","given":"Anders","non-dropping-particle":"","parse-names":false,"suffix":""},{"dropping-particle":"","family":"Ogunyankin","given":"Kofo O.","non-dropping-particle":"","parse-names":false,"suffix":""},{"dropping-particle":"","family":"Ambale-Venkatesh","given":"Bharath","non-dropping-particle":"","parse-names":false,"suffix":""},{"dropping-particle":"","family":"Schreiner","given":"Pamela J.","non-dropping-particle":"","parse-names":false,"suffix":""},{"dropping-particle":"","family":"Armstrong","given":"Anderson A.C.","non-dropping-particle":"","parse-names":false,"suffix":""},{"dropping-particle":"","family":"Lewis","given":"Cora E.","non-dropping-particle":"","parse-names":false,"suffix":""},{"dropping-particle":"","family":"Jacobs","given":"David R.","non-dropping-particle":"","parse-names":false,"suffix":""},{"dropping-particle":"","family":"Lloyd-Jones","given":"Donald","non-dropping-particle":"","parse-names":false,"suffix":""},{"dropping-particle":"","family":"Gidding","given":"Samuel S.","non-dropping-particle":"","parse-names":false,"suffix":""},{"dropping-particle":"","family":"Lima","given":"João A.C.","non-dropping-particle":"","parse-names":false,"suffix":""}],"container-title":"European Heart Journal Cardiovascular Imaging","id":"ITEM-1","issue":"5","issued":{"date-parts":[["2019"]]},"page":"533-540","title":"Left ventricular global function index predicts incident heart failure and cardiovascular disease in young adults: The coronary artery risk development in young adults (CARDIA) study","type":"article-journal","volume":"20"},"uris":["http://www.mendeley.com/documents/?uuid=40697a06-10fa-4234-95b2-286ac4c68f5e"]},{"id":"ITEM-2","itemData":{"DOI":"https://dx.doi.org/10.1161/HYPERTENSIONAHA.111.198028","ISSN":"1524-4563","abstract":"Left ventricular (LV) function is generally assessed independent of structural remodeling and vice versa. The purpose of this study was to evaluate a novel LV global function index (LVGFI) that integrates LV structure with global function and to assess its predictive value for cardiovascular (CV) events throughout adult life in a multiethnic population of men and women without history of CV diseases at baseline. A total of 5004 participants in the Multi-Ethnic Study of Atherosclerosis underwent a cardiac magnetic resonance study and were followed up for a median of 7.2 years. The LVGFI by cardiac magnetic resonance was defined by the ratio of stroke volume divided by LV total volume defined as the sum of mean LV cavity and myocardial volumes. Cox proportional hazard models were constructed to predict the end points of heart failure, hard CV events, and a combined end point of all CV events after adjustment for established risk factors, calcium score, and biomarkers. A total of 579 (11.6%) CV events were observed during the follow-up period. In adjusted models, the end points of heart failure, hard CV events, and all events were all significantly associated with LVGFI (heart failure, hazard ratio=0.64, P&lt;0.0001; hard CV events, hazard ratio=0.79, P=0.007; all events, hazard ratio=0.79, P&lt;0.0001). LVGFI had a significant independent predictive value in the multivariable models for all CV event categories. The LVGFI was a powerful predictor of incident HF, hard CV events, and a composite end point, including all events in this multiethnic cohort.","author":[{"dropping-particle":"","family":"Mewton","given":"Nathan","non-dropping-particle":"","parse-names":false,"suffix":""},{"dropping-particle":"","family":"Opdahl","given":"Anders","non-dropping-particle":"","parse-names":false,"suffix":""},{"dropping-particle":"","family":"Choi","given":"Eui-Young","non-dropping-particle":"","parse-names":false,"suffix":""},{"dropping-particle":"","family":"Almeida","given":"Andre L C","non-dropping-particle":"","parse-names":false,"suffix":""},{"dropping-particle":"","family":"Kawel","given":"Nadine","non-dropping-particle":"","parse-names":false,"suffix":""},{"dropping-particle":"","family":"Wu","given":"Colin O","non-dropping-particle":"","parse-names":false,"suffix":""},{"dropping-particle":"","family":"Burke","given":"Gregory L","non-dropping-particle":"","parse-names":false,"suffix":""},{"dropping-particle":"","family":"Liu","given":"Songtao","non-dropping-particle":"","parse-names":false,"suffix":""},{"dropping-particle":"","family":"Liu","given":"Kiang","non-dropping-particle":"","parse-names":false,"suffix":""},{"dropping-particle":"","family":"Bluemke","given":"David A","non-dropping-particle":"","parse-names":false,"suffix":""},{"dropping-particle":"","family":"Lima","given":"Joao A C","non-dropping-particle":"","parse-names":false,"suffix":""}],"collection-title":"[Comment in: Hypertension. 2013 Apr;61(4):762-4; PMID: 23424234 [https://www.ncbi.nlm.nih.gov/pubmed/23424234]]","container-title":"Hypertension (Dallas, Tex. : 1979)","id":"ITEM-2","issue":"4","issued":{"date-parts":[["2013"]]},"note":"Comment in (CIN)","page":"770-778","publisher-place":"United States","title":"Left ventricular global function index by magnetic resonance imaging--a novel marker for assessment of cardiac performance for the prediction of cardiovascular events: the multi-ethnic study of atherosclerosis.","type":"article-journal","volume":"61"},"uris":["http://www.mendeley.com/documents/?uuid=49db29b1-9e06-4f9a-a8c8-838666e77cd9"]}],"mendeley":{"formattedCitation":"&lt;sup&gt;20,21&lt;/sup&gt;","plainTextFormattedCitation":"20,21","previouslyFormattedCitation":"&lt;sup&gt;20,21&lt;/sup&gt;"},"properties":{"noteIndex":0},"schema":"https://github.com/citation-style-language/schema/raw/master/csl-citation.json"}</w:instrText>
      </w:r>
      <w:r w:rsidRPr="008B0B07">
        <w:rPr>
          <w:color w:val="000000" w:themeColor="text1"/>
          <w:sz w:val="22"/>
          <w:szCs w:val="22"/>
        </w:rPr>
        <w:fldChar w:fldCharType="separate"/>
      </w:r>
      <w:r w:rsidRPr="008B0B07">
        <w:rPr>
          <w:noProof/>
          <w:color w:val="000000" w:themeColor="text1"/>
          <w:sz w:val="22"/>
          <w:szCs w:val="22"/>
          <w:vertAlign w:val="superscript"/>
        </w:rPr>
        <w:t>20,21</w:t>
      </w:r>
      <w:r w:rsidRPr="008B0B07">
        <w:rPr>
          <w:color w:val="000000" w:themeColor="text1"/>
          <w:sz w:val="22"/>
          <w:szCs w:val="22"/>
        </w:rPr>
        <w:fldChar w:fldCharType="end"/>
      </w:r>
    </w:p>
    <w:p w14:paraId="53F37605" w14:textId="3E038631" w:rsidR="00545AC9" w:rsidRPr="008B0B07" w:rsidRDefault="00545AC9" w:rsidP="00511AE5">
      <w:pPr>
        <w:spacing w:line="480" w:lineRule="auto"/>
        <w:rPr>
          <w:color w:val="000000" w:themeColor="text1"/>
          <w:sz w:val="22"/>
          <w:szCs w:val="22"/>
        </w:rPr>
      </w:pPr>
    </w:p>
    <w:p w14:paraId="6CDDED9D" w14:textId="7F388758" w:rsidR="0082317A" w:rsidRPr="008B0B07" w:rsidRDefault="00545AC9" w:rsidP="0082317A">
      <w:pPr>
        <w:spacing w:line="480" w:lineRule="auto"/>
        <w:rPr>
          <w:b/>
          <w:bCs/>
          <w:color w:val="000000" w:themeColor="text1"/>
          <w:sz w:val="22"/>
          <w:szCs w:val="22"/>
        </w:rPr>
      </w:pPr>
      <w:r w:rsidRPr="008B0B07">
        <w:rPr>
          <w:b/>
          <w:bCs/>
          <w:color w:val="000000" w:themeColor="text1"/>
          <w:sz w:val="22"/>
          <w:szCs w:val="22"/>
        </w:rPr>
        <w:t>Clinical i</w:t>
      </w:r>
      <w:r w:rsidR="00240C48" w:rsidRPr="008B0B07">
        <w:rPr>
          <w:b/>
          <w:bCs/>
          <w:color w:val="000000" w:themeColor="text1"/>
          <w:sz w:val="22"/>
          <w:szCs w:val="22"/>
        </w:rPr>
        <w:t>mplications</w:t>
      </w:r>
    </w:p>
    <w:p w14:paraId="4C4D5671" w14:textId="20BF279A" w:rsidR="0082317A" w:rsidRPr="00741480" w:rsidRDefault="00741480" w:rsidP="00511AE5">
      <w:pPr>
        <w:spacing w:line="480" w:lineRule="auto"/>
        <w:rPr>
          <w:color w:val="000000" w:themeColor="text1"/>
          <w:sz w:val="22"/>
          <w:szCs w:val="22"/>
        </w:rPr>
      </w:pPr>
      <w:r w:rsidRPr="008B0B07">
        <w:rPr>
          <w:color w:val="000000" w:themeColor="text1"/>
          <w:sz w:val="22"/>
          <w:szCs w:val="22"/>
        </w:rPr>
        <w:t>In</w:t>
      </w:r>
      <w:r w:rsidRPr="008B0B07">
        <w:rPr>
          <w:b/>
          <w:bCs/>
          <w:color w:val="000000" w:themeColor="text1"/>
          <w:sz w:val="22"/>
          <w:szCs w:val="22"/>
        </w:rPr>
        <w:t xml:space="preserve"> </w:t>
      </w:r>
      <w:r w:rsidRPr="008B0B07">
        <w:rPr>
          <w:color w:val="000000" w:themeColor="text1"/>
          <w:sz w:val="22"/>
          <w:szCs w:val="22"/>
        </w:rPr>
        <w:t xml:space="preserve">this study of </w:t>
      </w:r>
      <w:r w:rsidR="006F0BEE" w:rsidRPr="008B0B07">
        <w:rPr>
          <w:color w:val="000000" w:themeColor="text1"/>
          <w:sz w:val="22"/>
          <w:szCs w:val="22"/>
        </w:rPr>
        <w:t>25,896</w:t>
      </w:r>
      <w:r w:rsidR="006F0BEE" w:rsidRPr="008B0B07" w:rsidDel="006F0BEE">
        <w:rPr>
          <w:color w:val="000000" w:themeColor="text1"/>
          <w:sz w:val="22"/>
          <w:szCs w:val="22"/>
        </w:rPr>
        <w:t xml:space="preserve"> </w:t>
      </w:r>
      <w:r w:rsidRPr="008B0B07">
        <w:rPr>
          <w:color w:val="000000" w:themeColor="text1"/>
          <w:sz w:val="22"/>
          <w:szCs w:val="22"/>
        </w:rPr>
        <w:t>UK Biobank participants, we describe independent clinical associations of CMR derived measures of LA structure and function (LAV, LAEF). These metrics, particularly LAEF, show robust associations with key cardiovascular outcomes independent of LV measures. Thus, there is potential utility for these metrics as components of clinical risk prediction algorithms. In the next stages towards development of such clinical models, there is need for evaluation of clinical relationships in other cohorts and settings. Any proposed clinical risk stratification models will require careful validation and evaluation of model performance prior to use in clinical practice</w:t>
      </w:r>
      <w:r w:rsidR="006756D3" w:rsidRPr="008B0B07">
        <w:rPr>
          <w:color w:val="000000" w:themeColor="text1"/>
          <w:sz w:val="22"/>
          <w:szCs w:val="22"/>
        </w:rPr>
        <w:t>.</w:t>
      </w:r>
    </w:p>
    <w:p w14:paraId="78837D9E" w14:textId="77777777" w:rsidR="0082317A" w:rsidRPr="004F076A" w:rsidRDefault="0082317A" w:rsidP="00511AE5">
      <w:pPr>
        <w:spacing w:line="480" w:lineRule="auto"/>
        <w:rPr>
          <w:color w:val="000000" w:themeColor="text1"/>
          <w:sz w:val="22"/>
          <w:szCs w:val="22"/>
        </w:rPr>
      </w:pPr>
    </w:p>
    <w:p w14:paraId="6A9F3CD4" w14:textId="1ACA7C20" w:rsidR="113F8A5C" w:rsidRPr="004F076A" w:rsidRDefault="113F8A5C" w:rsidP="00511AE5">
      <w:pPr>
        <w:spacing w:line="480" w:lineRule="auto"/>
        <w:rPr>
          <w:b/>
          <w:bCs/>
          <w:color w:val="000000" w:themeColor="text1"/>
          <w:sz w:val="22"/>
          <w:szCs w:val="22"/>
        </w:rPr>
      </w:pPr>
      <w:r w:rsidRPr="004F076A">
        <w:rPr>
          <w:b/>
          <w:bCs/>
          <w:color w:val="000000" w:themeColor="text1"/>
          <w:sz w:val="22"/>
          <w:szCs w:val="22"/>
        </w:rPr>
        <w:t>Strengths and limitations</w:t>
      </w:r>
    </w:p>
    <w:p w14:paraId="31BFC5A9" w14:textId="523F5497" w:rsidR="008A014F" w:rsidRPr="004F076A" w:rsidRDefault="00D028F1" w:rsidP="00511AE5">
      <w:pPr>
        <w:spacing w:line="480" w:lineRule="auto"/>
        <w:rPr>
          <w:color w:val="000000" w:themeColor="text1"/>
          <w:sz w:val="22"/>
          <w:szCs w:val="22"/>
        </w:rPr>
      </w:pPr>
      <w:r w:rsidRPr="004F076A">
        <w:rPr>
          <w:color w:val="000000" w:themeColor="text1"/>
          <w:sz w:val="22"/>
          <w:szCs w:val="22"/>
        </w:rPr>
        <w:t>The highly detailed participant characterisation and standardised CMR data in the UK Biobank permitted evaluation of associations of CMR phenotypes with key VRFs and CVDs</w:t>
      </w:r>
      <w:r w:rsidR="00873CC5" w:rsidRPr="004F076A">
        <w:rPr>
          <w:color w:val="000000" w:themeColor="text1"/>
          <w:sz w:val="22"/>
          <w:szCs w:val="22"/>
        </w:rPr>
        <w:t xml:space="preserve"> in a very large cohort</w:t>
      </w:r>
      <w:r w:rsidRPr="004F076A">
        <w:rPr>
          <w:color w:val="000000" w:themeColor="text1"/>
          <w:sz w:val="22"/>
          <w:szCs w:val="22"/>
        </w:rPr>
        <w:t xml:space="preserve">, whilst considering a wide range of confounders. The linked reliably recorded health outcome data also permitted assessment of associations with incident CVDs. </w:t>
      </w:r>
      <w:r w:rsidR="00873CC5" w:rsidRPr="004F076A">
        <w:rPr>
          <w:color w:val="000000" w:themeColor="text1"/>
          <w:sz w:val="22"/>
          <w:szCs w:val="22"/>
        </w:rPr>
        <w:t xml:space="preserve">The duration of follow up was relatively short and the </w:t>
      </w:r>
      <w:r w:rsidR="00CE3378" w:rsidRPr="004F076A">
        <w:rPr>
          <w:color w:val="000000" w:themeColor="text1"/>
          <w:sz w:val="22"/>
          <w:szCs w:val="22"/>
        </w:rPr>
        <w:t>proportion</w:t>
      </w:r>
      <w:r w:rsidR="00873CC5" w:rsidRPr="004F076A">
        <w:rPr>
          <w:color w:val="000000" w:themeColor="text1"/>
          <w:sz w:val="22"/>
          <w:szCs w:val="22"/>
        </w:rPr>
        <w:t xml:space="preserve"> of </w:t>
      </w:r>
      <w:r w:rsidR="00A433B9" w:rsidRPr="004F076A">
        <w:rPr>
          <w:color w:val="000000" w:themeColor="text1"/>
          <w:sz w:val="22"/>
          <w:szCs w:val="22"/>
        </w:rPr>
        <w:t xml:space="preserve">participants with </w:t>
      </w:r>
      <w:r w:rsidR="00873CC5" w:rsidRPr="004F076A">
        <w:rPr>
          <w:color w:val="000000" w:themeColor="text1"/>
          <w:sz w:val="22"/>
          <w:szCs w:val="22"/>
        </w:rPr>
        <w:t xml:space="preserve">incident events </w:t>
      </w:r>
      <w:r w:rsidR="00A433B9" w:rsidRPr="004F076A">
        <w:rPr>
          <w:color w:val="000000" w:themeColor="text1"/>
          <w:sz w:val="22"/>
          <w:szCs w:val="22"/>
        </w:rPr>
        <w:t>was</w:t>
      </w:r>
      <w:r w:rsidR="00873CC5" w:rsidRPr="004F076A">
        <w:rPr>
          <w:color w:val="000000" w:themeColor="text1"/>
          <w:sz w:val="22"/>
          <w:szCs w:val="22"/>
        </w:rPr>
        <w:t xml:space="preserve"> small (</w:t>
      </w:r>
      <w:r w:rsidR="00C95C3D" w:rsidRPr="004F076A">
        <w:rPr>
          <w:color w:val="000000" w:themeColor="text1"/>
          <w:sz w:val="22"/>
          <w:szCs w:val="22"/>
        </w:rPr>
        <w:t>n=</w:t>
      </w:r>
      <w:r w:rsidR="006F0BEE" w:rsidRPr="004F076A">
        <w:rPr>
          <w:color w:val="000000" w:themeColor="text1"/>
          <w:sz w:val="22"/>
          <w:szCs w:val="22"/>
        </w:rPr>
        <w:t>8</w:t>
      </w:r>
      <w:r w:rsidR="006F0BEE">
        <w:rPr>
          <w:color w:val="000000" w:themeColor="text1"/>
          <w:sz w:val="22"/>
          <w:szCs w:val="22"/>
        </w:rPr>
        <w:t>80</w:t>
      </w:r>
      <w:r w:rsidR="00C95C3D" w:rsidRPr="004F076A">
        <w:rPr>
          <w:color w:val="000000" w:themeColor="text1"/>
          <w:sz w:val="22"/>
          <w:szCs w:val="22"/>
        </w:rPr>
        <w:t>/</w:t>
      </w:r>
      <w:r w:rsidR="006F0BEE" w:rsidRPr="006F0BEE">
        <w:t xml:space="preserve"> </w:t>
      </w:r>
      <w:r w:rsidR="006F0BEE" w:rsidRPr="006F0BEE">
        <w:rPr>
          <w:color w:val="000000" w:themeColor="text1"/>
          <w:sz w:val="22"/>
          <w:szCs w:val="22"/>
        </w:rPr>
        <w:t>25,896</w:t>
      </w:r>
      <w:r w:rsidR="00C95C3D" w:rsidRPr="004F076A">
        <w:rPr>
          <w:color w:val="000000" w:themeColor="text1"/>
          <w:sz w:val="22"/>
          <w:szCs w:val="22"/>
        </w:rPr>
        <w:t>, 3.</w:t>
      </w:r>
      <w:r w:rsidR="006F0BEE">
        <w:rPr>
          <w:color w:val="000000" w:themeColor="text1"/>
          <w:sz w:val="22"/>
          <w:szCs w:val="22"/>
        </w:rPr>
        <w:t>4</w:t>
      </w:r>
      <w:r w:rsidR="00C95C3D" w:rsidRPr="004F076A">
        <w:rPr>
          <w:color w:val="000000" w:themeColor="text1"/>
          <w:sz w:val="22"/>
          <w:szCs w:val="22"/>
        </w:rPr>
        <w:t>%</w:t>
      </w:r>
      <w:r w:rsidR="00873CC5" w:rsidRPr="004F076A">
        <w:rPr>
          <w:color w:val="000000" w:themeColor="text1"/>
          <w:sz w:val="22"/>
          <w:szCs w:val="22"/>
        </w:rPr>
        <w:t>)</w:t>
      </w:r>
      <w:r w:rsidR="007C01A7">
        <w:rPr>
          <w:color w:val="000000" w:themeColor="text1"/>
          <w:sz w:val="22"/>
          <w:szCs w:val="22"/>
        </w:rPr>
        <w:t>, and even fewer when considering subgroups of participants (</w:t>
      </w:r>
      <w:r w:rsidR="007C01A7" w:rsidRPr="007C01A7">
        <w:rPr>
          <w:b/>
          <w:bCs/>
          <w:color w:val="000000" w:themeColor="text1"/>
          <w:sz w:val="22"/>
          <w:szCs w:val="22"/>
        </w:rPr>
        <w:t>Supplementary Table 10</w:t>
      </w:r>
      <w:r w:rsidR="007C01A7">
        <w:rPr>
          <w:color w:val="000000" w:themeColor="text1"/>
          <w:sz w:val="22"/>
          <w:szCs w:val="22"/>
        </w:rPr>
        <w:t>)</w:t>
      </w:r>
      <w:r w:rsidR="00873CC5" w:rsidRPr="004F076A">
        <w:rPr>
          <w:color w:val="000000" w:themeColor="text1"/>
          <w:sz w:val="22"/>
          <w:szCs w:val="22"/>
        </w:rPr>
        <w:t xml:space="preserve">. </w:t>
      </w:r>
      <w:r w:rsidR="00873CC5" w:rsidRPr="008B0B07">
        <w:rPr>
          <w:color w:val="000000" w:themeColor="text1"/>
          <w:sz w:val="22"/>
          <w:szCs w:val="22"/>
        </w:rPr>
        <w:t>Given that this limit</w:t>
      </w:r>
      <w:r w:rsidR="00A433B9" w:rsidRPr="008B0B07">
        <w:rPr>
          <w:color w:val="000000" w:themeColor="text1"/>
          <w:sz w:val="22"/>
          <w:szCs w:val="22"/>
        </w:rPr>
        <w:t>s</w:t>
      </w:r>
      <w:r w:rsidR="00873CC5" w:rsidRPr="008B0B07">
        <w:rPr>
          <w:color w:val="000000" w:themeColor="text1"/>
          <w:sz w:val="22"/>
          <w:szCs w:val="22"/>
        </w:rPr>
        <w:t xml:space="preserve"> our power to detect statistically significant associations with incident events, the observed </w:t>
      </w:r>
      <w:r w:rsidR="00A433B9" w:rsidRPr="008B0B07">
        <w:rPr>
          <w:color w:val="000000" w:themeColor="text1"/>
          <w:sz w:val="22"/>
          <w:szCs w:val="22"/>
        </w:rPr>
        <w:t xml:space="preserve">significant </w:t>
      </w:r>
      <w:r w:rsidR="00873CC5" w:rsidRPr="008B0B07">
        <w:rPr>
          <w:color w:val="000000" w:themeColor="text1"/>
          <w:sz w:val="22"/>
          <w:szCs w:val="22"/>
        </w:rPr>
        <w:t xml:space="preserve">relationships </w:t>
      </w:r>
      <w:r w:rsidR="0033150E" w:rsidRPr="008B0B07">
        <w:rPr>
          <w:color w:val="000000" w:themeColor="text1"/>
          <w:sz w:val="22"/>
          <w:szCs w:val="22"/>
        </w:rPr>
        <w:t xml:space="preserve">between </w:t>
      </w:r>
      <w:r w:rsidR="00873CC5" w:rsidRPr="008B0B07">
        <w:rPr>
          <w:color w:val="000000" w:themeColor="text1"/>
          <w:sz w:val="22"/>
          <w:szCs w:val="22"/>
        </w:rPr>
        <w:t>LA</w:t>
      </w:r>
      <w:r w:rsidR="00A433B9" w:rsidRPr="008B0B07">
        <w:rPr>
          <w:color w:val="000000" w:themeColor="text1"/>
          <w:sz w:val="22"/>
          <w:szCs w:val="22"/>
        </w:rPr>
        <w:t xml:space="preserve"> metrics </w:t>
      </w:r>
      <w:r w:rsidR="0033150E" w:rsidRPr="008B0B07">
        <w:rPr>
          <w:color w:val="000000" w:themeColor="text1"/>
          <w:sz w:val="22"/>
          <w:szCs w:val="22"/>
        </w:rPr>
        <w:t xml:space="preserve">and incident CVDs </w:t>
      </w:r>
      <w:r w:rsidR="00873CC5" w:rsidRPr="008B0B07">
        <w:rPr>
          <w:color w:val="000000" w:themeColor="text1"/>
          <w:sz w:val="22"/>
          <w:szCs w:val="22"/>
        </w:rPr>
        <w:t xml:space="preserve">are all the more notable. </w:t>
      </w:r>
      <w:r w:rsidR="00B05524" w:rsidRPr="008B0B07">
        <w:rPr>
          <w:color w:val="000000" w:themeColor="text1"/>
          <w:sz w:val="22"/>
          <w:szCs w:val="22"/>
        </w:rPr>
        <w:t xml:space="preserve">Identification of incident outcomes using HES is ideal for conditions such as acute MI and stroke, which almost always require hospitalisation. However, this approach is not optimal for endpoints that do not always require hospital admission, such as diastolic heart failure or mitral valve disease, which we were unable to consider in the analysis. There were few CVD mortality events, which means that analysis with this outcome is likely underpowered to appreciate the full picture of CMR associations (particularly small and moderate effect sizes). As events accrue in the UK Biobank, more adequately powered analyses may be conducted with possibility of evaluating associations with more granular disease-specific mortality outcomes. </w:t>
      </w:r>
      <w:r w:rsidR="008A014F" w:rsidRPr="008B0B07">
        <w:rPr>
          <w:color w:val="000000" w:themeColor="text1"/>
          <w:sz w:val="22"/>
          <w:szCs w:val="22"/>
        </w:rPr>
        <w:t>Finally, due to the observational nature of the study, we cannot exclude residual confounding</w:t>
      </w:r>
      <w:r w:rsidR="008A014F" w:rsidRPr="004F076A">
        <w:rPr>
          <w:color w:val="000000" w:themeColor="text1"/>
          <w:sz w:val="22"/>
          <w:szCs w:val="22"/>
        </w:rPr>
        <w:t xml:space="preserve"> or reverse causation, however, the </w:t>
      </w:r>
      <w:r w:rsidR="007913D9" w:rsidRPr="004F076A">
        <w:rPr>
          <w:color w:val="000000" w:themeColor="text1"/>
          <w:sz w:val="22"/>
          <w:szCs w:val="22"/>
        </w:rPr>
        <w:t xml:space="preserve">primary </w:t>
      </w:r>
      <w:r w:rsidR="008A014F" w:rsidRPr="004F076A">
        <w:rPr>
          <w:color w:val="000000" w:themeColor="text1"/>
          <w:sz w:val="22"/>
          <w:szCs w:val="22"/>
        </w:rPr>
        <w:t xml:space="preserve">aim </w:t>
      </w:r>
      <w:r w:rsidR="00C33919">
        <w:rPr>
          <w:color w:val="000000" w:themeColor="text1"/>
          <w:sz w:val="22"/>
          <w:szCs w:val="22"/>
        </w:rPr>
        <w:t xml:space="preserve">of the present study </w:t>
      </w:r>
      <w:r w:rsidR="008A014F" w:rsidRPr="004F076A">
        <w:rPr>
          <w:color w:val="000000" w:themeColor="text1"/>
          <w:sz w:val="22"/>
          <w:szCs w:val="22"/>
        </w:rPr>
        <w:t>is description of associations rather than causal inference.</w:t>
      </w:r>
    </w:p>
    <w:p w14:paraId="3646DE86" w14:textId="77777777" w:rsidR="00955C27" w:rsidRPr="004F076A" w:rsidRDefault="00955C27" w:rsidP="00511AE5">
      <w:pPr>
        <w:spacing w:line="480" w:lineRule="auto"/>
        <w:rPr>
          <w:b/>
          <w:bCs/>
          <w:color w:val="000000" w:themeColor="text1"/>
          <w:sz w:val="22"/>
          <w:szCs w:val="22"/>
        </w:rPr>
      </w:pPr>
    </w:p>
    <w:p w14:paraId="0E95E6B5" w14:textId="1015872F" w:rsidR="113F8A5C" w:rsidRPr="008B0B07" w:rsidRDefault="113F8A5C" w:rsidP="00C8745C">
      <w:pPr>
        <w:spacing w:line="480" w:lineRule="auto"/>
        <w:rPr>
          <w:b/>
          <w:bCs/>
          <w:color w:val="000000" w:themeColor="text1"/>
          <w:sz w:val="22"/>
          <w:szCs w:val="22"/>
        </w:rPr>
      </w:pPr>
      <w:r w:rsidRPr="008B0B07">
        <w:rPr>
          <w:b/>
          <w:bCs/>
          <w:color w:val="000000" w:themeColor="text1"/>
          <w:sz w:val="22"/>
          <w:szCs w:val="22"/>
        </w:rPr>
        <w:t>Conclusion</w:t>
      </w:r>
      <w:r w:rsidR="007913D9" w:rsidRPr="008B0B07">
        <w:rPr>
          <w:b/>
          <w:bCs/>
          <w:color w:val="000000" w:themeColor="text1"/>
          <w:sz w:val="22"/>
          <w:szCs w:val="22"/>
        </w:rPr>
        <w:t>s</w:t>
      </w:r>
    </w:p>
    <w:p w14:paraId="6DE64277" w14:textId="27F6F610" w:rsidR="00B05524" w:rsidRPr="004F076A" w:rsidRDefault="006669A1" w:rsidP="00D339FE">
      <w:pPr>
        <w:spacing w:line="480" w:lineRule="auto"/>
        <w:rPr>
          <w:b/>
          <w:bCs/>
          <w:color w:val="000000" w:themeColor="text1"/>
          <w:sz w:val="22"/>
          <w:szCs w:val="22"/>
        </w:rPr>
      </w:pPr>
      <w:r w:rsidRPr="008B0B07">
        <w:rPr>
          <w:color w:val="000000" w:themeColor="text1"/>
          <w:sz w:val="22"/>
          <w:szCs w:val="22"/>
          <w:shd w:val="clear" w:color="auto" w:fill="FFFFFF"/>
        </w:rPr>
        <w:t>LA structure and function measures (LAEF, LAV) demonstrate significant associations with key prevalent and incident cardiovascular outcomes, independent of LV metrics. These measures have potential clinical utility for disease discrimination and outcome prediction.</w:t>
      </w:r>
    </w:p>
    <w:p w14:paraId="21ACC80A" w14:textId="172D0007" w:rsidR="3E6747E8" w:rsidRPr="004F076A" w:rsidRDefault="3E6747E8" w:rsidP="00D339FE">
      <w:pPr>
        <w:spacing w:line="480" w:lineRule="auto"/>
        <w:rPr>
          <w:b/>
          <w:bCs/>
          <w:color w:val="000000" w:themeColor="text1"/>
          <w:sz w:val="22"/>
          <w:szCs w:val="22"/>
        </w:rPr>
      </w:pPr>
      <w:r w:rsidRPr="004F076A">
        <w:rPr>
          <w:b/>
          <w:bCs/>
          <w:color w:val="000000" w:themeColor="text1"/>
          <w:sz w:val="22"/>
          <w:szCs w:val="22"/>
        </w:rPr>
        <w:t>Ethics statement</w:t>
      </w:r>
    </w:p>
    <w:p w14:paraId="01496B36" w14:textId="0EA724A0" w:rsidR="1909EE97" w:rsidRPr="004F076A" w:rsidRDefault="1909EE97" w:rsidP="00D339FE">
      <w:pPr>
        <w:spacing w:line="480" w:lineRule="auto"/>
        <w:rPr>
          <w:color w:val="000000" w:themeColor="text1"/>
        </w:rPr>
      </w:pPr>
      <w:r w:rsidRPr="004F076A">
        <w:rPr>
          <w:color w:val="000000" w:themeColor="text1"/>
          <w:sz w:val="22"/>
          <w:szCs w:val="22"/>
        </w:rPr>
        <w:t xml:space="preserve">This study complies with the Declaration of Helsinki; the work was covered by the ethical approval for UK Biobank studies from the NHS National Research Ethics Service on 17th June 2011 (Ref 11/NW/0382) and extended on </w:t>
      </w:r>
      <w:r w:rsidR="00D339FE" w:rsidRPr="004F076A">
        <w:rPr>
          <w:color w:val="000000" w:themeColor="text1"/>
          <w:sz w:val="22"/>
          <w:szCs w:val="22"/>
          <w:shd w:val="clear" w:color="auto" w:fill="FFFFFF"/>
        </w:rPr>
        <w:t>18 June 2021 (Ref 21/NW/0157)</w:t>
      </w:r>
      <w:r w:rsidRPr="004F076A">
        <w:rPr>
          <w:color w:val="000000" w:themeColor="text1"/>
          <w:sz w:val="22"/>
          <w:szCs w:val="22"/>
        </w:rPr>
        <w:t xml:space="preserve"> with written informed consent obtained from all participants.</w:t>
      </w:r>
    </w:p>
    <w:p w14:paraId="543DC762" w14:textId="0E35A0EA" w:rsidR="2727B4AB" w:rsidRPr="004F076A" w:rsidRDefault="2727B4AB" w:rsidP="00D339FE">
      <w:pPr>
        <w:spacing w:line="480" w:lineRule="auto"/>
        <w:rPr>
          <w:color w:val="000000" w:themeColor="text1"/>
          <w:sz w:val="22"/>
          <w:szCs w:val="22"/>
        </w:rPr>
      </w:pPr>
    </w:p>
    <w:p w14:paraId="67A87F38" w14:textId="1099D50C" w:rsidR="648870E7" w:rsidRPr="004F076A" w:rsidRDefault="648870E7" w:rsidP="00D339FE">
      <w:pPr>
        <w:spacing w:line="480" w:lineRule="auto"/>
        <w:rPr>
          <w:b/>
          <w:bCs/>
          <w:color w:val="000000" w:themeColor="text1"/>
          <w:sz w:val="22"/>
          <w:szCs w:val="22"/>
        </w:rPr>
      </w:pPr>
      <w:r w:rsidRPr="004F076A">
        <w:rPr>
          <w:b/>
          <w:bCs/>
          <w:color w:val="000000" w:themeColor="text1"/>
          <w:sz w:val="22"/>
          <w:szCs w:val="22"/>
        </w:rPr>
        <w:t>Data Availability Statement</w:t>
      </w:r>
    </w:p>
    <w:p w14:paraId="718D952B" w14:textId="5BE652E8" w:rsidR="648870E7" w:rsidRPr="004F076A" w:rsidRDefault="648870E7" w:rsidP="00D339FE">
      <w:pPr>
        <w:spacing w:line="480" w:lineRule="auto"/>
        <w:rPr>
          <w:color w:val="000000" w:themeColor="text1"/>
          <w:sz w:val="22"/>
          <w:szCs w:val="22"/>
        </w:rPr>
      </w:pPr>
      <w:r w:rsidRPr="004F076A">
        <w:rPr>
          <w:color w:val="000000" w:themeColor="text1"/>
          <w:sz w:val="22"/>
          <w:szCs w:val="22"/>
        </w:rPr>
        <w:t>The data underlying this article were provided by the UK Biobank under access application 2964. UK Biobank will make the data available to bona fide researchers for all types of health-related research that is in the public interest, without preferential or exclusive access for any persons. All researchers will be subject to the same application process and approval criteria as specified by UK Biobank. For more details on the access procedure, see the UK Biobank</w:t>
      </w:r>
      <w:r w:rsidR="007D6553" w:rsidRPr="004F076A">
        <w:rPr>
          <w:color w:val="000000" w:themeColor="text1"/>
          <w:sz w:val="22"/>
          <w:szCs w:val="22"/>
        </w:rPr>
        <w:t xml:space="preserve"> </w:t>
      </w:r>
      <w:r w:rsidRPr="004F076A">
        <w:rPr>
          <w:color w:val="000000" w:themeColor="text1"/>
          <w:sz w:val="22"/>
          <w:szCs w:val="22"/>
        </w:rPr>
        <w:t>website: http://www.ukbio bank.ac.uk/register-apply/.</w:t>
      </w:r>
    </w:p>
    <w:p w14:paraId="69BD5D4C" w14:textId="2956D66D" w:rsidR="24EB06F6" w:rsidRPr="004F076A" w:rsidRDefault="24EB06F6" w:rsidP="00E529F0">
      <w:pPr>
        <w:spacing w:line="480" w:lineRule="auto"/>
        <w:rPr>
          <w:color w:val="000000" w:themeColor="text1"/>
          <w:sz w:val="22"/>
          <w:szCs w:val="22"/>
        </w:rPr>
      </w:pPr>
    </w:p>
    <w:p w14:paraId="60193F2C" w14:textId="422D46DD" w:rsidR="24EB06F6" w:rsidRPr="007B0E1E" w:rsidRDefault="2BB97FA1" w:rsidP="007B0E1E">
      <w:pPr>
        <w:spacing w:line="480" w:lineRule="auto"/>
        <w:rPr>
          <w:b/>
          <w:bCs/>
          <w:color w:val="000000" w:themeColor="text1"/>
          <w:sz w:val="22"/>
          <w:szCs w:val="22"/>
        </w:rPr>
      </w:pPr>
      <w:r w:rsidRPr="007B0E1E">
        <w:rPr>
          <w:b/>
          <w:bCs/>
          <w:color w:val="000000" w:themeColor="text1"/>
          <w:sz w:val="22"/>
          <w:szCs w:val="22"/>
        </w:rPr>
        <w:t>Funding statement</w:t>
      </w:r>
    </w:p>
    <w:p w14:paraId="68A1C286" w14:textId="29CC878C" w:rsidR="00E529F0" w:rsidRPr="007B0E1E" w:rsidRDefault="2BB97FA1" w:rsidP="007B0E1E">
      <w:pPr>
        <w:spacing w:line="480" w:lineRule="auto"/>
        <w:rPr>
          <w:sz w:val="22"/>
          <w:szCs w:val="22"/>
        </w:rPr>
      </w:pPr>
      <w:r w:rsidRPr="007B0E1E">
        <w:rPr>
          <w:color w:val="000000" w:themeColor="text1"/>
          <w:sz w:val="22"/>
          <w:szCs w:val="22"/>
        </w:rPr>
        <w:t xml:space="preserve">Z.R.E was supported by a British Heart Foundation Clinical Research Training Fellowship (FS/17/81/33318). S.E.P. acknowledges support from the ‘SmartHeart’ EPSRC programme grant (www. nihr.ac.uk; EP/P001009/1) and also from the CAP-AI programme, London’s first AI enabling programme focused on stimulating growth in the capital’s AI Sector. CAP-AI is led by Capital Enterprise in partnership with Barts Health NHS Trust and Digital Catapult and is funded by the European Regional Development Fund and Barts Charity. </w:t>
      </w:r>
      <w:r w:rsidR="00E529F0" w:rsidRPr="007B0E1E">
        <w:rPr>
          <w:color w:val="000000" w:themeColor="text1"/>
          <w:sz w:val="22"/>
          <w:szCs w:val="22"/>
        </w:rPr>
        <w:t xml:space="preserve">SEP has also received funding from the European Union’s Horizon 2020 research and innovation programme under grant agreement No 825903 (euCanSHare project). </w:t>
      </w:r>
      <w:r w:rsidRPr="007B0E1E">
        <w:rPr>
          <w:color w:val="000000" w:themeColor="text1"/>
          <w:sz w:val="22"/>
          <w:szCs w:val="22"/>
        </w:rPr>
        <w:t>S.E.P. and S.N. acknowledge the British Heart Foundation for funding the manual analysis to create a cardiovascular magnetic resonance imaging reference standard for the UK Biobank imaging resource in 5000 CMR scans (www.bhf.org.uk; PG/14/89/31194). S.N.</w:t>
      </w:r>
      <w:r w:rsidR="20637FC7" w:rsidRPr="007B0E1E">
        <w:rPr>
          <w:color w:val="000000" w:themeColor="text1"/>
          <w:sz w:val="22"/>
          <w:szCs w:val="22"/>
        </w:rPr>
        <w:t xml:space="preserve"> and</w:t>
      </w:r>
      <w:r w:rsidRPr="007B0E1E">
        <w:rPr>
          <w:color w:val="000000" w:themeColor="text1"/>
          <w:sz w:val="22"/>
          <w:szCs w:val="22"/>
        </w:rPr>
        <w:t xml:space="preserve"> C.M. were supported by the Oxford NIHR Biomedical Research Centre and S.N. by </w:t>
      </w:r>
      <w:r w:rsidR="00E529F0" w:rsidRPr="007B0E1E">
        <w:rPr>
          <w:color w:val="000000" w:themeColor="text1"/>
          <w:sz w:val="22"/>
          <w:szCs w:val="22"/>
        </w:rPr>
        <w:t>Oxford NIHR Biomedical Research Centre and the Oxford British Heart Foundation Centre of Research Excellence</w:t>
      </w:r>
      <w:r w:rsidRPr="007B0E1E">
        <w:rPr>
          <w:color w:val="000000" w:themeColor="text1"/>
          <w:sz w:val="22"/>
          <w:szCs w:val="22"/>
        </w:rPr>
        <w:t xml:space="preserve">. </w:t>
      </w:r>
      <w:r w:rsidR="00D339FE" w:rsidRPr="007B0E1E">
        <w:rPr>
          <w:color w:val="000000" w:themeColor="text1"/>
          <w:sz w:val="22"/>
          <w:szCs w:val="22"/>
        </w:rPr>
        <w:t xml:space="preserve">N.C.H acknowledges support from the UK Medical Research Council (MRC #405050259 and #MC_UU_12011/1), </w:t>
      </w:r>
      <w:r w:rsidR="00E529F0" w:rsidRPr="007B0E1E">
        <w:rPr>
          <w:color w:val="000000" w:themeColor="text1"/>
          <w:sz w:val="22"/>
          <w:szCs w:val="22"/>
        </w:rPr>
        <w:t xml:space="preserve">NIHR Southampton Biomedical Research Centre, University of Southampton, and University Hospital Southampton. </w:t>
      </w:r>
      <w:r w:rsidRPr="007B0E1E">
        <w:rPr>
          <w:color w:val="000000" w:themeColor="text1"/>
          <w:sz w:val="22"/>
          <w:szCs w:val="22"/>
        </w:rPr>
        <w:t xml:space="preserve">N.A. recognize the National Institute for Health Research (NIHR) Integrated Academic Training programme which supports </w:t>
      </w:r>
      <w:r w:rsidR="695D30EC" w:rsidRPr="007B0E1E">
        <w:rPr>
          <w:color w:val="000000" w:themeColor="text1"/>
          <w:sz w:val="22"/>
          <w:szCs w:val="22"/>
        </w:rPr>
        <w:t>his</w:t>
      </w:r>
      <w:r w:rsidRPr="007B0E1E">
        <w:rPr>
          <w:color w:val="000000" w:themeColor="text1"/>
          <w:sz w:val="22"/>
          <w:szCs w:val="22"/>
        </w:rPr>
        <w:t xml:space="preserve"> Academic Clinical Lectureship posts.</w:t>
      </w:r>
      <w:r w:rsidR="00E529F0" w:rsidRPr="007B0E1E">
        <w:rPr>
          <w:color w:val="000000" w:themeColor="text1"/>
          <w:sz w:val="22"/>
          <w:szCs w:val="22"/>
        </w:rPr>
        <w:t xml:space="preserve"> </w:t>
      </w:r>
      <w:r w:rsidR="007B0E1E" w:rsidRPr="007B0E1E">
        <w:rPr>
          <w:color w:val="000000" w:themeColor="text1"/>
          <w:sz w:val="22"/>
          <w:szCs w:val="22"/>
        </w:rPr>
        <w:t>H.N. was supported by a British Heart Foundation Clinical Research Training Fellowship (</w:t>
      </w:r>
      <w:r w:rsidR="007B0E1E" w:rsidRPr="007B0E1E">
        <w:rPr>
          <w:color w:val="000000"/>
          <w:sz w:val="22"/>
          <w:szCs w:val="22"/>
        </w:rPr>
        <w:t xml:space="preserve">FS/20/22/34640). </w:t>
      </w:r>
      <w:r w:rsidR="00E529F0" w:rsidRPr="007B0E1E">
        <w:rPr>
          <w:color w:val="000000" w:themeColor="text1"/>
          <w:sz w:val="22"/>
          <w:szCs w:val="22"/>
        </w:rPr>
        <w:t>This project was enabled through access to the MRC eMedLab Medical Bioinformatics infrastructure, supported by the Medical Research Council (www.mrc.ac.uk; MR/L016311/1). The funders provided support in the form of salaries for authors as detailed above but did not have any additional role in the study design, data collection and analysis, decision to publish, or preparation of the manuscript. </w:t>
      </w:r>
    </w:p>
    <w:p w14:paraId="3E44CFAF" w14:textId="70E03ED8" w:rsidR="00E529F0" w:rsidRPr="004F076A" w:rsidRDefault="00E529F0" w:rsidP="00E529F0">
      <w:pPr>
        <w:spacing w:line="480" w:lineRule="auto"/>
        <w:textAlignment w:val="baseline"/>
        <w:rPr>
          <w:color w:val="000000" w:themeColor="text1"/>
        </w:rPr>
      </w:pPr>
    </w:p>
    <w:p w14:paraId="28D25E37" w14:textId="77777777" w:rsidR="00E529F0" w:rsidRPr="00E529F0" w:rsidRDefault="00E529F0" w:rsidP="00E529F0">
      <w:pPr>
        <w:spacing w:line="480" w:lineRule="auto"/>
        <w:textAlignment w:val="baseline"/>
        <w:rPr>
          <w:color w:val="000000" w:themeColor="text1"/>
          <w:sz w:val="18"/>
          <w:szCs w:val="18"/>
        </w:rPr>
      </w:pPr>
      <w:r w:rsidRPr="00E529F0">
        <w:rPr>
          <w:b/>
          <w:bCs/>
          <w:color w:val="000000" w:themeColor="text1"/>
        </w:rPr>
        <w:t>Acknowledgements</w:t>
      </w:r>
      <w:r w:rsidRPr="00E529F0">
        <w:rPr>
          <w:color w:val="000000" w:themeColor="text1"/>
        </w:rPr>
        <w:t> </w:t>
      </w:r>
    </w:p>
    <w:p w14:paraId="297526BE" w14:textId="77777777" w:rsidR="00E529F0" w:rsidRPr="00E529F0" w:rsidRDefault="00E529F0" w:rsidP="00E529F0">
      <w:pPr>
        <w:spacing w:line="480" w:lineRule="auto"/>
        <w:textAlignment w:val="baseline"/>
        <w:rPr>
          <w:color w:val="000000" w:themeColor="text1"/>
          <w:sz w:val="18"/>
          <w:szCs w:val="18"/>
        </w:rPr>
      </w:pPr>
      <w:r w:rsidRPr="00E529F0">
        <w:rPr>
          <w:color w:val="000000" w:themeColor="text1"/>
        </w:rPr>
        <w:t>This study was conducted using the UK Biobank resource under access application 2964. </w:t>
      </w:r>
    </w:p>
    <w:p w14:paraId="687F4014" w14:textId="2E86AC16" w:rsidR="24EB06F6" w:rsidRPr="004F076A" w:rsidRDefault="00E529F0" w:rsidP="00E529F0">
      <w:pPr>
        <w:spacing w:line="480" w:lineRule="auto"/>
        <w:textAlignment w:val="baseline"/>
        <w:rPr>
          <w:color w:val="000000" w:themeColor="text1"/>
          <w:sz w:val="18"/>
          <w:szCs w:val="18"/>
        </w:rPr>
      </w:pPr>
      <w:r w:rsidRPr="00E529F0">
        <w:rPr>
          <w:color w:val="000000" w:themeColor="text1"/>
        </w:rPr>
        <w:t>We would like to thank all the participants, staff involved with planning, collection and analysis, including core lab analysis of the CMR imaging data. </w:t>
      </w:r>
    </w:p>
    <w:p w14:paraId="275B82E2" w14:textId="56BDBE34" w:rsidR="24EB06F6" w:rsidRPr="004F076A" w:rsidRDefault="24EB06F6" w:rsidP="00E529F0">
      <w:pPr>
        <w:spacing w:line="480" w:lineRule="auto"/>
        <w:rPr>
          <w:color w:val="000000" w:themeColor="text1"/>
          <w:sz w:val="22"/>
          <w:szCs w:val="22"/>
        </w:rPr>
      </w:pPr>
    </w:p>
    <w:p w14:paraId="00740C53" w14:textId="1461085F" w:rsidR="24EB06F6" w:rsidRPr="004F076A" w:rsidRDefault="5F613D7A" w:rsidP="00E529F0">
      <w:pPr>
        <w:spacing w:line="480" w:lineRule="auto"/>
        <w:rPr>
          <w:b/>
          <w:bCs/>
          <w:color w:val="000000" w:themeColor="text1"/>
          <w:sz w:val="22"/>
          <w:szCs w:val="22"/>
        </w:rPr>
      </w:pPr>
      <w:r w:rsidRPr="004F076A">
        <w:rPr>
          <w:b/>
          <w:bCs/>
          <w:color w:val="000000" w:themeColor="text1"/>
          <w:sz w:val="22"/>
          <w:szCs w:val="22"/>
        </w:rPr>
        <w:t>Conflicts of interest</w:t>
      </w:r>
    </w:p>
    <w:p w14:paraId="7EDF60C1" w14:textId="3462B3DB" w:rsidR="002A536E" w:rsidRPr="004F076A" w:rsidRDefault="00E529F0" w:rsidP="00E529F0">
      <w:pPr>
        <w:autoSpaceDE w:val="0"/>
        <w:autoSpaceDN w:val="0"/>
        <w:adjustRightInd w:val="0"/>
        <w:spacing w:line="480" w:lineRule="auto"/>
        <w:rPr>
          <w:rFonts w:eastAsiaTheme="minorHAnsi"/>
          <w:color w:val="000000" w:themeColor="text1"/>
          <w:lang w:eastAsia="en-US"/>
        </w:rPr>
      </w:pPr>
      <w:r w:rsidRPr="004F076A">
        <w:rPr>
          <w:rFonts w:eastAsiaTheme="minorHAnsi"/>
          <w:color w:val="000000" w:themeColor="text1"/>
          <w:sz w:val="22"/>
          <w:szCs w:val="22"/>
          <w:lang w:eastAsia="en-US"/>
        </w:rPr>
        <w:t>SEP provides consultancy to and owns stock of Cardiovascular Imaging Inc, Calgary, Alberta, Canada.</w:t>
      </w:r>
      <w:r w:rsidR="002A536E" w:rsidRPr="004F076A">
        <w:rPr>
          <w:b/>
          <w:bCs/>
          <w:color w:val="000000" w:themeColor="text1"/>
          <w:sz w:val="22"/>
          <w:szCs w:val="22"/>
        </w:rPr>
        <w:br w:type="page"/>
      </w:r>
    </w:p>
    <w:p w14:paraId="18579DDB" w14:textId="1926C1A4" w:rsidR="007D2473" w:rsidRPr="004F076A" w:rsidRDefault="0C018999" w:rsidP="00511AE5">
      <w:pPr>
        <w:spacing w:line="480" w:lineRule="auto"/>
        <w:rPr>
          <w:b/>
          <w:bCs/>
          <w:color w:val="000000" w:themeColor="text1"/>
          <w:sz w:val="22"/>
          <w:szCs w:val="22"/>
        </w:rPr>
      </w:pPr>
      <w:r w:rsidRPr="004F076A">
        <w:rPr>
          <w:b/>
          <w:bCs/>
          <w:color w:val="000000" w:themeColor="text1"/>
          <w:sz w:val="22"/>
          <w:szCs w:val="22"/>
        </w:rPr>
        <w:t>References</w:t>
      </w:r>
    </w:p>
    <w:p w14:paraId="03E6C7D7" w14:textId="484A9A21" w:rsidR="0002244A" w:rsidRPr="0002244A" w:rsidRDefault="007D2473" w:rsidP="0002244A">
      <w:pPr>
        <w:widowControl w:val="0"/>
        <w:autoSpaceDE w:val="0"/>
        <w:autoSpaceDN w:val="0"/>
        <w:adjustRightInd w:val="0"/>
        <w:spacing w:line="480" w:lineRule="auto"/>
        <w:ind w:left="640" w:hanging="640"/>
        <w:rPr>
          <w:noProof/>
          <w:sz w:val="22"/>
        </w:rPr>
      </w:pPr>
      <w:r w:rsidRPr="004F076A">
        <w:rPr>
          <w:color w:val="000000" w:themeColor="text1"/>
          <w:sz w:val="22"/>
          <w:szCs w:val="22"/>
        </w:rPr>
        <w:fldChar w:fldCharType="begin" w:fldLock="1"/>
      </w:r>
      <w:r w:rsidRPr="004F076A">
        <w:rPr>
          <w:color w:val="000000" w:themeColor="text1"/>
          <w:sz w:val="22"/>
          <w:szCs w:val="22"/>
        </w:rPr>
        <w:instrText xml:space="preserve">ADDIN Mendeley Bibliography CSL_BIBLIOGRAPHY </w:instrText>
      </w:r>
      <w:r w:rsidRPr="004F076A">
        <w:rPr>
          <w:color w:val="000000" w:themeColor="text1"/>
          <w:sz w:val="22"/>
          <w:szCs w:val="22"/>
        </w:rPr>
        <w:fldChar w:fldCharType="separate"/>
      </w:r>
      <w:r w:rsidR="0002244A" w:rsidRPr="0002244A">
        <w:rPr>
          <w:noProof/>
          <w:sz w:val="22"/>
        </w:rPr>
        <w:t xml:space="preserve">1. </w:t>
      </w:r>
      <w:r w:rsidR="0002244A" w:rsidRPr="0002244A">
        <w:rPr>
          <w:noProof/>
          <w:sz w:val="22"/>
        </w:rPr>
        <w:tab/>
        <w:t xml:space="preserve">Stefanadis C, Dernellis J, Toutouzas P. A clinical appraisal of left atrial function. </w:t>
      </w:r>
      <w:r w:rsidR="0002244A" w:rsidRPr="0002244A">
        <w:rPr>
          <w:i/>
          <w:iCs/>
          <w:noProof/>
          <w:sz w:val="22"/>
        </w:rPr>
        <w:t>Eur Heart J</w:t>
      </w:r>
      <w:r w:rsidR="0002244A" w:rsidRPr="0002244A">
        <w:rPr>
          <w:noProof/>
          <w:sz w:val="22"/>
        </w:rPr>
        <w:t xml:space="preserve"> 2001;</w:t>
      </w:r>
      <w:r w:rsidR="0002244A" w:rsidRPr="0002244A">
        <w:rPr>
          <w:b/>
          <w:bCs/>
          <w:noProof/>
          <w:sz w:val="22"/>
        </w:rPr>
        <w:t>22</w:t>
      </w:r>
      <w:r w:rsidR="0002244A" w:rsidRPr="0002244A">
        <w:rPr>
          <w:noProof/>
          <w:sz w:val="22"/>
        </w:rPr>
        <w:t xml:space="preserve">:22–36. </w:t>
      </w:r>
    </w:p>
    <w:p w14:paraId="478D2FB0" w14:textId="7107C76A"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2. </w:t>
      </w:r>
      <w:r w:rsidRPr="0002244A">
        <w:rPr>
          <w:noProof/>
          <w:sz w:val="22"/>
        </w:rPr>
        <w:tab/>
        <w:t xml:space="preserve">Blume GG, McLeod CJ, Barnes ME, Seward JB, Pellikka PA, Bastiansen PM, </w:t>
      </w:r>
      <w:r w:rsidR="00C33919">
        <w:rPr>
          <w:noProof/>
          <w:sz w:val="22"/>
        </w:rPr>
        <w:t>et al</w:t>
      </w:r>
      <w:r w:rsidRPr="0002244A">
        <w:rPr>
          <w:noProof/>
          <w:sz w:val="22"/>
        </w:rPr>
        <w:t xml:space="preserve">. Left atrial function: Physiology, assessment, and clinical implications. </w:t>
      </w:r>
      <w:r w:rsidRPr="0002244A">
        <w:rPr>
          <w:i/>
          <w:iCs/>
          <w:noProof/>
          <w:sz w:val="22"/>
        </w:rPr>
        <w:t>Eur J Echocardiogr</w:t>
      </w:r>
      <w:r w:rsidRPr="0002244A">
        <w:rPr>
          <w:noProof/>
          <w:sz w:val="22"/>
        </w:rPr>
        <w:t xml:space="preserve"> 2011;</w:t>
      </w:r>
      <w:r w:rsidRPr="0002244A">
        <w:rPr>
          <w:b/>
          <w:bCs/>
          <w:noProof/>
          <w:sz w:val="22"/>
        </w:rPr>
        <w:t>12</w:t>
      </w:r>
      <w:r w:rsidRPr="0002244A">
        <w:rPr>
          <w:noProof/>
          <w:sz w:val="22"/>
        </w:rPr>
        <w:t xml:space="preserve">:421–430. </w:t>
      </w:r>
    </w:p>
    <w:p w14:paraId="0E6B4FB4" w14:textId="1EBF27B0"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3. </w:t>
      </w:r>
      <w:r w:rsidRPr="0002244A">
        <w:rPr>
          <w:noProof/>
          <w:sz w:val="22"/>
        </w:rPr>
        <w:tab/>
        <w:t xml:space="preserve">Kurt M, Wang J, Torre-Amione G, Nagueh SF. Left atrial function in diastolic heart failure. </w:t>
      </w:r>
      <w:r w:rsidRPr="0002244A">
        <w:rPr>
          <w:i/>
          <w:iCs/>
          <w:noProof/>
          <w:sz w:val="22"/>
        </w:rPr>
        <w:t>Circ Cardiovasc Imaging</w:t>
      </w:r>
      <w:r w:rsidRPr="0002244A">
        <w:rPr>
          <w:noProof/>
          <w:sz w:val="22"/>
        </w:rPr>
        <w:t xml:space="preserve"> 2009;</w:t>
      </w:r>
      <w:r w:rsidRPr="0002244A">
        <w:rPr>
          <w:b/>
          <w:bCs/>
          <w:noProof/>
          <w:sz w:val="22"/>
        </w:rPr>
        <w:t>2</w:t>
      </w:r>
      <w:r w:rsidRPr="0002244A">
        <w:rPr>
          <w:noProof/>
          <w:sz w:val="22"/>
        </w:rPr>
        <w:t xml:space="preserve">:10–15. </w:t>
      </w:r>
    </w:p>
    <w:p w14:paraId="45DD5AEC" w14:textId="061F4713"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4. </w:t>
      </w:r>
      <w:r w:rsidRPr="0002244A">
        <w:rPr>
          <w:noProof/>
          <w:sz w:val="22"/>
        </w:rPr>
        <w:tab/>
        <w:t xml:space="preserve">Gupta DK, Shah AM, Giugliano RP, Ruff CT, Antman EM, Grip LT, </w:t>
      </w:r>
      <w:r w:rsidR="00C33919">
        <w:rPr>
          <w:noProof/>
          <w:sz w:val="22"/>
        </w:rPr>
        <w:t>et al</w:t>
      </w:r>
      <w:r w:rsidRPr="0002244A">
        <w:rPr>
          <w:noProof/>
          <w:sz w:val="22"/>
        </w:rPr>
        <w:t xml:space="preserve">. Left atrial structure and function in atrial fibrillation: ENGAGE AF-TIMI 48. </w:t>
      </w:r>
      <w:r w:rsidRPr="0002244A">
        <w:rPr>
          <w:i/>
          <w:iCs/>
          <w:noProof/>
          <w:sz w:val="22"/>
        </w:rPr>
        <w:t>Eur Heart J</w:t>
      </w:r>
      <w:r w:rsidRPr="0002244A">
        <w:rPr>
          <w:noProof/>
          <w:sz w:val="22"/>
        </w:rPr>
        <w:t xml:space="preserve"> 2014;</w:t>
      </w:r>
      <w:r w:rsidRPr="0002244A">
        <w:rPr>
          <w:b/>
          <w:bCs/>
          <w:noProof/>
          <w:sz w:val="22"/>
        </w:rPr>
        <w:t>35</w:t>
      </w:r>
      <w:r w:rsidRPr="0002244A">
        <w:rPr>
          <w:noProof/>
          <w:sz w:val="22"/>
        </w:rPr>
        <w:t xml:space="preserve">:1457–1465. </w:t>
      </w:r>
    </w:p>
    <w:p w14:paraId="57F5E1DB" w14:textId="79CA27C3"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5. </w:t>
      </w:r>
      <w:r w:rsidRPr="0002244A">
        <w:rPr>
          <w:noProof/>
          <w:sz w:val="22"/>
        </w:rPr>
        <w:tab/>
        <w:t xml:space="preserve">Ou Q, Chen Y, Yu S, Guo X, Zhao H, Sun Y. Prevalence of left atrial enlargement and its risk factors in general Chinese population. </w:t>
      </w:r>
      <w:r w:rsidRPr="0002244A">
        <w:rPr>
          <w:i/>
          <w:iCs/>
          <w:noProof/>
          <w:sz w:val="22"/>
        </w:rPr>
        <w:t>BMC Cardiovasc Disord</w:t>
      </w:r>
      <w:r w:rsidRPr="0002244A">
        <w:rPr>
          <w:noProof/>
          <w:sz w:val="22"/>
        </w:rPr>
        <w:t xml:space="preserve"> 2016;</w:t>
      </w:r>
      <w:r w:rsidRPr="0002244A">
        <w:rPr>
          <w:b/>
          <w:bCs/>
          <w:noProof/>
          <w:sz w:val="22"/>
        </w:rPr>
        <w:t>16</w:t>
      </w:r>
      <w:r w:rsidR="006669A1">
        <w:rPr>
          <w:b/>
          <w:bCs/>
          <w:noProof/>
          <w:sz w:val="22"/>
        </w:rPr>
        <w:t>:</w:t>
      </w:r>
      <w:r w:rsidR="006669A1" w:rsidRPr="006669A1">
        <w:rPr>
          <w:noProof/>
          <w:sz w:val="22"/>
        </w:rPr>
        <w:t>53</w:t>
      </w:r>
      <w:r w:rsidRPr="0002244A">
        <w:rPr>
          <w:noProof/>
          <w:sz w:val="22"/>
        </w:rPr>
        <w:t xml:space="preserve">. </w:t>
      </w:r>
    </w:p>
    <w:p w14:paraId="0EE66B66" w14:textId="3A5797F6"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6. </w:t>
      </w:r>
      <w:r w:rsidRPr="0002244A">
        <w:rPr>
          <w:noProof/>
          <w:sz w:val="22"/>
        </w:rPr>
        <w:tab/>
        <w:t xml:space="preserve">Benjamin EJ, D’Agostino RB, Belanger AJ, Wolf PA, Levy D. Left atrial size and the risk of stroke and death: The Framingham Heart Study. </w:t>
      </w:r>
      <w:r w:rsidRPr="0002244A">
        <w:rPr>
          <w:i/>
          <w:iCs/>
          <w:noProof/>
          <w:sz w:val="22"/>
        </w:rPr>
        <w:t>Circulation</w:t>
      </w:r>
      <w:r w:rsidRPr="0002244A">
        <w:rPr>
          <w:noProof/>
          <w:sz w:val="22"/>
        </w:rPr>
        <w:t xml:space="preserve"> 1995;</w:t>
      </w:r>
      <w:r w:rsidRPr="0002244A">
        <w:rPr>
          <w:b/>
          <w:bCs/>
          <w:noProof/>
          <w:sz w:val="22"/>
        </w:rPr>
        <w:t>92</w:t>
      </w:r>
      <w:r w:rsidRPr="0002244A">
        <w:rPr>
          <w:noProof/>
          <w:sz w:val="22"/>
        </w:rPr>
        <w:t xml:space="preserve">:835–841. </w:t>
      </w:r>
    </w:p>
    <w:p w14:paraId="38B2DD8E" w14:textId="2D01D510"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7. </w:t>
      </w:r>
      <w:r w:rsidRPr="0002244A">
        <w:rPr>
          <w:noProof/>
          <w:sz w:val="22"/>
        </w:rPr>
        <w:tab/>
        <w:t xml:space="preserve">Proietti M, Raparelli V, Basili S, Olshansky B, Lip GYH. Relation of female sex to left atrial diameter and cardiovascular death in atrial fibrillation: The AFFIRM Trial. </w:t>
      </w:r>
      <w:r w:rsidRPr="0002244A">
        <w:rPr>
          <w:i/>
          <w:iCs/>
          <w:noProof/>
          <w:sz w:val="22"/>
        </w:rPr>
        <w:t>Int J Cardiol</w:t>
      </w:r>
      <w:r w:rsidRPr="0002244A">
        <w:rPr>
          <w:noProof/>
          <w:sz w:val="22"/>
        </w:rPr>
        <w:t xml:space="preserve"> 2016;</w:t>
      </w:r>
      <w:r w:rsidRPr="0002244A">
        <w:rPr>
          <w:b/>
          <w:bCs/>
          <w:noProof/>
          <w:sz w:val="22"/>
        </w:rPr>
        <w:t>207</w:t>
      </w:r>
      <w:r w:rsidRPr="0002244A">
        <w:rPr>
          <w:noProof/>
          <w:sz w:val="22"/>
        </w:rPr>
        <w:t xml:space="preserve">:258–263. </w:t>
      </w:r>
    </w:p>
    <w:p w14:paraId="40EA5E96" w14:textId="7E480C03"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8. </w:t>
      </w:r>
      <w:r w:rsidRPr="0002244A">
        <w:rPr>
          <w:noProof/>
          <w:sz w:val="22"/>
        </w:rPr>
        <w:tab/>
        <w:t xml:space="preserve">Inciardi RM, Giugliano RP, Claggett B, Gupta DK, Chandra A, Ruff CT, </w:t>
      </w:r>
      <w:r w:rsidR="00C33919">
        <w:rPr>
          <w:noProof/>
          <w:sz w:val="22"/>
        </w:rPr>
        <w:t>et al</w:t>
      </w:r>
      <w:r w:rsidRPr="0002244A">
        <w:rPr>
          <w:noProof/>
          <w:sz w:val="22"/>
        </w:rPr>
        <w:t xml:space="preserve">. Left atrial structure and function and the risk of death or heart failure in atrial fibrillation. </w:t>
      </w:r>
      <w:r w:rsidRPr="0002244A">
        <w:rPr>
          <w:i/>
          <w:iCs/>
          <w:noProof/>
          <w:sz w:val="22"/>
        </w:rPr>
        <w:t>Eur J Heart Fail</w:t>
      </w:r>
      <w:r w:rsidRPr="0002244A">
        <w:rPr>
          <w:noProof/>
          <w:sz w:val="22"/>
        </w:rPr>
        <w:t xml:space="preserve"> 2019;</w:t>
      </w:r>
      <w:r w:rsidRPr="0002244A">
        <w:rPr>
          <w:b/>
          <w:bCs/>
          <w:noProof/>
          <w:sz w:val="22"/>
        </w:rPr>
        <w:t>21</w:t>
      </w:r>
      <w:r w:rsidRPr="0002244A">
        <w:rPr>
          <w:noProof/>
          <w:sz w:val="22"/>
        </w:rPr>
        <w:t xml:space="preserve">:1571–1579. </w:t>
      </w:r>
    </w:p>
    <w:p w14:paraId="7A3B7DB3" w14:textId="18EBB390"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9. </w:t>
      </w:r>
      <w:r w:rsidRPr="0002244A">
        <w:rPr>
          <w:noProof/>
          <w:sz w:val="22"/>
        </w:rPr>
        <w:tab/>
        <w:t xml:space="preserve">Armstrong AC, Gidding SS, Colangelo LA, Kishi S, Liu K, Sidney S, </w:t>
      </w:r>
      <w:r w:rsidR="00C33919">
        <w:rPr>
          <w:noProof/>
          <w:sz w:val="22"/>
        </w:rPr>
        <w:t>et al</w:t>
      </w:r>
      <w:r w:rsidRPr="0002244A">
        <w:rPr>
          <w:noProof/>
          <w:sz w:val="22"/>
        </w:rPr>
        <w:t xml:space="preserve">. Association of early adult modifiable cardiovascular risk factors with left atrial size over a 20-year follow-up period: The CARDIA study. </w:t>
      </w:r>
      <w:r w:rsidRPr="0002244A">
        <w:rPr>
          <w:i/>
          <w:iCs/>
          <w:noProof/>
          <w:sz w:val="22"/>
        </w:rPr>
        <w:t>BMJ Open</w:t>
      </w:r>
      <w:r w:rsidRPr="0002244A">
        <w:rPr>
          <w:noProof/>
          <w:sz w:val="22"/>
        </w:rPr>
        <w:t xml:space="preserve"> 2014;</w:t>
      </w:r>
      <w:r w:rsidRPr="0002244A">
        <w:rPr>
          <w:b/>
          <w:bCs/>
          <w:noProof/>
          <w:sz w:val="22"/>
        </w:rPr>
        <w:t>4</w:t>
      </w:r>
      <w:r w:rsidRPr="0002244A">
        <w:rPr>
          <w:noProof/>
          <w:sz w:val="22"/>
        </w:rPr>
        <w:t xml:space="preserve">:1–7. </w:t>
      </w:r>
    </w:p>
    <w:p w14:paraId="57523ABB" w14:textId="12DC1860"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10. </w:t>
      </w:r>
      <w:r w:rsidRPr="0002244A">
        <w:rPr>
          <w:noProof/>
          <w:sz w:val="22"/>
        </w:rPr>
        <w:tab/>
        <w:t xml:space="preserve">Shang Y, Zhang X, Leng W, Lei X, Chen L, Liang Z, </w:t>
      </w:r>
      <w:r w:rsidR="00C33919">
        <w:rPr>
          <w:noProof/>
          <w:sz w:val="22"/>
        </w:rPr>
        <w:t>et al</w:t>
      </w:r>
      <w:r w:rsidRPr="0002244A">
        <w:rPr>
          <w:noProof/>
          <w:sz w:val="22"/>
        </w:rPr>
        <w:t xml:space="preserve">. Left atrium passive ejection fraction is the most sensitive index of type 2 diabetes mellitus-related cardiac changes. </w:t>
      </w:r>
      <w:r w:rsidRPr="0002244A">
        <w:rPr>
          <w:i/>
          <w:iCs/>
          <w:noProof/>
          <w:sz w:val="22"/>
        </w:rPr>
        <w:t>Int J Cardiovasc Imaging</w:t>
      </w:r>
      <w:r w:rsidRPr="0002244A">
        <w:rPr>
          <w:noProof/>
          <w:sz w:val="22"/>
        </w:rPr>
        <w:t xml:space="preserve"> 2018;</w:t>
      </w:r>
      <w:r w:rsidRPr="0002244A">
        <w:rPr>
          <w:b/>
          <w:bCs/>
          <w:noProof/>
          <w:sz w:val="22"/>
        </w:rPr>
        <w:t>34</w:t>
      </w:r>
      <w:r w:rsidRPr="0002244A">
        <w:rPr>
          <w:noProof/>
          <w:sz w:val="22"/>
        </w:rPr>
        <w:t xml:space="preserve">:141–151. </w:t>
      </w:r>
    </w:p>
    <w:p w14:paraId="08A3F7C5" w14:textId="5702D9B2"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11. </w:t>
      </w:r>
      <w:r w:rsidRPr="0002244A">
        <w:rPr>
          <w:noProof/>
          <w:sz w:val="22"/>
        </w:rPr>
        <w:tab/>
        <w:t xml:space="preserve">Quail M, Grunseich K, Baldassarre LA, Mojibian H, Marieb MA, Cornfeld D, </w:t>
      </w:r>
      <w:r w:rsidR="00C33919">
        <w:rPr>
          <w:noProof/>
          <w:sz w:val="22"/>
        </w:rPr>
        <w:t>et al</w:t>
      </w:r>
      <w:r w:rsidRPr="0002244A">
        <w:rPr>
          <w:noProof/>
          <w:sz w:val="22"/>
        </w:rPr>
        <w:t xml:space="preserve">. Prognostic and functional implications of left atrial late gadolinium enhancement cardiovascular magnetic resonance. </w:t>
      </w:r>
      <w:r w:rsidRPr="0002244A">
        <w:rPr>
          <w:i/>
          <w:iCs/>
          <w:noProof/>
          <w:sz w:val="22"/>
        </w:rPr>
        <w:t>J Cardiovasc Magn Reson</w:t>
      </w:r>
      <w:r w:rsidRPr="0002244A">
        <w:rPr>
          <w:noProof/>
          <w:sz w:val="22"/>
        </w:rPr>
        <w:t xml:space="preserve"> 2019;</w:t>
      </w:r>
      <w:r w:rsidRPr="0002244A">
        <w:rPr>
          <w:b/>
          <w:bCs/>
          <w:noProof/>
          <w:sz w:val="22"/>
        </w:rPr>
        <w:t>21</w:t>
      </w:r>
      <w:r w:rsidRPr="0002244A">
        <w:rPr>
          <w:noProof/>
          <w:sz w:val="22"/>
        </w:rPr>
        <w:t xml:space="preserve">. </w:t>
      </w:r>
    </w:p>
    <w:p w14:paraId="15650042" w14:textId="78059969"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12. </w:t>
      </w:r>
      <w:r w:rsidRPr="0002244A">
        <w:rPr>
          <w:noProof/>
          <w:sz w:val="22"/>
        </w:rPr>
        <w:tab/>
        <w:t xml:space="preserve">Inoue YY, Alissa A, Khurram IM, Fukumoto K, Habibi M, Venkatesh BA, </w:t>
      </w:r>
      <w:r w:rsidR="00C33919">
        <w:rPr>
          <w:noProof/>
          <w:sz w:val="22"/>
        </w:rPr>
        <w:t>et al</w:t>
      </w:r>
      <w:r w:rsidRPr="0002244A">
        <w:rPr>
          <w:noProof/>
          <w:sz w:val="22"/>
        </w:rPr>
        <w:t xml:space="preserve">. Quantitative tissue-tracking cardiac magnetic resonance (CMR) of left atrial deformation and the risk of stroke in patients with atrial fibrillation. </w:t>
      </w:r>
      <w:r w:rsidRPr="0002244A">
        <w:rPr>
          <w:i/>
          <w:iCs/>
          <w:noProof/>
          <w:sz w:val="22"/>
        </w:rPr>
        <w:t>J Am Heart Assoc</w:t>
      </w:r>
      <w:r w:rsidRPr="0002244A">
        <w:rPr>
          <w:noProof/>
          <w:sz w:val="22"/>
        </w:rPr>
        <w:t xml:space="preserve"> 2015;</w:t>
      </w:r>
      <w:r w:rsidRPr="0002244A">
        <w:rPr>
          <w:b/>
          <w:bCs/>
          <w:noProof/>
          <w:sz w:val="22"/>
        </w:rPr>
        <w:t>4</w:t>
      </w:r>
      <w:r w:rsidRPr="0002244A">
        <w:rPr>
          <w:noProof/>
          <w:sz w:val="22"/>
        </w:rPr>
        <w:t xml:space="preserve">:e001844. </w:t>
      </w:r>
    </w:p>
    <w:p w14:paraId="5EC7A696" w14:textId="5C08A55A"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13. </w:t>
      </w:r>
      <w:r w:rsidRPr="0002244A">
        <w:rPr>
          <w:noProof/>
          <w:sz w:val="22"/>
        </w:rPr>
        <w:tab/>
        <w:t xml:space="preserve">Allen NE, Sudlow C, Peakman T, Collins R. UK biobank data: Come and get it. </w:t>
      </w:r>
      <w:r w:rsidRPr="0002244A">
        <w:rPr>
          <w:i/>
          <w:iCs/>
          <w:noProof/>
          <w:sz w:val="22"/>
        </w:rPr>
        <w:t>Sci Transl Med</w:t>
      </w:r>
      <w:r w:rsidRPr="0002244A">
        <w:rPr>
          <w:noProof/>
          <w:sz w:val="22"/>
        </w:rPr>
        <w:t xml:space="preserve"> 2014;</w:t>
      </w:r>
      <w:r w:rsidRPr="0002244A">
        <w:rPr>
          <w:b/>
          <w:bCs/>
          <w:noProof/>
          <w:sz w:val="22"/>
        </w:rPr>
        <w:t>6</w:t>
      </w:r>
      <w:r w:rsidRPr="0002244A">
        <w:rPr>
          <w:noProof/>
          <w:sz w:val="22"/>
        </w:rPr>
        <w:t xml:space="preserve">:224ed4. </w:t>
      </w:r>
    </w:p>
    <w:p w14:paraId="2C4EB4B1" w14:textId="5D18F014"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14. </w:t>
      </w:r>
      <w:r w:rsidRPr="0002244A">
        <w:rPr>
          <w:noProof/>
          <w:sz w:val="22"/>
        </w:rPr>
        <w:tab/>
        <w:t>UK Biobank: Protocol for a large-scale prospective epidemiological resource. 2007. https://www.ukbiobank.ac.uk/wp-content/uploads/2011/11/UK-Biobank-Protocol.pdf (13 December 20</w:t>
      </w:r>
      <w:r w:rsidR="006669A1">
        <w:rPr>
          <w:noProof/>
          <w:sz w:val="22"/>
        </w:rPr>
        <w:t>20</w:t>
      </w:r>
      <w:r w:rsidRPr="0002244A">
        <w:rPr>
          <w:noProof/>
          <w:sz w:val="22"/>
        </w:rPr>
        <w:t>)</w:t>
      </w:r>
    </w:p>
    <w:p w14:paraId="6276A8DD" w14:textId="77777777"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15. </w:t>
      </w:r>
      <w:r w:rsidRPr="0002244A">
        <w:rPr>
          <w:noProof/>
          <w:sz w:val="22"/>
        </w:rPr>
        <w:tab/>
        <w:t>Schnier C, Sudlow Biobank CU. Algorithmically-defined health outcomes (Chief Scientist), with input from members of the UK Biobank Follow-up and Outcomes Adjudication Group. 2017. https://biobank.ctsu.ox.ac.uk/crystal/crystal/docs/alg_outcome_main.pdf (27 March 2020)</w:t>
      </w:r>
    </w:p>
    <w:p w14:paraId="7D3919D2" w14:textId="77777777"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16. </w:t>
      </w:r>
      <w:r w:rsidRPr="0002244A">
        <w:rPr>
          <w:noProof/>
          <w:sz w:val="22"/>
        </w:rPr>
        <w:tab/>
        <w:t xml:space="preserve">Raisi-Estabragh Z, Harvey NC, Neubauer S, Petersen SE. Cardiovascular magnetic resonance imaging in the UK Biobank: a major international health research resource. </w:t>
      </w:r>
      <w:r w:rsidRPr="0002244A">
        <w:rPr>
          <w:i/>
          <w:iCs/>
          <w:noProof/>
          <w:sz w:val="22"/>
        </w:rPr>
        <w:t>Eur Hear J - Cardiovasc Imaging</w:t>
      </w:r>
      <w:r w:rsidRPr="0002244A">
        <w:rPr>
          <w:noProof/>
          <w:sz w:val="22"/>
        </w:rPr>
        <w:t xml:space="preserve"> 2021;</w:t>
      </w:r>
      <w:r w:rsidRPr="0002244A">
        <w:rPr>
          <w:b/>
          <w:bCs/>
          <w:noProof/>
          <w:sz w:val="22"/>
        </w:rPr>
        <w:t>22</w:t>
      </w:r>
      <w:r w:rsidRPr="0002244A">
        <w:rPr>
          <w:noProof/>
          <w:sz w:val="22"/>
        </w:rPr>
        <w:t xml:space="preserve">:251–258. </w:t>
      </w:r>
    </w:p>
    <w:p w14:paraId="12A090F1" w14:textId="21BC9E11"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17. </w:t>
      </w:r>
      <w:r w:rsidRPr="0002244A">
        <w:rPr>
          <w:noProof/>
          <w:sz w:val="22"/>
        </w:rPr>
        <w:tab/>
        <w:t xml:space="preserve">Petersen SE, Matthews PM, Francis JM, Robson MD, Zemrak F, Boubertakh R, </w:t>
      </w:r>
      <w:r w:rsidR="00C33919">
        <w:rPr>
          <w:noProof/>
          <w:sz w:val="22"/>
        </w:rPr>
        <w:t>et al</w:t>
      </w:r>
      <w:r w:rsidRPr="0002244A">
        <w:rPr>
          <w:noProof/>
          <w:sz w:val="22"/>
        </w:rPr>
        <w:t xml:space="preserve">. UK Biobank’s cardiovascular magnetic resonance protocol. </w:t>
      </w:r>
      <w:r w:rsidRPr="0002244A">
        <w:rPr>
          <w:i/>
          <w:iCs/>
          <w:noProof/>
          <w:sz w:val="22"/>
        </w:rPr>
        <w:t>J Cardiovasc Magn Reson</w:t>
      </w:r>
      <w:r w:rsidRPr="0002244A">
        <w:rPr>
          <w:noProof/>
          <w:sz w:val="22"/>
        </w:rPr>
        <w:t xml:space="preserve"> 2015;</w:t>
      </w:r>
      <w:r w:rsidRPr="0002244A">
        <w:rPr>
          <w:b/>
          <w:bCs/>
          <w:noProof/>
          <w:sz w:val="22"/>
        </w:rPr>
        <w:t>18</w:t>
      </w:r>
      <w:r w:rsidRPr="0002244A">
        <w:rPr>
          <w:noProof/>
          <w:sz w:val="22"/>
        </w:rPr>
        <w:t xml:space="preserve">:8. </w:t>
      </w:r>
    </w:p>
    <w:p w14:paraId="34E52692" w14:textId="20E6B8FC"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18. </w:t>
      </w:r>
      <w:r w:rsidRPr="0002244A">
        <w:rPr>
          <w:noProof/>
          <w:sz w:val="22"/>
        </w:rPr>
        <w:tab/>
        <w:t xml:space="preserve">Bai W, Sinclair M, Tarroni G, Oktay O, Rajchl M, Vaillant G, </w:t>
      </w:r>
      <w:r w:rsidR="00C33919">
        <w:rPr>
          <w:noProof/>
          <w:sz w:val="22"/>
        </w:rPr>
        <w:t>et al</w:t>
      </w:r>
      <w:r w:rsidRPr="0002244A">
        <w:rPr>
          <w:noProof/>
          <w:sz w:val="22"/>
        </w:rPr>
        <w:t xml:space="preserve">. Automated cardiovascular magnetic resonance image analysis with fully convolutional networks. </w:t>
      </w:r>
      <w:r w:rsidRPr="0002244A">
        <w:rPr>
          <w:i/>
          <w:iCs/>
          <w:noProof/>
          <w:sz w:val="22"/>
        </w:rPr>
        <w:t>J Cardiovasc Magn Reson</w:t>
      </w:r>
      <w:r w:rsidRPr="0002244A">
        <w:rPr>
          <w:noProof/>
          <w:sz w:val="22"/>
        </w:rPr>
        <w:t xml:space="preserve"> 2018;</w:t>
      </w:r>
      <w:r w:rsidRPr="0002244A">
        <w:rPr>
          <w:b/>
          <w:bCs/>
          <w:noProof/>
          <w:sz w:val="22"/>
        </w:rPr>
        <w:t>20</w:t>
      </w:r>
      <w:r w:rsidRPr="0002244A">
        <w:rPr>
          <w:noProof/>
          <w:sz w:val="22"/>
        </w:rPr>
        <w:t xml:space="preserve">:65. </w:t>
      </w:r>
    </w:p>
    <w:p w14:paraId="560591A5" w14:textId="00DAFC00"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19. </w:t>
      </w:r>
      <w:r w:rsidRPr="0002244A">
        <w:rPr>
          <w:noProof/>
          <w:sz w:val="22"/>
        </w:rPr>
        <w:tab/>
        <w:t xml:space="preserve">Petersen SE, Aung N, Sanghvi MM, Zemrak F, Fung K, Paiva JM, </w:t>
      </w:r>
      <w:r w:rsidR="00C33919">
        <w:rPr>
          <w:noProof/>
          <w:sz w:val="22"/>
        </w:rPr>
        <w:t>et al</w:t>
      </w:r>
      <w:r w:rsidRPr="0002244A">
        <w:rPr>
          <w:noProof/>
          <w:sz w:val="22"/>
        </w:rPr>
        <w:t xml:space="preserve">. Reference ranges for cardiac structure and function using cardiovascular magnetic resonance (CMR) in Caucasians from the UK Biobank population cohort. </w:t>
      </w:r>
      <w:r w:rsidRPr="0002244A">
        <w:rPr>
          <w:i/>
          <w:iCs/>
          <w:noProof/>
          <w:sz w:val="22"/>
        </w:rPr>
        <w:t>J Cardiovasc Magn Reson</w:t>
      </w:r>
      <w:r w:rsidRPr="0002244A">
        <w:rPr>
          <w:noProof/>
          <w:sz w:val="22"/>
        </w:rPr>
        <w:t xml:space="preserve"> 2017;</w:t>
      </w:r>
      <w:r w:rsidRPr="0002244A">
        <w:rPr>
          <w:b/>
          <w:bCs/>
          <w:noProof/>
          <w:sz w:val="22"/>
        </w:rPr>
        <w:t>19</w:t>
      </w:r>
      <w:r w:rsidRPr="0002244A">
        <w:rPr>
          <w:noProof/>
          <w:sz w:val="22"/>
        </w:rPr>
        <w:t xml:space="preserve">:18. </w:t>
      </w:r>
    </w:p>
    <w:p w14:paraId="2EB14248" w14:textId="2D9BD2E6"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20. </w:t>
      </w:r>
      <w:r w:rsidRPr="0002244A">
        <w:rPr>
          <w:noProof/>
          <w:sz w:val="22"/>
        </w:rPr>
        <w:tab/>
        <w:t xml:space="preserve">Nwabuo CC, Moreira HT, Vasconcellos HD, Mewton N, Opdahl A, Ogunyankin KO, </w:t>
      </w:r>
      <w:r w:rsidR="00C33919">
        <w:rPr>
          <w:noProof/>
          <w:sz w:val="22"/>
        </w:rPr>
        <w:t>et al</w:t>
      </w:r>
      <w:r w:rsidRPr="0002244A">
        <w:rPr>
          <w:noProof/>
          <w:sz w:val="22"/>
        </w:rPr>
        <w:t xml:space="preserve">. Left ventricular global function index predicts incident heart failure and cardiovascular disease in young adults: The coronary artery risk development in young adults (CARDIA) study. </w:t>
      </w:r>
      <w:r w:rsidRPr="0002244A">
        <w:rPr>
          <w:i/>
          <w:iCs/>
          <w:noProof/>
          <w:sz w:val="22"/>
        </w:rPr>
        <w:t>Eur Heart J Cardiovasc Imaging</w:t>
      </w:r>
      <w:r w:rsidRPr="0002244A">
        <w:rPr>
          <w:noProof/>
          <w:sz w:val="22"/>
        </w:rPr>
        <w:t xml:space="preserve"> 2019;</w:t>
      </w:r>
      <w:r w:rsidRPr="0002244A">
        <w:rPr>
          <w:b/>
          <w:bCs/>
          <w:noProof/>
          <w:sz w:val="22"/>
        </w:rPr>
        <w:t>20</w:t>
      </w:r>
      <w:r w:rsidRPr="0002244A">
        <w:rPr>
          <w:noProof/>
          <w:sz w:val="22"/>
        </w:rPr>
        <w:t xml:space="preserve">:533–540. </w:t>
      </w:r>
    </w:p>
    <w:p w14:paraId="614887BD" w14:textId="11742409"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21. </w:t>
      </w:r>
      <w:r w:rsidRPr="0002244A">
        <w:rPr>
          <w:noProof/>
          <w:sz w:val="22"/>
        </w:rPr>
        <w:tab/>
        <w:t xml:space="preserve">Mewton N, Opdahl A, Choi E-Y, Almeida ALC, Kawel N, Wu CO, </w:t>
      </w:r>
      <w:r w:rsidR="00C33919">
        <w:rPr>
          <w:noProof/>
          <w:sz w:val="22"/>
        </w:rPr>
        <w:t>et al</w:t>
      </w:r>
      <w:r w:rsidRPr="0002244A">
        <w:rPr>
          <w:noProof/>
          <w:sz w:val="22"/>
        </w:rPr>
        <w:t xml:space="preserve">. Left ventricular global function index by magnetic resonance imaging--a novel marker for assessment of cardiac performance for the prediction of cardiovascular events: the multi-ethnic study of atherosclerosis. </w:t>
      </w:r>
      <w:r w:rsidRPr="0002244A">
        <w:rPr>
          <w:i/>
          <w:iCs/>
          <w:noProof/>
          <w:sz w:val="22"/>
        </w:rPr>
        <w:t>Hypertens</w:t>
      </w:r>
      <w:r w:rsidRPr="0002244A">
        <w:rPr>
          <w:noProof/>
          <w:sz w:val="22"/>
        </w:rPr>
        <w:t xml:space="preserve"> 2013;</w:t>
      </w:r>
      <w:r w:rsidRPr="0002244A">
        <w:rPr>
          <w:b/>
          <w:bCs/>
          <w:noProof/>
          <w:sz w:val="22"/>
        </w:rPr>
        <w:t>61</w:t>
      </w:r>
      <w:r w:rsidRPr="0002244A">
        <w:rPr>
          <w:noProof/>
          <w:sz w:val="22"/>
        </w:rPr>
        <w:t xml:space="preserve">:770–778. </w:t>
      </w:r>
    </w:p>
    <w:p w14:paraId="368C57B8" w14:textId="186D703E"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22. </w:t>
      </w:r>
      <w:r w:rsidRPr="0002244A">
        <w:rPr>
          <w:noProof/>
          <w:sz w:val="22"/>
        </w:rPr>
        <w:tab/>
        <w:t xml:space="preserve">Townsend P, Phillimore P, Beattie A. Health and Deprivation: Inequality and the North. </w:t>
      </w:r>
      <w:r w:rsidRPr="0002244A">
        <w:rPr>
          <w:i/>
          <w:iCs/>
          <w:noProof/>
          <w:sz w:val="22"/>
        </w:rPr>
        <w:t>Nurs Stand</w:t>
      </w:r>
      <w:r w:rsidRPr="0002244A">
        <w:rPr>
          <w:noProof/>
          <w:sz w:val="22"/>
        </w:rPr>
        <w:t xml:space="preserve"> 1988;</w:t>
      </w:r>
      <w:r w:rsidRPr="0002244A">
        <w:rPr>
          <w:b/>
          <w:bCs/>
          <w:noProof/>
          <w:sz w:val="22"/>
        </w:rPr>
        <w:t>2</w:t>
      </w:r>
      <w:r w:rsidRPr="0002244A">
        <w:rPr>
          <w:noProof/>
          <w:sz w:val="22"/>
        </w:rPr>
        <w:t xml:space="preserve">:34–34. </w:t>
      </w:r>
    </w:p>
    <w:p w14:paraId="410E0390" w14:textId="36F96391"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23. </w:t>
      </w:r>
      <w:r w:rsidRPr="0002244A">
        <w:rPr>
          <w:noProof/>
          <w:sz w:val="22"/>
        </w:rPr>
        <w:tab/>
        <w:t xml:space="preserve">Craig CL, Marshall AL, Sjöström M, Bauman AE, Booth ML, Ainsworth BE, </w:t>
      </w:r>
      <w:r w:rsidR="00C33919">
        <w:rPr>
          <w:noProof/>
          <w:sz w:val="22"/>
        </w:rPr>
        <w:t>et al</w:t>
      </w:r>
      <w:r w:rsidRPr="0002244A">
        <w:rPr>
          <w:noProof/>
          <w:sz w:val="22"/>
        </w:rPr>
        <w:t xml:space="preserve">. International physical activity questionnaire: 12-country reliability and validity. </w:t>
      </w:r>
      <w:r w:rsidRPr="0002244A">
        <w:rPr>
          <w:i/>
          <w:iCs/>
          <w:noProof/>
          <w:sz w:val="22"/>
        </w:rPr>
        <w:t>Med Sci Sports Exerc</w:t>
      </w:r>
      <w:r w:rsidRPr="0002244A">
        <w:rPr>
          <w:noProof/>
          <w:sz w:val="22"/>
        </w:rPr>
        <w:t xml:space="preserve"> 2003;</w:t>
      </w:r>
      <w:r w:rsidRPr="0002244A">
        <w:rPr>
          <w:b/>
          <w:bCs/>
          <w:noProof/>
          <w:sz w:val="22"/>
        </w:rPr>
        <w:t>35</w:t>
      </w:r>
      <w:r w:rsidRPr="0002244A">
        <w:rPr>
          <w:noProof/>
          <w:sz w:val="22"/>
        </w:rPr>
        <w:t xml:space="preserve">:1381–1395. </w:t>
      </w:r>
    </w:p>
    <w:p w14:paraId="51AB7D5C" w14:textId="77777777"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24. </w:t>
      </w:r>
      <w:r w:rsidRPr="0002244A">
        <w:rPr>
          <w:noProof/>
          <w:sz w:val="22"/>
        </w:rPr>
        <w:tab/>
        <w:t xml:space="preserve">R Core Team (2019). R: A language and environment for statistical computing. R Foundation for Statistical Computing, Vienna, Austria. </w:t>
      </w:r>
    </w:p>
    <w:p w14:paraId="3AF5084A" w14:textId="77777777"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25. </w:t>
      </w:r>
      <w:r w:rsidRPr="0002244A">
        <w:rPr>
          <w:noProof/>
          <w:sz w:val="22"/>
        </w:rPr>
        <w:tab/>
        <w:t>RStudio: Integrated Development for R. RStudio, Inc., Boston, MA. https://rstudio.com/ (18 October 2020)</w:t>
      </w:r>
    </w:p>
    <w:p w14:paraId="654BDEDD" w14:textId="55C66DEC"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26. </w:t>
      </w:r>
      <w:r w:rsidRPr="0002244A">
        <w:rPr>
          <w:noProof/>
          <w:sz w:val="22"/>
        </w:rPr>
        <w:tab/>
        <w:t xml:space="preserve">Wiley JF, Carrington MJ. A metabolic syndrome severity score: A tool to quantify cardio-metabolic risk factors. </w:t>
      </w:r>
      <w:r w:rsidRPr="0002244A">
        <w:rPr>
          <w:i/>
          <w:iCs/>
          <w:noProof/>
          <w:sz w:val="22"/>
        </w:rPr>
        <w:t>Prev Med</w:t>
      </w:r>
      <w:r w:rsidRPr="0002244A">
        <w:rPr>
          <w:noProof/>
          <w:sz w:val="22"/>
        </w:rPr>
        <w:t xml:space="preserve"> 2016;</w:t>
      </w:r>
      <w:r w:rsidRPr="0002244A">
        <w:rPr>
          <w:b/>
          <w:bCs/>
          <w:noProof/>
          <w:sz w:val="22"/>
        </w:rPr>
        <w:t>88</w:t>
      </w:r>
      <w:r w:rsidRPr="0002244A">
        <w:rPr>
          <w:noProof/>
          <w:sz w:val="22"/>
        </w:rPr>
        <w:t xml:space="preserve">:189–195. </w:t>
      </w:r>
    </w:p>
    <w:p w14:paraId="2AB1B847" w14:textId="38D6CFEE"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27. </w:t>
      </w:r>
      <w:r w:rsidRPr="0002244A">
        <w:rPr>
          <w:noProof/>
          <w:sz w:val="22"/>
        </w:rPr>
        <w:tab/>
        <w:t xml:space="preserve">Kochunov P, Charlesworth J, Winkler A, Hong LE, Nichols TE, Curran JE, </w:t>
      </w:r>
      <w:r w:rsidR="00C33919">
        <w:rPr>
          <w:noProof/>
          <w:sz w:val="22"/>
        </w:rPr>
        <w:t>et al</w:t>
      </w:r>
      <w:r w:rsidRPr="0002244A">
        <w:rPr>
          <w:noProof/>
          <w:sz w:val="22"/>
        </w:rPr>
        <w:t xml:space="preserve">. Transcriptomics of cortical gray matter thickness decline during normal aging. </w:t>
      </w:r>
      <w:r w:rsidRPr="0002244A">
        <w:rPr>
          <w:i/>
          <w:iCs/>
          <w:noProof/>
          <w:sz w:val="22"/>
        </w:rPr>
        <w:t>Neuroimage</w:t>
      </w:r>
      <w:r w:rsidRPr="0002244A">
        <w:rPr>
          <w:noProof/>
          <w:sz w:val="22"/>
        </w:rPr>
        <w:t xml:space="preserve"> 2013;</w:t>
      </w:r>
      <w:r w:rsidRPr="0002244A">
        <w:rPr>
          <w:b/>
          <w:bCs/>
          <w:noProof/>
          <w:sz w:val="22"/>
        </w:rPr>
        <w:t>82</w:t>
      </w:r>
      <w:r w:rsidRPr="0002244A">
        <w:rPr>
          <w:noProof/>
          <w:sz w:val="22"/>
        </w:rPr>
        <w:t xml:space="preserve">:273–283. </w:t>
      </w:r>
    </w:p>
    <w:p w14:paraId="7EF73629" w14:textId="25518B2B"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28. </w:t>
      </w:r>
      <w:r w:rsidRPr="0002244A">
        <w:rPr>
          <w:noProof/>
          <w:sz w:val="22"/>
        </w:rPr>
        <w:tab/>
        <w:t xml:space="preserve">Dormann CF, Elith J, Bacher S, Buchmann C, Carl G, Carré G, </w:t>
      </w:r>
      <w:r w:rsidR="00C33919">
        <w:rPr>
          <w:noProof/>
          <w:sz w:val="22"/>
        </w:rPr>
        <w:t>et al</w:t>
      </w:r>
      <w:r w:rsidRPr="0002244A">
        <w:rPr>
          <w:noProof/>
          <w:sz w:val="22"/>
        </w:rPr>
        <w:t xml:space="preserve">. Collinearity: A review of methods to deal with it and a simulation study evaluating their performance. </w:t>
      </w:r>
      <w:r w:rsidRPr="0002244A">
        <w:rPr>
          <w:i/>
          <w:iCs/>
          <w:noProof/>
          <w:sz w:val="22"/>
        </w:rPr>
        <w:t>Ecography</w:t>
      </w:r>
      <w:r w:rsidRPr="0002244A">
        <w:rPr>
          <w:noProof/>
          <w:sz w:val="22"/>
        </w:rPr>
        <w:t xml:space="preserve"> 2013;</w:t>
      </w:r>
      <w:r w:rsidRPr="0002244A">
        <w:rPr>
          <w:b/>
          <w:bCs/>
          <w:noProof/>
          <w:sz w:val="22"/>
        </w:rPr>
        <w:t>36</w:t>
      </w:r>
      <w:r w:rsidRPr="0002244A">
        <w:rPr>
          <w:noProof/>
          <w:sz w:val="22"/>
        </w:rPr>
        <w:t xml:space="preserve">:27–46. </w:t>
      </w:r>
    </w:p>
    <w:p w14:paraId="6CE5AFD6" w14:textId="4856C887"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29. </w:t>
      </w:r>
      <w:r w:rsidRPr="0002244A">
        <w:rPr>
          <w:noProof/>
          <w:sz w:val="22"/>
        </w:rPr>
        <w:tab/>
        <w:t xml:space="preserve">Bertelsen L, Diederichsen SZ, Haugan KJ, Brandes A, Graff C, Krieger D, </w:t>
      </w:r>
      <w:r w:rsidR="00C33919">
        <w:rPr>
          <w:noProof/>
          <w:sz w:val="22"/>
        </w:rPr>
        <w:t>et al</w:t>
      </w:r>
      <w:r w:rsidRPr="0002244A">
        <w:rPr>
          <w:noProof/>
          <w:sz w:val="22"/>
        </w:rPr>
        <w:t xml:space="preserve">. Left atrial volume and function assessed by cardiac magnetic resonance imaging are markers of subclinical atrial fibrillation as detected by continuous monitoring. </w:t>
      </w:r>
      <w:r w:rsidRPr="0002244A">
        <w:rPr>
          <w:i/>
          <w:iCs/>
          <w:noProof/>
          <w:sz w:val="22"/>
        </w:rPr>
        <w:t>Europace</w:t>
      </w:r>
      <w:r w:rsidRPr="0002244A">
        <w:rPr>
          <w:noProof/>
          <w:sz w:val="22"/>
        </w:rPr>
        <w:t xml:space="preserve"> 2020;</w:t>
      </w:r>
      <w:r w:rsidRPr="0002244A">
        <w:rPr>
          <w:b/>
          <w:bCs/>
          <w:noProof/>
          <w:sz w:val="22"/>
        </w:rPr>
        <w:t>22</w:t>
      </w:r>
      <w:r w:rsidRPr="0002244A">
        <w:rPr>
          <w:noProof/>
          <w:sz w:val="22"/>
        </w:rPr>
        <w:t xml:space="preserve">:724–731. </w:t>
      </w:r>
    </w:p>
    <w:p w14:paraId="4297A924" w14:textId="2C445ACA"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30. </w:t>
      </w:r>
      <w:r w:rsidRPr="0002244A">
        <w:rPr>
          <w:noProof/>
          <w:sz w:val="22"/>
        </w:rPr>
        <w:tab/>
        <w:t xml:space="preserve">Heckbert SR, Jensen PN, Austin TR, Chen LY, Post WS, Venkatesh BA, </w:t>
      </w:r>
      <w:r w:rsidR="00C33919">
        <w:rPr>
          <w:noProof/>
          <w:sz w:val="22"/>
        </w:rPr>
        <w:t>et al</w:t>
      </w:r>
      <w:r w:rsidRPr="0002244A">
        <w:rPr>
          <w:noProof/>
          <w:sz w:val="22"/>
        </w:rPr>
        <w:t xml:space="preserve">. Associations of left atrial function and structure with supraventricular ectopy: The multi-ethnic study of atherosclerosis. </w:t>
      </w:r>
      <w:r w:rsidRPr="0002244A">
        <w:rPr>
          <w:i/>
          <w:iCs/>
          <w:noProof/>
          <w:sz w:val="22"/>
        </w:rPr>
        <w:t>J Am Heart Assoc</w:t>
      </w:r>
      <w:r w:rsidRPr="0002244A">
        <w:rPr>
          <w:noProof/>
          <w:sz w:val="22"/>
        </w:rPr>
        <w:t xml:space="preserve"> 2021;</w:t>
      </w:r>
      <w:r w:rsidRPr="0002244A">
        <w:rPr>
          <w:b/>
          <w:bCs/>
          <w:noProof/>
          <w:sz w:val="22"/>
        </w:rPr>
        <w:t>10</w:t>
      </w:r>
      <w:r w:rsidRPr="0002244A">
        <w:rPr>
          <w:noProof/>
          <w:sz w:val="22"/>
        </w:rPr>
        <w:t xml:space="preserve">:1–19. </w:t>
      </w:r>
    </w:p>
    <w:p w14:paraId="4F40A26B" w14:textId="1A7145A4"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31. </w:t>
      </w:r>
      <w:r w:rsidRPr="0002244A">
        <w:rPr>
          <w:noProof/>
          <w:sz w:val="22"/>
        </w:rPr>
        <w:tab/>
        <w:t xml:space="preserve">Habibi M, Zareian M, Ambale Venkatesh B, Samiei S, Imai M, Wu C, </w:t>
      </w:r>
      <w:r w:rsidR="00C33919">
        <w:rPr>
          <w:noProof/>
          <w:sz w:val="22"/>
        </w:rPr>
        <w:t>et al</w:t>
      </w:r>
      <w:r w:rsidRPr="0002244A">
        <w:rPr>
          <w:noProof/>
          <w:sz w:val="22"/>
        </w:rPr>
        <w:t xml:space="preserve">. Left Atrial Mechanical Function and Incident Ischemic Cerebrovascular Events Independent of AF: Insights From the MESA Study. </w:t>
      </w:r>
      <w:r w:rsidRPr="0002244A">
        <w:rPr>
          <w:i/>
          <w:iCs/>
          <w:noProof/>
          <w:sz w:val="22"/>
        </w:rPr>
        <w:t>JACC Cardiovasc Imaging</w:t>
      </w:r>
      <w:r w:rsidRPr="0002244A">
        <w:rPr>
          <w:noProof/>
          <w:sz w:val="22"/>
        </w:rPr>
        <w:t xml:space="preserve"> 2019;</w:t>
      </w:r>
      <w:r w:rsidRPr="0002244A">
        <w:rPr>
          <w:b/>
          <w:bCs/>
          <w:noProof/>
          <w:sz w:val="22"/>
        </w:rPr>
        <w:t>12</w:t>
      </w:r>
      <w:r w:rsidRPr="0002244A">
        <w:rPr>
          <w:noProof/>
          <w:sz w:val="22"/>
        </w:rPr>
        <w:t xml:space="preserve">:2417–2427. </w:t>
      </w:r>
    </w:p>
    <w:p w14:paraId="7DA3C2A0" w14:textId="16CDF869"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32. </w:t>
      </w:r>
      <w:r w:rsidRPr="0002244A">
        <w:rPr>
          <w:noProof/>
          <w:sz w:val="22"/>
        </w:rPr>
        <w:tab/>
        <w:t xml:space="preserve">Markman TM, Habibi M, Venkatesh BA, Zareian M, Wu C, Heckbert SR, </w:t>
      </w:r>
      <w:r w:rsidR="00C33919">
        <w:rPr>
          <w:noProof/>
          <w:sz w:val="22"/>
        </w:rPr>
        <w:t>et al</w:t>
      </w:r>
      <w:r w:rsidRPr="0002244A">
        <w:rPr>
          <w:noProof/>
          <w:sz w:val="22"/>
        </w:rPr>
        <w:t xml:space="preserve">. Association of left atrial structure and function and incident cardiovascular disease in patients with diabetes mellitus: Results from multi-ethnic study of atherosclerosis (MESA). </w:t>
      </w:r>
      <w:r w:rsidRPr="0002244A">
        <w:rPr>
          <w:i/>
          <w:iCs/>
          <w:noProof/>
          <w:sz w:val="22"/>
        </w:rPr>
        <w:t>Eur Heart J Cardiovasc Imaging</w:t>
      </w:r>
      <w:r w:rsidRPr="0002244A">
        <w:rPr>
          <w:noProof/>
          <w:sz w:val="22"/>
        </w:rPr>
        <w:t xml:space="preserve"> 2017;</w:t>
      </w:r>
      <w:r w:rsidRPr="0002244A">
        <w:rPr>
          <w:b/>
          <w:bCs/>
          <w:noProof/>
          <w:sz w:val="22"/>
        </w:rPr>
        <w:t>18</w:t>
      </w:r>
      <w:r w:rsidRPr="0002244A">
        <w:rPr>
          <w:noProof/>
          <w:sz w:val="22"/>
        </w:rPr>
        <w:t xml:space="preserve">:1138–1144. </w:t>
      </w:r>
    </w:p>
    <w:p w14:paraId="0E6E7993" w14:textId="77777777"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33. </w:t>
      </w:r>
      <w:r w:rsidRPr="0002244A">
        <w:rPr>
          <w:noProof/>
          <w:sz w:val="22"/>
        </w:rPr>
        <w:tab/>
        <w:t xml:space="preserve">Graça B, Ferreira MJ, Donato P, Gomes L, Castelo-Branco M, Caseiro-Alves F. Left atrial dysfunction in type 2 diabetes mellitus: insights from cardiac MRI. </w:t>
      </w:r>
      <w:r w:rsidRPr="0002244A">
        <w:rPr>
          <w:i/>
          <w:iCs/>
          <w:noProof/>
          <w:sz w:val="22"/>
        </w:rPr>
        <w:t>Eur Radiol</w:t>
      </w:r>
      <w:r w:rsidRPr="0002244A">
        <w:rPr>
          <w:noProof/>
          <w:sz w:val="22"/>
        </w:rPr>
        <w:t xml:space="preserve"> 2014;</w:t>
      </w:r>
      <w:r w:rsidRPr="0002244A">
        <w:rPr>
          <w:b/>
          <w:bCs/>
          <w:noProof/>
          <w:sz w:val="22"/>
        </w:rPr>
        <w:t>24</w:t>
      </w:r>
      <w:r w:rsidRPr="0002244A">
        <w:rPr>
          <w:noProof/>
          <w:sz w:val="22"/>
        </w:rPr>
        <w:t xml:space="preserve">:2669–2676. </w:t>
      </w:r>
    </w:p>
    <w:p w14:paraId="3F3AC336" w14:textId="4A36A76F"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34. </w:t>
      </w:r>
      <w:r w:rsidRPr="0002244A">
        <w:rPr>
          <w:noProof/>
          <w:sz w:val="22"/>
        </w:rPr>
        <w:tab/>
        <w:t xml:space="preserve">Petersen SE, Sanghvi MM, Aung N, Cooper JA, Paiva JM, Zemrak F, </w:t>
      </w:r>
      <w:r w:rsidR="00C33919">
        <w:rPr>
          <w:noProof/>
          <w:sz w:val="22"/>
        </w:rPr>
        <w:t>et al</w:t>
      </w:r>
      <w:r w:rsidRPr="0002244A">
        <w:rPr>
          <w:noProof/>
          <w:sz w:val="22"/>
        </w:rPr>
        <w:t xml:space="preserve">. The impact of cardiovascular risk factors on cardiac structure and function: Insights from the UK Biobank imaging enhancement study. </w:t>
      </w:r>
      <w:r w:rsidRPr="0002244A">
        <w:rPr>
          <w:i/>
          <w:iCs/>
          <w:noProof/>
          <w:sz w:val="22"/>
        </w:rPr>
        <w:t>PLoS One</w:t>
      </w:r>
      <w:r w:rsidRPr="0002244A">
        <w:rPr>
          <w:noProof/>
          <w:sz w:val="22"/>
        </w:rPr>
        <w:t xml:space="preserve"> 2017;</w:t>
      </w:r>
      <w:r w:rsidRPr="0002244A">
        <w:rPr>
          <w:b/>
          <w:bCs/>
          <w:noProof/>
          <w:sz w:val="22"/>
        </w:rPr>
        <w:t>12</w:t>
      </w:r>
      <w:r w:rsidRPr="0002244A">
        <w:rPr>
          <w:noProof/>
          <w:sz w:val="22"/>
        </w:rPr>
        <w:t xml:space="preserve">:45–52. </w:t>
      </w:r>
    </w:p>
    <w:p w14:paraId="4C5FBB0B" w14:textId="6A8342A5" w:rsidR="0002244A" w:rsidRPr="0002244A" w:rsidRDefault="0002244A" w:rsidP="0002244A">
      <w:pPr>
        <w:widowControl w:val="0"/>
        <w:autoSpaceDE w:val="0"/>
        <w:autoSpaceDN w:val="0"/>
        <w:adjustRightInd w:val="0"/>
        <w:spacing w:line="480" w:lineRule="auto"/>
        <w:ind w:left="640" w:hanging="640"/>
        <w:rPr>
          <w:noProof/>
          <w:sz w:val="22"/>
        </w:rPr>
      </w:pPr>
      <w:r w:rsidRPr="0002244A">
        <w:rPr>
          <w:noProof/>
          <w:sz w:val="22"/>
        </w:rPr>
        <w:t xml:space="preserve">35. </w:t>
      </w:r>
      <w:r w:rsidRPr="0002244A">
        <w:rPr>
          <w:noProof/>
          <w:sz w:val="22"/>
        </w:rPr>
        <w:tab/>
        <w:t xml:space="preserve">Jensen MT, Fung K, Aung N, Sanghvi MM, Chadalavada S, Paiva JM, </w:t>
      </w:r>
      <w:r w:rsidR="00C33919">
        <w:rPr>
          <w:noProof/>
          <w:sz w:val="22"/>
        </w:rPr>
        <w:t>et al</w:t>
      </w:r>
      <w:r w:rsidRPr="0002244A">
        <w:rPr>
          <w:noProof/>
          <w:sz w:val="22"/>
        </w:rPr>
        <w:t xml:space="preserve">. Changes in Cardiac Morphology and Function in Individuals With Diabetes Mellitus. </w:t>
      </w:r>
      <w:r w:rsidRPr="0002244A">
        <w:rPr>
          <w:i/>
          <w:iCs/>
          <w:noProof/>
          <w:sz w:val="22"/>
        </w:rPr>
        <w:t>Circ Cardiovasc Imaging</w:t>
      </w:r>
      <w:r w:rsidRPr="0002244A">
        <w:rPr>
          <w:noProof/>
          <w:sz w:val="22"/>
        </w:rPr>
        <w:t xml:space="preserve"> 2019;</w:t>
      </w:r>
      <w:r w:rsidRPr="0002244A">
        <w:rPr>
          <w:b/>
          <w:bCs/>
          <w:noProof/>
          <w:sz w:val="22"/>
        </w:rPr>
        <w:t>12</w:t>
      </w:r>
      <w:r w:rsidRPr="0002244A">
        <w:rPr>
          <w:noProof/>
          <w:sz w:val="22"/>
        </w:rPr>
        <w:t xml:space="preserve">:e009476. </w:t>
      </w:r>
    </w:p>
    <w:p w14:paraId="2D982375" w14:textId="0F977954" w:rsidR="00C8745C" w:rsidRDefault="007D2473" w:rsidP="0002244A">
      <w:pPr>
        <w:widowControl w:val="0"/>
        <w:autoSpaceDE w:val="0"/>
        <w:autoSpaceDN w:val="0"/>
        <w:adjustRightInd w:val="0"/>
        <w:spacing w:line="480" w:lineRule="auto"/>
        <w:ind w:left="640" w:hanging="640"/>
        <w:rPr>
          <w:color w:val="000000" w:themeColor="text1"/>
          <w:sz w:val="22"/>
          <w:szCs w:val="22"/>
        </w:rPr>
      </w:pPr>
      <w:r w:rsidRPr="004F076A">
        <w:rPr>
          <w:color w:val="000000" w:themeColor="text1"/>
          <w:sz w:val="22"/>
          <w:szCs w:val="22"/>
        </w:rPr>
        <w:fldChar w:fldCharType="end"/>
      </w:r>
      <w:r w:rsidR="00C8745C">
        <w:rPr>
          <w:color w:val="000000" w:themeColor="text1"/>
          <w:sz w:val="22"/>
          <w:szCs w:val="22"/>
        </w:rPr>
        <w:br w:type="page"/>
      </w:r>
    </w:p>
    <w:p w14:paraId="6423AF3A" w14:textId="146D4B7A" w:rsidR="007D2473" w:rsidRDefault="00C8745C" w:rsidP="00F02147">
      <w:pPr>
        <w:widowControl w:val="0"/>
        <w:autoSpaceDE w:val="0"/>
        <w:autoSpaceDN w:val="0"/>
        <w:adjustRightInd w:val="0"/>
        <w:spacing w:line="480" w:lineRule="auto"/>
        <w:ind w:left="640" w:hanging="640"/>
        <w:rPr>
          <w:b/>
          <w:bCs/>
          <w:color w:val="000000" w:themeColor="text1"/>
          <w:sz w:val="22"/>
          <w:szCs w:val="22"/>
        </w:rPr>
      </w:pPr>
      <w:r w:rsidRPr="00C8745C">
        <w:rPr>
          <w:b/>
          <w:bCs/>
          <w:color w:val="000000" w:themeColor="text1"/>
          <w:sz w:val="22"/>
          <w:szCs w:val="22"/>
        </w:rPr>
        <w:t>Figure legends</w:t>
      </w:r>
    </w:p>
    <w:p w14:paraId="30C69F08" w14:textId="7516F779" w:rsidR="00DC440D" w:rsidRPr="00C8745C" w:rsidRDefault="00DC440D" w:rsidP="00DC440D">
      <w:pPr>
        <w:widowControl w:val="0"/>
        <w:autoSpaceDE w:val="0"/>
        <w:autoSpaceDN w:val="0"/>
        <w:adjustRightInd w:val="0"/>
        <w:spacing w:line="480" w:lineRule="auto"/>
        <w:rPr>
          <w:b/>
          <w:bCs/>
          <w:color w:val="000000" w:themeColor="text1"/>
          <w:sz w:val="22"/>
          <w:szCs w:val="22"/>
        </w:rPr>
      </w:pPr>
      <w:r>
        <w:rPr>
          <w:b/>
          <w:bCs/>
          <w:color w:val="000000" w:themeColor="text1"/>
          <w:sz w:val="22"/>
          <w:szCs w:val="22"/>
        </w:rPr>
        <w:t xml:space="preserve">Figure 1 Title: </w:t>
      </w:r>
      <w:r w:rsidRPr="008B0B07">
        <w:rPr>
          <w:color w:val="000000" w:themeColor="text1"/>
          <w:sz w:val="22"/>
          <w:szCs w:val="22"/>
        </w:rPr>
        <w:t>CMR metric means, and 95% confidence interval of the mean stratified by disease status</w:t>
      </w:r>
    </w:p>
    <w:p w14:paraId="4ECFD01F" w14:textId="77777777" w:rsidR="00DC440D" w:rsidRDefault="00DC440D" w:rsidP="00DC440D">
      <w:pPr>
        <w:widowControl w:val="0"/>
        <w:autoSpaceDE w:val="0"/>
        <w:autoSpaceDN w:val="0"/>
        <w:adjustRightInd w:val="0"/>
        <w:spacing w:line="480" w:lineRule="auto"/>
        <w:ind w:left="640" w:hanging="640"/>
        <w:rPr>
          <w:b/>
          <w:bCs/>
          <w:sz w:val="22"/>
          <w:szCs w:val="22"/>
        </w:rPr>
      </w:pPr>
    </w:p>
    <w:p w14:paraId="3469A1C5" w14:textId="1A972B5A" w:rsidR="00DC440D" w:rsidRPr="00DC440D" w:rsidRDefault="00DC440D" w:rsidP="00DC440D">
      <w:pPr>
        <w:widowControl w:val="0"/>
        <w:autoSpaceDE w:val="0"/>
        <w:autoSpaceDN w:val="0"/>
        <w:adjustRightInd w:val="0"/>
        <w:spacing w:line="480" w:lineRule="auto"/>
        <w:rPr>
          <w:i/>
          <w:iCs/>
          <w:sz w:val="22"/>
          <w:szCs w:val="22"/>
        </w:rPr>
      </w:pPr>
      <w:r>
        <w:rPr>
          <w:b/>
          <w:bCs/>
          <w:color w:val="000000" w:themeColor="text1"/>
          <w:sz w:val="22"/>
          <w:szCs w:val="22"/>
        </w:rPr>
        <w:t>Figure 1 Legend:</w:t>
      </w:r>
      <w:r>
        <w:rPr>
          <w:sz w:val="22"/>
          <w:szCs w:val="22"/>
        </w:rPr>
        <w:t xml:space="preserve"> </w:t>
      </w:r>
      <w:r w:rsidRPr="00E33194">
        <w:rPr>
          <w:color w:val="000000" w:themeColor="text1"/>
          <w:sz w:val="22"/>
          <w:szCs w:val="22"/>
        </w:rPr>
        <w:t xml:space="preserve">Within </w:t>
      </w:r>
      <w:r>
        <w:rPr>
          <w:color w:val="000000" w:themeColor="text1"/>
          <w:sz w:val="22"/>
          <w:szCs w:val="22"/>
        </w:rPr>
        <w:t xml:space="preserve">the </w:t>
      </w:r>
      <w:r w:rsidRPr="00C414EC">
        <w:rPr>
          <w:color w:val="000000" w:themeColor="text1"/>
          <w:sz w:val="22"/>
          <w:szCs w:val="22"/>
        </w:rPr>
        <w:t>“Healthy</w:t>
      </w:r>
      <w:r>
        <w:rPr>
          <w:color w:val="000000" w:themeColor="text1"/>
          <w:sz w:val="22"/>
          <w:szCs w:val="22"/>
        </w:rPr>
        <w:t>”, “VRFs”, and “CVD” subsets, we</w:t>
      </w:r>
      <w:r w:rsidRPr="00C414EC">
        <w:rPr>
          <w:color w:val="000000" w:themeColor="text1"/>
          <w:sz w:val="22"/>
          <w:szCs w:val="22"/>
        </w:rPr>
        <w:t xml:space="preserve"> </w:t>
      </w:r>
      <w:r>
        <w:rPr>
          <w:color w:val="000000" w:themeColor="text1"/>
          <w:sz w:val="22"/>
          <w:szCs w:val="22"/>
        </w:rPr>
        <w:t xml:space="preserve">include participants without </w:t>
      </w:r>
      <w:r w:rsidRPr="00E33194">
        <w:rPr>
          <w:color w:val="000000" w:themeColor="text1"/>
          <w:sz w:val="22"/>
          <w:szCs w:val="22"/>
        </w:rPr>
        <w:t xml:space="preserve">prevalent CVD or VRFs, with VRFs but without prevalent CVDs, and with prevalent CVDs, respectively. </w:t>
      </w:r>
      <w:r w:rsidRPr="00E33194">
        <w:rPr>
          <w:sz w:val="22"/>
          <w:szCs w:val="22"/>
        </w:rPr>
        <w:t xml:space="preserve">CMR: cardiovascular magnetic resonance, CVD: cardiovascular disease; </w:t>
      </w:r>
      <w:r w:rsidRPr="00E33194">
        <w:rPr>
          <w:sz w:val="22"/>
          <w:szCs w:val="22"/>
          <w:shd w:val="clear" w:color="auto" w:fill="FFFFFF"/>
        </w:rPr>
        <w:t>LVGFI: left ventricular global function index</w:t>
      </w:r>
      <w:r w:rsidRPr="00E33194">
        <w:rPr>
          <w:sz w:val="22"/>
          <w:szCs w:val="22"/>
        </w:rPr>
        <w:t xml:space="preserve">, GLS: global longitudinal strain, i: indicates indexation to body surface area, LAEF: left atrial ejection fraction, LAV: maximum left atrial volume, LVEDV: left ventricular end-diastolic volume, </w:t>
      </w:r>
      <w:r>
        <w:rPr>
          <w:sz w:val="22"/>
          <w:szCs w:val="22"/>
        </w:rPr>
        <w:t xml:space="preserve">LVEF: left ventricular ejection fraction, </w:t>
      </w:r>
      <w:r w:rsidRPr="00E33194">
        <w:rPr>
          <w:sz w:val="22"/>
          <w:szCs w:val="22"/>
        </w:rPr>
        <w:t>left ventricular mass, MI: myocardial infarction.</w:t>
      </w:r>
    </w:p>
    <w:p w14:paraId="750AC578" w14:textId="69887A9D" w:rsidR="006B7275" w:rsidRDefault="006B7275" w:rsidP="00DC440D">
      <w:pPr>
        <w:widowControl w:val="0"/>
        <w:autoSpaceDE w:val="0"/>
        <w:autoSpaceDN w:val="0"/>
        <w:adjustRightInd w:val="0"/>
        <w:spacing w:line="480" w:lineRule="auto"/>
        <w:rPr>
          <w:sz w:val="22"/>
          <w:szCs w:val="22"/>
        </w:rPr>
      </w:pPr>
      <w:r>
        <w:rPr>
          <w:sz w:val="22"/>
          <w:szCs w:val="22"/>
        </w:rPr>
        <w:br w:type="page"/>
      </w:r>
    </w:p>
    <w:p w14:paraId="39085A99" w14:textId="77777777" w:rsidR="006B7275" w:rsidRPr="005D20B0" w:rsidRDefault="006B7275" w:rsidP="006B7275">
      <w:pPr>
        <w:jc w:val="center"/>
        <w:rPr>
          <w:b/>
          <w:bCs/>
          <w:sz w:val="22"/>
          <w:szCs w:val="22"/>
        </w:rPr>
      </w:pPr>
      <w:r w:rsidRPr="00D72B14">
        <w:rPr>
          <w:b/>
          <w:bCs/>
          <w:sz w:val="22"/>
          <w:szCs w:val="22"/>
        </w:rPr>
        <w:t xml:space="preserve">Table 1. </w:t>
      </w:r>
      <w:r>
        <w:rPr>
          <w:b/>
          <w:bCs/>
          <w:sz w:val="22"/>
          <w:szCs w:val="22"/>
        </w:rPr>
        <w:t>Participant</w:t>
      </w:r>
      <w:r w:rsidRPr="00D72B14">
        <w:rPr>
          <w:b/>
          <w:bCs/>
          <w:sz w:val="22"/>
          <w:szCs w:val="22"/>
        </w:rPr>
        <w:t xml:space="preserve"> characteristics</w:t>
      </w:r>
    </w:p>
    <w:tbl>
      <w:tblPr>
        <w:tblStyle w:val="TableGridLight"/>
        <w:tblW w:w="9662" w:type="dxa"/>
        <w:jc w:val="cente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Look w:val="04A0" w:firstRow="1" w:lastRow="0" w:firstColumn="1" w:lastColumn="0" w:noHBand="0" w:noVBand="1"/>
      </w:tblPr>
      <w:tblGrid>
        <w:gridCol w:w="4122"/>
        <w:gridCol w:w="1846"/>
        <w:gridCol w:w="1847"/>
        <w:gridCol w:w="1847"/>
      </w:tblGrid>
      <w:tr w:rsidR="006B7275" w:rsidRPr="00804587" w14:paraId="32FD5948" w14:textId="77777777" w:rsidTr="00BD5391">
        <w:trPr>
          <w:trHeight w:val="300"/>
          <w:jc w:val="center"/>
        </w:trPr>
        <w:tc>
          <w:tcPr>
            <w:tcW w:w="4122" w:type="dxa"/>
            <w:noWrap/>
            <w:hideMark/>
          </w:tcPr>
          <w:p w14:paraId="1088712F" w14:textId="77777777" w:rsidR="006B7275" w:rsidRPr="00804587" w:rsidRDefault="006B7275" w:rsidP="00BD5391">
            <w:pPr>
              <w:rPr>
                <w:bCs/>
                <w:color w:val="000000"/>
                <w:sz w:val="20"/>
                <w:szCs w:val="20"/>
              </w:rPr>
            </w:pPr>
          </w:p>
        </w:tc>
        <w:tc>
          <w:tcPr>
            <w:tcW w:w="1846" w:type="dxa"/>
            <w:noWrap/>
            <w:vAlign w:val="center"/>
            <w:hideMark/>
          </w:tcPr>
          <w:p w14:paraId="5D6AC421" w14:textId="77777777" w:rsidR="006B7275" w:rsidRPr="00804587" w:rsidRDefault="006B7275" w:rsidP="00BD5391">
            <w:pPr>
              <w:jc w:val="center"/>
              <w:rPr>
                <w:b/>
                <w:bCs/>
                <w:color w:val="000000"/>
                <w:sz w:val="20"/>
                <w:szCs w:val="20"/>
              </w:rPr>
            </w:pPr>
            <w:r w:rsidRPr="00804587">
              <w:rPr>
                <w:b/>
                <w:bCs/>
                <w:color w:val="000000"/>
                <w:sz w:val="20"/>
                <w:szCs w:val="20"/>
              </w:rPr>
              <w:t>Whole sample</w:t>
            </w:r>
          </w:p>
        </w:tc>
        <w:tc>
          <w:tcPr>
            <w:tcW w:w="1847" w:type="dxa"/>
            <w:noWrap/>
            <w:vAlign w:val="center"/>
            <w:hideMark/>
          </w:tcPr>
          <w:p w14:paraId="63F31EB2" w14:textId="77777777" w:rsidR="006B7275" w:rsidRPr="00804587" w:rsidRDefault="006B7275" w:rsidP="00BD5391">
            <w:pPr>
              <w:jc w:val="center"/>
              <w:rPr>
                <w:b/>
                <w:bCs/>
                <w:color w:val="000000"/>
                <w:sz w:val="20"/>
                <w:szCs w:val="20"/>
              </w:rPr>
            </w:pPr>
            <w:r w:rsidRPr="00804587">
              <w:rPr>
                <w:b/>
                <w:bCs/>
                <w:color w:val="000000"/>
                <w:sz w:val="20"/>
                <w:szCs w:val="20"/>
              </w:rPr>
              <w:t>Men</w:t>
            </w:r>
          </w:p>
        </w:tc>
        <w:tc>
          <w:tcPr>
            <w:tcW w:w="1847" w:type="dxa"/>
            <w:noWrap/>
            <w:vAlign w:val="center"/>
            <w:hideMark/>
          </w:tcPr>
          <w:p w14:paraId="00ED8469" w14:textId="77777777" w:rsidR="006B7275" w:rsidRPr="00804587" w:rsidRDefault="006B7275" w:rsidP="00BD5391">
            <w:pPr>
              <w:jc w:val="center"/>
              <w:rPr>
                <w:b/>
                <w:bCs/>
                <w:color w:val="000000"/>
                <w:sz w:val="20"/>
                <w:szCs w:val="20"/>
              </w:rPr>
            </w:pPr>
            <w:r w:rsidRPr="00804587">
              <w:rPr>
                <w:b/>
                <w:bCs/>
                <w:color w:val="000000"/>
                <w:sz w:val="20"/>
                <w:szCs w:val="20"/>
              </w:rPr>
              <w:t>Women</w:t>
            </w:r>
          </w:p>
        </w:tc>
      </w:tr>
      <w:tr w:rsidR="006B7275" w:rsidRPr="00804587" w14:paraId="2676EDEE" w14:textId="77777777" w:rsidTr="00BD5391">
        <w:trPr>
          <w:trHeight w:val="300"/>
          <w:jc w:val="center"/>
        </w:trPr>
        <w:tc>
          <w:tcPr>
            <w:tcW w:w="4122" w:type="dxa"/>
            <w:noWrap/>
          </w:tcPr>
          <w:p w14:paraId="3C56EE48" w14:textId="77777777" w:rsidR="006B7275" w:rsidRPr="00804587" w:rsidRDefault="006B7275" w:rsidP="00BD5391">
            <w:pPr>
              <w:rPr>
                <w:bCs/>
                <w:color w:val="000000"/>
                <w:sz w:val="20"/>
                <w:szCs w:val="20"/>
              </w:rPr>
            </w:pPr>
          </w:p>
        </w:tc>
        <w:tc>
          <w:tcPr>
            <w:tcW w:w="1846" w:type="dxa"/>
            <w:noWrap/>
            <w:vAlign w:val="center"/>
          </w:tcPr>
          <w:p w14:paraId="6E001E4D" w14:textId="77777777" w:rsidR="006B7275" w:rsidRPr="00804587" w:rsidRDefault="006B7275" w:rsidP="00BD5391">
            <w:pPr>
              <w:jc w:val="center"/>
              <w:rPr>
                <w:b/>
                <w:bCs/>
                <w:color w:val="000000"/>
                <w:sz w:val="20"/>
                <w:szCs w:val="20"/>
              </w:rPr>
            </w:pPr>
            <w:r w:rsidRPr="00804587">
              <w:rPr>
                <w:b/>
                <w:bCs/>
                <w:color w:val="000000"/>
                <w:sz w:val="20"/>
                <w:szCs w:val="20"/>
              </w:rPr>
              <w:t>(n= 25,896)</w:t>
            </w:r>
          </w:p>
        </w:tc>
        <w:tc>
          <w:tcPr>
            <w:tcW w:w="1847" w:type="dxa"/>
            <w:noWrap/>
            <w:vAlign w:val="center"/>
          </w:tcPr>
          <w:p w14:paraId="159765EA" w14:textId="77777777" w:rsidR="006B7275" w:rsidRPr="00804587" w:rsidRDefault="006B7275" w:rsidP="00BD5391">
            <w:pPr>
              <w:jc w:val="center"/>
              <w:rPr>
                <w:b/>
                <w:bCs/>
                <w:color w:val="000000"/>
                <w:sz w:val="20"/>
                <w:szCs w:val="20"/>
              </w:rPr>
            </w:pPr>
            <w:r w:rsidRPr="00804587">
              <w:rPr>
                <w:b/>
                <w:bCs/>
                <w:color w:val="000000"/>
                <w:sz w:val="20"/>
                <w:szCs w:val="20"/>
              </w:rPr>
              <w:t>(n= 12,408)</w:t>
            </w:r>
          </w:p>
        </w:tc>
        <w:tc>
          <w:tcPr>
            <w:tcW w:w="1847" w:type="dxa"/>
            <w:noWrap/>
            <w:vAlign w:val="center"/>
          </w:tcPr>
          <w:p w14:paraId="6C2D71E2" w14:textId="77777777" w:rsidR="006B7275" w:rsidRPr="00804587" w:rsidRDefault="006B7275" w:rsidP="00BD5391">
            <w:pPr>
              <w:jc w:val="center"/>
              <w:rPr>
                <w:b/>
                <w:bCs/>
                <w:color w:val="000000"/>
                <w:sz w:val="20"/>
                <w:szCs w:val="20"/>
              </w:rPr>
            </w:pPr>
            <w:r w:rsidRPr="00804587">
              <w:rPr>
                <w:b/>
                <w:bCs/>
                <w:color w:val="000000"/>
                <w:sz w:val="20"/>
                <w:szCs w:val="20"/>
              </w:rPr>
              <w:t>(n= 13,488)</w:t>
            </w:r>
          </w:p>
        </w:tc>
      </w:tr>
      <w:tr w:rsidR="006B7275" w:rsidRPr="00804587" w14:paraId="7E84C88C" w14:textId="77777777" w:rsidTr="00BD5391">
        <w:trPr>
          <w:trHeight w:val="300"/>
          <w:jc w:val="center"/>
        </w:trPr>
        <w:tc>
          <w:tcPr>
            <w:tcW w:w="4122" w:type="dxa"/>
            <w:noWrap/>
            <w:hideMark/>
          </w:tcPr>
          <w:p w14:paraId="3B927CA2" w14:textId="77777777" w:rsidR="006B7275" w:rsidRPr="00804587" w:rsidRDefault="006B7275" w:rsidP="00BD5391">
            <w:pPr>
              <w:rPr>
                <w:color w:val="000000"/>
                <w:sz w:val="20"/>
                <w:szCs w:val="20"/>
              </w:rPr>
            </w:pPr>
            <w:r w:rsidRPr="00804587">
              <w:rPr>
                <w:color w:val="000000"/>
                <w:sz w:val="20"/>
                <w:szCs w:val="20"/>
              </w:rPr>
              <w:t>Age at imaging (years)</w:t>
            </w:r>
          </w:p>
        </w:tc>
        <w:tc>
          <w:tcPr>
            <w:tcW w:w="1846" w:type="dxa"/>
            <w:noWrap/>
            <w:vAlign w:val="center"/>
            <w:hideMark/>
          </w:tcPr>
          <w:p w14:paraId="7DC41D07" w14:textId="77777777" w:rsidR="006B7275" w:rsidRPr="00804587" w:rsidRDefault="006B7275" w:rsidP="00BD5391">
            <w:pPr>
              <w:jc w:val="center"/>
              <w:rPr>
                <w:color w:val="000000"/>
                <w:sz w:val="20"/>
                <w:szCs w:val="20"/>
              </w:rPr>
            </w:pPr>
            <w:r w:rsidRPr="00804587">
              <w:rPr>
                <w:color w:val="000000"/>
                <w:sz w:val="20"/>
                <w:szCs w:val="20"/>
              </w:rPr>
              <w:t>62.9 (±7.5)</w:t>
            </w:r>
          </w:p>
        </w:tc>
        <w:tc>
          <w:tcPr>
            <w:tcW w:w="1847" w:type="dxa"/>
            <w:noWrap/>
            <w:vAlign w:val="center"/>
            <w:hideMark/>
          </w:tcPr>
          <w:p w14:paraId="679A8F00" w14:textId="77777777" w:rsidR="006B7275" w:rsidRPr="00804587" w:rsidRDefault="006B7275" w:rsidP="00BD5391">
            <w:pPr>
              <w:jc w:val="center"/>
              <w:rPr>
                <w:color w:val="000000"/>
                <w:sz w:val="20"/>
                <w:szCs w:val="20"/>
              </w:rPr>
            </w:pPr>
            <w:r w:rsidRPr="00804587">
              <w:rPr>
                <w:color w:val="000000"/>
                <w:sz w:val="20"/>
                <w:szCs w:val="20"/>
              </w:rPr>
              <w:t>63.6 (±7.6)</w:t>
            </w:r>
          </w:p>
        </w:tc>
        <w:tc>
          <w:tcPr>
            <w:tcW w:w="1847" w:type="dxa"/>
            <w:noWrap/>
            <w:vAlign w:val="center"/>
            <w:hideMark/>
          </w:tcPr>
          <w:p w14:paraId="2F6CDDC6" w14:textId="77777777" w:rsidR="006B7275" w:rsidRPr="00804587" w:rsidRDefault="006B7275" w:rsidP="00BD5391">
            <w:pPr>
              <w:jc w:val="center"/>
              <w:rPr>
                <w:color w:val="000000"/>
                <w:sz w:val="20"/>
                <w:szCs w:val="20"/>
              </w:rPr>
            </w:pPr>
            <w:r w:rsidRPr="00804587">
              <w:rPr>
                <w:color w:val="000000"/>
                <w:sz w:val="20"/>
                <w:szCs w:val="20"/>
              </w:rPr>
              <w:t>62.2 (±7.4)</w:t>
            </w:r>
          </w:p>
        </w:tc>
      </w:tr>
      <w:tr w:rsidR="006B7275" w:rsidRPr="00804587" w14:paraId="1F32AC5B" w14:textId="77777777" w:rsidTr="00BD5391">
        <w:trPr>
          <w:trHeight w:val="300"/>
          <w:jc w:val="center"/>
        </w:trPr>
        <w:tc>
          <w:tcPr>
            <w:tcW w:w="4122" w:type="dxa"/>
            <w:noWrap/>
            <w:hideMark/>
          </w:tcPr>
          <w:p w14:paraId="470E97F9" w14:textId="77777777" w:rsidR="006B7275" w:rsidRPr="00804587" w:rsidRDefault="006B7275" w:rsidP="00BD5391">
            <w:pPr>
              <w:rPr>
                <w:color w:val="000000"/>
                <w:sz w:val="20"/>
                <w:szCs w:val="20"/>
              </w:rPr>
            </w:pPr>
            <w:r w:rsidRPr="00804587">
              <w:rPr>
                <w:color w:val="000000"/>
                <w:sz w:val="20"/>
                <w:szCs w:val="20"/>
              </w:rPr>
              <w:t>Townsend deprivation index</w:t>
            </w:r>
          </w:p>
        </w:tc>
        <w:tc>
          <w:tcPr>
            <w:tcW w:w="1846" w:type="dxa"/>
            <w:noWrap/>
            <w:vAlign w:val="center"/>
            <w:hideMark/>
          </w:tcPr>
          <w:p w14:paraId="15E901B4" w14:textId="77777777" w:rsidR="006B7275" w:rsidRPr="00804587" w:rsidRDefault="006B7275" w:rsidP="00BD5391">
            <w:pPr>
              <w:jc w:val="center"/>
              <w:rPr>
                <w:color w:val="000000"/>
                <w:sz w:val="20"/>
                <w:szCs w:val="20"/>
              </w:rPr>
            </w:pPr>
            <w:r w:rsidRPr="00804587">
              <w:rPr>
                <w:color w:val="000000"/>
                <w:sz w:val="20"/>
                <w:szCs w:val="20"/>
              </w:rPr>
              <w:t>-2.7 [-3.9, -0.7]</w:t>
            </w:r>
          </w:p>
        </w:tc>
        <w:tc>
          <w:tcPr>
            <w:tcW w:w="1847" w:type="dxa"/>
            <w:noWrap/>
            <w:vAlign w:val="center"/>
            <w:hideMark/>
          </w:tcPr>
          <w:p w14:paraId="26F30C7E" w14:textId="77777777" w:rsidR="006B7275" w:rsidRPr="00804587" w:rsidRDefault="006B7275" w:rsidP="00BD5391">
            <w:pPr>
              <w:jc w:val="center"/>
              <w:rPr>
                <w:color w:val="000000"/>
                <w:sz w:val="20"/>
                <w:szCs w:val="20"/>
              </w:rPr>
            </w:pPr>
            <w:r w:rsidRPr="00804587">
              <w:rPr>
                <w:color w:val="000000"/>
                <w:sz w:val="20"/>
                <w:szCs w:val="20"/>
              </w:rPr>
              <w:t>-2.7 [-4.0, -0.7]</w:t>
            </w:r>
          </w:p>
        </w:tc>
        <w:tc>
          <w:tcPr>
            <w:tcW w:w="1847" w:type="dxa"/>
            <w:noWrap/>
            <w:vAlign w:val="center"/>
            <w:hideMark/>
          </w:tcPr>
          <w:p w14:paraId="5532F6CB" w14:textId="77777777" w:rsidR="006B7275" w:rsidRPr="00804587" w:rsidRDefault="006B7275" w:rsidP="00BD5391">
            <w:pPr>
              <w:jc w:val="center"/>
              <w:rPr>
                <w:color w:val="000000"/>
                <w:sz w:val="20"/>
                <w:szCs w:val="20"/>
              </w:rPr>
            </w:pPr>
            <w:r w:rsidRPr="00804587">
              <w:rPr>
                <w:color w:val="000000"/>
                <w:sz w:val="20"/>
                <w:szCs w:val="20"/>
              </w:rPr>
              <w:t>-2.6 [-3.9, -0.7]</w:t>
            </w:r>
          </w:p>
        </w:tc>
      </w:tr>
      <w:tr w:rsidR="006B7275" w:rsidRPr="00804587" w14:paraId="289CF6B5" w14:textId="77777777" w:rsidTr="00BD5391">
        <w:trPr>
          <w:trHeight w:val="300"/>
          <w:jc w:val="center"/>
        </w:trPr>
        <w:tc>
          <w:tcPr>
            <w:tcW w:w="4122" w:type="dxa"/>
            <w:noWrap/>
          </w:tcPr>
          <w:p w14:paraId="760AD408" w14:textId="77777777" w:rsidR="006B7275" w:rsidRPr="00804587" w:rsidRDefault="006B7275" w:rsidP="00BD5391">
            <w:pPr>
              <w:rPr>
                <w:color w:val="000000"/>
                <w:sz w:val="20"/>
                <w:szCs w:val="20"/>
              </w:rPr>
            </w:pPr>
            <w:r w:rsidRPr="00804587">
              <w:rPr>
                <w:color w:val="000000"/>
                <w:sz w:val="20"/>
                <w:szCs w:val="20"/>
              </w:rPr>
              <w:t>Education</w:t>
            </w:r>
          </w:p>
        </w:tc>
        <w:tc>
          <w:tcPr>
            <w:tcW w:w="1846" w:type="dxa"/>
            <w:noWrap/>
            <w:vAlign w:val="center"/>
          </w:tcPr>
          <w:p w14:paraId="187520DC" w14:textId="77777777" w:rsidR="006B7275" w:rsidRPr="00804587" w:rsidRDefault="006B7275" w:rsidP="00BD5391">
            <w:pPr>
              <w:jc w:val="center"/>
              <w:rPr>
                <w:color w:val="000000"/>
                <w:sz w:val="20"/>
                <w:szCs w:val="20"/>
              </w:rPr>
            </w:pPr>
          </w:p>
        </w:tc>
        <w:tc>
          <w:tcPr>
            <w:tcW w:w="1847" w:type="dxa"/>
            <w:noWrap/>
            <w:vAlign w:val="center"/>
          </w:tcPr>
          <w:p w14:paraId="607A4567" w14:textId="77777777" w:rsidR="006B7275" w:rsidRPr="00804587" w:rsidRDefault="006B7275" w:rsidP="00BD5391">
            <w:pPr>
              <w:jc w:val="center"/>
              <w:rPr>
                <w:color w:val="000000"/>
                <w:sz w:val="20"/>
                <w:szCs w:val="20"/>
              </w:rPr>
            </w:pPr>
          </w:p>
        </w:tc>
        <w:tc>
          <w:tcPr>
            <w:tcW w:w="1847" w:type="dxa"/>
            <w:noWrap/>
            <w:vAlign w:val="center"/>
          </w:tcPr>
          <w:p w14:paraId="4DC56412" w14:textId="77777777" w:rsidR="006B7275" w:rsidRPr="00804587" w:rsidRDefault="006B7275" w:rsidP="00BD5391">
            <w:pPr>
              <w:jc w:val="center"/>
              <w:rPr>
                <w:color w:val="000000"/>
                <w:sz w:val="20"/>
                <w:szCs w:val="20"/>
              </w:rPr>
            </w:pPr>
          </w:p>
        </w:tc>
      </w:tr>
      <w:tr w:rsidR="006B7275" w:rsidRPr="00804587" w14:paraId="1556CCEE" w14:textId="77777777" w:rsidTr="00BD5391">
        <w:trPr>
          <w:trHeight w:val="300"/>
          <w:jc w:val="center"/>
        </w:trPr>
        <w:tc>
          <w:tcPr>
            <w:tcW w:w="4122" w:type="dxa"/>
            <w:noWrap/>
            <w:hideMark/>
          </w:tcPr>
          <w:p w14:paraId="28B1545F" w14:textId="77777777" w:rsidR="006B7275" w:rsidRPr="00804587" w:rsidRDefault="006B7275" w:rsidP="00BD5391">
            <w:pPr>
              <w:ind w:left="313"/>
              <w:rPr>
                <w:color w:val="000000"/>
                <w:sz w:val="20"/>
                <w:szCs w:val="20"/>
              </w:rPr>
            </w:pPr>
            <w:r w:rsidRPr="00804587">
              <w:rPr>
                <w:color w:val="000000"/>
                <w:sz w:val="20"/>
                <w:szCs w:val="20"/>
              </w:rPr>
              <w:t>Left school ≤14yrs without qualifications</w:t>
            </w:r>
          </w:p>
        </w:tc>
        <w:tc>
          <w:tcPr>
            <w:tcW w:w="1846" w:type="dxa"/>
            <w:noWrap/>
            <w:vAlign w:val="center"/>
            <w:hideMark/>
          </w:tcPr>
          <w:p w14:paraId="35FE9974" w14:textId="77777777" w:rsidR="006B7275" w:rsidRPr="00804587" w:rsidRDefault="006B7275" w:rsidP="00BD5391">
            <w:pPr>
              <w:jc w:val="center"/>
              <w:rPr>
                <w:color w:val="000000"/>
                <w:sz w:val="20"/>
                <w:szCs w:val="20"/>
              </w:rPr>
            </w:pPr>
            <w:r w:rsidRPr="00804587">
              <w:rPr>
                <w:color w:val="000000"/>
                <w:sz w:val="20"/>
                <w:szCs w:val="20"/>
              </w:rPr>
              <w:t>67 (0.3%)</w:t>
            </w:r>
          </w:p>
        </w:tc>
        <w:tc>
          <w:tcPr>
            <w:tcW w:w="1847" w:type="dxa"/>
            <w:noWrap/>
            <w:vAlign w:val="center"/>
            <w:hideMark/>
          </w:tcPr>
          <w:p w14:paraId="0351C1EC" w14:textId="77777777" w:rsidR="006B7275" w:rsidRPr="00804587" w:rsidRDefault="006B7275" w:rsidP="00BD5391">
            <w:pPr>
              <w:jc w:val="center"/>
              <w:rPr>
                <w:color w:val="000000"/>
                <w:sz w:val="20"/>
                <w:szCs w:val="20"/>
              </w:rPr>
            </w:pPr>
            <w:r w:rsidRPr="00804587">
              <w:rPr>
                <w:color w:val="000000"/>
                <w:sz w:val="20"/>
                <w:szCs w:val="20"/>
              </w:rPr>
              <w:t>38 (0.3%)</w:t>
            </w:r>
          </w:p>
        </w:tc>
        <w:tc>
          <w:tcPr>
            <w:tcW w:w="1847" w:type="dxa"/>
            <w:noWrap/>
            <w:vAlign w:val="center"/>
            <w:hideMark/>
          </w:tcPr>
          <w:p w14:paraId="728938D9" w14:textId="77777777" w:rsidR="006B7275" w:rsidRPr="00804587" w:rsidRDefault="006B7275" w:rsidP="00BD5391">
            <w:pPr>
              <w:jc w:val="center"/>
              <w:rPr>
                <w:color w:val="000000"/>
                <w:sz w:val="20"/>
                <w:szCs w:val="20"/>
              </w:rPr>
            </w:pPr>
            <w:r w:rsidRPr="00804587">
              <w:rPr>
                <w:color w:val="000000"/>
                <w:sz w:val="20"/>
                <w:szCs w:val="20"/>
              </w:rPr>
              <w:t>29 (0.2%)</w:t>
            </w:r>
          </w:p>
        </w:tc>
      </w:tr>
      <w:tr w:rsidR="006B7275" w:rsidRPr="00804587" w14:paraId="19D81F1B" w14:textId="77777777" w:rsidTr="00BD5391">
        <w:trPr>
          <w:trHeight w:val="300"/>
          <w:jc w:val="center"/>
        </w:trPr>
        <w:tc>
          <w:tcPr>
            <w:tcW w:w="4122" w:type="dxa"/>
            <w:noWrap/>
            <w:hideMark/>
          </w:tcPr>
          <w:p w14:paraId="3E0086D3" w14:textId="77777777" w:rsidR="006B7275" w:rsidRPr="00804587" w:rsidRDefault="006B7275" w:rsidP="00BD5391">
            <w:pPr>
              <w:ind w:left="313"/>
              <w:rPr>
                <w:color w:val="000000"/>
                <w:sz w:val="20"/>
                <w:szCs w:val="20"/>
              </w:rPr>
            </w:pPr>
            <w:r w:rsidRPr="00804587">
              <w:rPr>
                <w:color w:val="000000"/>
                <w:sz w:val="20"/>
                <w:szCs w:val="20"/>
              </w:rPr>
              <w:t>Left school ≥ 15yrs without qualifications</w:t>
            </w:r>
          </w:p>
        </w:tc>
        <w:tc>
          <w:tcPr>
            <w:tcW w:w="1846" w:type="dxa"/>
            <w:noWrap/>
            <w:vAlign w:val="center"/>
            <w:hideMark/>
          </w:tcPr>
          <w:p w14:paraId="3541279E" w14:textId="77777777" w:rsidR="006B7275" w:rsidRPr="00804587" w:rsidRDefault="006B7275" w:rsidP="00BD5391">
            <w:pPr>
              <w:jc w:val="center"/>
              <w:rPr>
                <w:color w:val="000000"/>
                <w:sz w:val="20"/>
                <w:szCs w:val="20"/>
              </w:rPr>
            </w:pPr>
            <w:r w:rsidRPr="00804587">
              <w:rPr>
                <w:color w:val="000000"/>
                <w:sz w:val="20"/>
                <w:szCs w:val="20"/>
              </w:rPr>
              <w:t>1,844 (7.1%)</w:t>
            </w:r>
          </w:p>
        </w:tc>
        <w:tc>
          <w:tcPr>
            <w:tcW w:w="1847" w:type="dxa"/>
            <w:noWrap/>
            <w:vAlign w:val="center"/>
            <w:hideMark/>
          </w:tcPr>
          <w:p w14:paraId="1F999F82" w14:textId="77777777" w:rsidR="006B7275" w:rsidRPr="00804587" w:rsidRDefault="006B7275" w:rsidP="00BD5391">
            <w:pPr>
              <w:jc w:val="center"/>
              <w:rPr>
                <w:color w:val="000000"/>
                <w:sz w:val="20"/>
                <w:szCs w:val="20"/>
              </w:rPr>
            </w:pPr>
            <w:r w:rsidRPr="00804587">
              <w:rPr>
                <w:color w:val="000000"/>
                <w:sz w:val="20"/>
                <w:szCs w:val="20"/>
              </w:rPr>
              <w:t>855 (6.9%)</w:t>
            </w:r>
          </w:p>
        </w:tc>
        <w:tc>
          <w:tcPr>
            <w:tcW w:w="1847" w:type="dxa"/>
            <w:noWrap/>
            <w:vAlign w:val="center"/>
            <w:hideMark/>
          </w:tcPr>
          <w:p w14:paraId="63890029" w14:textId="77777777" w:rsidR="006B7275" w:rsidRPr="00804587" w:rsidRDefault="006B7275" w:rsidP="00BD5391">
            <w:pPr>
              <w:jc w:val="center"/>
              <w:rPr>
                <w:color w:val="000000"/>
                <w:sz w:val="20"/>
                <w:szCs w:val="20"/>
              </w:rPr>
            </w:pPr>
            <w:r w:rsidRPr="00804587">
              <w:rPr>
                <w:color w:val="000000"/>
                <w:sz w:val="20"/>
                <w:szCs w:val="20"/>
              </w:rPr>
              <w:t>989 (7.3%)</w:t>
            </w:r>
          </w:p>
        </w:tc>
      </w:tr>
      <w:tr w:rsidR="006B7275" w:rsidRPr="00804587" w14:paraId="75BDC0B5" w14:textId="77777777" w:rsidTr="00BD5391">
        <w:trPr>
          <w:trHeight w:val="300"/>
          <w:jc w:val="center"/>
        </w:trPr>
        <w:tc>
          <w:tcPr>
            <w:tcW w:w="4122" w:type="dxa"/>
            <w:noWrap/>
            <w:hideMark/>
          </w:tcPr>
          <w:p w14:paraId="132E0C1A" w14:textId="77777777" w:rsidR="006B7275" w:rsidRPr="00804587" w:rsidRDefault="006B7275" w:rsidP="00BD5391">
            <w:pPr>
              <w:ind w:left="313"/>
              <w:rPr>
                <w:color w:val="000000"/>
                <w:sz w:val="20"/>
                <w:szCs w:val="20"/>
              </w:rPr>
            </w:pPr>
            <w:r w:rsidRPr="00804587">
              <w:rPr>
                <w:color w:val="000000"/>
                <w:sz w:val="20"/>
                <w:szCs w:val="20"/>
              </w:rPr>
              <w:t>Secondary school qualification</w:t>
            </w:r>
          </w:p>
        </w:tc>
        <w:tc>
          <w:tcPr>
            <w:tcW w:w="1846" w:type="dxa"/>
            <w:noWrap/>
            <w:vAlign w:val="center"/>
            <w:hideMark/>
          </w:tcPr>
          <w:p w14:paraId="68930B3F" w14:textId="77777777" w:rsidR="006B7275" w:rsidRPr="00804587" w:rsidRDefault="006B7275" w:rsidP="00BD5391">
            <w:pPr>
              <w:jc w:val="center"/>
              <w:rPr>
                <w:color w:val="000000"/>
                <w:sz w:val="20"/>
                <w:szCs w:val="20"/>
              </w:rPr>
            </w:pPr>
            <w:r w:rsidRPr="00804587">
              <w:rPr>
                <w:color w:val="000000"/>
                <w:sz w:val="20"/>
                <w:szCs w:val="20"/>
              </w:rPr>
              <w:t>3,485 (13.5%)</w:t>
            </w:r>
          </w:p>
        </w:tc>
        <w:tc>
          <w:tcPr>
            <w:tcW w:w="1847" w:type="dxa"/>
            <w:noWrap/>
            <w:vAlign w:val="center"/>
            <w:hideMark/>
          </w:tcPr>
          <w:p w14:paraId="6C236CDD" w14:textId="77777777" w:rsidR="006B7275" w:rsidRPr="00804587" w:rsidRDefault="006B7275" w:rsidP="00BD5391">
            <w:pPr>
              <w:jc w:val="center"/>
              <w:rPr>
                <w:color w:val="000000"/>
                <w:sz w:val="20"/>
                <w:szCs w:val="20"/>
              </w:rPr>
            </w:pPr>
            <w:r w:rsidRPr="00804587">
              <w:rPr>
                <w:color w:val="000000"/>
                <w:sz w:val="20"/>
                <w:szCs w:val="20"/>
              </w:rPr>
              <w:t>1,313 (10.6%)</w:t>
            </w:r>
          </w:p>
        </w:tc>
        <w:tc>
          <w:tcPr>
            <w:tcW w:w="1847" w:type="dxa"/>
            <w:noWrap/>
            <w:vAlign w:val="center"/>
            <w:hideMark/>
          </w:tcPr>
          <w:p w14:paraId="26145997" w14:textId="77777777" w:rsidR="006B7275" w:rsidRPr="00804587" w:rsidRDefault="006B7275" w:rsidP="00BD5391">
            <w:pPr>
              <w:jc w:val="center"/>
              <w:rPr>
                <w:color w:val="000000"/>
                <w:sz w:val="20"/>
                <w:szCs w:val="20"/>
              </w:rPr>
            </w:pPr>
            <w:r w:rsidRPr="00804587">
              <w:rPr>
                <w:color w:val="000000"/>
                <w:sz w:val="20"/>
                <w:szCs w:val="20"/>
              </w:rPr>
              <w:t>2,172 (16.1%)</w:t>
            </w:r>
          </w:p>
        </w:tc>
      </w:tr>
      <w:tr w:rsidR="006B7275" w:rsidRPr="00804587" w14:paraId="164C4FEA" w14:textId="77777777" w:rsidTr="00BD5391">
        <w:trPr>
          <w:trHeight w:val="300"/>
          <w:jc w:val="center"/>
        </w:trPr>
        <w:tc>
          <w:tcPr>
            <w:tcW w:w="4122" w:type="dxa"/>
            <w:noWrap/>
            <w:hideMark/>
          </w:tcPr>
          <w:p w14:paraId="0B96CB34" w14:textId="77777777" w:rsidR="006B7275" w:rsidRPr="00804587" w:rsidRDefault="006B7275" w:rsidP="00BD5391">
            <w:pPr>
              <w:ind w:left="313"/>
              <w:rPr>
                <w:color w:val="000000"/>
                <w:sz w:val="20"/>
                <w:szCs w:val="20"/>
              </w:rPr>
            </w:pPr>
            <w:r w:rsidRPr="00804587">
              <w:rPr>
                <w:color w:val="000000"/>
                <w:sz w:val="20"/>
                <w:szCs w:val="20"/>
              </w:rPr>
              <w:t>A levels / AS levels or equivalent</w:t>
            </w:r>
          </w:p>
        </w:tc>
        <w:tc>
          <w:tcPr>
            <w:tcW w:w="1846" w:type="dxa"/>
            <w:noWrap/>
            <w:vAlign w:val="center"/>
            <w:hideMark/>
          </w:tcPr>
          <w:p w14:paraId="32FE4FA6" w14:textId="77777777" w:rsidR="006B7275" w:rsidRPr="00804587" w:rsidRDefault="006B7275" w:rsidP="00BD5391">
            <w:pPr>
              <w:jc w:val="center"/>
              <w:rPr>
                <w:color w:val="000000"/>
                <w:sz w:val="20"/>
                <w:szCs w:val="20"/>
              </w:rPr>
            </w:pPr>
            <w:r w:rsidRPr="00804587">
              <w:rPr>
                <w:color w:val="000000"/>
                <w:sz w:val="20"/>
                <w:szCs w:val="20"/>
              </w:rPr>
              <w:t>1,465 (5.7%)</w:t>
            </w:r>
          </w:p>
        </w:tc>
        <w:tc>
          <w:tcPr>
            <w:tcW w:w="1847" w:type="dxa"/>
            <w:noWrap/>
            <w:vAlign w:val="center"/>
            <w:hideMark/>
          </w:tcPr>
          <w:p w14:paraId="61427143" w14:textId="77777777" w:rsidR="006B7275" w:rsidRPr="00804587" w:rsidRDefault="006B7275" w:rsidP="00BD5391">
            <w:pPr>
              <w:jc w:val="center"/>
              <w:rPr>
                <w:color w:val="000000"/>
                <w:sz w:val="20"/>
                <w:szCs w:val="20"/>
              </w:rPr>
            </w:pPr>
            <w:r w:rsidRPr="00804587">
              <w:rPr>
                <w:color w:val="000000"/>
                <w:sz w:val="20"/>
                <w:szCs w:val="20"/>
              </w:rPr>
              <w:t>653 (5.3%)</w:t>
            </w:r>
          </w:p>
        </w:tc>
        <w:tc>
          <w:tcPr>
            <w:tcW w:w="1847" w:type="dxa"/>
            <w:noWrap/>
            <w:vAlign w:val="center"/>
            <w:hideMark/>
          </w:tcPr>
          <w:p w14:paraId="4D000F00" w14:textId="77777777" w:rsidR="006B7275" w:rsidRPr="00804587" w:rsidRDefault="006B7275" w:rsidP="00BD5391">
            <w:pPr>
              <w:jc w:val="center"/>
              <w:rPr>
                <w:color w:val="000000"/>
                <w:sz w:val="20"/>
                <w:szCs w:val="20"/>
              </w:rPr>
            </w:pPr>
            <w:r w:rsidRPr="00804587">
              <w:rPr>
                <w:color w:val="000000"/>
                <w:sz w:val="20"/>
                <w:szCs w:val="20"/>
              </w:rPr>
              <w:t>812 (6.0%)</w:t>
            </w:r>
          </w:p>
        </w:tc>
      </w:tr>
      <w:tr w:rsidR="006B7275" w:rsidRPr="00804587" w14:paraId="73EFB335" w14:textId="77777777" w:rsidTr="00BD5391">
        <w:trPr>
          <w:trHeight w:val="300"/>
          <w:jc w:val="center"/>
        </w:trPr>
        <w:tc>
          <w:tcPr>
            <w:tcW w:w="4122" w:type="dxa"/>
            <w:noWrap/>
            <w:hideMark/>
          </w:tcPr>
          <w:p w14:paraId="08A2807B" w14:textId="77777777" w:rsidR="006B7275" w:rsidRPr="00804587" w:rsidRDefault="006B7275" w:rsidP="00BD5391">
            <w:pPr>
              <w:ind w:left="313"/>
              <w:rPr>
                <w:color w:val="000000"/>
                <w:sz w:val="20"/>
                <w:szCs w:val="20"/>
              </w:rPr>
            </w:pPr>
            <w:r w:rsidRPr="00804587">
              <w:rPr>
                <w:color w:val="000000"/>
                <w:sz w:val="20"/>
                <w:szCs w:val="20"/>
              </w:rPr>
              <w:t>Other professional qualification</w:t>
            </w:r>
          </w:p>
        </w:tc>
        <w:tc>
          <w:tcPr>
            <w:tcW w:w="1846" w:type="dxa"/>
            <w:noWrap/>
            <w:vAlign w:val="center"/>
            <w:hideMark/>
          </w:tcPr>
          <w:p w14:paraId="5D279233" w14:textId="77777777" w:rsidR="006B7275" w:rsidRPr="00804587" w:rsidRDefault="006B7275" w:rsidP="00BD5391">
            <w:pPr>
              <w:jc w:val="center"/>
              <w:rPr>
                <w:color w:val="000000"/>
                <w:sz w:val="20"/>
                <w:szCs w:val="20"/>
              </w:rPr>
            </w:pPr>
            <w:r w:rsidRPr="00804587">
              <w:rPr>
                <w:color w:val="000000"/>
                <w:sz w:val="20"/>
                <w:szCs w:val="20"/>
              </w:rPr>
              <w:t>7,258 (28.0%)</w:t>
            </w:r>
          </w:p>
        </w:tc>
        <w:tc>
          <w:tcPr>
            <w:tcW w:w="1847" w:type="dxa"/>
            <w:noWrap/>
            <w:vAlign w:val="center"/>
            <w:hideMark/>
          </w:tcPr>
          <w:p w14:paraId="52208C1D" w14:textId="77777777" w:rsidR="006B7275" w:rsidRPr="00804587" w:rsidRDefault="006B7275" w:rsidP="00BD5391">
            <w:pPr>
              <w:jc w:val="center"/>
              <w:rPr>
                <w:color w:val="000000"/>
                <w:sz w:val="20"/>
                <w:szCs w:val="20"/>
              </w:rPr>
            </w:pPr>
            <w:r w:rsidRPr="00804587">
              <w:rPr>
                <w:color w:val="000000"/>
                <w:sz w:val="20"/>
                <w:szCs w:val="20"/>
              </w:rPr>
              <w:t>3,666 (29.5%)</w:t>
            </w:r>
          </w:p>
        </w:tc>
        <w:tc>
          <w:tcPr>
            <w:tcW w:w="1847" w:type="dxa"/>
            <w:noWrap/>
            <w:vAlign w:val="center"/>
            <w:hideMark/>
          </w:tcPr>
          <w:p w14:paraId="45AC095B" w14:textId="77777777" w:rsidR="006B7275" w:rsidRPr="00804587" w:rsidRDefault="006B7275" w:rsidP="00BD5391">
            <w:pPr>
              <w:jc w:val="center"/>
              <w:rPr>
                <w:color w:val="000000"/>
                <w:sz w:val="20"/>
                <w:szCs w:val="20"/>
              </w:rPr>
            </w:pPr>
            <w:r w:rsidRPr="00804587">
              <w:rPr>
                <w:color w:val="000000"/>
                <w:sz w:val="20"/>
                <w:szCs w:val="20"/>
              </w:rPr>
              <w:t>3,592 (26.6%)</w:t>
            </w:r>
          </w:p>
        </w:tc>
      </w:tr>
      <w:tr w:rsidR="006B7275" w:rsidRPr="00804587" w14:paraId="0D58C5C1" w14:textId="77777777" w:rsidTr="00BD5391">
        <w:trPr>
          <w:trHeight w:val="300"/>
          <w:jc w:val="center"/>
        </w:trPr>
        <w:tc>
          <w:tcPr>
            <w:tcW w:w="4122" w:type="dxa"/>
            <w:noWrap/>
            <w:hideMark/>
          </w:tcPr>
          <w:p w14:paraId="4DBAFF93" w14:textId="77777777" w:rsidR="006B7275" w:rsidRPr="00804587" w:rsidRDefault="006B7275" w:rsidP="00BD5391">
            <w:pPr>
              <w:ind w:left="313"/>
              <w:rPr>
                <w:color w:val="000000"/>
                <w:sz w:val="20"/>
                <w:szCs w:val="20"/>
              </w:rPr>
            </w:pPr>
            <w:r w:rsidRPr="00804587">
              <w:rPr>
                <w:color w:val="000000"/>
                <w:sz w:val="20"/>
                <w:szCs w:val="20"/>
              </w:rPr>
              <w:t>Higher education (e.g., university) degree</w:t>
            </w:r>
          </w:p>
        </w:tc>
        <w:tc>
          <w:tcPr>
            <w:tcW w:w="1846" w:type="dxa"/>
            <w:noWrap/>
            <w:vAlign w:val="center"/>
            <w:hideMark/>
          </w:tcPr>
          <w:p w14:paraId="19EB860B" w14:textId="77777777" w:rsidR="006B7275" w:rsidRPr="00804587" w:rsidRDefault="006B7275" w:rsidP="00BD5391">
            <w:pPr>
              <w:jc w:val="center"/>
              <w:rPr>
                <w:color w:val="000000"/>
                <w:sz w:val="20"/>
                <w:szCs w:val="20"/>
              </w:rPr>
            </w:pPr>
            <w:r w:rsidRPr="00804587">
              <w:rPr>
                <w:color w:val="000000"/>
                <w:sz w:val="20"/>
                <w:szCs w:val="20"/>
              </w:rPr>
              <w:t>11,511 (44.5%)</w:t>
            </w:r>
          </w:p>
        </w:tc>
        <w:tc>
          <w:tcPr>
            <w:tcW w:w="1847" w:type="dxa"/>
            <w:noWrap/>
            <w:vAlign w:val="center"/>
            <w:hideMark/>
          </w:tcPr>
          <w:p w14:paraId="7B820D17" w14:textId="77777777" w:rsidR="006B7275" w:rsidRPr="00804587" w:rsidRDefault="006B7275" w:rsidP="00BD5391">
            <w:pPr>
              <w:jc w:val="center"/>
              <w:rPr>
                <w:color w:val="000000"/>
                <w:sz w:val="20"/>
                <w:szCs w:val="20"/>
              </w:rPr>
            </w:pPr>
            <w:r w:rsidRPr="00804587">
              <w:rPr>
                <w:color w:val="000000"/>
                <w:sz w:val="20"/>
                <w:szCs w:val="20"/>
              </w:rPr>
              <w:t>5,755 (46.4%)</w:t>
            </w:r>
          </w:p>
        </w:tc>
        <w:tc>
          <w:tcPr>
            <w:tcW w:w="1847" w:type="dxa"/>
            <w:noWrap/>
            <w:vAlign w:val="center"/>
            <w:hideMark/>
          </w:tcPr>
          <w:p w14:paraId="473D14EE" w14:textId="77777777" w:rsidR="006B7275" w:rsidRPr="00804587" w:rsidRDefault="006B7275" w:rsidP="00BD5391">
            <w:pPr>
              <w:jc w:val="center"/>
              <w:rPr>
                <w:color w:val="000000"/>
                <w:sz w:val="20"/>
                <w:szCs w:val="20"/>
              </w:rPr>
            </w:pPr>
            <w:r w:rsidRPr="00804587">
              <w:rPr>
                <w:color w:val="000000"/>
                <w:sz w:val="20"/>
                <w:szCs w:val="20"/>
              </w:rPr>
              <w:t>5,756 (42.7%)</w:t>
            </w:r>
          </w:p>
        </w:tc>
      </w:tr>
      <w:tr w:rsidR="006B7275" w:rsidRPr="00804587" w14:paraId="7F670D78" w14:textId="77777777" w:rsidTr="00BD5391">
        <w:trPr>
          <w:trHeight w:val="300"/>
          <w:jc w:val="center"/>
        </w:trPr>
        <w:tc>
          <w:tcPr>
            <w:tcW w:w="4122" w:type="dxa"/>
            <w:noWrap/>
            <w:hideMark/>
          </w:tcPr>
          <w:p w14:paraId="21A7480B" w14:textId="77777777" w:rsidR="006B7275" w:rsidRPr="00804587" w:rsidRDefault="006B7275" w:rsidP="00BD5391">
            <w:pPr>
              <w:ind w:left="313"/>
              <w:rPr>
                <w:color w:val="000000"/>
                <w:sz w:val="20"/>
                <w:szCs w:val="20"/>
              </w:rPr>
            </w:pPr>
            <w:r w:rsidRPr="00804587">
              <w:rPr>
                <w:color w:val="000000"/>
                <w:sz w:val="20"/>
                <w:szCs w:val="20"/>
              </w:rPr>
              <w:t>Missing</w:t>
            </w:r>
          </w:p>
        </w:tc>
        <w:tc>
          <w:tcPr>
            <w:tcW w:w="1846" w:type="dxa"/>
            <w:noWrap/>
            <w:vAlign w:val="center"/>
            <w:hideMark/>
          </w:tcPr>
          <w:p w14:paraId="29839A0D" w14:textId="77777777" w:rsidR="006B7275" w:rsidRPr="00804587" w:rsidRDefault="006B7275" w:rsidP="00BD5391">
            <w:pPr>
              <w:jc w:val="center"/>
              <w:rPr>
                <w:color w:val="000000"/>
                <w:sz w:val="20"/>
                <w:szCs w:val="20"/>
              </w:rPr>
            </w:pPr>
            <w:r w:rsidRPr="00804587">
              <w:rPr>
                <w:color w:val="000000"/>
                <w:sz w:val="20"/>
                <w:szCs w:val="20"/>
              </w:rPr>
              <w:t>266 (1.0%)</w:t>
            </w:r>
          </w:p>
        </w:tc>
        <w:tc>
          <w:tcPr>
            <w:tcW w:w="1847" w:type="dxa"/>
            <w:noWrap/>
            <w:vAlign w:val="center"/>
            <w:hideMark/>
          </w:tcPr>
          <w:p w14:paraId="38B9A636" w14:textId="77777777" w:rsidR="006B7275" w:rsidRPr="00804587" w:rsidRDefault="006B7275" w:rsidP="00BD5391">
            <w:pPr>
              <w:jc w:val="center"/>
              <w:rPr>
                <w:color w:val="000000"/>
                <w:sz w:val="20"/>
                <w:szCs w:val="20"/>
              </w:rPr>
            </w:pPr>
            <w:r w:rsidRPr="00804587">
              <w:rPr>
                <w:color w:val="000000"/>
                <w:sz w:val="20"/>
                <w:szCs w:val="20"/>
              </w:rPr>
              <w:t>128 (1.0%)</w:t>
            </w:r>
          </w:p>
        </w:tc>
        <w:tc>
          <w:tcPr>
            <w:tcW w:w="1847" w:type="dxa"/>
            <w:noWrap/>
            <w:vAlign w:val="center"/>
            <w:hideMark/>
          </w:tcPr>
          <w:p w14:paraId="452A3604" w14:textId="77777777" w:rsidR="006B7275" w:rsidRPr="00804587" w:rsidRDefault="006B7275" w:rsidP="00BD5391">
            <w:pPr>
              <w:jc w:val="center"/>
              <w:rPr>
                <w:color w:val="000000"/>
                <w:sz w:val="20"/>
                <w:szCs w:val="20"/>
              </w:rPr>
            </w:pPr>
            <w:r w:rsidRPr="00804587">
              <w:rPr>
                <w:color w:val="000000"/>
                <w:sz w:val="20"/>
                <w:szCs w:val="20"/>
              </w:rPr>
              <w:t>138 (1.0%)</w:t>
            </w:r>
          </w:p>
        </w:tc>
      </w:tr>
      <w:tr w:rsidR="006B7275" w:rsidRPr="00804587" w14:paraId="6361077C" w14:textId="77777777" w:rsidTr="00BD5391">
        <w:trPr>
          <w:trHeight w:val="300"/>
          <w:jc w:val="center"/>
        </w:trPr>
        <w:tc>
          <w:tcPr>
            <w:tcW w:w="4122" w:type="dxa"/>
            <w:noWrap/>
            <w:hideMark/>
          </w:tcPr>
          <w:p w14:paraId="2F7CA284" w14:textId="77777777" w:rsidR="006B7275" w:rsidRPr="00804587" w:rsidRDefault="006B7275" w:rsidP="00BD5391">
            <w:pPr>
              <w:rPr>
                <w:color w:val="000000"/>
                <w:sz w:val="20"/>
                <w:szCs w:val="20"/>
              </w:rPr>
            </w:pPr>
            <w:r w:rsidRPr="00804587">
              <w:rPr>
                <w:color w:val="000000"/>
                <w:sz w:val="20"/>
                <w:szCs w:val="20"/>
              </w:rPr>
              <w:t>BMI (kg/m</w:t>
            </w:r>
            <w:r w:rsidRPr="00804587">
              <w:rPr>
                <w:color w:val="000000"/>
                <w:sz w:val="20"/>
                <w:szCs w:val="20"/>
                <w:vertAlign w:val="superscript"/>
              </w:rPr>
              <w:t>2</w:t>
            </w:r>
            <w:r w:rsidRPr="00804587">
              <w:rPr>
                <w:color w:val="000000"/>
                <w:sz w:val="20"/>
                <w:szCs w:val="20"/>
              </w:rPr>
              <w:t>)</w:t>
            </w:r>
          </w:p>
        </w:tc>
        <w:tc>
          <w:tcPr>
            <w:tcW w:w="1846" w:type="dxa"/>
            <w:noWrap/>
            <w:vAlign w:val="center"/>
            <w:hideMark/>
          </w:tcPr>
          <w:p w14:paraId="5B736769" w14:textId="77777777" w:rsidR="006B7275" w:rsidRPr="00804587" w:rsidRDefault="006B7275" w:rsidP="00BD5391">
            <w:pPr>
              <w:jc w:val="center"/>
              <w:rPr>
                <w:color w:val="000000"/>
                <w:sz w:val="20"/>
                <w:szCs w:val="20"/>
              </w:rPr>
            </w:pPr>
            <w:r w:rsidRPr="00804587">
              <w:rPr>
                <w:color w:val="000000"/>
                <w:sz w:val="20"/>
                <w:szCs w:val="20"/>
              </w:rPr>
              <w:t>25.9 [23.5, 28.9]</w:t>
            </w:r>
          </w:p>
        </w:tc>
        <w:tc>
          <w:tcPr>
            <w:tcW w:w="1847" w:type="dxa"/>
            <w:noWrap/>
            <w:vAlign w:val="center"/>
            <w:hideMark/>
          </w:tcPr>
          <w:p w14:paraId="75530F97" w14:textId="77777777" w:rsidR="006B7275" w:rsidRPr="00804587" w:rsidRDefault="006B7275" w:rsidP="00BD5391">
            <w:pPr>
              <w:jc w:val="center"/>
              <w:rPr>
                <w:color w:val="000000"/>
                <w:sz w:val="20"/>
                <w:szCs w:val="20"/>
              </w:rPr>
            </w:pPr>
            <w:r w:rsidRPr="00804587">
              <w:rPr>
                <w:color w:val="000000"/>
                <w:sz w:val="20"/>
                <w:szCs w:val="20"/>
              </w:rPr>
              <w:t>26.5 [24.3, 29.1]</w:t>
            </w:r>
          </w:p>
        </w:tc>
        <w:tc>
          <w:tcPr>
            <w:tcW w:w="1847" w:type="dxa"/>
            <w:noWrap/>
            <w:vAlign w:val="center"/>
            <w:hideMark/>
          </w:tcPr>
          <w:p w14:paraId="0E8A1C01" w14:textId="77777777" w:rsidR="006B7275" w:rsidRPr="00804587" w:rsidRDefault="006B7275" w:rsidP="00BD5391">
            <w:pPr>
              <w:jc w:val="center"/>
              <w:rPr>
                <w:color w:val="000000"/>
                <w:sz w:val="20"/>
                <w:szCs w:val="20"/>
              </w:rPr>
            </w:pPr>
            <w:r w:rsidRPr="00804587">
              <w:rPr>
                <w:color w:val="000000"/>
                <w:sz w:val="20"/>
                <w:szCs w:val="20"/>
              </w:rPr>
              <w:t>25.3 [22.8, 28.6]</w:t>
            </w:r>
          </w:p>
        </w:tc>
      </w:tr>
      <w:tr w:rsidR="006B7275" w:rsidRPr="00804587" w14:paraId="666400FD" w14:textId="77777777" w:rsidTr="00BD5391">
        <w:trPr>
          <w:trHeight w:val="300"/>
          <w:jc w:val="center"/>
        </w:trPr>
        <w:tc>
          <w:tcPr>
            <w:tcW w:w="4122" w:type="dxa"/>
            <w:noWrap/>
            <w:hideMark/>
          </w:tcPr>
          <w:p w14:paraId="1C6917EF" w14:textId="77777777" w:rsidR="006B7275" w:rsidRPr="00804587" w:rsidRDefault="006B7275" w:rsidP="00BD5391">
            <w:pPr>
              <w:rPr>
                <w:color w:val="000000"/>
                <w:sz w:val="20"/>
                <w:szCs w:val="20"/>
              </w:rPr>
            </w:pPr>
            <w:r w:rsidRPr="00804587">
              <w:rPr>
                <w:color w:val="000000"/>
                <w:sz w:val="20"/>
                <w:szCs w:val="20"/>
              </w:rPr>
              <w:t>Physical activity (summed MET-minutes/week)</w:t>
            </w:r>
          </w:p>
        </w:tc>
        <w:tc>
          <w:tcPr>
            <w:tcW w:w="1846" w:type="dxa"/>
            <w:noWrap/>
            <w:vAlign w:val="center"/>
            <w:hideMark/>
          </w:tcPr>
          <w:p w14:paraId="06C7F748" w14:textId="77777777" w:rsidR="006B7275" w:rsidRPr="00804587" w:rsidRDefault="006B7275" w:rsidP="00BD5391">
            <w:pPr>
              <w:jc w:val="center"/>
              <w:rPr>
                <w:color w:val="000000"/>
                <w:sz w:val="20"/>
                <w:szCs w:val="20"/>
              </w:rPr>
            </w:pPr>
            <w:r w:rsidRPr="00804587">
              <w:rPr>
                <w:color w:val="000000"/>
                <w:sz w:val="20"/>
                <w:szCs w:val="20"/>
              </w:rPr>
              <w:t>1899 [896, 3573]</w:t>
            </w:r>
          </w:p>
        </w:tc>
        <w:tc>
          <w:tcPr>
            <w:tcW w:w="1847" w:type="dxa"/>
            <w:noWrap/>
            <w:vAlign w:val="center"/>
            <w:hideMark/>
          </w:tcPr>
          <w:p w14:paraId="40663543" w14:textId="77777777" w:rsidR="006B7275" w:rsidRPr="00804587" w:rsidRDefault="006B7275" w:rsidP="00BD5391">
            <w:pPr>
              <w:jc w:val="center"/>
              <w:rPr>
                <w:color w:val="000000"/>
                <w:sz w:val="20"/>
                <w:szCs w:val="20"/>
              </w:rPr>
            </w:pPr>
            <w:r w:rsidRPr="00804587">
              <w:rPr>
                <w:color w:val="000000"/>
                <w:sz w:val="20"/>
                <w:szCs w:val="20"/>
              </w:rPr>
              <w:t>1971 [958, 3666]</w:t>
            </w:r>
          </w:p>
        </w:tc>
        <w:tc>
          <w:tcPr>
            <w:tcW w:w="1847" w:type="dxa"/>
            <w:noWrap/>
            <w:vAlign w:val="center"/>
            <w:hideMark/>
          </w:tcPr>
          <w:p w14:paraId="2C161658" w14:textId="77777777" w:rsidR="006B7275" w:rsidRPr="00804587" w:rsidRDefault="006B7275" w:rsidP="00BD5391">
            <w:pPr>
              <w:jc w:val="center"/>
              <w:rPr>
                <w:color w:val="000000"/>
                <w:sz w:val="20"/>
                <w:szCs w:val="20"/>
              </w:rPr>
            </w:pPr>
            <w:r w:rsidRPr="00804587">
              <w:rPr>
                <w:color w:val="000000"/>
                <w:sz w:val="20"/>
                <w:szCs w:val="20"/>
              </w:rPr>
              <w:t>1838 [834, 3514]</w:t>
            </w:r>
          </w:p>
        </w:tc>
      </w:tr>
      <w:tr w:rsidR="006B7275" w:rsidRPr="00804587" w14:paraId="3F0B6B28" w14:textId="77777777" w:rsidTr="00BD5391">
        <w:trPr>
          <w:trHeight w:val="300"/>
          <w:jc w:val="center"/>
        </w:trPr>
        <w:tc>
          <w:tcPr>
            <w:tcW w:w="4122" w:type="dxa"/>
            <w:noWrap/>
            <w:hideMark/>
          </w:tcPr>
          <w:p w14:paraId="2586CDA4" w14:textId="77777777" w:rsidR="006B7275" w:rsidRPr="00804587" w:rsidRDefault="006B7275" w:rsidP="00BD5391">
            <w:pPr>
              <w:rPr>
                <w:color w:val="000000"/>
                <w:sz w:val="20"/>
                <w:szCs w:val="20"/>
              </w:rPr>
            </w:pPr>
            <w:r w:rsidRPr="00804587">
              <w:rPr>
                <w:color w:val="000000"/>
                <w:sz w:val="20"/>
                <w:szCs w:val="20"/>
              </w:rPr>
              <w:t>Smoker (current)</w:t>
            </w:r>
          </w:p>
        </w:tc>
        <w:tc>
          <w:tcPr>
            <w:tcW w:w="1846" w:type="dxa"/>
            <w:noWrap/>
            <w:vAlign w:val="center"/>
            <w:hideMark/>
          </w:tcPr>
          <w:p w14:paraId="3F8BDD5A" w14:textId="77777777" w:rsidR="006B7275" w:rsidRPr="00804587" w:rsidRDefault="006B7275" w:rsidP="00BD5391">
            <w:pPr>
              <w:jc w:val="center"/>
              <w:rPr>
                <w:color w:val="000000"/>
                <w:sz w:val="20"/>
                <w:szCs w:val="20"/>
              </w:rPr>
            </w:pPr>
            <w:r w:rsidRPr="00804587">
              <w:rPr>
                <w:color w:val="000000"/>
                <w:sz w:val="20"/>
                <w:szCs w:val="20"/>
              </w:rPr>
              <w:t>960 (3.7%)</w:t>
            </w:r>
          </w:p>
        </w:tc>
        <w:tc>
          <w:tcPr>
            <w:tcW w:w="1847" w:type="dxa"/>
            <w:noWrap/>
            <w:vAlign w:val="center"/>
            <w:hideMark/>
          </w:tcPr>
          <w:p w14:paraId="73B79830" w14:textId="77777777" w:rsidR="006B7275" w:rsidRPr="00804587" w:rsidRDefault="006B7275" w:rsidP="00BD5391">
            <w:pPr>
              <w:jc w:val="center"/>
              <w:rPr>
                <w:color w:val="000000"/>
                <w:sz w:val="20"/>
                <w:szCs w:val="20"/>
              </w:rPr>
            </w:pPr>
            <w:r w:rsidRPr="00804587">
              <w:rPr>
                <w:color w:val="000000"/>
                <w:sz w:val="20"/>
                <w:szCs w:val="20"/>
              </w:rPr>
              <w:t>540 (4.4%)</w:t>
            </w:r>
          </w:p>
        </w:tc>
        <w:tc>
          <w:tcPr>
            <w:tcW w:w="1847" w:type="dxa"/>
            <w:noWrap/>
            <w:vAlign w:val="center"/>
            <w:hideMark/>
          </w:tcPr>
          <w:p w14:paraId="6556691D" w14:textId="77777777" w:rsidR="006B7275" w:rsidRPr="00804587" w:rsidRDefault="006B7275" w:rsidP="00BD5391">
            <w:pPr>
              <w:jc w:val="center"/>
              <w:rPr>
                <w:color w:val="000000"/>
                <w:sz w:val="20"/>
                <w:szCs w:val="20"/>
              </w:rPr>
            </w:pPr>
            <w:r w:rsidRPr="00804587">
              <w:rPr>
                <w:color w:val="000000"/>
                <w:sz w:val="20"/>
                <w:szCs w:val="20"/>
              </w:rPr>
              <w:t>420 (3.1%)</w:t>
            </w:r>
          </w:p>
        </w:tc>
      </w:tr>
      <w:tr w:rsidR="006B7275" w:rsidRPr="00804587" w14:paraId="7BBB582D" w14:textId="77777777" w:rsidTr="00BD5391">
        <w:trPr>
          <w:trHeight w:val="300"/>
          <w:jc w:val="center"/>
        </w:trPr>
        <w:tc>
          <w:tcPr>
            <w:tcW w:w="4122" w:type="dxa"/>
            <w:noWrap/>
            <w:hideMark/>
          </w:tcPr>
          <w:p w14:paraId="341AAD68" w14:textId="77777777" w:rsidR="006B7275" w:rsidRPr="00804587" w:rsidRDefault="006B7275" w:rsidP="00BD5391">
            <w:pPr>
              <w:rPr>
                <w:color w:val="000000"/>
                <w:sz w:val="20"/>
                <w:szCs w:val="20"/>
              </w:rPr>
            </w:pPr>
            <w:r w:rsidRPr="00804587">
              <w:rPr>
                <w:color w:val="000000"/>
                <w:sz w:val="20"/>
                <w:szCs w:val="20"/>
              </w:rPr>
              <w:t>Hypertension</w:t>
            </w:r>
          </w:p>
        </w:tc>
        <w:tc>
          <w:tcPr>
            <w:tcW w:w="1846" w:type="dxa"/>
            <w:noWrap/>
            <w:vAlign w:val="center"/>
            <w:hideMark/>
          </w:tcPr>
          <w:p w14:paraId="7E7B3A61" w14:textId="77777777" w:rsidR="006B7275" w:rsidRPr="00804587" w:rsidRDefault="006B7275" w:rsidP="00BD5391">
            <w:pPr>
              <w:jc w:val="center"/>
              <w:rPr>
                <w:color w:val="000000"/>
                <w:sz w:val="20"/>
                <w:szCs w:val="20"/>
              </w:rPr>
            </w:pPr>
            <w:r w:rsidRPr="00804587">
              <w:rPr>
                <w:color w:val="000000"/>
                <w:sz w:val="20"/>
                <w:szCs w:val="20"/>
              </w:rPr>
              <w:t>8,471 (32.7%)</w:t>
            </w:r>
          </w:p>
        </w:tc>
        <w:tc>
          <w:tcPr>
            <w:tcW w:w="1847" w:type="dxa"/>
            <w:noWrap/>
            <w:vAlign w:val="center"/>
            <w:hideMark/>
          </w:tcPr>
          <w:p w14:paraId="587BA601" w14:textId="77777777" w:rsidR="006B7275" w:rsidRPr="00804587" w:rsidRDefault="006B7275" w:rsidP="00BD5391">
            <w:pPr>
              <w:jc w:val="center"/>
              <w:rPr>
                <w:color w:val="000000"/>
                <w:sz w:val="20"/>
                <w:szCs w:val="20"/>
              </w:rPr>
            </w:pPr>
            <w:r w:rsidRPr="00804587">
              <w:rPr>
                <w:color w:val="000000"/>
                <w:sz w:val="20"/>
                <w:szCs w:val="20"/>
              </w:rPr>
              <w:t>4,914 (39.6%)</w:t>
            </w:r>
          </w:p>
        </w:tc>
        <w:tc>
          <w:tcPr>
            <w:tcW w:w="1847" w:type="dxa"/>
            <w:noWrap/>
            <w:vAlign w:val="center"/>
            <w:hideMark/>
          </w:tcPr>
          <w:p w14:paraId="1A9C5D7E" w14:textId="77777777" w:rsidR="006B7275" w:rsidRPr="00804587" w:rsidRDefault="006B7275" w:rsidP="00BD5391">
            <w:pPr>
              <w:jc w:val="center"/>
              <w:rPr>
                <w:color w:val="000000"/>
                <w:sz w:val="20"/>
                <w:szCs w:val="20"/>
              </w:rPr>
            </w:pPr>
            <w:r w:rsidRPr="00804587">
              <w:rPr>
                <w:color w:val="000000"/>
                <w:sz w:val="20"/>
                <w:szCs w:val="20"/>
              </w:rPr>
              <w:t>3,557 (26.4%)</w:t>
            </w:r>
          </w:p>
        </w:tc>
      </w:tr>
      <w:tr w:rsidR="006B7275" w:rsidRPr="00804587" w14:paraId="6D7A5B09" w14:textId="77777777" w:rsidTr="00BD5391">
        <w:trPr>
          <w:trHeight w:val="300"/>
          <w:jc w:val="center"/>
        </w:trPr>
        <w:tc>
          <w:tcPr>
            <w:tcW w:w="4122" w:type="dxa"/>
            <w:noWrap/>
            <w:hideMark/>
          </w:tcPr>
          <w:p w14:paraId="5D32B965" w14:textId="77777777" w:rsidR="006B7275" w:rsidRPr="00804587" w:rsidRDefault="006B7275" w:rsidP="00BD5391">
            <w:pPr>
              <w:rPr>
                <w:color w:val="000000"/>
                <w:sz w:val="20"/>
                <w:szCs w:val="20"/>
              </w:rPr>
            </w:pPr>
            <w:r w:rsidRPr="00804587">
              <w:rPr>
                <w:color w:val="000000"/>
                <w:sz w:val="20"/>
                <w:szCs w:val="20"/>
              </w:rPr>
              <w:t>High cholesterol</w:t>
            </w:r>
          </w:p>
        </w:tc>
        <w:tc>
          <w:tcPr>
            <w:tcW w:w="1846" w:type="dxa"/>
            <w:noWrap/>
            <w:vAlign w:val="center"/>
            <w:hideMark/>
          </w:tcPr>
          <w:p w14:paraId="7DFF4C0D" w14:textId="77777777" w:rsidR="006B7275" w:rsidRPr="00804587" w:rsidRDefault="006B7275" w:rsidP="00BD5391">
            <w:pPr>
              <w:jc w:val="center"/>
              <w:rPr>
                <w:color w:val="000000"/>
                <w:sz w:val="20"/>
                <w:szCs w:val="20"/>
              </w:rPr>
            </w:pPr>
            <w:r w:rsidRPr="00804587">
              <w:rPr>
                <w:color w:val="000000"/>
                <w:sz w:val="20"/>
                <w:szCs w:val="20"/>
              </w:rPr>
              <w:t>8,947 (34.5%)</w:t>
            </w:r>
          </w:p>
        </w:tc>
        <w:tc>
          <w:tcPr>
            <w:tcW w:w="1847" w:type="dxa"/>
            <w:noWrap/>
            <w:vAlign w:val="center"/>
            <w:hideMark/>
          </w:tcPr>
          <w:p w14:paraId="4615924C" w14:textId="77777777" w:rsidR="006B7275" w:rsidRPr="00804587" w:rsidRDefault="006B7275" w:rsidP="00BD5391">
            <w:pPr>
              <w:jc w:val="center"/>
              <w:rPr>
                <w:color w:val="000000"/>
                <w:sz w:val="20"/>
                <w:szCs w:val="20"/>
              </w:rPr>
            </w:pPr>
            <w:r w:rsidRPr="00804587">
              <w:rPr>
                <w:color w:val="000000"/>
                <w:sz w:val="20"/>
                <w:szCs w:val="20"/>
              </w:rPr>
              <w:t>5,117 (41.2%)</w:t>
            </w:r>
          </w:p>
        </w:tc>
        <w:tc>
          <w:tcPr>
            <w:tcW w:w="1847" w:type="dxa"/>
            <w:noWrap/>
            <w:vAlign w:val="center"/>
            <w:hideMark/>
          </w:tcPr>
          <w:p w14:paraId="449A45F3" w14:textId="77777777" w:rsidR="006B7275" w:rsidRPr="00804587" w:rsidRDefault="006B7275" w:rsidP="00BD5391">
            <w:pPr>
              <w:jc w:val="center"/>
              <w:rPr>
                <w:color w:val="000000"/>
                <w:sz w:val="20"/>
                <w:szCs w:val="20"/>
              </w:rPr>
            </w:pPr>
            <w:r w:rsidRPr="00804587">
              <w:rPr>
                <w:color w:val="000000"/>
                <w:sz w:val="20"/>
                <w:szCs w:val="20"/>
              </w:rPr>
              <w:t>3,830 (28.4%)</w:t>
            </w:r>
          </w:p>
        </w:tc>
      </w:tr>
      <w:tr w:rsidR="006B7275" w:rsidRPr="00804587" w14:paraId="615DBF97" w14:textId="77777777" w:rsidTr="00BD5391">
        <w:trPr>
          <w:trHeight w:val="300"/>
          <w:jc w:val="center"/>
        </w:trPr>
        <w:tc>
          <w:tcPr>
            <w:tcW w:w="4122" w:type="dxa"/>
            <w:noWrap/>
            <w:hideMark/>
          </w:tcPr>
          <w:p w14:paraId="0A03475B" w14:textId="77777777" w:rsidR="006B7275" w:rsidRPr="00804587" w:rsidRDefault="006B7275" w:rsidP="00BD5391">
            <w:pPr>
              <w:rPr>
                <w:color w:val="000000"/>
                <w:sz w:val="20"/>
                <w:szCs w:val="20"/>
              </w:rPr>
            </w:pPr>
            <w:r w:rsidRPr="00804587">
              <w:rPr>
                <w:color w:val="000000"/>
                <w:sz w:val="20"/>
                <w:szCs w:val="20"/>
              </w:rPr>
              <w:t>Diabetes</w:t>
            </w:r>
          </w:p>
        </w:tc>
        <w:tc>
          <w:tcPr>
            <w:tcW w:w="1846" w:type="dxa"/>
            <w:noWrap/>
            <w:vAlign w:val="center"/>
            <w:hideMark/>
          </w:tcPr>
          <w:p w14:paraId="3AD534DE" w14:textId="77777777" w:rsidR="006B7275" w:rsidRPr="00804587" w:rsidRDefault="006B7275" w:rsidP="00BD5391">
            <w:pPr>
              <w:jc w:val="center"/>
              <w:rPr>
                <w:color w:val="000000"/>
                <w:sz w:val="20"/>
                <w:szCs w:val="20"/>
              </w:rPr>
            </w:pPr>
            <w:r w:rsidRPr="00804587">
              <w:rPr>
                <w:color w:val="000000"/>
                <w:sz w:val="20"/>
                <w:szCs w:val="20"/>
              </w:rPr>
              <w:t>1,485 (5.7%)</w:t>
            </w:r>
          </w:p>
        </w:tc>
        <w:tc>
          <w:tcPr>
            <w:tcW w:w="1847" w:type="dxa"/>
            <w:noWrap/>
            <w:vAlign w:val="center"/>
            <w:hideMark/>
          </w:tcPr>
          <w:p w14:paraId="2059F514" w14:textId="77777777" w:rsidR="006B7275" w:rsidRPr="00804587" w:rsidRDefault="006B7275" w:rsidP="00BD5391">
            <w:pPr>
              <w:jc w:val="center"/>
              <w:rPr>
                <w:color w:val="000000"/>
                <w:sz w:val="20"/>
                <w:szCs w:val="20"/>
              </w:rPr>
            </w:pPr>
            <w:r w:rsidRPr="00804587">
              <w:rPr>
                <w:color w:val="000000"/>
                <w:sz w:val="20"/>
                <w:szCs w:val="20"/>
              </w:rPr>
              <w:t>924 (7.4%)</w:t>
            </w:r>
          </w:p>
        </w:tc>
        <w:tc>
          <w:tcPr>
            <w:tcW w:w="1847" w:type="dxa"/>
            <w:noWrap/>
            <w:vAlign w:val="center"/>
            <w:hideMark/>
          </w:tcPr>
          <w:p w14:paraId="361BBE3B" w14:textId="77777777" w:rsidR="006B7275" w:rsidRPr="00804587" w:rsidRDefault="006B7275" w:rsidP="00BD5391">
            <w:pPr>
              <w:jc w:val="center"/>
              <w:rPr>
                <w:color w:val="000000"/>
                <w:sz w:val="20"/>
                <w:szCs w:val="20"/>
              </w:rPr>
            </w:pPr>
            <w:r w:rsidRPr="00804587">
              <w:rPr>
                <w:color w:val="000000"/>
                <w:sz w:val="20"/>
                <w:szCs w:val="20"/>
              </w:rPr>
              <w:t>561 (4.2%)</w:t>
            </w:r>
          </w:p>
        </w:tc>
      </w:tr>
      <w:tr w:rsidR="006B7275" w:rsidRPr="00804587" w14:paraId="0FA10B6D" w14:textId="77777777" w:rsidTr="00BD5391">
        <w:trPr>
          <w:trHeight w:val="300"/>
          <w:jc w:val="center"/>
        </w:trPr>
        <w:tc>
          <w:tcPr>
            <w:tcW w:w="4122" w:type="dxa"/>
            <w:shd w:val="clear" w:color="auto" w:fill="F2F2F2" w:themeFill="background1" w:themeFillShade="F2"/>
            <w:noWrap/>
          </w:tcPr>
          <w:p w14:paraId="648BDBBF" w14:textId="77777777" w:rsidR="006B7275" w:rsidRPr="00804587" w:rsidRDefault="006B7275" w:rsidP="00BD5391">
            <w:pPr>
              <w:rPr>
                <w:sz w:val="20"/>
                <w:szCs w:val="20"/>
              </w:rPr>
            </w:pPr>
            <w:r w:rsidRPr="00804587">
              <w:rPr>
                <w:sz w:val="20"/>
                <w:szCs w:val="20"/>
              </w:rPr>
              <w:t>Prevalent cardiovascular disease</w:t>
            </w:r>
          </w:p>
        </w:tc>
        <w:tc>
          <w:tcPr>
            <w:tcW w:w="1846" w:type="dxa"/>
            <w:shd w:val="clear" w:color="auto" w:fill="F2F2F2" w:themeFill="background1" w:themeFillShade="F2"/>
            <w:noWrap/>
            <w:vAlign w:val="center"/>
          </w:tcPr>
          <w:p w14:paraId="647A0AB2" w14:textId="77777777" w:rsidR="006B7275" w:rsidRPr="00804587" w:rsidRDefault="006B7275" w:rsidP="00BD5391">
            <w:pPr>
              <w:jc w:val="center"/>
              <w:rPr>
                <w:color w:val="000000"/>
                <w:sz w:val="20"/>
                <w:szCs w:val="20"/>
              </w:rPr>
            </w:pPr>
          </w:p>
        </w:tc>
        <w:tc>
          <w:tcPr>
            <w:tcW w:w="1847" w:type="dxa"/>
            <w:shd w:val="clear" w:color="auto" w:fill="F2F2F2" w:themeFill="background1" w:themeFillShade="F2"/>
            <w:noWrap/>
            <w:vAlign w:val="center"/>
          </w:tcPr>
          <w:p w14:paraId="38F9467A" w14:textId="77777777" w:rsidR="006B7275" w:rsidRPr="00804587" w:rsidRDefault="006B7275" w:rsidP="00BD5391">
            <w:pPr>
              <w:jc w:val="center"/>
              <w:rPr>
                <w:color w:val="000000"/>
                <w:sz w:val="20"/>
                <w:szCs w:val="20"/>
              </w:rPr>
            </w:pPr>
          </w:p>
        </w:tc>
        <w:tc>
          <w:tcPr>
            <w:tcW w:w="1847" w:type="dxa"/>
            <w:shd w:val="clear" w:color="auto" w:fill="F2F2F2" w:themeFill="background1" w:themeFillShade="F2"/>
            <w:noWrap/>
            <w:vAlign w:val="center"/>
          </w:tcPr>
          <w:p w14:paraId="4E117ACE" w14:textId="77777777" w:rsidR="006B7275" w:rsidRPr="00804587" w:rsidRDefault="006B7275" w:rsidP="00BD5391">
            <w:pPr>
              <w:jc w:val="center"/>
              <w:rPr>
                <w:color w:val="000000"/>
                <w:sz w:val="20"/>
                <w:szCs w:val="20"/>
              </w:rPr>
            </w:pPr>
          </w:p>
        </w:tc>
      </w:tr>
      <w:tr w:rsidR="006B7275" w:rsidRPr="00804587" w14:paraId="1BDE804F" w14:textId="77777777" w:rsidTr="00BD5391">
        <w:trPr>
          <w:trHeight w:val="300"/>
          <w:jc w:val="center"/>
        </w:trPr>
        <w:tc>
          <w:tcPr>
            <w:tcW w:w="4122" w:type="dxa"/>
            <w:noWrap/>
            <w:hideMark/>
          </w:tcPr>
          <w:p w14:paraId="30401F3A" w14:textId="77777777" w:rsidR="006B7275" w:rsidRPr="00804587" w:rsidRDefault="006B7275" w:rsidP="00BD5391">
            <w:pPr>
              <w:ind w:left="312"/>
              <w:rPr>
                <w:color w:val="000000"/>
                <w:sz w:val="20"/>
                <w:szCs w:val="20"/>
              </w:rPr>
            </w:pPr>
            <w:r w:rsidRPr="00804587">
              <w:rPr>
                <w:color w:val="000000"/>
                <w:sz w:val="20"/>
                <w:szCs w:val="20"/>
              </w:rPr>
              <w:t>Atrial fibrillation </w:t>
            </w:r>
          </w:p>
        </w:tc>
        <w:tc>
          <w:tcPr>
            <w:tcW w:w="1846" w:type="dxa"/>
            <w:noWrap/>
            <w:vAlign w:val="center"/>
            <w:hideMark/>
          </w:tcPr>
          <w:p w14:paraId="26FACA9D" w14:textId="77777777" w:rsidR="006B7275" w:rsidRPr="00804587" w:rsidRDefault="006B7275" w:rsidP="00BD5391">
            <w:pPr>
              <w:jc w:val="center"/>
              <w:rPr>
                <w:color w:val="000000"/>
                <w:sz w:val="20"/>
                <w:szCs w:val="20"/>
              </w:rPr>
            </w:pPr>
            <w:r w:rsidRPr="00804587">
              <w:rPr>
                <w:color w:val="000000"/>
                <w:sz w:val="20"/>
                <w:szCs w:val="20"/>
              </w:rPr>
              <w:t>386 (1.5%)</w:t>
            </w:r>
          </w:p>
        </w:tc>
        <w:tc>
          <w:tcPr>
            <w:tcW w:w="1847" w:type="dxa"/>
            <w:noWrap/>
            <w:vAlign w:val="center"/>
            <w:hideMark/>
          </w:tcPr>
          <w:p w14:paraId="7E3BBB01" w14:textId="77777777" w:rsidR="006B7275" w:rsidRPr="00804587" w:rsidRDefault="006B7275" w:rsidP="00BD5391">
            <w:pPr>
              <w:jc w:val="center"/>
              <w:rPr>
                <w:color w:val="000000"/>
                <w:sz w:val="20"/>
                <w:szCs w:val="20"/>
              </w:rPr>
            </w:pPr>
            <w:r w:rsidRPr="00804587">
              <w:rPr>
                <w:color w:val="000000"/>
                <w:sz w:val="20"/>
                <w:szCs w:val="20"/>
              </w:rPr>
              <w:t>273 (2.2%)</w:t>
            </w:r>
          </w:p>
        </w:tc>
        <w:tc>
          <w:tcPr>
            <w:tcW w:w="1847" w:type="dxa"/>
            <w:noWrap/>
            <w:vAlign w:val="center"/>
            <w:hideMark/>
          </w:tcPr>
          <w:p w14:paraId="54820AA0" w14:textId="77777777" w:rsidR="006B7275" w:rsidRPr="00804587" w:rsidRDefault="006B7275" w:rsidP="00BD5391">
            <w:pPr>
              <w:jc w:val="center"/>
              <w:rPr>
                <w:color w:val="000000"/>
                <w:sz w:val="20"/>
                <w:szCs w:val="20"/>
              </w:rPr>
            </w:pPr>
            <w:r w:rsidRPr="00804587">
              <w:rPr>
                <w:color w:val="000000"/>
                <w:sz w:val="20"/>
                <w:szCs w:val="20"/>
              </w:rPr>
              <w:t>113 (0.8%)</w:t>
            </w:r>
          </w:p>
        </w:tc>
      </w:tr>
      <w:tr w:rsidR="006B7275" w:rsidRPr="00804587" w14:paraId="74F29FC2" w14:textId="77777777" w:rsidTr="00BD5391">
        <w:trPr>
          <w:trHeight w:val="300"/>
          <w:jc w:val="center"/>
        </w:trPr>
        <w:tc>
          <w:tcPr>
            <w:tcW w:w="4122" w:type="dxa"/>
            <w:noWrap/>
            <w:hideMark/>
          </w:tcPr>
          <w:p w14:paraId="41ED048E" w14:textId="77777777" w:rsidR="006B7275" w:rsidRPr="00804587" w:rsidRDefault="006B7275" w:rsidP="00BD5391">
            <w:pPr>
              <w:ind w:left="312"/>
              <w:rPr>
                <w:color w:val="000000"/>
                <w:sz w:val="20"/>
                <w:szCs w:val="20"/>
              </w:rPr>
            </w:pPr>
            <w:r w:rsidRPr="00804587">
              <w:rPr>
                <w:color w:val="000000"/>
                <w:sz w:val="20"/>
                <w:szCs w:val="20"/>
              </w:rPr>
              <w:t>Stroke </w:t>
            </w:r>
          </w:p>
        </w:tc>
        <w:tc>
          <w:tcPr>
            <w:tcW w:w="1846" w:type="dxa"/>
            <w:noWrap/>
            <w:vAlign w:val="center"/>
            <w:hideMark/>
          </w:tcPr>
          <w:p w14:paraId="3CD49BB8" w14:textId="77777777" w:rsidR="006B7275" w:rsidRPr="00804587" w:rsidRDefault="006B7275" w:rsidP="00BD5391">
            <w:pPr>
              <w:jc w:val="center"/>
              <w:rPr>
                <w:color w:val="000000"/>
                <w:sz w:val="20"/>
                <w:szCs w:val="20"/>
              </w:rPr>
            </w:pPr>
            <w:r w:rsidRPr="00804587">
              <w:rPr>
                <w:color w:val="000000"/>
                <w:sz w:val="20"/>
                <w:szCs w:val="20"/>
              </w:rPr>
              <w:t>503 (1.9%)</w:t>
            </w:r>
          </w:p>
        </w:tc>
        <w:tc>
          <w:tcPr>
            <w:tcW w:w="1847" w:type="dxa"/>
            <w:noWrap/>
            <w:vAlign w:val="center"/>
            <w:hideMark/>
          </w:tcPr>
          <w:p w14:paraId="4366BD68" w14:textId="77777777" w:rsidR="006B7275" w:rsidRPr="00804587" w:rsidRDefault="006B7275" w:rsidP="00BD5391">
            <w:pPr>
              <w:jc w:val="center"/>
              <w:rPr>
                <w:color w:val="000000"/>
                <w:sz w:val="20"/>
                <w:szCs w:val="20"/>
              </w:rPr>
            </w:pPr>
            <w:r w:rsidRPr="00804587">
              <w:rPr>
                <w:color w:val="000000"/>
                <w:sz w:val="20"/>
                <w:szCs w:val="20"/>
              </w:rPr>
              <w:t>320 (2.6%)</w:t>
            </w:r>
          </w:p>
        </w:tc>
        <w:tc>
          <w:tcPr>
            <w:tcW w:w="1847" w:type="dxa"/>
            <w:noWrap/>
            <w:vAlign w:val="center"/>
            <w:hideMark/>
          </w:tcPr>
          <w:p w14:paraId="577D1745" w14:textId="77777777" w:rsidR="006B7275" w:rsidRPr="00804587" w:rsidRDefault="006B7275" w:rsidP="00BD5391">
            <w:pPr>
              <w:jc w:val="center"/>
              <w:rPr>
                <w:color w:val="000000"/>
                <w:sz w:val="20"/>
                <w:szCs w:val="20"/>
              </w:rPr>
            </w:pPr>
            <w:r w:rsidRPr="00804587">
              <w:rPr>
                <w:color w:val="000000"/>
                <w:sz w:val="20"/>
                <w:szCs w:val="20"/>
              </w:rPr>
              <w:t>183 (1.4%)</w:t>
            </w:r>
          </w:p>
        </w:tc>
      </w:tr>
      <w:tr w:rsidR="006B7275" w:rsidRPr="00804587" w14:paraId="357D6D32" w14:textId="77777777" w:rsidTr="00BD5391">
        <w:trPr>
          <w:trHeight w:val="300"/>
          <w:jc w:val="center"/>
        </w:trPr>
        <w:tc>
          <w:tcPr>
            <w:tcW w:w="4122" w:type="dxa"/>
            <w:noWrap/>
            <w:hideMark/>
          </w:tcPr>
          <w:p w14:paraId="1AE7D2AF" w14:textId="77777777" w:rsidR="006B7275" w:rsidRPr="00804587" w:rsidRDefault="006B7275" w:rsidP="00BD5391">
            <w:pPr>
              <w:ind w:left="312"/>
              <w:rPr>
                <w:color w:val="000000"/>
                <w:sz w:val="20"/>
                <w:szCs w:val="20"/>
              </w:rPr>
            </w:pPr>
            <w:r w:rsidRPr="00804587">
              <w:rPr>
                <w:color w:val="000000"/>
                <w:sz w:val="20"/>
                <w:szCs w:val="20"/>
              </w:rPr>
              <w:t>IHD </w:t>
            </w:r>
          </w:p>
        </w:tc>
        <w:tc>
          <w:tcPr>
            <w:tcW w:w="1846" w:type="dxa"/>
            <w:noWrap/>
            <w:vAlign w:val="center"/>
            <w:hideMark/>
          </w:tcPr>
          <w:p w14:paraId="4A8A4B21" w14:textId="77777777" w:rsidR="006B7275" w:rsidRPr="00804587" w:rsidRDefault="006B7275" w:rsidP="00BD5391">
            <w:pPr>
              <w:jc w:val="center"/>
              <w:rPr>
                <w:color w:val="000000"/>
                <w:sz w:val="20"/>
                <w:szCs w:val="20"/>
              </w:rPr>
            </w:pPr>
            <w:r w:rsidRPr="00804587">
              <w:rPr>
                <w:color w:val="000000"/>
                <w:sz w:val="20"/>
                <w:szCs w:val="20"/>
              </w:rPr>
              <w:t>1,560 (6.0%)</w:t>
            </w:r>
          </w:p>
        </w:tc>
        <w:tc>
          <w:tcPr>
            <w:tcW w:w="1847" w:type="dxa"/>
            <w:noWrap/>
            <w:vAlign w:val="center"/>
            <w:hideMark/>
          </w:tcPr>
          <w:p w14:paraId="36711CBC" w14:textId="77777777" w:rsidR="006B7275" w:rsidRPr="00804587" w:rsidRDefault="006B7275" w:rsidP="00BD5391">
            <w:pPr>
              <w:jc w:val="center"/>
              <w:rPr>
                <w:color w:val="000000"/>
                <w:sz w:val="20"/>
                <w:szCs w:val="20"/>
              </w:rPr>
            </w:pPr>
            <w:r w:rsidRPr="00804587">
              <w:rPr>
                <w:color w:val="000000"/>
                <w:sz w:val="20"/>
                <w:szCs w:val="20"/>
              </w:rPr>
              <w:t>1,092 (8.8%)</w:t>
            </w:r>
          </w:p>
        </w:tc>
        <w:tc>
          <w:tcPr>
            <w:tcW w:w="1847" w:type="dxa"/>
            <w:noWrap/>
            <w:vAlign w:val="center"/>
            <w:hideMark/>
          </w:tcPr>
          <w:p w14:paraId="2C6839C8" w14:textId="77777777" w:rsidR="006B7275" w:rsidRPr="00804587" w:rsidRDefault="006B7275" w:rsidP="00BD5391">
            <w:pPr>
              <w:jc w:val="center"/>
              <w:rPr>
                <w:color w:val="000000"/>
                <w:sz w:val="20"/>
                <w:szCs w:val="20"/>
              </w:rPr>
            </w:pPr>
            <w:r w:rsidRPr="00804587">
              <w:rPr>
                <w:color w:val="000000"/>
                <w:sz w:val="20"/>
                <w:szCs w:val="20"/>
              </w:rPr>
              <w:t>468 (3.5%)</w:t>
            </w:r>
          </w:p>
        </w:tc>
      </w:tr>
      <w:tr w:rsidR="006B7275" w:rsidRPr="00804587" w14:paraId="252FED6C" w14:textId="77777777" w:rsidTr="00BD5391">
        <w:trPr>
          <w:trHeight w:val="300"/>
          <w:jc w:val="center"/>
        </w:trPr>
        <w:tc>
          <w:tcPr>
            <w:tcW w:w="4122" w:type="dxa"/>
            <w:noWrap/>
            <w:hideMark/>
          </w:tcPr>
          <w:p w14:paraId="27D2F234" w14:textId="77777777" w:rsidR="006B7275" w:rsidRPr="00804587" w:rsidRDefault="006B7275" w:rsidP="00BD5391">
            <w:pPr>
              <w:ind w:left="312"/>
              <w:rPr>
                <w:color w:val="000000"/>
                <w:sz w:val="20"/>
                <w:szCs w:val="20"/>
              </w:rPr>
            </w:pPr>
            <w:r w:rsidRPr="00804587">
              <w:rPr>
                <w:color w:val="000000"/>
                <w:sz w:val="20"/>
                <w:szCs w:val="20"/>
              </w:rPr>
              <w:t>MI </w:t>
            </w:r>
          </w:p>
        </w:tc>
        <w:tc>
          <w:tcPr>
            <w:tcW w:w="1846" w:type="dxa"/>
            <w:noWrap/>
            <w:vAlign w:val="center"/>
            <w:hideMark/>
          </w:tcPr>
          <w:p w14:paraId="62A282F7" w14:textId="77777777" w:rsidR="006B7275" w:rsidRPr="00804587" w:rsidRDefault="006B7275" w:rsidP="00BD5391">
            <w:pPr>
              <w:jc w:val="center"/>
              <w:rPr>
                <w:color w:val="000000"/>
                <w:sz w:val="20"/>
                <w:szCs w:val="20"/>
              </w:rPr>
            </w:pPr>
            <w:r w:rsidRPr="00804587">
              <w:rPr>
                <w:color w:val="000000"/>
                <w:sz w:val="20"/>
                <w:szCs w:val="20"/>
              </w:rPr>
              <w:t>633 (2.4%)</w:t>
            </w:r>
          </w:p>
        </w:tc>
        <w:tc>
          <w:tcPr>
            <w:tcW w:w="1847" w:type="dxa"/>
            <w:noWrap/>
            <w:vAlign w:val="center"/>
            <w:hideMark/>
          </w:tcPr>
          <w:p w14:paraId="0F8721EA" w14:textId="77777777" w:rsidR="006B7275" w:rsidRPr="00804587" w:rsidRDefault="006B7275" w:rsidP="00BD5391">
            <w:pPr>
              <w:jc w:val="center"/>
              <w:rPr>
                <w:color w:val="000000"/>
                <w:sz w:val="20"/>
                <w:szCs w:val="20"/>
              </w:rPr>
            </w:pPr>
            <w:r w:rsidRPr="00804587">
              <w:rPr>
                <w:color w:val="000000"/>
                <w:sz w:val="20"/>
                <w:szCs w:val="20"/>
              </w:rPr>
              <w:t>502 (4.0%)</w:t>
            </w:r>
          </w:p>
        </w:tc>
        <w:tc>
          <w:tcPr>
            <w:tcW w:w="1847" w:type="dxa"/>
            <w:noWrap/>
            <w:vAlign w:val="center"/>
            <w:hideMark/>
          </w:tcPr>
          <w:p w14:paraId="4E2CBBDD" w14:textId="77777777" w:rsidR="006B7275" w:rsidRPr="00804587" w:rsidRDefault="006B7275" w:rsidP="00BD5391">
            <w:pPr>
              <w:jc w:val="center"/>
              <w:rPr>
                <w:color w:val="000000"/>
                <w:sz w:val="20"/>
                <w:szCs w:val="20"/>
              </w:rPr>
            </w:pPr>
            <w:r w:rsidRPr="00804587">
              <w:rPr>
                <w:color w:val="000000"/>
                <w:sz w:val="20"/>
                <w:szCs w:val="20"/>
              </w:rPr>
              <w:t>131 (1.0%)</w:t>
            </w:r>
          </w:p>
        </w:tc>
      </w:tr>
      <w:tr w:rsidR="006B7275" w:rsidRPr="00804587" w14:paraId="71BE61C5" w14:textId="77777777" w:rsidTr="00BD5391">
        <w:trPr>
          <w:trHeight w:val="300"/>
          <w:jc w:val="center"/>
        </w:trPr>
        <w:tc>
          <w:tcPr>
            <w:tcW w:w="4122" w:type="dxa"/>
            <w:shd w:val="clear" w:color="auto" w:fill="F2F2F2" w:themeFill="background1" w:themeFillShade="F2"/>
            <w:noWrap/>
          </w:tcPr>
          <w:p w14:paraId="3AB3FD6F" w14:textId="77777777" w:rsidR="006B7275" w:rsidRPr="00804587" w:rsidRDefault="006B7275" w:rsidP="00BD5391">
            <w:pPr>
              <w:rPr>
                <w:sz w:val="20"/>
                <w:szCs w:val="20"/>
              </w:rPr>
            </w:pPr>
            <w:r w:rsidRPr="00804587">
              <w:rPr>
                <w:sz w:val="20"/>
                <w:szCs w:val="20"/>
              </w:rPr>
              <w:t xml:space="preserve">Incident </w:t>
            </w:r>
            <w:r>
              <w:rPr>
                <w:sz w:val="20"/>
                <w:szCs w:val="20"/>
              </w:rPr>
              <w:t>CVD and mortality outcomes</w:t>
            </w:r>
            <w:r w:rsidRPr="00804587">
              <w:rPr>
                <w:sz w:val="20"/>
                <w:szCs w:val="20"/>
              </w:rPr>
              <w:t> </w:t>
            </w:r>
          </w:p>
        </w:tc>
        <w:tc>
          <w:tcPr>
            <w:tcW w:w="1846" w:type="dxa"/>
            <w:shd w:val="clear" w:color="auto" w:fill="F2F2F2" w:themeFill="background1" w:themeFillShade="F2"/>
            <w:noWrap/>
            <w:vAlign w:val="center"/>
          </w:tcPr>
          <w:p w14:paraId="260E63D1" w14:textId="77777777" w:rsidR="006B7275" w:rsidRPr="00804587" w:rsidRDefault="006B7275" w:rsidP="00BD5391">
            <w:pPr>
              <w:jc w:val="center"/>
              <w:rPr>
                <w:color w:val="000000"/>
                <w:sz w:val="20"/>
                <w:szCs w:val="20"/>
              </w:rPr>
            </w:pPr>
          </w:p>
        </w:tc>
        <w:tc>
          <w:tcPr>
            <w:tcW w:w="1847" w:type="dxa"/>
            <w:shd w:val="clear" w:color="auto" w:fill="F2F2F2" w:themeFill="background1" w:themeFillShade="F2"/>
            <w:noWrap/>
            <w:vAlign w:val="center"/>
          </w:tcPr>
          <w:p w14:paraId="11181043" w14:textId="77777777" w:rsidR="006B7275" w:rsidRPr="00804587" w:rsidRDefault="006B7275" w:rsidP="00BD5391">
            <w:pPr>
              <w:jc w:val="center"/>
              <w:rPr>
                <w:color w:val="000000"/>
                <w:sz w:val="20"/>
                <w:szCs w:val="20"/>
              </w:rPr>
            </w:pPr>
          </w:p>
        </w:tc>
        <w:tc>
          <w:tcPr>
            <w:tcW w:w="1847" w:type="dxa"/>
            <w:shd w:val="clear" w:color="auto" w:fill="F2F2F2" w:themeFill="background1" w:themeFillShade="F2"/>
            <w:noWrap/>
            <w:vAlign w:val="center"/>
          </w:tcPr>
          <w:p w14:paraId="63348AD1" w14:textId="77777777" w:rsidR="006B7275" w:rsidRPr="00804587" w:rsidRDefault="006B7275" w:rsidP="00BD5391">
            <w:pPr>
              <w:jc w:val="center"/>
              <w:rPr>
                <w:color w:val="000000"/>
                <w:sz w:val="20"/>
                <w:szCs w:val="20"/>
              </w:rPr>
            </w:pPr>
          </w:p>
        </w:tc>
      </w:tr>
      <w:tr w:rsidR="006B7275" w:rsidRPr="00804587" w14:paraId="10D20A25" w14:textId="77777777" w:rsidTr="00BD5391">
        <w:trPr>
          <w:trHeight w:val="300"/>
          <w:jc w:val="center"/>
        </w:trPr>
        <w:tc>
          <w:tcPr>
            <w:tcW w:w="4122" w:type="dxa"/>
            <w:noWrap/>
            <w:hideMark/>
          </w:tcPr>
          <w:p w14:paraId="2FB9A759" w14:textId="77777777" w:rsidR="006B7275" w:rsidRPr="00804587" w:rsidRDefault="006B7275" w:rsidP="00BD5391">
            <w:pPr>
              <w:ind w:left="312"/>
              <w:rPr>
                <w:color w:val="000000"/>
                <w:sz w:val="20"/>
                <w:szCs w:val="20"/>
              </w:rPr>
            </w:pPr>
            <w:r w:rsidRPr="00804587">
              <w:rPr>
                <w:color w:val="000000"/>
                <w:sz w:val="20"/>
                <w:szCs w:val="20"/>
              </w:rPr>
              <w:t>Atrial fibrillation  </w:t>
            </w:r>
          </w:p>
        </w:tc>
        <w:tc>
          <w:tcPr>
            <w:tcW w:w="1846" w:type="dxa"/>
            <w:noWrap/>
            <w:vAlign w:val="center"/>
            <w:hideMark/>
          </w:tcPr>
          <w:p w14:paraId="0055C0A7" w14:textId="77777777" w:rsidR="006B7275" w:rsidRPr="00804587" w:rsidRDefault="006B7275" w:rsidP="00BD5391">
            <w:pPr>
              <w:jc w:val="center"/>
              <w:rPr>
                <w:color w:val="000000"/>
                <w:sz w:val="20"/>
                <w:szCs w:val="20"/>
              </w:rPr>
            </w:pPr>
            <w:r w:rsidRPr="00804587">
              <w:rPr>
                <w:color w:val="000000"/>
                <w:sz w:val="20"/>
                <w:szCs w:val="20"/>
              </w:rPr>
              <w:t>180 (0.7%)</w:t>
            </w:r>
          </w:p>
        </w:tc>
        <w:tc>
          <w:tcPr>
            <w:tcW w:w="1847" w:type="dxa"/>
            <w:noWrap/>
            <w:vAlign w:val="center"/>
            <w:hideMark/>
          </w:tcPr>
          <w:p w14:paraId="74CC666F" w14:textId="77777777" w:rsidR="006B7275" w:rsidRPr="00804587" w:rsidRDefault="006B7275" w:rsidP="00BD5391">
            <w:pPr>
              <w:jc w:val="center"/>
              <w:rPr>
                <w:color w:val="000000"/>
                <w:sz w:val="20"/>
                <w:szCs w:val="20"/>
              </w:rPr>
            </w:pPr>
            <w:r w:rsidRPr="00804587">
              <w:rPr>
                <w:color w:val="000000"/>
                <w:sz w:val="20"/>
                <w:szCs w:val="20"/>
              </w:rPr>
              <w:t>127 (1.0%)</w:t>
            </w:r>
          </w:p>
        </w:tc>
        <w:tc>
          <w:tcPr>
            <w:tcW w:w="1847" w:type="dxa"/>
            <w:noWrap/>
            <w:vAlign w:val="center"/>
            <w:hideMark/>
          </w:tcPr>
          <w:p w14:paraId="6082B120" w14:textId="77777777" w:rsidR="006B7275" w:rsidRPr="00804587" w:rsidRDefault="006B7275" w:rsidP="00BD5391">
            <w:pPr>
              <w:jc w:val="center"/>
              <w:rPr>
                <w:color w:val="000000"/>
                <w:sz w:val="20"/>
                <w:szCs w:val="20"/>
              </w:rPr>
            </w:pPr>
            <w:r w:rsidRPr="00804587">
              <w:rPr>
                <w:color w:val="000000"/>
                <w:sz w:val="20"/>
                <w:szCs w:val="20"/>
              </w:rPr>
              <w:t>53 (0.4%)</w:t>
            </w:r>
          </w:p>
        </w:tc>
      </w:tr>
      <w:tr w:rsidR="006B7275" w:rsidRPr="00804587" w14:paraId="7FE5679B" w14:textId="77777777" w:rsidTr="00BD5391">
        <w:trPr>
          <w:trHeight w:val="300"/>
          <w:jc w:val="center"/>
        </w:trPr>
        <w:tc>
          <w:tcPr>
            <w:tcW w:w="4122" w:type="dxa"/>
            <w:noWrap/>
            <w:hideMark/>
          </w:tcPr>
          <w:p w14:paraId="64DBE809" w14:textId="77777777" w:rsidR="006B7275" w:rsidRPr="00804587" w:rsidRDefault="006B7275" w:rsidP="00BD5391">
            <w:pPr>
              <w:ind w:left="312"/>
              <w:rPr>
                <w:color w:val="000000"/>
                <w:sz w:val="20"/>
                <w:szCs w:val="20"/>
              </w:rPr>
            </w:pPr>
            <w:r w:rsidRPr="00804587">
              <w:rPr>
                <w:color w:val="000000"/>
                <w:sz w:val="20"/>
                <w:szCs w:val="20"/>
              </w:rPr>
              <w:t>Stroke  </w:t>
            </w:r>
          </w:p>
        </w:tc>
        <w:tc>
          <w:tcPr>
            <w:tcW w:w="1846" w:type="dxa"/>
            <w:noWrap/>
            <w:vAlign w:val="center"/>
            <w:hideMark/>
          </w:tcPr>
          <w:p w14:paraId="63617CC1" w14:textId="77777777" w:rsidR="006B7275" w:rsidRPr="00804587" w:rsidRDefault="006B7275" w:rsidP="00BD5391">
            <w:pPr>
              <w:jc w:val="center"/>
              <w:rPr>
                <w:color w:val="000000"/>
                <w:sz w:val="20"/>
                <w:szCs w:val="20"/>
              </w:rPr>
            </w:pPr>
            <w:r w:rsidRPr="00804587">
              <w:rPr>
                <w:color w:val="000000"/>
                <w:sz w:val="20"/>
                <w:szCs w:val="20"/>
              </w:rPr>
              <w:t>178 (0.7%)</w:t>
            </w:r>
          </w:p>
        </w:tc>
        <w:tc>
          <w:tcPr>
            <w:tcW w:w="1847" w:type="dxa"/>
            <w:noWrap/>
            <w:vAlign w:val="center"/>
            <w:hideMark/>
          </w:tcPr>
          <w:p w14:paraId="2DFBF000" w14:textId="77777777" w:rsidR="006B7275" w:rsidRPr="00804587" w:rsidRDefault="006B7275" w:rsidP="00BD5391">
            <w:pPr>
              <w:jc w:val="center"/>
              <w:rPr>
                <w:color w:val="000000"/>
                <w:sz w:val="20"/>
                <w:szCs w:val="20"/>
              </w:rPr>
            </w:pPr>
            <w:r w:rsidRPr="00804587">
              <w:rPr>
                <w:color w:val="000000"/>
                <w:sz w:val="20"/>
                <w:szCs w:val="20"/>
              </w:rPr>
              <w:t>114 (0.9%)</w:t>
            </w:r>
          </w:p>
        </w:tc>
        <w:tc>
          <w:tcPr>
            <w:tcW w:w="1847" w:type="dxa"/>
            <w:noWrap/>
            <w:vAlign w:val="center"/>
            <w:hideMark/>
          </w:tcPr>
          <w:p w14:paraId="3532FB74" w14:textId="77777777" w:rsidR="006B7275" w:rsidRPr="00804587" w:rsidRDefault="006B7275" w:rsidP="00BD5391">
            <w:pPr>
              <w:jc w:val="center"/>
              <w:rPr>
                <w:color w:val="000000"/>
                <w:sz w:val="20"/>
                <w:szCs w:val="20"/>
              </w:rPr>
            </w:pPr>
            <w:r w:rsidRPr="00804587">
              <w:rPr>
                <w:color w:val="000000"/>
                <w:sz w:val="20"/>
                <w:szCs w:val="20"/>
              </w:rPr>
              <w:t>64 (0.5%)</w:t>
            </w:r>
          </w:p>
        </w:tc>
      </w:tr>
      <w:tr w:rsidR="006B7275" w:rsidRPr="00804587" w14:paraId="7A3CE0DC" w14:textId="77777777" w:rsidTr="00BD5391">
        <w:trPr>
          <w:trHeight w:val="300"/>
          <w:jc w:val="center"/>
        </w:trPr>
        <w:tc>
          <w:tcPr>
            <w:tcW w:w="4122" w:type="dxa"/>
            <w:noWrap/>
            <w:hideMark/>
          </w:tcPr>
          <w:p w14:paraId="1EC496AD" w14:textId="77777777" w:rsidR="006B7275" w:rsidRPr="00804587" w:rsidRDefault="006B7275" w:rsidP="00BD5391">
            <w:pPr>
              <w:ind w:left="312"/>
              <w:rPr>
                <w:color w:val="000000"/>
                <w:sz w:val="20"/>
                <w:szCs w:val="20"/>
              </w:rPr>
            </w:pPr>
            <w:r w:rsidRPr="00804587">
              <w:rPr>
                <w:color w:val="000000"/>
                <w:sz w:val="20"/>
                <w:szCs w:val="20"/>
              </w:rPr>
              <w:t>IHD  </w:t>
            </w:r>
          </w:p>
        </w:tc>
        <w:tc>
          <w:tcPr>
            <w:tcW w:w="1846" w:type="dxa"/>
            <w:noWrap/>
            <w:vAlign w:val="center"/>
            <w:hideMark/>
          </w:tcPr>
          <w:p w14:paraId="76D53DF1" w14:textId="77777777" w:rsidR="006B7275" w:rsidRPr="00804587" w:rsidRDefault="006B7275" w:rsidP="00BD5391">
            <w:pPr>
              <w:jc w:val="center"/>
              <w:rPr>
                <w:color w:val="000000"/>
                <w:sz w:val="20"/>
                <w:szCs w:val="20"/>
              </w:rPr>
            </w:pPr>
            <w:r w:rsidRPr="00804587">
              <w:rPr>
                <w:color w:val="000000"/>
                <w:sz w:val="20"/>
                <w:szCs w:val="20"/>
              </w:rPr>
              <w:t>530 (2.0%)</w:t>
            </w:r>
          </w:p>
        </w:tc>
        <w:tc>
          <w:tcPr>
            <w:tcW w:w="1847" w:type="dxa"/>
            <w:noWrap/>
            <w:vAlign w:val="center"/>
            <w:hideMark/>
          </w:tcPr>
          <w:p w14:paraId="6DB6313F" w14:textId="77777777" w:rsidR="006B7275" w:rsidRPr="00804587" w:rsidRDefault="006B7275" w:rsidP="00BD5391">
            <w:pPr>
              <w:jc w:val="center"/>
              <w:rPr>
                <w:color w:val="000000"/>
                <w:sz w:val="20"/>
                <w:szCs w:val="20"/>
              </w:rPr>
            </w:pPr>
            <w:r w:rsidRPr="00804587">
              <w:rPr>
                <w:color w:val="000000"/>
                <w:sz w:val="20"/>
                <w:szCs w:val="20"/>
              </w:rPr>
              <w:t>347 (2.8%)</w:t>
            </w:r>
          </w:p>
        </w:tc>
        <w:tc>
          <w:tcPr>
            <w:tcW w:w="1847" w:type="dxa"/>
            <w:noWrap/>
            <w:vAlign w:val="center"/>
            <w:hideMark/>
          </w:tcPr>
          <w:p w14:paraId="018C30E8" w14:textId="77777777" w:rsidR="006B7275" w:rsidRPr="00804587" w:rsidRDefault="006B7275" w:rsidP="00BD5391">
            <w:pPr>
              <w:jc w:val="center"/>
              <w:rPr>
                <w:color w:val="000000"/>
                <w:sz w:val="20"/>
                <w:szCs w:val="20"/>
              </w:rPr>
            </w:pPr>
            <w:r w:rsidRPr="00804587">
              <w:rPr>
                <w:color w:val="000000"/>
                <w:sz w:val="20"/>
                <w:szCs w:val="20"/>
              </w:rPr>
              <w:t>183 (1.4%)</w:t>
            </w:r>
          </w:p>
        </w:tc>
      </w:tr>
      <w:tr w:rsidR="006B7275" w:rsidRPr="00804587" w14:paraId="00F52F72" w14:textId="77777777" w:rsidTr="00BD5391">
        <w:trPr>
          <w:trHeight w:val="300"/>
          <w:jc w:val="center"/>
        </w:trPr>
        <w:tc>
          <w:tcPr>
            <w:tcW w:w="4122" w:type="dxa"/>
            <w:noWrap/>
            <w:hideMark/>
          </w:tcPr>
          <w:p w14:paraId="0C8B5B0D" w14:textId="77777777" w:rsidR="006B7275" w:rsidRPr="00804587" w:rsidRDefault="006B7275" w:rsidP="00BD5391">
            <w:pPr>
              <w:ind w:left="312"/>
              <w:rPr>
                <w:color w:val="000000"/>
                <w:sz w:val="20"/>
                <w:szCs w:val="20"/>
              </w:rPr>
            </w:pPr>
            <w:r w:rsidRPr="00804587">
              <w:rPr>
                <w:color w:val="000000"/>
                <w:sz w:val="20"/>
                <w:szCs w:val="20"/>
              </w:rPr>
              <w:t>MI  </w:t>
            </w:r>
          </w:p>
        </w:tc>
        <w:tc>
          <w:tcPr>
            <w:tcW w:w="1846" w:type="dxa"/>
            <w:noWrap/>
            <w:vAlign w:val="center"/>
            <w:hideMark/>
          </w:tcPr>
          <w:p w14:paraId="5930BBCA" w14:textId="77777777" w:rsidR="006B7275" w:rsidRPr="00804587" w:rsidRDefault="006B7275" w:rsidP="00BD5391">
            <w:pPr>
              <w:jc w:val="center"/>
              <w:rPr>
                <w:color w:val="000000"/>
                <w:sz w:val="20"/>
                <w:szCs w:val="20"/>
              </w:rPr>
            </w:pPr>
            <w:r w:rsidRPr="00804587">
              <w:rPr>
                <w:color w:val="000000"/>
                <w:sz w:val="20"/>
                <w:szCs w:val="20"/>
              </w:rPr>
              <w:t>197 (0.8%)</w:t>
            </w:r>
          </w:p>
        </w:tc>
        <w:tc>
          <w:tcPr>
            <w:tcW w:w="1847" w:type="dxa"/>
            <w:noWrap/>
            <w:vAlign w:val="center"/>
            <w:hideMark/>
          </w:tcPr>
          <w:p w14:paraId="3DA12BD2" w14:textId="77777777" w:rsidR="006B7275" w:rsidRPr="00804587" w:rsidRDefault="006B7275" w:rsidP="00BD5391">
            <w:pPr>
              <w:jc w:val="center"/>
              <w:rPr>
                <w:color w:val="000000"/>
                <w:sz w:val="20"/>
                <w:szCs w:val="20"/>
              </w:rPr>
            </w:pPr>
            <w:r w:rsidRPr="00804587">
              <w:rPr>
                <w:color w:val="000000"/>
                <w:sz w:val="20"/>
                <w:szCs w:val="20"/>
              </w:rPr>
              <w:t>140 (1.1%)</w:t>
            </w:r>
          </w:p>
        </w:tc>
        <w:tc>
          <w:tcPr>
            <w:tcW w:w="1847" w:type="dxa"/>
            <w:noWrap/>
            <w:vAlign w:val="center"/>
            <w:hideMark/>
          </w:tcPr>
          <w:p w14:paraId="6B1ADF4B" w14:textId="77777777" w:rsidR="006B7275" w:rsidRPr="00804587" w:rsidRDefault="006B7275" w:rsidP="00BD5391">
            <w:pPr>
              <w:jc w:val="center"/>
              <w:rPr>
                <w:color w:val="000000"/>
                <w:sz w:val="20"/>
                <w:szCs w:val="20"/>
              </w:rPr>
            </w:pPr>
            <w:r w:rsidRPr="00804587">
              <w:rPr>
                <w:color w:val="000000"/>
                <w:sz w:val="20"/>
                <w:szCs w:val="20"/>
              </w:rPr>
              <w:t>57 (0.4%)</w:t>
            </w:r>
          </w:p>
        </w:tc>
      </w:tr>
      <w:tr w:rsidR="006B7275" w:rsidRPr="00804587" w14:paraId="124F08FB" w14:textId="77777777" w:rsidTr="00BD5391">
        <w:trPr>
          <w:trHeight w:val="300"/>
          <w:jc w:val="center"/>
        </w:trPr>
        <w:tc>
          <w:tcPr>
            <w:tcW w:w="4122" w:type="dxa"/>
            <w:shd w:val="clear" w:color="auto" w:fill="auto"/>
            <w:noWrap/>
            <w:vAlign w:val="center"/>
          </w:tcPr>
          <w:p w14:paraId="5929CACE" w14:textId="77777777" w:rsidR="006B7275" w:rsidRPr="00804587" w:rsidRDefault="006B7275" w:rsidP="00BD5391">
            <w:pPr>
              <w:ind w:firstLine="319"/>
              <w:rPr>
                <w:color w:val="000000"/>
                <w:sz w:val="20"/>
                <w:szCs w:val="20"/>
              </w:rPr>
            </w:pPr>
            <w:r w:rsidRPr="00804587">
              <w:rPr>
                <w:color w:val="000000"/>
                <w:sz w:val="20"/>
                <w:szCs w:val="20"/>
              </w:rPr>
              <w:t>All-cause mortality</w:t>
            </w:r>
          </w:p>
        </w:tc>
        <w:tc>
          <w:tcPr>
            <w:tcW w:w="1846" w:type="dxa"/>
            <w:shd w:val="clear" w:color="auto" w:fill="auto"/>
            <w:noWrap/>
            <w:vAlign w:val="center"/>
          </w:tcPr>
          <w:p w14:paraId="335628FD" w14:textId="77777777" w:rsidR="006B7275" w:rsidRPr="00804587" w:rsidRDefault="006B7275" w:rsidP="00BD5391">
            <w:pPr>
              <w:jc w:val="center"/>
              <w:rPr>
                <w:color w:val="000000"/>
                <w:sz w:val="20"/>
                <w:szCs w:val="20"/>
              </w:rPr>
            </w:pPr>
            <w:r w:rsidRPr="00804587">
              <w:rPr>
                <w:color w:val="000000"/>
                <w:sz w:val="20"/>
                <w:szCs w:val="20"/>
              </w:rPr>
              <w:t>331 (1.3%)</w:t>
            </w:r>
          </w:p>
        </w:tc>
        <w:tc>
          <w:tcPr>
            <w:tcW w:w="1847" w:type="dxa"/>
            <w:shd w:val="clear" w:color="auto" w:fill="auto"/>
            <w:noWrap/>
            <w:vAlign w:val="center"/>
          </w:tcPr>
          <w:p w14:paraId="0B6F4349" w14:textId="77777777" w:rsidR="006B7275" w:rsidRPr="00804587" w:rsidRDefault="006B7275" w:rsidP="00BD5391">
            <w:pPr>
              <w:jc w:val="center"/>
              <w:rPr>
                <w:color w:val="000000"/>
                <w:sz w:val="20"/>
                <w:szCs w:val="20"/>
              </w:rPr>
            </w:pPr>
            <w:r w:rsidRPr="00804587">
              <w:rPr>
                <w:color w:val="000000"/>
                <w:sz w:val="20"/>
                <w:szCs w:val="20"/>
              </w:rPr>
              <w:t>220 (1.8%)</w:t>
            </w:r>
          </w:p>
        </w:tc>
        <w:tc>
          <w:tcPr>
            <w:tcW w:w="1847" w:type="dxa"/>
            <w:shd w:val="clear" w:color="auto" w:fill="auto"/>
            <w:noWrap/>
            <w:vAlign w:val="center"/>
          </w:tcPr>
          <w:p w14:paraId="46750509" w14:textId="77777777" w:rsidR="006B7275" w:rsidRPr="00804587" w:rsidRDefault="006B7275" w:rsidP="00BD5391">
            <w:pPr>
              <w:jc w:val="center"/>
              <w:rPr>
                <w:color w:val="000000"/>
                <w:sz w:val="20"/>
                <w:szCs w:val="20"/>
              </w:rPr>
            </w:pPr>
            <w:r w:rsidRPr="00804587">
              <w:rPr>
                <w:color w:val="000000"/>
                <w:sz w:val="20"/>
                <w:szCs w:val="20"/>
              </w:rPr>
              <w:t>111 (0.8%)</w:t>
            </w:r>
          </w:p>
        </w:tc>
      </w:tr>
      <w:tr w:rsidR="006B7275" w:rsidRPr="00804587" w14:paraId="7D1323C6" w14:textId="77777777" w:rsidTr="00BD5391">
        <w:trPr>
          <w:trHeight w:val="300"/>
          <w:jc w:val="center"/>
        </w:trPr>
        <w:tc>
          <w:tcPr>
            <w:tcW w:w="4122" w:type="dxa"/>
            <w:shd w:val="clear" w:color="auto" w:fill="auto"/>
            <w:noWrap/>
            <w:vAlign w:val="center"/>
          </w:tcPr>
          <w:p w14:paraId="7D184F6F" w14:textId="77777777" w:rsidR="006B7275" w:rsidRPr="00804587" w:rsidRDefault="006B7275" w:rsidP="00BD5391">
            <w:pPr>
              <w:ind w:firstLine="319"/>
              <w:rPr>
                <w:color w:val="000000"/>
                <w:sz w:val="20"/>
                <w:szCs w:val="20"/>
              </w:rPr>
            </w:pPr>
            <w:r w:rsidRPr="00804587">
              <w:rPr>
                <w:color w:val="000000"/>
                <w:sz w:val="20"/>
                <w:szCs w:val="20"/>
              </w:rPr>
              <w:t>CV</w:t>
            </w:r>
            <w:r>
              <w:rPr>
                <w:color w:val="000000"/>
                <w:sz w:val="20"/>
                <w:szCs w:val="20"/>
              </w:rPr>
              <w:t>D</w:t>
            </w:r>
            <w:r w:rsidRPr="00804587">
              <w:rPr>
                <w:color w:val="000000"/>
                <w:sz w:val="20"/>
                <w:szCs w:val="20"/>
              </w:rPr>
              <w:t xml:space="preserve"> mortality</w:t>
            </w:r>
          </w:p>
        </w:tc>
        <w:tc>
          <w:tcPr>
            <w:tcW w:w="1846" w:type="dxa"/>
            <w:shd w:val="clear" w:color="auto" w:fill="auto"/>
            <w:noWrap/>
            <w:vAlign w:val="center"/>
          </w:tcPr>
          <w:p w14:paraId="28AC55C1" w14:textId="77777777" w:rsidR="006B7275" w:rsidRPr="00804587" w:rsidRDefault="006B7275" w:rsidP="00BD5391">
            <w:pPr>
              <w:jc w:val="center"/>
              <w:rPr>
                <w:color w:val="000000"/>
                <w:sz w:val="20"/>
                <w:szCs w:val="20"/>
              </w:rPr>
            </w:pPr>
            <w:r w:rsidRPr="00804587">
              <w:rPr>
                <w:color w:val="000000"/>
                <w:sz w:val="20"/>
                <w:szCs w:val="20"/>
              </w:rPr>
              <w:t>58 (0.2%)</w:t>
            </w:r>
          </w:p>
        </w:tc>
        <w:tc>
          <w:tcPr>
            <w:tcW w:w="1847" w:type="dxa"/>
            <w:shd w:val="clear" w:color="auto" w:fill="auto"/>
            <w:noWrap/>
            <w:vAlign w:val="center"/>
          </w:tcPr>
          <w:p w14:paraId="76628D79" w14:textId="77777777" w:rsidR="006B7275" w:rsidRPr="00804587" w:rsidRDefault="006B7275" w:rsidP="00BD5391">
            <w:pPr>
              <w:jc w:val="center"/>
              <w:rPr>
                <w:color w:val="000000"/>
                <w:sz w:val="20"/>
                <w:szCs w:val="20"/>
              </w:rPr>
            </w:pPr>
            <w:r w:rsidRPr="00804587">
              <w:rPr>
                <w:color w:val="000000"/>
                <w:sz w:val="20"/>
                <w:szCs w:val="20"/>
              </w:rPr>
              <w:t>44 (0.4%)</w:t>
            </w:r>
          </w:p>
        </w:tc>
        <w:tc>
          <w:tcPr>
            <w:tcW w:w="1847" w:type="dxa"/>
            <w:shd w:val="clear" w:color="auto" w:fill="auto"/>
            <w:noWrap/>
            <w:vAlign w:val="center"/>
          </w:tcPr>
          <w:p w14:paraId="3DDA5C49" w14:textId="77777777" w:rsidR="006B7275" w:rsidRPr="00804587" w:rsidRDefault="006B7275" w:rsidP="00BD5391">
            <w:pPr>
              <w:jc w:val="center"/>
              <w:rPr>
                <w:color w:val="000000"/>
                <w:sz w:val="20"/>
                <w:szCs w:val="20"/>
              </w:rPr>
            </w:pPr>
            <w:r w:rsidRPr="00804587">
              <w:rPr>
                <w:color w:val="000000"/>
                <w:sz w:val="20"/>
                <w:szCs w:val="20"/>
              </w:rPr>
              <w:t>14 (0.1%)</w:t>
            </w:r>
          </w:p>
        </w:tc>
      </w:tr>
      <w:tr w:rsidR="006B7275" w:rsidRPr="00804587" w14:paraId="7620A7C8" w14:textId="77777777" w:rsidTr="00BD5391">
        <w:trPr>
          <w:trHeight w:val="300"/>
          <w:jc w:val="center"/>
        </w:trPr>
        <w:tc>
          <w:tcPr>
            <w:tcW w:w="4122" w:type="dxa"/>
            <w:shd w:val="clear" w:color="auto" w:fill="auto"/>
            <w:noWrap/>
            <w:vAlign w:val="center"/>
          </w:tcPr>
          <w:p w14:paraId="6250592A" w14:textId="77777777" w:rsidR="006B7275" w:rsidRPr="00804587" w:rsidRDefault="006B7275" w:rsidP="00BD5391">
            <w:pPr>
              <w:ind w:firstLine="319"/>
              <w:rPr>
                <w:color w:val="000000"/>
                <w:sz w:val="20"/>
                <w:szCs w:val="20"/>
              </w:rPr>
            </w:pPr>
            <w:r w:rsidRPr="00804587">
              <w:rPr>
                <w:color w:val="000000"/>
                <w:sz w:val="20"/>
                <w:szCs w:val="20"/>
              </w:rPr>
              <w:t>Any of AF, Stroke, IHD, MI or CV</w:t>
            </w:r>
            <w:r>
              <w:rPr>
                <w:color w:val="000000"/>
                <w:sz w:val="20"/>
                <w:szCs w:val="20"/>
              </w:rPr>
              <w:t>D</w:t>
            </w:r>
            <w:r w:rsidRPr="00804587">
              <w:rPr>
                <w:color w:val="000000"/>
                <w:sz w:val="20"/>
                <w:szCs w:val="20"/>
              </w:rPr>
              <w:t xml:space="preserve"> death</w:t>
            </w:r>
          </w:p>
        </w:tc>
        <w:tc>
          <w:tcPr>
            <w:tcW w:w="1846" w:type="dxa"/>
            <w:shd w:val="clear" w:color="auto" w:fill="auto"/>
            <w:noWrap/>
            <w:vAlign w:val="center"/>
          </w:tcPr>
          <w:p w14:paraId="3F799260" w14:textId="77777777" w:rsidR="006B7275" w:rsidRPr="00804587" w:rsidRDefault="006B7275" w:rsidP="00BD5391">
            <w:pPr>
              <w:jc w:val="center"/>
              <w:rPr>
                <w:color w:val="000000"/>
                <w:sz w:val="20"/>
                <w:szCs w:val="20"/>
              </w:rPr>
            </w:pPr>
            <w:r w:rsidRPr="00804587">
              <w:rPr>
                <w:color w:val="000000"/>
                <w:sz w:val="20"/>
                <w:szCs w:val="20"/>
              </w:rPr>
              <w:t>880 (3.4%)</w:t>
            </w:r>
          </w:p>
        </w:tc>
        <w:tc>
          <w:tcPr>
            <w:tcW w:w="1847" w:type="dxa"/>
            <w:shd w:val="clear" w:color="auto" w:fill="auto"/>
            <w:noWrap/>
            <w:vAlign w:val="center"/>
          </w:tcPr>
          <w:p w14:paraId="35F138DA" w14:textId="77777777" w:rsidR="006B7275" w:rsidRPr="00804587" w:rsidRDefault="006B7275" w:rsidP="00BD5391">
            <w:pPr>
              <w:jc w:val="center"/>
              <w:rPr>
                <w:color w:val="000000"/>
                <w:sz w:val="20"/>
                <w:szCs w:val="20"/>
              </w:rPr>
            </w:pPr>
            <w:r w:rsidRPr="00804587">
              <w:rPr>
                <w:color w:val="000000"/>
                <w:sz w:val="20"/>
                <w:szCs w:val="20"/>
              </w:rPr>
              <w:t>583 (4.7%)</w:t>
            </w:r>
          </w:p>
        </w:tc>
        <w:tc>
          <w:tcPr>
            <w:tcW w:w="1847" w:type="dxa"/>
            <w:shd w:val="clear" w:color="auto" w:fill="auto"/>
            <w:noWrap/>
            <w:vAlign w:val="center"/>
          </w:tcPr>
          <w:p w14:paraId="021EE415" w14:textId="77777777" w:rsidR="006B7275" w:rsidRPr="00804587" w:rsidRDefault="006B7275" w:rsidP="00BD5391">
            <w:pPr>
              <w:jc w:val="center"/>
              <w:rPr>
                <w:color w:val="000000"/>
                <w:sz w:val="20"/>
                <w:szCs w:val="20"/>
              </w:rPr>
            </w:pPr>
            <w:r w:rsidRPr="00804587">
              <w:rPr>
                <w:color w:val="000000"/>
                <w:sz w:val="20"/>
                <w:szCs w:val="20"/>
              </w:rPr>
              <w:t>297 (2.2%)</w:t>
            </w:r>
          </w:p>
        </w:tc>
      </w:tr>
      <w:tr w:rsidR="006B7275" w:rsidRPr="00804587" w14:paraId="1C3DAAE5" w14:textId="77777777" w:rsidTr="00BD5391">
        <w:trPr>
          <w:trHeight w:val="300"/>
          <w:jc w:val="center"/>
        </w:trPr>
        <w:tc>
          <w:tcPr>
            <w:tcW w:w="4122" w:type="dxa"/>
            <w:shd w:val="clear" w:color="auto" w:fill="F2F2F2" w:themeFill="background1" w:themeFillShade="F2"/>
            <w:noWrap/>
          </w:tcPr>
          <w:p w14:paraId="5DD19FAA" w14:textId="77777777" w:rsidR="006B7275" w:rsidRPr="00804587" w:rsidRDefault="006B7275" w:rsidP="00BD5391">
            <w:pPr>
              <w:rPr>
                <w:color w:val="000000"/>
                <w:sz w:val="20"/>
                <w:szCs w:val="20"/>
              </w:rPr>
            </w:pPr>
            <w:r w:rsidRPr="00804587">
              <w:rPr>
                <w:color w:val="000000"/>
                <w:sz w:val="20"/>
                <w:szCs w:val="20"/>
              </w:rPr>
              <w:t>CMR Metrics</w:t>
            </w:r>
          </w:p>
        </w:tc>
        <w:tc>
          <w:tcPr>
            <w:tcW w:w="1846" w:type="dxa"/>
            <w:shd w:val="clear" w:color="auto" w:fill="F2F2F2" w:themeFill="background1" w:themeFillShade="F2"/>
            <w:noWrap/>
            <w:vAlign w:val="center"/>
          </w:tcPr>
          <w:p w14:paraId="4DE71ED7" w14:textId="77777777" w:rsidR="006B7275" w:rsidRPr="00804587" w:rsidRDefault="006B7275" w:rsidP="00BD5391">
            <w:pPr>
              <w:jc w:val="center"/>
              <w:rPr>
                <w:color w:val="000000"/>
                <w:sz w:val="20"/>
                <w:szCs w:val="20"/>
              </w:rPr>
            </w:pPr>
          </w:p>
        </w:tc>
        <w:tc>
          <w:tcPr>
            <w:tcW w:w="1847" w:type="dxa"/>
            <w:shd w:val="clear" w:color="auto" w:fill="F2F2F2" w:themeFill="background1" w:themeFillShade="F2"/>
            <w:noWrap/>
            <w:vAlign w:val="center"/>
          </w:tcPr>
          <w:p w14:paraId="3696EF07" w14:textId="77777777" w:rsidR="006B7275" w:rsidRPr="00804587" w:rsidRDefault="006B7275" w:rsidP="00BD5391">
            <w:pPr>
              <w:jc w:val="center"/>
              <w:rPr>
                <w:color w:val="000000"/>
                <w:sz w:val="20"/>
                <w:szCs w:val="20"/>
              </w:rPr>
            </w:pPr>
          </w:p>
        </w:tc>
        <w:tc>
          <w:tcPr>
            <w:tcW w:w="1847" w:type="dxa"/>
            <w:shd w:val="clear" w:color="auto" w:fill="F2F2F2" w:themeFill="background1" w:themeFillShade="F2"/>
            <w:noWrap/>
            <w:vAlign w:val="center"/>
          </w:tcPr>
          <w:p w14:paraId="575CBFF9" w14:textId="77777777" w:rsidR="006B7275" w:rsidRPr="00804587" w:rsidRDefault="006B7275" w:rsidP="00BD5391">
            <w:pPr>
              <w:jc w:val="center"/>
              <w:rPr>
                <w:color w:val="000000"/>
                <w:sz w:val="20"/>
                <w:szCs w:val="20"/>
              </w:rPr>
            </w:pPr>
          </w:p>
        </w:tc>
      </w:tr>
      <w:tr w:rsidR="006B7275" w:rsidRPr="00804587" w14:paraId="418CE769" w14:textId="77777777" w:rsidTr="00BD5391">
        <w:trPr>
          <w:trHeight w:val="300"/>
          <w:jc w:val="center"/>
        </w:trPr>
        <w:tc>
          <w:tcPr>
            <w:tcW w:w="4122" w:type="dxa"/>
            <w:noWrap/>
            <w:hideMark/>
          </w:tcPr>
          <w:p w14:paraId="04D1DB34" w14:textId="77777777" w:rsidR="006B7275" w:rsidRPr="00804587" w:rsidRDefault="006B7275" w:rsidP="00BD5391">
            <w:pPr>
              <w:rPr>
                <w:color w:val="000000"/>
                <w:sz w:val="20"/>
                <w:szCs w:val="20"/>
              </w:rPr>
            </w:pPr>
            <w:r w:rsidRPr="00804587">
              <w:rPr>
                <w:color w:val="000000"/>
                <w:sz w:val="20"/>
                <w:szCs w:val="20"/>
              </w:rPr>
              <w:t>LAV (ml)</w:t>
            </w:r>
          </w:p>
        </w:tc>
        <w:tc>
          <w:tcPr>
            <w:tcW w:w="1846" w:type="dxa"/>
            <w:noWrap/>
            <w:vAlign w:val="center"/>
            <w:hideMark/>
          </w:tcPr>
          <w:p w14:paraId="01D2FC5D" w14:textId="77777777" w:rsidR="006B7275" w:rsidRPr="00804587" w:rsidRDefault="006B7275" w:rsidP="00BD5391">
            <w:pPr>
              <w:jc w:val="center"/>
              <w:rPr>
                <w:color w:val="000000"/>
                <w:sz w:val="20"/>
                <w:szCs w:val="20"/>
              </w:rPr>
            </w:pPr>
            <w:r w:rsidRPr="00804587">
              <w:rPr>
                <w:color w:val="000000"/>
                <w:sz w:val="20"/>
                <w:szCs w:val="20"/>
              </w:rPr>
              <w:t>70.0 [57.0, 85.3]</w:t>
            </w:r>
          </w:p>
        </w:tc>
        <w:tc>
          <w:tcPr>
            <w:tcW w:w="1847" w:type="dxa"/>
            <w:noWrap/>
            <w:vAlign w:val="center"/>
            <w:hideMark/>
          </w:tcPr>
          <w:p w14:paraId="16281E2E" w14:textId="77777777" w:rsidR="006B7275" w:rsidRPr="00804587" w:rsidRDefault="006B7275" w:rsidP="00BD5391">
            <w:pPr>
              <w:jc w:val="center"/>
              <w:rPr>
                <w:color w:val="000000"/>
                <w:sz w:val="20"/>
                <w:szCs w:val="20"/>
              </w:rPr>
            </w:pPr>
            <w:r w:rsidRPr="00804587">
              <w:rPr>
                <w:color w:val="000000"/>
                <w:sz w:val="20"/>
                <w:szCs w:val="20"/>
              </w:rPr>
              <w:t>75.9 [61.1, 92.6]</w:t>
            </w:r>
          </w:p>
        </w:tc>
        <w:tc>
          <w:tcPr>
            <w:tcW w:w="1847" w:type="dxa"/>
            <w:noWrap/>
            <w:vAlign w:val="center"/>
            <w:hideMark/>
          </w:tcPr>
          <w:p w14:paraId="1C1A8C81" w14:textId="77777777" w:rsidR="006B7275" w:rsidRPr="00804587" w:rsidRDefault="006B7275" w:rsidP="00BD5391">
            <w:pPr>
              <w:jc w:val="center"/>
              <w:rPr>
                <w:color w:val="000000"/>
                <w:sz w:val="20"/>
                <w:szCs w:val="20"/>
              </w:rPr>
            </w:pPr>
            <w:r w:rsidRPr="00804587">
              <w:rPr>
                <w:color w:val="000000"/>
                <w:sz w:val="20"/>
                <w:szCs w:val="20"/>
              </w:rPr>
              <w:t>65.9 [54.5, 78.7]</w:t>
            </w:r>
          </w:p>
        </w:tc>
      </w:tr>
      <w:tr w:rsidR="006B7275" w:rsidRPr="00804587" w14:paraId="66FDF4B6" w14:textId="77777777" w:rsidTr="00BD5391">
        <w:trPr>
          <w:trHeight w:val="300"/>
          <w:jc w:val="center"/>
        </w:trPr>
        <w:tc>
          <w:tcPr>
            <w:tcW w:w="4122" w:type="dxa"/>
            <w:noWrap/>
            <w:hideMark/>
          </w:tcPr>
          <w:p w14:paraId="559689F9" w14:textId="77777777" w:rsidR="006B7275" w:rsidRPr="00804587" w:rsidRDefault="006B7275" w:rsidP="00BD5391">
            <w:pPr>
              <w:rPr>
                <w:color w:val="000000"/>
                <w:sz w:val="20"/>
                <w:szCs w:val="20"/>
              </w:rPr>
            </w:pPr>
            <w:r w:rsidRPr="00804587">
              <w:rPr>
                <w:color w:val="000000"/>
                <w:sz w:val="20"/>
                <w:szCs w:val="20"/>
              </w:rPr>
              <w:t>LAVi (ml/m</w:t>
            </w:r>
            <w:r w:rsidRPr="00804587">
              <w:rPr>
                <w:color w:val="000000"/>
                <w:sz w:val="20"/>
                <w:szCs w:val="20"/>
                <w:vertAlign w:val="superscript"/>
              </w:rPr>
              <w:t>2</w:t>
            </w:r>
            <w:r w:rsidRPr="00804587">
              <w:rPr>
                <w:color w:val="000000"/>
                <w:sz w:val="20"/>
                <w:szCs w:val="20"/>
              </w:rPr>
              <w:t>)</w:t>
            </w:r>
          </w:p>
        </w:tc>
        <w:tc>
          <w:tcPr>
            <w:tcW w:w="1846" w:type="dxa"/>
            <w:noWrap/>
            <w:vAlign w:val="center"/>
            <w:hideMark/>
          </w:tcPr>
          <w:p w14:paraId="0B3805B4" w14:textId="77777777" w:rsidR="006B7275" w:rsidRPr="00804587" w:rsidRDefault="006B7275" w:rsidP="00BD5391">
            <w:pPr>
              <w:jc w:val="center"/>
              <w:rPr>
                <w:color w:val="000000"/>
                <w:sz w:val="20"/>
                <w:szCs w:val="20"/>
              </w:rPr>
            </w:pPr>
            <w:r w:rsidRPr="00804587">
              <w:rPr>
                <w:color w:val="000000"/>
                <w:sz w:val="20"/>
                <w:szCs w:val="20"/>
              </w:rPr>
              <w:t>38.0 [31.5, 45.4]</w:t>
            </w:r>
          </w:p>
        </w:tc>
        <w:tc>
          <w:tcPr>
            <w:tcW w:w="1847" w:type="dxa"/>
            <w:noWrap/>
            <w:vAlign w:val="center"/>
            <w:hideMark/>
          </w:tcPr>
          <w:p w14:paraId="7F3F819C" w14:textId="77777777" w:rsidR="006B7275" w:rsidRPr="00804587" w:rsidRDefault="006B7275" w:rsidP="00BD5391">
            <w:pPr>
              <w:jc w:val="center"/>
              <w:rPr>
                <w:color w:val="000000"/>
                <w:sz w:val="20"/>
                <w:szCs w:val="20"/>
              </w:rPr>
            </w:pPr>
            <w:r w:rsidRPr="00804587">
              <w:rPr>
                <w:color w:val="000000"/>
                <w:sz w:val="20"/>
                <w:szCs w:val="20"/>
              </w:rPr>
              <w:t>38.0 [30.9, 46.0]</w:t>
            </w:r>
          </w:p>
        </w:tc>
        <w:tc>
          <w:tcPr>
            <w:tcW w:w="1847" w:type="dxa"/>
            <w:noWrap/>
            <w:vAlign w:val="center"/>
            <w:hideMark/>
          </w:tcPr>
          <w:p w14:paraId="425C38DB" w14:textId="77777777" w:rsidR="006B7275" w:rsidRPr="00804587" w:rsidRDefault="006B7275" w:rsidP="00BD5391">
            <w:pPr>
              <w:jc w:val="center"/>
              <w:rPr>
                <w:color w:val="000000"/>
                <w:sz w:val="20"/>
                <w:szCs w:val="20"/>
              </w:rPr>
            </w:pPr>
            <w:r w:rsidRPr="00804587">
              <w:rPr>
                <w:color w:val="000000"/>
                <w:sz w:val="20"/>
                <w:szCs w:val="20"/>
              </w:rPr>
              <w:t>38.1 [31.9, 45.0]</w:t>
            </w:r>
          </w:p>
        </w:tc>
      </w:tr>
      <w:tr w:rsidR="006B7275" w:rsidRPr="00804587" w14:paraId="080CC8C7" w14:textId="77777777" w:rsidTr="00BD5391">
        <w:trPr>
          <w:trHeight w:val="300"/>
          <w:jc w:val="center"/>
        </w:trPr>
        <w:tc>
          <w:tcPr>
            <w:tcW w:w="4122" w:type="dxa"/>
            <w:noWrap/>
            <w:hideMark/>
          </w:tcPr>
          <w:p w14:paraId="37A1CB13" w14:textId="77777777" w:rsidR="006B7275" w:rsidRPr="00804587" w:rsidRDefault="006B7275" w:rsidP="00BD5391">
            <w:pPr>
              <w:rPr>
                <w:color w:val="000000"/>
                <w:sz w:val="20"/>
                <w:szCs w:val="20"/>
              </w:rPr>
            </w:pPr>
            <w:r w:rsidRPr="00804587">
              <w:rPr>
                <w:color w:val="000000"/>
                <w:sz w:val="20"/>
                <w:szCs w:val="20"/>
              </w:rPr>
              <w:t>LAEF (%)</w:t>
            </w:r>
          </w:p>
        </w:tc>
        <w:tc>
          <w:tcPr>
            <w:tcW w:w="1846" w:type="dxa"/>
            <w:noWrap/>
            <w:vAlign w:val="center"/>
            <w:hideMark/>
          </w:tcPr>
          <w:p w14:paraId="54F87364" w14:textId="77777777" w:rsidR="006B7275" w:rsidRPr="00804587" w:rsidRDefault="006B7275" w:rsidP="00BD5391">
            <w:pPr>
              <w:jc w:val="center"/>
              <w:rPr>
                <w:color w:val="000000"/>
                <w:sz w:val="20"/>
                <w:szCs w:val="20"/>
              </w:rPr>
            </w:pPr>
            <w:r w:rsidRPr="00804587">
              <w:rPr>
                <w:color w:val="000000"/>
                <w:sz w:val="20"/>
                <w:szCs w:val="20"/>
              </w:rPr>
              <w:t>61.3 (±9.1)</w:t>
            </w:r>
          </w:p>
        </w:tc>
        <w:tc>
          <w:tcPr>
            <w:tcW w:w="1847" w:type="dxa"/>
            <w:noWrap/>
            <w:vAlign w:val="center"/>
            <w:hideMark/>
          </w:tcPr>
          <w:p w14:paraId="5A6F94D9" w14:textId="77777777" w:rsidR="006B7275" w:rsidRPr="00804587" w:rsidRDefault="006B7275" w:rsidP="00BD5391">
            <w:pPr>
              <w:jc w:val="center"/>
              <w:rPr>
                <w:color w:val="000000"/>
                <w:sz w:val="20"/>
                <w:szCs w:val="20"/>
              </w:rPr>
            </w:pPr>
            <w:r w:rsidRPr="00804587">
              <w:rPr>
                <w:color w:val="000000"/>
                <w:sz w:val="20"/>
                <w:szCs w:val="20"/>
              </w:rPr>
              <w:t>60.6 (±9.6)</w:t>
            </w:r>
          </w:p>
        </w:tc>
        <w:tc>
          <w:tcPr>
            <w:tcW w:w="1847" w:type="dxa"/>
            <w:noWrap/>
            <w:vAlign w:val="center"/>
            <w:hideMark/>
          </w:tcPr>
          <w:p w14:paraId="05AE3AA7" w14:textId="77777777" w:rsidR="006B7275" w:rsidRPr="00804587" w:rsidRDefault="006B7275" w:rsidP="00BD5391">
            <w:pPr>
              <w:jc w:val="center"/>
              <w:rPr>
                <w:color w:val="000000"/>
                <w:sz w:val="20"/>
                <w:szCs w:val="20"/>
              </w:rPr>
            </w:pPr>
            <w:r w:rsidRPr="00804587">
              <w:rPr>
                <w:color w:val="000000"/>
                <w:sz w:val="20"/>
                <w:szCs w:val="20"/>
              </w:rPr>
              <w:t>61.9 (±8.5)</w:t>
            </w:r>
          </w:p>
        </w:tc>
      </w:tr>
      <w:tr w:rsidR="006B7275" w:rsidRPr="00804587" w14:paraId="234C5C79" w14:textId="77777777" w:rsidTr="00BD5391">
        <w:trPr>
          <w:trHeight w:val="300"/>
          <w:jc w:val="center"/>
        </w:trPr>
        <w:tc>
          <w:tcPr>
            <w:tcW w:w="4122" w:type="dxa"/>
            <w:noWrap/>
            <w:hideMark/>
          </w:tcPr>
          <w:p w14:paraId="6D7F1EEE" w14:textId="77777777" w:rsidR="006B7275" w:rsidRPr="00804587" w:rsidRDefault="006B7275" w:rsidP="00BD5391">
            <w:pPr>
              <w:rPr>
                <w:color w:val="000000"/>
                <w:sz w:val="20"/>
                <w:szCs w:val="20"/>
              </w:rPr>
            </w:pPr>
            <w:r w:rsidRPr="00804587">
              <w:rPr>
                <w:color w:val="000000"/>
                <w:sz w:val="20"/>
                <w:szCs w:val="20"/>
              </w:rPr>
              <w:t>LVM: LVEDV (g/ml)</w:t>
            </w:r>
          </w:p>
        </w:tc>
        <w:tc>
          <w:tcPr>
            <w:tcW w:w="1846" w:type="dxa"/>
            <w:noWrap/>
            <w:vAlign w:val="center"/>
            <w:hideMark/>
          </w:tcPr>
          <w:p w14:paraId="40D289D8" w14:textId="77777777" w:rsidR="006B7275" w:rsidRPr="00804587" w:rsidRDefault="006B7275" w:rsidP="00BD5391">
            <w:pPr>
              <w:jc w:val="center"/>
              <w:rPr>
                <w:color w:val="000000"/>
                <w:sz w:val="20"/>
                <w:szCs w:val="20"/>
              </w:rPr>
            </w:pPr>
            <w:r w:rsidRPr="00804587">
              <w:rPr>
                <w:color w:val="000000"/>
                <w:sz w:val="20"/>
                <w:szCs w:val="20"/>
              </w:rPr>
              <w:t>0.57 [0.52, 0.63]</w:t>
            </w:r>
          </w:p>
        </w:tc>
        <w:tc>
          <w:tcPr>
            <w:tcW w:w="1847" w:type="dxa"/>
            <w:noWrap/>
            <w:vAlign w:val="center"/>
            <w:hideMark/>
          </w:tcPr>
          <w:p w14:paraId="67FF0732" w14:textId="77777777" w:rsidR="006B7275" w:rsidRPr="00804587" w:rsidRDefault="006B7275" w:rsidP="00BD5391">
            <w:pPr>
              <w:jc w:val="center"/>
              <w:rPr>
                <w:color w:val="000000"/>
                <w:sz w:val="20"/>
                <w:szCs w:val="20"/>
              </w:rPr>
            </w:pPr>
            <w:r w:rsidRPr="00804587">
              <w:rPr>
                <w:color w:val="000000"/>
                <w:sz w:val="20"/>
                <w:szCs w:val="20"/>
              </w:rPr>
              <w:t>0.60 [0.56, 0.66]</w:t>
            </w:r>
          </w:p>
        </w:tc>
        <w:tc>
          <w:tcPr>
            <w:tcW w:w="1847" w:type="dxa"/>
            <w:noWrap/>
            <w:vAlign w:val="center"/>
            <w:hideMark/>
          </w:tcPr>
          <w:p w14:paraId="3DC4004D" w14:textId="77777777" w:rsidR="006B7275" w:rsidRPr="00804587" w:rsidRDefault="006B7275" w:rsidP="00BD5391">
            <w:pPr>
              <w:jc w:val="center"/>
              <w:rPr>
                <w:color w:val="000000"/>
                <w:sz w:val="20"/>
                <w:szCs w:val="20"/>
              </w:rPr>
            </w:pPr>
            <w:r w:rsidRPr="00804587">
              <w:rPr>
                <w:color w:val="000000"/>
                <w:sz w:val="20"/>
                <w:szCs w:val="20"/>
              </w:rPr>
              <w:t>0.54 [0.50, 0.59]</w:t>
            </w:r>
          </w:p>
        </w:tc>
      </w:tr>
      <w:tr w:rsidR="006B7275" w:rsidRPr="00804587" w14:paraId="149B7FD0" w14:textId="77777777" w:rsidTr="00BD5391">
        <w:trPr>
          <w:trHeight w:val="300"/>
          <w:jc w:val="center"/>
        </w:trPr>
        <w:tc>
          <w:tcPr>
            <w:tcW w:w="4122" w:type="dxa"/>
            <w:noWrap/>
            <w:hideMark/>
          </w:tcPr>
          <w:p w14:paraId="438440E9" w14:textId="77777777" w:rsidR="006B7275" w:rsidRPr="00804587" w:rsidRDefault="006B7275" w:rsidP="00BD5391">
            <w:pPr>
              <w:rPr>
                <w:color w:val="000000"/>
                <w:sz w:val="20"/>
                <w:szCs w:val="20"/>
              </w:rPr>
            </w:pPr>
            <w:r w:rsidRPr="00804587">
              <w:rPr>
                <w:color w:val="000000"/>
                <w:sz w:val="20"/>
                <w:szCs w:val="20"/>
              </w:rPr>
              <w:t>LVSVi (ml/m</w:t>
            </w:r>
            <w:r w:rsidRPr="00804587">
              <w:rPr>
                <w:color w:val="000000"/>
                <w:sz w:val="20"/>
                <w:szCs w:val="20"/>
                <w:vertAlign w:val="superscript"/>
              </w:rPr>
              <w:t>2</w:t>
            </w:r>
            <w:r w:rsidRPr="00804587">
              <w:rPr>
                <w:color w:val="000000"/>
                <w:sz w:val="20"/>
                <w:szCs w:val="20"/>
              </w:rPr>
              <w:t>)</w:t>
            </w:r>
          </w:p>
        </w:tc>
        <w:tc>
          <w:tcPr>
            <w:tcW w:w="1846" w:type="dxa"/>
            <w:noWrap/>
            <w:vAlign w:val="center"/>
            <w:hideMark/>
          </w:tcPr>
          <w:p w14:paraId="43BAF1E7" w14:textId="77777777" w:rsidR="006B7275" w:rsidRPr="00804587" w:rsidRDefault="006B7275" w:rsidP="00BD5391">
            <w:pPr>
              <w:jc w:val="center"/>
              <w:rPr>
                <w:color w:val="000000"/>
                <w:sz w:val="20"/>
                <w:szCs w:val="20"/>
              </w:rPr>
            </w:pPr>
            <w:r w:rsidRPr="00804587">
              <w:rPr>
                <w:color w:val="000000"/>
                <w:sz w:val="20"/>
                <w:szCs w:val="20"/>
              </w:rPr>
              <w:t>47.1 (±8.4)</w:t>
            </w:r>
          </w:p>
        </w:tc>
        <w:tc>
          <w:tcPr>
            <w:tcW w:w="1847" w:type="dxa"/>
            <w:noWrap/>
            <w:vAlign w:val="center"/>
            <w:hideMark/>
          </w:tcPr>
          <w:p w14:paraId="75DEFACA" w14:textId="77777777" w:rsidR="006B7275" w:rsidRPr="00804587" w:rsidRDefault="006B7275" w:rsidP="00BD5391">
            <w:pPr>
              <w:jc w:val="center"/>
              <w:rPr>
                <w:color w:val="000000"/>
                <w:sz w:val="20"/>
                <w:szCs w:val="20"/>
              </w:rPr>
            </w:pPr>
            <w:r w:rsidRPr="00804587">
              <w:rPr>
                <w:color w:val="000000"/>
                <w:sz w:val="20"/>
                <w:szCs w:val="20"/>
              </w:rPr>
              <w:t>48.8 (±9.1)</w:t>
            </w:r>
          </w:p>
        </w:tc>
        <w:tc>
          <w:tcPr>
            <w:tcW w:w="1847" w:type="dxa"/>
            <w:noWrap/>
            <w:vAlign w:val="center"/>
            <w:hideMark/>
          </w:tcPr>
          <w:p w14:paraId="0648095A" w14:textId="77777777" w:rsidR="006B7275" w:rsidRPr="00804587" w:rsidRDefault="006B7275" w:rsidP="00BD5391">
            <w:pPr>
              <w:jc w:val="center"/>
              <w:rPr>
                <w:color w:val="000000"/>
                <w:sz w:val="20"/>
                <w:szCs w:val="20"/>
              </w:rPr>
            </w:pPr>
            <w:r w:rsidRPr="00804587">
              <w:rPr>
                <w:color w:val="000000"/>
                <w:sz w:val="20"/>
                <w:szCs w:val="20"/>
              </w:rPr>
              <w:t>45.6 (±7.4)</w:t>
            </w:r>
          </w:p>
        </w:tc>
      </w:tr>
      <w:tr w:rsidR="006B7275" w:rsidRPr="00804587" w14:paraId="13F4DB75" w14:textId="77777777" w:rsidTr="00BD5391">
        <w:trPr>
          <w:trHeight w:val="300"/>
          <w:jc w:val="center"/>
        </w:trPr>
        <w:tc>
          <w:tcPr>
            <w:tcW w:w="4122" w:type="dxa"/>
            <w:noWrap/>
          </w:tcPr>
          <w:p w14:paraId="2C83184B" w14:textId="77777777" w:rsidR="006B7275" w:rsidRPr="00804587" w:rsidRDefault="006B7275" w:rsidP="00BD5391">
            <w:pPr>
              <w:rPr>
                <w:color w:val="000000"/>
                <w:sz w:val="20"/>
                <w:szCs w:val="20"/>
              </w:rPr>
            </w:pPr>
            <w:r w:rsidRPr="00804587">
              <w:rPr>
                <w:color w:val="000000"/>
                <w:sz w:val="20"/>
                <w:szCs w:val="20"/>
              </w:rPr>
              <w:t>LVEF (%)</w:t>
            </w:r>
          </w:p>
        </w:tc>
        <w:tc>
          <w:tcPr>
            <w:tcW w:w="1846" w:type="dxa"/>
            <w:noWrap/>
            <w:vAlign w:val="center"/>
          </w:tcPr>
          <w:p w14:paraId="3C47C4E5" w14:textId="77777777" w:rsidR="006B7275" w:rsidRPr="00804587" w:rsidRDefault="006B7275" w:rsidP="00BD5391">
            <w:pPr>
              <w:jc w:val="center"/>
              <w:rPr>
                <w:color w:val="000000"/>
                <w:sz w:val="20"/>
                <w:szCs w:val="20"/>
              </w:rPr>
            </w:pPr>
            <w:r w:rsidRPr="00804587">
              <w:rPr>
                <w:color w:val="000000"/>
                <w:sz w:val="20"/>
                <w:szCs w:val="20"/>
              </w:rPr>
              <w:t>59.6 (±6.1)</w:t>
            </w:r>
          </w:p>
        </w:tc>
        <w:tc>
          <w:tcPr>
            <w:tcW w:w="1847" w:type="dxa"/>
            <w:noWrap/>
            <w:vAlign w:val="center"/>
          </w:tcPr>
          <w:p w14:paraId="28596241" w14:textId="77777777" w:rsidR="006B7275" w:rsidRPr="00804587" w:rsidRDefault="006B7275" w:rsidP="00BD5391">
            <w:pPr>
              <w:jc w:val="center"/>
              <w:rPr>
                <w:color w:val="000000"/>
                <w:sz w:val="20"/>
                <w:szCs w:val="20"/>
              </w:rPr>
            </w:pPr>
            <w:r w:rsidRPr="00804587">
              <w:rPr>
                <w:color w:val="000000"/>
                <w:sz w:val="20"/>
                <w:szCs w:val="20"/>
              </w:rPr>
              <w:t>57.8 (±6.1)</w:t>
            </w:r>
          </w:p>
        </w:tc>
        <w:tc>
          <w:tcPr>
            <w:tcW w:w="1847" w:type="dxa"/>
            <w:noWrap/>
            <w:vAlign w:val="center"/>
          </w:tcPr>
          <w:p w14:paraId="081B2205" w14:textId="77777777" w:rsidR="006B7275" w:rsidRPr="00804587" w:rsidRDefault="006B7275" w:rsidP="00BD5391">
            <w:pPr>
              <w:jc w:val="center"/>
              <w:rPr>
                <w:color w:val="000000"/>
                <w:sz w:val="20"/>
                <w:szCs w:val="20"/>
              </w:rPr>
            </w:pPr>
            <w:r w:rsidRPr="00804587">
              <w:rPr>
                <w:color w:val="000000"/>
                <w:sz w:val="20"/>
                <w:szCs w:val="20"/>
              </w:rPr>
              <w:t>61.1 (±5.5)</w:t>
            </w:r>
          </w:p>
        </w:tc>
      </w:tr>
      <w:tr w:rsidR="006B7275" w:rsidRPr="00804587" w14:paraId="253A7CC2" w14:textId="77777777" w:rsidTr="00BD5391">
        <w:trPr>
          <w:trHeight w:val="97"/>
          <w:jc w:val="center"/>
        </w:trPr>
        <w:tc>
          <w:tcPr>
            <w:tcW w:w="4122" w:type="dxa"/>
            <w:noWrap/>
            <w:hideMark/>
          </w:tcPr>
          <w:p w14:paraId="3393CF7A" w14:textId="77777777" w:rsidR="006B7275" w:rsidRPr="00804587" w:rsidRDefault="006B7275" w:rsidP="00BD5391">
            <w:pPr>
              <w:rPr>
                <w:color w:val="000000"/>
                <w:sz w:val="20"/>
                <w:szCs w:val="20"/>
              </w:rPr>
            </w:pPr>
            <w:r w:rsidRPr="00804587">
              <w:rPr>
                <w:color w:val="000000"/>
                <w:sz w:val="20"/>
                <w:szCs w:val="20"/>
              </w:rPr>
              <w:t>LVGFI (%)</w:t>
            </w:r>
          </w:p>
        </w:tc>
        <w:tc>
          <w:tcPr>
            <w:tcW w:w="1846" w:type="dxa"/>
            <w:noWrap/>
            <w:vAlign w:val="center"/>
            <w:hideMark/>
          </w:tcPr>
          <w:p w14:paraId="488B4918" w14:textId="77777777" w:rsidR="006B7275" w:rsidRPr="00804587" w:rsidRDefault="006B7275" w:rsidP="00BD5391">
            <w:pPr>
              <w:jc w:val="center"/>
              <w:rPr>
                <w:color w:val="000000"/>
                <w:sz w:val="20"/>
                <w:szCs w:val="20"/>
              </w:rPr>
            </w:pPr>
            <w:r w:rsidRPr="00804587">
              <w:rPr>
                <w:color w:val="000000"/>
                <w:sz w:val="20"/>
                <w:szCs w:val="20"/>
              </w:rPr>
              <w:t>47.7 (±6.8)</w:t>
            </w:r>
          </w:p>
        </w:tc>
        <w:tc>
          <w:tcPr>
            <w:tcW w:w="1847" w:type="dxa"/>
            <w:noWrap/>
            <w:vAlign w:val="center"/>
            <w:hideMark/>
          </w:tcPr>
          <w:p w14:paraId="22800C64" w14:textId="77777777" w:rsidR="006B7275" w:rsidRPr="00804587" w:rsidRDefault="006B7275" w:rsidP="00BD5391">
            <w:pPr>
              <w:jc w:val="center"/>
              <w:rPr>
                <w:color w:val="000000"/>
                <w:sz w:val="20"/>
                <w:szCs w:val="20"/>
              </w:rPr>
            </w:pPr>
            <w:r w:rsidRPr="00804587">
              <w:rPr>
                <w:color w:val="000000"/>
                <w:sz w:val="20"/>
                <w:szCs w:val="20"/>
              </w:rPr>
              <w:t>44.8 (±6.2)</w:t>
            </w:r>
          </w:p>
        </w:tc>
        <w:tc>
          <w:tcPr>
            <w:tcW w:w="1847" w:type="dxa"/>
            <w:noWrap/>
            <w:vAlign w:val="center"/>
            <w:hideMark/>
          </w:tcPr>
          <w:p w14:paraId="256816AC" w14:textId="77777777" w:rsidR="006B7275" w:rsidRPr="00804587" w:rsidRDefault="006B7275" w:rsidP="00BD5391">
            <w:pPr>
              <w:jc w:val="center"/>
              <w:rPr>
                <w:color w:val="000000"/>
                <w:sz w:val="20"/>
                <w:szCs w:val="20"/>
              </w:rPr>
            </w:pPr>
            <w:r w:rsidRPr="00804587">
              <w:rPr>
                <w:color w:val="000000"/>
                <w:sz w:val="20"/>
                <w:szCs w:val="20"/>
              </w:rPr>
              <w:t>50.4 (±6.2)</w:t>
            </w:r>
          </w:p>
        </w:tc>
      </w:tr>
      <w:tr w:rsidR="006B7275" w:rsidRPr="00804587" w14:paraId="5D5A65D5" w14:textId="77777777" w:rsidTr="00BD5391">
        <w:trPr>
          <w:trHeight w:val="300"/>
          <w:jc w:val="center"/>
        </w:trPr>
        <w:tc>
          <w:tcPr>
            <w:tcW w:w="4122" w:type="dxa"/>
            <w:noWrap/>
            <w:hideMark/>
          </w:tcPr>
          <w:p w14:paraId="4FD0E1C3" w14:textId="77777777" w:rsidR="006B7275" w:rsidRPr="00804587" w:rsidRDefault="006B7275" w:rsidP="00BD5391">
            <w:pPr>
              <w:rPr>
                <w:color w:val="000000"/>
                <w:sz w:val="20"/>
                <w:szCs w:val="20"/>
              </w:rPr>
            </w:pPr>
            <w:r w:rsidRPr="00804587">
              <w:rPr>
                <w:color w:val="000000"/>
                <w:sz w:val="20"/>
                <w:szCs w:val="20"/>
              </w:rPr>
              <w:t>GLS (%)</w:t>
            </w:r>
          </w:p>
        </w:tc>
        <w:tc>
          <w:tcPr>
            <w:tcW w:w="1846" w:type="dxa"/>
            <w:noWrap/>
            <w:vAlign w:val="center"/>
            <w:hideMark/>
          </w:tcPr>
          <w:p w14:paraId="1B71D407" w14:textId="77777777" w:rsidR="006B7275" w:rsidRPr="00804587" w:rsidRDefault="006B7275" w:rsidP="00BD5391">
            <w:pPr>
              <w:jc w:val="center"/>
              <w:rPr>
                <w:color w:val="000000"/>
                <w:sz w:val="20"/>
                <w:szCs w:val="20"/>
              </w:rPr>
            </w:pPr>
            <w:r w:rsidRPr="00804587">
              <w:rPr>
                <w:color w:val="000000"/>
                <w:sz w:val="20"/>
                <w:szCs w:val="20"/>
              </w:rPr>
              <w:t>-18.5 (±2.7)</w:t>
            </w:r>
          </w:p>
        </w:tc>
        <w:tc>
          <w:tcPr>
            <w:tcW w:w="1847" w:type="dxa"/>
            <w:noWrap/>
            <w:vAlign w:val="center"/>
            <w:hideMark/>
          </w:tcPr>
          <w:p w14:paraId="78DFD061" w14:textId="77777777" w:rsidR="006B7275" w:rsidRPr="00804587" w:rsidRDefault="006B7275" w:rsidP="00BD5391">
            <w:pPr>
              <w:jc w:val="center"/>
              <w:rPr>
                <w:color w:val="000000"/>
                <w:sz w:val="20"/>
                <w:szCs w:val="20"/>
              </w:rPr>
            </w:pPr>
            <w:r w:rsidRPr="00804587">
              <w:rPr>
                <w:color w:val="000000"/>
                <w:sz w:val="20"/>
                <w:szCs w:val="20"/>
              </w:rPr>
              <w:t>-17.8 (±2.6)</w:t>
            </w:r>
          </w:p>
        </w:tc>
        <w:tc>
          <w:tcPr>
            <w:tcW w:w="1847" w:type="dxa"/>
            <w:noWrap/>
            <w:vAlign w:val="center"/>
            <w:hideMark/>
          </w:tcPr>
          <w:p w14:paraId="3D4A1026" w14:textId="77777777" w:rsidR="006B7275" w:rsidRPr="00804587" w:rsidRDefault="006B7275" w:rsidP="00BD5391">
            <w:pPr>
              <w:jc w:val="center"/>
              <w:rPr>
                <w:color w:val="000000"/>
                <w:sz w:val="20"/>
                <w:szCs w:val="20"/>
              </w:rPr>
            </w:pPr>
            <w:r w:rsidRPr="00804587">
              <w:rPr>
                <w:color w:val="000000"/>
                <w:sz w:val="20"/>
                <w:szCs w:val="20"/>
              </w:rPr>
              <w:t>-19.1 (±2.7)</w:t>
            </w:r>
          </w:p>
        </w:tc>
      </w:tr>
    </w:tbl>
    <w:p w14:paraId="70018906" w14:textId="77777777" w:rsidR="006B7275" w:rsidRPr="0089756C" w:rsidRDefault="006B7275" w:rsidP="006B7275">
      <w:pPr>
        <w:spacing w:line="360" w:lineRule="auto"/>
        <w:rPr>
          <w:sz w:val="22"/>
          <w:szCs w:val="22"/>
          <w:shd w:val="clear" w:color="auto" w:fill="FFFFFF"/>
        </w:rPr>
      </w:pPr>
      <w:r w:rsidRPr="0089756C">
        <w:rPr>
          <w:b/>
          <w:bCs/>
          <w:sz w:val="22"/>
          <w:szCs w:val="22"/>
        </w:rPr>
        <w:t>Table 1 footnote.</w:t>
      </w:r>
      <w:r w:rsidRPr="0089756C">
        <w:rPr>
          <w:sz w:val="22"/>
          <w:szCs w:val="22"/>
        </w:rPr>
        <w:t xml:space="preserve"> Counts variables are presented as number (percentage), continuous variables as mean (standard deviation) or median [interquartile range] based on skew. </w:t>
      </w:r>
      <w:r w:rsidRPr="0089756C">
        <w:rPr>
          <w:sz w:val="22"/>
          <w:szCs w:val="22"/>
          <w:shd w:val="clear" w:color="auto" w:fill="FFFFFF"/>
        </w:rPr>
        <w:t xml:space="preserve">BMI: body mass index, CMR: cardiovascular magnetic resonance, </w:t>
      </w:r>
      <w:r>
        <w:rPr>
          <w:sz w:val="22"/>
          <w:szCs w:val="22"/>
          <w:shd w:val="clear" w:color="auto" w:fill="FFFFFF"/>
        </w:rPr>
        <w:t xml:space="preserve">CVD: cardiovascular disease, </w:t>
      </w:r>
      <w:r w:rsidRPr="0089756C">
        <w:rPr>
          <w:sz w:val="22"/>
          <w:szCs w:val="22"/>
          <w:shd w:val="clear" w:color="auto" w:fill="FFFFFF"/>
        </w:rPr>
        <w:t xml:space="preserve">GLS: global longitudinal strain, i: indicates indexation to body surface area, IHD: ischaemic heart disease, LAEF: left atrial ejection fraction, LAV: maximum left atrial volume, LVEDV: left ventricular end-diastolic </w:t>
      </w:r>
      <w:r w:rsidRPr="003E14C3">
        <w:rPr>
          <w:sz w:val="22"/>
          <w:szCs w:val="22"/>
          <w:shd w:val="clear" w:color="auto" w:fill="FFFFFF"/>
        </w:rPr>
        <w:t>volume, LVEF: left ventricular ejection fraction, LVM: left ventricular mass, LVGFI: left ventricular global function index, MET: metabolic equivalent, MI: myocardial infarction</w:t>
      </w:r>
      <w:r w:rsidRPr="0089756C">
        <w:rPr>
          <w:sz w:val="22"/>
          <w:szCs w:val="22"/>
          <w:shd w:val="clear" w:color="auto" w:fill="FFFFFF"/>
        </w:rPr>
        <w:br w:type="page"/>
      </w:r>
    </w:p>
    <w:p w14:paraId="05F2938F" w14:textId="77777777" w:rsidR="006B7275" w:rsidRDefault="006B7275" w:rsidP="006B7275">
      <w:pPr>
        <w:spacing w:line="360" w:lineRule="auto"/>
        <w:rPr>
          <w:i/>
          <w:iCs/>
          <w:sz w:val="22"/>
          <w:szCs w:val="22"/>
          <w:shd w:val="clear" w:color="auto" w:fill="FFFFFF"/>
        </w:rPr>
        <w:sectPr w:rsidR="006B7275" w:rsidSect="00E020BD">
          <w:pgSz w:w="11906" w:h="16838"/>
          <w:pgMar w:top="1440" w:right="1440" w:bottom="1440" w:left="1440" w:header="708" w:footer="708" w:gutter="0"/>
          <w:cols w:space="708"/>
          <w:docGrid w:linePitch="360"/>
        </w:sectPr>
      </w:pPr>
    </w:p>
    <w:p w14:paraId="46138979" w14:textId="77777777" w:rsidR="006B7275" w:rsidRPr="0089756C" w:rsidRDefault="006B7275" w:rsidP="006B7275">
      <w:pPr>
        <w:spacing w:line="276" w:lineRule="auto"/>
        <w:jc w:val="center"/>
        <w:rPr>
          <w:b/>
          <w:bCs/>
          <w:sz w:val="22"/>
          <w:szCs w:val="22"/>
          <w:shd w:val="clear" w:color="auto" w:fill="FFFFFF"/>
        </w:rPr>
      </w:pPr>
      <w:r w:rsidRPr="0089756C">
        <w:rPr>
          <w:b/>
          <w:bCs/>
          <w:sz w:val="22"/>
          <w:szCs w:val="22"/>
          <w:shd w:val="clear" w:color="auto" w:fill="FFFFFF"/>
        </w:rPr>
        <w:t xml:space="preserve">Table 2. </w:t>
      </w:r>
      <w:r>
        <w:rPr>
          <w:b/>
          <w:bCs/>
          <w:sz w:val="22"/>
          <w:szCs w:val="22"/>
          <w:shd w:val="clear" w:color="auto" w:fill="FFFFFF"/>
        </w:rPr>
        <w:t>Associations of mutually adjusted CMR metrics with vascular risk factors and prevalent cardiovascular disease in multivariable logistic regression models with full confounder adjustment</w:t>
      </w:r>
    </w:p>
    <w:tbl>
      <w:tblPr>
        <w:tblW w:w="1275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1378"/>
        <w:gridCol w:w="1378"/>
        <w:gridCol w:w="1378"/>
        <w:gridCol w:w="1378"/>
        <w:gridCol w:w="1378"/>
        <w:gridCol w:w="1378"/>
        <w:gridCol w:w="1378"/>
        <w:gridCol w:w="1378"/>
      </w:tblGrid>
      <w:tr w:rsidR="006B7275" w:rsidRPr="00D24A01" w14:paraId="0B1931BA" w14:textId="77777777" w:rsidTr="00BD5391">
        <w:trPr>
          <w:trHeight w:val="320"/>
          <w:jc w:val="center"/>
        </w:trPr>
        <w:tc>
          <w:tcPr>
            <w:tcW w:w="1728" w:type="dxa"/>
            <w:tcBorders>
              <w:top w:val="single" w:sz="4" w:space="0" w:color="auto"/>
              <w:bottom w:val="single" w:sz="4" w:space="0" w:color="auto"/>
              <w:right w:val="single" w:sz="4" w:space="0" w:color="auto"/>
            </w:tcBorders>
            <w:shd w:val="clear" w:color="auto" w:fill="auto"/>
            <w:vAlign w:val="center"/>
          </w:tcPr>
          <w:p w14:paraId="768DCD75" w14:textId="77777777" w:rsidR="006B7275" w:rsidRPr="00D24A01" w:rsidRDefault="006B7275" w:rsidP="00BD5391">
            <w:pPr>
              <w:jc w:val="center"/>
              <w:rPr>
                <w:b/>
                <w:bCs/>
                <w:color w:val="000000" w:themeColor="text1"/>
                <w:sz w:val="20"/>
                <w:szCs w:val="20"/>
              </w:rPr>
            </w:pPr>
          </w:p>
        </w:tc>
        <w:tc>
          <w:tcPr>
            <w:tcW w:w="5512" w:type="dxa"/>
            <w:gridSpan w:val="4"/>
            <w:tcBorders>
              <w:top w:val="single" w:sz="4" w:space="0" w:color="auto"/>
              <w:left w:val="single" w:sz="4" w:space="0" w:color="auto"/>
              <w:bottom w:val="single" w:sz="4" w:space="0" w:color="auto"/>
              <w:right w:val="single" w:sz="4" w:space="0" w:color="auto"/>
            </w:tcBorders>
            <w:shd w:val="clear" w:color="auto" w:fill="auto"/>
            <w:noWrap/>
          </w:tcPr>
          <w:p w14:paraId="390FEDED" w14:textId="77777777" w:rsidR="006B7275" w:rsidRPr="00D24A01" w:rsidRDefault="006B7275" w:rsidP="00BD5391">
            <w:pPr>
              <w:jc w:val="center"/>
              <w:rPr>
                <w:b/>
                <w:bCs/>
                <w:color w:val="000000" w:themeColor="text1"/>
                <w:sz w:val="20"/>
                <w:szCs w:val="20"/>
              </w:rPr>
            </w:pPr>
            <w:r w:rsidRPr="005754ED">
              <w:rPr>
                <w:b/>
                <w:bCs/>
                <w:color w:val="000000" w:themeColor="text1"/>
                <w:sz w:val="20"/>
                <w:szCs w:val="20"/>
              </w:rPr>
              <w:t>Vascular risk factors</w:t>
            </w:r>
          </w:p>
        </w:tc>
        <w:tc>
          <w:tcPr>
            <w:tcW w:w="5512" w:type="dxa"/>
            <w:gridSpan w:val="4"/>
            <w:tcBorders>
              <w:top w:val="single" w:sz="4" w:space="0" w:color="auto"/>
              <w:left w:val="single" w:sz="4" w:space="0" w:color="auto"/>
              <w:bottom w:val="single" w:sz="4" w:space="0" w:color="auto"/>
            </w:tcBorders>
            <w:shd w:val="clear" w:color="auto" w:fill="auto"/>
          </w:tcPr>
          <w:p w14:paraId="332770A5" w14:textId="77777777" w:rsidR="006B7275" w:rsidRPr="00D24A01" w:rsidRDefault="006B7275" w:rsidP="00BD5391">
            <w:pPr>
              <w:jc w:val="center"/>
              <w:rPr>
                <w:b/>
                <w:bCs/>
                <w:color w:val="000000" w:themeColor="text1"/>
                <w:sz w:val="20"/>
                <w:szCs w:val="20"/>
              </w:rPr>
            </w:pPr>
            <w:r w:rsidRPr="005754ED">
              <w:rPr>
                <w:b/>
                <w:bCs/>
                <w:color w:val="000000" w:themeColor="text1"/>
                <w:sz w:val="20"/>
                <w:szCs w:val="20"/>
              </w:rPr>
              <w:t>Prevalent cardiovascular disease</w:t>
            </w:r>
          </w:p>
        </w:tc>
      </w:tr>
      <w:tr w:rsidR="006B7275" w:rsidRPr="00D24A01" w14:paraId="4745E759" w14:textId="77777777" w:rsidTr="00BD5391">
        <w:trPr>
          <w:trHeight w:val="320"/>
          <w:jc w:val="center"/>
        </w:trPr>
        <w:tc>
          <w:tcPr>
            <w:tcW w:w="1728" w:type="dxa"/>
            <w:tcBorders>
              <w:top w:val="single" w:sz="4" w:space="0" w:color="auto"/>
              <w:bottom w:val="single" w:sz="4" w:space="0" w:color="auto"/>
              <w:right w:val="single" w:sz="4" w:space="0" w:color="auto"/>
            </w:tcBorders>
            <w:shd w:val="clear" w:color="auto" w:fill="auto"/>
            <w:vAlign w:val="center"/>
            <w:hideMark/>
          </w:tcPr>
          <w:p w14:paraId="6095607E" w14:textId="77777777" w:rsidR="006B7275" w:rsidRPr="00D24A01" w:rsidRDefault="006B7275" w:rsidP="00BD5391">
            <w:pPr>
              <w:jc w:val="center"/>
              <w:rPr>
                <w:b/>
                <w:bCs/>
                <w:color w:val="000000" w:themeColor="text1"/>
                <w:sz w:val="20"/>
                <w:szCs w:val="20"/>
              </w:rPr>
            </w:pPr>
            <w:r w:rsidRPr="00D24A01">
              <w:rPr>
                <w:b/>
                <w:bCs/>
                <w:color w:val="000000" w:themeColor="text1"/>
                <w:sz w:val="20"/>
                <w:szCs w:val="20"/>
              </w:rPr>
              <w:t>CMR Metric</w:t>
            </w:r>
          </w:p>
        </w:tc>
        <w:tc>
          <w:tcPr>
            <w:tcW w:w="1378" w:type="dxa"/>
            <w:tcBorders>
              <w:top w:val="single" w:sz="4" w:space="0" w:color="auto"/>
              <w:left w:val="single" w:sz="4" w:space="0" w:color="auto"/>
              <w:bottom w:val="single" w:sz="4" w:space="0" w:color="auto"/>
            </w:tcBorders>
            <w:shd w:val="clear" w:color="auto" w:fill="auto"/>
            <w:noWrap/>
            <w:vAlign w:val="center"/>
            <w:hideMark/>
          </w:tcPr>
          <w:p w14:paraId="5DA3BD41" w14:textId="77777777" w:rsidR="006B7275" w:rsidRPr="00D24A01" w:rsidRDefault="006B7275" w:rsidP="00BD5391">
            <w:pPr>
              <w:jc w:val="center"/>
              <w:rPr>
                <w:b/>
                <w:bCs/>
                <w:color w:val="000000" w:themeColor="text1"/>
                <w:sz w:val="20"/>
                <w:szCs w:val="20"/>
              </w:rPr>
            </w:pPr>
            <w:r w:rsidRPr="00D24A01">
              <w:rPr>
                <w:b/>
                <w:bCs/>
                <w:color w:val="000000" w:themeColor="text1"/>
                <w:sz w:val="20"/>
                <w:szCs w:val="20"/>
              </w:rPr>
              <w:t>Hypertension</w:t>
            </w:r>
          </w:p>
        </w:tc>
        <w:tc>
          <w:tcPr>
            <w:tcW w:w="1378" w:type="dxa"/>
            <w:tcBorders>
              <w:top w:val="single" w:sz="4" w:space="0" w:color="auto"/>
              <w:bottom w:val="single" w:sz="4" w:space="0" w:color="auto"/>
            </w:tcBorders>
            <w:shd w:val="clear" w:color="auto" w:fill="auto"/>
            <w:noWrap/>
            <w:vAlign w:val="center"/>
            <w:hideMark/>
          </w:tcPr>
          <w:p w14:paraId="6DA04DA3" w14:textId="77777777" w:rsidR="006B7275" w:rsidRPr="00D24A01" w:rsidRDefault="006B7275" w:rsidP="00BD5391">
            <w:pPr>
              <w:jc w:val="center"/>
              <w:rPr>
                <w:b/>
                <w:bCs/>
                <w:color w:val="000000" w:themeColor="text1"/>
                <w:sz w:val="20"/>
                <w:szCs w:val="20"/>
              </w:rPr>
            </w:pPr>
            <w:r w:rsidRPr="00D24A01">
              <w:rPr>
                <w:b/>
                <w:bCs/>
                <w:color w:val="000000" w:themeColor="text1"/>
                <w:sz w:val="20"/>
                <w:szCs w:val="20"/>
              </w:rPr>
              <w:t>Diabetes</w:t>
            </w:r>
          </w:p>
        </w:tc>
        <w:tc>
          <w:tcPr>
            <w:tcW w:w="1378" w:type="dxa"/>
            <w:tcBorders>
              <w:top w:val="single" w:sz="4" w:space="0" w:color="auto"/>
              <w:bottom w:val="single" w:sz="4" w:space="0" w:color="auto"/>
            </w:tcBorders>
            <w:shd w:val="clear" w:color="auto" w:fill="auto"/>
            <w:noWrap/>
            <w:vAlign w:val="center"/>
            <w:hideMark/>
          </w:tcPr>
          <w:p w14:paraId="39CF5D0D" w14:textId="77777777" w:rsidR="006B7275" w:rsidRPr="00D24A01" w:rsidRDefault="006B7275" w:rsidP="00BD5391">
            <w:pPr>
              <w:jc w:val="center"/>
              <w:rPr>
                <w:b/>
                <w:bCs/>
                <w:color w:val="000000" w:themeColor="text1"/>
                <w:sz w:val="20"/>
                <w:szCs w:val="20"/>
              </w:rPr>
            </w:pPr>
            <w:r w:rsidRPr="00D24A01">
              <w:rPr>
                <w:b/>
                <w:bCs/>
                <w:color w:val="000000" w:themeColor="text1"/>
                <w:sz w:val="20"/>
                <w:szCs w:val="20"/>
              </w:rPr>
              <w:t>High cholesterol</w:t>
            </w:r>
          </w:p>
        </w:tc>
        <w:tc>
          <w:tcPr>
            <w:tcW w:w="1378" w:type="dxa"/>
            <w:tcBorders>
              <w:top w:val="single" w:sz="4" w:space="0" w:color="auto"/>
              <w:bottom w:val="single" w:sz="4" w:space="0" w:color="auto"/>
              <w:right w:val="single" w:sz="4" w:space="0" w:color="auto"/>
            </w:tcBorders>
            <w:shd w:val="clear" w:color="auto" w:fill="auto"/>
            <w:noWrap/>
            <w:vAlign w:val="center"/>
            <w:hideMark/>
          </w:tcPr>
          <w:p w14:paraId="633198DB" w14:textId="77777777" w:rsidR="006B7275" w:rsidRPr="00D24A01" w:rsidRDefault="006B7275" w:rsidP="00BD5391">
            <w:pPr>
              <w:jc w:val="center"/>
              <w:rPr>
                <w:b/>
                <w:bCs/>
                <w:color w:val="000000" w:themeColor="text1"/>
                <w:sz w:val="20"/>
                <w:szCs w:val="20"/>
              </w:rPr>
            </w:pPr>
            <w:r w:rsidRPr="00D24A01">
              <w:rPr>
                <w:b/>
                <w:bCs/>
                <w:color w:val="000000" w:themeColor="text1"/>
                <w:sz w:val="20"/>
                <w:szCs w:val="20"/>
              </w:rPr>
              <w:t>Smoking (current)</w:t>
            </w:r>
          </w:p>
        </w:tc>
        <w:tc>
          <w:tcPr>
            <w:tcW w:w="1378" w:type="dxa"/>
            <w:tcBorders>
              <w:top w:val="single" w:sz="4" w:space="0" w:color="auto"/>
              <w:left w:val="single" w:sz="4" w:space="0" w:color="auto"/>
              <w:bottom w:val="single" w:sz="4" w:space="0" w:color="auto"/>
            </w:tcBorders>
            <w:shd w:val="clear" w:color="auto" w:fill="auto"/>
            <w:vAlign w:val="center"/>
          </w:tcPr>
          <w:p w14:paraId="00C2014C" w14:textId="77777777" w:rsidR="006B7275" w:rsidRPr="00D24A01" w:rsidRDefault="006B7275" w:rsidP="00BD5391">
            <w:pPr>
              <w:jc w:val="center"/>
              <w:rPr>
                <w:color w:val="000000" w:themeColor="text1"/>
                <w:sz w:val="20"/>
                <w:szCs w:val="20"/>
              </w:rPr>
            </w:pPr>
            <w:r w:rsidRPr="00D24A01">
              <w:rPr>
                <w:b/>
                <w:bCs/>
                <w:color w:val="000000" w:themeColor="text1"/>
                <w:sz w:val="20"/>
                <w:szCs w:val="20"/>
              </w:rPr>
              <w:t>AF</w:t>
            </w:r>
          </w:p>
        </w:tc>
        <w:tc>
          <w:tcPr>
            <w:tcW w:w="1378" w:type="dxa"/>
            <w:tcBorders>
              <w:top w:val="single" w:sz="4" w:space="0" w:color="auto"/>
              <w:bottom w:val="single" w:sz="4" w:space="0" w:color="auto"/>
            </w:tcBorders>
            <w:shd w:val="clear" w:color="auto" w:fill="auto"/>
            <w:vAlign w:val="center"/>
          </w:tcPr>
          <w:p w14:paraId="2DB87E20" w14:textId="77777777" w:rsidR="006B7275" w:rsidRPr="00D24A01" w:rsidRDefault="006B7275" w:rsidP="00BD5391">
            <w:pPr>
              <w:jc w:val="center"/>
              <w:rPr>
                <w:color w:val="000000" w:themeColor="text1"/>
                <w:sz w:val="20"/>
                <w:szCs w:val="20"/>
              </w:rPr>
            </w:pPr>
            <w:r w:rsidRPr="00D24A01">
              <w:rPr>
                <w:b/>
                <w:bCs/>
                <w:color w:val="000000" w:themeColor="text1"/>
                <w:sz w:val="20"/>
                <w:szCs w:val="20"/>
              </w:rPr>
              <w:t>Stroke</w:t>
            </w:r>
          </w:p>
        </w:tc>
        <w:tc>
          <w:tcPr>
            <w:tcW w:w="1378" w:type="dxa"/>
            <w:tcBorders>
              <w:top w:val="single" w:sz="4" w:space="0" w:color="auto"/>
              <w:bottom w:val="single" w:sz="4" w:space="0" w:color="auto"/>
            </w:tcBorders>
            <w:shd w:val="clear" w:color="auto" w:fill="auto"/>
            <w:vAlign w:val="center"/>
          </w:tcPr>
          <w:p w14:paraId="19CB7057" w14:textId="77777777" w:rsidR="006B7275" w:rsidRPr="00D24A01" w:rsidRDefault="006B7275" w:rsidP="00BD5391">
            <w:pPr>
              <w:jc w:val="center"/>
              <w:rPr>
                <w:color w:val="000000" w:themeColor="text1"/>
                <w:sz w:val="20"/>
                <w:szCs w:val="20"/>
              </w:rPr>
            </w:pPr>
            <w:r w:rsidRPr="00D24A01">
              <w:rPr>
                <w:b/>
                <w:bCs/>
                <w:color w:val="000000" w:themeColor="text1"/>
                <w:sz w:val="20"/>
                <w:szCs w:val="20"/>
              </w:rPr>
              <w:t>IHD</w:t>
            </w:r>
          </w:p>
        </w:tc>
        <w:tc>
          <w:tcPr>
            <w:tcW w:w="1378" w:type="dxa"/>
            <w:tcBorders>
              <w:top w:val="single" w:sz="4" w:space="0" w:color="auto"/>
              <w:bottom w:val="single" w:sz="4" w:space="0" w:color="auto"/>
            </w:tcBorders>
            <w:shd w:val="clear" w:color="auto" w:fill="auto"/>
            <w:vAlign w:val="center"/>
          </w:tcPr>
          <w:p w14:paraId="2CA16900" w14:textId="77777777" w:rsidR="006B7275" w:rsidRPr="00D24A01" w:rsidRDefault="006B7275" w:rsidP="00BD5391">
            <w:pPr>
              <w:jc w:val="center"/>
              <w:rPr>
                <w:color w:val="000000" w:themeColor="text1"/>
                <w:sz w:val="20"/>
                <w:szCs w:val="20"/>
              </w:rPr>
            </w:pPr>
            <w:r w:rsidRPr="00D24A01">
              <w:rPr>
                <w:b/>
                <w:bCs/>
                <w:color w:val="000000" w:themeColor="text1"/>
                <w:sz w:val="20"/>
                <w:szCs w:val="20"/>
              </w:rPr>
              <w:t>MI</w:t>
            </w:r>
          </w:p>
        </w:tc>
      </w:tr>
      <w:tr w:rsidR="006B7275" w:rsidRPr="00D24A01" w14:paraId="4EF5F0A8" w14:textId="77777777" w:rsidTr="00BD5391">
        <w:trPr>
          <w:trHeight w:val="300"/>
          <w:jc w:val="center"/>
        </w:trPr>
        <w:tc>
          <w:tcPr>
            <w:tcW w:w="1728" w:type="dxa"/>
            <w:tcBorders>
              <w:top w:val="single" w:sz="4" w:space="0" w:color="auto"/>
              <w:right w:val="single" w:sz="4" w:space="0" w:color="auto"/>
            </w:tcBorders>
            <w:shd w:val="clear" w:color="auto" w:fill="auto"/>
            <w:noWrap/>
            <w:vAlign w:val="center"/>
            <w:hideMark/>
          </w:tcPr>
          <w:p w14:paraId="5FC92852" w14:textId="77777777" w:rsidR="006B7275" w:rsidRPr="00D24A01" w:rsidRDefault="006B7275" w:rsidP="00BD5391">
            <w:pPr>
              <w:jc w:val="center"/>
              <w:rPr>
                <w:color w:val="000000" w:themeColor="text1"/>
                <w:sz w:val="20"/>
                <w:szCs w:val="20"/>
              </w:rPr>
            </w:pPr>
            <w:r w:rsidRPr="00D24A01">
              <w:rPr>
                <w:color w:val="000000" w:themeColor="text1"/>
                <w:sz w:val="20"/>
                <w:szCs w:val="20"/>
              </w:rPr>
              <w:t>LAVi (ml/m</w:t>
            </w:r>
            <w:r w:rsidRPr="00D24A01">
              <w:rPr>
                <w:color w:val="000000" w:themeColor="text1"/>
                <w:sz w:val="20"/>
                <w:szCs w:val="20"/>
                <w:vertAlign w:val="superscript"/>
              </w:rPr>
              <w:t>2</w:t>
            </w:r>
            <w:r w:rsidRPr="00D24A01">
              <w:rPr>
                <w:color w:val="000000" w:themeColor="text1"/>
                <w:sz w:val="20"/>
                <w:szCs w:val="20"/>
              </w:rPr>
              <w:t>)</w:t>
            </w:r>
          </w:p>
        </w:tc>
        <w:tc>
          <w:tcPr>
            <w:tcW w:w="1378" w:type="dxa"/>
            <w:tcBorders>
              <w:top w:val="single" w:sz="4" w:space="0" w:color="auto"/>
              <w:left w:val="single" w:sz="4" w:space="0" w:color="auto"/>
            </w:tcBorders>
            <w:shd w:val="clear" w:color="auto" w:fill="auto"/>
            <w:noWrap/>
            <w:vAlign w:val="center"/>
            <w:hideMark/>
          </w:tcPr>
          <w:p w14:paraId="431CB1FF" w14:textId="77777777" w:rsidR="006B7275" w:rsidRPr="00D24A01" w:rsidRDefault="006B7275" w:rsidP="00BD5391">
            <w:pPr>
              <w:jc w:val="center"/>
              <w:rPr>
                <w:color w:val="000000" w:themeColor="text1"/>
                <w:sz w:val="20"/>
                <w:szCs w:val="20"/>
              </w:rPr>
            </w:pPr>
            <w:r w:rsidRPr="00D24A01">
              <w:rPr>
                <w:color w:val="000000" w:themeColor="text1"/>
                <w:sz w:val="20"/>
                <w:szCs w:val="20"/>
              </w:rPr>
              <w:t>1.24*</w:t>
            </w:r>
          </w:p>
        </w:tc>
        <w:tc>
          <w:tcPr>
            <w:tcW w:w="1378" w:type="dxa"/>
            <w:tcBorders>
              <w:top w:val="single" w:sz="4" w:space="0" w:color="auto"/>
            </w:tcBorders>
            <w:shd w:val="clear" w:color="auto" w:fill="auto"/>
            <w:noWrap/>
            <w:vAlign w:val="center"/>
            <w:hideMark/>
          </w:tcPr>
          <w:p w14:paraId="3EE5662B" w14:textId="77777777" w:rsidR="006B7275" w:rsidRPr="00D24A01" w:rsidRDefault="006B7275" w:rsidP="00BD5391">
            <w:pPr>
              <w:jc w:val="center"/>
              <w:rPr>
                <w:color w:val="000000" w:themeColor="text1"/>
                <w:sz w:val="20"/>
                <w:szCs w:val="20"/>
              </w:rPr>
            </w:pPr>
            <w:r w:rsidRPr="00D24A01">
              <w:rPr>
                <w:color w:val="000000" w:themeColor="text1"/>
                <w:sz w:val="20"/>
                <w:szCs w:val="20"/>
              </w:rPr>
              <w:t>0.87*</w:t>
            </w:r>
          </w:p>
        </w:tc>
        <w:tc>
          <w:tcPr>
            <w:tcW w:w="1378" w:type="dxa"/>
            <w:tcBorders>
              <w:top w:val="single" w:sz="4" w:space="0" w:color="auto"/>
            </w:tcBorders>
            <w:shd w:val="clear" w:color="auto" w:fill="auto"/>
            <w:noWrap/>
            <w:vAlign w:val="center"/>
            <w:hideMark/>
          </w:tcPr>
          <w:p w14:paraId="018D53FF" w14:textId="77777777" w:rsidR="006B7275" w:rsidRPr="00D24A01" w:rsidRDefault="006B7275" w:rsidP="00BD5391">
            <w:pPr>
              <w:jc w:val="center"/>
              <w:rPr>
                <w:color w:val="000000" w:themeColor="text1"/>
                <w:sz w:val="20"/>
                <w:szCs w:val="20"/>
              </w:rPr>
            </w:pPr>
            <w:r w:rsidRPr="00D24A01">
              <w:rPr>
                <w:color w:val="000000" w:themeColor="text1"/>
                <w:sz w:val="20"/>
                <w:szCs w:val="20"/>
              </w:rPr>
              <w:t>0.96*</w:t>
            </w:r>
          </w:p>
        </w:tc>
        <w:tc>
          <w:tcPr>
            <w:tcW w:w="1378" w:type="dxa"/>
            <w:tcBorders>
              <w:top w:val="single" w:sz="4" w:space="0" w:color="auto"/>
              <w:right w:val="single" w:sz="4" w:space="0" w:color="auto"/>
            </w:tcBorders>
            <w:shd w:val="clear" w:color="auto" w:fill="auto"/>
            <w:noWrap/>
            <w:vAlign w:val="center"/>
            <w:hideMark/>
          </w:tcPr>
          <w:p w14:paraId="25DBFEFB" w14:textId="77777777" w:rsidR="006B7275" w:rsidRPr="00D24A01" w:rsidRDefault="006B7275" w:rsidP="00BD5391">
            <w:pPr>
              <w:jc w:val="center"/>
              <w:rPr>
                <w:color w:val="000000" w:themeColor="text1"/>
                <w:sz w:val="20"/>
                <w:szCs w:val="20"/>
              </w:rPr>
            </w:pPr>
            <w:r w:rsidRPr="00D24A01">
              <w:rPr>
                <w:color w:val="000000" w:themeColor="text1"/>
                <w:sz w:val="20"/>
                <w:szCs w:val="20"/>
              </w:rPr>
              <w:t>0.88*</w:t>
            </w:r>
          </w:p>
        </w:tc>
        <w:tc>
          <w:tcPr>
            <w:tcW w:w="1378" w:type="dxa"/>
            <w:tcBorders>
              <w:top w:val="single" w:sz="4" w:space="0" w:color="auto"/>
              <w:left w:val="single" w:sz="4" w:space="0" w:color="auto"/>
            </w:tcBorders>
            <w:shd w:val="clear" w:color="auto" w:fill="auto"/>
            <w:vAlign w:val="center"/>
          </w:tcPr>
          <w:p w14:paraId="03D1B682" w14:textId="77777777" w:rsidR="006B7275" w:rsidRPr="00D24A01" w:rsidRDefault="006B7275" w:rsidP="00BD5391">
            <w:pPr>
              <w:jc w:val="center"/>
              <w:rPr>
                <w:color w:val="000000" w:themeColor="text1"/>
                <w:sz w:val="20"/>
                <w:szCs w:val="20"/>
              </w:rPr>
            </w:pPr>
            <w:r w:rsidRPr="00D24A01">
              <w:rPr>
                <w:color w:val="000000" w:themeColor="text1"/>
                <w:sz w:val="20"/>
                <w:szCs w:val="20"/>
              </w:rPr>
              <w:t>1.30*</w:t>
            </w:r>
          </w:p>
        </w:tc>
        <w:tc>
          <w:tcPr>
            <w:tcW w:w="1378" w:type="dxa"/>
            <w:tcBorders>
              <w:top w:val="single" w:sz="4" w:space="0" w:color="auto"/>
            </w:tcBorders>
            <w:shd w:val="clear" w:color="auto" w:fill="auto"/>
            <w:vAlign w:val="center"/>
          </w:tcPr>
          <w:p w14:paraId="1F53579B" w14:textId="77777777" w:rsidR="006B7275" w:rsidRPr="00D24A01" w:rsidRDefault="006B7275" w:rsidP="00BD5391">
            <w:pPr>
              <w:jc w:val="center"/>
              <w:rPr>
                <w:color w:val="000000" w:themeColor="text1"/>
                <w:sz w:val="20"/>
                <w:szCs w:val="20"/>
              </w:rPr>
            </w:pPr>
            <w:r w:rsidRPr="00D24A01">
              <w:rPr>
                <w:color w:val="000000" w:themeColor="text1"/>
                <w:sz w:val="20"/>
                <w:szCs w:val="20"/>
              </w:rPr>
              <w:t>0.96</w:t>
            </w:r>
          </w:p>
        </w:tc>
        <w:tc>
          <w:tcPr>
            <w:tcW w:w="1378" w:type="dxa"/>
            <w:tcBorders>
              <w:top w:val="single" w:sz="4" w:space="0" w:color="auto"/>
            </w:tcBorders>
            <w:shd w:val="clear" w:color="auto" w:fill="auto"/>
            <w:vAlign w:val="center"/>
          </w:tcPr>
          <w:p w14:paraId="5B54A43F" w14:textId="77777777" w:rsidR="006B7275" w:rsidRPr="00D24A01" w:rsidRDefault="006B7275" w:rsidP="00BD5391">
            <w:pPr>
              <w:jc w:val="center"/>
              <w:rPr>
                <w:color w:val="000000" w:themeColor="text1"/>
                <w:sz w:val="20"/>
                <w:szCs w:val="20"/>
              </w:rPr>
            </w:pPr>
            <w:r w:rsidRPr="00D24A01">
              <w:rPr>
                <w:color w:val="000000" w:themeColor="text1"/>
                <w:sz w:val="20"/>
                <w:szCs w:val="20"/>
              </w:rPr>
              <w:t>1.14*</w:t>
            </w:r>
          </w:p>
        </w:tc>
        <w:tc>
          <w:tcPr>
            <w:tcW w:w="1378" w:type="dxa"/>
            <w:tcBorders>
              <w:top w:val="single" w:sz="4" w:space="0" w:color="auto"/>
            </w:tcBorders>
            <w:shd w:val="clear" w:color="auto" w:fill="auto"/>
            <w:vAlign w:val="center"/>
          </w:tcPr>
          <w:p w14:paraId="592DD94B" w14:textId="77777777" w:rsidR="006B7275" w:rsidRPr="00D24A01" w:rsidRDefault="006B7275" w:rsidP="00BD5391">
            <w:pPr>
              <w:jc w:val="center"/>
              <w:rPr>
                <w:color w:val="000000" w:themeColor="text1"/>
                <w:sz w:val="20"/>
                <w:szCs w:val="20"/>
              </w:rPr>
            </w:pPr>
            <w:r w:rsidRPr="00D24A01">
              <w:rPr>
                <w:color w:val="000000" w:themeColor="text1"/>
                <w:sz w:val="20"/>
                <w:szCs w:val="20"/>
              </w:rPr>
              <w:t>1.09</w:t>
            </w:r>
          </w:p>
        </w:tc>
      </w:tr>
      <w:tr w:rsidR="006B7275" w:rsidRPr="00D24A01" w14:paraId="6CE6373B" w14:textId="77777777" w:rsidTr="00BD5391">
        <w:trPr>
          <w:trHeight w:val="300"/>
          <w:jc w:val="center"/>
        </w:trPr>
        <w:tc>
          <w:tcPr>
            <w:tcW w:w="1728" w:type="dxa"/>
            <w:tcBorders>
              <w:right w:val="single" w:sz="4" w:space="0" w:color="auto"/>
            </w:tcBorders>
            <w:shd w:val="clear" w:color="auto" w:fill="auto"/>
            <w:noWrap/>
            <w:vAlign w:val="center"/>
            <w:hideMark/>
          </w:tcPr>
          <w:p w14:paraId="4C1E31C6" w14:textId="77777777" w:rsidR="006B7275" w:rsidRPr="00D24A01" w:rsidRDefault="006B7275" w:rsidP="00BD5391">
            <w:pPr>
              <w:jc w:val="center"/>
              <w:rPr>
                <w:color w:val="000000" w:themeColor="text1"/>
                <w:sz w:val="20"/>
                <w:szCs w:val="20"/>
              </w:rPr>
            </w:pPr>
          </w:p>
        </w:tc>
        <w:tc>
          <w:tcPr>
            <w:tcW w:w="1378" w:type="dxa"/>
            <w:tcBorders>
              <w:left w:val="single" w:sz="4" w:space="0" w:color="auto"/>
            </w:tcBorders>
            <w:shd w:val="clear" w:color="auto" w:fill="auto"/>
            <w:noWrap/>
            <w:vAlign w:val="center"/>
            <w:hideMark/>
          </w:tcPr>
          <w:p w14:paraId="3D68637A" w14:textId="77777777" w:rsidR="006B7275" w:rsidRPr="00D24A01" w:rsidRDefault="006B7275" w:rsidP="00BD5391">
            <w:pPr>
              <w:jc w:val="center"/>
              <w:rPr>
                <w:color w:val="000000" w:themeColor="text1"/>
                <w:sz w:val="20"/>
                <w:szCs w:val="20"/>
              </w:rPr>
            </w:pPr>
            <w:r w:rsidRPr="00D24A01">
              <w:rPr>
                <w:color w:val="000000" w:themeColor="text1"/>
                <w:sz w:val="20"/>
                <w:szCs w:val="20"/>
              </w:rPr>
              <w:t>[1.21, 1.28]</w:t>
            </w:r>
          </w:p>
        </w:tc>
        <w:tc>
          <w:tcPr>
            <w:tcW w:w="1378" w:type="dxa"/>
            <w:shd w:val="clear" w:color="auto" w:fill="auto"/>
            <w:noWrap/>
            <w:vAlign w:val="center"/>
            <w:hideMark/>
          </w:tcPr>
          <w:p w14:paraId="68BD2465" w14:textId="77777777" w:rsidR="006B7275" w:rsidRPr="00D24A01" w:rsidRDefault="006B7275" w:rsidP="00BD5391">
            <w:pPr>
              <w:jc w:val="center"/>
              <w:rPr>
                <w:color w:val="000000" w:themeColor="text1"/>
                <w:sz w:val="20"/>
                <w:szCs w:val="20"/>
              </w:rPr>
            </w:pPr>
            <w:r w:rsidRPr="00D24A01">
              <w:rPr>
                <w:color w:val="000000" w:themeColor="text1"/>
                <w:sz w:val="20"/>
                <w:szCs w:val="20"/>
              </w:rPr>
              <w:t>[0.83, 0.92]</w:t>
            </w:r>
          </w:p>
        </w:tc>
        <w:tc>
          <w:tcPr>
            <w:tcW w:w="1378" w:type="dxa"/>
            <w:shd w:val="clear" w:color="auto" w:fill="auto"/>
            <w:noWrap/>
            <w:vAlign w:val="center"/>
            <w:hideMark/>
          </w:tcPr>
          <w:p w14:paraId="3B2A382B" w14:textId="77777777" w:rsidR="006B7275" w:rsidRPr="00D24A01" w:rsidRDefault="006B7275" w:rsidP="00BD5391">
            <w:pPr>
              <w:jc w:val="center"/>
              <w:rPr>
                <w:color w:val="000000" w:themeColor="text1"/>
                <w:sz w:val="20"/>
                <w:szCs w:val="20"/>
              </w:rPr>
            </w:pPr>
            <w:r w:rsidRPr="00D24A01">
              <w:rPr>
                <w:color w:val="000000" w:themeColor="text1"/>
                <w:sz w:val="20"/>
                <w:szCs w:val="20"/>
              </w:rPr>
              <w:t>[0.94, 0.99]</w:t>
            </w:r>
          </w:p>
        </w:tc>
        <w:tc>
          <w:tcPr>
            <w:tcW w:w="1378" w:type="dxa"/>
            <w:tcBorders>
              <w:right w:val="single" w:sz="4" w:space="0" w:color="auto"/>
            </w:tcBorders>
            <w:shd w:val="clear" w:color="auto" w:fill="auto"/>
            <w:noWrap/>
            <w:vAlign w:val="center"/>
            <w:hideMark/>
          </w:tcPr>
          <w:p w14:paraId="5DB99EAA" w14:textId="77777777" w:rsidR="006B7275" w:rsidRPr="00D24A01" w:rsidRDefault="006B7275" w:rsidP="00BD5391">
            <w:pPr>
              <w:jc w:val="center"/>
              <w:rPr>
                <w:color w:val="000000" w:themeColor="text1"/>
                <w:sz w:val="20"/>
                <w:szCs w:val="20"/>
              </w:rPr>
            </w:pPr>
            <w:r w:rsidRPr="00D24A01">
              <w:rPr>
                <w:color w:val="000000" w:themeColor="text1"/>
                <w:sz w:val="20"/>
                <w:szCs w:val="20"/>
              </w:rPr>
              <w:t>[0.83, 0.94]</w:t>
            </w:r>
          </w:p>
        </w:tc>
        <w:tc>
          <w:tcPr>
            <w:tcW w:w="1378" w:type="dxa"/>
            <w:tcBorders>
              <w:left w:val="single" w:sz="4" w:space="0" w:color="auto"/>
            </w:tcBorders>
            <w:shd w:val="clear" w:color="auto" w:fill="auto"/>
            <w:vAlign w:val="center"/>
          </w:tcPr>
          <w:p w14:paraId="3508BFD1" w14:textId="77777777" w:rsidR="006B7275" w:rsidRPr="00D24A01" w:rsidRDefault="006B7275" w:rsidP="00BD5391">
            <w:pPr>
              <w:jc w:val="center"/>
              <w:rPr>
                <w:color w:val="000000" w:themeColor="text1"/>
                <w:sz w:val="20"/>
                <w:szCs w:val="20"/>
              </w:rPr>
            </w:pPr>
            <w:r w:rsidRPr="00D24A01">
              <w:rPr>
                <w:color w:val="000000" w:themeColor="text1"/>
                <w:sz w:val="20"/>
                <w:szCs w:val="20"/>
              </w:rPr>
              <w:t>[1.18, 1.44]</w:t>
            </w:r>
          </w:p>
        </w:tc>
        <w:tc>
          <w:tcPr>
            <w:tcW w:w="1378" w:type="dxa"/>
            <w:shd w:val="clear" w:color="auto" w:fill="auto"/>
            <w:vAlign w:val="center"/>
          </w:tcPr>
          <w:p w14:paraId="2BB38985" w14:textId="77777777" w:rsidR="006B7275" w:rsidRPr="00D24A01" w:rsidRDefault="006B7275" w:rsidP="00BD5391">
            <w:pPr>
              <w:jc w:val="center"/>
              <w:rPr>
                <w:color w:val="000000" w:themeColor="text1"/>
                <w:sz w:val="20"/>
                <w:szCs w:val="20"/>
              </w:rPr>
            </w:pPr>
            <w:r w:rsidRPr="00D24A01">
              <w:rPr>
                <w:color w:val="000000" w:themeColor="text1"/>
                <w:sz w:val="20"/>
                <w:szCs w:val="20"/>
              </w:rPr>
              <w:t>[0.88, 1.05]</w:t>
            </w:r>
          </w:p>
        </w:tc>
        <w:tc>
          <w:tcPr>
            <w:tcW w:w="1378" w:type="dxa"/>
            <w:shd w:val="clear" w:color="auto" w:fill="auto"/>
            <w:vAlign w:val="center"/>
          </w:tcPr>
          <w:p w14:paraId="21AF8FEE" w14:textId="77777777" w:rsidR="006B7275" w:rsidRPr="00D24A01" w:rsidRDefault="006B7275" w:rsidP="00BD5391">
            <w:pPr>
              <w:jc w:val="center"/>
              <w:rPr>
                <w:color w:val="000000" w:themeColor="text1"/>
                <w:sz w:val="20"/>
                <w:szCs w:val="20"/>
              </w:rPr>
            </w:pPr>
            <w:r w:rsidRPr="00D24A01">
              <w:rPr>
                <w:color w:val="000000" w:themeColor="text1"/>
                <w:sz w:val="20"/>
                <w:szCs w:val="20"/>
              </w:rPr>
              <w:t>[1.08, 1.20]</w:t>
            </w:r>
          </w:p>
        </w:tc>
        <w:tc>
          <w:tcPr>
            <w:tcW w:w="1378" w:type="dxa"/>
            <w:shd w:val="clear" w:color="auto" w:fill="auto"/>
            <w:vAlign w:val="center"/>
          </w:tcPr>
          <w:p w14:paraId="6731646A" w14:textId="77777777" w:rsidR="006B7275" w:rsidRPr="00D24A01" w:rsidRDefault="006B7275" w:rsidP="00BD5391">
            <w:pPr>
              <w:jc w:val="center"/>
              <w:rPr>
                <w:color w:val="000000" w:themeColor="text1"/>
                <w:sz w:val="20"/>
                <w:szCs w:val="20"/>
              </w:rPr>
            </w:pPr>
            <w:r w:rsidRPr="00D24A01">
              <w:rPr>
                <w:color w:val="000000" w:themeColor="text1"/>
                <w:sz w:val="20"/>
                <w:szCs w:val="20"/>
              </w:rPr>
              <w:t>[1.01, 1.18]</w:t>
            </w:r>
          </w:p>
        </w:tc>
      </w:tr>
      <w:tr w:rsidR="006B7275" w:rsidRPr="00D24A01" w14:paraId="4DD2D253" w14:textId="77777777" w:rsidTr="00BD5391">
        <w:trPr>
          <w:trHeight w:val="300"/>
          <w:jc w:val="center"/>
        </w:trPr>
        <w:tc>
          <w:tcPr>
            <w:tcW w:w="1728" w:type="dxa"/>
            <w:tcBorders>
              <w:bottom w:val="single" w:sz="4" w:space="0" w:color="auto"/>
              <w:right w:val="single" w:sz="4" w:space="0" w:color="auto"/>
            </w:tcBorders>
            <w:shd w:val="clear" w:color="auto" w:fill="auto"/>
            <w:noWrap/>
            <w:vAlign w:val="center"/>
            <w:hideMark/>
          </w:tcPr>
          <w:p w14:paraId="56E1D4E2" w14:textId="77777777" w:rsidR="006B7275" w:rsidRPr="00D24A01" w:rsidRDefault="006B7275" w:rsidP="00BD5391">
            <w:pPr>
              <w:jc w:val="center"/>
              <w:rPr>
                <w:color w:val="000000" w:themeColor="text1"/>
                <w:sz w:val="20"/>
                <w:szCs w:val="20"/>
              </w:rPr>
            </w:pPr>
          </w:p>
        </w:tc>
        <w:tc>
          <w:tcPr>
            <w:tcW w:w="1378" w:type="dxa"/>
            <w:tcBorders>
              <w:left w:val="single" w:sz="4" w:space="0" w:color="auto"/>
              <w:bottom w:val="single" w:sz="4" w:space="0" w:color="auto"/>
            </w:tcBorders>
            <w:shd w:val="clear" w:color="auto" w:fill="auto"/>
            <w:noWrap/>
            <w:vAlign w:val="center"/>
            <w:hideMark/>
          </w:tcPr>
          <w:p w14:paraId="30B0C515" w14:textId="77777777" w:rsidR="006B7275" w:rsidRPr="00D24A01" w:rsidRDefault="006B7275" w:rsidP="00BD5391">
            <w:pPr>
              <w:jc w:val="center"/>
              <w:rPr>
                <w:color w:val="000000" w:themeColor="text1"/>
                <w:sz w:val="20"/>
                <w:szCs w:val="20"/>
              </w:rPr>
            </w:pPr>
            <w:r w:rsidRPr="00D24A01">
              <w:rPr>
                <w:color w:val="000000" w:themeColor="text1"/>
                <w:sz w:val="20"/>
                <w:szCs w:val="20"/>
              </w:rPr>
              <w:t>7.59</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46</w:t>
            </w:r>
          </w:p>
        </w:tc>
        <w:tc>
          <w:tcPr>
            <w:tcW w:w="1378" w:type="dxa"/>
            <w:tcBorders>
              <w:bottom w:val="single" w:sz="4" w:space="0" w:color="auto"/>
            </w:tcBorders>
            <w:shd w:val="clear" w:color="auto" w:fill="auto"/>
            <w:noWrap/>
            <w:vAlign w:val="center"/>
            <w:hideMark/>
          </w:tcPr>
          <w:p w14:paraId="08858E73" w14:textId="77777777" w:rsidR="006B7275" w:rsidRPr="00D24A01" w:rsidRDefault="006B7275" w:rsidP="00BD5391">
            <w:pPr>
              <w:jc w:val="center"/>
              <w:rPr>
                <w:color w:val="000000" w:themeColor="text1"/>
                <w:sz w:val="20"/>
                <w:szCs w:val="20"/>
              </w:rPr>
            </w:pPr>
            <w:r w:rsidRPr="00D24A01">
              <w:rPr>
                <w:color w:val="000000" w:themeColor="text1"/>
                <w:sz w:val="20"/>
                <w:szCs w:val="20"/>
              </w:rPr>
              <w:t>1.31</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6</w:t>
            </w:r>
          </w:p>
        </w:tc>
        <w:tc>
          <w:tcPr>
            <w:tcW w:w="1378" w:type="dxa"/>
            <w:tcBorders>
              <w:bottom w:val="single" w:sz="4" w:space="0" w:color="auto"/>
            </w:tcBorders>
            <w:shd w:val="clear" w:color="auto" w:fill="auto"/>
            <w:noWrap/>
            <w:vAlign w:val="center"/>
            <w:hideMark/>
          </w:tcPr>
          <w:p w14:paraId="06B680C3" w14:textId="77777777" w:rsidR="006B7275" w:rsidRPr="00D24A01" w:rsidRDefault="006B7275" w:rsidP="00BD5391">
            <w:pPr>
              <w:jc w:val="center"/>
              <w:rPr>
                <w:color w:val="000000" w:themeColor="text1"/>
                <w:sz w:val="20"/>
                <w:szCs w:val="20"/>
              </w:rPr>
            </w:pPr>
            <w:r w:rsidRPr="00D24A01">
              <w:rPr>
                <w:color w:val="000000" w:themeColor="text1"/>
                <w:sz w:val="20"/>
                <w:szCs w:val="20"/>
              </w:rPr>
              <w:t>0.0129</w:t>
            </w:r>
          </w:p>
        </w:tc>
        <w:tc>
          <w:tcPr>
            <w:tcW w:w="1378" w:type="dxa"/>
            <w:tcBorders>
              <w:bottom w:val="single" w:sz="4" w:space="0" w:color="auto"/>
              <w:right w:val="single" w:sz="4" w:space="0" w:color="auto"/>
            </w:tcBorders>
            <w:shd w:val="clear" w:color="auto" w:fill="auto"/>
            <w:noWrap/>
            <w:vAlign w:val="center"/>
            <w:hideMark/>
          </w:tcPr>
          <w:p w14:paraId="2276680C" w14:textId="77777777" w:rsidR="006B7275" w:rsidRPr="00D24A01" w:rsidRDefault="006B7275" w:rsidP="00BD5391">
            <w:pPr>
              <w:jc w:val="center"/>
              <w:rPr>
                <w:color w:val="000000" w:themeColor="text1"/>
                <w:sz w:val="20"/>
                <w:szCs w:val="20"/>
              </w:rPr>
            </w:pPr>
            <w:r w:rsidRPr="00D24A01">
              <w:rPr>
                <w:color w:val="000000" w:themeColor="text1"/>
                <w:sz w:val="20"/>
                <w:szCs w:val="20"/>
              </w:rPr>
              <w:t>1.65</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4</w:t>
            </w:r>
          </w:p>
        </w:tc>
        <w:tc>
          <w:tcPr>
            <w:tcW w:w="1378" w:type="dxa"/>
            <w:tcBorders>
              <w:left w:val="single" w:sz="4" w:space="0" w:color="auto"/>
              <w:bottom w:val="single" w:sz="4" w:space="0" w:color="auto"/>
            </w:tcBorders>
            <w:shd w:val="clear" w:color="auto" w:fill="auto"/>
            <w:vAlign w:val="center"/>
          </w:tcPr>
          <w:p w14:paraId="33825878" w14:textId="77777777" w:rsidR="006B7275" w:rsidRPr="00D24A01" w:rsidRDefault="006B7275" w:rsidP="00BD5391">
            <w:pPr>
              <w:jc w:val="center"/>
              <w:rPr>
                <w:color w:val="000000" w:themeColor="text1"/>
                <w:sz w:val="20"/>
                <w:szCs w:val="20"/>
              </w:rPr>
            </w:pPr>
            <w:r w:rsidRPr="00D24A01">
              <w:rPr>
                <w:color w:val="000000" w:themeColor="text1"/>
                <w:sz w:val="20"/>
                <w:szCs w:val="20"/>
              </w:rPr>
              <w:t>4.15</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7</w:t>
            </w:r>
          </w:p>
        </w:tc>
        <w:tc>
          <w:tcPr>
            <w:tcW w:w="1378" w:type="dxa"/>
            <w:tcBorders>
              <w:bottom w:val="single" w:sz="4" w:space="0" w:color="auto"/>
            </w:tcBorders>
            <w:shd w:val="clear" w:color="auto" w:fill="auto"/>
            <w:vAlign w:val="center"/>
          </w:tcPr>
          <w:p w14:paraId="2A88D1B5" w14:textId="77777777" w:rsidR="006B7275" w:rsidRPr="00D24A01" w:rsidRDefault="006B7275" w:rsidP="00BD5391">
            <w:pPr>
              <w:jc w:val="center"/>
              <w:rPr>
                <w:color w:val="000000" w:themeColor="text1"/>
                <w:sz w:val="20"/>
                <w:szCs w:val="20"/>
              </w:rPr>
            </w:pPr>
            <w:r w:rsidRPr="00D24A01">
              <w:rPr>
                <w:color w:val="000000" w:themeColor="text1"/>
                <w:sz w:val="20"/>
                <w:szCs w:val="20"/>
              </w:rPr>
              <w:t>0.3661</w:t>
            </w:r>
          </w:p>
        </w:tc>
        <w:tc>
          <w:tcPr>
            <w:tcW w:w="1378" w:type="dxa"/>
            <w:tcBorders>
              <w:bottom w:val="single" w:sz="4" w:space="0" w:color="auto"/>
            </w:tcBorders>
            <w:shd w:val="clear" w:color="auto" w:fill="auto"/>
            <w:vAlign w:val="center"/>
          </w:tcPr>
          <w:p w14:paraId="5DE1C59F" w14:textId="77777777" w:rsidR="006B7275" w:rsidRPr="00D24A01" w:rsidRDefault="006B7275" w:rsidP="00BD5391">
            <w:pPr>
              <w:jc w:val="center"/>
              <w:rPr>
                <w:color w:val="000000" w:themeColor="text1"/>
                <w:sz w:val="20"/>
                <w:szCs w:val="20"/>
              </w:rPr>
            </w:pPr>
            <w:r w:rsidRPr="00D24A01">
              <w:rPr>
                <w:color w:val="000000" w:themeColor="text1"/>
                <w:sz w:val="20"/>
                <w:szCs w:val="20"/>
              </w:rPr>
              <w:t>2.73</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6</w:t>
            </w:r>
          </w:p>
        </w:tc>
        <w:tc>
          <w:tcPr>
            <w:tcW w:w="1378" w:type="dxa"/>
            <w:tcBorders>
              <w:bottom w:val="single" w:sz="4" w:space="0" w:color="auto"/>
            </w:tcBorders>
            <w:shd w:val="clear" w:color="auto" w:fill="auto"/>
            <w:vAlign w:val="center"/>
          </w:tcPr>
          <w:p w14:paraId="39675FCB" w14:textId="77777777" w:rsidR="006B7275" w:rsidRPr="00D24A01" w:rsidRDefault="006B7275" w:rsidP="00BD5391">
            <w:pPr>
              <w:jc w:val="center"/>
              <w:rPr>
                <w:color w:val="000000" w:themeColor="text1"/>
                <w:sz w:val="20"/>
                <w:szCs w:val="20"/>
              </w:rPr>
            </w:pPr>
            <w:r w:rsidRPr="00D24A01">
              <w:rPr>
                <w:color w:val="000000" w:themeColor="text1"/>
                <w:sz w:val="20"/>
                <w:szCs w:val="20"/>
              </w:rPr>
              <w:t>0.0377</w:t>
            </w:r>
          </w:p>
        </w:tc>
      </w:tr>
      <w:tr w:rsidR="006B7275" w:rsidRPr="00D24A01" w14:paraId="17A12529" w14:textId="77777777" w:rsidTr="00BD5391">
        <w:trPr>
          <w:trHeight w:val="300"/>
          <w:jc w:val="center"/>
        </w:trPr>
        <w:tc>
          <w:tcPr>
            <w:tcW w:w="1728" w:type="dxa"/>
            <w:tcBorders>
              <w:top w:val="single" w:sz="4" w:space="0" w:color="auto"/>
              <w:bottom w:val="nil"/>
              <w:right w:val="single" w:sz="4" w:space="0" w:color="auto"/>
            </w:tcBorders>
            <w:shd w:val="clear" w:color="auto" w:fill="F2F2F2" w:themeFill="background1" w:themeFillShade="F2"/>
            <w:noWrap/>
            <w:vAlign w:val="center"/>
            <w:hideMark/>
          </w:tcPr>
          <w:p w14:paraId="2BDBA35A" w14:textId="77777777" w:rsidR="006B7275" w:rsidRPr="00D24A01" w:rsidRDefault="006B7275" w:rsidP="00BD5391">
            <w:pPr>
              <w:jc w:val="center"/>
              <w:rPr>
                <w:color w:val="000000" w:themeColor="text1"/>
                <w:sz w:val="20"/>
                <w:szCs w:val="20"/>
              </w:rPr>
            </w:pPr>
            <w:r w:rsidRPr="00D24A01">
              <w:rPr>
                <w:color w:val="000000" w:themeColor="text1"/>
                <w:sz w:val="20"/>
                <w:szCs w:val="20"/>
              </w:rPr>
              <w:t>LAEF (%)</w:t>
            </w:r>
          </w:p>
        </w:tc>
        <w:tc>
          <w:tcPr>
            <w:tcW w:w="1378" w:type="dxa"/>
            <w:tcBorders>
              <w:top w:val="single" w:sz="4" w:space="0" w:color="auto"/>
              <w:left w:val="single" w:sz="4" w:space="0" w:color="auto"/>
              <w:bottom w:val="nil"/>
            </w:tcBorders>
            <w:shd w:val="clear" w:color="auto" w:fill="F2F2F2" w:themeFill="background1" w:themeFillShade="F2"/>
            <w:noWrap/>
            <w:vAlign w:val="center"/>
            <w:hideMark/>
          </w:tcPr>
          <w:p w14:paraId="24168E6F" w14:textId="77777777" w:rsidR="006B7275" w:rsidRPr="00D24A01" w:rsidRDefault="006B7275" w:rsidP="00BD5391">
            <w:pPr>
              <w:jc w:val="center"/>
              <w:rPr>
                <w:color w:val="000000" w:themeColor="text1"/>
                <w:sz w:val="20"/>
                <w:szCs w:val="20"/>
              </w:rPr>
            </w:pPr>
            <w:r w:rsidRPr="00D24A01">
              <w:rPr>
                <w:color w:val="000000" w:themeColor="text1"/>
                <w:sz w:val="20"/>
                <w:szCs w:val="20"/>
              </w:rPr>
              <w:t>0.99</w:t>
            </w:r>
          </w:p>
        </w:tc>
        <w:tc>
          <w:tcPr>
            <w:tcW w:w="1378" w:type="dxa"/>
            <w:tcBorders>
              <w:top w:val="single" w:sz="4" w:space="0" w:color="auto"/>
              <w:bottom w:val="nil"/>
            </w:tcBorders>
            <w:shd w:val="clear" w:color="auto" w:fill="F2F2F2" w:themeFill="background1" w:themeFillShade="F2"/>
            <w:noWrap/>
            <w:vAlign w:val="center"/>
            <w:hideMark/>
          </w:tcPr>
          <w:p w14:paraId="106310E5" w14:textId="77777777" w:rsidR="006B7275" w:rsidRPr="00D24A01" w:rsidRDefault="006B7275" w:rsidP="00BD5391">
            <w:pPr>
              <w:jc w:val="center"/>
              <w:rPr>
                <w:color w:val="000000" w:themeColor="text1"/>
                <w:sz w:val="20"/>
                <w:szCs w:val="20"/>
              </w:rPr>
            </w:pPr>
            <w:r w:rsidRPr="00D24A01">
              <w:rPr>
                <w:color w:val="000000" w:themeColor="text1"/>
                <w:sz w:val="20"/>
                <w:szCs w:val="20"/>
              </w:rPr>
              <w:t>0.94*</w:t>
            </w:r>
          </w:p>
        </w:tc>
        <w:tc>
          <w:tcPr>
            <w:tcW w:w="1378" w:type="dxa"/>
            <w:tcBorders>
              <w:top w:val="single" w:sz="4" w:space="0" w:color="auto"/>
              <w:bottom w:val="nil"/>
            </w:tcBorders>
            <w:shd w:val="clear" w:color="auto" w:fill="F2F2F2" w:themeFill="background1" w:themeFillShade="F2"/>
            <w:noWrap/>
            <w:vAlign w:val="center"/>
            <w:hideMark/>
          </w:tcPr>
          <w:p w14:paraId="438BC921" w14:textId="77777777" w:rsidR="006B7275" w:rsidRPr="00D24A01" w:rsidRDefault="006B7275" w:rsidP="00BD5391">
            <w:pPr>
              <w:jc w:val="center"/>
              <w:rPr>
                <w:color w:val="000000" w:themeColor="text1"/>
                <w:sz w:val="20"/>
                <w:szCs w:val="20"/>
              </w:rPr>
            </w:pPr>
            <w:r w:rsidRPr="00D24A01">
              <w:rPr>
                <w:color w:val="000000" w:themeColor="text1"/>
                <w:sz w:val="20"/>
                <w:szCs w:val="20"/>
              </w:rPr>
              <w:t>0.99</w:t>
            </w:r>
          </w:p>
        </w:tc>
        <w:tc>
          <w:tcPr>
            <w:tcW w:w="1378" w:type="dxa"/>
            <w:tcBorders>
              <w:top w:val="single" w:sz="4" w:space="0" w:color="auto"/>
              <w:bottom w:val="nil"/>
              <w:right w:val="single" w:sz="4" w:space="0" w:color="auto"/>
            </w:tcBorders>
            <w:shd w:val="clear" w:color="auto" w:fill="F2F2F2" w:themeFill="background1" w:themeFillShade="F2"/>
            <w:noWrap/>
            <w:vAlign w:val="center"/>
            <w:hideMark/>
          </w:tcPr>
          <w:p w14:paraId="64AFC9B5" w14:textId="77777777" w:rsidR="006B7275" w:rsidRPr="00D24A01" w:rsidRDefault="006B7275" w:rsidP="00BD5391">
            <w:pPr>
              <w:jc w:val="center"/>
              <w:rPr>
                <w:color w:val="000000" w:themeColor="text1"/>
                <w:sz w:val="20"/>
                <w:szCs w:val="20"/>
              </w:rPr>
            </w:pPr>
            <w:r w:rsidRPr="00D24A01">
              <w:rPr>
                <w:color w:val="000000" w:themeColor="text1"/>
                <w:sz w:val="20"/>
                <w:szCs w:val="20"/>
              </w:rPr>
              <w:t>0.93*</w:t>
            </w:r>
          </w:p>
        </w:tc>
        <w:tc>
          <w:tcPr>
            <w:tcW w:w="1378" w:type="dxa"/>
            <w:tcBorders>
              <w:top w:val="single" w:sz="4" w:space="0" w:color="auto"/>
              <w:left w:val="single" w:sz="4" w:space="0" w:color="auto"/>
              <w:bottom w:val="nil"/>
            </w:tcBorders>
            <w:shd w:val="clear" w:color="auto" w:fill="F2F2F2" w:themeFill="background1" w:themeFillShade="F2"/>
            <w:vAlign w:val="center"/>
          </w:tcPr>
          <w:p w14:paraId="46DA12F9" w14:textId="77777777" w:rsidR="006B7275" w:rsidRPr="00D24A01" w:rsidRDefault="006B7275" w:rsidP="00BD5391">
            <w:pPr>
              <w:jc w:val="center"/>
              <w:rPr>
                <w:color w:val="000000" w:themeColor="text1"/>
                <w:sz w:val="20"/>
                <w:szCs w:val="20"/>
              </w:rPr>
            </w:pPr>
            <w:r w:rsidRPr="00D24A01">
              <w:rPr>
                <w:color w:val="000000" w:themeColor="text1"/>
                <w:sz w:val="20"/>
                <w:szCs w:val="20"/>
              </w:rPr>
              <w:t>0.40*</w:t>
            </w:r>
          </w:p>
        </w:tc>
        <w:tc>
          <w:tcPr>
            <w:tcW w:w="1378" w:type="dxa"/>
            <w:tcBorders>
              <w:top w:val="single" w:sz="4" w:space="0" w:color="auto"/>
              <w:bottom w:val="nil"/>
            </w:tcBorders>
            <w:shd w:val="clear" w:color="auto" w:fill="F2F2F2" w:themeFill="background1" w:themeFillShade="F2"/>
            <w:vAlign w:val="center"/>
          </w:tcPr>
          <w:p w14:paraId="3716BBB7" w14:textId="77777777" w:rsidR="006B7275" w:rsidRPr="00D24A01" w:rsidRDefault="006B7275" w:rsidP="00BD5391">
            <w:pPr>
              <w:jc w:val="center"/>
              <w:rPr>
                <w:color w:val="000000" w:themeColor="text1"/>
                <w:sz w:val="20"/>
                <w:szCs w:val="20"/>
              </w:rPr>
            </w:pPr>
            <w:r w:rsidRPr="00D24A01">
              <w:rPr>
                <w:color w:val="000000" w:themeColor="text1"/>
                <w:sz w:val="20"/>
                <w:szCs w:val="20"/>
              </w:rPr>
              <w:t>0.88*</w:t>
            </w:r>
          </w:p>
        </w:tc>
        <w:tc>
          <w:tcPr>
            <w:tcW w:w="1378" w:type="dxa"/>
            <w:tcBorders>
              <w:top w:val="single" w:sz="4" w:space="0" w:color="auto"/>
              <w:bottom w:val="nil"/>
            </w:tcBorders>
            <w:shd w:val="clear" w:color="auto" w:fill="F2F2F2" w:themeFill="background1" w:themeFillShade="F2"/>
            <w:vAlign w:val="center"/>
          </w:tcPr>
          <w:p w14:paraId="7E2C2C79" w14:textId="77777777" w:rsidR="006B7275" w:rsidRPr="00D24A01" w:rsidRDefault="006B7275" w:rsidP="00BD5391">
            <w:pPr>
              <w:jc w:val="center"/>
              <w:rPr>
                <w:color w:val="000000" w:themeColor="text1"/>
                <w:sz w:val="20"/>
                <w:szCs w:val="20"/>
              </w:rPr>
            </w:pPr>
            <w:r w:rsidRPr="00D24A01">
              <w:rPr>
                <w:color w:val="000000" w:themeColor="text1"/>
                <w:sz w:val="20"/>
                <w:szCs w:val="20"/>
              </w:rPr>
              <w:t>0.82*</w:t>
            </w:r>
          </w:p>
        </w:tc>
        <w:tc>
          <w:tcPr>
            <w:tcW w:w="1378" w:type="dxa"/>
            <w:tcBorders>
              <w:top w:val="single" w:sz="4" w:space="0" w:color="auto"/>
              <w:bottom w:val="nil"/>
            </w:tcBorders>
            <w:shd w:val="clear" w:color="auto" w:fill="F2F2F2" w:themeFill="background1" w:themeFillShade="F2"/>
            <w:vAlign w:val="center"/>
          </w:tcPr>
          <w:p w14:paraId="7FB32BB8" w14:textId="77777777" w:rsidR="006B7275" w:rsidRPr="00D24A01" w:rsidRDefault="006B7275" w:rsidP="00BD5391">
            <w:pPr>
              <w:jc w:val="center"/>
              <w:rPr>
                <w:color w:val="000000" w:themeColor="text1"/>
                <w:sz w:val="20"/>
                <w:szCs w:val="20"/>
              </w:rPr>
            </w:pPr>
            <w:r w:rsidRPr="00D24A01">
              <w:rPr>
                <w:color w:val="000000" w:themeColor="text1"/>
                <w:sz w:val="20"/>
                <w:szCs w:val="20"/>
              </w:rPr>
              <w:t>0.82*</w:t>
            </w:r>
          </w:p>
        </w:tc>
      </w:tr>
      <w:tr w:rsidR="006B7275" w:rsidRPr="00D24A01" w14:paraId="28BE352E" w14:textId="77777777" w:rsidTr="00BD5391">
        <w:trPr>
          <w:trHeight w:val="300"/>
          <w:jc w:val="center"/>
        </w:trPr>
        <w:tc>
          <w:tcPr>
            <w:tcW w:w="1728" w:type="dxa"/>
            <w:tcBorders>
              <w:top w:val="nil"/>
              <w:bottom w:val="nil"/>
              <w:right w:val="single" w:sz="4" w:space="0" w:color="auto"/>
            </w:tcBorders>
            <w:shd w:val="clear" w:color="auto" w:fill="F2F2F2" w:themeFill="background1" w:themeFillShade="F2"/>
            <w:noWrap/>
            <w:vAlign w:val="center"/>
            <w:hideMark/>
          </w:tcPr>
          <w:p w14:paraId="1C1B5E5A" w14:textId="77777777" w:rsidR="006B7275" w:rsidRPr="00D24A01" w:rsidRDefault="006B7275" w:rsidP="00BD5391">
            <w:pPr>
              <w:jc w:val="center"/>
              <w:rPr>
                <w:color w:val="000000" w:themeColor="text1"/>
                <w:sz w:val="20"/>
                <w:szCs w:val="20"/>
              </w:rPr>
            </w:pPr>
          </w:p>
        </w:tc>
        <w:tc>
          <w:tcPr>
            <w:tcW w:w="1378" w:type="dxa"/>
            <w:tcBorders>
              <w:top w:val="nil"/>
              <w:left w:val="single" w:sz="4" w:space="0" w:color="auto"/>
              <w:bottom w:val="nil"/>
            </w:tcBorders>
            <w:shd w:val="clear" w:color="auto" w:fill="F2F2F2" w:themeFill="background1" w:themeFillShade="F2"/>
            <w:noWrap/>
            <w:vAlign w:val="center"/>
            <w:hideMark/>
          </w:tcPr>
          <w:p w14:paraId="60FF6EF8" w14:textId="77777777" w:rsidR="006B7275" w:rsidRPr="00D24A01" w:rsidRDefault="006B7275" w:rsidP="00BD5391">
            <w:pPr>
              <w:jc w:val="center"/>
              <w:rPr>
                <w:color w:val="000000" w:themeColor="text1"/>
                <w:sz w:val="20"/>
                <w:szCs w:val="20"/>
              </w:rPr>
            </w:pPr>
            <w:r w:rsidRPr="00D24A01">
              <w:rPr>
                <w:color w:val="000000" w:themeColor="text1"/>
                <w:sz w:val="20"/>
                <w:szCs w:val="20"/>
              </w:rPr>
              <w:t>[0.96, 1.02]</w:t>
            </w:r>
          </w:p>
        </w:tc>
        <w:tc>
          <w:tcPr>
            <w:tcW w:w="1378" w:type="dxa"/>
            <w:tcBorders>
              <w:top w:val="nil"/>
              <w:bottom w:val="nil"/>
            </w:tcBorders>
            <w:shd w:val="clear" w:color="auto" w:fill="F2F2F2" w:themeFill="background1" w:themeFillShade="F2"/>
            <w:noWrap/>
            <w:vAlign w:val="center"/>
            <w:hideMark/>
          </w:tcPr>
          <w:p w14:paraId="42511CD9" w14:textId="77777777" w:rsidR="006B7275" w:rsidRPr="00D24A01" w:rsidRDefault="006B7275" w:rsidP="00BD5391">
            <w:pPr>
              <w:jc w:val="center"/>
              <w:rPr>
                <w:color w:val="000000" w:themeColor="text1"/>
                <w:sz w:val="20"/>
                <w:szCs w:val="20"/>
              </w:rPr>
            </w:pPr>
            <w:r w:rsidRPr="00D24A01">
              <w:rPr>
                <w:color w:val="000000" w:themeColor="text1"/>
                <w:sz w:val="20"/>
                <w:szCs w:val="20"/>
              </w:rPr>
              <w:t>[0.89, 0.98]</w:t>
            </w:r>
          </w:p>
        </w:tc>
        <w:tc>
          <w:tcPr>
            <w:tcW w:w="1378" w:type="dxa"/>
            <w:tcBorders>
              <w:top w:val="nil"/>
              <w:bottom w:val="nil"/>
            </w:tcBorders>
            <w:shd w:val="clear" w:color="auto" w:fill="F2F2F2" w:themeFill="background1" w:themeFillShade="F2"/>
            <w:noWrap/>
            <w:vAlign w:val="center"/>
            <w:hideMark/>
          </w:tcPr>
          <w:p w14:paraId="3CCC9B3B" w14:textId="77777777" w:rsidR="006B7275" w:rsidRPr="00D24A01" w:rsidRDefault="006B7275" w:rsidP="00BD5391">
            <w:pPr>
              <w:jc w:val="center"/>
              <w:rPr>
                <w:color w:val="000000" w:themeColor="text1"/>
                <w:sz w:val="20"/>
                <w:szCs w:val="20"/>
              </w:rPr>
            </w:pPr>
            <w:r w:rsidRPr="00D24A01">
              <w:rPr>
                <w:color w:val="000000" w:themeColor="text1"/>
                <w:sz w:val="20"/>
                <w:szCs w:val="20"/>
              </w:rPr>
              <w:t>[0.96, 1.02]</w:t>
            </w:r>
          </w:p>
        </w:tc>
        <w:tc>
          <w:tcPr>
            <w:tcW w:w="1378" w:type="dxa"/>
            <w:tcBorders>
              <w:top w:val="nil"/>
              <w:bottom w:val="nil"/>
              <w:right w:val="single" w:sz="4" w:space="0" w:color="auto"/>
            </w:tcBorders>
            <w:shd w:val="clear" w:color="auto" w:fill="F2F2F2" w:themeFill="background1" w:themeFillShade="F2"/>
            <w:noWrap/>
            <w:vAlign w:val="center"/>
            <w:hideMark/>
          </w:tcPr>
          <w:p w14:paraId="106BFD94" w14:textId="77777777" w:rsidR="006B7275" w:rsidRPr="00D24A01" w:rsidRDefault="006B7275" w:rsidP="00BD5391">
            <w:pPr>
              <w:jc w:val="center"/>
              <w:rPr>
                <w:color w:val="000000" w:themeColor="text1"/>
                <w:sz w:val="20"/>
                <w:szCs w:val="20"/>
              </w:rPr>
            </w:pPr>
            <w:r w:rsidRPr="00D24A01">
              <w:rPr>
                <w:color w:val="000000" w:themeColor="text1"/>
                <w:sz w:val="20"/>
                <w:szCs w:val="20"/>
              </w:rPr>
              <w:t>[0.87, 0.99]</w:t>
            </w:r>
          </w:p>
        </w:tc>
        <w:tc>
          <w:tcPr>
            <w:tcW w:w="1378" w:type="dxa"/>
            <w:tcBorders>
              <w:top w:val="nil"/>
              <w:left w:val="single" w:sz="4" w:space="0" w:color="auto"/>
              <w:bottom w:val="nil"/>
            </w:tcBorders>
            <w:shd w:val="clear" w:color="auto" w:fill="F2F2F2" w:themeFill="background1" w:themeFillShade="F2"/>
            <w:vAlign w:val="center"/>
          </w:tcPr>
          <w:p w14:paraId="19EBD3C3" w14:textId="77777777" w:rsidR="006B7275" w:rsidRPr="00D24A01" w:rsidRDefault="006B7275" w:rsidP="00BD5391">
            <w:pPr>
              <w:jc w:val="center"/>
              <w:rPr>
                <w:color w:val="000000" w:themeColor="text1"/>
                <w:sz w:val="20"/>
                <w:szCs w:val="20"/>
              </w:rPr>
            </w:pPr>
            <w:r w:rsidRPr="00D24A01">
              <w:rPr>
                <w:color w:val="000000" w:themeColor="text1"/>
                <w:sz w:val="20"/>
                <w:szCs w:val="20"/>
              </w:rPr>
              <w:t>[0.36, 0.43]</w:t>
            </w:r>
          </w:p>
        </w:tc>
        <w:tc>
          <w:tcPr>
            <w:tcW w:w="1378" w:type="dxa"/>
            <w:tcBorders>
              <w:top w:val="nil"/>
              <w:bottom w:val="nil"/>
            </w:tcBorders>
            <w:shd w:val="clear" w:color="auto" w:fill="F2F2F2" w:themeFill="background1" w:themeFillShade="F2"/>
            <w:vAlign w:val="center"/>
          </w:tcPr>
          <w:p w14:paraId="07278DC6" w14:textId="77777777" w:rsidR="006B7275" w:rsidRPr="00D24A01" w:rsidRDefault="006B7275" w:rsidP="00BD5391">
            <w:pPr>
              <w:jc w:val="center"/>
              <w:rPr>
                <w:color w:val="000000" w:themeColor="text1"/>
                <w:sz w:val="20"/>
                <w:szCs w:val="20"/>
              </w:rPr>
            </w:pPr>
            <w:r w:rsidRPr="00D24A01">
              <w:rPr>
                <w:color w:val="000000" w:themeColor="text1"/>
                <w:sz w:val="20"/>
                <w:szCs w:val="20"/>
              </w:rPr>
              <w:t>[0.82, 0.96]</w:t>
            </w:r>
          </w:p>
        </w:tc>
        <w:tc>
          <w:tcPr>
            <w:tcW w:w="1378" w:type="dxa"/>
            <w:tcBorders>
              <w:top w:val="nil"/>
              <w:bottom w:val="nil"/>
            </w:tcBorders>
            <w:shd w:val="clear" w:color="auto" w:fill="F2F2F2" w:themeFill="background1" w:themeFillShade="F2"/>
            <w:vAlign w:val="center"/>
          </w:tcPr>
          <w:p w14:paraId="1376A5AC" w14:textId="77777777" w:rsidR="006B7275" w:rsidRPr="00D24A01" w:rsidRDefault="006B7275" w:rsidP="00BD5391">
            <w:pPr>
              <w:jc w:val="center"/>
              <w:rPr>
                <w:color w:val="000000" w:themeColor="text1"/>
                <w:sz w:val="20"/>
                <w:szCs w:val="20"/>
              </w:rPr>
            </w:pPr>
            <w:r w:rsidRPr="00D24A01">
              <w:rPr>
                <w:color w:val="000000" w:themeColor="text1"/>
                <w:sz w:val="20"/>
                <w:szCs w:val="20"/>
              </w:rPr>
              <w:t>[0.78, 0.86]</w:t>
            </w:r>
          </w:p>
        </w:tc>
        <w:tc>
          <w:tcPr>
            <w:tcW w:w="1378" w:type="dxa"/>
            <w:tcBorders>
              <w:top w:val="nil"/>
              <w:bottom w:val="nil"/>
            </w:tcBorders>
            <w:shd w:val="clear" w:color="auto" w:fill="F2F2F2" w:themeFill="background1" w:themeFillShade="F2"/>
            <w:vAlign w:val="center"/>
          </w:tcPr>
          <w:p w14:paraId="49BE6890" w14:textId="77777777" w:rsidR="006B7275" w:rsidRPr="00D24A01" w:rsidRDefault="006B7275" w:rsidP="00BD5391">
            <w:pPr>
              <w:jc w:val="center"/>
              <w:rPr>
                <w:color w:val="000000" w:themeColor="text1"/>
                <w:sz w:val="20"/>
                <w:szCs w:val="20"/>
              </w:rPr>
            </w:pPr>
            <w:r w:rsidRPr="00D24A01">
              <w:rPr>
                <w:color w:val="000000" w:themeColor="text1"/>
                <w:sz w:val="20"/>
                <w:szCs w:val="20"/>
              </w:rPr>
              <w:t>[0.76, 0.88]</w:t>
            </w:r>
          </w:p>
        </w:tc>
      </w:tr>
      <w:tr w:rsidR="006B7275" w:rsidRPr="00D24A01" w14:paraId="2A9B00C1" w14:textId="77777777" w:rsidTr="00BD5391">
        <w:trPr>
          <w:trHeight w:val="300"/>
          <w:jc w:val="center"/>
        </w:trPr>
        <w:tc>
          <w:tcPr>
            <w:tcW w:w="1728" w:type="dxa"/>
            <w:tcBorders>
              <w:top w:val="nil"/>
              <w:bottom w:val="single" w:sz="4" w:space="0" w:color="auto"/>
              <w:right w:val="single" w:sz="4" w:space="0" w:color="auto"/>
            </w:tcBorders>
            <w:shd w:val="clear" w:color="auto" w:fill="F2F2F2" w:themeFill="background1" w:themeFillShade="F2"/>
            <w:noWrap/>
            <w:vAlign w:val="center"/>
            <w:hideMark/>
          </w:tcPr>
          <w:p w14:paraId="240AE986" w14:textId="77777777" w:rsidR="006B7275" w:rsidRPr="00D24A01" w:rsidRDefault="006B7275" w:rsidP="00BD5391">
            <w:pPr>
              <w:jc w:val="center"/>
              <w:rPr>
                <w:color w:val="000000" w:themeColor="text1"/>
                <w:sz w:val="20"/>
                <w:szCs w:val="20"/>
              </w:rPr>
            </w:pPr>
          </w:p>
        </w:tc>
        <w:tc>
          <w:tcPr>
            <w:tcW w:w="1378" w:type="dxa"/>
            <w:tcBorders>
              <w:top w:val="nil"/>
              <w:left w:val="single" w:sz="4" w:space="0" w:color="auto"/>
              <w:bottom w:val="single" w:sz="4" w:space="0" w:color="auto"/>
            </w:tcBorders>
            <w:shd w:val="clear" w:color="auto" w:fill="F2F2F2" w:themeFill="background1" w:themeFillShade="F2"/>
            <w:noWrap/>
            <w:vAlign w:val="center"/>
            <w:hideMark/>
          </w:tcPr>
          <w:p w14:paraId="51AD7BEA" w14:textId="77777777" w:rsidR="006B7275" w:rsidRPr="00D24A01" w:rsidRDefault="006B7275" w:rsidP="00BD5391">
            <w:pPr>
              <w:jc w:val="center"/>
              <w:rPr>
                <w:color w:val="000000" w:themeColor="text1"/>
                <w:sz w:val="20"/>
                <w:szCs w:val="20"/>
              </w:rPr>
            </w:pPr>
            <w:r w:rsidRPr="00D24A01">
              <w:rPr>
                <w:color w:val="000000" w:themeColor="text1"/>
                <w:sz w:val="20"/>
                <w:szCs w:val="20"/>
              </w:rPr>
              <w:t>0.6064</w:t>
            </w:r>
          </w:p>
        </w:tc>
        <w:tc>
          <w:tcPr>
            <w:tcW w:w="1378" w:type="dxa"/>
            <w:tcBorders>
              <w:top w:val="nil"/>
              <w:bottom w:val="single" w:sz="4" w:space="0" w:color="auto"/>
            </w:tcBorders>
            <w:shd w:val="clear" w:color="auto" w:fill="F2F2F2" w:themeFill="background1" w:themeFillShade="F2"/>
            <w:noWrap/>
            <w:vAlign w:val="center"/>
            <w:hideMark/>
          </w:tcPr>
          <w:p w14:paraId="0777AFBB" w14:textId="77777777" w:rsidR="006B7275" w:rsidRPr="00D24A01" w:rsidRDefault="006B7275" w:rsidP="00BD5391">
            <w:pPr>
              <w:jc w:val="center"/>
              <w:rPr>
                <w:color w:val="000000" w:themeColor="text1"/>
                <w:sz w:val="20"/>
                <w:szCs w:val="20"/>
              </w:rPr>
            </w:pPr>
            <w:r w:rsidRPr="00D24A01">
              <w:rPr>
                <w:color w:val="000000" w:themeColor="text1"/>
                <w:sz w:val="20"/>
                <w:szCs w:val="20"/>
              </w:rPr>
              <w:t>0.0110</w:t>
            </w:r>
          </w:p>
        </w:tc>
        <w:tc>
          <w:tcPr>
            <w:tcW w:w="1378" w:type="dxa"/>
            <w:tcBorders>
              <w:top w:val="nil"/>
              <w:bottom w:val="single" w:sz="4" w:space="0" w:color="auto"/>
            </w:tcBorders>
            <w:shd w:val="clear" w:color="auto" w:fill="F2F2F2" w:themeFill="background1" w:themeFillShade="F2"/>
            <w:noWrap/>
            <w:vAlign w:val="center"/>
            <w:hideMark/>
          </w:tcPr>
          <w:p w14:paraId="159D45BE" w14:textId="77777777" w:rsidR="006B7275" w:rsidRPr="00D24A01" w:rsidRDefault="006B7275" w:rsidP="00BD5391">
            <w:pPr>
              <w:jc w:val="center"/>
              <w:rPr>
                <w:color w:val="000000" w:themeColor="text1"/>
                <w:sz w:val="20"/>
                <w:szCs w:val="20"/>
              </w:rPr>
            </w:pPr>
            <w:r w:rsidRPr="00D24A01">
              <w:rPr>
                <w:color w:val="000000" w:themeColor="text1"/>
                <w:sz w:val="20"/>
                <w:szCs w:val="20"/>
              </w:rPr>
              <w:t>0.3950</w:t>
            </w:r>
          </w:p>
        </w:tc>
        <w:tc>
          <w:tcPr>
            <w:tcW w:w="1378" w:type="dxa"/>
            <w:tcBorders>
              <w:top w:val="nil"/>
              <w:bottom w:val="single" w:sz="4" w:space="0" w:color="auto"/>
              <w:right w:val="single" w:sz="4" w:space="0" w:color="auto"/>
            </w:tcBorders>
            <w:shd w:val="clear" w:color="auto" w:fill="F2F2F2" w:themeFill="background1" w:themeFillShade="F2"/>
            <w:noWrap/>
            <w:vAlign w:val="center"/>
            <w:hideMark/>
          </w:tcPr>
          <w:p w14:paraId="4D895553" w14:textId="77777777" w:rsidR="006B7275" w:rsidRPr="00D24A01" w:rsidRDefault="006B7275" w:rsidP="00BD5391">
            <w:pPr>
              <w:jc w:val="center"/>
              <w:rPr>
                <w:color w:val="000000" w:themeColor="text1"/>
                <w:sz w:val="20"/>
                <w:szCs w:val="20"/>
              </w:rPr>
            </w:pPr>
            <w:r w:rsidRPr="00D24A01">
              <w:rPr>
                <w:color w:val="000000" w:themeColor="text1"/>
                <w:sz w:val="20"/>
                <w:szCs w:val="20"/>
              </w:rPr>
              <w:t>0.0266</w:t>
            </w:r>
          </w:p>
        </w:tc>
        <w:tc>
          <w:tcPr>
            <w:tcW w:w="1378" w:type="dxa"/>
            <w:tcBorders>
              <w:top w:val="nil"/>
              <w:left w:val="single" w:sz="4" w:space="0" w:color="auto"/>
              <w:bottom w:val="single" w:sz="4" w:space="0" w:color="auto"/>
            </w:tcBorders>
            <w:shd w:val="clear" w:color="auto" w:fill="F2F2F2" w:themeFill="background1" w:themeFillShade="F2"/>
            <w:vAlign w:val="center"/>
          </w:tcPr>
          <w:p w14:paraId="289B400C" w14:textId="77777777" w:rsidR="006B7275" w:rsidRPr="00D24A01" w:rsidRDefault="006B7275" w:rsidP="00BD5391">
            <w:pPr>
              <w:jc w:val="center"/>
              <w:rPr>
                <w:color w:val="000000" w:themeColor="text1"/>
                <w:sz w:val="20"/>
                <w:szCs w:val="20"/>
              </w:rPr>
            </w:pPr>
            <w:r w:rsidRPr="00D24A01">
              <w:rPr>
                <w:color w:val="000000" w:themeColor="text1"/>
                <w:sz w:val="20"/>
                <w:szCs w:val="20"/>
              </w:rPr>
              <w:t>6.15</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91</w:t>
            </w:r>
          </w:p>
        </w:tc>
        <w:tc>
          <w:tcPr>
            <w:tcW w:w="1378" w:type="dxa"/>
            <w:tcBorders>
              <w:top w:val="nil"/>
              <w:bottom w:val="single" w:sz="4" w:space="0" w:color="auto"/>
            </w:tcBorders>
            <w:shd w:val="clear" w:color="auto" w:fill="F2F2F2" w:themeFill="background1" w:themeFillShade="F2"/>
            <w:vAlign w:val="center"/>
          </w:tcPr>
          <w:p w14:paraId="66F4DF9A" w14:textId="77777777" w:rsidR="006B7275" w:rsidRPr="00D24A01" w:rsidRDefault="006B7275" w:rsidP="00BD5391">
            <w:pPr>
              <w:jc w:val="center"/>
              <w:rPr>
                <w:color w:val="000000" w:themeColor="text1"/>
                <w:sz w:val="20"/>
                <w:szCs w:val="20"/>
              </w:rPr>
            </w:pPr>
            <w:r w:rsidRPr="00D24A01">
              <w:rPr>
                <w:color w:val="000000" w:themeColor="text1"/>
                <w:sz w:val="20"/>
                <w:szCs w:val="20"/>
              </w:rPr>
              <w:t>0.0027</w:t>
            </w:r>
          </w:p>
        </w:tc>
        <w:tc>
          <w:tcPr>
            <w:tcW w:w="1378" w:type="dxa"/>
            <w:tcBorders>
              <w:top w:val="nil"/>
              <w:bottom w:val="single" w:sz="4" w:space="0" w:color="auto"/>
            </w:tcBorders>
            <w:shd w:val="clear" w:color="auto" w:fill="F2F2F2" w:themeFill="background1" w:themeFillShade="F2"/>
            <w:vAlign w:val="center"/>
          </w:tcPr>
          <w:p w14:paraId="5B330F94" w14:textId="77777777" w:rsidR="006B7275" w:rsidRPr="00D24A01" w:rsidRDefault="006B7275" w:rsidP="00BD5391">
            <w:pPr>
              <w:jc w:val="center"/>
              <w:rPr>
                <w:color w:val="000000" w:themeColor="text1"/>
                <w:sz w:val="20"/>
                <w:szCs w:val="20"/>
              </w:rPr>
            </w:pPr>
            <w:r w:rsidRPr="00D24A01">
              <w:rPr>
                <w:color w:val="000000" w:themeColor="text1"/>
                <w:sz w:val="20"/>
                <w:szCs w:val="20"/>
              </w:rPr>
              <w:t>1.36</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14</w:t>
            </w:r>
          </w:p>
        </w:tc>
        <w:tc>
          <w:tcPr>
            <w:tcW w:w="1378" w:type="dxa"/>
            <w:tcBorders>
              <w:top w:val="nil"/>
              <w:bottom w:val="single" w:sz="4" w:space="0" w:color="auto"/>
            </w:tcBorders>
            <w:shd w:val="clear" w:color="auto" w:fill="F2F2F2" w:themeFill="background1" w:themeFillShade="F2"/>
            <w:vAlign w:val="center"/>
          </w:tcPr>
          <w:p w14:paraId="50E98B8A" w14:textId="77777777" w:rsidR="006B7275" w:rsidRPr="00D24A01" w:rsidRDefault="006B7275" w:rsidP="00BD5391">
            <w:pPr>
              <w:jc w:val="center"/>
              <w:rPr>
                <w:color w:val="000000" w:themeColor="text1"/>
                <w:sz w:val="20"/>
                <w:szCs w:val="20"/>
              </w:rPr>
            </w:pPr>
            <w:r w:rsidRPr="00D24A01">
              <w:rPr>
                <w:color w:val="000000" w:themeColor="text1"/>
                <w:sz w:val="20"/>
                <w:szCs w:val="20"/>
              </w:rPr>
              <w:t>3.82</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8</w:t>
            </w:r>
          </w:p>
        </w:tc>
      </w:tr>
      <w:tr w:rsidR="006B7275" w:rsidRPr="00D24A01" w14:paraId="59501058" w14:textId="77777777" w:rsidTr="00BD5391">
        <w:trPr>
          <w:trHeight w:val="300"/>
          <w:jc w:val="center"/>
        </w:trPr>
        <w:tc>
          <w:tcPr>
            <w:tcW w:w="1728" w:type="dxa"/>
            <w:tcBorders>
              <w:top w:val="single" w:sz="4" w:space="0" w:color="auto"/>
              <w:right w:val="single" w:sz="4" w:space="0" w:color="auto"/>
            </w:tcBorders>
            <w:shd w:val="clear" w:color="auto" w:fill="auto"/>
            <w:noWrap/>
            <w:vAlign w:val="center"/>
            <w:hideMark/>
          </w:tcPr>
          <w:p w14:paraId="1778BADE" w14:textId="77777777" w:rsidR="006B7275" w:rsidRPr="00D24A01" w:rsidRDefault="006B7275" w:rsidP="00BD5391">
            <w:pPr>
              <w:jc w:val="center"/>
              <w:rPr>
                <w:color w:val="000000" w:themeColor="text1"/>
                <w:sz w:val="20"/>
                <w:szCs w:val="20"/>
              </w:rPr>
            </w:pPr>
            <w:r w:rsidRPr="00727AF4">
              <w:rPr>
                <w:color w:val="000000" w:themeColor="text1"/>
                <w:sz w:val="20"/>
                <w:szCs w:val="20"/>
              </w:rPr>
              <w:t>LVM: LVEDV</w:t>
            </w:r>
          </w:p>
        </w:tc>
        <w:tc>
          <w:tcPr>
            <w:tcW w:w="1378" w:type="dxa"/>
            <w:tcBorders>
              <w:top w:val="single" w:sz="4" w:space="0" w:color="auto"/>
              <w:left w:val="single" w:sz="4" w:space="0" w:color="auto"/>
            </w:tcBorders>
            <w:shd w:val="clear" w:color="auto" w:fill="auto"/>
            <w:noWrap/>
            <w:vAlign w:val="center"/>
            <w:hideMark/>
          </w:tcPr>
          <w:p w14:paraId="0DA58675" w14:textId="77777777" w:rsidR="006B7275" w:rsidRPr="00D24A01" w:rsidRDefault="006B7275" w:rsidP="00BD5391">
            <w:pPr>
              <w:jc w:val="center"/>
              <w:rPr>
                <w:color w:val="000000" w:themeColor="text1"/>
                <w:sz w:val="20"/>
                <w:szCs w:val="20"/>
              </w:rPr>
            </w:pPr>
            <w:r w:rsidRPr="00D24A01">
              <w:rPr>
                <w:color w:val="000000" w:themeColor="text1"/>
                <w:sz w:val="20"/>
                <w:szCs w:val="20"/>
              </w:rPr>
              <w:t>1.43*</w:t>
            </w:r>
          </w:p>
        </w:tc>
        <w:tc>
          <w:tcPr>
            <w:tcW w:w="1378" w:type="dxa"/>
            <w:tcBorders>
              <w:top w:val="single" w:sz="4" w:space="0" w:color="auto"/>
            </w:tcBorders>
            <w:shd w:val="clear" w:color="auto" w:fill="auto"/>
            <w:noWrap/>
            <w:vAlign w:val="center"/>
            <w:hideMark/>
          </w:tcPr>
          <w:p w14:paraId="2223E5A3" w14:textId="77777777" w:rsidR="006B7275" w:rsidRPr="00D24A01" w:rsidRDefault="006B7275" w:rsidP="00BD5391">
            <w:pPr>
              <w:jc w:val="center"/>
              <w:rPr>
                <w:color w:val="000000" w:themeColor="text1"/>
                <w:sz w:val="20"/>
                <w:szCs w:val="20"/>
              </w:rPr>
            </w:pPr>
            <w:r w:rsidRPr="00D24A01">
              <w:rPr>
                <w:color w:val="000000" w:themeColor="text1"/>
                <w:sz w:val="20"/>
                <w:szCs w:val="20"/>
              </w:rPr>
              <w:t>1.20*</w:t>
            </w:r>
          </w:p>
        </w:tc>
        <w:tc>
          <w:tcPr>
            <w:tcW w:w="1378" w:type="dxa"/>
            <w:tcBorders>
              <w:top w:val="single" w:sz="4" w:space="0" w:color="auto"/>
            </w:tcBorders>
            <w:shd w:val="clear" w:color="auto" w:fill="auto"/>
            <w:noWrap/>
            <w:vAlign w:val="center"/>
            <w:hideMark/>
          </w:tcPr>
          <w:p w14:paraId="562D5B5B" w14:textId="77777777" w:rsidR="006B7275" w:rsidRPr="00D24A01" w:rsidRDefault="006B7275" w:rsidP="00BD5391">
            <w:pPr>
              <w:jc w:val="center"/>
              <w:rPr>
                <w:color w:val="000000" w:themeColor="text1"/>
                <w:sz w:val="20"/>
                <w:szCs w:val="20"/>
              </w:rPr>
            </w:pPr>
            <w:r w:rsidRPr="00D24A01">
              <w:rPr>
                <w:color w:val="000000" w:themeColor="text1"/>
                <w:sz w:val="20"/>
                <w:szCs w:val="20"/>
              </w:rPr>
              <w:t>1.10*</w:t>
            </w:r>
          </w:p>
        </w:tc>
        <w:tc>
          <w:tcPr>
            <w:tcW w:w="1378" w:type="dxa"/>
            <w:tcBorders>
              <w:top w:val="single" w:sz="4" w:space="0" w:color="auto"/>
              <w:right w:val="single" w:sz="4" w:space="0" w:color="auto"/>
            </w:tcBorders>
            <w:shd w:val="clear" w:color="auto" w:fill="auto"/>
            <w:noWrap/>
            <w:vAlign w:val="center"/>
            <w:hideMark/>
          </w:tcPr>
          <w:p w14:paraId="2516944B" w14:textId="77777777" w:rsidR="006B7275" w:rsidRPr="00D24A01" w:rsidRDefault="006B7275" w:rsidP="00BD5391">
            <w:pPr>
              <w:jc w:val="center"/>
              <w:rPr>
                <w:color w:val="000000" w:themeColor="text1"/>
                <w:sz w:val="20"/>
                <w:szCs w:val="20"/>
              </w:rPr>
            </w:pPr>
            <w:r w:rsidRPr="00D24A01">
              <w:rPr>
                <w:color w:val="000000" w:themeColor="text1"/>
                <w:sz w:val="20"/>
                <w:szCs w:val="20"/>
              </w:rPr>
              <w:t>1.29*</w:t>
            </w:r>
          </w:p>
        </w:tc>
        <w:tc>
          <w:tcPr>
            <w:tcW w:w="1378" w:type="dxa"/>
            <w:tcBorders>
              <w:top w:val="single" w:sz="4" w:space="0" w:color="auto"/>
              <w:left w:val="single" w:sz="4" w:space="0" w:color="auto"/>
            </w:tcBorders>
            <w:shd w:val="clear" w:color="auto" w:fill="auto"/>
            <w:vAlign w:val="center"/>
          </w:tcPr>
          <w:p w14:paraId="6E43B9BD" w14:textId="77777777" w:rsidR="006B7275" w:rsidRPr="00D24A01" w:rsidRDefault="006B7275" w:rsidP="00BD5391">
            <w:pPr>
              <w:jc w:val="center"/>
              <w:rPr>
                <w:color w:val="000000" w:themeColor="text1"/>
                <w:sz w:val="20"/>
                <w:szCs w:val="20"/>
              </w:rPr>
            </w:pPr>
            <w:r w:rsidRPr="00D24A01">
              <w:rPr>
                <w:color w:val="000000" w:themeColor="text1"/>
                <w:sz w:val="20"/>
                <w:szCs w:val="20"/>
              </w:rPr>
              <w:t>0.80*</w:t>
            </w:r>
          </w:p>
        </w:tc>
        <w:tc>
          <w:tcPr>
            <w:tcW w:w="1378" w:type="dxa"/>
            <w:tcBorders>
              <w:top w:val="single" w:sz="4" w:space="0" w:color="auto"/>
            </w:tcBorders>
            <w:shd w:val="clear" w:color="auto" w:fill="auto"/>
            <w:vAlign w:val="center"/>
          </w:tcPr>
          <w:p w14:paraId="37398637" w14:textId="77777777" w:rsidR="006B7275" w:rsidRPr="00D24A01" w:rsidRDefault="006B7275" w:rsidP="00BD5391">
            <w:pPr>
              <w:jc w:val="center"/>
              <w:rPr>
                <w:color w:val="000000" w:themeColor="text1"/>
                <w:sz w:val="20"/>
                <w:szCs w:val="20"/>
              </w:rPr>
            </w:pPr>
            <w:r w:rsidRPr="00D24A01">
              <w:rPr>
                <w:color w:val="000000" w:themeColor="text1"/>
                <w:sz w:val="20"/>
                <w:szCs w:val="20"/>
              </w:rPr>
              <w:t>1.04</w:t>
            </w:r>
          </w:p>
        </w:tc>
        <w:tc>
          <w:tcPr>
            <w:tcW w:w="1378" w:type="dxa"/>
            <w:tcBorders>
              <w:top w:val="single" w:sz="4" w:space="0" w:color="auto"/>
            </w:tcBorders>
            <w:shd w:val="clear" w:color="auto" w:fill="auto"/>
            <w:vAlign w:val="center"/>
          </w:tcPr>
          <w:p w14:paraId="34DEBDE1" w14:textId="77777777" w:rsidR="006B7275" w:rsidRPr="00D24A01" w:rsidRDefault="006B7275" w:rsidP="00BD5391">
            <w:pPr>
              <w:jc w:val="center"/>
              <w:rPr>
                <w:color w:val="000000" w:themeColor="text1"/>
                <w:sz w:val="20"/>
                <w:szCs w:val="20"/>
              </w:rPr>
            </w:pPr>
            <w:r w:rsidRPr="00D24A01">
              <w:rPr>
                <w:color w:val="000000" w:themeColor="text1"/>
                <w:sz w:val="20"/>
                <w:szCs w:val="20"/>
              </w:rPr>
              <w:t>0.85*</w:t>
            </w:r>
          </w:p>
        </w:tc>
        <w:tc>
          <w:tcPr>
            <w:tcW w:w="1378" w:type="dxa"/>
            <w:tcBorders>
              <w:top w:val="single" w:sz="4" w:space="0" w:color="auto"/>
            </w:tcBorders>
            <w:shd w:val="clear" w:color="auto" w:fill="auto"/>
            <w:vAlign w:val="center"/>
          </w:tcPr>
          <w:p w14:paraId="602728AB" w14:textId="77777777" w:rsidR="006B7275" w:rsidRPr="00D24A01" w:rsidRDefault="006B7275" w:rsidP="00BD5391">
            <w:pPr>
              <w:jc w:val="center"/>
              <w:rPr>
                <w:color w:val="000000" w:themeColor="text1"/>
                <w:sz w:val="20"/>
                <w:szCs w:val="20"/>
              </w:rPr>
            </w:pPr>
            <w:r w:rsidRPr="00D24A01">
              <w:rPr>
                <w:color w:val="000000" w:themeColor="text1"/>
                <w:sz w:val="20"/>
                <w:szCs w:val="20"/>
              </w:rPr>
              <w:t>0.75*</w:t>
            </w:r>
          </w:p>
        </w:tc>
      </w:tr>
      <w:tr w:rsidR="006B7275" w:rsidRPr="00D24A01" w14:paraId="19356A09" w14:textId="77777777" w:rsidTr="00BD5391">
        <w:trPr>
          <w:trHeight w:val="300"/>
          <w:jc w:val="center"/>
        </w:trPr>
        <w:tc>
          <w:tcPr>
            <w:tcW w:w="1728" w:type="dxa"/>
            <w:tcBorders>
              <w:right w:val="single" w:sz="4" w:space="0" w:color="auto"/>
            </w:tcBorders>
            <w:shd w:val="clear" w:color="auto" w:fill="auto"/>
            <w:noWrap/>
            <w:vAlign w:val="center"/>
            <w:hideMark/>
          </w:tcPr>
          <w:p w14:paraId="6F8FF335" w14:textId="77777777" w:rsidR="006B7275" w:rsidRPr="00D24A01" w:rsidRDefault="006B7275" w:rsidP="00BD5391">
            <w:pPr>
              <w:jc w:val="center"/>
              <w:rPr>
                <w:color w:val="000000" w:themeColor="text1"/>
                <w:sz w:val="20"/>
                <w:szCs w:val="20"/>
              </w:rPr>
            </w:pPr>
          </w:p>
        </w:tc>
        <w:tc>
          <w:tcPr>
            <w:tcW w:w="1378" w:type="dxa"/>
            <w:tcBorders>
              <w:left w:val="single" w:sz="4" w:space="0" w:color="auto"/>
            </w:tcBorders>
            <w:shd w:val="clear" w:color="auto" w:fill="auto"/>
            <w:noWrap/>
            <w:vAlign w:val="center"/>
            <w:hideMark/>
          </w:tcPr>
          <w:p w14:paraId="00722009" w14:textId="77777777" w:rsidR="006B7275" w:rsidRPr="00D24A01" w:rsidRDefault="006B7275" w:rsidP="00BD5391">
            <w:pPr>
              <w:jc w:val="center"/>
              <w:rPr>
                <w:color w:val="000000" w:themeColor="text1"/>
                <w:sz w:val="20"/>
                <w:szCs w:val="20"/>
              </w:rPr>
            </w:pPr>
            <w:r w:rsidRPr="00D24A01">
              <w:rPr>
                <w:color w:val="000000" w:themeColor="text1"/>
                <w:sz w:val="20"/>
                <w:szCs w:val="20"/>
              </w:rPr>
              <w:t>[1.38, 1.48]</w:t>
            </w:r>
          </w:p>
        </w:tc>
        <w:tc>
          <w:tcPr>
            <w:tcW w:w="1378" w:type="dxa"/>
            <w:shd w:val="clear" w:color="auto" w:fill="auto"/>
            <w:noWrap/>
            <w:vAlign w:val="center"/>
            <w:hideMark/>
          </w:tcPr>
          <w:p w14:paraId="35439C69" w14:textId="77777777" w:rsidR="006B7275" w:rsidRPr="00D24A01" w:rsidRDefault="006B7275" w:rsidP="00BD5391">
            <w:pPr>
              <w:jc w:val="center"/>
              <w:rPr>
                <w:color w:val="000000" w:themeColor="text1"/>
                <w:sz w:val="20"/>
                <w:szCs w:val="20"/>
              </w:rPr>
            </w:pPr>
            <w:r w:rsidRPr="00D24A01">
              <w:rPr>
                <w:color w:val="000000" w:themeColor="text1"/>
                <w:sz w:val="20"/>
                <w:szCs w:val="20"/>
              </w:rPr>
              <w:t>[1.14, 1.27]</w:t>
            </w:r>
          </w:p>
        </w:tc>
        <w:tc>
          <w:tcPr>
            <w:tcW w:w="1378" w:type="dxa"/>
            <w:shd w:val="clear" w:color="auto" w:fill="auto"/>
            <w:noWrap/>
            <w:vAlign w:val="center"/>
            <w:hideMark/>
          </w:tcPr>
          <w:p w14:paraId="7DD44940" w14:textId="77777777" w:rsidR="006B7275" w:rsidRPr="00D24A01" w:rsidRDefault="006B7275" w:rsidP="00BD5391">
            <w:pPr>
              <w:jc w:val="center"/>
              <w:rPr>
                <w:color w:val="000000" w:themeColor="text1"/>
                <w:sz w:val="20"/>
                <w:szCs w:val="20"/>
              </w:rPr>
            </w:pPr>
            <w:r w:rsidRPr="00D24A01">
              <w:rPr>
                <w:color w:val="000000" w:themeColor="text1"/>
                <w:sz w:val="20"/>
                <w:szCs w:val="20"/>
              </w:rPr>
              <w:t>[1.07, 1.14]</w:t>
            </w:r>
          </w:p>
        </w:tc>
        <w:tc>
          <w:tcPr>
            <w:tcW w:w="1378" w:type="dxa"/>
            <w:tcBorders>
              <w:right w:val="single" w:sz="4" w:space="0" w:color="auto"/>
            </w:tcBorders>
            <w:shd w:val="clear" w:color="auto" w:fill="auto"/>
            <w:noWrap/>
            <w:vAlign w:val="center"/>
            <w:hideMark/>
          </w:tcPr>
          <w:p w14:paraId="540B112D" w14:textId="77777777" w:rsidR="006B7275" w:rsidRPr="00D24A01" w:rsidRDefault="006B7275" w:rsidP="00BD5391">
            <w:pPr>
              <w:jc w:val="center"/>
              <w:rPr>
                <w:color w:val="000000" w:themeColor="text1"/>
                <w:sz w:val="20"/>
                <w:szCs w:val="20"/>
              </w:rPr>
            </w:pPr>
            <w:r w:rsidRPr="00D24A01">
              <w:rPr>
                <w:color w:val="000000" w:themeColor="text1"/>
                <w:sz w:val="20"/>
                <w:szCs w:val="20"/>
              </w:rPr>
              <w:t>[1.21, 1.38]</w:t>
            </w:r>
          </w:p>
        </w:tc>
        <w:tc>
          <w:tcPr>
            <w:tcW w:w="1378" w:type="dxa"/>
            <w:tcBorders>
              <w:left w:val="single" w:sz="4" w:space="0" w:color="auto"/>
            </w:tcBorders>
            <w:shd w:val="clear" w:color="auto" w:fill="auto"/>
            <w:vAlign w:val="center"/>
          </w:tcPr>
          <w:p w14:paraId="479EC363" w14:textId="77777777" w:rsidR="006B7275" w:rsidRPr="00D24A01" w:rsidRDefault="006B7275" w:rsidP="00BD5391">
            <w:pPr>
              <w:jc w:val="center"/>
              <w:rPr>
                <w:color w:val="000000" w:themeColor="text1"/>
                <w:sz w:val="20"/>
                <w:szCs w:val="20"/>
              </w:rPr>
            </w:pPr>
            <w:r w:rsidRPr="00D24A01">
              <w:rPr>
                <w:color w:val="000000" w:themeColor="text1"/>
                <w:sz w:val="20"/>
                <w:szCs w:val="20"/>
              </w:rPr>
              <w:t>[0.71, 0.90]</w:t>
            </w:r>
          </w:p>
        </w:tc>
        <w:tc>
          <w:tcPr>
            <w:tcW w:w="1378" w:type="dxa"/>
            <w:shd w:val="clear" w:color="auto" w:fill="auto"/>
            <w:vAlign w:val="center"/>
          </w:tcPr>
          <w:p w14:paraId="30BA9737" w14:textId="77777777" w:rsidR="006B7275" w:rsidRPr="00D24A01" w:rsidRDefault="006B7275" w:rsidP="00BD5391">
            <w:pPr>
              <w:jc w:val="center"/>
              <w:rPr>
                <w:color w:val="000000" w:themeColor="text1"/>
                <w:sz w:val="20"/>
                <w:szCs w:val="20"/>
              </w:rPr>
            </w:pPr>
            <w:r w:rsidRPr="00D24A01">
              <w:rPr>
                <w:color w:val="000000" w:themeColor="text1"/>
                <w:sz w:val="20"/>
                <w:szCs w:val="20"/>
              </w:rPr>
              <w:t>[0.95, 1.14]</w:t>
            </w:r>
          </w:p>
        </w:tc>
        <w:tc>
          <w:tcPr>
            <w:tcW w:w="1378" w:type="dxa"/>
            <w:shd w:val="clear" w:color="auto" w:fill="auto"/>
            <w:vAlign w:val="center"/>
          </w:tcPr>
          <w:p w14:paraId="0147E231" w14:textId="77777777" w:rsidR="006B7275" w:rsidRPr="00D24A01" w:rsidRDefault="006B7275" w:rsidP="00BD5391">
            <w:pPr>
              <w:jc w:val="center"/>
              <w:rPr>
                <w:color w:val="000000" w:themeColor="text1"/>
                <w:sz w:val="20"/>
                <w:szCs w:val="20"/>
              </w:rPr>
            </w:pPr>
            <w:r w:rsidRPr="00D24A01">
              <w:rPr>
                <w:color w:val="000000" w:themeColor="text1"/>
                <w:sz w:val="20"/>
                <w:szCs w:val="20"/>
              </w:rPr>
              <w:t>[0.81, 0.91]</w:t>
            </w:r>
          </w:p>
        </w:tc>
        <w:tc>
          <w:tcPr>
            <w:tcW w:w="1378" w:type="dxa"/>
            <w:shd w:val="clear" w:color="auto" w:fill="auto"/>
            <w:vAlign w:val="center"/>
          </w:tcPr>
          <w:p w14:paraId="3DBD10AC" w14:textId="77777777" w:rsidR="006B7275" w:rsidRPr="00D24A01" w:rsidRDefault="006B7275" w:rsidP="00BD5391">
            <w:pPr>
              <w:jc w:val="center"/>
              <w:rPr>
                <w:color w:val="000000" w:themeColor="text1"/>
                <w:sz w:val="20"/>
                <w:szCs w:val="20"/>
              </w:rPr>
            </w:pPr>
            <w:r w:rsidRPr="00D24A01">
              <w:rPr>
                <w:color w:val="000000" w:themeColor="text1"/>
                <w:sz w:val="20"/>
                <w:szCs w:val="20"/>
              </w:rPr>
              <w:t>[0.68, 0.82]</w:t>
            </w:r>
          </w:p>
        </w:tc>
      </w:tr>
      <w:tr w:rsidR="006B7275" w:rsidRPr="00D24A01" w14:paraId="6826D140" w14:textId="77777777" w:rsidTr="00BD5391">
        <w:trPr>
          <w:trHeight w:val="300"/>
          <w:jc w:val="center"/>
        </w:trPr>
        <w:tc>
          <w:tcPr>
            <w:tcW w:w="1728" w:type="dxa"/>
            <w:tcBorders>
              <w:bottom w:val="single" w:sz="4" w:space="0" w:color="auto"/>
              <w:right w:val="single" w:sz="4" w:space="0" w:color="auto"/>
            </w:tcBorders>
            <w:shd w:val="clear" w:color="auto" w:fill="auto"/>
            <w:noWrap/>
            <w:vAlign w:val="center"/>
            <w:hideMark/>
          </w:tcPr>
          <w:p w14:paraId="31318827" w14:textId="77777777" w:rsidR="006B7275" w:rsidRPr="00D24A01" w:rsidRDefault="006B7275" w:rsidP="00BD5391">
            <w:pPr>
              <w:jc w:val="center"/>
              <w:rPr>
                <w:color w:val="000000" w:themeColor="text1"/>
                <w:sz w:val="20"/>
                <w:szCs w:val="20"/>
              </w:rPr>
            </w:pPr>
          </w:p>
        </w:tc>
        <w:tc>
          <w:tcPr>
            <w:tcW w:w="1378" w:type="dxa"/>
            <w:tcBorders>
              <w:left w:val="single" w:sz="4" w:space="0" w:color="auto"/>
              <w:bottom w:val="single" w:sz="4" w:space="0" w:color="auto"/>
            </w:tcBorders>
            <w:shd w:val="clear" w:color="auto" w:fill="auto"/>
            <w:noWrap/>
            <w:vAlign w:val="center"/>
            <w:hideMark/>
          </w:tcPr>
          <w:p w14:paraId="54411270" w14:textId="77777777" w:rsidR="006B7275" w:rsidRPr="00D24A01" w:rsidRDefault="006B7275" w:rsidP="00BD5391">
            <w:pPr>
              <w:jc w:val="center"/>
              <w:rPr>
                <w:color w:val="000000" w:themeColor="text1"/>
                <w:sz w:val="20"/>
                <w:szCs w:val="20"/>
              </w:rPr>
            </w:pPr>
            <w:r w:rsidRPr="00D24A01">
              <w:rPr>
                <w:color w:val="000000" w:themeColor="text1"/>
                <w:sz w:val="20"/>
                <w:szCs w:val="20"/>
              </w:rPr>
              <w:t>2.40</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99</w:t>
            </w:r>
          </w:p>
        </w:tc>
        <w:tc>
          <w:tcPr>
            <w:tcW w:w="1378" w:type="dxa"/>
            <w:tcBorders>
              <w:bottom w:val="single" w:sz="4" w:space="0" w:color="auto"/>
            </w:tcBorders>
            <w:shd w:val="clear" w:color="auto" w:fill="auto"/>
            <w:noWrap/>
            <w:vAlign w:val="center"/>
            <w:hideMark/>
          </w:tcPr>
          <w:p w14:paraId="5F6D3D75" w14:textId="77777777" w:rsidR="006B7275" w:rsidRPr="00D24A01" w:rsidRDefault="006B7275" w:rsidP="00BD5391">
            <w:pPr>
              <w:jc w:val="center"/>
              <w:rPr>
                <w:color w:val="000000" w:themeColor="text1"/>
                <w:sz w:val="20"/>
                <w:szCs w:val="20"/>
              </w:rPr>
            </w:pPr>
            <w:r w:rsidRPr="00D24A01">
              <w:rPr>
                <w:color w:val="000000" w:themeColor="text1"/>
                <w:sz w:val="20"/>
                <w:szCs w:val="20"/>
              </w:rPr>
              <w:t>1.10</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11</w:t>
            </w:r>
          </w:p>
        </w:tc>
        <w:tc>
          <w:tcPr>
            <w:tcW w:w="1378" w:type="dxa"/>
            <w:tcBorders>
              <w:bottom w:val="single" w:sz="4" w:space="0" w:color="auto"/>
            </w:tcBorders>
            <w:shd w:val="clear" w:color="auto" w:fill="auto"/>
            <w:noWrap/>
            <w:vAlign w:val="center"/>
            <w:hideMark/>
          </w:tcPr>
          <w:p w14:paraId="7CDBAB7C" w14:textId="77777777" w:rsidR="006B7275" w:rsidRPr="00D24A01" w:rsidRDefault="006B7275" w:rsidP="00BD5391">
            <w:pPr>
              <w:jc w:val="center"/>
              <w:rPr>
                <w:color w:val="000000" w:themeColor="text1"/>
                <w:sz w:val="20"/>
                <w:szCs w:val="20"/>
              </w:rPr>
            </w:pPr>
            <w:r w:rsidRPr="00D24A01">
              <w:rPr>
                <w:color w:val="000000" w:themeColor="text1"/>
                <w:sz w:val="20"/>
                <w:szCs w:val="20"/>
              </w:rPr>
              <w:t>6.28</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9</w:t>
            </w:r>
          </w:p>
        </w:tc>
        <w:tc>
          <w:tcPr>
            <w:tcW w:w="1378" w:type="dxa"/>
            <w:tcBorders>
              <w:bottom w:val="single" w:sz="4" w:space="0" w:color="auto"/>
              <w:right w:val="single" w:sz="4" w:space="0" w:color="auto"/>
            </w:tcBorders>
            <w:shd w:val="clear" w:color="auto" w:fill="auto"/>
            <w:noWrap/>
            <w:vAlign w:val="center"/>
            <w:hideMark/>
          </w:tcPr>
          <w:p w14:paraId="124EA92A" w14:textId="77777777" w:rsidR="006B7275" w:rsidRPr="00D24A01" w:rsidRDefault="006B7275" w:rsidP="00BD5391">
            <w:pPr>
              <w:jc w:val="center"/>
              <w:rPr>
                <w:color w:val="000000" w:themeColor="text1"/>
                <w:sz w:val="20"/>
                <w:szCs w:val="20"/>
              </w:rPr>
            </w:pPr>
            <w:r w:rsidRPr="00D24A01">
              <w:rPr>
                <w:color w:val="000000" w:themeColor="text1"/>
                <w:sz w:val="20"/>
                <w:szCs w:val="20"/>
              </w:rPr>
              <w:t>1.05</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13</w:t>
            </w:r>
          </w:p>
        </w:tc>
        <w:tc>
          <w:tcPr>
            <w:tcW w:w="1378" w:type="dxa"/>
            <w:tcBorders>
              <w:left w:val="single" w:sz="4" w:space="0" w:color="auto"/>
              <w:bottom w:val="single" w:sz="4" w:space="0" w:color="auto"/>
            </w:tcBorders>
            <w:shd w:val="clear" w:color="auto" w:fill="auto"/>
            <w:vAlign w:val="center"/>
          </w:tcPr>
          <w:p w14:paraId="6EBC6022" w14:textId="77777777" w:rsidR="006B7275" w:rsidRPr="00D24A01" w:rsidRDefault="006B7275" w:rsidP="00BD5391">
            <w:pPr>
              <w:jc w:val="center"/>
              <w:rPr>
                <w:color w:val="000000" w:themeColor="text1"/>
                <w:sz w:val="20"/>
                <w:szCs w:val="20"/>
              </w:rPr>
            </w:pPr>
            <w:r w:rsidRPr="00D24A01">
              <w:rPr>
                <w:color w:val="000000" w:themeColor="text1"/>
                <w:sz w:val="20"/>
                <w:szCs w:val="20"/>
              </w:rPr>
              <w:t>2.16</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4</w:t>
            </w:r>
          </w:p>
        </w:tc>
        <w:tc>
          <w:tcPr>
            <w:tcW w:w="1378" w:type="dxa"/>
            <w:tcBorders>
              <w:bottom w:val="single" w:sz="4" w:space="0" w:color="auto"/>
            </w:tcBorders>
            <w:shd w:val="clear" w:color="auto" w:fill="auto"/>
            <w:vAlign w:val="center"/>
          </w:tcPr>
          <w:p w14:paraId="4BC0FB2D" w14:textId="77777777" w:rsidR="006B7275" w:rsidRPr="00D24A01" w:rsidRDefault="006B7275" w:rsidP="00BD5391">
            <w:pPr>
              <w:jc w:val="center"/>
              <w:rPr>
                <w:color w:val="000000" w:themeColor="text1"/>
                <w:sz w:val="20"/>
                <w:szCs w:val="20"/>
              </w:rPr>
            </w:pPr>
            <w:r w:rsidRPr="00D24A01">
              <w:rPr>
                <w:color w:val="000000" w:themeColor="text1"/>
                <w:sz w:val="20"/>
                <w:szCs w:val="20"/>
              </w:rPr>
              <w:t>0.4062</w:t>
            </w:r>
          </w:p>
        </w:tc>
        <w:tc>
          <w:tcPr>
            <w:tcW w:w="1378" w:type="dxa"/>
            <w:tcBorders>
              <w:bottom w:val="single" w:sz="4" w:space="0" w:color="auto"/>
            </w:tcBorders>
            <w:shd w:val="clear" w:color="auto" w:fill="auto"/>
            <w:vAlign w:val="center"/>
          </w:tcPr>
          <w:p w14:paraId="4570CCE2" w14:textId="77777777" w:rsidR="006B7275" w:rsidRPr="00D24A01" w:rsidRDefault="006B7275" w:rsidP="00BD5391">
            <w:pPr>
              <w:jc w:val="center"/>
              <w:rPr>
                <w:color w:val="000000" w:themeColor="text1"/>
                <w:sz w:val="20"/>
                <w:szCs w:val="20"/>
              </w:rPr>
            </w:pPr>
            <w:r w:rsidRPr="00D24A01">
              <w:rPr>
                <w:color w:val="000000" w:themeColor="text1"/>
                <w:sz w:val="20"/>
                <w:szCs w:val="20"/>
              </w:rPr>
              <w:t>1.19</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7</w:t>
            </w:r>
          </w:p>
        </w:tc>
        <w:tc>
          <w:tcPr>
            <w:tcW w:w="1378" w:type="dxa"/>
            <w:tcBorders>
              <w:bottom w:val="single" w:sz="4" w:space="0" w:color="auto"/>
            </w:tcBorders>
            <w:shd w:val="clear" w:color="auto" w:fill="auto"/>
            <w:vAlign w:val="center"/>
          </w:tcPr>
          <w:p w14:paraId="1370C449" w14:textId="77777777" w:rsidR="006B7275" w:rsidRPr="00D24A01" w:rsidRDefault="006B7275" w:rsidP="00BD5391">
            <w:pPr>
              <w:jc w:val="center"/>
              <w:rPr>
                <w:color w:val="000000" w:themeColor="text1"/>
                <w:sz w:val="20"/>
                <w:szCs w:val="20"/>
              </w:rPr>
            </w:pPr>
            <w:r w:rsidRPr="00D24A01">
              <w:rPr>
                <w:color w:val="000000" w:themeColor="text1"/>
                <w:sz w:val="20"/>
                <w:szCs w:val="20"/>
              </w:rPr>
              <w:t>1.52</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10</w:t>
            </w:r>
          </w:p>
        </w:tc>
      </w:tr>
      <w:tr w:rsidR="006B7275" w:rsidRPr="00D24A01" w14:paraId="33F3A4E0" w14:textId="77777777" w:rsidTr="00BD5391">
        <w:trPr>
          <w:trHeight w:val="300"/>
          <w:jc w:val="center"/>
        </w:trPr>
        <w:tc>
          <w:tcPr>
            <w:tcW w:w="1728" w:type="dxa"/>
            <w:tcBorders>
              <w:top w:val="single" w:sz="4" w:space="0" w:color="auto"/>
              <w:bottom w:val="nil"/>
              <w:right w:val="single" w:sz="4" w:space="0" w:color="auto"/>
            </w:tcBorders>
            <w:shd w:val="clear" w:color="auto" w:fill="F2F2F2" w:themeFill="background1" w:themeFillShade="F2"/>
            <w:noWrap/>
            <w:vAlign w:val="center"/>
            <w:hideMark/>
          </w:tcPr>
          <w:p w14:paraId="34366EF3" w14:textId="77777777" w:rsidR="006B7275" w:rsidRPr="00D24A01" w:rsidRDefault="006B7275" w:rsidP="00BD5391">
            <w:pPr>
              <w:jc w:val="center"/>
              <w:rPr>
                <w:color w:val="000000" w:themeColor="text1"/>
                <w:sz w:val="20"/>
                <w:szCs w:val="20"/>
              </w:rPr>
            </w:pPr>
            <w:r w:rsidRPr="0089756C">
              <w:rPr>
                <w:color w:val="000000" w:themeColor="text1"/>
                <w:sz w:val="20"/>
                <w:szCs w:val="20"/>
              </w:rPr>
              <w:t>LVGFI (%)</w:t>
            </w:r>
          </w:p>
        </w:tc>
        <w:tc>
          <w:tcPr>
            <w:tcW w:w="1378" w:type="dxa"/>
            <w:tcBorders>
              <w:top w:val="single" w:sz="4" w:space="0" w:color="auto"/>
              <w:left w:val="single" w:sz="4" w:space="0" w:color="auto"/>
              <w:bottom w:val="nil"/>
            </w:tcBorders>
            <w:shd w:val="clear" w:color="auto" w:fill="F2F2F2" w:themeFill="background1" w:themeFillShade="F2"/>
            <w:noWrap/>
            <w:vAlign w:val="center"/>
            <w:hideMark/>
          </w:tcPr>
          <w:p w14:paraId="274B2CEE" w14:textId="77777777" w:rsidR="006B7275" w:rsidRPr="00D24A01" w:rsidRDefault="006B7275" w:rsidP="00BD5391">
            <w:pPr>
              <w:jc w:val="center"/>
              <w:rPr>
                <w:color w:val="000000" w:themeColor="text1"/>
                <w:sz w:val="20"/>
                <w:szCs w:val="20"/>
              </w:rPr>
            </w:pPr>
            <w:r w:rsidRPr="00D24A01">
              <w:rPr>
                <w:color w:val="000000" w:themeColor="text1"/>
                <w:sz w:val="20"/>
                <w:szCs w:val="20"/>
              </w:rPr>
              <w:t>0.93*</w:t>
            </w:r>
          </w:p>
        </w:tc>
        <w:tc>
          <w:tcPr>
            <w:tcW w:w="1378" w:type="dxa"/>
            <w:tcBorders>
              <w:top w:val="single" w:sz="4" w:space="0" w:color="auto"/>
              <w:bottom w:val="nil"/>
            </w:tcBorders>
            <w:shd w:val="clear" w:color="auto" w:fill="F2F2F2" w:themeFill="background1" w:themeFillShade="F2"/>
            <w:noWrap/>
            <w:vAlign w:val="center"/>
            <w:hideMark/>
          </w:tcPr>
          <w:p w14:paraId="0A077956" w14:textId="77777777" w:rsidR="006B7275" w:rsidRPr="00D24A01" w:rsidRDefault="006B7275" w:rsidP="00BD5391">
            <w:pPr>
              <w:jc w:val="center"/>
              <w:rPr>
                <w:color w:val="000000" w:themeColor="text1"/>
                <w:sz w:val="20"/>
                <w:szCs w:val="20"/>
              </w:rPr>
            </w:pPr>
            <w:r w:rsidRPr="00D24A01">
              <w:rPr>
                <w:color w:val="000000" w:themeColor="text1"/>
                <w:sz w:val="20"/>
                <w:szCs w:val="20"/>
              </w:rPr>
              <w:t>0.87*</w:t>
            </w:r>
          </w:p>
        </w:tc>
        <w:tc>
          <w:tcPr>
            <w:tcW w:w="1378" w:type="dxa"/>
            <w:tcBorders>
              <w:top w:val="single" w:sz="4" w:space="0" w:color="auto"/>
              <w:bottom w:val="nil"/>
            </w:tcBorders>
            <w:shd w:val="clear" w:color="auto" w:fill="F2F2F2" w:themeFill="background1" w:themeFillShade="F2"/>
            <w:noWrap/>
            <w:vAlign w:val="center"/>
            <w:hideMark/>
          </w:tcPr>
          <w:p w14:paraId="5BC687AC" w14:textId="77777777" w:rsidR="006B7275" w:rsidRPr="00D24A01" w:rsidRDefault="006B7275" w:rsidP="00BD5391">
            <w:pPr>
              <w:jc w:val="center"/>
              <w:rPr>
                <w:color w:val="000000" w:themeColor="text1"/>
                <w:sz w:val="20"/>
                <w:szCs w:val="20"/>
              </w:rPr>
            </w:pPr>
            <w:r w:rsidRPr="00D24A01">
              <w:rPr>
                <w:color w:val="000000" w:themeColor="text1"/>
                <w:sz w:val="20"/>
                <w:szCs w:val="20"/>
              </w:rPr>
              <w:t>1.00</w:t>
            </w:r>
          </w:p>
        </w:tc>
        <w:tc>
          <w:tcPr>
            <w:tcW w:w="1378" w:type="dxa"/>
            <w:tcBorders>
              <w:top w:val="single" w:sz="4" w:space="0" w:color="auto"/>
              <w:bottom w:val="nil"/>
              <w:right w:val="single" w:sz="4" w:space="0" w:color="auto"/>
            </w:tcBorders>
            <w:shd w:val="clear" w:color="auto" w:fill="F2F2F2" w:themeFill="background1" w:themeFillShade="F2"/>
            <w:noWrap/>
            <w:vAlign w:val="center"/>
            <w:hideMark/>
          </w:tcPr>
          <w:p w14:paraId="6A4FAA7F" w14:textId="77777777" w:rsidR="006B7275" w:rsidRPr="00D24A01" w:rsidRDefault="006B7275" w:rsidP="00BD5391">
            <w:pPr>
              <w:jc w:val="center"/>
              <w:rPr>
                <w:color w:val="000000" w:themeColor="text1"/>
                <w:sz w:val="20"/>
                <w:szCs w:val="20"/>
              </w:rPr>
            </w:pPr>
            <w:r w:rsidRPr="00D24A01">
              <w:rPr>
                <w:color w:val="000000" w:themeColor="text1"/>
                <w:sz w:val="20"/>
                <w:szCs w:val="20"/>
              </w:rPr>
              <w:t>0.88*</w:t>
            </w:r>
          </w:p>
        </w:tc>
        <w:tc>
          <w:tcPr>
            <w:tcW w:w="1378" w:type="dxa"/>
            <w:tcBorders>
              <w:top w:val="single" w:sz="4" w:space="0" w:color="auto"/>
              <w:left w:val="single" w:sz="4" w:space="0" w:color="auto"/>
              <w:bottom w:val="nil"/>
            </w:tcBorders>
            <w:shd w:val="clear" w:color="auto" w:fill="F2F2F2" w:themeFill="background1" w:themeFillShade="F2"/>
            <w:vAlign w:val="center"/>
          </w:tcPr>
          <w:p w14:paraId="0D4CC240" w14:textId="77777777" w:rsidR="006B7275" w:rsidRPr="00D24A01" w:rsidRDefault="006B7275" w:rsidP="00BD5391">
            <w:pPr>
              <w:jc w:val="center"/>
              <w:rPr>
                <w:color w:val="000000" w:themeColor="text1"/>
                <w:sz w:val="20"/>
                <w:szCs w:val="20"/>
              </w:rPr>
            </w:pPr>
            <w:r w:rsidRPr="00D24A01">
              <w:rPr>
                <w:color w:val="000000" w:themeColor="text1"/>
                <w:sz w:val="20"/>
                <w:szCs w:val="20"/>
              </w:rPr>
              <w:t>1.23*</w:t>
            </w:r>
          </w:p>
        </w:tc>
        <w:tc>
          <w:tcPr>
            <w:tcW w:w="1378" w:type="dxa"/>
            <w:tcBorders>
              <w:top w:val="single" w:sz="4" w:space="0" w:color="auto"/>
              <w:bottom w:val="nil"/>
            </w:tcBorders>
            <w:shd w:val="clear" w:color="auto" w:fill="F2F2F2" w:themeFill="background1" w:themeFillShade="F2"/>
            <w:vAlign w:val="center"/>
          </w:tcPr>
          <w:p w14:paraId="54C4CB3E" w14:textId="77777777" w:rsidR="006B7275" w:rsidRPr="00D24A01" w:rsidRDefault="006B7275" w:rsidP="00BD5391">
            <w:pPr>
              <w:jc w:val="center"/>
              <w:rPr>
                <w:color w:val="000000" w:themeColor="text1"/>
                <w:sz w:val="20"/>
                <w:szCs w:val="20"/>
              </w:rPr>
            </w:pPr>
            <w:r w:rsidRPr="00D24A01">
              <w:rPr>
                <w:color w:val="000000" w:themeColor="text1"/>
                <w:sz w:val="20"/>
                <w:szCs w:val="20"/>
              </w:rPr>
              <w:t>0.95</w:t>
            </w:r>
          </w:p>
        </w:tc>
        <w:tc>
          <w:tcPr>
            <w:tcW w:w="1378" w:type="dxa"/>
            <w:tcBorders>
              <w:top w:val="single" w:sz="4" w:space="0" w:color="auto"/>
              <w:bottom w:val="nil"/>
            </w:tcBorders>
            <w:shd w:val="clear" w:color="auto" w:fill="F2F2F2" w:themeFill="background1" w:themeFillShade="F2"/>
            <w:vAlign w:val="center"/>
          </w:tcPr>
          <w:p w14:paraId="1CB5F9FE" w14:textId="77777777" w:rsidR="006B7275" w:rsidRPr="00D24A01" w:rsidRDefault="006B7275" w:rsidP="00BD5391">
            <w:pPr>
              <w:jc w:val="center"/>
              <w:rPr>
                <w:color w:val="000000" w:themeColor="text1"/>
                <w:sz w:val="20"/>
                <w:szCs w:val="20"/>
              </w:rPr>
            </w:pPr>
            <w:r w:rsidRPr="00D24A01">
              <w:rPr>
                <w:color w:val="000000" w:themeColor="text1"/>
                <w:sz w:val="20"/>
                <w:szCs w:val="20"/>
              </w:rPr>
              <w:t>0.88*</w:t>
            </w:r>
          </w:p>
        </w:tc>
        <w:tc>
          <w:tcPr>
            <w:tcW w:w="1378" w:type="dxa"/>
            <w:tcBorders>
              <w:top w:val="single" w:sz="4" w:space="0" w:color="auto"/>
              <w:bottom w:val="nil"/>
            </w:tcBorders>
            <w:shd w:val="clear" w:color="auto" w:fill="F2F2F2" w:themeFill="background1" w:themeFillShade="F2"/>
            <w:vAlign w:val="center"/>
          </w:tcPr>
          <w:p w14:paraId="0C445167" w14:textId="77777777" w:rsidR="006B7275" w:rsidRPr="00D24A01" w:rsidRDefault="006B7275" w:rsidP="00BD5391">
            <w:pPr>
              <w:jc w:val="center"/>
              <w:rPr>
                <w:color w:val="000000" w:themeColor="text1"/>
                <w:sz w:val="20"/>
                <w:szCs w:val="20"/>
              </w:rPr>
            </w:pPr>
            <w:r w:rsidRPr="00D24A01">
              <w:rPr>
                <w:color w:val="000000" w:themeColor="text1"/>
                <w:sz w:val="20"/>
                <w:szCs w:val="20"/>
              </w:rPr>
              <w:t>0.71*</w:t>
            </w:r>
          </w:p>
        </w:tc>
      </w:tr>
      <w:tr w:rsidR="006B7275" w:rsidRPr="00D24A01" w14:paraId="65B53FDB" w14:textId="77777777" w:rsidTr="00BD5391">
        <w:trPr>
          <w:trHeight w:val="300"/>
          <w:jc w:val="center"/>
        </w:trPr>
        <w:tc>
          <w:tcPr>
            <w:tcW w:w="1728" w:type="dxa"/>
            <w:tcBorders>
              <w:top w:val="nil"/>
              <w:bottom w:val="nil"/>
              <w:right w:val="single" w:sz="4" w:space="0" w:color="auto"/>
            </w:tcBorders>
            <w:shd w:val="clear" w:color="auto" w:fill="F2F2F2" w:themeFill="background1" w:themeFillShade="F2"/>
            <w:noWrap/>
            <w:vAlign w:val="center"/>
            <w:hideMark/>
          </w:tcPr>
          <w:p w14:paraId="2508F1A7" w14:textId="77777777" w:rsidR="006B7275" w:rsidRPr="00D24A01" w:rsidRDefault="006B7275" w:rsidP="00BD5391">
            <w:pPr>
              <w:jc w:val="center"/>
              <w:rPr>
                <w:color w:val="000000" w:themeColor="text1"/>
                <w:sz w:val="20"/>
                <w:szCs w:val="20"/>
              </w:rPr>
            </w:pPr>
          </w:p>
        </w:tc>
        <w:tc>
          <w:tcPr>
            <w:tcW w:w="1378" w:type="dxa"/>
            <w:tcBorders>
              <w:top w:val="nil"/>
              <w:left w:val="single" w:sz="4" w:space="0" w:color="auto"/>
              <w:bottom w:val="nil"/>
            </w:tcBorders>
            <w:shd w:val="clear" w:color="auto" w:fill="F2F2F2" w:themeFill="background1" w:themeFillShade="F2"/>
            <w:noWrap/>
            <w:vAlign w:val="center"/>
            <w:hideMark/>
          </w:tcPr>
          <w:p w14:paraId="632B6A0F" w14:textId="77777777" w:rsidR="006B7275" w:rsidRPr="00D24A01" w:rsidRDefault="006B7275" w:rsidP="00BD5391">
            <w:pPr>
              <w:jc w:val="center"/>
              <w:rPr>
                <w:color w:val="000000" w:themeColor="text1"/>
                <w:sz w:val="20"/>
                <w:szCs w:val="20"/>
              </w:rPr>
            </w:pPr>
            <w:r w:rsidRPr="00D24A01">
              <w:rPr>
                <w:color w:val="000000" w:themeColor="text1"/>
                <w:sz w:val="20"/>
                <w:szCs w:val="20"/>
              </w:rPr>
              <w:t>[0.90, 0.96]</w:t>
            </w:r>
          </w:p>
        </w:tc>
        <w:tc>
          <w:tcPr>
            <w:tcW w:w="1378" w:type="dxa"/>
            <w:tcBorders>
              <w:top w:val="nil"/>
              <w:bottom w:val="nil"/>
            </w:tcBorders>
            <w:shd w:val="clear" w:color="auto" w:fill="F2F2F2" w:themeFill="background1" w:themeFillShade="F2"/>
            <w:noWrap/>
            <w:vAlign w:val="center"/>
            <w:hideMark/>
          </w:tcPr>
          <w:p w14:paraId="1390ABDA" w14:textId="77777777" w:rsidR="006B7275" w:rsidRPr="00D24A01" w:rsidRDefault="006B7275" w:rsidP="00BD5391">
            <w:pPr>
              <w:jc w:val="center"/>
              <w:rPr>
                <w:color w:val="000000" w:themeColor="text1"/>
                <w:sz w:val="20"/>
                <w:szCs w:val="20"/>
              </w:rPr>
            </w:pPr>
            <w:r w:rsidRPr="00D24A01">
              <w:rPr>
                <w:color w:val="000000" w:themeColor="text1"/>
                <w:sz w:val="20"/>
                <w:szCs w:val="20"/>
              </w:rPr>
              <w:t>[0.82, 0.92]</w:t>
            </w:r>
          </w:p>
        </w:tc>
        <w:tc>
          <w:tcPr>
            <w:tcW w:w="1378" w:type="dxa"/>
            <w:tcBorders>
              <w:top w:val="nil"/>
              <w:bottom w:val="nil"/>
            </w:tcBorders>
            <w:shd w:val="clear" w:color="auto" w:fill="F2F2F2" w:themeFill="background1" w:themeFillShade="F2"/>
            <w:noWrap/>
            <w:vAlign w:val="center"/>
            <w:hideMark/>
          </w:tcPr>
          <w:p w14:paraId="301D7AFA" w14:textId="77777777" w:rsidR="006B7275" w:rsidRPr="00D24A01" w:rsidRDefault="006B7275" w:rsidP="00BD5391">
            <w:pPr>
              <w:jc w:val="center"/>
              <w:rPr>
                <w:color w:val="000000" w:themeColor="text1"/>
                <w:sz w:val="20"/>
                <w:szCs w:val="20"/>
              </w:rPr>
            </w:pPr>
            <w:r w:rsidRPr="00D24A01">
              <w:rPr>
                <w:color w:val="000000" w:themeColor="text1"/>
                <w:sz w:val="20"/>
                <w:szCs w:val="20"/>
              </w:rPr>
              <w:t>[0.96, 1.03]</w:t>
            </w:r>
          </w:p>
        </w:tc>
        <w:tc>
          <w:tcPr>
            <w:tcW w:w="1378" w:type="dxa"/>
            <w:tcBorders>
              <w:top w:val="nil"/>
              <w:bottom w:val="nil"/>
              <w:right w:val="single" w:sz="4" w:space="0" w:color="auto"/>
            </w:tcBorders>
            <w:shd w:val="clear" w:color="auto" w:fill="F2F2F2" w:themeFill="background1" w:themeFillShade="F2"/>
            <w:noWrap/>
            <w:vAlign w:val="center"/>
            <w:hideMark/>
          </w:tcPr>
          <w:p w14:paraId="760385CF" w14:textId="77777777" w:rsidR="006B7275" w:rsidRPr="00D24A01" w:rsidRDefault="006B7275" w:rsidP="00BD5391">
            <w:pPr>
              <w:jc w:val="center"/>
              <w:rPr>
                <w:color w:val="000000" w:themeColor="text1"/>
                <w:sz w:val="20"/>
                <w:szCs w:val="20"/>
              </w:rPr>
            </w:pPr>
            <w:r w:rsidRPr="00D24A01">
              <w:rPr>
                <w:color w:val="000000" w:themeColor="text1"/>
                <w:sz w:val="20"/>
                <w:szCs w:val="20"/>
              </w:rPr>
              <w:t>[0.82, 0.94]</w:t>
            </w:r>
          </w:p>
        </w:tc>
        <w:tc>
          <w:tcPr>
            <w:tcW w:w="1378" w:type="dxa"/>
            <w:tcBorders>
              <w:top w:val="nil"/>
              <w:left w:val="single" w:sz="4" w:space="0" w:color="auto"/>
              <w:bottom w:val="nil"/>
            </w:tcBorders>
            <w:shd w:val="clear" w:color="auto" w:fill="F2F2F2" w:themeFill="background1" w:themeFillShade="F2"/>
            <w:vAlign w:val="center"/>
          </w:tcPr>
          <w:p w14:paraId="003150DC" w14:textId="77777777" w:rsidR="006B7275" w:rsidRPr="00D24A01" w:rsidRDefault="006B7275" w:rsidP="00BD5391">
            <w:pPr>
              <w:jc w:val="center"/>
              <w:rPr>
                <w:color w:val="000000" w:themeColor="text1"/>
                <w:sz w:val="20"/>
                <w:szCs w:val="20"/>
              </w:rPr>
            </w:pPr>
            <w:r w:rsidRPr="00D24A01">
              <w:rPr>
                <w:color w:val="000000" w:themeColor="text1"/>
                <w:sz w:val="20"/>
                <w:szCs w:val="20"/>
              </w:rPr>
              <w:t>[1.11, 1.37]</w:t>
            </w:r>
          </w:p>
        </w:tc>
        <w:tc>
          <w:tcPr>
            <w:tcW w:w="1378" w:type="dxa"/>
            <w:tcBorders>
              <w:top w:val="nil"/>
              <w:bottom w:val="nil"/>
            </w:tcBorders>
            <w:shd w:val="clear" w:color="auto" w:fill="F2F2F2" w:themeFill="background1" w:themeFillShade="F2"/>
            <w:vAlign w:val="center"/>
          </w:tcPr>
          <w:p w14:paraId="7EF7C8BB" w14:textId="77777777" w:rsidR="006B7275" w:rsidRPr="00D24A01" w:rsidRDefault="006B7275" w:rsidP="00BD5391">
            <w:pPr>
              <w:jc w:val="center"/>
              <w:rPr>
                <w:color w:val="000000" w:themeColor="text1"/>
                <w:sz w:val="20"/>
                <w:szCs w:val="20"/>
              </w:rPr>
            </w:pPr>
            <w:r w:rsidRPr="00D24A01">
              <w:rPr>
                <w:color w:val="000000" w:themeColor="text1"/>
                <w:sz w:val="20"/>
                <w:szCs w:val="20"/>
              </w:rPr>
              <w:t>[0.87, 1.05]</w:t>
            </w:r>
          </w:p>
        </w:tc>
        <w:tc>
          <w:tcPr>
            <w:tcW w:w="1378" w:type="dxa"/>
            <w:tcBorders>
              <w:top w:val="nil"/>
              <w:bottom w:val="nil"/>
            </w:tcBorders>
            <w:shd w:val="clear" w:color="auto" w:fill="F2F2F2" w:themeFill="background1" w:themeFillShade="F2"/>
            <w:vAlign w:val="center"/>
          </w:tcPr>
          <w:p w14:paraId="02DCB2B6" w14:textId="77777777" w:rsidR="006B7275" w:rsidRPr="00D24A01" w:rsidRDefault="006B7275" w:rsidP="00BD5391">
            <w:pPr>
              <w:jc w:val="center"/>
              <w:rPr>
                <w:color w:val="000000" w:themeColor="text1"/>
                <w:sz w:val="20"/>
                <w:szCs w:val="20"/>
              </w:rPr>
            </w:pPr>
            <w:r w:rsidRPr="00D24A01">
              <w:rPr>
                <w:color w:val="000000" w:themeColor="text1"/>
                <w:sz w:val="20"/>
                <w:szCs w:val="20"/>
              </w:rPr>
              <w:t>[0.84, 0.94]</w:t>
            </w:r>
          </w:p>
        </w:tc>
        <w:tc>
          <w:tcPr>
            <w:tcW w:w="1378" w:type="dxa"/>
            <w:tcBorders>
              <w:top w:val="nil"/>
              <w:bottom w:val="nil"/>
            </w:tcBorders>
            <w:shd w:val="clear" w:color="auto" w:fill="F2F2F2" w:themeFill="background1" w:themeFillShade="F2"/>
            <w:vAlign w:val="center"/>
          </w:tcPr>
          <w:p w14:paraId="67C0ACE2" w14:textId="77777777" w:rsidR="006B7275" w:rsidRPr="00D24A01" w:rsidRDefault="006B7275" w:rsidP="00BD5391">
            <w:pPr>
              <w:jc w:val="center"/>
              <w:rPr>
                <w:color w:val="000000" w:themeColor="text1"/>
                <w:sz w:val="20"/>
                <w:szCs w:val="20"/>
              </w:rPr>
            </w:pPr>
            <w:r w:rsidRPr="00D24A01">
              <w:rPr>
                <w:color w:val="000000" w:themeColor="text1"/>
                <w:sz w:val="20"/>
                <w:szCs w:val="20"/>
              </w:rPr>
              <w:t>[0.65, 0.77]</w:t>
            </w:r>
          </w:p>
        </w:tc>
      </w:tr>
      <w:tr w:rsidR="006B7275" w:rsidRPr="00D24A01" w14:paraId="554696F7" w14:textId="77777777" w:rsidTr="00BD5391">
        <w:trPr>
          <w:trHeight w:val="300"/>
          <w:jc w:val="center"/>
        </w:trPr>
        <w:tc>
          <w:tcPr>
            <w:tcW w:w="1728" w:type="dxa"/>
            <w:tcBorders>
              <w:top w:val="nil"/>
              <w:bottom w:val="single" w:sz="4" w:space="0" w:color="auto"/>
              <w:right w:val="single" w:sz="4" w:space="0" w:color="auto"/>
            </w:tcBorders>
            <w:shd w:val="clear" w:color="auto" w:fill="F2F2F2" w:themeFill="background1" w:themeFillShade="F2"/>
            <w:noWrap/>
            <w:vAlign w:val="center"/>
            <w:hideMark/>
          </w:tcPr>
          <w:p w14:paraId="755F98A9" w14:textId="77777777" w:rsidR="006B7275" w:rsidRPr="00D24A01" w:rsidRDefault="006B7275" w:rsidP="00BD5391">
            <w:pPr>
              <w:jc w:val="center"/>
              <w:rPr>
                <w:color w:val="000000" w:themeColor="text1"/>
                <w:sz w:val="20"/>
                <w:szCs w:val="20"/>
              </w:rPr>
            </w:pPr>
          </w:p>
        </w:tc>
        <w:tc>
          <w:tcPr>
            <w:tcW w:w="1378" w:type="dxa"/>
            <w:tcBorders>
              <w:top w:val="nil"/>
              <w:left w:val="single" w:sz="4" w:space="0" w:color="auto"/>
              <w:bottom w:val="single" w:sz="4" w:space="0" w:color="auto"/>
            </w:tcBorders>
            <w:shd w:val="clear" w:color="auto" w:fill="F2F2F2" w:themeFill="background1" w:themeFillShade="F2"/>
            <w:noWrap/>
            <w:vAlign w:val="center"/>
            <w:hideMark/>
          </w:tcPr>
          <w:p w14:paraId="6F707F02" w14:textId="77777777" w:rsidR="006B7275" w:rsidRPr="00D24A01" w:rsidRDefault="006B7275" w:rsidP="00BD5391">
            <w:pPr>
              <w:jc w:val="center"/>
              <w:rPr>
                <w:color w:val="000000" w:themeColor="text1"/>
                <w:sz w:val="20"/>
                <w:szCs w:val="20"/>
              </w:rPr>
            </w:pPr>
            <w:r w:rsidRPr="00D24A01">
              <w:rPr>
                <w:color w:val="000000" w:themeColor="text1"/>
                <w:sz w:val="20"/>
                <w:szCs w:val="20"/>
              </w:rPr>
              <w:t>1.07</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-5</w:t>
            </w:r>
          </w:p>
        </w:tc>
        <w:tc>
          <w:tcPr>
            <w:tcW w:w="1378" w:type="dxa"/>
            <w:tcBorders>
              <w:top w:val="nil"/>
              <w:bottom w:val="single" w:sz="4" w:space="0" w:color="auto"/>
            </w:tcBorders>
            <w:shd w:val="clear" w:color="auto" w:fill="F2F2F2" w:themeFill="background1" w:themeFillShade="F2"/>
            <w:noWrap/>
            <w:vAlign w:val="center"/>
            <w:hideMark/>
          </w:tcPr>
          <w:p w14:paraId="49C5540E" w14:textId="77777777" w:rsidR="006B7275" w:rsidRPr="00D24A01" w:rsidRDefault="006B7275" w:rsidP="00BD5391">
            <w:pPr>
              <w:jc w:val="center"/>
              <w:rPr>
                <w:color w:val="000000" w:themeColor="text1"/>
                <w:sz w:val="20"/>
                <w:szCs w:val="20"/>
              </w:rPr>
            </w:pPr>
            <w:r w:rsidRPr="00D24A01">
              <w:rPr>
                <w:color w:val="000000" w:themeColor="text1"/>
                <w:sz w:val="20"/>
                <w:szCs w:val="20"/>
              </w:rPr>
              <w:t>1.89</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6</w:t>
            </w:r>
          </w:p>
        </w:tc>
        <w:tc>
          <w:tcPr>
            <w:tcW w:w="1378" w:type="dxa"/>
            <w:tcBorders>
              <w:top w:val="nil"/>
              <w:bottom w:val="single" w:sz="4" w:space="0" w:color="auto"/>
            </w:tcBorders>
            <w:shd w:val="clear" w:color="auto" w:fill="F2F2F2" w:themeFill="background1" w:themeFillShade="F2"/>
            <w:noWrap/>
            <w:vAlign w:val="center"/>
            <w:hideMark/>
          </w:tcPr>
          <w:p w14:paraId="32367F51" w14:textId="77777777" w:rsidR="006B7275" w:rsidRPr="00D24A01" w:rsidRDefault="006B7275" w:rsidP="00BD5391">
            <w:pPr>
              <w:jc w:val="center"/>
              <w:rPr>
                <w:color w:val="000000" w:themeColor="text1"/>
                <w:sz w:val="20"/>
                <w:szCs w:val="20"/>
              </w:rPr>
            </w:pPr>
            <w:r w:rsidRPr="00D24A01">
              <w:rPr>
                <w:color w:val="000000" w:themeColor="text1"/>
                <w:sz w:val="20"/>
                <w:szCs w:val="20"/>
              </w:rPr>
              <w:t>0.7519</w:t>
            </w:r>
          </w:p>
        </w:tc>
        <w:tc>
          <w:tcPr>
            <w:tcW w:w="1378" w:type="dxa"/>
            <w:tcBorders>
              <w:top w:val="nil"/>
              <w:bottom w:val="single" w:sz="4" w:space="0" w:color="auto"/>
              <w:right w:val="single" w:sz="4" w:space="0" w:color="auto"/>
            </w:tcBorders>
            <w:shd w:val="clear" w:color="auto" w:fill="F2F2F2" w:themeFill="background1" w:themeFillShade="F2"/>
            <w:noWrap/>
            <w:vAlign w:val="center"/>
            <w:hideMark/>
          </w:tcPr>
          <w:p w14:paraId="6FBF2548" w14:textId="77777777" w:rsidR="006B7275" w:rsidRPr="00D24A01" w:rsidRDefault="006B7275" w:rsidP="00BD5391">
            <w:pPr>
              <w:jc w:val="center"/>
              <w:rPr>
                <w:color w:val="000000" w:themeColor="text1"/>
                <w:sz w:val="20"/>
                <w:szCs w:val="20"/>
              </w:rPr>
            </w:pPr>
            <w:r w:rsidRPr="00D24A01">
              <w:rPr>
                <w:color w:val="000000" w:themeColor="text1"/>
                <w:sz w:val="20"/>
                <w:szCs w:val="20"/>
              </w:rPr>
              <w:t>2.43</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4</w:t>
            </w:r>
          </w:p>
        </w:tc>
        <w:tc>
          <w:tcPr>
            <w:tcW w:w="1378" w:type="dxa"/>
            <w:tcBorders>
              <w:top w:val="nil"/>
              <w:left w:val="single" w:sz="4" w:space="0" w:color="auto"/>
              <w:bottom w:val="single" w:sz="4" w:space="0" w:color="auto"/>
            </w:tcBorders>
            <w:shd w:val="clear" w:color="auto" w:fill="F2F2F2" w:themeFill="background1" w:themeFillShade="F2"/>
            <w:vAlign w:val="center"/>
          </w:tcPr>
          <w:p w14:paraId="130639B7" w14:textId="77777777" w:rsidR="006B7275" w:rsidRPr="00D24A01" w:rsidRDefault="006B7275" w:rsidP="00BD5391">
            <w:pPr>
              <w:jc w:val="center"/>
              <w:rPr>
                <w:color w:val="000000" w:themeColor="text1"/>
                <w:sz w:val="20"/>
                <w:szCs w:val="20"/>
              </w:rPr>
            </w:pPr>
            <w:r w:rsidRPr="00D24A01">
              <w:rPr>
                <w:color w:val="000000" w:themeColor="text1"/>
                <w:sz w:val="20"/>
                <w:szCs w:val="20"/>
              </w:rPr>
              <w:t>8.50</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-5</w:t>
            </w:r>
          </w:p>
        </w:tc>
        <w:tc>
          <w:tcPr>
            <w:tcW w:w="1378" w:type="dxa"/>
            <w:tcBorders>
              <w:top w:val="nil"/>
              <w:bottom w:val="single" w:sz="4" w:space="0" w:color="auto"/>
            </w:tcBorders>
            <w:shd w:val="clear" w:color="auto" w:fill="F2F2F2" w:themeFill="background1" w:themeFillShade="F2"/>
            <w:vAlign w:val="center"/>
          </w:tcPr>
          <w:p w14:paraId="70E0CD03" w14:textId="77777777" w:rsidR="006B7275" w:rsidRPr="00D24A01" w:rsidRDefault="006B7275" w:rsidP="00BD5391">
            <w:pPr>
              <w:jc w:val="center"/>
              <w:rPr>
                <w:color w:val="000000" w:themeColor="text1"/>
                <w:sz w:val="20"/>
                <w:szCs w:val="20"/>
              </w:rPr>
            </w:pPr>
            <w:r w:rsidRPr="00D24A01">
              <w:rPr>
                <w:color w:val="000000" w:themeColor="text1"/>
                <w:sz w:val="20"/>
                <w:szCs w:val="20"/>
              </w:rPr>
              <w:t>0.3310</w:t>
            </w:r>
          </w:p>
        </w:tc>
        <w:tc>
          <w:tcPr>
            <w:tcW w:w="1378" w:type="dxa"/>
            <w:tcBorders>
              <w:top w:val="nil"/>
              <w:bottom w:val="single" w:sz="4" w:space="0" w:color="auto"/>
            </w:tcBorders>
            <w:shd w:val="clear" w:color="auto" w:fill="F2F2F2" w:themeFill="background1" w:themeFillShade="F2"/>
            <w:vAlign w:val="center"/>
          </w:tcPr>
          <w:p w14:paraId="7B25DA62" w14:textId="77777777" w:rsidR="006B7275" w:rsidRPr="00D24A01" w:rsidRDefault="006B7275" w:rsidP="00BD5391">
            <w:pPr>
              <w:jc w:val="center"/>
              <w:rPr>
                <w:color w:val="000000" w:themeColor="text1"/>
                <w:sz w:val="20"/>
                <w:szCs w:val="20"/>
              </w:rPr>
            </w:pPr>
            <w:r w:rsidRPr="00D24A01">
              <w:rPr>
                <w:color w:val="000000" w:themeColor="text1"/>
                <w:sz w:val="20"/>
                <w:szCs w:val="20"/>
              </w:rPr>
              <w:t>2.63</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-5</w:t>
            </w:r>
          </w:p>
        </w:tc>
        <w:tc>
          <w:tcPr>
            <w:tcW w:w="1378" w:type="dxa"/>
            <w:tcBorders>
              <w:top w:val="nil"/>
              <w:bottom w:val="single" w:sz="4" w:space="0" w:color="auto"/>
            </w:tcBorders>
            <w:shd w:val="clear" w:color="auto" w:fill="F2F2F2" w:themeFill="background1" w:themeFillShade="F2"/>
            <w:vAlign w:val="center"/>
          </w:tcPr>
          <w:p w14:paraId="7637C9D3" w14:textId="77777777" w:rsidR="006B7275" w:rsidRPr="00D24A01" w:rsidRDefault="006B7275" w:rsidP="00BD5391">
            <w:pPr>
              <w:jc w:val="center"/>
              <w:rPr>
                <w:color w:val="000000" w:themeColor="text1"/>
                <w:sz w:val="20"/>
                <w:szCs w:val="20"/>
              </w:rPr>
            </w:pPr>
            <w:r w:rsidRPr="00D24A01">
              <w:rPr>
                <w:color w:val="000000" w:themeColor="text1"/>
                <w:sz w:val="20"/>
                <w:szCs w:val="20"/>
              </w:rPr>
              <w:t>7.96</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16</w:t>
            </w:r>
          </w:p>
        </w:tc>
      </w:tr>
      <w:tr w:rsidR="006B7275" w:rsidRPr="00D24A01" w14:paraId="08896015" w14:textId="77777777" w:rsidTr="00BD5391">
        <w:trPr>
          <w:trHeight w:val="300"/>
          <w:jc w:val="center"/>
        </w:trPr>
        <w:tc>
          <w:tcPr>
            <w:tcW w:w="1728" w:type="dxa"/>
            <w:tcBorders>
              <w:top w:val="single" w:sz="4" w:space="0" w:color="auto"/>
              <w:right w:val="single" w:sz="4" w:space="0" w:color="auto"/>
            </w:tcBorders>
            <w:shd w:val="clear" w:color="auto" w:fill="auto"/>
            <w:noWrap/>
            <w:vAlign w:val="center"/>
            <w:hideMark/>
          </w:tcPr>
          <w:p w14:paraId="101A708D" w14:textId="77777777" w:rsidR="006B7275" w:rsidRPr="00D24A01" w:rsidRDefault="006B7275" w:rsidP="00BD5391">
            <w:pPr>
              <w:jc w:val="center"/>
              <w:rPr>
                <w:color w:val="000000" w:themeColor="text1"/>
                <w:sz w:val="20"/>
                <w:szCs w:val="20"/>
              </w:rPr>
            </w:pPr>
            <w:r w:rsidRPr="00D24A01">
              <w:rPr>
                <w:color w:val="000000" w:themeColor="text1"/>
                <w:sz w:val="20"/>
                <w:szCs w:val="20"/>
              </w:rPr>
              <w:t>GLS (%)</w:t>
            </w:r>
          </w:p>
        </w:tc>
        <w:tc>
          <w:tcPr>
            <w:tcW w:w="1378" w:type="dxa"/>
            <w:tcBorders>
              <w:top w:val="single" w:sz="4" w:space="0" w:color="auto"/>
              <w:left w:val="single" w:sz="4" w:space="0" w:color="auto"/>
            </w:tcBorders>
            <w:shd w:val="clear" w:color="auto" w:fill="auto"/>
            <w:noWrap/>
            <w:vAlign w:val="center"/>
            <w:hideMark/>
          </w:tcPr>
          <w:p w14:paraId="615C9D7F" w14:textId="77777777" w:rsidR="006B7275" w:rsidRPr="00D24A01" w:rsidRDefault="006B7275" w:rsidP="00BD5391">
            <w:pPr>
              <w:jc w:val="center"/>
              <w:rPr>
                <w:color w:val="000000" w:themeColor="text1"/>
                <w:sz w:val="20"/>
                <w:szCs w:val="20"/>
              </w:rPr>
            </w:pPr>
            <w:r w:rsidRPr="00D24A01">
              <w:rPr>
                <w:color w:val="000000" w:themeColor="text1"/>
                <w:sz w:val="20"/>
                <w:szCs w:val="20"/>
              </w:rPr>
              <w:t>1.03*</w:t>
            </w:r>
          </w:p>
        </w:tc>
        <w:tc>
          <w:tcPr>
            <w:tcW w:w="1378" w:type="dxa"/>
            <w:tcBorders>
              <w:top w:val="single" w:sz="4" w:space="0" w:color="auto"/>
            </w:tcBorders>
            <w:shd w:val="clear" w:color="auto" w:fill="auto"/>
            <w:noWrap/>
            <w:vAlign w:val="center"/>
            <w:hideMark/>
          </w:tcPr>
          <w:p w14:paraId="39130DE5" w14:textId="77777777" w:rsidR="006B7275" w:rsidRPr="00D24A01" w:rsidRDefault="006B7275" w:rsidP="00BD5391">
            <w:pPr>
              <w:jc w:val="center"/>
              <w:rPr>
                <w:color w:val="000000" w:themeColor="text1"/>
                <w:sz w:val="20"/>
                <w:szCs w:val="20"/>
              </w:rPr>
            </w:pPr>
            <w:r w:rsidRPr="00D24A01">
              <w:rPr>
                <w:color w:val="000000" w:themeColor="text1"/>
                <w:sz w:val="20"/>
                <w:szCs w:val="20"/>
              </w:rPr>
              <w:t>1.15*</w:t>
            </w:r>
          </w:p>
        </w:tc>
        <w:tc>
          <w:tcPr>
            <w:tcW w:w="1378" w:type="dxa"/>
            <w:tcBorders>
              <w:top w:val="single" w:sz="4" w:space="0" w:color="auto"/>
            </w:tcBorders>
            <w:shd w:val="clear" w:color="auto" w:fill="auto"/>
            <w:noWrap/>
            <w:vAlign w:val="center"/>
            <w:hideMark/>
          </w:tcPr>
          <w:p w14:paraId="2B08CE3A" w14:textId="77777777" w:rsidR="006B7275" w:rsidRPr="00D24A01" w:rsidRDefault="006B7275" w:rsidP="00BD5391">
            <w:pPr>
              <w:jc w:val="center"/>
              <w:rPr>
                <w:color w:val="000000" w:themeColor="text1"/>
                <w:sz w:val="20"/>
                <w:szCs w:val="20"/>
              </w:rPr>
            </w:pPr>
            <w:r w:rsidRPr="00D24A01">
              <w:rPr>
                <w:color w:val="000000" w:themeColor="text1"/>
                <w:sz w:val="20"/>
                <w:szCs w:val="20"/>
              </w:rPr>
              <w:t>0.97</w:t>
            </w:r>
          </w:p>
        </w:tc>
        <w:tc>
          <w:tcPr>
            <w:tcW w:w="1378" w:type="dxa"/>
            <w:tcBorders>
              <w:top w:val="single" w:sz="4" w:space="0" w:color="auto"/>
              <w:right w:val="single" w:sz="4" w:space="0" w:color="auto"/>
            </w:tcBorders>
            <w:shd w:val="clear" w:color="auto" w:fill="auto"/>
            <w:noWrap/>
            <w:vAlign w:val="center"/>
            <w:hideMark/>
          </w:tcPr>
          <w:p w14:paraId="0BDC5E37" w14:textId="77777777" w:rsidR="006B7275" w:rsidRPr="00D24A01" w:rsidRDefault="006B7275" w:rsidP="00BD5391">
            <w:pPr>
              <w:jc w:val="center"/>
              <w:rPr>
                <w:color w:val="000000" w:themeColor="text1"/>
                <w:sz w:val="20"/>
                <w:szCs w:val="20"/>
              </w:rPr>
            </w:pPr>
            <w:r w:rsidRPr="00D24A01">
              <w:rPr>
                <w:color w:val="000000" w:themeColor="text1"/>
                <w:sz w:val="20"/>
                <w:szCs w:val="20"/>
              </w:rPr>
              <w:t>1.12*</w:t>
            </w:r>
          </w:p>
        </w:tc>
        <w:tc>
          <w:tcPr>
            <w:tcW w:w="1378" w:type="dxa"/>
            <w:tcBorders>
              <w:top w:val="single" w:sz="4" w:space="0" w:color="auto"/>
              <w:left w:val="single" w:sz="4" w:space="0" w:color="auto"/>
            </w:tcBorders>
            <w:shd w:val="clear" w:color="auto" w:fill="auto"/>
            <w:vAlign w:val="center"/>
          </w:tcPr>
          <w:p w14:paraId="201720F9" w14:textId="77777777" w:rsidR="006B7275" w:rsidRPr="00D24A01" w:rsidRDefault="006B7275" w:rsidP="00BD5391">
            <w:pPr>
              <w:jc w:val="center"/>
              <w:rPr>
                <w:color w:val="000000" w:themeColor="text1"/>
                <w:sz w:val="20"/>
                <w:szCs w:val="20"/>
              </w:rPr>
            </w:pPr>
            <w:r w:rsidRPr="00D24A01">
              <w:rPr>
                <w:color w:val="000000" w:themeColor="text1"/>
                <w:sz w:val="20"/>
                <w:szCs w:val="20"/>
              </w:rPr>
              <w:t>1.11</w:t>
            </w:r>
          </w:p>
        </w:tc>
        <w:tc>
          <w:tcPr>
            <w:tcW w:w="1378" w:type="dxa"/>
            <w:tcBorders>
              <w:top w:val="single" w:sz="4" w:space="0" w:color="auto"/>
            </w:tcBorders>
            <w:shd w:val="clear" w:color="auto" w:fill="auto"/>
            <w:vAlign w:val="center"/>
          </w:tcPr>
          <w:p w14:paraId="3258C4C1" w14:textId="77777777" w:rsidR="006B7275" w:rsidRPr="00D24A01" w:rsidRDefault="006B7275" w:rsidP="00BD5391">
            <w:pPr>
              <w:jc w:val="center"/>
              <w:rPr>
                <w:color w:val="000000" w:themeColor="text1"/>
                <w:sz w:val="20"/>
                <w:szCs w:val="20"/>
              </w:rPr>
            </w:pPr>
            <w:r w:rsidRPr="00D24A01">
              <w:rPr>
                <w:color w:val="000000" w:themeColor="text1"/>
                <w:sz w:val="20"/>
                <w:szCs w:val="20"/>
              </w:rPr>
              <w:t>1.04</w:t>
            </w:r>
          </w:p>
        </w:tc>
        <w:tc>
          <w:tcPr>
            <w:tcW w:w="1378" w:type="dxa"/>
            <w:tcBorders>
              <w:top w:val="single" w:sz="4" w:space="0" w:color="auto"/>
            </w:tcBorders>
            <w:shd w:val="clear" w:color="auto" w:fill="auto"/>
            <w:vAlign w:val="center"/>
          </w:tcPr>
          <w:p w14:paraId="1280E0DB" w14:textId="77777777" w:rsidR="006B7275" w:rsidRPr="00D24A01" w:rsidRDefault="006B7275" w:rsidP="00BD5391">
            <w:pPr>
              <w:jc w:val="center"/>
              <w:rPr>
                <w:color w:val="000000" w:themeColor="text1"/>
                <w:sz w:val="20"/>
                <w:szCs w:val="20"/>
              </w:rPr>
            </w:pPr>
            <w:r w:rsidRPr="00D24A01">
              <w:rPr>
                <w:color w:val="000000" w:themeColor="text1"/>
                <w:sz w:val="20"/>
                <w:szCs w:val="20"/>
              </w:rPr>
              <w:t>1.01</w:t>
            </w:r>
          </w:p>
        </w:tc>
        <w:tc>
          <w:tcPr>
            <w:tcW w:w="1378" w:type="dxa"/>
            <w:tcBorders>
              <w:top w:val="single" w:sz="4" w:space="0" w:color="auto"/>
            </w:tcBorders>
            <w:shd w:val="clear" w:color="auto" w:fill="auto"/>
            <w:vAlign w:val="center"/>
          </w:tcPr>
          <w:p w14:paraId="753EE2A2" w14:textId="77777777" w:rsidR="006B7275" w:rsidRPr="00D24A01" w:rsidRDefault="006B7275" w:rsidP="00BD5391">
            <w:pPr>
              <w:jc w:val="center"/>
              <w:rPr>
                <w:color w:val="000000" w:themeColor="text1"/>
                <w:sz w:val="20"/>
                <w:szCs w:val="20"/>
              </w:rPr>
            </w:pPr>
            <w:r w:rsidRPr="00D24A01">
              <w:rPr>
                <w:color w:val="000000" w:themeColor="text1"/>
                <w:sz w:val="20"/>
                <w:szCs w:val="20"/>
              </w:rPr>
              <w:t>1.07</w:t>
            </w:r>
          </w:p>
        </w:tc>
      </w:tr>
      <w:tr w:rsidR="006B7275" w:rsidRPr="00D24A01" w14:paraId="30887787" w14:textId="77777777" w:rsidTr="00BD5391">
        <w:trPr>
          <w:trHeight w:val="300"/>
          <w:jc w:val="center"/>
        </w:trPr>
        <w:tc>
          <w:tcPr>
            <w:tcW w:w="1728" w:type="dxa"/>
            <w:tcBorders>
              <w:right w:val="single" w:sz="4" w:space="0" w:color="auto"/>
            </w:tcBorders>
            <w:shd w:val="clear" w:color="auto" w:fill="auto"/>
            <w:noWrap/>
            <w:vAlign w:val="center"/>
            <w:hideMark/>
          </w:tcPr>
          <w:p w14:paraId="1937C997" w14:textId="77777777" w:rsidR="006B7275" w:rsidRPr="00D24A01" w:rsidRDefault="006B7275" w:rsidP="00BD5391">
            <w:pPr>
              <w:jc w:val="center"/>
              <w:rPr>
                <w:color w:val="000000" w:themeColor="text1"/>
                <w:sz w:val="20"/>
                <w:szCs w:val="20"/>
              </w:rPr>
            </w:pPr>
          </w:p>
        </w:tc>
        <w:tc>
          <w:tcPr>
            <w:tcW w:w="1378" w:type="dxa"/>
            <w:tcBorders>
              <w:left w:val="single" w:sz="4" w:space="0" w:color="auto"/>
            </w:tcBorders>
            <w:shd w:val="clear" w:color="auto" w:fill="auto"/>
            <w:noWrap/>
            <w:vAlign w:val="center"/>
            <w:hideMark/>
          </w:tcPr>
          <w:p w14:paraId="0C3D7608" w14:textId="77777777" w:rsidR="006B7275" w:rsidRPr="00D24A01" w:rsidRDefault="006B7275" w:rsidP="00BD5391">
            <w:pPr>
              <w:jc w:val="center"/>
              <w:rPr>
                <w:color w:val="000000" w:themeColor="text1"/>
                <w:sz w:val="20"/>
                <w:szCs w:val="20"/>
              </w:rPr>
            </w:pPr>
            <w:r w:rsidRPr="00D24A01">
              <w:rPr>
                <w:color w:val="000000" w:themeColor="text1"/>
                <w:sz w:val="20"/>
                <w:szCs w:val="20"/>
              </w:rPr>
              <w:t>[1.00, 1.07]</w:t>
            </w:r>
          </w:p>
        </w:tc>
        <w:tc>
          <w:tcPr>
            <w:tcW w:w="1378" w:type="dxa"/>
            <w:shd w:val="clear" w:color="auto" w:fill="auto"/>
            <w:noWrap/>
            <w:vAlign w:val="center"/>
            <w:hideMark/>
          </w:tcPr>
          <w:p w14:paraId="2CE5D205" w14:textId="77777777" w:rsidR="006B7275" w:rsidRPr="00D24A01" w:rsidRDefault="006B7275" w:rsidP="00BD5391">
            <w:pPr>
              <w:jc w:val="center"/>
              <w:rPr>
                <w:color w:val="000000" w:themeColor="text1"/>
                <w:sz w:val="20"/>
                <w:szCs w:val="20"/>
              </w:rPr>
            </w:pPr>
            <w:r w:rsidRPr="00D24A01">
              <w:rPr>
                <w:color w:val="000000" w:themeColor="text1"/>
                <w:sz w:val="20"/>
                <w:szCs w:val="20"/>
              </w:rPr>
              <w:t>[1.09, 1.21]</w:t>
            </w:r>
          </w:p>
        </w:tc>
        <w:tc>
          <w:tcPr>
            <w:tcW w:w="1378" w:type="dxa"/>
            <w:shd w:val="clear" w:color="auto" w:fill="auto"/>
            <w:noWrap/>
            <w:vAlign w:val="center"/>
            <w:hideMark/>
          </w:tcPr>
          <w:p w14:paraId="07B6DDBD" w14:textId="77777777" w:rsidR="006B7275" w:rsidRPr="00D24A01" w:rsidRDefault="006B7275" w:rsidP="00BD5391">
            <w:pPr>
              <w:jc w:val="center"/>
              <w:rPr>
                <w:color w:val="000000" w:themeColor="text1"/>
                <w:sz w:val="20"/>
                <w:szCs w:val="20"/>
              </w:rPr>
            </w:pPr>
            <w:r w:rsidRPr="00D24A01">
              <w:rPr>
                <w:color w:val="000000" w:themeColor="text1"/>
                <w:sz w:val="20"/>
                <w:szCs w:val="20"/>
              </w:rPr>
              <w:t>[0.94, 1.00]</w:t>
            </w:r>
          </w:p>
        </w:tc>
        <w:tc>
          <w:tcPr>
            <w:tcW w:w="1378" w:type="dxa"/>
            <w:tcBorders>
              <w:right w:val="single" w:sz="4" w:space="0" w:color="auto"/>
            </w:tcBorders>
            <w:shd w:val="clear" w:color="auto" w:fill="auto"/>
            <w:noWrap/>
            <w:vAlign w:val="center"/>
            <w:hideMark/>
          </w:tcPr>
          <w:p w14:paraId="0D655FEC" w14:textId="77777777" w:rsidR="006B7275" w:rsidRPr="00D24A01" w:rsidRDefault="006B7275" w:rsidP="00BD5391">
            <w:pPr>
              <w:jc w:val="center"/>
              <w:rPr>
                <w:color w:val="000000" w:themeColor="text1"/>
                <w:sz w:val="20"/>
                <w:szCs w:val="20"/>
              </w:rPr>
            </w:pPr>
            <w:r w:rsidRPr="00D24A01">
              <w:rPr>
                <w:color w:val="000000" w:themeColor="text1"/>
                <w:sz w:val="20"/>
                <w:szCs w:val="20"/>
              </w:rPr>
              <w:t>[1.05, 1.20]</w:t>
            </w:r>
          </w:p>
        </w:tc>
        <w:tc>
          <w:tcPr>
            <w:tcW w:w="1378" w:type="dxa"/>
            <w:tcBorders>
              <w:left w:val="single" w:sz="4" w:space="0" w:color="auto"/>
            </w:tcBorders>
            <w:shd w:val="clear" w:color="auto" w:fill="auto"/>
            <w:vAlign w:val="center"/>
          </w:tcPr>
          <w:p w14:paraId="051DA66C" w14:textId="77777777" w:rsidR="006B7275" w:rsidRPr="00D24A01" w:rsidRDefault="006B7275" w:rsidP="00BD5391">
            <w:pPr>
              <w:jc w:val="center"/>
              <w:rPr>
                <w:color w:val="000000" w:themeColor="text1"/>
                <w:sz w:val="20"/>
                <w:szCs w:val="20"/>
              </w:rPr>
            </w:pPr>
            <w:r w:rsidRPr="00D24A01">
              <w:rPr>
                <w:color w:val="000000" w:themeColor="text1"/>
                <w:sz w:val="20"/>
                <w:szCs w:val="20"/>
              </w:rPr>
              <w:t>[1.01, 1.22]</w:t>
            </w:r>
          </w:p>
        </w:tc>
        <w:tc>
          <w:tcPr>
            <w:tcW w:w="1378" w:type="dxa"/>
            <w:shd w:val="clear" w:color="auto" w:fill="auto"/>
            <w:vAlign w:val="center"/>
          </w:tcPr>
          <w:p w14:paraId="5D862DDD" w14:textId="77777777" w:rsidR="006B7275" w:rsidRPr="00D24A01" w:rsidRDefault="006B7275" w:rsidP="00BD5391">
            <w:pPr>
              <w:jc w:val="center"/>
              <w:rPr>
                <w:color w:val="000000" w:themeColor="text1"/>
                <w:sz w:val="20"/>
                <w:szCs w:val="20"/>
              </w:rPr>
            </w:pPr>
            <w:r w:rsidRPr="00D24A01">
              <w:rPr>
                <w:color w:val="000000" w:themeColor="text1"/>
                <w:sz w:val="20"/>
                <w:szCs w:val="20"/>
              </w:rPr>
              <w:t>[0.96, 1.14]</w:t>
            </w:r>
          </w:p>
        </w:tc>
        <w:tc>
          <w:tcPr>
            <w:tcW w:w="1378" w:type="dxa"/>
            <w:shd w:val="clear" w:color="auto" w:fill="auto"/>
            <w:vAlign w:val="center"/>
          </w:tcPr>
          <w:p w14:paraId="7F9A4CB3" w14:textId="77777777" w:rsidR="006B7275" w:rsidRPr="00D24A01" w:rsidRDefault="006B7275" w:rsidP="00BD5391">
            <w:pPr>
              <w:jc w:val="center"/>
              <w:rPr>
                <w:color w:val="000000" w:themeColor="text1"/>
                <w:sz w:val="20"/>
                <w:szCs w:val="20"/>
              </w:rPr>
            </w:pPr>
            <w:r w:rsidRPr="00D24A01">
              <w:rPr>
                <w:color w:val="000000" w:themeColor="text1"/>
                <w:sz w:val="20"/>
                <w:szCs w:val="20"/>
              </w:rPr>
              <w:t>[0.95, 1.06]</w:t>
            </w:r>
          </w:p>
        </w:tc>
        <w:tc>
          <w:tcPr>
            <w:tcW w:w="1378" w:type="dxa"/>
            <w:shd w:val="clear" w:color="auto" w:fill="auto"/>
            <w:vAlign w:val="center"/>
          </w:tcPr>
          <w:p w14:paraId="5D7D71ED" w14:textId="77777777" w:rsidR="006B7275" w:rsidRPr="00D24A01" w:rsidRDefault="006B7275" w:rsidP="00BD5391">
            <w:pPr>
              <w:jc w:val="center"/>
              <w:rPr>
                <w:color w:val="000000" w:themeColor="text1"/>
                <w:sz w:val="20"/>
                <w:szCs w:val="20"/>
              </w:rPr>
            </w:pPr>
            <w:r w:rsidRPr="00D24A01">
              <w:rPr>
                <w:color w:val="000000" w:themeColor="text1"/>
                <w:sz w:val="20"/>
                <w:szCs w:val="20"/>
              </w:rPr>
              <w:t>[0.99, 1.16]</w:t>
            </w:r>
          </w:p>
        </w:tc>
      </w:tr>
      <w:tr w:rsidR="006B7275" w:rsidRPr="00D24A01" w14:paraId="506FCD62" w14:textId="77777777" w:rsidTr="00BD5391">
        <w:trPr>
          <w:trHeight w:val="300"/>
          <w:jc w:val="center"/>
        </w:trPr>
        <w:tc>
          <w:tcPr>
            <w:tcW w:w="1728" w:type="dxa"/>
            <w:tcBorders>
              <w:bottom w:val="single" w:sz="4" w:space="0" w:color="auto"/>
              <w:right w:val="single" w:sz="4" w:space="0" w:color="auto"/>
            </w:tcBorders>
            <w:shd w:val="clear" w:color="auto" w:fill="auto"/>
            <w:noWrap/>
            <w:vAlign w:val="center"/>
            <w:hideMark/>
          </w:tcPr>
          <w:p w14:paraId="7E5E3521" w14:textId="77777777" w:rsidR="006B7275" w:rsidRPr="00D24A01" w:rsidRDefault="006B7275" w:rsidP="00BD5391">
            <w:pPr>
              <w:jc w:val="center"/>
              <w:rPr>
                <w:color w:val="000000" w:themeColor="text1"/>
                <w:sz w:val="20"/>
                <w:szCs w:val="20"/>
              </w:rPr>
            </w:pPr>
          </w:p>
        </w:tc>
        <w:tc>
          <w:tcPr>
            <w:tcW w:w="1378" w:type="dxa"/>
            <w:tcBorders>
              <w:left w:val="single" w:sz="4" w:space="0" w:color="auto"/>
            </w:tcBorders>
            <w:shd w:val="clear" w:color="auto" w:fill="auto"/>
            <w:noWrap/>
            <w:vAlign w:val="center"/>
            <w:hideMark/>
          </w:tcPr>
          <w:p w14:paraId="7F2930F0" w14:textId="77777777" w:rsidR="006B7275" w:rsidRPr="00D24A01" w:rsidRDefault="006B7275" w:rsidP="00BD5391">
            <w:pPr>
              <w:jc w:val="center"/>
              <w:rPr>
                <w:color w:val="000000" w:themeColor="text1"/>
                <w:sz w:val="20"/>
                <w:szCs w:val="20"/>
              </w:rPr>
            </w:pPr>
            <w:r w:rsidRPr="00D24A01">
              <w:rPr>
                <w:color w:val="000000" w:themeColor="text1"/>
                <w:sz w:val="20"/>
                <w:szCs w:val="20"/>
              </w:rPr>
              <w:t>0.0251</w:t>
            </w:r>
          </w:p>
        </w:tc>
        <w:tc>
          <w:tcPr>
            <w:tcW w:w="1378" w:type="dxa"/>
            <w:shd w:val="clear" w:color="auto" w:fill="auto"/>
            <w:noWrap/>
            <w:vAlign w:val="center"/>
            <w:hideMark/>
          </w:tcPr>
          <w:p w14:paraId="6A47746D" w14:textId="77777777" w:rsidR="006B7275" w:rsidRPr="00D24A01" w:rsidRDefault="006B7275" w:rsidP="00BD5391">
            <w:pPr>
              <w:jc w:val="center"/>
              <w:rPr>
                <w:color w:val="000000" w:themeColor="text1"/>
                <w:sz w:val="20"/>
                <w:szCs w:val="20"/>
              </w:rPr>
            </w:pPr>
            <w:r w:rsidRPr="00D24A01">
              <w:rPr>
                <w:color w:val="000000" w:themeColor="text1"/>
                <w:sz w:val="20"/>
                <w:szCs w:val="20"/>
              </w:rPr>
              <w:t>9.34</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7</w:t>
            </w:r>
          </w:p>
        </w:tc>
        <w:tc>
          <w:tcPr>
            <w:tcW w:w="1378" w:type="dxa"/>
            <w:shd w:val="clear" w:color="auto" w:fill="auto"/>
            <w:noWrap/>
            <w:vAlign w:val="center"/>
            <w:hideMark/>
          </w:tcPr>
          <w:p w14:paraId="524A6292" w14:textId="77777777" w:rsidR="006B7275" w:rsidRPr="00D24A01" w:rsidRDefault="006B7275" w:rsidP="00BD5391">
            <w:pPr>
              <w:jc w:val="center"/>
              <w:rPr>
                <w:color w:val="000000" w:themeColor="text1"/>
                <w:sz w:val="20"/>
                <w:szCs w:val="20"/>
              </w:rPr>
            </w:pPr>
            <w:r w:rsidRPr="00D24A01">
              <w:rPr>
                <w:color w:val="000000" w:themeColor="text1"/>
                <w:sz w:val="20"/>
                <w:szCs w:val="20"/>
              </w:rPr>
              <w:t>0.0382</w:t>
            </w:r>
          </w:p>
        </w:tc>
        <w:tc>
          <w:tcPr>
            <w:tcW w:w="1378" w:type="dxa"/>
            <w:tcBorders>
              <w:right w:val="single" w:sz="4" w:space="0" w:color="auto"/>
            </w:tcBorders>
            <w:shd w:val="clear" w:color="auto" w:fill="auto"/>
            <w:noWrap/>
            <w:vAlign w:val="center"/>
            <w:hideMark/>
          </w:tcPr>
          <w:p w14:paraId="0AB4673D" w14:textId="77777777" w:rsidR="006B7275" w:rsidRPr="00D24A01" w:rsidRDefault="006B7275" w:rsidP="00BD5391">
            <w:pPr>
              <w:jc w:val="center"/>
              <w:rPr>
                <w:color w:val="000000" w:themeColor="text1"/>
                <w:sz w:val="20"/>
                <w:szCs w:val="20"/>
              </w:rPr>
            </w:pPr>
            <w:r w:rsidRPr="00D24A01">
              <w:rPr>
                <w:color w:val="000000" w:themeColor="text1"/>
                <w:sz w:val="20"/>
                <w:szCs w:val="20"/>
              </w:rPr>
              <w:t>9.47</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4</w:t>
            </w:r>
          </w:p>
        </w:tc>
        <w:tc>
          <w:tcPr>
            <w:tcW w:w="1378" w:type="dxa"/>
            <w:tcBorders>
              <w:left w:val="single" w:sz="4" w:space="0" w:color="auto"/>
              <w:bottom w:val="single" w:sz="4" w:space="0" w:color="auto"/>
            </w:tcBorders>
            <w:shd w:val="clear" w:color="auto" w:fill="auto"/>
            <w:vAlign w:val="center"/>
          </w:tcPr>
          <w:p w14:paraId="45E94DBA" w14:textId="77777777" w:rsidR="006B7275" w:rsidRPr="00D24A01" w:rsidRDefault="006B7275" w:rsidP="00BD5391">
            <w:pPr>
              <w:jc w:val="center"/>
              <w:rPr>
                <w:color w:val="000000" w:themeColor="text1"/>
                <w:sz w:val="20"/>
                <w:szCs w:val="20"/>
              </w:rPr>
            </w:pPr>
            <w:r w:rsidRPr="00D24A01">
              <w:rPr>
                <w:color w:val="000000" w:themeColor="text1"/>
                <w:sz w:val="20"/>
                <w:szCs w:val="20"/>
              </w:rPr>
              <w:t>0.0387</w:t>
            </w:r>
          </w:p>
        </w:tc>
        <w:tc>
          <w:tcPr>
            <w:tcW w:w="1378" w:type="dxa"/>
            <w:tcBorders>
              <w:bottom w:val="single" w:sz="4" w:space="0" w:color="auto"/>
            </w:tcBorders>
            <w:shd w:val="clear" w:color="auto" w:fill="auto"/>
            <w:vAlign w:val="center"/>
          </w:tcPr>
          <w:p w14:paraId="2257A5C0" w14:textId="77777777" w:rsidR="006B7275" w:rsidRPr="00D24A01" w:rsidRDefault="006B7275" w:rsidP="00BD5391">
            <w:pPr>
              <w:jc w:val="center"/>
              <w:rPr>
                <w:color w:val="000000" w:themeColor="text1"/>
                <w:sz w:val="20"/>
                <w:szCs w:val="20"/>
              </w:rPr>
            </w:pPr>
            <w:r w:rsidRPr="00D24A01">
              <w:rPr>
                <w:color w:val="000000" w:themeColor="text1"/>
                <w:sz w:val="20"/>
                <w:szCs w:val="20"/>
              </w:rPr>
              <w:t>0.3420</w:t>
            </w:r>
          </w:p>
        </w:tc>
        <w:tc>
          <w:tcPr>
            <w:tcW w:w="1378" w:type="dxa"/>
            <w:tcBorders>
              <w:bottom w:val="single" w:sz="4" w:space="0" w:color="auto"/>
            </w:tcBorders>
            <w:shd w:val="clear" w:color="auto" w:fill="auto"/>
            <w:vAlign w:val="center"/>
          </w:tcPr>
          <w:p w14:paraId="177E6DAD" w14:textId="77777777" w:rsidR="006B7275" w:rsidRPr="00D24A01" w:rsidRDefault="006B7275" w:rsidP="00BD5391">
            <w:pPr>
              <w:jc w:val="center"/>
              <w:rPr>
                <w:color w:val="000000" w:themeColor="text1"/>
                <w:sz w:val="20"/>
                <w:szCs w:val="20"/>
              </w:rPr>
            </w:pPr>
            <w:r w:rsidRPr="00D24A01">
              <w:rPr>
                <w:color w:val="000000" w:themeColor="text1"/>
                <w:sz w:val="20"/>
                <w:szCs w:val="20"/>
              </w:rPr>
              <w:t>0.8414</w:t>
            </w:r>
          </w:p>
        </w:tc>
        <w:tc>
          <w:tcPr>
            <w:tcW w:w="1378" w:type="dxa"/>
            <w:tcBorders>
              <w:bottom w:val="single" w:sz="4" w:space="0" w:color="auto"/>
            </w:tcBorders>
            <w:shd w:val="clear" w:color="auto" w:fill="auto"/>
            <w:vAlign w:val="center"/>
          </w:tcPr>
          <w:p w14:paraId="68423ECB" w14:textId="77777777" w:rsidR="006B7275" w:rsidRPr="00D24A01" w:rsidRDefault="006B7275" w:rsidP="00BD5391">
            <w:pPr>
              <w:jc w:val="center"/>
              <w:rPr>
                <w:color w:val="000000" w:themeColor="text1"/>
                <w:sz w:val="20"/>
                <w:szCs w:val="20"/>
              </w:rPr>
            </w:pPr>
            <w:r w:rsidRPr="00D24A01">
              <w:rPr>
                <w:color w:val="000000" w:themeColor="text1"/>
                <w:sz w:val="20"/>
                <w:szCs w:val="20"/>
              </w:rPr>
              <w:t>0.0836</w:t>
            </w:r>
          </w:p>
        </w:tc>
      </w:tr>
    </w:tbl>
    <w:p w14:paraId="6C27080F" w14:textId="77777777" w:rsidR="006B7275" w:rsidRPr="0089756C" w:rsidRDefault="006B7275" w:rsidP="006B7275">
      <w:pPr>
        <w:spacing w:line="276" w:lineRule="auto"/>
        <w:rPr>
          <w:sz w:val="22"/>
          <w:szCs w:val="22"/>
          <w:shd w:val="clear" w:color="auto" w:fill="FFFFFF"/>
        </w:rPr>
      </w:pPr>
      <w:r w:rsidRPr="0089756C">
        <w:rPr>
          <w:b/>
          <w:bCs/>
          <w:sz w:val="22"/>
          <w:szCs w:val="22"/>
          <w:shd w:val="clear" w:color="auto" w:fill="FFFFFF"/>
        </w:rPr>
        <w:t>Table 2 footnote.</w:t>
      </w:r>
      <w:r w:rsidRPr="0089756C">
        <w:rPr>
          <w:sz w:val="22"/>
          <w:szCs w:val="22"/>
          <w:shd w:val="clear" w:color="auto" w:fill="FFFFFF"/>
        </w:rPr>
        <w:t xml:space="preserve"> </w:t>
      </w:r>
      <w:r w:rsidRPr="0089756C">
        <w:rPr>
          <w:sz w:val="22"/>
          <w:szCs w:val="22"/>
        </w:rPr>
        <w:t xml:space="preserve">Results are </w:t>
      </w:r>
      <w:r w:rsidRPr="0089756C">
        <w:rPr>
          <w:sz w:val="22"/>
          <w:szCs w:val="22"/>
          <w:shd w:val="clear" w:color="auto" w:fill="FFFFFF"/>
        </w:rPr>
        <w:t>odds ratios</w:t>
      </w:r>
      <w:r w:rsidRPr="0089756C">
        <w:rPr>
          <w:sz w:val="22"/>
          <w:szCs w:val="22"/>
        </w:rPr>
        <w:t xml:space="preserve">, 95% confidence intervals, and p-values. </w:t>
      </w:r>
      <w:r>
        <w:rPr>
          <w:sz w:val="22"/>
          <w:szCs w:val="22"/>
        </w:rPr>
        <w:t>Models are logistic regression models with disease of interest entered as the response (outcome) variable. F</w:t>
      </w:r>
      <w:r w:rsidRPr="0089756C">
        <w:rPr>
          <w:sz w:val="22"/>
          <w:szCs w:val="22"/>
        </w:rPr>
        <w:t>or the vascular risk factor models</w:t>
      </w:r>
      <w:r>
        <w:rPr>
          <w:sz w:val="22"/>
          <w:szCs w:val="22"/>
        </w:rPr>
        <w:t>, covariates</w:t>
      </w:r>
      <w:r w:rsidRPr="0089756C">
        <w:rPr>
          <w:sz w:val="22"/>
          <w:szCs w:val="22"/>
        </w:rPr>
        <w:t xml:space="preserve"> </w:t>
      </w:r>
      <w:r>
        <w:rPr>
          <w:sz w:val="22"/>
          <w:szCs w:val="22"/>
        </w:rPr>
        <w:t>include</w:t>
      </w:r>
      <w:r w:rsidRPr="0089756C">
        <w:rPr>
          <w:sz w:val="22"/>
          <w:szCs w:val="22"/>
        </w:rPr>
        <w:t xml:space="preserve"> </w:t>
      </w:r>
      <w:r>
        <w:rPr>
          <w:sz w:val="22"/>
          <w:szCs w:val="22"/>
        </w:rPr>
        <w:t>mutually entered PCA rotated CMR metrics (</w:t>
      </w:r>
      <w:r w:rsidRPr="0089756C">
        <w:rPr>
          <w:sz w:val="22"/>
          <w:szCs w:val="22"/>
          <w:shd w:val="clear" w:color="auto" w:fill="FFFFFF"/>
        </w:rPr>
        <w:t xml:space="preserve">LAV, LAEF, LVM/LVEDV, GLS, </w:t>
      </w:r>
      <w:r>
        <w:rPr>
          <w:sz w:val="22"/>
          <w:szCs w:val="22"/>
          <w:shd w:val="clear" w:color="auto" w:fill="FFFFFF"/>
        </w:rPr>
        <w:t>LV</w:t>
      </w:r>
      <w:r w:rsidRPr="0089756C">
        <w:rPr>
          <w:sz w:val="22"/>
          <w:szCs w:val="22"/>
          <w:shd w:val="clear" w:color="auto" w:fill="FFFFFF"/>
        </w:rPr>
        <w:t>GLFI</w:t>
      </w:r>
      <w:r>
        <w:rPr>
          <w:sz w:val="22"/>
          <w:szCs w:val="22"/>
          <w:shd w:val="clear" w:color="auto" w:fill="FFFFFF"/>
        </w:rPr>
        <w:t>),</w:t>
      </w:r>
      <w:r w:rsidRPr="0089756C">
        <w:rPr>
          <w:sz w:val="22"/>
          <w:szCs w:val="22"/>
          <w:shd w:val="clear" w:color="auto" w:fill="FFFFFF"/>
        </w:rPr>
        <w:t xml:space="preserve"> age, sex, ethnicity, deprivation, education, body mass index, physical activity, and all the VRFs </w:t>
      </w:r>
      <w:r>
        <w:rPr>
          <w:sz w:val="22"/>
          <w:szCs w:val="22"/>
          <w:shd w:val="clear" w:color="auto" w:fill="FFFFFF"/>
        </w:rPr>
        <w:t>(</w:t>
      </w:r>
      <w:r w:rsidRPr="0089756C">
        <w:rPr>
          <w:sz w:val="22"/>
          <w:szCs w:val="22"/>
          <w:shd w:val="clear" w:color="auto" w:fill="FFFFFF"/>
        </w:rPr>
        <w:t xml:space="preserve">except the one set as the </w:t>
      </w:r>
      <w:r>
        <w:rPr>
          <w:sz w:val="22"/>
          <w:szCs w:val="22"/>
          <w:shd w:val="clear" w:color="auto" w:fill="FFFFFF"/>
        </w:rPr>
        <w:t>model outcome)</w:t>
      </w:r>
      <w:r w:rsidRPr="0089756C">
        <w:rPr>
          <w:sz w:val="22"/>
          <w:szCs w:val="22"/>
          <w:shd w:val="clear" w:color="auto" w:fill="FFFFFF"/>
        </w:rPr>
        <w:t>.</w:t>
      </w:r>
      <w:r w:rsidRPr="0089756C">
        <w:rPr>
          <w:sz w:val="22"/>
          <w:szCs w:val="22"/>
        </w:rPr>
        <w:t xml:space="preserve"> </w:t>
      </w:r>
      <w:r>
        <w:rPr>
          <w:sz w:val="22"/>
          <w:szCs w:val="22"/>
        </w:rPr>
        <w:t>F</w:t>
      </w:r>
      <w:r w:rsidRPr="0089756C">
        <w:rPr>
          <w:sz w:val="22"/>
          <w:szCs w:val="22"/>
        </w:rPr>
        <w:t>or</w:t>
      </w:r>
      <w:r w:rsidRPr="0089756C">
        <w:rPr>
          <w:sz w:val="22"/>
          <w:szCs w:val="22"/>
          <w:shd w:val="clear" w:color="auto" w:fill="FFFFFF"/>
        </w:rPr>
        <w:t xml:space="preserve"> the prevalent cardiovascular disease models </w:t>
      </w:r>
      <w:r>
        <w:rPr>
          <w:sz w:val="22"/>
          <w:szCs w:val="22"/>
          <w:shd w:val="clear" w:color="auto" w:fill="FFFFFF"/>
        </w:rPr>
        <w:t>covariates include</w:t>
      </w:r>
      <w:r w:rsidRPr="0089756C">
        <w:rPr>
          <w:sz w:val="22"/>
          <w:szCs w:val="22"/>
          <w:shd w:val="clear" w:color="auto" w:fill="FFFFFF"/>
        </w:rPr>
        <w:t xml:space="preserve"> </w:t>
      </w:r>
      <w:r>
        <w:rPr>
          <w:sz w:val="22"/>
          <w:szCs w:val="22"/>
        </w:rPr>
        <w:t>mutually entered PCA rotated CMR metrics (</w:t>
      </w:r>
      <w:r w:rsidRPr="0089756C">
        <w:rPr>
          <w:sz w:val="22"/>
          <w:szCs w:val="22"/>
          <w:shd w:val="clear" w:color="auto" w:fill="FFFFFF"/>
        </w:rPr>
        <w:t xml:space="preserve">LAV, LAEF, LVM/LVEDV, GLS, </w:t>
      </w:r>
      <w:r>
        <w:rPr>
          <w:sz w:val="22"/>
          <w:szCs w:val="22"/>
          <w:shd w:val="clear" w:color="auto" w:fill="FFFFFF"/>
        </w:rPr>
        <w:t>LV</w:t>
      </w:r>
      <w:r w:rsidRPr="0089756C">
        <w:rPr>
          <w:sz w:val="22"/>
          <w:szCs w:val="22"/>
          <w:shd w:val="clear" w:color="auto" w:fill="FFFFFF"/>
        </w:rPr>
        <w:t>GLFI</w:t>
      </w:r>
      <w:r>
        <w:rPr>
          <w:sz w:val="22"/>
          <w:szCs w:val="22"/>
          <w:shd w:val="clear" w:color="auto" w:fill="FFFFFF"/>
        </w:rPr>
        <w:t>)</w:t>
      </w:r>
      <w:r w:rsidRPr="0089756C">
        <w:rPr>
          <w:sz w:val="22"/>
          <w:szCs w:val="22"/>
          <w:shd w:val="clear" w:color="auto" w:fill="FFFFFF"/>
        </w:rPr>
        <w:t xml:space="preserve">, age, sex, ethnicity, deprivation, education, body mass index, physical activity, hypertension, high cholesterol, diabetes, and smoking. </w:t>
      </w:r>
      <w:r w:rsidRPr="0089756C">
        <w:rPr>
          <w:sz w:val="22"/>
          <w:szCs w:val="22"/>
        </w:rPr>
        <w:t xml:space="preserve">*indicates statistically significant p-values with a false discovery rate of 0.05, giving an approximate threshold of 0.025 for this table. AF: atrial fibrillation, </w:t>
      </w:r>
      <w:r w:rsidRPr="0089756C">
        <w:rPr>
          <w:sz w:val="22"/>
          <w:szCs w:val="22"/>
          <w:shd w:val="clear" w:color="auto" w:fill="FFFFFF"/>
        </w:rPr>
        <w:t>CMR: cardiovascular magnetic resonance, LVGFI: left ventricular global function index, GLS: global longitudinal strain, i: indicates indexation to body surface area, IHD: ischaemic heart disease, LAEF: left atrial ejection fraction, LAV: maximum left atrial volume, LVEDV: left ventricular end-diastolic volume, LVM: left ventricular mass, MI: myocardial infarction</w:t>
      </w:r>
      <w:r>
        <w:rPr>
          <w:sz w:val="22"/>
          <w:szCs w:val="22"/>
          <w:shd w:val="clear" w:color="auto" w:fill="FFFFFF"/>
        </w:rPr>
        <w:t xml:space="preserve">, PCA: </w:t>
      </w:r>
      <w:r w:rsidRPr="0089756C">
        <w:rPr>
          <w:sz w:val="22"/>
          <w:szCs w:val="22"/>
          <w:shd w:val="clear" w:color="auto" w:fill="FFFFFF"/>
        </w:rPr>
        <w:t>principal component analysis.</w:t>
      </w:r>
    </w:p>
    <w:p w14:paraId="306D1106" w14:textId="77777777" w:rsidR="006B7275" w:rsidRDefault="006B7275" w:rsidP="006B7275">
      <w:pPr>
        <w:sectPr w:rsidR="006B7275" w:rsidSect="00804587">
          <w:pgSz w:w="16838" w:h="11906" w:orient="landscape"/>
          <w:pgMar w:top="1440" w:right="1440" w:bottom="1440" w:left="1440" w:header="708" w:footer="708" w:gutter="0"/>
          <w:cols w:space="708"/>
          <w:docGrid w:linePitch="360"/>
        </w:sectPr>
      </w:pPr>
    </w:p>
    <w:p w14:paraId="6332EA78" w14:textId="77777777" w:rsidR="006B7275" w:rsidRPr="00877A1D" w:rsidRDefault="006B7275" w:rsidP="006B7275">
      <w:pPr>
        <w:rPr>
          <w:color w:val="000000" w:themeColor="text1"/>
        </w:rPr>
      </w:pPr>
      <w:r w:rsidRPr="00877A1D">
        <w:rPr>
          <w:b/>
          <w:bCs/>
          <w:color w:val="000000" w:themeColor="text1"/>
          <w:sz w:val="22"/>
          <w:szCs w:val="22"/>
        </w:rPr>
        <w:t xml:space="preserve">Table 3. </w:t>
      </w:r>
      <w:r w:rsidRPr="00877A1D">
        <w:rPr>
          <w:b/>
          <w:bCs/>
          <w:color w:val="000000" w:themeColor="text1"/>
          <w:sz w:val="22"/>
          <w:szCs w:val="22"/>
          <w:shd w:val="clear" w:color="auto" w:fill="FFFFFF"/>
        </w:rPr>
        <w:t xml:space="preserve">Associations of mutually adjusted CMR metrics with </w:t>
      </w:r>
      <w:r w:rsidRPr="00877A1D">
        <w:rPr>
          <w:b/>
          <w:bCs/>
          <w:color w:val="000000" w:themeColor="text1"/>
          <w:sz w:val="22"/>
          <w:szCs w:val="22"/>
        </w:rPr>
        <w:t xml:space="preserve">incident cardiovascular disease and mortality outcomes in Cox proportional hazard models </w:t>
      </w:r>
      <w:r w:rsidRPr="00877A1D">
        <w:rPr>
          <w:b/>
          <w:bCs/>
          <w:color w:val="000000" w:themeColor="text1"/>
          <w:sz w:val="22"/>
          <w:szCs w:val="22"/>
          <w:shd w:val="clear" w:color="auto" w:fill="FFFFFF"/>
        </w:rPr>
        <w:t>with full confounder adjustment</w:t>
      </w:r>
    </w:p>
    <w:tbl>
      <w:tblPr>
        <w:tblW w:w="1016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9"/>
        <w:gridCol w:w="1378"/>
        <w:gridCol w:w="1378"/>
        <w:gridCol w:w="1378"/>
        <w:gridCol w:w="1378"/>
        <w:gridCol w:w="1378"/>
        <w:gridCol w:w="1378"/>
      </w:tblGrid>
      <w:tr w:rsidR="006B7275" w:rsidRPr="00877A1D" w14:paraId="0E748773" w14:textId="77777777" w:rsidTr="00BD5391">
        <w:trPr>
          <w:trHeight w:val="320"/>
          <w:jc w:val="center"/>
        </w:trPr>
        <w:tc>
          <w:tcPr>
            <w:tcW w:w="1899" w:type="dxa"/>
            <w:tcBorders>
              <w:top w:val="single" w:sz="4" w:space="0" w:color="auto"/>
              <w:bottom w:val="single" w:sz="4" w:space="0" w:color="auto"/>
              <w:right w:val="single" w:sz="4" w:space="0" w:color="auto"/>
            </w:tcBorders>
            <w:shd w:val="clear" w:color="auto" w:fill="auto"/>
            <w:vAlign w:val="center"/>
            <w:hideMark/>
          </w:tcPr>
          <w:p w14:paraId="3359EEE3" w14:textId="77777777" w:rsidR="006B7275" w:rsidRPr="00877A1D" w:rsidRDefault="006B7275" w:rsidP="00BD5391">
            <w:pPr>
              <w:jc w:val="center"/>
              <w:rPr>
                <w:b/>
                <w:bCs/>
                <w:color w:val="000000" w:themeColor="text1"/>
                <w:sz w:val="20"/>
                <w:szCs w:val="20"/>
              </w:rPr>
            </w:pPr>
            <w:r w:rsidRPr="00877A1D">
              <w:rPr>
                <w:b/>
                <w:bCs/>
                <w:color w:val="000000" w:themeColor="text1"/>
                <w:sz w:val="20"/>
                <w:szCs w:val="20"/>
              </w:rPr>
              <w:t>CMR Metric</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E4685" w14:textId="77777777" w:rsidR="006B7275" w:rsidRPr="00877A1D" w:rsidRDefault="006B7275" w:rsidP="00BD5391">
            <w:pPr>
              <w:jc w:val="center"/>
              <w:rPr>
                <w:b/>
                <w:bCs/>
                <w:color w:val="000000" w:themeColor="text1"/>
                <w:sz w:val="20"/>
                <w:szCs w:val="20"/>
              </w:rPr>
            </w:pPr>
            <w:r w:rsidRPr="00877A1D">
              <w:rPr>
                <w:b/>
                <w:bCs/>
                <w:color w:val="000000" w:themeColor="text1"/>
                <w:sz w:val="20"/>
                <w:szCs w:val="20"/>
              </w:rPr>
              <w:t>AF</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41DCE" w14:textId="77777777" w:rsidR="006B7275" w:rsidRPr="00877A1D" w:rsidRDefault="006B7275" w:rsidP="00BD5391">
            <w:pPr>
              <w:jc w:val="center"/>
              <w:rPr>
                <w:b/>
                <w:bCs/>
                <w:color w:val="000000" w:themeColor="text1"/>
                <w:sz w:val="20"/>
                <w:szCs w:val="20"/>
              </w:rPr>
            </w:pPr>
            <w:r w:rsidRPr="00877A1D">
              <w:rPr>
                <w:b/>
                <w:bCs/>
                <w:color w:val="000000" w:themeColor="text1"/>
                <w:sz w:val="20"/>
                <w:szCs w:val="20"/>
              </w:rPr>
              <w:t>Stroke</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8383C" w14:textId="77777777" w:rsidR="006B7275" w:rsidRPr="00877A1D" w:rsidRDefault="006B7275" w:rsidP="00BD5391">
            <w:pPr>
              <w:jc w:val="center"/>
              <w:rPr>
                <w:b/>
                <w:bCs/>
                <w:color w:val="000000" w:themeColor="text1"/>
                <w:sz w:val="20"/>
                <w:szCs w:val="20"/>
              </w:rPr>
            </w:pPr>
            <w:r w:rsidRPr="00877A1D">
              <w:rPr>
                <w:b/>
                <w:bCs/>
                <w:color w:val="000000" w:themeColor="text1"/>
                <w:sz w:val="20"/>
                <w:szCs w:val="20"/>
              </w:rPr>
              <w:t>IHD</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22BD0" w14:textId="77777777" w:rsidR="006B7275" w:rsidRPr="00877A1D" w:rsidRDefault="006B7275" w:rsidP="00BD5391">
            <w:pPr>
              <w:jc w:val="center"/>
              <w:rPr>
                <w:b/>
                <w:bCs/>
                <w:color w:val="000000" w:themeColor="text1"/>
                <w:sz w:val="20"/>
                <w:szCs w:val="20"/>
              </w:rPr>
            </w:pPr>
            <w:r w:rsidRPr="00877A1D">
              <w:rPr>
                <w:b/>
                <w:bCs/>
                <w:color w:val="000000" w:themeColor="text1"/>
                <w:sz w:val="20"/>
                <w:szCs w:val="20"/>
              </w:rPr>
              <w:t>MI</w:t>
            </w:r>
          </w:p>
        </w:tc>
        <w:tc>
          <w:tcPr>
            <w:tcW w:w="1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7B87D" w14:textId="77777777" w:rsidR="006B7275" w:rsidRPr="00877A1D" w:rsidRDefault="006B7275" w:rsidP="00BD5391">
            <w:pPr>
              <w:jc w:val="center"/>
              <w:rPr>
                <w:b/>
                <w:bCs/>
                <w:color w:val="000000" w:themeColor="text1"/>
                <w:sz w:val="20"/>
                <w:szCs w:val="20"/>
              </w:rPr>
            </w:pPr>
            <w:r w:rsidRPr="00877A1D">
              <w:rPr>
                <w:b/>
                <w:bCs/>
                <w:color w:val="000000" w:themeColor="text1"/>
                <w:sz w:val="20"/>
                <w:szCs w:val="20"/>
              </w:rPr>
              <w:t>All-cause mortality</w:t>
            </w:r>
          </w:p>
        </w:tc>
        <w:tc>
          <w:tcPr>
            <w:tcW w:w="1378" w:type="dxa"/>
            <w:tcBorders>
              <w:top w:val="single" w:sz="4" w:space="0" w:color="auto"/>
              <w:left w:val="single" w:sz="4" w:space="0" w:color="auto"/>
              <w:bottom w:val="single" w:sz="4" w:space="0" w:color="auto"/>
            </w:tcBorders>
            <w:shd w:val="clear" w:color="auto" w:fill="auto"/>
            <w:noWrap/>
            <w:vAlign w:val="center"/>
            <w:hideMark/>
          </w:tcPr>
          <w:p w14:paraId="0BAD326F" w14:textId="77777777" w:rsidR="006B7275" w:rsidRPr="00877A1D" w:rsidRDefault="006B7275" w:rsidP="00BD5391">
            <w:pPr>
              <w:jc w:val="center"/>
              <w:rPr>
                <w:b/>
                <w:bCs/>
                <w:color w:val="000000" w:themeColor="text1"/>
                <w:sz w:val="20"/>
                <w:szCs w:val="20"/>
              </w:rPr>
            </w:pPr>
            <w:r w:rsidRPr="00877A1D">
              <w:rPr>
                <w:b/>
                <w:bCs/>
                <w:color w:val="000000" w:themeColor="text1"/>
                <w:sz w:val="20"/>
                <w:szCs w:val="20"/>
              </w:rPr>
              <w:t>CV</w:t>
            </w:r>
            <w:r>
              <w:rPr>
                <w:b/>
                <w:bCs/>
                <w:color w:val="000000" w:themeColor="text1"/>
                <w:sz w:val="20"/>
                <w:szCs w:val="20"/>
              </w:rPr>
              <w:t>D</w:t>
            </w:r>
            <w:r w:rsidRPr="00877A1D">
              <w:rPr>
                <w:b/>
                <w:bCs/>
                <w:color w:val="000000" w:themeColor="text1"/>
                <w:sz w:val="20"/>
                <w:szCs w:val="20"/>
              </w:rPr>
              <w:t xml:space="preserve"> mortality</w:t>
            </w:r>
          </w:p>
        </w:tc>
      </w:tr>
      <w:tr w:rsidR="006B7275" w:rsidRPr="00325531" w14:paraId="5E1405CD" w14:textId="77777777" w:rsidTr="00BD5391">
        <w:trPr>
          <w:trHeight w:val="300"/>
          <w:jc w:val="center"/>
        </w:trPr>
        <w:tc>
          <w:tcPr>
            <w:tcW w:w="1899" w:type="dxa"/>
            <w:tcBorders>
              <w:top w:val="single" w:sz="4" w:space="0" w:color="auto"/>
              <w:right w:val="single" w:sz="4" w:space="0" w:color="auto"/>
            </w:tcBorders>
            <w:shd w:val="clear" w:color="auto" w:fill="auto"/>
            <w:noWrap/>
            <w:hideMark/>
          </w:tcPr>
          <w:p w14:paraId="277CF6F3" w14:textId="77777777" w:rsidR="006B7275" w:rsidRPr="00325531" w:rsidRDefault="006B7275" w:rsidP="00BD5391">
            <w:pPr>
              <w:jc w:val="center"/>
              <w:rPr>
                <w:color w:val="000000" w:themeColor="text1"/>
                <w:sz w:val="20"/>
                <w:szCs w:val="20"/>
              </w:rPr>
            </w:pPr>
            <w:r w:rsidRPr="00325531">
              <w:rPr>
                <w:color w:val="000000" w:themeColor="text1"/>
                <w:sz w:val="20"/>
                <w:szCs w:val="20"/>
              </w:rPr>
              <w:t>LAVi (ml/m</w:t>
            </w:r>
            <w:r w:rsidRPr="00325531">
              <w:rPr>
                <w:color w:val="000000" w:themeColor="text1"/>
                <w:sz w:val="20"/>
                <w:szCs w:val="20"/>
                <w:vertAlign w:val="superscript"/>
              </w:rPr>
              <w:t>2</w:t>
            </w:r>
            <w:r w:rsidRPr="00325531">
              <w:rPr>
                <w:color w:val="000000" w:themeColor="text1"/>
                <w:sz w:val="20"/>
                <w:szCs w:val="20"/>
              </w:rPr>
              <w:t>)</w:t>
            </w:r>
          </w:p>
        </w:tc>
        <w:tc>
          <w:tcPr>
            <w:tcW w:w="1378" w:type="dxa"/>
            <w:tcBorders>
              <w:top w:val="single" w:sz="4" w:space="0" w:color="auto"/>
              <w:left w:val="single" w:sz="4" w:space="0" w:color="auto"/>
              <w:right w:val="single" w:sz="4" w:space="0" w:color="auto"/>
            </w:tcBorders>
            <w:shd w:val="clear" w:color="auto" w:fill="auto"/>
            <w:noWrap/>
            <w:hideMark/>
          </w:tcPr>
          <w:p w14:paraId="001A8B01" w14:textId="77777777" w:rsidR="006B7275" w:rsidRPr="00325531" w:rsidRDefault="006B7275" w:rsidP="00BD5391">
            <w:pPr>
              <w:jc w:val="center"/>
              <w:rPr>
                <w:color w:val="000000" w:themeColor="text1"/>
                <w:sz w:val="20"/>
                <w:szCs w:val="20"/>
              </w:rPr>
            </w:pPr>
            <w:r w:rsidRPr="00325531">
              <w:rPr>
                <w:color w:val="000000" w:themeColor="text1"/>
                <w:sz w:val="20"/>
                <w:szCs w:val="20"/>
              </w:rPr>
              <w:t>1.47*</w:t>
            </w:r>
          </w:p>
        </w:tc>
        <w:tc>
          <w:tcPr>
            <w:tcW w:w="1378" w:type="dxa"/>
            <w:tcBorders>
              <w:top w:val="single" w:sz="4" w:space="0" w:color="auto"/>
              <w:left w:val="single" w:sz="4" w:space="0" w:color="auto"/>
              <w:right w:val="single" w:sz="4" w:space="0" w:color="auto"/>
            </w:tcBorders>
            <w:shd w:val="clear" w:color="auto" w:fill="auto"/>
            <w:noWrap/>
            <w:hideMark/>
          </w:tcPr>
          <w:p w14:paraId="15536278" w14:textId="77777777" w:rsidR="006B7275" w:rsidRPr="00325531" w:rsidRDefault="006B7275" w:rsidP="00BD5391">
            <w:pPr>
              <w:jc w:val="center"/>
              <w:rPr>
                <w:color w:val="000000" w:themeColor="text1"/>
                <w:sz w:val="20"/>
                <w:szCs w:val="20"/>
              </w:rPr>
            </w:pPr>
            <w:r w:rsidRPr="00325531">
              <w:rPr>
                <w:color w:val="000000" w:themeColor="text1"/>
                <w:sz w:val="20"/>
                <w:szCs w:val="20"/>
              </w:rPr>
              <w:t>1.13</w:t>
            </w:r>
          </w:p>
        </w:tc>
        <w:tc>
          <w:tcPr>
            <w:tcW w:w="1378" w:type="dxa"/>
            <w:tcBorders>
              <w:top w:val="single" w:sz="4" w:space="0" w:color="auto"/>
              <w:left w:val="single" w:sz="4" w:space="0" w:color="auto"/>
              <w:right w:val="single" w:sz="4" w:space="0" w:color="auto"/>
            </w:tcBorders>
            <w:shd w:val="clear" w:color="auto" w:fill="auto"/>
            <w:noWrap/>
            <w:hideMark/>
          </w:tcPr>
          <w:p w14:paraId="3AF56129" w14:textId="77777777" w:rsidR="006B7275" w:rsidRPr="00325531" w:rsidRDefault="006B7275" w:rsidP="00BD5391">
            <w:pPr>
              <w:jc w:val="center"/>
              <w:rPr>
                <w:color w:val="000000" w:themeColor="text1"/>
                <w:sz w:val="20"/>
                <w:szCs w:val="20"/>
              </w:rPr>
            </w:pPr>
            <w:r w:rsidRPr="00325531">
              <w:rPr>
                <w:color w:val="000000" w:themeColor="text1"/>
                <w:sz w:val="20"/>
                <w:szCs w:val="20"/>
              </w:rPr>
              <w:t>1.10</w:t>
            </w:r>
          </w:p>
        </w:tc>
        <w:tc>
          <w:tcPr>
            <w:tcW w:w="1378" w:type="dxa"/>
            <w:tcBorders>
              <w:top w:val="single" w:sz="4" w:space="0" w:color="auto"/>
              <w:left w:val="single" w:sz="4" w:space="0" w:color="auto"/>
              <w:right w:val="single" w:sz="4" w:space="0" w:color="auto"/>
            </w:tcBorders>
            <w:shd w:val="clear" w:color="auto" w:fill="auto"/>
            <w:noWrap/>
            <w:hideMark/>
          </w:tcPr>
          <w:p w14:paraId="729D3DFF" w14:textId="77777777" w:rsidR="006B7275" w:rsidRPr="00325531" w:rsidRDefault="006B7275" w:rsidP="00BD5391">
            <w:pPr>
              <w:jc w:val="center"/>
              <w:rPr>
                <w:color w:val="000000" w:themeColor="text1"/>
                <w:sz w:val="20"/>
                <w:szCs w:val="20"/>
              </w:rPr>
            </w:pPr>
            <w:r w:rsidRPr="00325531">
              <w:rPr>
                <w:color w:val="000000" w:themeColor="text1"/>
                <w:sz w:val="20"/>
                <w:szCs w:val="20"/>
              </w:rPr>
              <w:t>1.06</w:t>
            </w:r>
          </w:p>
        </w:tc>
        <w:tc>
          <w:tcPr>
            <w:tcW w:w="1378" w:type="dxa"/>
            <w:tcBorders>
              <w:top w:val="single" w:sz="4" w:space="0" w:color="auto"/>
              <w:left w:val="single" w:sz="4" w:space="0" w:color="auto"/>
              <w:right w:val="single" w:sz="4" w:space="0" w:color="auto"/>
            </w:tcBorders>
            <w:shd w:val="clear" w:color="auto" w:fill="auto"/>
            <w:noWrap/>
            <w:hideMark/>
          </w:tcPr>
          <w:p w14:paraId="1560610A" w14:textId="77777777" w:rsidR="006B7275" w:rsidRPr="00325531" w:rsidRDefault="006B7275" w:rsidP="00BD5391">
            <w:pPr>
              <w:jc w:val="center"/>
              <w:rPr>
                <w:color w:val="000000" w:themeColor="text1"/>
                <w:sz w:val="20"/>
                <w:szCs w:val="20"/>
              </w:rPr>
            </w:pPr>
            <w:r w:rsidRPr="00325531">
              <w:rPr>
                <w:color w:val="000000" w:themeColor="text1"/>
                <w:sz w:val="20"/>
                <w:szCs w:val="20"/>
              </w:rPr>
              <w:t>1.11</w:t>
            </w:r>
          </w:p>
        </w:tc>
        <w:tc>
          <w:tcPr>
            <w:tcW w:w="1378" w:type="dxa"/>
            <w:tcBorders>
              <w:top w:val="single" w:sz="4" w:space="0" w:color="auto"/>
              <w:left w:val="single" w:sz="4" w:space="0" w:color="auto"/>
            </w:tcBorders>
            <w:shd w:val="clear" w:color="auto" w:fill="auto"/>
            <w:noWrap/>
            <w:hideMark/>
          </w:tcPr>
          <w:p w14:paraId="2D778AC9" w14:textId="77777777" w:rsidR="006B7275" w:rsidRPr="00325531" w:rsidRDefault="006B7275" w:rsidP="00BD5391">
            <w:pPr>
              <w:jc w:val="center"/>
              <w:rPr>
                <w:color w:val="000000" w:themeColor="text1"/>
                <w:sz w:val="20"/>
                <w:szCs w:val="20"/>
              </w:rPr>
            </w:pPr>
            <w:r w:rsidRPr="00325531">
              <w:rPr>
                <w:color w:val="000000" w:themeColor="text1"/>
                <w:sz w:val="20"/>
                <w:szCs w:val="20"/>
              </w:rPr>
              <w:t>1.34*</w:t>
            </w:r>
          </w:p>
        </w:tc>
      </w:tr>
      <w:tr w:rsidR="006B7275" w:rsidRPr="00325531" w14:paraId="4BDD0B98" w14:textId="77777777" w:rsidTr="00BD5391">
        <w:trPr>
          <w:trHeight w:val="300"/>
          <w:jc w:val="center"/>
        </w:trPr>
        <w:tc>
          <w:tcPr>
            <w:tcW w:w="1899" w:type="dxa"/>
            <w:tcBorders>
              <w:right w:val="single" w:sz="4" w:space="0" w:color="auto"/>
            </w:tcBorders>
            <w:shd w:val="clear" w:color="auto" w:fill="auto"/>
            <w:noWrap/>
            <w:hideMark/>
          </w:tcPr>
          <w:p w14:paraId="412F7FEF" w14:textId="77777777" w:rsidR="006B7275" w:rsidRPr="00325531" w:rsidRDefault="006B7275" w:rsidP="00BD5391">
            <w:pPr>
              <w:jc w:val="center"/>
              <w:rPr>
                <w:color w:val="000000" w:themeColor="text1"/>
                <w:sz w:val="20"/>
                <w:szCs w:val="20"/>
              </w:rPr>
            </w:pPr>
          </w:p>
        </w:tc>
        <w:tc>
          <w:tcPr>
            <w:tcW w:w="1378" w:type="dxa"/>
            <w:tcBorders>
              <w:left w:val="single" w:sz="4" w:space="0" w:color="auto"/>
              <w:right w:val="single" w:sz="4" w:space="0" w:color="auto"/>
            </w:tcBorders>
            <w:shd w:val="clear" w:color="auto" w:fill="auto"/>
            <w:noWrap/>
            <w:hideMark/>
          </w:tcPr>
          <w:p w14:paraId="564BD455" w14:textId="77777777" w:rsidR="006B7275" w:rsidRPr="00325531" w:rsidRDefault="006B7275" w:rsidP="00BD5391">
            <w:pPr>
              <w:jc w:val="center"/>
              <w:rPr>
                <w:color w:val="000000" w:themeColor="text1"/>
                <w:sz w:val="20"/>
                <w:szCs w:val="20"/>
              </w:rPr>
            </w:pPr>
            <w:r w:rsidRPr="00325531">
              <w:rPr>
                <w:color w:val="000000" w:themeColor="text1"/>
                <w:sz w:val="20"/>
                <w:szCs w:val="20"/>
              </w:rPr>
              <w:t>[1.28, 1.70]</w:t>
            </w:r>
          </w:p>
        </w:tc>
        <w:tc>
          <w:tcPr>
            <w:tcW w:w="1378" w:type="dxa"/>
            <w:tcBorders>
              <w:left w:val="single" w:sz="4" w:space="0" w:color="auto"/>
              <w:right w:val="single" w:sz="4" w:space="0" w:color="auto"/>
            </w:tcBorders>
            <w:shd w:val="clear" w:color="auto" w:fill="auto"/>
            <w:noWrap/>
            <w:hideMark/>
          </w:tcPr>
          <w:p w14:paraId="361D98EC" w14:textId="77777777" w:rsidR="006B7275" w:rsidRPr="00325531" w:rsidRDefault="006B7275" w:rsidP="00BD5391">
            <w:pPr>
              <w:jc w:val="center"/>
              <w:rPr>
                <w:color w:val="000000" w:themeColor="text1"/>
                <w:sz w:val="20"/>
                <w:szCs w:val="20"/>
              </w:rPr>
            </w:pPr>
            <w:r w:rsidRPr="00325531">
              <w:rPr>
                <w:color w:val="000000" w:themeColor="text1"/>
                <w:sz w:val="20"/>
                <w:szCs w:val="20"/>
              </w:rPr>
              <w:t>[0.98, 1.31]</w:t>
            </w:r>
          </w:p>
        </w:tc>
        <w:tc>
          <w:tcPr>
            <w:tcW w:w="1378" w:type="dxa"/>
            <w:tcBorders>
              <w:left w:val="single" w:sz="4" w:space="0" w:color="auto"/>
              <w:right w:val="single" w:sz="4" w:space="0" w:color="auto"/>
            </w:tcBorders>
            <w:shd w:val="clear" w:color="auto" w:fill="auto"/>
            <w:noWrap/>
            <w:hideMark/>
          </w:tcPr>
          <w:p w14:paraId="2880599F" w14:textId="77777777" w:rsidR="006B7275" w:rsidRPr="00325531" w:rsidRDefault="006B7275" w:rsidP="00BD5391">
            <w:pPr>
              <w:jc w:val="center"/>
              <w:rPr>
                <w:color w:val="000000" w:themeColor="text1"/>
                <w:sz w:val="20"/>
                <w:szCs w:val="20"/>
              </w:rPr>
            </w:pPr>
            <w:r w:rsidRPr="00325531">
              <w:rPr>
                <w:color w:val="000000" w:themeColor="text1"/>
                <w:sz w:val="20"/>
                <w:szCs w:val="20"/>
              </w:rPr>
              <w:t>[1.01, 1.19]</w:t>
            </w:r>
          </w:p>
        </w:tc>
        <w:tc>
          <w:tcPr>
            <w:tcW w:w="1378" w:type="dxa"/>
            <w:tcBorders>
              <w:left w:val="single" w:sz="4" w:space="0" w:color="auto"/>
              <w:right w:val="single" w:sz="4" w:space="0" w:color="auto"/>
            </w:tcBorders>
            <w:shd w:val="clear" w:color="auto" w:fill="auto"/>
            <w:noWrap/>
            <w:hideMark/>
          </w:tcPr>
          <w:p w14:paraId="5EFAF1F7" w14:textId="77777777" w:rsidR="006B7275" w:rsidRPr="00325531" w:rsidRDefault="006B7275" w:rsidP="00BD5391">
            <w:pPr>
              <w:jc w:val="center"/>
              <w:rPr>
                <w:color w:val="000000" w:themeColor="text1"/>
                <w:sz w:val="20"/>
                <w:szCs w:val="20"/>
              </w:rPr>
            </w:pPr>
            <w:r w:rsidRPr="00325531">
              <w:rPr>
                <w:color w:val="000000" w:themeColor="text1"/>
                <w:sz w:val="20"/>
                <w:szCs w:val="20"/>
              </w:rPr>
              <w:t>[0.93, 1.21]</w:t>
            </w:r>
          </w:p>
        </w:tc>
        <w:tc>
          <w:tcPr>
            <w:tcW w:w="1378" w:type="dxa"/>
            <w:tcBorders>
              <w:left w:val="single" w:sz="4" w:space="0" w:color="auto"/>
              <w:right w:val="single" w:sz="4" w:space="0" w:color="auto"/>
            </w:tcBorders>
            <w:shd w:val="clear" w:color="auto" w:fill="auto"/>
            <w:noWrap/>
            <w:hideMark/>
          </w:tcPr>
          <w:p w14:paraId="5C217C53" w14:textId="77777777" w:rsidR="006B7275" w:rsidRPr="00325531" w:rsidRDefault="006B7275" w:rsidP="00BD5391">
            <w:pPr>
              <w:jc w:val="center"/>
              <w:rPr>
                <w:color w:val="000000" w:themeColor="text1"/>
                <w:sz w:val="20"/>
                <w:szCs w:val="20"/>
              </w:rPr>
            </w:pPr>
            <w:r w:rsidRPr="00325531">
              <w:rPr>
                <w:color w:val="000000" w:themeColor="text1"/>
                <w:sz w:val="20"/>
                <w:szCs w:val="20"/>
              </w:rPr>
              <w:t>[1.00, 1.23]</w:t>
            </w:r>
          </w:p>
        </w:tc>
        <w:tc>
          <w:tcPr>
            <w:tcW w:w="1378" w:type="dxa"/>
            <w:tcBorders>
              <w:left w:val="single" w:sz="4" w:space="0" w:color="auto"/>
            </w:tcBorders>
            <w:shd w:val="clear" w:color="auto" w:fill="auto"/>
            <w:noWrap/>
            <w:hideMark/>
          </w:tcPr>
          <w:p w14:paraId="0BAB7610" w14:textId="77777777" w:rsidR="006B7275" w:rsidRPr="00325531" w:rsidRDefault="006B7275" w:rsidP="00BD5391">
            <w:pPr>
              <w:jc w:val="center"/>
              <w:rPr>
                <w:color w:val="000000" w:themeColor="text1"/>
                <w:sz w:val="20"/>
                <w:szCs w:val="20"/>
              </w:rPr>
            </w:pPr>
            <w:r w:rsidRPr="00325531">
              <w:rPr>
                <w:color w:val="000000" w:themeColor="text1"/>
                <w:sz w:val="20"/>
                <w:szCs w:val="20"/>
              </w:rPr>
              <w:t>[1.05, 1.71]</w:t>
            </w:r>
          </w:p>
        </w:tc>
      </w:tr>
      <w:tr w:rsidR="006B7275" w:rsidRPr="00325531" w14:paraId="3C006711" w14:textId="77777777" w:rsidTr="00BD5391">
        <w:trPr>
          <w:trHeight w:val="300"/>
          <w:jc w:val="center"/>
        </w:trPr>
        <w:tc>
          <w:tcPr>
            <w:tcW w:w="1899" w:type="dxa"/>
            <w:tcBorders>
              <w:bottom w:val="single" w:sz="4" w:space="0" w:color="auto"/>
              <w:right w:val="single" w:sz="4" w:space="0" w:color="auto"/>
            </w:tcBorders>
            <w:shd w:val="clear" w:color="auto" w:fill="auto"/>
            <w:noWrap/>
            <w:hideMark/>
          </w:tcPr>
          <w:p w14:paraId="7A12A081" w14:textId="77777777" w:rsidR="006B7275" w:rsidRPr="00325531" w:rsidRDefault="006B7275" w:rsidP="00BD5391">
            <w:pPr>
              <w:jc w:val="center"/>
              <w:rPr>
                <w:color w:val="000000" w:themeColor="text1"/>
                <w:sz w:val="20"/>
                <w:szCs w:val="20"/>
              </w:rPr>
            </w:pPr>
          </w:p>
        </w:tc>
        <w:tc>
          <w:tcPr>
            <w:tcW w:w="1378" w:type="dxa"/>
            <w:tcBorders>
              <w:left w:val="single" w:sz="4" w:space="0" w:color="auto"/>
              <w:bottom w:val="single" w:sz="4" w:space="0" w:color="auto"/>
              <w:right w:val="single" w:sz="4" w:space="0" w:color="auto"/>
            </w:tcBorders>
            <w:shd w:val="clear" w:color="auto" w:fill="auto"/>
            <w:noWrap/>
            <w:hideMark/>
          </w:tcPr>
          <w:p w14:paraId="37A47059" w14:textId="77777777" w:rsidR="006B7275" w:rsidRPr="00325531" w:rsidRDefault="006B7275" w:rsidP="00BD5391">
            <w:pPr>
              <w:jc w:val="center"/>
              <w:rPr>
                <w:color w:val="000000" w:themeColor="text1"/>
                <w:sz w:val="20"/>
                <w:szCs w:val="20"/>
              </w:rPr>
            </w:pPr>
            <w:r w:rsidRPr="00325531">
              <w:rPr>
                <w:color w:val="000000" w:themeColor="text1"/>
                <w:sz w:val="20"/>
                <w:szCs w:val="20"/>
              </w:rPr>
              <w:t>8.46x10-8</w:t>
            </w:r>
          </w:p>
        </w:tc>
        <w:tc>
          <w:tcPr>
            <w:tcW w:w="1378" w:type="dxa"/>
            <w:tcBorders>
              <w:left w:val="single" w:sz="4" w:space="0" w:color="auto"/>
              <w:bottom w:val="single" w:sz="4" w:space="0" w:color="auto"/>
              <w:right w:val="single" w:sz="4" w:space="0" w:color="auto"/>
            </w:tcBorders>
            <w:shd w:val="clear" w:color="auto" w:fill="auto"/>
            <w:noWrap/>
            <w:hideMark/>
          </w:tcPr>
          <w:p w14:paraId="3A76C6FF" w14:textId="77777777" w:rsidR="006B7275" w:rsidRPr="00325531" w:rsidRDefault="006B7275" w:rsidP="00BD5391">
            <w:pPr>
              <w:jc w:val="center"/>
              <w:rPr>
                <w:color w:val="000000" w:themeColor="text1"/>
                <w:sz w:val="20"/>
                <w:szCs w:val="20"/>
              </w:rPr>
            </w:pPr>
            <w:r w:rsidRPr="00325531">
              <w:rPr>
                <w:color w:val="000000" w:themeColor="text1"/>
                <w:sz w:val="20"/>
                <w:szCs w:val="20"/>
              </w:rPr>
              <w:t>0.0807</w:t>
            </w:r>
          </w:p>
        </w:tc>
        <w:tc>
          <w:tcPr>
            <w:tcW w:w="1378" w:type="dxa"/>
            <w:tcBorders>
              <w:left w:val="single" w:sz="4" w:space="0" w:color="auto"/>
              <w:bottom w:val="single" w:sz="4" w:space="0" w:color="auto"/>
              <w:right w:val="single" w:sz="4" w:space="0" w:color="auto"/>
            </w:tcBorders>
            <w:shd w:val="clear" w:color="auto" w:fill="auto"/>
            <w:noWrap/>
            <w:hideMark/>
          </w:tcPr>
          <w:p w14:paraId="79BCF51B" w14:textId="77777777" w:rsidR="006B7275" w:rsidRPr="00325531" w:rsidRDefault="006B7275" w:rsidP="00BD5391">
            <w:pPr>
              <w:jc w:val="center"/>
              <w:rPr>
                <w:color w:val="000000" w:themeColor="text1"/>
                <w:sz w:val="20"/>
                <w:szCs w:val="20"/>
              </w:rPr>
            </w:pPr>
            <w:r w:rsidRPr="00325531">
              <w:rPr>
                <w:color w:val="000000" w:themeColor="text1"/>
                <w:sz w:val="20"/>
                <w:szCs w:val="20"/>
              </w:rPr>
              <w:t>0.0302</w:t>
            </w:r>
          </w:p>
        </w:tc>
        <w:tc>
          <w:tcPr>
            <w:tcW w:w="1378" w:type="dxa"/>
            <w:tcBorders>
              <w:left w:val="single" w:sz="4" w:space="0" w:color="auto"/>
              <w:bottom w:val="single" w:sz="4" w:space="0" w:color="auto"/>
              <w:right w:val="single" w:sz="4" w:space="0" w:color="auto"/>
            </w:tcBorders>
            <w:shd w:val="clear" w:color="auto" w:fill="auto"/>
            <w:noWrap/>
            <w:hideMark/>
          </w:tcPr>
          <w:p w14:paraId="61141028" w14:textId="77777777" w:rsidR="006B7275" w:rsidRPr="00325531" w:rsidRDefault="006B7275" w:rsidP="00BD5391">
            <w:pPr>
              <w:jc w:val="center"/>
              <w:rPr>
                <w:color w:val="000000" w:themeColor="text1"/>
                <w:sz w:val="20"/>
                <w:szCs w:val="20"/>
              </w:rPr>
            </w:pPr>
            <w:r w:rsidRPr="00325531">
              <w:rPr>
                <w:color w:val="000000" w:themeColor="text1"/>
                <w:sz w:val="20"/>
                <w:szCs w:val="20"/>
              </w:rPr>
              <w:t>0.4002</w:t>
            </w:r>
          </w:p>
        </w:tc>
        <w:tc>
          <w:tcPr>
            <w:tcW w:w="1378" w:type="dxa"/>
            <w:tcBorders>
              <w:left w:val="single" w:sz="4" w:space="0" w:color="auto"/>
              <w:bottom w:val="single" w:sz="4" w:space="0" w:color="auto"/>
              <w:right w:val="single" w:sz="4" w:space="0" w:color="auto"/>
            </w:tcBorders>
            <w:shd w:val="clear" w:color="auto" w:fill="auto"/>
            <w:noWrap/>
            <w:hideMark/>
          </w:tcPr>
          <w:p w14:paraId="59BCB867" w14:textId="77777777" w:rsidR="006B7275" w:rsidRPr="00325531" w:rsidRDefault="006B7275" w:rsidP="00BD5391">
            <w:pPr>
              <w:jc w:val="center"/>
              <w:rPr>
                <w:color w:val="000000" w:themeColor="text1"/>
                <w:sz w:val="20"/>
                <w:szCs w:val="20"/>
              </w:rPr>
            </w:pPr>
            <w:r w:rsidRPr="00325531">
              <w:rPr>
                <w:color w:val="000000" w:themeColor="text1"/>
                <w:sz w:val="20"/>
                <w:szCs w:val="20"/>
              </w:rPr>
              <w:t>0.0407</w:t>
            </w:r>
          </w:p>
        </w:tc>
        <w:tc>
          <w:tcPr>
            <w:tcW w:w="1378" w:type="dxa"/>
            <w:tcBorders>
              <w:left w:val="single" w:sz="4" w:space="0" w:color="auto"/>
              <w:bottom w:val="single" w:sz="4" w:space="0" w:color="auto"/>
            </w:tcBorders>
            <w:shd w:val="clear" w:color="auto" w:fill="auto"/>
            <w:noWrap/>
            <w:hideMark/>
          </w:tcPr>
          <w:p w14:paraId="37FB3A82" w14:textId="77777777" w:rsidR="006B7275" w:rsidRPr="00325531" w:rsidRDefault="006B7275" w:rsidP="00BD5391">
            <w:pPr>
              <w:jc w:val="center"/>
              <w:rPr>
                <w:color w:val="000000" w:themeColor="text1"/>
                <w:sz w:val="20"/>
                <w:szCs w:val="20"/>
              </w:rPr>
            </w:pPr>
            <w:r w:rsidRPr="00325531">
              <w:rPr>
                <w:color w:val="000000" w:themeColor="text1"/>
                <w:sz w:val="20"/>
                <w:szCs w:val="20"/>
              </w:rPr>
              <w:t>0.0185</w:t>
            </w:r>
          </w:p>
        </w:tc>
      </w:tr>
      <w:tr w:rsidR="006B7275" w:rsidRPr="00325531" w14:paraId="34321F65" w14:textId="77777777" w:rsidTr="00BD5391">
        <w:trPr>
          <w:trHeight w:val="300"/>
          <w:jc w:val="center"/>
        </w:trPr>
        <w:tc>
          <w:tcPr>
            <w:tcW w:w="1899" w:type="dxa"/>
            <w:tcBorders>
              <w:top w:val="single" w:sz="4" w:space="0" w:color="auto"/>
              <w:bottom w:val="nil"/>
              <w:right w:val="single" w:sz="4" w:space="0" w:color="auto"/>
            </w:tcBorders>
            <w:shd w:val="clear" w:color="auto" w:fill="F2F2F2" w:themeFill="background1" w:themeFillShade="F2"/>
            <w:noWrap/>
            <w:hideMark/>
          </w:tcPr>
          <w:p w14:paraId="767EC8D8" w14:textId="77777777" w:rsidR="006B7275" w:rsidRPr="00325531" w:rsidRDefault="006B7275" w:rsidP="00BD5391">
            <w:pPr>
              <w:jc w:val="center"/>
              <w:rPr>
                <w:color w:val="000000" w:themeColor="text1"/>
                <w:sz w:val="20"/>
                <w:szCs w:val="20"/>
              </w:rPr>
            </w:pPr>
            <w:r w:rsidRPr="00325531">
              <w:rPr>
                <w:color w:val="000000" w:themeColor="text1"/>
                <w:sz w:val="20"/>
                <w:szCs w:val="20"/>
              </w:rPr>
              <w:t>LAEF (%)</w:t>
            </w:r>
          </w:p>
        </w:tc>
        <w:tc>
          <w:tcPr>
            <w:tcW w:w="1378"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78EC0638" w14:textId="77777777" w:rsidR="006B7275" w:rsidRPr="00325531" w:rsidRDefault="006B7275" w:rsidP="00BD5391">
            <w:pPr>
              <w:jc w:val="center"/>
              <w:rPr>
                <w:color w:val="000000" w:themeColor="text1"/>
                <w:sz w:val="20"/>
                <w:szCs w:val="20"/>
              </w:rPr>
            </w:pPr>
            <w:r w:rsidRPr="00325531">
              <w:rPr>
                <w:color w:val="000000" w:themeColor="text1"/>
                <w:sz w:val="20"/>
                <w:szCs w:val="20"/>
              </w:rPr>
              <w:t>0.64*</w:t>
            </w:r>
          </w:p>
        </w:tc>
        <w:tc>
          <w:tcPr>
            <w:tcW w:w="1378"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11B78703" w14:textId="77777777" w:rsidR="006B7275" w:rsidRPr="00325531" w:rsidRDefault="006B7275" w:rsidP="00BD5391">
            <w:pPr>
              <w:jc w:val="center"/>
              <w:rPr>
                <w:color w:val="000000" w:themeColor="text1"/>
                <w:sz w:val="20"/>
                <w:szCs w:val="20"/>
              </w:rPr>
            </w:pPr>
            <w:r w:rsidRPr="00325531">
              <w:rPr>
                <w:color w:val="000000" w:themeColor="text1"/>
                <w:sz w:val="20"/>
                <w:szCs w:val="20"/>
              </w:rPr>
              <w:t>0.83*</w:t>
            </w:r>
          </w:p>
        </w:tc>
        <w:tc>
          <w:tcPr>
            <w:tcW w:w="1378"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48C32A86" w14:textId="77777777" w:rsidR="006B7275" w:rsidRPr="00877A1D" w:rsidRDefault="006B7275" w:rsidP="00BD5391">
            <w:pPr>
              <w:jc w:val="center"/>
              <w:rPr>
                <w:color w:val="000000" w:themeColor="text1"/>
                <w:sz w:val="20"/>
                <w:szCs w:val="20"/>
              </w:rPr>
            </w:pPr>
            <w:r w:rsidRPr="00877A1D">
              <w:rPr>
                <w:color w:val="000000" w:themeColor="text1"/>
                <w:sz w:val="20"/>
                <w:szCs w:val="20"/>
              </w:rPr>
              <w:t>0.88*</w:t>
            </w:r>
          </w:p>
        </w:tc>
        <w:tc>
          <w:tcPr>
            <w:tcW w:w="1378"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02432582" w14:textId="77777777" w:rsidR="006B7275" w:rsidRPr="00877A1D" w:rsidRDefault="006B7275" w:rsidP="00BD5391">
            <w:pPr>
              <w:jc w:val="center"/>
              <w:rPr>
                <w:sz w:val="22"/>
                <w:szCs w:val="22"/>
              </w:rPr>
            </w:pPr>
            <w:r w:rsidRPr="00877A1D">
              <w:rPr>
                <w:sz w:val="22"/>
                <w:szCs w:val="22"/>
              </w:rPr>
              <w:t>0.87*</w:t>
            </w:r>
          </w:p>
        </w:tc>
        <w:tc>
          <w:tcPr>
            <w:tcW w:w="1378"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6502A2FF" w14:textId="77777777" w:rsidR="006B7275" w:rsidRPr="00325531" w:rsidRDefault="006B7275" w:rsidP="00BD5391">
            <w:pPr>
              <w:jc w:val="center"/>
              <w:rPr>
                <w:color w:val="000000" w:themeColor="text1"/>
                <w:sz w:val="20"/>
                <w:szCs w:val="20"/>
              </w:rPr>
            </w:pPr>
            <w:r w:rsidRPr="00325531">
              <w:rPr>
                <w:color w:val="000000" w:themeColor="text1"/>
                <w:sz w:val="20"/>
                <w:szCs w:val="20"/>
              </w:rPr>
              <w:t>0.96</w:t>
            </w:r>
          </w:p>
        </w:tc>
        <w:tc>
          <w:tcPr>
            <w:tcW w:w="1378" w:type="dxa"/>
            <w:tcBorders>
              <w:top w:val="single" w:sz="4" w:space="0" w:color="auto"/>
              <w:left w:val="single" w:sz="4" w:space="0" w:color="auto"/>
              <w:bottom w:val="nil"/>
            </w:tcBorders>
            <w:shd w:val="clear" w:color="auto" w:fill="F2F2F2" w:themeFill="background1" w:themeFillShade="F2"/>
            <w:noWrap/>
            <w:hideMark/>
          </w:tcPr>
          <w:p w14:paraId="31340860" w14:textId="77777777" w:rsidR="006B7275" w:rsidRPr="00325531" w:rsidRDefault="006B7275" w:rsidP="00BD5391">
            <w:pPr>
              <w:jc w:val="center"/>
              <w:rPr>
                <w:color w:val="000000" w:themeColor="text1"/>
                <w:sz w:val="20"/>
                <w:szCs w:val="20"/>
              </w:rPr>
            </w:pPr>
            <w:r w:rsidRPr="00325531">
              <w:rPr>
                <w:color w:val="000000" w:themeColor="text1"/>
                <w:sz w:val="20"/>
                <w:szCs w:val="20"/>
              </w:rPr>
              <w:t>0.85</w:t>
            </w:r>
          </w:p>
        </w:tc>
      </w:tr>
      <w:tr w:rsidR="006B7275" w:rsidRPr="00325531" w14:paraId="31981E5B" w14:textId="77777777" w:rsidTr="00BD5391">
        <w:trPr>
          <w:trHeight w:val="300"/>
          <w:jc w:val="center"/>
        </w:trPr>
        <w:tc>
          <w:tcPr>
            <w:tcW w:w="1899" w:type="dxa"/>
            <w:tcBorders>
              <w:top w:val="nil"/>
              <w:bottom w:val="nil"/>
              <w:right w:val="single" w:sz="4" w:space="0" w:color="auto"/>
            </w:tcBorders>
            <w:shd w:val="clear" w:color="auto" w:fill="F2F2F2" w:themeFill="background1" w:themeFillShade="F2"/>
            <w:noWrap/>
            <w:hideMark/>
          </w:tcPr>
          <w:p w14:paraId="01EB3B57" w14:textId="77777777" w:rsidR="006B7275" w:rsidRPr="00325531" w:rsidRDefault="006B7275" w:rsidP="00BD5391">
            <w:pPr>
              <w:jc w:val="center"/>
              <w:rPr>
                <w:color w:val="000000" w:themeColor="text1"/>
                <w:sz w:val="20"/>
                <w:szCs w:val="20"/>
              </w:rPr>
            </w:pPr>
          </w:p>
        </w:tc>
        <w:tc>
          <w:tcPr>
            <w:tcW w:w="1378" w:type="dxa"/>
            <w:tcBorders>
              <w:top w:val="nil"/>
              <w:left w:val="single" w:sz="4" w:space="0" w:color="auto"/>
              <w:bottom w:val="nil"/>
              <w:right w:val="single" w:sz="4" w:space="0" w:color="auto"/>
            </w:tcBorders>
            <w:shd w:val="clear" w:color="auto" w:fill="F2F2F2" w:themeFill="background1" w:themeFillShade="F2"/>
            <w:noWrap/>
            <w:hideMark/>
          </w:tcPr>
          <w:p w14:paraId="38501D52" w14:textId="77777777" w:rsidR="006B7275" w:rsidRPr="00325531" w:rsidRDefault="006B7275" w:rsidP="00BD5391">
            <w:pPr>
              <w:jc w:val="center"/>
              <w:rPr>
                <w:color w:val="000000" w:themeColor="text1"/>
                <w:sz w:val="20"/>
                <w:szCs w:val="20"/>
              </w:rPr>
            </w:pPr>
            <w:r w:rsidRPr="00325531">
              <w:rPr>
                <w:color w:val="000000" w:themeColor="text1"/>
                <w:sz w:val="20"/>
                <w:szCs w:val="20"/>
              </w:rPr>
              <w:t>[0.56, 0.73]</w:t>
            </w:r>
          </w:p>
        </w:tc>
        <w:tc>
          <w:tcPr>
            <w:tcW w:w="1378" w:type="dxa"/>
            <w:tcBorders>
              <w:top w:val="nil"/>
              <w:left w:val="single" w:sz="4" w:space="0" w:color="auto"/>
              <w:bottom w:val="nil"/>
              <w:right w:val="single" w:sz="4" w:space="0" w:color="auto"/>
            </w:tcBorders>
            <w:shd w:val="clear" w:color="auto" w:fill="F2F2F2" w:themeFill="background1" w:themeFillShade="F2"/>
            <w:noWrap/>
            <w:hideMark/>
          </w:tcPr>
          <w:p w14:paraId="7481ACC7" w14:textId="77777777" w:rsidR="006B7275" w:rsidRPr="00325531" w:rsidRDefault="006B7275" w:rsidP="00BD5391">
            <w:pPr>
              <w:jc w:val="center"/>
              <w:rPr>
                <w:color w:val="000000" w:themeColor="text1"/>
                <w:sz w:val="20"/>
                <w:szCs w:val="20"/>
              </w:rPr>
            </w:pPr>
            <w:r w:rsidRPr="00325531">
              <w:rPr>
                <w:color w:val="000000" w:themeColor="text1"/>
                <w:sz w:val="20"/>
                <w:szCs w:val="20"/>
              </w:rPr>
              <w:t>[0.73, 0.95]</w:t>
            </w:r>
          </w:p>
        </w:tc>
        <w:tc>
          <w:tcPr>
            <w:tcW w:w="1378" w:type="dxa"/>
            <w:tcBorders>
              <w:top w:val="nil"/>
              <w:left w:val="single" w:sz="4" w:space="0" w:color="auto"/>
              <w:bottom w:val="nil"/>
              <w:right w:val="single" w:sz="4" w:space="0" w:color="auto"/>
            </w:tcBorders>
            <w:shd w:val="clear" w:color="auto" w:fill="F2F2F2" w:themeFill="background1" w:themeFillShade="F2"/>
            <w:noWrap/>
            <w:hideMark/>
          </w:tcPr>
          <w:p w14:paraId="2DCE44E8" w14:textId="77777777" w:rsidR="006B7275" w:rsidRPr="00325531" w:rsidRDefault="006B7275" w:rsidP="00BD5391">
            <w:pPr>
              <w:jc w:val="center"/>
              <w:rPr>
                <w:color w:val="000000" w:themeColor="text1"/>
                <w:sz w:val="20"/>
                <w:szCs w:val="20"/>
              </w:rPr>
            </w:pPr>
            <w:r w:rsidRPr="00325531">
              <w:rPr>
                <w:color w:val="000000" w:themeColor="text1"/>
                <w:sz w:val="20"/>
                <w:szCs w:val="20"/>
              </w:rPr>
              <w:t>[0.81, 0.95]</w:t>
            </w:r>
          </w:p>
        </w:tc>
        <w:tc>
          <w:tcPr>
            <w:tcW w:w="1378" w:type="dxa"/>
            <w:tcBorders>
              <w:top w:val="nil"/>
              <w:left w:val="single" w:sz="4" w:space="0" w:color="auto"/>
              <w:bottom w:val="nil"/>
              <w:right w:val="single" w:sz="4" w:space="0" w:color="auto"/>
            </w:tcBorders>
            <w:shd w:val="clear" w:color="auto" w:fill="F2F2F2" w:themeFill="background1" w:themeFillShade="F2"/>
            <w:noWrap/>
            <w:hideMark/>
          </w:tcPr>
          <w:p w14:paraId="5D364070" w14:textId="77777777" w:rsidR="006B7275" w:rsidRPr="00325531" w:rsidRDefault="006B7275" w:rsidP="00BD5391">
            <w:pPr>
              <w:jc w:val="center"/>
              <w:rPr>
                <w:color w:val="000000" w:themeColor="text1"/>
                <w:sz w:val="20"/>
                <w:szCs w:val="20"/>
              </w:rPr>
            </w:pPr>
            <w:r w:rsidRPr="00325531">
              <w:rPr>
                <w:color w:val="000000" w:themeColor="text1"/>
                <w:sz w:val="20"/>
                <w:szCs w:val="20"/>
              </w:rPr>
              <w:t>[0.76, 0.99]</w:t>
            </w:r>
          </w:p>
        </w:tc>
        <w:tc>
          <w:tcPr>
            <w:tcW w:w="1378" w:type="dxa"/>
            <w:tcBorders>
              <w:top w:val="nil"/>
              <w:left w:val="single" w:sz="4" w:space="0" w:color="auto"/>
              <w:bottom w:val="nil"/>
              <w:right w:val="single" w:sz="4" w:space="0" w:color="auto"/>
            </w:tcBorders>
            <w:shd w:val="clear" w:color="auto" w:fill="F2F2F2" w:themeFill="background1" w:themeFillShade="F2"/>
            <w:noWrap/>
            <w:hideMark/>
          </w:tcPr>
          <w:p w14:paraId="0552DF75" w14:textId="77777777" w:rsidR="006B7275" w:rsidRPr="00325531" w:rsidRDefault="006B7275" w:rsidP="00BD5391">
            <w:pPr>
              <w:jc w:val="center"/>
              <w:rPr>
                <w:color w:val="000000" w:themeColor="text1"/>
                <w:sz w:val="20"/>
                <w:szCs w:val="20"/>
              </w:rPr>
            </w:pPr>
            <w:r w:rsidRPr="00325531">
              <w:rPr>
                <w:color w:val="000000" w:themeColor="text1"/>
                <w:sz w:val="20"/>
                <w:szCs w:val="20"/>
              </w:rPr>
              <w:t>[0.87, 1.06]</w:t>
            </w:r>
          </w:p>
        </w:tc>
        <w:tc>
          <w:tcPr>
            <w:tcW w:w="1378" w:type="dxa"/>
            <w:tcBorders>
              <w:top w:val="nil"/>
              <w:left w:val="single" w:sz="4" w:space="0" w:color="auto"/>
              <w:bottom w:val="nil"/>
            </w:tcBorders>
            <w:shd w:val="clear" w:color="auto" w:fill="F2F2F2" w:themeFill="background1" w:themeFillShade="F2"/>
            <w:noWrap/>
            <w:hideMark/>
          </w:tcPr>
          <w:p w14:paraId="57534C04" w14:textId="77777777" w:rsidR="006B7275" w:rsidRPr="00325531" w:rsidRDefault="006B7275" w:rsidP="00BD5391">
            <w:pPr>
              <w:jc w:val="center"/>
              <w:rPr>
                <w:color w:val="000000" w:themeColor="text1"/>
                <w:sz w:val="20"/>
                <w:szCs w:val="20"/>
              </w:rPr>
            </w:pPr>
            <w:r w:rsidRPr="00325531">
              <w:rPr>
                <w:color w:val="000000" w:themeColor="text1"/>
                <w:sz w:val="20"/>
                <w:szCs w:val="20"/>
              </w:rPr>
              <w:t>[0.69, 1.04]</w:t>
            </w:r>
          </w:p>
        </w:tc>
      </w:tr>
      <w:tr w:rsidR="006B7275" w:rsidRPr="00325531" w14:paraId="7937EF52" w14:textId="77777777" w:rsidTr="00BD5391">
        <w:trPr>
          <w:trHeight w:val="300"/>
          <w:jc w:val="center"/>
        </w:trPr>
        <w:tc>
          <w:tcPr>
            <w:tcW w:w="1899" w:type="dxa"/>
            <w:tcBorders>
              <w:top w:val="nil"/>
              <w:bottom w:val="single" w:sz="4" w:space="0" w:color="auto"/>
              <w:right w:val="single" w:sz="4" w:space="0" w:color="auto"/>
            </w:tcBorders>
            <w:shd w:val="clear" w:color="auto" w:fill="F2F2F2" w:themeFill="background1" w:themeFillShade="F2"/>
            <w:noWrap/>
            <w:hideMark/>
          </w:tcPr>
          <w:p w14:paraId="33D147ED" w14:textId="77777777" w:rsidR="006B7275" w:rsidRPr="00325531" w:rsidRDefault="006B7275" w:rsidP="00BD5391">
            <w:pPr>
              <w:jc w:val="center"/>
              <w:rPr>
                <w:color w:val="000000" w:themeColor="text1"/>
                <w:sz w:val="20"/>
                <w:szCs w:val="20"/>
              </w:rPr>
            </w:pPr>
          </w:p>
        </w:tc>
        <w:tc>
          <w:tcPr>
            <w:tcW w:w="137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EC111C8" w14:textId="77777777" w:rsidR="006B7275" w:rsidRPr="00325531" w:rsidRDefault="006B7275" w:rsidP="00BD5391">
            <w:pPr>
              <w:jc w:val="center"/>
              <w:rPr>
                <w:color w:val="000000" w:themeColor="text1"/>
                <w:sz w:val="20"/>
                <w:szCs w:val="20"/>
              </w:rPr>
            </w:pPr>
            <w:r w:rsidRPr="00325531">
              <w:rPr>
                <w:color w:val="000000" w:themeColor="text1"/>
                <w:sz w:val="20"/>
                <w:szCs w:val="20"/>
              </w:rPr>
              <w:t>2.50</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11</w:t>
            </w:r>
          </w:p>
        </w:tc>
        <w:tc>
          <w:tcPr>
            <w:tcW w:w="137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FD418D2" w14:textId="77777777" w:rsidR="006B7275" w:rsidRPr="00325531" w:rsidRDefault="006B7275" w:rsidP="00BD5391">
            <w:pPr>
              <w:jc w:val="center"/>
              <w:rPr>
                <w:color w:val="000000" w:themeColor="text1"/>
                <w:sz w:val="20"/>
                <w:szCs w:val="20"/>
              </w:rPr>
            </w:pPr>
            <w:r w:rsidRPr="00325531">
              <w:rPr>
                <w:color w:val="000000" w:themeColor="text1"/>
                <w:sz w:val="20"/>
                <w:szCs w:val="20"/>
              </w:rPr>
              <w:t>0.0060</w:t>
            </w:r>
          </w:p>
        </w:tc>
        <w:tc>
          <w:tcPr>
            <w:tcW w:w="137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16C9112D" w14:textId="77777777" w:rsidR="006B7275" w:rsidRPr="00325531" w:rsidRDefault="006B7275" w:rsidP="00BD5391">
            <w:pPr>
              <w:jc w:val="center"/>
              <w:rPr>
                <w:color w:val="000000" w:themeColor="text1"/>
                <w:sz w:val="20"/>
                <w:szCs w:val="20"/>
              </w:rPr>
            </w:pPr>
            <w:r w:rsidRPr="00325531">
              <w:rPr>
                <w:color w:val="000000" w:themeColor="text1"/>
                <w:sz w:val="20"/>
                <w:szCs w:val="20"/>
              </w:rPr>
              <w:t>9.95</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w:t>
            </w:r>
            <w:r>
              <w:rPr>
                <w:color w:val="000000" w:themeColor="text1"/>
                <w:sz w:val="20"/>
                <w:szCs w:val="20"/>
                <w:vertAlign w:val="superscript"/>
              </w:rPr>
              <w:t>4</w:t>
            </w:r>
          </w:p>
        </w:tc>
        <w:tc>
          <w:tcPr>
            <w:tcW w:w="137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3AA49981" w14:textId="77777777" w:rsidR="006B7275" w:rsidRPr="00325531" w:rsidRDefault="006B7275" w:rsidP="00BD5391">
            <w:pPr>
              <w:jc w:val="center"/>
              <w:rPr>
                <w:color w:val="000000" w:themeColor="text1"/>
                <w:sz w:val="20"/>
                <w:szCs w:val="20"/>
              </w:rPr>
            </w:pPr>
            <w:r w:rsidRPr="00325531">
              <w:rPr>
                <w:color w:val="000000" w:themeColor="text1"/>
                <w:sz w:val="20"/>
                <w:szCs w:val="20"/>
              </w:rPr>
              <w:t>0.0294</w:t>
            </w:r>
          </w:p>
        </w:tc>
        <w:tc>
          <w:tcPr>
            <w:tcW w:w="137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7A1BF81" w14:textId="77777777" w:rsidR="006B7275" w:rsidRPr="00325531" w:rsidRDefault="006B7275" w:rsidP="00BD5391">
            <w:pPr>
              <w:jc w:val="center"/>
              <w:rPr>
                <w:color w:val="000000" w:themeColor="text1"/>
                <w:sz w:val="20"/>
                <w:szCs w:val="20"/>
              </w:rPr>
            </w:pPr>
            <w:r w:rsidRPr="00325531">
              <w:rPr>
                <w:color w:val="000000" w:themeColor="text1"/>
                <w:sz w:val="20"/>
                <w:szCs w:val="20"/>
              </w:rPr>
              <w:t>0.4029</w:t>
            </w:r>
          </w:p>
        </w:tc>
        <w:tc>
          <w:tcPr>
            <w:tcW w:w="1378" w:type="dxa"/>
            <w:tcBorders>
              <w:top w:val="nil"/>
              <w:left w:val="single" w:sz="4" w:space="0" w:color="auto"/>
              <w:bottom w:val="single" w:sz="4" w:space="0" w:color="auto"/>
            </w:tcBorders>
            <w:shd w:val="clear" w:color="auto" w:fill="F2F2F2" w:themeFill="background1" w:themeFillShade="F2"/>
            <w:noWrap/>
            <w:hideMark/>
          </w:tcPr>
          <w:p w14:paraId="733CA94D" w14:textId="77777777" w:rsidR="006B7275" w:rsidRPr="00325531" w:rsidRDefault="006B7275" w:rsidP="00BD5391">
            <w:pPr>
              <w:jc w:val="center"/>
              <w:rPr>
                <w:color w:val="000000" w:themeColor="text1"/>
                <w:sz w:val="20"/>
                <w:szCs w:val="20"/>
              </w:rPr>
            </w:pPr>
            <w:r w:rsidRPr="00325531">
              <w:rPr>
                <w:color w:val="000000" w:themeColor="text1"/>
                <w:sz w:val="20"/>
                <w:szCs w:val="20"/>
              </w:rPr>
              <w:t>0.1119</w:t>
            </w:r>
          </w:p>
        </w:tc>
      </w:tr>
      <w:tr w:rsidR="006B7275" w:rsidRPr="00325531" w14:paraId="3B907AAD" w14:textId="77777777" w:rsidTr="00BD5391">
        <w:trPr>
          <w:trHeight w:val="300"/>
          <w:jc w:val="center"/>
        </w:trPr>
        <w:tc>
          <w:tcPr>
            <w:tcW w:w="1899" w:type="dxa"/>
            <w:tcBorders>
              <w:top w:val="single" w:sz="4" w:space="0" w:color="auto"/>
              <w:right w:val="single" w:sz="4" w:space="0" w:color="auto"/>
            </w:tcBorders>
            <w:shd w:val="clear" w:color="auto" w:fill="auto"/>
            <w:noWrap/>
            <w:hideMark/>
          </w:tcPr>
          <w:p w14:paraId="71E522D5" w14:textId="77777777" w:rsidR="006B7275" w:rsidRPr="00325531" w:rsidRDefault="006B7275" w:rsidP="00BD5391">
            <w:pPr>
              <w:jc w:val="center"/>
              <w:rPr>
                <w:color w:val="000000" w:themeColor="text1"/>
                <w:sz w:val="20"/>
                <w:szCs w:val="20"/>
              </w:rPr>
            </w:pPr>
            <w:r w:rsidRPr="00325531">
              <w:rPr>
                <w:color w:val="000000" w:themeColor="text1"/>
                <w:sz w:val="20"/>
                <w:szCs w:val="20"/>
              </w:rPr>
              <w:t>LVM: LVEDV</w:t>
            </w:r>
          </w:p>
        </w:tc>
        <w:tc>
          <w:tcPr>
            <w:tcW w:w="1378" w:type="dxa"/>
            <w:tcBorders>
              <w:top w:val="single" w:sz="4" w:space="0" w:color="auto"/>
              <w:left w:val="single" w:sz="4" w:space="0" w:color="auto"/>
              <w:right w:val="single" w:sz="4" w:space="0" w:color="auto"/>
            </w:tcBorders>
            <w:shd w:val="clear" w:color="auto" w:fill="auto"/>
            <w:noWrap/>
            <w:hideMark/>
          </w:tcPr>
          <w:p w14:paraId="7E7643EE" w14:textId="77777777" w:rsidR="006B7275" w:rsidRPr="00325531" w:rsidRDefault="006B7275" w:rsidP="00BD5391">
            <w:pPr>
              <w:jc w:val="center"/>
              <w:rPr>
                <w:color w:val="000000" w:themeColor="text1"/>
                <w:sz w:val="20"/>
                <w:szCs w:val="20"/>
              </w:rPr>
            </w:pPr>
            <w:r w:rsidRPr="00325531">
              <w:rPr>
                <w:color w:val="000000" w:themeColor="text1"/>
                <w:sz w:val="20"/>
                <w:szCs w:val="20"/>
              </w:rPr>
              <w:t>1.06</w:t>
            </w:r>
          </w:p>
        </w:tc>
        <w:tc>
          <w:tcPr>
            <w:tcW w:w="1378" w:type="dxa"/>
            <w:tcBorders>
              <w:top w:val="single" w:sz="4" w:space="0" w:color="auto"/>
              <w:left w:val="single" w:sz="4" w:space="0" w:color="auto"/>
              <w:right w:val="single" w:sz="4" w:space="0" w:color="auto"/>
            </w:tcBorders>
            <w:shd w:val="clear" w:color="auto" w:fill="auto"/>
            <w:noWrap/>
            <w:hideMark/>
          </w:tcPr>
          <w:p w14:paraId="1A18F9B9" w14:textId="77777777" w:rsidR="006B7275" w:rsidRPr="00325531" w:rsidRDefault="006B7275" w:rsidP="00BD5391">
            <w:pPr>
              <w:jc w:val="center"/>
              <w:rPr>
                <w:color w:val="000000" w:themeColor="text1"/>
                <w:sz w:val="20"/>
                <w:szCs w:val="20"/>
              </w:rPr>
            </w:pPr>
            <w:r w:rsidRPr="00325531">
              <w:rPr>
                <w:color w:val="000000" w:themeColor="text1"/>
                <w:sz w:val="20"/>
                <w:szCs w:val="20"/>
              </w:rPr>
              <w:t>1.22*</w:t>
            </w:r>
          </w:p>
        </w:tc>
        <w:tc>
          <w:tcPr>
            <w:tcW w:w="1378" w:type="dxa"/>
            <w:tcBorders>
              <w:top w:val="single" w:sz="4" w:space="0" w:color="auto"/>
              <w:left w:val="single" w:sz="4" w:space="0" w:color="auto"/>
              <w:right w:val="single" w:sz="4" w:space="0" w:color="auto"/>
            </w:tcBorders>
            <w:shd w:val="clear" w:color="auto" w:fill="auto"/>
            <w:noWrap/>
            <w:hideMark/>
          </w:tcPr>
          <w:p w14:paraId="4B30F636" w14:textId="77777777" w:rsidR="006B7275" w:rsidRPr="00325531" w:rsidRDefault="006B7275" w:rsidP="00BD5391">
            <w:pPr>
              <w:jc w:val="center"/>
              <w:rPr>
                <w:color w:val="000000" w:themeColor="text1"/>
                <w:sz w:val="20"/>
                <w:szCs w:val="20"/>
              </w:rPr>
            </w:pPr>
            <w:r w:rsidRPr="00325531">
              <w:rPr>
                <w:color w:val="000000" w:themeColor="text1"/>
                <w:sz w:val="20"/>
                <w:szCs w:val="20"/>
              </w:rPr>
              <w:t>1.27*</w:t>
            </w:r>
          </w:p>
        </w:tc>
        <w:tc>
          <w:tcPr>
            <w:tcW w:w="1378" w:type="dxa"/>
            <w:tcBorders>
              <w:top w:val="single" w:sz="4" w:space="0" w:color="auto"/>
              <w:left w:val="single" w:sz="4" w:space="0" w:color="auto"/>
              <w:right w:val="single" w:sz="4" w:space="0" w:color="auto"/>
            </w:tcBorders>
            <w:shd w:val="clear" w:color="auto" w:fill="auto"/>
            <w:noWrap/>
            <w:hideMark/>
          </w:tcPr>
          <w:p w14:paraId="306264D0" w14:textId="77777777" w:rsidR="006B7275" w:rsidRPr="00325531" w:rsidRDefault="006B7275" w:rsidP="00BD5391">
            <w:pPr>
              <w:jc w:val="center"/>
              <w:rPr>
                <w:color w:val="000000" w:themeColor="text1"/>
                <w:sz w:val="20"/>
                <w:szCs w:val="20"/>
              </w:rPr>
            </w:pPr>
            <w:r w:rsidRPr="00325531">
              <w:rPr>
                <w:color w:val="000000" w:themeColor="text1"/>
                <w:sz w:val="20"/>
                <w:szCs w:val="20"/>
              </w:rPr>
              <w:t>1.14</w:t>
            </w:r>
          </w:p>
        </w:tc>
        <w:tc>
          <w:tcPr>
            <w:tcW w:w="1378" w:type="dxa"/>
            <w:tcBorders>
              <w:top w:val="single" w:sz="4" w:space="0" w:color="auto"/>
              <w:left w:val="single" w:sz="4" w:space="0" w:color="auto"/>
              <w:right w:val="single" w:sz="4" w:space="0" w:color="auto"/>
            </w:tcBorders>
            <w:shd w:val="clear" w:color="auto" w:fill="auto"/>
            <w:noWrap/>
            <w:hideMark/>
          </w:tcPr>
          <w:p w14:paraId="49C24851" w14:textId="77777777" w:rsidR="006B7275" w:rsidRPr="00325531" w:rsidRDefault="006B7275" w:rsidP="00BD5391">
            <w:pPr>
              <w:jc w:val="center"/>
              <w:rPr>
                <w:color w:val="000000" w:themeColor="text1"/>
                <w:sz w:val="20"/>
                <w:szCs w:val="20"/>
              </w:rPr>
            </w:pPr>
            <w:r w:rsidRPr="00325531">
              <w:rPr>
                <w:color w:val="000000" w:themeColor="text1"/>
                <w:sz w:val="20"/>
                <w:szCs w:val="20"/>
              </w:rPr>
              <w:t>1.09</w:t>
            </w:r>
          </w:p>
        </w:tc>
        <w:tc>
          <w:tcPr>
            <w:tcW w:w="1378" w:type="dxa"/>
            <w:tcBorders>
              <w:top w:val="single" w:sz="4" w:space="0" w:color="auto"/>
              <w:left w:val="single" w:sz="4" w:space="0" w:color="auto"/>
            </w:tcBorders>
            <w:shd w:val="clear" w:color="auto" w:fill="auto"/>
            <w:noWrap/>
            <w:hideMark/>
          </w:tcPr>
          <w:p w14:paraId="3D5D3394" w14:textId="77777777" w:rsidR="006B7275" w:rsidRPr="00325531" w:rsidRDefault="006B7275" w:rsidP="00BD5391">
            <w:pPr>
              <w:jc w:val="center"/>
              <w:rPr>
                <w:color w:val="000000" w:themeColor="text1"/>
                <w:sz w:val="20"/>
                <w:szCs w:val="20"/>
              </w:rPr>
            </w:pPr>
            <w:r w:rsidRPr="00325531">
              <w:rPr>
                <w:color w:val="000000" w:themeColor="text1"/>
                <w:sz w:val="20"/>
                <w:szCs w:val="20"/>
              </w:rPr>
              <w:t>1.05</w:t>
            </w:r>
          </w:p>
        </w:tc>
      </w:tr>
      <w:tr w:rsidR="006B7275" w:rsidRPr="00325531" w14:paraId="64A375AE" w14:textId="77777777" w:rsidTr="00BD5391">
        <w:trPr>
          <w:trHeight w:val="300"/>
          <w:jc w:val="center"/>
        </w:trPr>
        <w:tc>
          <w:tcPr>
            <w:tcW w:w="1899" w:type="dxa"/>
            <w:tcBorders>
              <w:right w:val="single" w:sz="4" w:space="0" w:color="auto"/>
            </w:tcBorders>
            <w:shd w:val="clear" w:color="auto" w:fill="auto"/>
            <w:noWrap/>
            <w:hideMark/>
          </w:tcPr>
          <w:p w14:paraId="30BF0462" w14:textId="77777777" w:rsidR="006B7275" w:rsidRPr="00325531" w:rsidRDefault="006B7275" w:rsidP="00BD5391">
            <w:pPr>
              <w:jc w:val="center"/>
              <w:rPr>
                <w:color w:val="000000" w:themeColor="text1"/>
                <w:sz w:val="20"/>
                <w:szCs w:val="20"/>
              </w:rPr>
            </w:pPr>
          </w:p>
        </w:tc>
        <w:tc>
          <w:tcPr>
            <w:tcW w:w="1378" w:type="dxa"/>
            <w:tcBorders>
              <w:left w:val="single" w:sz="4" w:space="0" w:color="auto"/>
              <w:right w:val="single" w:sz="4" w:space="0" w:color="auto"/>
            </w:tcBorders>
            <w:shd w:val="clear" w:color="auto" w:fill="auto"/>
            <w:noWrap/>
            <w:hideMark/>
          </w:tcPr>
          <w:p w14:paraId="2B17ECA9" w14:textId="77777777" w:rsidR="006B7275" w:rsidRPr="00325531" w:rsidRDefault="006B7275" w:rsidP="00BD5391">
            <w:pPr>
              <w:jc w:val="center"/>
              <w:rPr>
                <w:color w:val="000000" w:themeColor="text1"/>
                <w:sz w:val="20"/>
                <w:szCs w:val="20"/>
              </w:rPr>
            </w:pPr>
            <w:r w:rsidRPr="00325531">
              <w:rPr>
                <w:color w:val="000000" w:themeColor="text1"/>
                <w:sz w:val="20"/>
                <w:szCs w:val="20"/>
              </w:rPr>
              <w:t>[0.92, 1.23]</w:t>
            </w:r>
          </w:p>
        </w:tc>
        <w:tc>
          <w:tcPr>
            <w:tcW w:w="1378" w:type="dxa"/>
            <w:tcBorders>
              <w:left w:val="single" w:sz="4" w:space="0" w:color="auto"/>
              <w:right w:val="single" w:sz="4" w:space="0" w:color="auto"/>
            </w:tcBorders>
            <w:shd w:val="clear" w:color="auto" w:fill="auto"/>
            <w:noWrap/>
            <w:hideMark/>
          </w:tcPr>
          <w:p w14:paraId="4FDEC6B1" w14:textId="77777777" w:rsidR="006B7275" w:rsidRPr="00325531" w:rsidRDefault="006B7275" w:rsidP="00BD5391">
            <w:pPr>
              <w:jc w:val="center"/>
              <w:rPr>
                <w:color w:val="000000" w:themeColor="text1"/>
                <w:sz w:val="20"/>
                <w:szCs w:val="20"/>
              </w:rPr>
            </w:pPr>
            <w:r w:rsidRPr="00325531">
              <w:rPr>
                <w:color w:val="000000" w:themeColor="text1"/>
                <w:sz w:val="20"/>
                <w:szCs w:val="20"/>
              </w:rPr>
              <w:t>[1.06, 1.40]</w:t>
            </w:r>
          </w:p>
        </w:tc>
        <w:tc>
          <w:tcPr>
            <w:tcW w:w="1378" w:type="dxa"/>
            <w:tcBorders>
              <w:left w:val="single" w:sz="4" w:space="0" w:color="auto"/>
              <w:right w:val="single" w:sz="4" w:space="0" w:color="auto"/>
            </w:tcBorders>
            <w:shd w:val="clear" w:color="auto" w:fill="auto"/>
            <w:noWrap/>
            <w:hideMark/>
          </w:tcPr>
          <w:p w14:paraId="30795017" w14:textId="77777777" w:rsidR="006B7275" w:rsidRPr="00325531" w:rsidRDefault="006B7275" w:rsidP="00BD5391">
            <w:pPr>
              <w:jc w:val="center"/>
              <w:rPr>
                <w:color w:val="000000" w:themeColor="text1"/>
                <w:sz w:val="20"/>
                <w:szCs w:val="20"/>
              </w:rPr>
            </w:pPr>
            <w:r w:rsidRPr="00325531">
              <w:rPr>
                <w:color w:val="000000" w:themeColor="text1"/>
                <w:sz w:val="20"/>
                <w:szCs w:val="20"/>
              </w:rPr>
              <w:t>[1.17, 1.37]</w:t>
            </w:r>
          </w:p>
        </w:tc>
        <w:tc>
          <w:tcPr>
            <w:tcW w:w="1378" w:type="dxa"/>
            <w:tcBorders>
              <w:left w:val="single" w:sz="4" w:space="0" w:color="auto"/>
              <w:right w:val="single" w:sz="4" w:space="0" w:color="auto"/>
            </w:tcBorders>
            <w:shd w:val="clear" w:color="auto" w:fill="auto"/>
            <w:noWrap/>
            <w:hideMark/>
          </w:tcPr>
          <w:p w14:paraId="39024963" w14:textId="77777777" w:rsidR="006B7275" w:rsidRPr="00325531" w:rsidRDefault="006B7275" w:rsidP="00BD5391">
            <w:pPr>
              <w:jc w:val="center"/>
              <w:rPr>
                <w:color w:val="000000" w:themeColor="text1"/>
                <w:sz w:val="20"/>
                <w:szCs w:val="20"/>
              </w:rPr>
            </w:pPr>
            <w:r w:rsidRPr="00325531">
              <w:rPr>
                <w:color w:val="000000" w:themeColor="text1"/>
                <w:sz w:val="20"/>
                <w:szCs w:val="20"/>
              </w:rPr>
              <w:t>[0.99, 1.30]</w:t>
            </w:r>
          </w:p>
        </w:tc>
        <w:tc>
          <w:tcPr>
            <w:tcW w:w="1378" w:type="dxa"/>
            <w:tcBorders>
              <w:left w:val="single" w:sz="4" w:space="0" w:color="auto"/>
              <w:right w:val="single" w:sz="4" w:space="0" w:color="auto"/>
            </w:tcBorders>
            <w:shd w:val="clear" w:color="auto" w:fill="auto"/>
            <w:noWrap/>
            <w:hideMark/>
          </w:tcPr>
          <w:p w14:paraId="27C63C4C" w14:textId="77777777" w:rsidR="006B7275" w:rsidRPr="00325531" w:rsidRDefault="006B7275" w:rsidP="00BD5391">
            <w:pPr>
              <w:jc w:val="center"/>
              <w:rPr>
                <w:color w:val="000000" w:themeColor="text1"/>
                <w:sz w:val="20"/>
                <w:szCs w:val="20"/>
              </w:rPr>
            </w:pPr>
            <w:r w:rsidRPr="00325531">
              <w:rPr>
                <w:color w:val="000000" w:themeColor="text1"/>
                <w:sz w:val="20"/>
                <w:szCs w:val="20"/>
              </w:rPr>
              <w:t>[0.98, 1.22]</w:t>
            </w:r>
          </w:p>
        </w:tc>
        <w:tc>
          <w:tcPr>
            <w:tcW w:w="1378" w:type="dxa"/>
            <w:tcBorders>
              <w:left w:val="single" w:sz="4" w:space="0" w:color="auto"/>
            </w:tcBorders>
            <w:shd w:val="clear" w:color="auto" w:fill="auto"/>
            <w:noWrap/>
            <w:hideMark/>
          </w:tcPr>
          <w:p w14:paraId="7B040792" w14:textId="77777777" w:rsidR="006B7275" w:rsidRPr="00325531" w:rsidRDefault="006B7275" w:rsidP="00BD5391">
            <w:pPr>
              <w:jc w:val="center"/>
              <w:rPr>
                <w:color w:val="000000" w:themeColor="text1"/>
                <w:sz w:val="20"/>
                <w:szCs w:val="20"/>
              </w:rPr>
            </w:pPr>
            <w:r w:rsidRPr="00325531">
              <w:rPr>
                <w:color w:val="000000" w:themeColor="text1"/>
                <w:sz w:val="20"/>
                <w:szCs w:val="20"/>
              </w:rPr>
              <w:t>[0.82, 1.35]</w:t>
            </w:r>
          </w:p>
        </w:tc>
      </w:tr>
      <w:tr w:rsidR="006B7275" w:rsidRPr="00325531" w14:paraId="087CEEDF" w14:textId="77777777" w:rsidTr="00BD5391">
        <w:trPr>
          <w:trHeight w:val="300"/>
          <w:jc w:val="center"/>
        </w:trPr>
        <w:tc>
          <w:tcPr>
            <w:tcW w:w="1899" w:type="dxa"/>
            <w:tcBorders>
              <w:bottom w:val="single" w:sz="4" w:space="0" w:color="auto"/>
              <w:right w:val="single" w:sz="4" w:space="0" w:color="auto"/>
            </w:tcBorders>
            <w:shd w:val="clear" w:color="auto" w:fill="auto"/>
            <w:noWrap/>
            <w:hideMark/>
          </w:tcPr>
          <w:p w14:paraId="6DE687F9" w14:textId="77777777" w:rsidR="006B7275" w:rsidRPr="00325531" w:rsidRDefault="006B7275" w:rsidP="00BD5391">
            <w:pPr>
              <w:jc w:val="center"/>
              <w:rPr>
                <w:color w:val="000000" w:themeColor="text1"/>
                <w:sz w:val="20"/>
                <w:szCs w:val="20"/>
              </w:rPr>
            </w:pPr>
          </w:p>
        </w:tc>
        <w:tc>
          <w:tcPr>
            <w:tcW w:w="1378" w:type="dxa"/>
            <w:tcBorders>
              <w:left w:val="single" w:sz="4" w:space="0" w:color="auto"/>
              <w:bottom w:val="single" w:sz="4" w:space="0" w:color="auto"/>
              <w:right w:val="single" w:sz="4" w:space="0" w:color="auto"/>
            </w:tcBorders>
            <w:shd w:val="clear" w:color="auto" w:fill="auto"/>
            <w:noWrap/>
            <w:hideMark/>
          </w:tcPr>
          <w:p w14:paraId="3FFB4DA6" w14:textId="77777777" w:rsidR="006B7275" w:rsidRPr="00325531" w:rsidRDefault="006B7275" w:rsidP="00BD5391">
            <w:pPr>
              <w:jc w:val="center"/>
              <w:rPr>
                <w:color w:val="000000" w:themeColor="text1"/>
                <w:sz w:val="20"/>
                <w:szCs w:val="20"/>
              </w:rPr>
            </w:pPr>
            <w:r w:rsidRPr="00325531">
              <w:rPr>
                <w:color w:val="000000" w:themeColor="text1"/>
                <w:sz w:val="20"/>
                <w:szCs w:val="20"/>
              </w:rPr>
              <w:t>0.4036</w:t>
            </w:r>
          </w:p>
        </w:tc>
        <w:tc>
          <w:tcPr>
            <w:tcW w:w="1378" w:type="dxa"/>
            <w:tcBorders>
              <w:left w:val="single" w:sz="4" w:space="0" w:color="auto"/>
              <w:bottom w:val="single" w:sz="4" w:space="0" w:color="auto"/>
              <w:right w:val="single" w:sz="4" w:space="0" w:color="auto"/>
            </w:tcBorders>
            <w:shd w:val="clear" w:color="auto" w:fill="auto"/>
            <w:noWrap/>
            <w:hideMark/>
          </w:tcPr>
          <w:p w14:paraId="26DEAC41" w14:textId="77777777" w:rsidR="006B7275" w:rsidRPr="00325531" w:rsidRDefault="006B7275" w:rsidP="00BD5391">
            <w:pPr>
              <w:jc w:val="center"/>
              <w:rPr>
                <w:color w:val="000000" w:themeColor="text1"/>
                <w:sz w:val="20"/>
                <w:szCs w:val="20"/>
              </w:rPr>
            </w:pPr>
            <w:r w:rsidRPr="00325531">
              <w:rPr>
                <w:color w:val="000000" w:themeColor="text1"/>
                <w:sz w:val="20"/>
                <w:szCs w:val="20"/>
              </w:rPr>
              <w:t>0.0065</w:t>
            </w:r>
          </w:p>
        </w:tc>
        <w:tc>
          <w:tcPr>
            <w:tcW w:w="1378" w:type="dxa"/>
            <w:tcBorders>
              <w:left w:val="single" w:sz="4" w:space="0" w:color="auto"/>
              <w:bottom w:val="single" w:sz="4" w:space="0" w:color="auto"/>
              <w:right w:val="single" w:sz="4" w:space="0" w:color="auto"/>
            </w:tcBorders>
            <w:shd w:val="clear" w:color="auto" w:fill="auto"/>
            <w:noWrap/>
            <w:hideMark/>
          </w:tcPr>
          <w:p w14:paraId="4782F003" w14:textId="77777777" w:rsidR="006B7275" w:rsidRPr="00325531" w:rsidRDefault="006B7275" w:rsidP="00BD5391">
            <w:pPr>
              <w:jc w:val="center"/>
              <w:rPr>
                <w:color w:val="000000" w:themeColor="text1"/>
                <w:sz w:val="20"/>
                <w:szCs w:val="20"/>
              </w:rPr>
            </w:pPr>
            <w:r w:rsidRPr="00325531">
              <w:rPr>
                <w:color w:val="000000" w:themeColor="text1"/>
                <w:sz w:val="20"/>
                <w:szCs w:val="20"/>
              </w:rPr>
              <w:t>1.27x10-8</w:t>
            </w:r>
          </w:p>
        </w:tc>
        <w:tc>
          <w:tcPr>
            <w:tcW w:w="1378" w:type="dxa"/>
            <w:tcBorders>
              <w:left w:val="single" w:sz="4" w:space="0" w:color="auto"/>
              <w:bottom w:val="single" w:sz="4" w:space="0" w:color="auto"/>
              <w:right w:val="single" w:sz="4" w:space="0" w:color="auto"/>
            </w:tcBorders>
            <w:shd w:val="clear" w:color="auto" w:fill="auto"/>
            <w:noWrap/>
            <w:hideMark/>
          </w:tcPr>
          <w:p w14:paraId="053E77FD" w14:textId="77777777" w:rsidR="006B7275" w:rsidRPr="00325531" w:rsidRDefault="006B7275" w:rsidP="00BD5391">
            <w:pPr>
              <w:jc w:val="center"/>
              <w:rPr>
                <w:color w:val="000000" w:themeColor="text1"/>
                <w:sz w:val="20"/>
                <w:szCs w:val="20"/>
              </w:rPr>
            </w:pPr>
            <w:r w:rsidRPr="00325531">
              <w:rPr>
                <w:color w:val="000000" w:themeColor="text1"/>
                <w:sz w:val="20"/>
                <w:szCs w:val="20"/>
              </w:rPr>
              <w:t>0.0732</w:t>
            </w:r>
          </w:p>
        </w:tc>
        <w:tc>
          <w:tcPr>
            <w:tcW w:w="1378" w:type="dxa"/>
            <w:tcBorders>
              <w:left w:val="single" w:sz="4" w:space="0" w:color="auto"/>
              <w:bottom w:val="single" w:sz="4" w:space="0" w:color="auto"/>
              <w:right w:val="single" w:sz="4" w:space="0" w:color="auto"/>
            </w:tcBorders>
            <w:shd w:val="clear" w:color="auto" w:fill="auto"/>
            <w:noWrap/>
            <w:hideMark/>
          </w:tcPr>
          <w:p w14:paraId="488DD0AB" w14:textId="77777777" w:rsidR="006B7275" w:rsidRPr="00325531" w:rsidRDefault="006B7275" w:rsidP="00BD5391">
            <w:pPr>
              <w:jc w:val="center"/>
              <w:rPr>
                <w:color w:val="000000" w:themeColor="text1"/>
                <w:sz w:val="20"/>
                <w:szCs w:val="20"/>
              </w:rPr>
            </w:pPr>
            <w:r w:rsidRPr="00325531">
              <w:rPr>
                <w:color w:val="000000" w:themeColor="text1"/>
                <w:sz w:val="20"/>
                <w:szCs w:val="20"/>
              </w:rPr>
              <w:t>0.0959</w:t>
            </w:r>
          </w:p>
        </w:tc>
        <w:tc>
          <w:tcPr>
            <w:tcW w:w="1378" w:type="dxa"/>
            <w:tcBorders>
              <w:left w:val="single" w:sz="4" w:space="0" w:color="auto"/>
              <w:bottom w:val="single" w:sz="4" w:space="0" w:color="auto"/>
            </w:tcBorders>
            <w:shd w:val="clear" w:color="auto" w:fill="auto"/>
            <w:noWrap/>
            <w:hideMark/>
          </w:tcPr>
          <w:p w14:paraId="038B0CF6" w14:textId="77777777" w:rsidR="006B7275" w:rsidRPr="00325531" w:rsidRDefault="006B7275" w:rsidP="00BD5391">
            <w:pPr>
              <w:jc w:val="center"/>
              <w:rPr>
                <w:color w:val="000000" w:themeColor="text1"/>
                <w:sz w:val="20"/>
                <w:szCs w:val="20"/>
              </w:rPr>
            </w:pPr>
            <w:r w:rsidRPr="00325531">
              <w:rPr>
                <w:color w:val="000000" w:themeColor="text1"/>
                <w:sz w:val="20"/>
                <w:szCs w:val="20"/>
              </w:rPr>
              <w:t>0.7039</w:t>
            </w:r>
          </w:p>
        </w:tc>
      </w:tr>
      <w:tr w:rsidR="006B7275" w:rsidRPr="00325531" w14:paraId="3D5634CF" w14:textId="77777777" w:rsidTr="00BD5391">
        <w:trPr>
          <w:trHeight w:val="300"/>
          <w:jc w:val="center"/>
        </w:trPr>
        <w:tc>
          <w:tcPr>
            <w:tcW w:w="1899" w:type="dxa"/>
            <w:tcBorders>
              <w:top w:val="single" w:sz="4" w:space="0" w:color="auto"/>
              <w:bottom w:val="nil"/>
              <w:right w:val="single" w:sz="4" w:space="0" w:color="auto"/>
            </w:tcBorders>
            <w:shd w:val="clear" w:color="auto" w:fill="F2F2F2" w:themeFill="background1" w:themeFillShade="F2"/>
            <w:noWrap/>
            <w:hideMark/>
          </w:tcPr>
          <w:p w14:paraId="3BE488A6" w14:textId="77777777" w:rsidR="006B7275" w:rsidRPr="00325531" w:rsidRDefault="006B7275" w:rsidP="00BD5391">
            <w:pPr>
              <w:jc w:val="center"/>
              <w:rPr>
                <w:color w:val="000000" w:themeColor="text1"/>
                <w:sz w:val="20"/>
                <w:szCs w:val="20"/>
              </w:rPr>
            </w:pPr>
            <w:r w:rsidRPr="00877A1D">
              <w:rPr>
                <w:color w:val="000000" w:themeColor="text1"/>
                <w:sz w:val="20"/>
                <w:szCs w:val="20"/>
              </w:rPr>
              <w:t>LVGFI (%)</w:t>
            </w:r>
          </w:p>
        </w:tc>
        <w:tc>
          <w:tcPr>
            <w:tcW w:w="1378"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495B2584" w14:textId="77777777" w:rsidR="006B7275" w:rsidRPr="00325531" w:rsidRDefault="006B7275" w:rsidP="00BD5391">
            <w:pPr>
              <w:jc w:val="center"/>
              <w:rPr>
                <w:color w:val="000000" w:themeColor="text1"/>
                <w:sz w:val="20"/>
                <w:szCs w:val="20"/>
              </w:rPr>
            </w:pPr>
            <w:r w:rsidRPr="00325531">
              <w:rPr>
                <w:color w:val="000000" w:themeColor="text1"/>
                <w:sz w:val="20"/>
                <w:szCs w:val="20"/>
              </w:rPr>
              <w:t>0.92</w:t>
            </w:r>
          </w:p>
        </w:tc>
        <w:tc>
          <w:tcPr>
            <w:tcW w:w="1378"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48BB114B" w14:textId="77777777" w:rsidR="006B7275" w:rsidRPr="00325531" w:rsidRDefault="006B7275" w:rsidP="00BD5391">
            <w:pPr>
              <w:jc w:val="center"/>
              <w:rPr>
                <w:color w:val="000000" w:themeColor="text1"/>
                <w:sz w:val="20"/>
                <w:szCs w:val="20"/>
              </w:rPr>
            </w:pPr>
            <w:r w:rsidRPr="00325531">
              <w:rPr>
                <w:color w:val="000000" w:themeColor="text1"/>
                <w:sz w:val="20"/>
                <w:szCs w:val="20"/>
              </w:rPr>
              <w:t>0.89</w:t>
            </w:r>
          </w:p>
        </w:tc>
        <w:tc>
          <w:tcPr>
            <w:tcW w:w="1378"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4B934A01" w14:textId="77777777" w:rsidR="006B7275" w:rsidRPr="00325531" w:rsidRDefault="006B7275" w:rsidP="00BD5391">
            <w:pPr>
              <w:jc w:val="center"/>
              <w:rPr>
                <w:color w:val="000000" w:themeColor="text1"/>
                <w:sz w:val="20"/>
                <w:szCs w:val="20"/>
              </w:rPr>
            </w:pPr>
            <w:r w:rsidRPr="00325531">
              <w:rPr>
                <w:color w:val="000000" w:themeColor="text1"/>
                <w:sz w:val="20"/>
                <w:szCs w:val="20"/>
              </w:rPr>
              <w:t>0.88*</w:t>
            </w:r>
          </w:p>
        </w:tc>
        <w:tc>
          <w:tcPr>
            <w:tcW w:w="1378"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6C8AE772" w14:textId="77777777" w:rsidR="006B7275" w:rsidRPr="00325531" w:rsidRDefault="006B7275" w:rsidP="00BD5391">
            <w:pPr>
              <w:jc w:val="center"/>
              <w:rPr>
                <w:color w:val="000000" w:themeColor="text1"/>
                <w:sz w:val="20"/>
                <w:szCs w:val="20"/>
              </w:rPr>
            </w:pPr>
            <w:r w:rsidRPr="00325531">
              <w:rPr>
                <w:color w:val="000000" w:themeColor="text1"/>
                <w:sz w:val="20"/>
                <w:szCs w:val="20"/>
              </w:rPr>
              <w:t>0.95</w:t>
            </w:r>
          </w:p>
        </w:tc>
        <w:tc>
          <w:tcPr>
            <w:tcW w:w="1378" w:type="dxa"/>
            <w:tcBorders>
              <w:top w:val="single" w:sz="4" w:space="0" w:color="auto"/>
              <w:left w:val="single" w:sz="4" w:space="0" w:color="auto"/>
              <w:bottom w:val="nil"/>
              <w:right w:val="single" w:sz="4" w:space="0" w:color="auto"/>
            </w:tcBorders>
            <w:shd w:val="clear" w:color="auto" w:fill="F2F2F2" w:themeFill="background1" w:themeFillShade="F2"/>
            <w:noWrap/>
            <w:hideMark/>
          </w:tcPr>
          <w:p w14:paraId="27DDED83" w14:textId="77777777" w:rsidR="006B7275" w:rsidRPr="00325531" w:rsidRDefault="006B7275" w:rsidP="00BD5391">
            <w:pPr>
              <w:jc w:val="center"/>
              <w:rPr>
                <w:color w:val="000000" w:themeColor="text1"/>
                <w:sz w:val="20"/>
                <w:szCs w:val="20"/>
              </w:rPr>
            </w:pPr>
            <w:r w:rsidRPr="00325531">
              <w:rPr>
                <w:color w:val="000000" w:themeColor="text1"/>
                <w:sz w:val="20"/>
                <w:szCs w:val="20"/>
              </w:rPr>
              <w:t>0.85*</w:t>
            </w:r>
          </w:p>
        </w:tc>
        <w:tc>
          <w:tcPr>
            <w:tcW w:w="1378" w:type="dxa"/>
            <w:tcBorders>
              <w:top w:val="single" w:sz="4" w:space="0" w:color="auto"/>
              <w:left w:val="single" w:sz="4" w:space="0" w:color="auto"/>
              <w:bottom w:val="nil"/>
            </w:tcBorders>
            <w:shd w:val="clear" w:color="auto" w:fill="F2F2F2" w:themeFill="background1" w:themeFillShade="F2"/>
            <w:noWrap/>
            <w:hideMark/>
          </w:tcPr>
          <w:p w14:paraId="07ED800D" w14:textId="77777777" w:rsidR="006B7275" w:rsidRPr="00325531" w:rsidRDefault="006B7275" w:rsidP="00BD5391">
            <w:pPr>
              <w:jc w:val="center"/>
              <w:rPr>
                <w:color w:val="000000" w:themeColor="text1"/>
                <w:sz w:val="20"/>
                <w:szCs w:val="20"/>
              </w:rPr>
            </w:pPr>
            <w:r w:rsidRPr="00325531">
              <w:rPr>
                <w:color w:val="000000" w:themeColor="text1"/>
                <w:sz w:val="20"/>
                <w:szCs w:val="20"/>
              </w:rPr>
              <w:t>0.61*</w:t>
            </w:r>
          </w:p>
        </w:tc>
      </w:tr>
      <w:tr w:rsidR="006B7275" w:rsidRPr="00325531" w14:paraId="34F1DD13" w14:textId="77777777" w:rsidTr="00BD5391">
        <w:trPr>
          <w:trHeight w:val="300"/>
          <w:jc w:val="center"/>
        </w:trPr>
        <w:tc>
          <w:tcPr>
            <w:tcW w:w="1899" w:type="dxa"/>
            <w:tcBorders>
              <w:top w:val="nil"/>
              <w:bottom w:val="nil"/>
              <w:right w:val="single" w:sz="4" w:space="0" w:color="auto"/>
            </w:tcBorders>
            <w:shd w:val="clear" w:color="auto" w:fill="F2F2F2" w:themeFill="background1" w:themeFillShade="F2"/>
            <w:noWrap/>
            <w:hideMark/>
          </w:tcPr>
          <w:p w14:paraId="2F34CAFB" w14:textId="77777777" w:rsidR="006B7275" w:rsidRPr="00325531" w:rsidRDefault="006B7275" w:rsidP="00BD5391">
            <w:pPr>
              <w:jc w:val="center"/>
              <w:rPr>
                <w:color w:val="000000" w:themeColor="text1"/>
                <w:sz w:val="20"/>
                <w:szCs w:val="20"/>
              </w:rPr>
            </w:pPr>
          </w:p>
        </w:tc>
        <w:tc>
          <w:tcPr>
            <w:tcW w:w="1378" w:type="dxa"/>
            <w:tcBorders>
              <w:top w:val="nil"/>
              <w:left w:val="single" w:sz="4" w:space="0" w:color="auto"/>
              <w:bottom w:val="nil"/>
              <w:right w:val="single" w:sz="4" w:space="0" w:color="auto"/>
            </w:tcBorders>
            <w:shd w:val="clear" w:color="auto" w:fill="F2F2F2" w:themeFill="background1" w:themeFillShade="F2"/>
            <w:noWrap/>
            <w:hideMark/>
          </w:tcPr>
          <w:p w14:paraId="175BDA99" w14:textId="77777777" w:rsidR="006B7275" w:rsidRPr="00325531" w:rsidRDefault="006B7275" w:rsidP="00BD5391">
            <w:pPr>
              <w:jc w:val="center"/>
              <w:rPr>
                <w:color w:val="000000" w:themeColor="text1"/>
                <w:sz w:val="20"/>
                <w:szCs w:val="20"/>
              </w:rPr>
            </w:pPr>
            <w:r w:rsidRPr="00325531">
              <w:rPr>
                <w:color w:val="000000" w:themeColor="text1"/>
                <w:sz w:val="20"/>
                <w:szCs w:val="20"/>
              </w:rPr>
              <w:t>[0.79, 1.06]</w:t>
            </w:r>
          </w:p>
        </w:tc>
        <w:tc>
          <w:tcPr>
            <w:tcW w:w="1378" w:type="dxa"/>
            <w:tcBorders>
              <w:top w:val="nil"/>
              <w:left w:val="single" w:sz="4" w:space="0" w:color="auto"/>
              <w:bottom w:val="nil"/>
              <w:right w:val="single" w:sz="4" w:space="0" w:color="auto"/>
            </w:tcBorders>
            <w:shd w:val="clear" w:color="auto" w:fill="F2F2F2" w:themeFill="background1" w:themeFillShade="F2"/>
            <w:noWrap/>
            <w:hideMark/>
          </w:tcPr>
          <w:p w14:paraId="39DDEA23" w14:textId="77777777" w:rsidR="006B7275" w:rsidRPr="00325531" w:rsidRDefault="006B7275" w:rsidP="00BD5391">
            <w:pPr>
              <w:jc w:val="center"/>
              <w:rPr>
                <w:color w:val="000000" w:themeColor="text1"/>
                <w:sz w:val="20"/>
                <w:szCs w:val="20"/>
              </w:rPr>
            </w:pPr>
            <w:r w:rsidRPr="00325531">
              <w:rPr>
                <w:color w:val="000000" w:themeColor="text1"/>
                <w:sz w:val="20"/>
                <w:szCs w:val="20"/>
              </w:rPr>
              <w:t>[0.76, 1.03]</w:t>
            </w:r>
          </w:p>
        </w:tc>
        <w:tc>
          <w:tcPr>
            <w:tcW w:w="1378" w:type="dxa"/>
            <w:tcBorders>
              <w:top w:val="nil"/>
              <w:left w:val="single" w:sz="4" w:space="0" w:color="auto"/>
              <w:bottom w:val="nil"/>
              <w:right w:val="single" w:sz="4" w:space="0" w:color="auto"/>
            </w:tcBorders>
            <w:shd w:val="clear" w:color="auto" w:fill="F2F2F2" w:themeFill="background1" w:themeFillShade="F2"/>
            <w:noWrap/>
            <w:hideMark/>
          </w:tcPr>
          <w:p w14:paraId="116C104B" w14:textId="77777777" w:rsidR="006B7275" w:rsidRPr="00325531" w:rsidRDefault="006B7275" w:rsidP="00BD5391">
            <w:pPr>
              <w:jc w:val="center"/>
              <w:rPr>
                <w:color w:val="000000" w:themeColor="text1"/>
                <w:sz w:val="20"/>
                <w:szCs w:val="20"/>
              </w:rPr>
            </w:pPr>
            <w:r w:rsidRPr="00325531">
              <w:rPr>
                <w:color w:val="000000" w:themeColor="text1"/>
                <w:sz w:val="20"/>
                <w:szCs w:val="20"/>
              </w:rPr>
              <w:t>[0.80, 0.96]</w:t>
            </w:r>
          </w:p>
        </w:tc>
        <w:tc>
          <w:tcPr>
            <w:tcW w:w="1378" w:type="dxa"/>
            <w:tcBorders>
              <w:top w:val="nil"/>
              <w:left w:val="single" w:sz="4" w:space="0" w:color="auto"/>
              <w:bottom w:val="nil"/>
              <w:right w:val="single" w:sz="4" w:space="0" w:color="auto"/>
            </w:tcBorders>
            <w:shd w:val="clear" w:color="auto" w:fill="F2F2F2" w:themeFill="background1" w:themeFillShade="F2"/>
            <w:noWrap/>
            <w:hideMark/>
          </w:tcPr>
          <w:p w14:paraId="79B9BCF9" w14:textId="77777777" w:rsidR="006B7275" w:rsidRPr="00325531" w:rsidRDefault="006B7275" w:rsidP="00BD5391">
            <w:pPr>
              <w:jc w:val="center"/>
              <w:rPr>
                <w:color w:val="000000" w:themeColor="text1"/>
                <w:sz w:val="20"/>
                <w:szCs w:val="20"/>
              </w:rPr>
            </w:pPr>
            <w:r w:rsidRPr="00325531">
              <w:rPr>
                <w:color w:val="000000" w:themeColor="text1"/>
                <w:sz w:val="20"/>
                <w:szCs w:val="20"/>
              </w:rPr>
              <w:t>[0.82, 1.11]</w:t>
            </w:r>
          </w:p>
        </w:tc>
        <w:tc>
          <w:tcPr>
            <w:tcW w:w="1378" w:type="dxa"/>
            <w:tcBorders>
              <w:top w:val="nil"/>
              <w:left w:val="single" w:sz="4" w:space="0" w:color="auto"/>
              <w:bottom w:val="nil"/>
              <w:right w:val="single" w:sz="4" w:space="0" w:color="auto"/>
            </w:tcBorders>
            <w:shd w:val="clear" w:color="auto" w:fill="F2F2F2" w:themeFill="background1" w:themeFillShade="F2"/>
            <w:noWrap/>
            <w:hideMark/>
          </w:tcPr>
          <w:p w14:paraId="65939158" w14:textId="77777777" w:rsidR="006B7275" w:rsidRPr="00325531" w:rsidRDefault="006B7275" w:rsidP="00BD5391">
            <w:pPr>
              <w:jc w:val="center"/>
              <w:rPr>
                <w:color w:val="000000" w:themeColor="text1"/>
                <w:sz w:val="20"/>
                <w:szCs w:val="20"/>
              </w:rPr>
            </w:pPr>
            <w:r w:rsidRPr="00325531">
              <w:rPr>
                <w:color w:val="000000" w:themeColor="text1"/>
                <w:sz w:val="20"/>
                <w:szCs w:val="20"/>
              </w:rPr>
              <w:t>[0.76, 0.95]</w:t>
            </w:r>
          </w:p>
        </w:tc>
        <w:tc>
          <w:tcPr>
            <w:tcW w:w="1378" w:type="dxa"/>
            <w:tcBorders>
              <w:top w:val="nil"/>
              <w:left w:val="single" w:sz="4" w:space="0" w:color="auto"/>
              <w:bottom w:val="nil"/>
            </w:tcBorders>
            <w:shd w:val="clear" w:color="auto" w:fill="F2F2F2" w:themeFill="background1" w:themeFillShade="F2"/>
            <w:noWrap/>
            <w:hideMark/>
          </w:tcPr>
          <w:p w14:paraId="693BC498" w14:textId="77777777" w:rsidR="006B7275" w:rsidRPr="00325531" w:rsidRDefault="006B7275" w:rsidP="00BD5391">
            <w:pPr>
              <w:jc w:val="center"/>
              <w:rPr>
                <w:color w:val="000000" w:themeColor="text1"/>
                <w:sz w:val="20"/>
                <w:szCs w:val="20"/>
              </w:rPr>
            </w:pPr>
            <w:r w:rsidRPr="00325531">
              <w:rPr>
                <w:color w:val="000000" w:themeColor="text1"/>
                <w:sz w:val="20"/>
                <w:szCs w:val="20"/>
              </w:rPr>
              <w:t>[0.48, 0.78]</w:t>
            </w:r>
          </w:p>
        </w:tc>
      </w:tr>
      <w:tr w:rsidR="006B7275" w:rsidRPr="00325531" w14:paraId="4CD081AC" w14:textId="77777777" w:rsidTr="00BD5391">
        <w:trPr>
          <w:trHeight w:val="300"/>
          <w:jc w:val="center"/>
        </w:trPr>
        <w:tc>
          <w:tcPr>
            <w:tcW w:w="1899" w:type="dxa"/>
            <w:tcBorders>
              <w:top w:val="nil"/>
              <w:bottom w:val="single" w:sz="4" w:space="0" w:color="auto"/>
              <w:right w:val="single" w:sz="4" w:space="0" w:color="auto"/>
            </w:tcBorders>
            <w:shd w:val="clear" w:color="auto" w:fill="F2F2F2" w:themeFill="background1" w:themeFillShade="F2"/>
            <w:noWrap/>
            <w:hideMark/>
          </w:tcPr>
          <w:p w14:paraId="3DBB0449" w14:textId="77777777" w:rsidR="006B7275" w:rsidRPr="00325531" w:rsidRDefault="006B7275" w:rsidP="00BD5391">
            <w:pPr>
              <w:jc w:val="center"/>
              <w:rPr>
                <w:color w:val="000000" w:themeColor="text1"/>
                <w:sz w:val="20"/>
                <w:szCs w:val="20"/>
              </w:rPr>
            </w:pPr>
          </w:p>
        </w:tc>
        <w:tc>
          <w:tcPr>
            <w:tcW w:w="137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4AA02AF4" w14:textId="77777777" w:rsidR="006B7275" w:rsidRPr="00325531" w:rsidRDefault="006B7275" w:rsidP="00BD5391">
            <w:pPr>
              <w:jc w:val="center"/>
              <w:rPr>
                <w:color w:val="000000" w:themeColor="text1"/>
                <w:sz w:val="20"/>
                <w:szCs w:val="20"/>
              </w:rPr>
            </w:pPr>
            <w:r w:rsidRPr="00325531">
              <w:rPr>
                <w:color w:val="000000" w:themeColor="text1"/>
                <w:sz w:val="20"/>
                <w:szCs w:val="20"/>
              </w:rPr>
              <w:t>0.2521</w:t>
            </w:r>
          </w:p>
        </w:tc>
        <w:tc>
          <w:tcPr>
            <w:tcW w:w="137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D9CA296" w14:textId="77777777" w:rsidR="006B7275" w:rsidRPr="00325531" w:rsidRDefault="006B7275" w:rsidP="00BD5391">
            <w:pPr>
              <w:jc w:val="center"/>
              <w:rPr>
                <w:color w:val="000000" w:themeColor="text1"/>
                <w:sz w:val="20"/>
                <w:szCs w:val="20"/>
              </w:rPr>
            </w:pPr>
            <w:r w:rsidRPr="00325531">
              <w:rPr>
                <w:color w:val="000000" w:themeColor="text1"/>
                <w:sz w:val="20"/>
                <w:szCs w:val="20"/>
              </w:rPr>
              <w:t>0.1266</w:t>
            </w:r>
          </w:p>
        </w:tc>
        <w:tc>
          <w:tcPr>
            <w:tcW w:w="137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7D164D6C" w14:textId="77777777" w:rsidR="006B7275" w:rsidRPr="00325531" w:rsidRDefault="006B7275" w:rsidP="00BD5391">
            <w:pPr>
              <w:jc w:val="center"/>
              <w:rPr>
                <w:color w:val="000000" w:themeColor="text1"/>
                <w:sz w:val="20"/>
                <w:szCs w:val="20"/>
              </w:rPr>
            </w:pPr>
            <w:r w:rsidRPr="00325531">
              <w:rPr>
                <w:color w:val="000000" w:themeColor="text1"/>
                <w:sz w:val="20"/>
                <w:szCs w:val="20"/>
              </w:rPr>
              <w:t>0.0063</w:t>
            </w:r>
          </w:p>
        </w:tc>
        <w:tc>
          <w:tcPr>
            <w:tcW w:w="137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5BA52F07" w14:textId="77777777" w:rsidR="006B7275" w:rsidRPr="00325531" w:rsidRDefault="006B7275" w:rsidP="00BD5391">
            <w:pPr>
              <w:jc w:val="center"/>
              <w:rPr>
                <w:color w:val="000000" w:themeColor="text1"/>
                <w:sz w:val="20"/>
                <w:szCs w:val="20"/>
              </w:rPr>
            </w:pPr>
            <w:r w:rsidRPr="00325531">
              <w:rPr>
                <w:color w:val="000000" w:themeColor="text1"/>
                <w:sz w:val="20"/>
                <w:szCs w:val="20"/>
              </w:rPr>
              <w:t>0.5372</w:t>
            </w:r>
          </w:p>
        </w:tc>
        <w:tc>
          <w:tcPr>
            <w:tcW w:w="1378" w:type="dxa"/>
            <w:tcBorders>
              <w:top w:val="nil"/>
              <w:left w:val="single" w:sz="4" w:space="0" w:color="auto"/>
              <w:bottom w:val="single" w:sz="4" w:space="0" w:color="auto"/>
              <w:right w:val="single" w:sz="4" w:space="0" w:color="auto"/>
            </w:tcBorders>
            <w:shd w:val="clear" w:color="auto" w:fill="F2F2F2" w:themeFill="background1" w:themeFillShade="F2"/>
            <w:noWrap/>
            <w:hideMark/>
          </w:tcPr>
          <w:p w14:paraId="6B0A170D" w14:textId="77777777" w:rsidR="006B7275" w:rsidRPr="00325531" w:rsidRDefault="006B7275" w:rsidP="00BD5391">
            <w:pPr>
              <w:jc w:val="center"/>
              <w:rPr>
                <w:color w:val="000000" w:themeColor="text1"/>
                <w:sz w:val="20"/>
                <w:szCs w:val="20"/>
              </w:rPr>
            </w:pPr>
            <w:r w:rsidRPr="00325531">
              <w:rPr>
                <w:color w:val="000000" w:themeColor="text1"/>
                <w:sz w:val="20"/>
                <w:szCs w:val="20"/>
              </w:rPr>
              <w:t>0.0050</w:t>
            </w:r>
          </w:p>
        </w:tc>
        <w:tc>
          <w:tcPr>
            <w:tcW w:w="1378" w:type="dxa"/>
            <w:tcBorders>
              <w:top w:val="nil"/>
              <w:left w:val="single" w:sz="4" w:space="0" w:color="auto"/>
              <w:bottom w:val="single" w:sz="4" w:space="0" w:color="auto"/>
            </w:tcBorders>
            <w:shd w:val="clear" w:color="auto" w:fill="F2F2F2" w:themeFill="background1" w:themeFillShade="F2"/>
            <w:noWrap/>
            <w:hideMark/>
          </w:tcPr>
          <w:p w14:paraId="7D23430F" w14:textId="77777777" w:rsidR="006B7275" w:rsidRPr="00325531" w:rsidRDefault="006B7275" w:rsidP="00BD5391">
            <w:pPr>
              <w:jc w:val="center"/>
              <w:rPr>
                <w:color w:val="000000" w:themeColor="text1"/>
                <w:sz w:val="20"/>
                <w:szCs w:val="20"/>
              </w:rPr>
            </w:pPr>
            <w:r w:rsidRPr="00325531">
              <w:rPr>
                <w:color w:val="000000" w:themeColor="text1"/>
                <w:sz w:val="20"/>
                <w:szCs w:val="20"/>
              </w:rPr>
              <w:t>5.95</w:t>
            </w:r>
            <m:oMath>
              <m:r>
                <w:rPr>
                  <w:rFonts w:ascii="Cambria Math" w:hAnsi="Cambria Math"/>
                  <w:color w:val="000000" w:themeColor="text1"/>
                  <w:sz w:val="20"/>
                  <w:szCs w:val="20"/>
                </w:rPr>
                <m:t>×</m:t>
              </m:r>
            </m:oMath>
            <w:r w:rsidRPr="00325531">
              <w:rPr>
                <w:color w:val="000000" w:themeColor="text1"/>
                <w:sz w:val="20"/>
                <w:szCs w:val="20"/>
              </w:rPr>
              <w:t>10</w:t>
            </w:r>
            <w:r w:rsidRPr="00877A1D">
              <w:rPr>
                <w:color w:val="000000" w:themeColor="text1"/>
                <w:sz w:val="20"/>
                <w:szCs w:val="20"/>
                <w:vertAlign w:val="superscript"/>
              </w:rPr>
              <w:t>-5</w:t>
            </w:r>
          </w:p>
        </w:tc>
      </w:tr>
      <w:tr w:rsidR="006B7275" w:rsidRPr="00325531" w14:paraId="0BA646CD" w14:textId="77777777" w:rsidTr="00BD5391">
        <w:trPr>
          <w:trHeight w:val="300"/>
          <w:jc w:val="center"/>
        </w:trPr>
        <w:tc>
          <w:tcPr>
            <w:tcW w:w="1899" w:type="dxa"/>
            <w:tcBorders>
              <w:top w:val="single" w:sz="4" w:space="0" w:color="auto"/>
              <w:right w:val="single" w:sz="4" w:space="0" w:color="auto"/>
            </w:tcBorders>
            <w:shd w:val="clear" w:color="auto" w:fill="auto"/>
            <w:noWrap/>
            <w:hideMark/>
          </w:tcPr>
          <w:p w14:paraId="760B7A9F" w14:textId="77777777" w:rsidR="006B7275" w:rsidRPr="00325531" w:rsidRDefault="006B7275" w:rsidP="00BD5391">
            <w:pPr>
              <w:jc w:val="center"/>
              <w:rPr>
                <w:color w:val="000000" w:themeColor="text1"/>
                <w:sz w:val="20"/>
                <w:szCs w:val="20"/>
              </w:rPr>
            </w:pPr>
            <w:r w:rsidRPr="00325531">
              <w:rPr>
                <w:color w:val="000000" w:themeColor="text1"/>
                <w:sz w:val="20"/>
                <w:szCs w:val="20"/>
              </w:rPr>
              <w:t>GLS (%)</w:t>
            </w:r>
          </w:p>
        </w:tc>
        <w:tc>
          <w:tcPr>
            <w:tcW w:w="1378" w:type="dxa"/>
            <w:tcBorders>
              <w:top w:val="single" w:sz="4" w:space="0" w:color="auto"/>
              <w:left w:val="single" w:sz="4" w:space="0" w:color="auto"/>
              <w:right w:val="single" w:sz="4" w:space="0" w:color="auto"/>
            </w:tcBorders>
            <w:shd w:val="clear" w:color="auto" w:fill="auto"/>
            <w:noWrap/>
            <w:hideMark/>
          </w:tcPr>
          <w:p w14:paraId="316C2F7B" w14:textId="77777777" w:rsidR="006B7275" w:rsidRPr="00325531" w:rsidRDefault="006B7275" w:rsidP="00BD5391">
            <w:pPr>
              <w:jc w:val="center"/>
              <w:rPr>
                <w:color w:val="000000" w:themeColor="text1"/>
                <w:sz w:val="20"/>
                <w:szCs w:val="20"/>
              </w:rPr>
            </w:pPr>
            <w:r w:rsidRPr="00325531">
              <w:rPr>
                <w:color w:val="000000" w:themeColor="text1"/>
                <w:sz w:val="20"/>
                <w:szCs w:val="20"/>
              </w:rPr>
              <w:t>0.97</w:t>
            </w:r>
          </w:p>
        </w:tc>
        <w:tc>
          <w:tcPr>
            <w:tcW w:w="1378" w:type="dxa"/>
            <w:tcBorders>
              <w:top w:val="single" w:sz="4" w:space="0" w:color="auto"/>
              <w:left w:val="single" w:sz="4" w:space="0" w:color="auto"/>
              <w:right w:val="single" w:sz="4" w:space="0" w:color="auto"/>
            </w:tcBorders>
            <w:shd w:val="clear" w:color="auto" w:fill="auto"/>
            <w:noWrap/>
            <w:hideMark/>
          </w:tcPr>
          <w:p w14:paraId="1E665621" w14:textId="77777777" w:rsidR="006B7275" w:rsidRPr="00325531" w:rsidRDefault="006B7275" w:rsidP="00BD5391">
            <w:pPr>
              <w:jc w:val="center"/>
              <w:rPr>
                <w:color w:val="000000" w:themeColor="text1"/>
                <w:sz w:val="20"/>
                <w:szCs w:val="20"/>
              </w:rPr>
            </w:pPr>
            <w:r w:rsidRPr="00325531">
              <w:rPr>
                <w:color w:val="000000" w:themeColor="text1"/>
                <w:sz w:val="20"/>
                <w:szCs w:val="20"/>
              </w:rPr>
              <w:t>1.10</w:t>
            </w:r>
          </w:p>
        </w:tc>
        <w:tc>
          <w:tcPr>
            <w:tcW w:w="1378" w:type="dxa"/>
            <w:tcBorders>
              <w:top w:val="single" w:sz="4" w:space="0" w:color="auto"/>
              <w:left w:val="single" w:sz="4" w:space="0" w:color="auto"/>
              <w:right w:val="single" w:sz="4" w:space="0" w:color="auto"/>
            </w:tcBorders>
            <w:shd w:val="clear" w:color="auto" w:fill="auto"/>
            <w:noWrap/>
            <w:hideMark/>
          </w:tcPr>
          <w:p w14:paraId="5702FEA9" w14:textId="77777777" w:rsidR="006B7275" w:rsidRPr="00325531" w:rsidRDefault="006B7275" w:rsidP="00BD5391">
            <w:pPr>
              <w:jc w:val="center"/>
              <w:rPr>
                <w:color w:val="000000" w:themeColor="text1"/>
                <w:sz w:val="20"/>
                <w:szCs w:val="20"/>
              </w:rPr>
            </w:pPr>
            <w:r w:rsidRPr="00325531">
              <w:rPr>
                <w:color w:val="000000" w:themeColor="text1"/>
                <w:sz w:val="20"/>
                <w:szCs w:val="20"/>
              </w:rPr>
              <w:t>1.08</w:t>
            </w:r>
          </w:p>
        </w:tc>
        <w:tc>
          <w:tcPr>
            <w:tcW w:w="1378" w:type="dxa"/>
            <w:tcBorders>
              <w:top w:val="single" w:sz="4" w:space="0" w:color="auto"/>
              <w:left w:val="single" w:sz="4" w:space="0" w:color="auto"/>
              <w:right w:val="single" w:sz="4" w:space="0" w:color="auto"/>
            </w:tcBorders>
            <w:shd w:val="clear" w:color="auto" w:fill="auto"/>
            <w:noWrap/>
            <w:hideMark/>
          </w:tcPr>
          <w:p w14:paraId="28F08EF5" w14:textId="77777777" w:rsidR="006B7275" w:rsidRPr="00325531" w:rsidRDefault="006B7275" w:rsidP="00BD5391">
            <w:pPr>
              <w:jc w:val="center"/>
              <w:rPr>
                <w:color w:val="000000" w:themeColor="text1"/>
                <w:sz w:val="20"/>
                <w:szCs w:val="20"/>
              </w:rPr>
            </w:pPr>
            <w:r w:rsidRPr="00325531">
              <w:rPr>
                <w:color w:val="000000" w:themeColor="text1"/>
                <w:sz w:val="20"/>
                <w:szCs w:val="20"/>
              </w:rPr>
              <w:t>1.05</w:t>
            </w:r>
          </w:p>
        </w:tc>
        <w:tc>
          <w:tcPr>
            <w:tcW w:w="1378" w:type="dxa"/>
            <w:tcBorders>
              <w:top w:val="single" w:sz="4" w:space="0" w:color="auto"/>
              <w:left w:val="single" w:sz="4" w:space="0" w:color="auto"/>
              <w:right w:val="single" w:sz="4" w:space="0" w:color="auto"/>
            </w:tcBorders>
            <w:shd w:val="clear" w:color="auto" w:fill="auto"/>
            <w:noWrap/>
            <w:hideMark/>
          </w:tcPr>
          <w:p w14:paraId="2FA9269F" w14:textId="77777777" w:rsidR="006B7275" w:rsidRPr="00325531" w:rsidRDefault="006B7275" w:rsidP="00BD5391">
            <w:pPr>
              <w:jc w:val="center"/>
              <w:rPr>
                <w:color w:val="000000" w:themeColor="text1"/>
                <w:sz w:val="20"/>
                <w:szCs w:val="20"/>
              </w:rPr>
            </w:pPr>
            <w:r w:rsidRPr="00325531">
              <w:rPr>
                <w:color w:val="000000" w:themeColor="text1"/>
                <w:sz w:val="20"/>
                <w:szCs w:val="20"/>
              </w:rPr>
              <w:t>1.14*</w:t>
            </w:r>
          </w:p>
        </w:tc>
        <w:tc>
          <w:tcPr>
            <w:tcW w:w="1378" w:type="dxa"/>
            <w:tcBorders>
              <w:top w:val="single" w:sz="4" w:space="0" w:color="auto"/>
              <w:left w:val="single" w:sz="4" w:space="0" w:color="auto"/>
            </w:tcBorders>
            <w:shd w:val="clear" w:color="auto" w:fill="auto"/>
            <w:noWrap/>
            <w:hideMark/>
          </w:tcPr>
          <w:p w14:paraId="073B5E88" w14:textId="77777777" w:rsidR="006B7275" w:rsidRPr="00325531" w:rsidRDefault="006B7275" w:rsidP="00BD5391">
            <w:pPr>
              <w:jc w:val="center"/>
              <w:rPr>
                <w:color w:val="000000" w:themeColor="text1"/>
                <w:sz w:val="20"/>
                <w:szCs w:val="20"/>
              </w:rPr>
            </w:pPr>
            <w:r w:rsidRPr="00325531">
              <w:rPr>
                <w:color w:val="000000" w:themeColor="text1"/>
                <w:sz w:val="20"/>
                <w:szCs w:val="20"/>
              </w:rPr>
              <w:t>1.10</w:t>
            </w:r>
          </w:p>
        </w:tc>
      </w:tr>
      <w:tr w:rsidR="006B7275" w:rsidRPr="00325531" w14:paraId="7B893669" w14:textId="77777777" w:rsidTr="00BD5391">
        <w:trPr>
          <w:trHeight w:val="300"/>
          <w:jc w:val="center"/>
        </w:trPr>
        <w:tc>
          <w:tcPr>
            <w:tcW w:w="1899" w:type="dxa"/>
            <w:tcBorders>
              <w:right w:val="single" w:sz="4" w:space="0" w:color="auto"/>
            </w:tcBorders>
            <w:shd w:val="clear" w:color="auto" w:fill="auto"/>
            <w:noWrap/>
            <w:hideMark/>
          </w:tcPr>
          <w:p w14:paraId="04F6CD37" w14:textId="77777777" w:rsidR="006B7275" w:rsidRPr="00325531" w:rsidRDefault="006B7275" w:rsidP="00BD5391">
            <w:pPr>
              <w:jc w:val="center"/>
              <w:rPr>
                <w:color w:val="000000" w:themeColor="text1"/>
                <w:sz w:val="20"/>
                <w:szCs w:val="20"/>
              </w:rPr>
            </w:pPr>
          </w:p>
        </w:tc>
        <w:tc>
          <w:tcPr>
            <w:tcW w:w="1378" w:type="dxa"/>
            <w:tcBorders>
              <w:left w:val="single" w:sz="4" w:space="0" w:color="auto"/>
              <w:right w:val="single" w:sz="4" w:space="0" w:color="auto"/>
            </w:tcBorders>
            <w:shd w:val="clear" w:color="auto" w:fill="auto"/>
            <w:noWrap/>
            <w:hideMark/>
          </w:tcPr>
          <w:p w14:paraId="0B2B66F0" w14:textId="77777777" w:rsidR="006B7275" w:rsidRPr="00325531" w:rsidRDefault="006B7275" w:rsidP="00BD5391">
            <w:pPr>
              <w:jc w:val="center"/>
              <w:rPr>
                <w:color w:val="000000" w:themeColor="text1"/>
                <w:sz w:val="20"/>
                <w:szCs w:val="20"/>
              </w:rPr>
            </w:pPr>
            <w:r w:rsidRPr="00325531">
              <w:rPr>
                <w:color w:val="000000" w:themeColor="text1"/>
                <w:sz w:val="20"/>
                <w:szCs w:val="20"/>
              </w:rPr>
              <w:t>[0.85, 1.12]</w:t>
            </w:r>
          </w:p>
        </w:tc>
        <w:tc>
          <w:tcPr>
            <w:tcW w:w="1378" w:type="dxa"/>
            <w:tcBorders>
              <w:left w:val="single" w:sz="4" w:space="0" w:color="auto"/>
              <w:right w:val="single" w:sz="4" w:space="0" w:color="auto"/>
            </w:tcBorders>
            <w:shd w:val="clear" w:color="auto" w:fill="auto"/>
            <w:noWrap/>
            <w:hideMark/>
          </w:tcPr>
          <w:p w14:paraId="1B18C242" w14:textId="77777777" w:rsidR="006B7275" w:rsidRPr="00325531" w:rsidRDefault="006B7275" w:rsidP="00BD5391">
            <w:pPr>
              <w:jc w:val="center"/>
              <w:rPr>
                <w:color w:val="000000" w:themeColor="text1"/>
                <w:sz w:val="20"/>
                <w:szCs w:val="20"/>
              </w:rPr>
            </w:pPr>
            <w:r w:rsidRPr="00325531">
              <w:rPr>
                <w:color w:val="000000" w:themeColor="text1"/>
                <w:sz w:val="20"/>
                <w:szCs w:val="20"/>
              </w:rPr>
              <w:t>[0.95, 1.27]</w:t>
            </w:r>
          </w:p>
        </w:tc>
        <w:tc>
          <w:tcPr>
            <w:tcW w:w="1378" w:type="dxa"/>
            <w:tcBorders>
              <w:left w:val="single" w:sz="4" w:space="0" w:color="auto"/>
              <w:right w:val="single" w:sz="4" w:space="0" w:color="auto"/>
            </w:tcBorders>
            <w:shd w:val="clear" w:color="auto" w:fill="auto"/>
            <w:noWrap/>
            <w:hideMark/>
          </w:tcPr>
          <w:p w14:paraId="1FE112E1" w14:textId="77777777" w:rsidR="006B7275" w:rsidRPr="00325531" w:rsidRDefault="006B7275" w:rsidP="00BD5391">
            <w:pPr>
              <w:jc w:val="center"/>
              <w:rPr>
                <w:color w:val="000000" w:themeColor="text1"/>
                <w:sz w:val="20"/>
                <w:szCs w:val="20"/>
              </w:rPr>
            </w:pPr>
            <w:r w:rsidRPr="00325531">
              <w:rPr>
                <w:color w:val="000000" w:themeColor="text1"/>
                <w:sz w:val="20"/>
                <w:szCs w:val="20"/>
              </w:rPr>
              <w:t>[0.99, 1.17]</w:t>
            </w:r>
          </w:p>
        </w:tc>
        <w:tc>
          <w:tcPr>
            <w:tcW w:w="1378" w:type="dxa"/>
            <w:tcBorders>
              <w:left w:val="single" w:sz="4" w:space="0" w:color="auto"/>
              <w:right w:val="single" w:sz="4" w:space="0" w:color="auto"/>
            </w:tcBorders>
            <w:shd w:val="clear" w:color="auto" w:fill="auto"/>
            <w:noWrap/>
            <w:hideMark/>
          </w:tcPr>
          <w:p w14:paraId="189DFE5C" w14:textId="77777777" w:rsidR="006B7275" w:rsidRPr="00325531" w:rsidRDefault="006B7275" w:rsidP="00BD5391">
            <w:pPr>
              <w:jc w:val="center"/>
              <w:rPr>
                <w:color w:val="000000" w:themeColor="text1"/>
                <w:sz w:val="20"/>
                <w:szCs w:val="20"/>
              </w:rPr>
            </w:pPr>
            <w:r w:rsidRPr="00325531">
              <w:rPr>
                <w:color w:val="000000" w:themeColor="text1"/>
                <w:sz w:val="20"/>
                <w:szCs w:val="20"/>
              </w:rPr>
              <w:t>[0.91, 1.20]</w:t>
            </w:r>
          </w:p>
        </w:tc>
        <w:tc>
          <w:tcPr>
            <w:tcW w:w="1378" w:type="dxa"/>
            <w:tcBorders>
              <w:left w:val="single" w:sz="4" w:space="0" w:color="auto"/>
              <w:right w:val="single" w:sz="4" w:space="0" w:color="auto"/>
            </w:tcBorders>
            <w:shd w:val="clear" w:color="auto" w:fill="auto"/>
            <w:noWrap/>
            <w:hideMark/>
          </w:tcPr>
          <w:p w14:paraId="0033C0E1" w14:textId="77777777" w:rsidR="006B7275" w:rsidRPr="00325531" w:rsidRDefault="006B7275" w:rsidP="00BD5391">
            <w:pPr>
              <w:jc w:val="center"/>
              <w:rPr>
                <w:color w:val="000000" w:themeColor="text1"/>
                <w:sz w:val="20"/>
                <w:szCs w:val="20"/>
              </w:rPr>
            </w:pPr>
            <w:r w:rsidRPr="00325531">
              <w:rPr>
                <w:color w:val="000000" w:themeColor="text1"/>
                <w:sz w:val="20"/>
                <w:szCs w:val="20"/>
              </w:rPr>
              <w:t>[1.02, 1.27]</w:t>
            </w:r>
          </w:p>
        </w:tc>
        <w:tc>
          <w:tcPr>
            <w:tcW w:w="1378" w:type="dxa"/>
            <w:tcBorders>
              <w:left w:val="single" w:sz="4" w:space="0" w:color="auto"/>
            </w:tcBorders>
            <w:shd w:val="clear" w:color="auto" w:fill="auto"/>
            <w:noWrap/>
            <w:hideMark/>
          </w:tcPr>
          <w:p w14:paraId="5C7B26B8" w14:textId="77777777" w:rsidR="006B7275" w:rsidRPr="00325531" w:rsidRDefault="006B7275" w:rsidP="00BD5391">
            <w:pPr>
              <w:jc w:val="center"/>
              <w:rPr>
                <w:color w:val="000000" w:themeColor="text1"/>
                <w:sz w:val="20"/>
                <w:szCs w:val="20"/>
              </w:rPr>
            </w:pPr>
            <w:r w:rsidRPr="00325531">
              <w:rPr>
                <w:color w:val="000000" w:themeColor="text1"/>
                <w:sz w:val="20"/>
                <w:szCs w:val="20"/>
              </w:rPr>
              <w:t>[0.87, 1.38]</w:t>
            </w:r>
          </w:p>
        </w:tc>
      </w:tr>
      <w:tr w:rsidR="006B7275" w:rsidRPr="00325531" w14:paraId="7A13199C" w14:textId="77777777" w:rsidTr="00BD5391">
        <w:trPr>
          <w:trHeight w:val="300"/>
          <w:jc w:val="center"/>
        </w:trPr>
        <w:tc>
          <w:tcPr>
            <w:tcW w:w="1899" w:type="dxa"/>
            <w:tcBorders>
              <w:right w:val="single" w:sz="4" w:space="0" w:color="auto"/>
            </w:tcBorders>
            <w:shd w:val="clear" w:color="auto" w:fill="auto"/>
            <w:noWrap/>
            <w:hideMark/>
          </w:tcPr>
          <w:p w14:paraId="59F95301" w14:textId="77777777" w:rsidR="006B7275" w:rsidRPr="00325531" w:rsidRDefault="006B7275" w:rsidP="00BD5391">
            <w:pPr>
              <w:jc w:val="center"/>
              <w:rPr>
                <w:color w:val="000000" w:themeColor="text1"/>
                <w:sz w:val="20"/>
                <w:szCs w:val="20"/>
              </w:rPr>
            </w:pPr>
          </w:p>
        </w:tc>
        <w:tc>
          <w:tcPr>
            <w:tcW w:w="1378" w:type="dxa"/>
            <w:tcBorders>
              <w:left w:val="single" w:sz="4" w:space="0" w:color="auto"/>
              <w:bottom w:val="single" w:sz="4" w:space="0" w:color="auto"/>
              <w:right w:val="single" w:sz="4" w:space="0" w:color="auto"/>
            </w:tcBorders>
            <w:shd w:val="clear" w:color="auto" w:fill="auto"/>
            <w:noWrap/>
            <w:hideMark/>
          </w:tcPr>
          <w:p w14:paraId="4CF226C1" w14:textId="77777777" w:rsidR="006B7275" w:rsidRPr="00325531" w:rsidRDefault="006B7275" w:rsidP="00BD5391">
            <w:pPr>
              <w:jc w:val="center"/>
              <w:rPr>
                <w:color w:val="000000" w:themeColor="text1"/>
                <w:sz w:val="20"/>
                <w:szCs w:val="20"/>
              </w:rPr>
            </w:pPr>
            <w:r w:rsidRPr="00325531">
              <w:rPr>
                <w:color w:val="000000" w:themeColor="text1"/>
                <w:sz w:val="20"/>
                <w:szCs w:val="20"/>
              </w:rPr>
              <w:t>0.7171</w:t>
            </w:r>
          </w:p>
        </w:tc>
        <w:tc>
          <w:tcPr>
            <w:tcW w:w="1378" w:type="dxa"/>
            <w:tcBorders>
              <w:left w:val="single" w:sz="4" w:space="0" w:color="auto"/>
              <w:right w:val="single" w:sz="4" w:space="0" w:color="auto"/>
            </w:tcBorders>
            <w:shd w:val="clear" w:color="auto" w:fill="auto"/>
            <w:noWrap/>
            <w:hideMark/>
          </w:tcPr>
          <w:p w14:paraId="00C58858" w14:textId="77777777" w:rsidR="006B7275" w:rsidRPr="00325531" w:rsidRDefault="006B7275" w:rsidP="00BD5391">
            <w:pPr>
              <w:jc w:val="center"/>
              <w:rPr>
                <w:color w:val="000000" w:themeColor="text1"/>
                <w:sz w:val="20"/>
                <w:szCs w:val="20"/>
              </w:rPr>
            </w:pPr>
            <w:r w:rsidRPr="00325531">
              <w:rPr>
                <w:color w:val="000000" w:themeColor="text1"/>
                <w:sz w:val="20"/>
                <w:szCs w:val="20"/>
              </w:rPr>
              <w:t>0.1880</w:t>
            </w:r>
          </w:p>
        </w:tc>
        <w:tc>
          <w:tcPr>
            <w:tcW w:w="1378" w:type="dxa"/>
            <w:tcBorders>
              <w:left w:val="single" w:sz="4" w:space="0" w:color="auto"/>
              <w:bottom w:val="single" w:sz="4" w:space="0" w:color="auto"/>
              <w:right w:val="single" w:sz="4" w:space="0" w:color="auto"/>
            </w:tcBorders>
            <w:shd w:val="clear" w:color="auto" w:fill="auto"/>
            <w:noWrap/>
            <w:hideMark/>
          </w:tcPr>
          <w:p w14:paraId="350C3D5C" w14:textId="77777777" w:rsidR="006B7275" w:rsidRPr="00325531" w:rsidRDefault="006B7275" w:rsidP="00BD5391">
            <w:pPr>
              <w:jc w:val="center"/>
              <w:rPr>
                <w:color w:val="000000" w:themeColor="text1"/>
                <w:sz w:val="20"/>
                <w:szCs w:val="20"/>
              </w:rPr>
            </w:pPr>
            <w:r w:rsidRPr="00325531">
              <w:rPr>
                <w:color w:val="000000" w:themeColor="text1"/>
                <w:sz w:val="20"/>
                <w:szCs w:val="20"/>
              </w:rPr>
              <w:t>0.0888</w:t>
            </w:r>
          </w:p>
        </w:tc>
        <w:tc>
          <w:tcPr>
            <w:tcW w:w="1378" w:type="dxa"/>
            <w:tcBorders>
              <w:left w:val="single" w:sz="4" w:space="0" w:color="auto"/>
              <w:right w:val="single" w:sz="4" w:space="0" w:color="auto"/>
            </w:tcBorders>
            <w:shd w:val="clear" w:color="auto" w:fill="auto"/>
            <w:noWrap/>
            <w:hideMark/>
          </w:tcPr>
          <w:p w14:paraId="319ABE67" w14:textId="77777777" w:rsidR="006B7275" w:rsidRPr="00325531" w:rsidRDefault="006B7275" w:rsidP="00BD5391">
            <w:pPr>
              <w:jc w:val="center"/>
              <w:rPr>
                <w:color w:val="000000" w:themeColor="text1"/>
                <w:sz w:val="20"/>
                <w:szCs w:val="20"/>
              </w:rPr>
            </w:pPr>
            <w:r w:rsidRPr="00325531">
              <w:rPr>
                <w:color w:val="000000" w:themeColor="text1"/>
                <w:sz w:val="20"/>
                <w:szCs w:val="20"/>
              </w:rPr>
              <w:t>0.5254</w:t>
            </w:r>
          </w:p>
        </w:tc>
        <w:tc>
          <w:tcPr>
            <w:tcW w:w="1378" w:type="dxa"/>
            <w:tcBorders>
              <w:left w:val="single" w:sz="4" w:space="0" w:color="auto"/>
              <w:bottom w:val="single" w:sz="4" w:space="0" w:color="auto"/>
              <w:right w:val="single" w:sz="4" w:space="0" w:color="auto"/>
            </w:tcBorders>
            <w:shd w:val="clear" w:color="auto" w:fill="auto"/>
            <w:noWrap/>
            <w:hideMark/>
          </w:tcPr>
          <w:p w14:paraId="18873B71" w14:textId="77777777" w:rsidR="006B7275" w:rsidRPr="00325531" w:rsidRDefault="006B7275" w:rsidP="00BD5391">
            <w:pPr>
              <w:jc w:val="center"/>
              <w:rPr>
                <w:color w:val="000000" w:themeColor="text1"/>
                <w:sz w:val="20"/>
                <w:szCs w:val="20"/>
              </w:rPr>
            </w:pPr>
            <w:r w:rsidRPr="00325531">
              <w:rPr>
                <w:color w:val="000000" w:themeColor="text1"/>
                <w:sz w:val="20"/>
                <w:szCs w:val="20"/>
              </w:rPr>
              <w:t>0.0170</w:t>
            </w:r>
          </w:p>
        </w:tc>
        <w:tc>
          <w:tcPr>
            <w:tcW w:w="1378" w:type="dxa"/>
            <w:tcBorders>
              <w:left w:val="single" w:sz="4" w:space="0" w:color="auto"/>
            </w:tcBorders>
            <w:shd w:val="clear" w:color="auto" w:fill="auto"/>
            <w:noWrap/>
            <w:hideMark/>
          </w:tcPr>
          <w:p w14:paraId="17001ADC" w14:textId="77777777" w:rsidR="006B7275" w:rsidRPr="00325531" w:rsidRDefault="006B7275" w:rsidP="00BD5391">
            <w:pPr>
              <w:jc w:val="center"/>
              <w:rPr>
                <w:color w:val="000000" w:themeColor="text1"/>
                <w:sz w:val="20"/>
                <w:szCs w:val="20"/>
              </w:rPr>
            </w:pPr>
            <w:r w:rsidRPr="00325531">
              <w:rPr>
                <w:color w:val="000000" w:themeColor="text1"/>
                <w:sz w:val="20"/>
                <w:szCs w:val="20"/>
              </w:rPr>
              <w:t>0.4314</w:t>
            </w:r>
          </w:p>
        </w:tc>
      </w:tr>
    </w:tbl>
    <w:p w14:paraId="49CA7A42" w14:textId="77777777" w:rsidR="006B7275" w:rsidRPr="003E14C3" w:rsidRDefault="006B7275" w:rsidP="006B7275">
      <w:pPr>
        <w:spacing w:line="360" w:lineRule="auto"/>
        <w:rPr>
          <w:sz w:val="22"/>
          <w:szCs w:val="22"/>
        </w:rPr>
      </w:pPr>
      <w:r w:rsidRPr="00877A1D">
        <w:rPr>
          <w:b/>
          <w:bCs/>
          <w:sz w:val="22"/>
          <w:szCs w:val="22"/>
        </w:rPr>
        <w:t>Table 3 footnote.</w:t>
      </w:r>
      <w:r w:rsidRPr="00877A1D">
        <w:rPr>
          <w:sz w:val="22"/>
          <w:szCs w:val="22"/>
        </w:rPr>
        <w:t xml:space="preserve"> Results are hazard ratios, 95% confidence intervals, and p-values. Covariates are: LAV, LAEF, LVM/LVEDV, GLS, GLFI, age, sex, ethnicity, deprivation, education, body mass index, hypertension, high cholesterol, diabetes, physical activity, smoking. The CMR variables are principal component analysis rotated variables. *indicates statistically significant p-values with a false discovery rate of 0.05, giving an approximate threshold of 0.028 for this table. AF: atrial fibrillation, CMR: cardiovascular magnetic resonance, </w:t>
      </w:r>
      <w:r>
        <w:rPr>
          <w:sz w:val="22"/>
          <w:szCs w:val="22"/>
        </w:rPr>
        <w:t xml:space="preserve">CVD: cardiovascular disease; </w:t>
      </w:r>
      <w:r w:rsidRPr="00877A1D">
        <w:rPr>
          <w:sz w:val="22"/>
          <w:szCs w:val="22"/>
          <w:shd w:val="clear" w:color="auto" w:fill="FFFFFF"/>
        </w:rPr>
        <w:t>LVGFI: left ventricular global function index</w:t>
      </w:r>
      <w:r w:rsidRPr="00877A1D">
        <w:rPr>
          <w:sz w:val="22"/>
          <w:szCs w:val="22"/>
        </w:rPr>
        <w:t>, GLS: global longitudinal strain, i: indicates indexation to body surface area, IHD: ischaemic heart disease, LAEF: left atrial ejection fraction, LAV: maximum left atrial volume, LVEDV: left ventricular end-diastolic volume, LVM: left ventricular mass, MI: myocardial infarction.</w:t>
      </w:r>
    </w:p>
    <w:p w14:paraId="00786C8E" w14:textId="45D71EDF" w:rsidR="006B7275" w:rsidRDefault="006B7275" w:rsidP="00DC440D">
      <w:pPr>
        <w:widowControl w:val="0"/>
        <w:autoSpaceDE w:val="0"/>
        <w:autoSpaceDN w:val="0"/>
        <w:adjustRightInd w:val="0"/>
        <w:spacing w:line="480" w:lineRule="auto"/>
        <w:rPr>
          <w:i/>
          <w:iCs/>
          <w:sz w:val="22"/>
          <w:szCs w:val="22"/>
        </w:rPr>
      </w:pPr>
      <w:r>
        <w:rPr>
          <w:i/>
          <w:iCs/>
          <w:sz w:val="22"/>
          <w:szCs w:val="22"/>
        </w:rPr>
        <w:br w:type="page"/>
      </w:r>
    </w:p>
    <w:p w14:paraId="09B3F152" w14:textId="77777777" w:rsidR="006B7275" w:rsidRPr="00B7625D" w:rsidRDefault="006B7275" w:rsidP="006B7275">
      <w:pPr>
        <w:spacing w:line="360" w:lineRule="auto"/>
        <w:jc w:val="center"/>
        <w:rPr>
          <w:color w:val="000000" w:themeColor="text1"/>
          <w:sz w:val="22"/>
          <w:szCs w:val="22"/>
        </w:rPr>
      </w:pPr>
      <w:r w:rsidRPr="00B7625D">
        <w:rPr>
          <w:b/>
          <w:bCs/>
          <w:color w:val="000000" w:themeColor="text1"/>
          <w:sz w:val="22"/>
          <w:szCs w:val="22"/>
        </w:rPr>
        <w:t xml:space="preserve">Figure </w:t>
      </w:r>
      <w:r>
        <w:rPr>
          <w:b/>
          <w:bCs/>
          <w:color w:val="000000" w:themeColor="text1"/>
          <w:sz w:val="22"/>
          <w:szCs w:val="22"/>
        </w:rPr>
        <w:t>1</w:t>
      </w:r>
      <w:r w:rsidRPr="00B7625D">
        <w:rPr>
          <w:b/>
          <w:bCs/>
          <w:color w:val="000000" w:themeColor="text1"/>
          <w:sz w:val="22"/>
          <w:szCs w:val="22"/>
        </w:rPr>
        <w:t>. CMR metric means, and 95% confidence interval of the mean stratified by disease status</w:t>
      </w:r>
    </w:p>
    <w:p w14:paraId="573D998D" w14:textId="77777777" w:rsidR="006B7275" w:rsidRPr="00B7625D" w:rsidRDefault="006B7275" w:rsidP="006B7275">
      <w:pPr>
        <w:spacing w:line="360" w:lineRule="auto"/>
        <w:jc w:val="center"/>
        <w:rPr>
          <w:color w:val="000000" w:themeColor="text1"/>
          <w:sz w:val="22"/>
          <w:szCs w:val="22"/>
        </w:rPr>
      </w:pPr>
      <w:r>
        <w:rPr>
          <w:noProof/>
          <w:color w:val="000000" w:themeColor="text1"/>
          <w:sz w:val="22"/>
          <w:szCs w:val="22"/>
        </w:rPr>
        <w:drawing>
          <wp:inline distT="0" distB="0" distL="0" distR="0" wp14:anchorId="4E563899" wp14:editId="5A662B49">
            <wp:extent cx="3855904" cy="2853267"/>
            <wp:effectExtent l="0" t="0" r="5080" b="4445"/>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70338" cy="2863948"/>
                    </a:xfrm>
                    <a:prstGeom prst="rect">
                      <a:avLst/>
                    </a:prstGeom>
                  </pic:spPr>
                </pic:pic>
              </a:graphicData>
            </a:graphic>
          </wp:inline>
        </w:drawing>
      </w:r>
    </w:p>
    <w:p w14:paraId="7C7352E4" w14:textId="403E08CE" w:rsidR="00C8745C" w:rsidRPr="006B7275" w:rsidRDefault="006B7275" w:rsidP="006B7275">
      <w:pPr>
        <w:spacing w:line="360" w:lineRule="auto"/>
        <w:rPr>
          <w:strike/>
          <w:sz w:val="22"/>
          <w:szCs w:val="22"/>
        </w:rPr>
      </w:pPr>
      <w:r w:rsidRPr="00B7625D">
        <w:rPr>
          <w:b/>
          <w:bCs/>
          <w:color w:val="000000" w:themeColor="text1"/>
          <w:sz w:val="22"/>
          <w:szCs w:val="22"/>
        </w:rPr>
        <w:t xml:space="preserve">Figure </w:t>
      </w:r>
      <w:r>
        <w:rPr>
          <w:b/>
          <w:bCs/>
          <w:color w:val="000000" w:themeColor="text1"/>
          <w:sz w:val="22"/>
          <w:szCs w:val="22"/>
        </w:rPr>
        <w:t>1</w:t>
      </w:r>
      <w:r w:rsidRPr="00B7625D">
        <w:rPr>
          <w:b/>
          <w:bCs/>
          <w:color w:val="000000" w:themeColor="text1"/>
          <w:sz w:val="22"/>
          <w:szCs w:val="22"/>
        </w:rPr>
        <w:t xml:space="preserve">. </w:t>
      </w:r>
      <w:r w:rsidRPr="00E33194">
        <w:rPr>
          <w:color w:val="000000" w:themeColor="text1"/>
          <w:sz w:val="22"/>
          <w:szCs w:val="22"/>
        </w:rPr>
        <w:t xml:space="preserve">Within </w:t>
      </w:r>
      <w:r>
        <w:rPr>
          <w:color w:val="000000" w:themeColor="text1"/>
          <w:sz w:val="22"/>
          <w:szCs w:val="22"/>
        </w:rPr>
        <w:t xml:space="preserve">the </w:t>
      </w:r>
      <w:r w:rsidRPr="00C414EC">
        <w:rPr>
          <w:color w:val="000000" w:themeColor="text1"/>
          <w:sz w:val="22"/>
          <w:szCs w:val="22"/>
        </w:rPr>
        <w:t>“Healthy</w:t>
      </w:r>
      <w:r>
        <w:rPr>
          <w:color w:val="000000" w:themeColor="text1"/>
          <w:sz w:val="22"/>
          <w:szCs w:val="22"/>
        </w:rPr>
        <w:t>”, “VRFs”, and “CVD” subsets, we</w:t>
      </w:r>
      <w:r w:rsidRPr="00C414EC">
        <w:rPr>
          <w:color w:val="000000" w:themeColor="text1"/>
          <w:sz w:val="22"/>
          <w:szCs w:val="22"/>
        </w:rPr>
        <w:t xml:space="preserve"> </w:t>
      </w:r>
      <w:r>
        <w:rPr>
          <w:color w:val="000000" w:themeColor="text1"/>
          <w:sz w:val="22"/>
          <w:szCs w:val="22"/>
        </w:rPr>
        <w:t xml:space="preserve">include participants without </w:t>
      </w:r>
      <w:r w:rsidRPr="00E33194">
        <w:rPr>
          <w:color w:val="000000" w:themeColor="text1"/>
          <w:sz w:val="22"/>
          <w:szCs w:val="22"/>
        </w:rPr>
        <w:t xml:space="preserve">prevalent CVD or VRFs, with VRFs but without prevalent CVDs, and with prevalent CVDs, respectively. </w:t>
      </w:r>
      <w:r w:rsidRPr="00E33194">
        <w:rPr>
          <w:sz w:val="22"/>
          <w:szCs w:val="22"/>
        </w:rPr>
        <w:t xml:space="preserve">CMR: cardiovascular magnetic resonance, CVD: cardiovascular disease; </w:t>
      </w:r>
      <w:r w:rsidRPr="00E33194">
        <w:rPr>
          <w:sz w:val="22"/>
          <w:szCs w:val="22"/>
          <w:shd w:val="clear" w:color="auto" w:fill="FFFFFF"/>
        </w:rPr>
        <w:t>LVGFI: left ventricular global function index</w:t>
      </w:r>
      <w:r w:rsidRPr="00E33194">
        <w:rPr>
          <w:sz w:val="22"/>
          <w:szCs w:val="22"/>
        </w:rPr>
        <w:t xml:space="preserve">, GLS: global longitudinal strain, i: indicates indexation to body surface area, LAEF: left atrial ejection fraction, LAV: maximum left atrial volume, LVEDV: left ventricular end-diastolic volume, </w:t>
      </w:r>
      <w:r>
        <w:rPr>
          <w:sz w:val="22"/>
          <w:szCs w:val="22"/>
        </w:rPr>
        <w:t xml:space="preserve">LVEF: left ventricular ejection fraction, LVM: </w:t>
      </w:r>
      <w:r w:rsidRPr="00E33194">
        <w:rPr>
          <w:sz w:val="22"/>
          <w:szCs w:val="22"/>
        </w:rPr>
        <w:t>left ventricular mas</w:t>
      </w:r>
      <w:r w:rsidRPr="00560E67">
        <w:rPr>
          <w:sz w:val="22"/>
          <w:szCs w:val="22"/>
        </w:rPr>
        <w:t>s.</w:t>
      </w:r>
    </w:p>
    <w:sectPr w:rsidR="00C8745C" w:rsidRPr="006B727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DD537" w14:textId="77777777" w:rsidR="00460843" w:rsidRDefault="00460843">
      <w:r>
        <w:separator/>
      </w:r>
    </w:p>
  </w:endnote>
  <w:endnote w:type="continuationSeparator" w:id="0">
    <w:p w14:paraId="4ABC35D2" w14:textId="77777777" w:rsidR="00460843" w:rsidRDefault="0046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3D870193" w14:paraId="0FA1B9E9" w14:textId="77777777" w:rsidTr="3D870193">
      <w:tc>
        <w:tcPr>
          <w:tcW w:w="3005" w:type="dxa"/>
        </w:tcPr>
        <w:p w14:paraId="3FF764BB" w14:textId="11D64F43" w:rsidR="3D870193" w:rsidRDefault="3D870193" w:rsidP="3D870193">
          <w:pPr>
            <w:pStyle w:val="Header"/>
            <w:ind w:left="-115"/>
          </w:pPr>
        </w:p>
      </w:tc>
      <w:tc>
        <w:tcPr>
          <w:tcW w:w="3005" w:type="dxa"/>
        </w:tcPr>
        <w:p w14:paraId="5CC37A83" w14:textId="1AB02096" w:rsidR="3D870193" w:rsidRDefault="3D870193" w:rsidP="3D870193">
          <w:pPr>
            <w:pStyle w:val="Header"/>
            <w:jc w:val="center"/>
          </w:pPr>
        </w:p>
      </w:tc>
      <w:tc>
        <w:tcPr>
          <w:tcW w:w="3005" w:type="dxa"/>
        </w:tcPr>
        <w:p w14:paraId="68DB046C" w14:textId="477C7DD7" w:rsidR="3D870193" w:rsidRDefault="3D870193" w:rsidP="3D870193">
          <w:pPr>
            <w:pStyle w:val="Header"/>
            <w:ind w:right="-115"/>
            <w:jc w:val="right"/>
          </w:pPr>
        </w:p>
      </w:tc>
    </w:tr>
  </w:tbl>
  <w:p w14:paraId="54DB03BC" w14:textId="5ABFC980" w:rsidR="3D870193" w:rsidRDefault="3D870193" w:rsidP="3D8701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11D04" w14:textId="77777777" w:rsidR="00460843" w:rsidRDefault="00460843">
      <w:r>
        <w:separator/>
      </w:r>
    </w:p>
  </w:footnote>
  <w:footnote w:type="continuationSeparator" w:id="0">
    <w:p w14:paraId="37CF7581" w14:textId="77777777" w:rsidR="00460843" w:rsidRDefault="004608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3D870193" w14:paraId="3BA945F7" w14:textId="77777777" w:rsidTr="3D870193">
      <w:tc>
        <w:tcPr>
          <w:tcW w:w="3005" w:type="dxa"/>
        </w:tcPr>
        <w:p w14:paraId="7BB4DDFA" w14:textId="19E54CB4" w:rsidR="3D870193" w:rsidRDefault="3D870193" w:rsidP="3D870193">
          <w:pPr>
            <w:pStyle w:val="Header"/>
            <w:ind w:left="-115"/>
          </w:pPr>
        </w:p>
      </w:tc>
      <w:tc>
        <w:tcPr>
          <w:tcW w:w="3005" w:type="dxa"/>
        </w:tcPr>
        <w:p w14:paraId="716B6915" w14:textId="6D1238FC" w:rsidR="3D870193" w:rsidRDefault="3D870193" w:rsidP="3D870193">
          <w:pPr>
            <w:pStyle w:val="Header"/>
            <w:jc w:val="center"/>
          </w:pPr>
        </w:p>
      </w:tc>
      <w:tc>
        <w:tcPr>
          <w:tcW w:w="3005" w:type="dxa"/>
        </w:tcPr>
        <w:p w14:paraId="1C3D6A87" w14:textId="2278E318" w:rsidR="3D870193" w:rsidRDefault="3D870193" w:rsidP="3D870193">
          <w:pPr>
            <w:pStyle w:val="Header"/>
            <w:ind w:right="-115"/>
            <w:jc w:val="right"/>
          </w:pPr>
        </w:p>
      </w:tc>
    </w:tr>
  </w:tbl>
  <w:p w14:paraId="69FAFF64" w14:textId="1628130C" w:rsidR="3D870193" w:rsidRDefault="3D870193" w:rsidP="3D8701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36E12"/>
    <w:multiLevelType w:val="multilevel"/>
    <w:tmpl w:val="E874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8D0B63"/>
    <w:multiLevelType w:val="hybridMultilevel"/>
    <w:tmpl w:val="2B081EDA"/>
    <w:lvl w:ilvl="0" w:tplc="04A0EB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5B0FEF"/>
    <w:multiLevelType w:val="hybridMultilevel"/>
    <w:tmpl w:val="F304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0ADC81C-A88E-4EAA-A35A-650B67135FA5}"/>
    <w:docVar w:name="dgnword-eventsink" w:val="1988888258512"/>
  </w:docVars>
  <w:rsids>
    <w:rsidRoot w:val="00640261"/>
    <w:rsid w:val="0002244A"/>
    <w:rsid w:val="00024412"/>
    <w:rsid w:val="00042543"/>
    <w:rsid w:val="00056C1D"/>
    <w:rsid w:val="00062C94"/>
    <w:rsid w:val="000720C9"/>
    <w:rsid w:val="000960C8"/>
    <w:rsid w:val="000C6738"/>
    <w:rsid w:val="000D4735"/>
    <w:rsid w:val="0010558C"/>
    <w:rsid w:val="00124DC2"/>
    <w:rsid w:val="0013031F"/>
    <w:rsid w:val="00134030"/>
    <w:rsid w:val="00154CD5"/>
    <w:rsid w:val="0015520D"/>
    <w:rsid w:val="00155F5A"/>
    <w:rsid w:val="00161C91"/>
    <w:rsid w:val="001638BF"/>
    <w:rsid w:val="00166C6C"/>
    <w:rsid w:val="00172DB3"/>
    <w:rsid w:val="00177543"/>
    <w:rsid w:val="00180699"/>
    <w:rsid w:val="00180CF5"/>
    <w:rsid w:val="00180E18"/>
    <w:rsid w:val="00181153"/>
    <w:rsid w:val="001819FD"/>
    <w:rsid w:val="0018337C"/>
    <w:rsid w:val="001848FF"/>
    <w:rsid w:val="00187B59"/>
    <w:rsid w:val="001A52F7"/>
    <w:rsid w:val="001A6484"/>
    <w:rsid w:val="001B499D"/>
    <w:rsid w:val="001E74EB"/>
    <w:rsid w:val="001F214E"/>
    <w:rsid w:val="001F32C1"/>
    <w:rsid w:val="001F348F"/>
    <w:rsid w:val="001F777C"/>
    <w:rsid w:val="00201479"/>
    <w:rsid w:val="00204EF6"/>
    <w:rsid w:val="002060C5"/>
    <w:rsid w:val="00212E86"/>
    <w:rsid w:val="00215944"/>
    <w:rsid w:val="0022433A"/>
    <w:rsid w:val="00224F66"/>
    <w:rsid w:val="0023072B"/>
    <w:rsid w:val="0023354F"/>
    <w:rsid w:val="00233F42"/>
    <w:rsid w:val="00236267"/>
    <w:rsid w:val="00240C48"/>
    <w:rsid w:val="00262179"/>
    <w:rsid w:val="00272106"/>
    <w:rsid w:val="002765A8"/>
    <w:rsid w:val="0028140B"/>
    <w:rsid w:val="002A0F1A"/>
    <w:rsid w:val="002A3819"/>
    <w:rsid w:val="002A4B98"/>
    <w:rsid w:val="002A536E"/>
    <w:rsid w:val="002B9F28"/>
    <w:rsid w:val="002E454C"/>
    <w:rsid w:val="002E6C14"/>
    <w:rsid w:val="002F58FA"/>
    <w:rsid w:val="002FDBB6"/>
    <w:rsid w:val="00303027"/>
    <w:rsid w:val="00313839"/>
    <w:rsid w:val="00330FFA"/>
    <w:rsid w:val="0033150E"/>
    <w:rsid w:val="00331C69"/>
    <w:rsid w:val="00352449"/>
    <w:rsid w:val="00352FF7"/>
    <w:rsid w:val="00365912"/>
    <w:rsid w:val="0036788A"/>
    <w:rsid w:val="003866C5"/>
    <w:rsid w:val="00397A87"/>
    <w:rsid w:val="003A0B4C"/>
    <w:rsid w:val="003A4753"/>
    <w:rsid w:val="003A9A23"/>
    <w:rsid w:val="003B0F28"/>
    <w:rsid w:val="003B33EA"/>
    <w:rsid w:val="003C2C91"/>
    <w:rsid w:val="003C7329"/>
    <w:rsid w:val="003D30B6"/>
    <w:rsid w:val="003E1F50"/>
    <w:rsid w:val="003E5559"/>
    <w:rsid w:val="003E69EA"/>
    <w:rsid w:val="003F4145"/>
    <w:rsid w:val="00401BB2"/>
    <w:rsid w:val="00405D7B"/>
    <w:rsid w:val="00424E43"/>
    <w:rsid w:val="00431DAE"/>
    <w:rsid w:val="00432648"/>
    <w:rsid w:val="004338F9"/>
    <w:rsid w:val="0043B598"/>
    <w:rsid w:val="00442215"/>
    <w:rsid w:val="00445186"/>
    <w:rsid w:val="0045225D"/>
    <w:rsid w:val="00455885"/>
    <w:rsid w:val="00457560"/>
    <w:rsid w:val="00460843"/>
    <w:rsid w:val="004615F0"/>
    <w:rsid w:val="00471825"/>
    <w:rsid w:val="00474CE3"/>
    <w:rsid w:val="004807CF"/>
    <w:rsid w:val="00483E3B"/>
    <w:rsid w:val="00491A89"/>
    <w:rsid w:val="004A6525"/>
    <w:rsid w:val="004B0EED"/>
    <w:rsid w:val="004C1436"/>
    <w:rsid w:val="004C7D50"/>
    <w:rsid w:val="004F076A"/>
    <w:rsid w:val="004F0E60"/>
    <w:rsid w:val="00507748"/>
    <w:rsid w:val="00511AE5"/>
    <w:rsid w:val="0051365D"/>
    <w:rsid w:val="00516BC7"/>
    <w:rsid w:val="005339D8"/>
    <w:rsid w:val="005344A0"/>
    <w:rsid w:val="00545AC9"/>
    <w:rsid w:val="00546383"/>
    <w:rsid w:val="00547410"/>
    <w:rsid w:val="005533E2"/>
    <w:rsid w:val="00553E49"/>
    <w:rsid w:val="00560C07"/>
    <w:rsid w:val="00564777"/>
    <w:rsid w:val="00564AA6"/>
    <w:rsid w:val="0056F488"/>
    <w:rsid w:val="00585841"/>
    <w:rsid w:val="005943E2"/>
    <w:rsid w:val="005A392F"/>
    <w:rsid w:val="005B0C02"/>
    <w:rsid w:val="005C2574"/>
    <w:rsid w:val="005C6B2E"/>
    <w:rsid w:val="005D265D"/>
    <w:rsid w:val="005D28B2"/>
    <w:rsid w:val="005E6007"/>
    <w:rsid w:val="005E790D"/>
    <w:rsid w:val="005F035D"/>
    <w:rsid w:val="005F07F9"/>
    <w:rsid w:val="005F3859"/>
    <w:rsid w:val="005F3A00"/>
    <w:rsid w:val="0061299B"/>
    <w:rsid w:val="00613609"/>
    <w:rsid w:val="00640261"/>
    <w:rsid w:val="00643C96"/>
    <w:rsid w:val="00646908"/>
    <w:rsid w:val="0065387A"/>
    <w:rsid w:val="006669A1"/>
    <w:rsid w:val="006671A7"/>
    <w:rsid w:val="00667536"/>
    <w:rsid w:val="00672277"/>
    <w:rsid w:val="006756D3"/>
    <w:rsid w:val="00680008"/>
    <w:rsid w:val="0068285C"/>
    <w:rsid w:val="00684A6A"/>
    <w:rsid w:val="00684E20"/>
    <w:rsid w:val="006890B5"/>
    <w:rsid w:val="006A558A"/>
    <w:rsid w:val="006B4E9D"/>
    <w:rsid w:val="006B7275"/>
    <w:rsid w:val="006E022F"/>
    <w:rsid w:val="006E2804"/>
    <w:rsid w:val="006E7B96"/>
    <w:rsid w:val="006F0BEE"/>
    <w:rsid w:val="00710D0F"/>
    <w:rsid w:val="007152DF"/>
    <w:rsid w:val="0072515A"/>
    <w:rsid w:val="00731C61"/>
    <w:rsid w:val="00741480"/>
    <w:rsid w:val="00751C2E"/>
    <w:rsid w:val="007520D9"/>
    <w:rsid w:val="00755576"/>
    <w:rsid w:val="00760756"/>
    <w:rsid w:val="00766B16"/>
    <w:rsid w:val="007729DE"/>
    <w:rsid w:val="007913D9"/>
    <w:rsid w:val="00795E6C"/>
    <w:rsid w:val="007A2B86"/>
    <w:rsid w:val="007A3660"/>
    <w:rsid w:val="007A37CD"/>
    <w:rsid w:val="007A4F15"/>
    <w:rsid w:val="007B0E1E"/>
    <w:rsid w:val="007B41FC"/>
    <w:rsid w:val="007B6C42"/>
    <w:rsid w:val="007B6FE4"/>
    <w:rsid w:val="007C01A7"/>
    <w:rsid w:val="007D2473"/>
    <w:rsid w:val="007D5C39"/>
    <w:rsid w:val="007D6553"/>
    <w:rsid w:val="007D6679"/>
    <w:rsid w:val="007F19CD"/>
    <w:rsid w:val="007F277B"/>
    <w:rsid w:val="007F6BD2"/>
    <w:rsid w:val="00806B78"/>
    <w:rsid w:val="008225E1"/>
    <w:rsid w:val="0082317A"/>
    <w:rsid w:val="00824177"/>
    <w:rsid w:val="008401A8"/>
    <w:rsid w:val="00846075"/>
    <w:rsid w:val="00851471"/>
    <w:rsid w:val="0086121B"/>
    <w:rsid w:val="008652B0"/>
    <w:rsid w:val="00866032"/>
    <w:rsid w:val="00867BBB"/>
    <w:rsid w:val="00873CC5"/>
    <w:rsid w:val="008758E0"/>
    <w:rsid w:val="008762FD"/>
    <w:rsid w:val="00880FC9"/>
    <w:rsid w:val="008816F2"/>
    <w:rsid w:val="00884971"/>
    <w:rsid w:val="008961F8"/>
    <w:rsid w:val="008A014F"/>
    <w:rsid w:val="008B0B07"/>
    <w:rsid w:val="008B6DBF"/>
    <w:rsid w:val="008F6CF6"/>
    <w:rsid w:val="00911A8D"/>
    <w:rsid w:val="00914145"/>
    <w:rsid w:val="00925B0B"/>
    <w:rsid w:val="0092751D"/>
    <w:rsid w:val="0093452B"/>
    <w:rsid w:val="00941981"/>
    <w:rsid w:val="00955C27"/>
    <w:rsid w:val="00987FE9"/>
    <w:rsid w:val="00993F1D"/>
    <w:rsid w:val="009B6A14"/>
    <w:rsid w:val="009D1AF0"/>
    <w:rsid w:val="009E3033"/>
    <w:rsid w:val="009F5D7D"/>
    <w:rsid w:val="009F7962"/>
    <w:rsid w:val="00A04AA0"/>
    <w:rsid w:val="00A05EA8"/>
    <w:rsid w:val="00A07D63"/>
    <w:rsid w:val="00A1665B"/>
    <w:rsid w:val="00A17A27"/>
    <w:rsid w:val="00A23603"/>
    <w:rsid w:val="00A30EDA"/>
    <w:rsid w:val="00A433B9"/>
    <w:rsid w:val="00A5455C"/>
    <w:rsid w:val="00A7F537"/>
    <w:rsid w:val="00A8517A"/>
    <w:rsid w:val="00A9305D"/>
    <w:rsid w:val="00AA6E4A"/>
    <w:rsid w:val="00AB3FD3"/>
    <w:rsid w:val="00AB660D"/>
    <w:rsid w:val="00AC40AF"/>
    <w:rsid w:val="00AE0818"/>
    <w:rsid w:val="00AE373F"/>
    <w:rsid w:val="00AE3D24"/>
    <w:rsid w:val="00AE5701"/>
    <w:rsid w:val="00AF20AA"/>
    <w:rsid w:val="00AF2FA5"/>
    <w:rsid w:val="00B01C7D"/>
    <w:rsid w:val="00B05524"/>
    <w:rsid w:val="00B1732E"/>
    <w:rsid w:val="00B2E4FC"/>
    <w:rsid w:val="00B31017"/>
    <w:rsid w:val="00B3559C"/>
    <w:rsid w:val="00B54BD7"/>
    <w:rsid w:val="00B57EFB"/>
    <w:rsid w:val="00B61ED4"/>
    <w:rsid w:val="00B64CE1"/>
    <w:rsid w:val="00B654CD"/>
    <w:rsid w:val="00B65E29"/>
    <w:rsid w:val="00B76C3D"/>
    <w:rsid w:val="00B8153F"/>
    <w:rsid w:val="00B8354C"/>
    <w:rsid w:val="00B90C68"/>
    <w:rsid w:val="00B9582C"/>
    <w:rsid w:val="00BC1A1D"/>
    <w:rsid w:val="00BF1990"/>
    <w:rsid w:val="00BF5FDD"/>
    <w:rsid w:val="00C12C6E"/>
    <w:rsid w:val="00C33919"/>
    <w:rsid w:val="00C34046"/>
    <w:rsid w:val="00C341C7"/>
    <w:rsid w:val="00C4B8E4"/>
    <w:rsid w:val="00C5554B"/>
    <w:rsid w:val="00C558DF"/>
    <w:rsid w:val="00C57243"/>
    <w:rsid w:val="00C65B75"/>
    <w:rsid w:val="00C8745C"/>
    <w:rsid w:val="00C95C3D"/>
    <w:rsid w:val="00CA27C7"/>
    <w:rsid w:val="00CC5727"/>
    <w:rsid w:val="00CE199B"/>
    <w:rsid w:val="00CE1BCD"/>
    <w:rsid w:val="00CE3378"/>
    <w:rsid w:val="00CF5D66"/>
    <w:rsid w:val="00CF60B5"/>
    <w:rsid w:val="00D028F1"/>
    <w:rsid w:val="00D052E3"/>
    <w:rsid w:val="00D15042"/>
    <w:rsid w:val="00D186CD"/>
    <w:rsid w:val="00D22F17"/>
    <w:rsid w:val="00D33752"/>
    <w:rsid w:val="00D339FE"/>
    <w:rsid w:val="00D33D05"/>
    <w:rsid w:val="00D349A6"/>
    <w:rsid w:val="00D41B16"/>
    <w:rsid w:val="00D4447F"/>
    <w:rsid w:val="00D502E5"/>
    <w:rsid w:val="00D51E55"/>
    <w:rsid w:val="00D54ACB"/>
    <w:rsid w:val="00D81843"/>
    <w:rsid w:val="00D82DF6"/>
    <w:rsid w:val="00D82FCE"/>
    <w:rsid w:val="00D91117"/>
    <w:rsid w:val="00DA6872"/>
    <w:rsid w:val="00DA7B04"/>
    <w:rsid w:val="00DB178D"/>
    <w:rsid w:val="00DB6AC5"/>
    <w:rsid w:val="00DC440D"/>
    <w:rsid w:val="00DC6128"/>
    <w:rsid w:val="00DD31D7"/>
    <w:rsid w:val="00DD327D"/>
    <w:rsid w:val="00DE019A"/>
    <w:rsid w:val="00DF7CD7"/>
    <w:rsid w:val="00E020BD"/>
    <w:rsid w:val="00E17CAF"/>
    <w:rsid w:val="00E2383E"/>
    <w:rsid w:val="00E529F0"/>
    <w:rsid w:val="00E52A7D"/>
    <w:rsid w:val="00E54073"/>
    <w:rsid w:val="00E70DAD"/>
    <w:rsid w:val="00E86798"/>
    <w:rsid w:val="00E873B1"/>
    <w:rsid w:val="00E926D2"/>
    <w:rsid w:val="00E950CE"/>
    <w:rsid w:val="00E9719E"/>
    <w:rsid w:val="00EB50A9"/>
    <w:rsid w:val="00EC1CAE"/>
    <w:rsid w:val="00EC22AD"/>
    <w:rsid w:val="00EC68AE"/>
    <w:rsid w:val="00ED285D"/>
    <w:rsid w:val="00EF0DEC"/>
    <w:rsid w:val="00EF4A7F"/>
    <w:rsid w:val="00F02147"/>
    <w:rsid w:val="00F04AEE"/>
    <w:rsid w:val="00F1781F"/>
    <w:rsid w:val="00F2460A"/>
    <w:rsid w:val="00F3550B"/>
    <w:rsid w:val="00F3669B"/>
    <w:rsid w:val="00F42600"/>
    <w:rsid w:val="00F52549"/>
    <w:rsid w:val="00F61472"/>
    <w:rsid w:val="00F645C0"/>
    <w:rsid w:val="00F661D1"/>
    <w:rsid w:val="00F7729C"/>
    <w:rsid w:val="00F8664D"/>
    <w:rsid w:val="00F9570E"/>
    <w:rsid w:val="00F95B19"/>
    <w:rsid w:val="00FB2932"/>
    <w:rsid w:val="00FB30F9"/>
    <w:rsid w:val="00FB3157"/>
    <w:rsid w:val="00FB4373"/>
    <w:rsid w:val="00FD8830"/>
    <w:rsid w:val="010558E4"/>
    <w:rsid w:val="01070F21"/>
    <w:rsid w:val="011258C8"/>
    <w:rsid w:val="012666C1"/>
    <w:rsid w:val="014D1445"/>
    <w:rsid w:val="0166C03E"/>
    <w:rsid w:val="017AD0D4"/>
    <w:rsid w:val="0191B6EE"/>
    <w:rsid w:val="01A6FB9E"/>
    <w:rsid w:val="01B77090"/>
    <w:rsid w:val="01BF1E34"/>
    <w:rsid w:val="01CF032E"/>
    <w:rsid w:val="01D5704B"/>
    <w:rsid w:val="01E5A3F6"/>
    <w:rsid w:val="01E6F1A7"/>
    <w:rsid w:val="01E7B295"/>
    <w:rsid w:val="01F269E6"/>
    <w:rsid w:val="01F28212"/>
    <w:rsid w:val="01FBC3A3"/>
    <w:rsid w:val="02384F14"/>
    <w:rsid w:val="0240A77E"/>
    <w:rsid w:val="02630478"/>
    <w:rsid w:val="0266D5F7"/>
    <w:rsid w:val="0268D457"/>
    <w:rsid w:val="0275D918"/>
    <w:rsid w:val="027C101F"/>
    <w:rsid w:val="02978389"/>
    <w:rsid w:val="02A01CB9"/>
    <w:rsid w:val="02A40C5F"/>
    <w:rsid w:val="02B1222A"/>
    <w:rsid w:val="02BAFC5B"/>
    <w:rsid w:val="02C077DA"/>
    <w:rsid w:val="02C2B095"/>
    <w:rsid w:val="02CC325C"/>
    <w:rsid w:val="02EDCFAC"/>
    <w:rsid w:val="02F4FB1F"/>
    <w:rsid w:val="02F505A2"/>
    <w:rsid w:val="02F58642"/>
    <w:rsid w:val="02F6B518"/>
    <w:rsid w:val="03013A91"/>
    <w:rsid w:val="030EC6A2"/>
    <w:rsid w:val="03139560"/>
    <w:rsid w:val="03169102"/>
    <w:rsid w:val="0334B828"/>
    <w:rsid w:val="034EF688"/>
    <w:rsid w:val="035C8187"/>
    <w:rsid w:val="0360017D"/>
    <w:rsid w:val="03653D9B"/>
    <w:rsid w:val="0378870F"/>
    <w:rsid w:val="037D8DED"/>
    <w:rsid w:val="0385404F"/>
    <w:rsid w:val="03932B52"/>
    <w:rsid w:val="0398CD30"/>
    <w:rsid w:val="03A33F53"/>
    <w:rsid w:val="03C19398"/>
    <w:rsid w:val="03EB5CB3"/>
    <w:rsid w:val="03EE8017"/>
    <w:rsid w:val="03F9BF84"/>
    <w:rsid w:val="03FE2DC4"/>
    <w:rsid w:val="040AB200"/>
    <w:rsid w:val="040DC6BA"/>
    <w:rsid w:val="0417A49B"/>
    <w:rsid w:val="04381AD0"/>
    <w:rsid w:val="044406E4"/>
    <w:rsid w:val="044B680E"/>
    <w:rsid w:val="0452C4DC"/>
    <w:rsid w:val="0454D83D"/>
    <w:rsid w:val="0460CE80"/>
    <w:rsid w:val="04628193"/>
    <w:rsid w:val="046DFFFD"/>
    <w:rsid w:val="047ECC0C"/>
    <w:rsid w:val="048616BC"/>
    <w:rsid w:val="048F2B3B"/>
    <w:rsid w:val="04BB6859"/>
    <w:rsid w:val="04BCE4C0"/>
    <w:rsid w:val="04C4B3F9"/>
    <w:rsid w:val="04C70925"/>
    <w:rsid w:val="04D2274B"/>
    <w:rsid w:val="04F0D592"/>
    <w:rsid w:val="04F0F453"/>
    <w:rsid w:val="05073223"/>
    <w:rsid w:val="050D7830"/>
    <w:rsid w:val="052B8480"/>
    <w:rsid w:val="05326371"/>
    <w:rsid w:val="05535DD1"/>
    <w:rsid w:val="055E7226"/>
    <w:rsid w:val="0564EBEE"/>
    <w:rsid w:val="0566C0F4"/>
    <w:rsid w:val="056B7ADD"/>
    <w:rsid w:val="05797EA8"/>
    <w:rsid w:val="05824877"/>
    <w:rsid w:val="059DA7B1"/>
    <w:rsid w:val="059F5769"/>
    <w:rsid w:val="05A220DA"/>
    <w:rsid w:val="05B7E317"/>
    <w:rsid w:val="05C57143"/>
    <w:rsid w:val="05DBAD21"/>
    <w:rsid w:val="05E1D20A"/>
    <w:rsid w:val="05FAD192"/>
    <w:rsid w:val="05FFDFB5"/>
    <w:rsid w:val="05FFE7AC"/>
    <w:rsid w:val="0619D574"/>
    <w:rsid w:val="06235D4E"/>
    <w:rsid w:val="0637A73A"/>
    <w:rsid w:val="06421FFD"/>
    <w:rsid w:val="0646A85E"/>
    <w:rsid w:val="064C6FDB"/>
    <w:rsid w:val="064FD3D4"/>
    <w:rsid w:val="06502EAD"/>
    <w:rsid w:val="06554160"/>
    <w:rsid w:val="0667014D"/>
    <w:rsid w:val="067F9286"/>
    <w:rsid w:val="068A3BA8"/>
    <w:rsid w:val="06B06BCA"/>
    <w:rsid w:val="06BE2126"/>
    <w:rsid w:val="06D87A1D"/>
    <w:rsid w:val="06D9CDDC"/>
    <w:rsid w:val="06DE728A"/>
    <w:rsid w:val="06DF51D7"/>
    <w:rsid w:val="06FBE8D9"/>
    <w:rsid w:val="06FF1C0D"/>
    <w:rsid w:val="0705B7FE"/>
    <w:rsid w:val="0716C6E5"/>
    <w:rsid w:val="07339FFB"/>
    <w:rsid w:val="073768D0"/>
    <w:rsid w:val="0740C851"/>
    <w:rsid w:val="0745677C"/>
    <w:rsid w:val="076460B7"/>
    <w:rsid w:val="07777D82"/>
    <w:rsid w:val="07803D6B"/>
    <w:rsid w:val="078DAC4D"/>
    <w:rsid w:val="0794E538"/>
    <w:rsid w:val="07A4E19C"/>
    <w:rsid w:val="07AD12B8"/>
    <w:rsid w:val="07AED67A"/>
    <w:rsid w:val="07B1D796"/>
    <w:rsid w:val="07B45374"/>
    <w:rsid w:val="07D1DB12"/>
    <w:rsid w:val="07D904BE"/>
    <w:rsid w:val="07DE83B9"/>
    <w:rsid w:val="07F111C1"/>
    <w:rsid w:val="07FCBAD3"/>
    <w:rsid w:val="0809235B"/>
    <w:rsid w:val="08095668"/>
    <w:rsid w:val="08113C98"/>
    <w:rsid w:val="081C9E9E"/>
    <w:rsid w:val="08225DD8"/>
    <w:rsid w:val="0827FC75"/>
    <w:rsid w:val="0836B7C0"/>
    <w:rsid w:val="0846AB4A"/>
    <w:rsid w:val="08511EB3"/>
    <w:rsid w:val="085C30E3"/>
    <w:rsid w:val="086CECF7"/>
    <w:rsid w:val="08713BC3"/>
    <w:rsid w:val="0874A2BE"/>
    <w:rsid w:val="0895A24E"/>
    <w:rsid w:val="0895D84F"/>
    <w:rsid w:val="08A3F52F"/>
    <w:rsid w:val="08A58852"/>
    <w:rsid w:val="08BC411F"/>
    <w:rsid w:val="08BC7CD2"/>
    <w:rsid w:val="08CDB089"/>
    <w:rsid w:val="08E9C1ED"/>
    <w:rsid w:val="092267F5"/>
    <w:rsid w:val="0923CBC3"/>
    <w:rsid w:val="09259DC5"/>
    <w:rsid w:val="093874C2"/>
    <w:rsid w:val="095AEB51"/>
    <w:rsid w:val="0974ED35"/>
    <w:rsid w:val="0987D24E"/>
    <w:rsid w:val="098C4994"/>
    <w:rsid w:val="098D1180"/>
    <w:rsid w:val="0992DCCA"/>
    <w:rsid w:val="09A9904D"/>
    <w:rsid w:val="09B73348"/>
    <w:rsid w:val="09C14A4B"/>
    <w:rsid w:val="09D725AA"/>
    <w:rsid w:val="09DA093E"/>
    <w:rsid w:val="09EB9FA4"/>
    <w:rsid w:val="09F83920"/>
    <w:rsid w:val="09FFF421"/>
    <w:rsid w:val="0A00C035"/>
    <w:rsid w:val="0A049F29"/>
    <w:rsid w:val="0A06464A"/>
    <w:rsid w:val="0A13C109"/>
    <w:rsid w:val="0A1868C0"/>
    <w:rsid w:val="0A20090D"/>
    <w:rsid w:val="0A2CE303"/>
    <w:rsid w:val="0A373C8F"/>
    <w:rsid w:val="0A4B66D5"/>
    <w:rsid w:val="0A525C59"/>
    <w:rsid w:val="0A536ADA"/>
    <w:rsid w:val="0A55EED2"/>
    <w:rsid w:val="0A593A94"/>
    <w:rsid w:val="0A5AB5F1"/>
    <w:rsid w:val="0A5BF5D0"/>
    <w:rsid w:val="0A649914"/>
    <w:rsid w:val="0A708CA5"/>
    <w:rsid w:val="0A78A1C0"/>
    <w:rsid w:val="0A7FBA09"/>
    <w:rsid w:val="0A8F5100"/>
    <w:rsid w:val="0A933CE0"/>
    <w:rsid w:val="0A9E0A94"/>
    <w:rsid w:val="0AA883A7"/>
    <w:rsid w:val="0AC26AFD"/>
    <w:rsid w:val="0AC6C5D7"/>
    <w:rsid w:val="0ADFDC87"/>
    <w:rsid w:val="0AE7FE52"/>
    <w:rsid w:val="0B20C5B3"/>
    <w:rsid w:val="0B24BB80"/>
    <w:rsid w:val="0B51362C"/>
    <w:rsid w:val="0B58D4D9"/>
    <w:rsid w:val="0B59F169"/>
    <w:rsid w:val="0B5C154C"/>
    <w:rsid w:val="0B6FD0B5"/>
    <w:rsid w:val="0B77E1D7"/>
    <w:rsid w:val="0B7D6ED2"/>
    <w:rsid w:val="0B929B42"/>
    <w:rsid w:val="0B986918"/>
    <w:rsid w:val="0B999D6A"/>
    <w:rsid w:val="0BA1968D"/>
    <w:rsid w:val="0BB688DD"/>
    <w:rsid w:val="0BBDBE9F"/>
    <w:rsid w:val="0BBEFFD1"/>
    <w:rsid w:val="0BCDB3AA"/>
    <w:rsid w:val="0BD270D2"/>
    <w:rsid w:val="0BE0DF0B"/>
    <w:rsid w:val="0BE7351B"/>
    <w:rsid w:val="0BF1EBD7"/>
    <w:rsid w:val="0BFADD7E"/>
    <w:rsid w:val="0C018999"/>
    <w:rsid w:val="0C2050C2"/>
    <w:rsid w:val="0C230C0D"/>
    <w:rsid w:val="0C24FB7B"/>
    <w:rsid w:val="0C34B2C7"/>
    <w:rsid w:val="0C3ED83E"/>
    <w:rsid w:val="0C3F2236"/>
    <w:rsid w:val="0C4030B6"/>
    <w:rsid w:val="0C55A619"/>
    <w:rsid w:val="0C79FBAA"/>
    <w:rsid w:val="0C8EB05D"/>
    <w:rsid w:val="0C9AA727"/>
    <w:rsid w:val="0CA18BB5"/>
    <w:rsid w:val="0CA5EB6F"/>
    <w:rsid w:val="0CA81CD7"/>
    <w:rsid w:val="0CB46810"/>
    <w:rsid w:val="0CBC321E"/>
    <w:rsid w:val="0CD7FC4F"/>
    <w:rsid w:val="0CDCC66E"/>
    <w:rsid w:val="0CDD9572"/>
    <w:rsid w:val="0CDFF713"/>
    <w:rsid w:val="0CE25A25"/>
    <w:rsid w:val="0CE2DDDB"/>
    <w:rsid w:val="0CF1FCCB"/>
    <w:rsid w:val="0D07FC67"/>
    <w:rsid w:val="0D0DBE82"/>
    <w:rsid w:val="0D253C95"/>
    <w:rsid w:val="0D261067"/>
    <w:rsid w:val="0D3AA20F"/>
    <w:rsid w:val="0D886E3E"/>
    <w:rsid w:val="0D9EE1B1"/>
    <w:rsid w:val="0DE4E748"/>
    <w:rsid w:val="0DEA8571"/>
    <w:rsid w:val="0DFEC7FF"/>
    <w:rsid w:val="0E00B2E2"/>
    <w:rsid w:val="0E0DE229"/>
    <w:rsid w:val="0E0F2519"/>
    <w:rsid w:val="0E126EF0"/>
    <w:rsid w:val="0E1B51BE"/>
    <w:rsid w:val="0E30C38C"/>
    <w:rsid w:val="0E386FD9"/>
    <w:rsid w:val="0E3DA8B9"/>
    <w:rsid w:val="0E51EE23"/>
    <w:rsid w:val="0E58366B"/>
    <w:rsid w:val="0E6F876C"/>
    <w:rsid w:val="0E7E5CBB"/>
    <w:rsid w:val="0E7FD294"/>
    <w:rsid w:val="0E833019"/>
    <w:rsid w:val="0EA46639"/>
    <w:rsid w:val="0EA46F95"/>
    <w:rsid w:val="0EA8F496"/>
    <w:rsid w:val="0EB976D9"/>
    <w:rsid w:val="0EBFAEDA"/>
    <w:rsid w:val="0EF0B812"/>
    <w:rsid w:val="0EFA62DA"/>
    <w:rsid w:val="0F103212"/>
    <w:rsid w:val="0F17B6DC"/>
    <w:rsid w:val="0F22114C"/>
    <w:rsid w:val="0F25D39B"/>
    <w:rsid w:val="0F50F1ED"/>
    <w:rsid w:val="0F5F24CB"/>
    <w:rsid w:val="0F6B50DB"/>
    <w:rsid w:val="0F725454"/>
    <w:rsid w:val="0F74CCEA"/>
    <w:rsid w:val="0F757BD0"/>
    <w:rsid w:val="0F86822F"/>
    <w:rsid w:val="0F8E8DE9"/>
    <w:rsid w:val="0F8F7DD9"/>
    <w:rsid w:val="0FA0044C"/>
    <w:rsid w:val="0FAE3F51"/>
    <w:rsid w:val="0FAE49F5"/>
    <w:rsid w:val="0FB7221F"/>
    <w:rsid w:val="0FB8AEA2"/>
    <w:rsid w:val="0FD4403A"/>
    <w:rsid w:val="0FD4893B"/>
    <w:rsid w:val="0FDEA424"/>
    <w:rsid w:val="0FEB20D6"/>
    <w:rsid w:val="1016918D"/>
    <w:rsid w:val="10224A94"/>
    <w:rsid w:val="102E30B5"/>
    <w:rsid w:val="103A74D0"/>
    <w:rsid w:val="105A2CC7"/>
    <w:rsid w:val="105F5A27"/>
    <w:rsid w:val="10660DCC"/>
    <w:rsid w:val="106B2B0C"/>
    <w:rsid w:val="106C8D16"/>
    <w:rsid w:val="10771CCF"/>
    <w:rsid w:val="107A5858"/>
    <w:rsid w:val="10859978"/>
    <w:rsid w:val="10871063"/>
    <w:rsid w:val="1098C803"/>
    <w:rsid w:val="109A61D7"/>
    <w:rsid w:val="10A3D5A3"/>
    <w:rsid w:val="10A47597"/>
    <w:rsid w:val="10B03C7A"/>
    <w:rsid w:val="10B09A37"/>
    <w:rsid w:val="10B0EB11"/>
    <w:rsid w:val="10C936FF"/>
    <w:rsid w:val="10E38C49"/>
    <w:rsid w:val="10E3A1EE"/>
    <w:rsid w:val="10EFBEC2"/>
    <w:rsid w:val="110F565F"/>
    <w:rsid w:val="111CA049"/>
    <w:rsid w:val="11230DD4"/>
    <w:rsid w:val="1130673B"/>
    <w:rsid w:val="1135AADF"/>
    <w:rsid w:val="113F8A5C"/>
    <w:rsid w:val="11460222"/>
    <w:rsid w:val="114A0FB2"/>
    <w:rsid w:val="118186CD"/>
    <w:rsid w:val="11898EE5"/>
    <w:rsid w:val="119C9F15"/>
    <w:rsid w:val="11A25FDE"/>
    <w:rsid w:val="11C05E48"/>
    <w:rsid w:val="11E472DA"/>
    <w:rsid w:val="11E82E1F"/>
    <w:rsid w:val="11F2B503"/>
    <w:rsid w:val="11F436DC"/>
    <w:rsid w:val="11F76C32"/>
    <w:rsid w:val="11FD9B37"/>
    <w:rsid w:val="1210A37C"/>
    <w:rsid w:val="1212C5A3"/>
    <w:rsid w:val="121F4227"/>
    <w:rsid w:val="1220386E"/>
    <w:rsid w:val="1221949C"/>
    <w:rsid w:val="12289D58"/>
    <w:rsid w:val="122F5C14"/>
    <w:rsid w:val="1232A8D4"/>
    <w:rsid w:val="124DB1C4"/>
    <w:rsid w:val="1254F477"/>
    <w:rsid w:val="125940F7"/>
    <w:rsid w:val="12641BBC"/>
    <w:rsid w:val="126DFDEE"/>
    <w:rsid w:val="128143E5"/>
    <w:rsid w:val="12A19884"/>
    <w:rsid w:val="12B47945"/>
    <w:rsid w:val="12C62EAB"/>
    <w:rsid w:val="12E29366"/>
    <w:rsid w:val="12EF3DA4"/>
    <w:rsid w:val="12F2B89F"/>
    <w:rsid w:val="12F8DEF1"/>
    <w:rsid w:val="1307B493"/>
    <w:rsid w:val="131F6263"/>
    <w:rsid w:val="131FFC6F"/>
    <w:rsid w:val="13220AA2"/>
    <w:rsid w:val="13235785"/>
    <w:rsid w:val="1329B6AD"/>
    <w:rsid w:val="134BC5F4"/>
    <w:rsid w:val="1351747A"/>
    <w:rsid w:val="135E158E"/>
    <w:rsid w:val="1363A962"/>
    <w:rsid w:val="1367CFB4"/>
    <w:rsid w:val="136CEFA6"/>
    <w:rsid w:val="13789CAF"/>
    <w:rsid w:val="137F7B2A"/>
    <w:rsid w:val="139B6419"/>
    <w:rsid w:val="139B9F3D"/>
    <w:rsid w:val="13B2BA1D"/>
    <w:rsid w:val="13B7BA75"/>
    <w:rsid w:val="13C22D96"/>
    <w:rsid w:val="13C8755D"/>
    <w:rsid w:val="13CB30A1"/>
    <w:rsid w:val="13CB425A"/>
    <w:rsid w:val="13EB8049"/>
    <w:rsid w:val="14021CB1"/>
    <w:rsid w:val="1402F57E"/>
    <w:rsid w:val="1406F6BA"/>
    <w:rsid w:val="140FC745"/>
    <w:rsid w:val="141D7B78"/>
    <w:rsid w:val="1431AC57"/>
    <w:rsid w:val="1445C391"/>
    <w:rsid w:val="145A0295"/>
    <w:rsid w:val="145A8509"/>
    <w:rsid w:val="145B91EF"/>
    <w:rsid w:val="1461F99B"/>
    <w:rsid w:val="1473B857"/>
    <w:rsid w:val="1479358E"/>
    <w:rsid w:val="147D586B"/>
    <w:rsid w:val="14877BE3"/>
    <w:rsid w:val="148ED135"/>
    <w:rsid w:val="148F270C"/>
    <w:rsid w:val="149CCFF4"/>
    <w:rsid w:val="14A8BDE8"/>
    <w:rsid w:val="14CB15F6"/>
    <w:rsid w:val="14D7CA39"/>
    <w:rsid w:val="14DBCBD2"/>
    <w:rsid w:val="14E083A0"/>
    <w:rsid w:val="14E183BE"/>
    <w:rsid w:val="14E1FF6E"/>
    <w:rsid w:val="14E5AA30"/>
    <w:rsid w:val="14EE4E5C"/>
    <w:rsid w:val="14EEDA55"/>
    <w:rsid w:val="14FFA80A"/>
    <w:rsid w:val="150210C7"/>
    <w:rsid w:val="150892AE"/>
    <w:rsid w:val="15094605"/>
    <w:rsid w:val="150A5ECC"/>
    <w:rsid w:val="15124085"/>
    <w:rsid w:val="151C139C"/>
    <w:rsid w:val="1524B488"/>
    <w:rsid w:val="152ACCE0"/>
    <w:rsid w:val="15333CB4"/>
    <w:rsid w:val="15356034"/>
    <w:rsid w:val="15376F9E"/>
    <w:rsid w:val="15584DC2"/>
    <w:rsid w:val="15644ED5"/>
    <w:rsid w:val="15752908"/>
    <w:rsid w:val="157CF09A"/>
    <w:rsid w:val="157E3EEC"/>
    <w:rsid w:val="15847FC2"/>
    <w:rsid w:val="158750AA"/>
    <w:rsid w:val="15881983"/>
    <w:rsid w:val="1589E4FC"/>
    <w:rsid w:val="159D61C8"/>
    <w:rsid w:val="159D6946"/>
    <w:rsid w:val="159F30F0"/>
    <w:rsid w:val="15C0A3A9"/>
    <w:rsid w:val="15C26CB0"/>
    <w:rsid w:val="15E37A4B"/>
    <w:rsid w:val="15E6555C"/>
    <w:rsid w:val="15FAE7DF"/>
    <w:rsid w:val="15FDA62C"/>
    <w:rsid w:val="162E393B"/>
    <w:rsid w:val="162E53BD"/>
    <w:rsid w:val="1634E3ED"/>
    <w:rsid w:val="163FAEC5"/>
    <w:rsid w:val="1647C39A"/>
    <w:rsid w:val="164E5F46"/>
    <w:rsid w:val="16549252"/>
    <w:rsid w:val="16576E10"/>
    <w:rsid w:val="165ED581"/>
    <w:rsid w:val="1662D2C0"/>
    <w:rsid w:val="1663C75E"/>
    <w:rsid w:val="1689E601"/>
    <w:rsid w:val="168A7BDF"/>
    <w:rsid w:val="169A9B32"/>
    <w:rsid w:val="16A6028E"/>
    <w:rsid w:val="16AE10E6"/>
    <w:rsid w:val="16B6DF24"/>
    <w:rsid w:val="16B7B227"/>
    <w:rsid w:val="16D33FFF"/>
    <w:rsid w:val="16D9BE5E"/>
    <w:rsid w:val="16F12869"/>
    <w:rsid w:val="16FE6888"/>
    <w:rsid w:val="1703175B"/>
    <w:rsid w:val="1704AC88"/>
    <w:rsid w:val="1718F3E3"/>
    <w:rsid w:val="1725C58A"/>
    <w:rsid w:val="172854EE"/>
    <w:rsid w:val="1735EE5D"/>
    <w:rsid w:val="1740621C"/>
    <w:rsid w:val="174C06BA"/>
    <w:rsid w:val="17535E38"/>
    <w:rsid w:val="17557847"/>
    <w:rsid w:val="175ED9A1"/>
    <w:rsid w:val="1763F4FA"/>
    <w:rsid w:val="17675C76"/>
    <w:rsid w:val="177790A2"/>
    <w:rsid w:val="1783F422"/>
    <w:rsid w:val="17912C4F"/>
    <w:rsid w:val="179AE6E6"/>
    <w:rsid w:val="179F75B6"/>
    <w:rsid w:val="17B2C82B"/>
    <w:rsid w:val="17BD3D5E"/>
    <w:rsid w:val="17BE6B5A"/>
    <w:rsid w:val="17C131D3"/>
    <w:rsid w:val="17CB01E8"/>
    <w:rsid w:val="17D15A2E"/>
    <w:rsid w:val="17DA54AF"/>
    <w:rsid w:val="17E42ECD"/>
    <w:rsid w:val="17E519DB"/>
    <w:rsid w:val="18042944"/>
    <w:rsid w:val="18153462"/>
    <w:rsid w:val="18156044"/>
    <w:rsid w:val="1820807E"/>
    <w:rsid w:val="18477621"/>
    <w:rsid w:val="185039F8"/>
    <w:rsid w:val="18722BA9"/>
    <w:rsid w:val="18787786"/>
    <w:rsid w:val="18AEF060"/>
    <w:rsid w:val="18AFF2A7"/>
    <w:rsid w:val="18B3506F"/>
    <w:rsid w:val="18B44828"/>
    <w:rsid w:val="18C9667E"/>
    <w:rsid w:val="18CB881A"/>
    <w:rsid w:val="18D4B8D2"/>
    <w:rsid w:val="18E67BCA"/>
    <w:rsid w:val="18E8D29B"/>
    <w:rsid w:val="18ECAB6F"/>
    <w:rsid w:val="18FAAA02"/>
    <w:rsid w:val="18FD271C"/>
    <w:rsid w:val="18FF7318"/>
    <w:rsid w:val="1905BBB9"/>
    <w:rsid w:val="1909EE97"/>
    <w:rsid w:val="191132B3"/>
    <w:rsid w:val="191445CD"/>
    <w:rsid w:val="19207C7F"/>
    <w:rsid w:val="192CF003"/>
    <w:rsid w:val="192F2891"/>
    <w:rsid w:val="1935702F"/>
    <w:rsid w:val="19391E49"/>
    <w:rsid w:val="193CF99C"/>
    <w:rsid w:val="19401B9E"/>
    <w:rsid w:val="1946F18B"/>
    <w:rsid w:val="194F44B6"/>
    <w:rsid w:val="194FDF9A"/>
    <w:rsid w:val="195BDD25"/>
    <w:rsid w:val="1960A103"/>
    <w:rsid w:val="19677F2F"/>
    <w:rsid w:val="1975E980"/>
    <w:rsid w:val="1992E6FF"/>
    <w:rsid w:val="19ADE300"/>
    <w:rsid w:val="19ADFD02"/>
    <w:rsid w:val="19E559C0"/>
    <w:rsid w:val="19EF84BF"/>
    <w:rsid w:val="19F0597A"/>
    <w:rsid w:val="1A07CED7"/>
    <w:rsid w:val="1A0AA59D"/>
    <w:rsid w:val="1A0D8E57"/>
    <w:rsid w:val="1A145262"/>
    <w:rsid w:val="1A228D58"/>
    <w:rsid w:val="1A239B7B"/>
    <w:rsid w:val="1A271B84"/>
    <w:rsid w:val="1A31E663"/>
    <w:rsid w:val="1A35C0FC"/>
    <w:rsid w:val="1A55D452"/>
    <w:rsid w:val="1A60065C"/>
    <w:rsid w:val="1A715BD7"/>
    <w:rsid w:val="1A72C12F"/>
    <w:rsid w:val="1A72EB81"/>
    <w:rsid w:val="1A74E60F"/>
    <w:rsid w:val="1A9B198E"/>
    <w:rsid w:val="1AA79BF7"/>
    <w:rsid w:val="1AA849B5"/>
    <w:rsid w:val="1AA94617"/>
    <w:rsid w:val="1AC309AD"/>
    <w:rsid w:val="1AD6938D"/>
    <w:rsid w:val="1ADF594E"/>
    <w:rsid w:val="1AEE02FD"/>
    <w:rsid w:val="1AF51D55"/>
    <w:rsid w:val="1AF726F1"/>
    <w:rsid w:val="1AF90F71"/>
    <w:rsid w:val="1AFF8871"/>
    <w:rsid w:val="1B07488B"/>
    <w:rsid w:val="1B30DED1"/>
    <w:rsid w:val="1B32E019"/>
    <w:rsid w:val="1B33A121"/>
    <w:rsid w:val="1B3C653F"/>
    <w:rsid w:val="1B4E84C0"/>
    <w:rsid w:val="1B55FEEF"/>
    <w:rsid w:val="1B5B6B79"/>
    <w:rsid w:val="1B628B6B"/>
    <w:rsid w:val="1B7D7EE0"/>
    <w:rsid w:val="1B7F9C1B"/>
    <w:rsid w:val="1B86E33F"/>
    <w:rsid w:val="1B87DABA"/>
    <w:rsid w:val="1B930059"/>
    <w:rsid w:val="1B96A73D"/>
    <w:rsid w:val="1BA675FE"/>
    <w:rsid w:val="1BAB1728"/>
    <w:rsid w:val="1BAC4401"/>
    <w:rsid w:val="1BBB90D6"/>
    <w:rsid w:val="1BDEF054"/>
    <w:rsid w:val="1BEA5AFF"/>
    <w:rsid w:val="1BF9B6B3"/>
    <w:rsid w:val="1C03739F"/>
    <w:rsid w:val="1C112D1B"/>
    <w:rsid w:val="1C250EC7"/>
    <w:rsid w:val="1C31AE34"/>
    <w:rsid w:val="1C329CE0"/>
    <w:rsid w:val="1C399BBA"/>
    <w:rsid w:val="1C4E3885"/>
    <w:rsid w:val="1C4FDCCC"/>
    <w:rsid w:val="1C545DCD"/>
    <w:rsid w:val="1C6891F5"/>
    <w:rsid w:val="1C797DD5"/>
    <w:rsid w:val="1C7AE21D"/>
    <w:rsid w:val="1C93BF94"/>
    <w:rsid w:val="1C93F384"/>
    <w:rsid w:val="1C949DD1"/>
    <w:rsid w:val="1CAE369F"/>
    <w:rsid w:val="1CB0513F"/>
    <w:rsid w:val="1CBC2D26"/>
    <w:rsid w:val="1CBE720A"/>
    <w:rsid w:val="1CC942EA"/>
    <w:rsid w:val="1CDA9CBF"/>
    <w:rsid w:val="1CEF3717"/>
    <w:rsid w:val="1CF64197"/>
    <w:rsid w:val="1D0AB9EF"/>
    <w:rsid w:val="1D0C1CA0"/>
    <w:rsid w:val="1D11CF6D"/>
    <w:rsid w:val="1D194F41"/>
    <w:rsid w:val="1D235D4C"/>
    <w:rsid w:val="1D4A9D5B"/>
    <w:rsid w:val="1D6B3A1C"/>
    <w:rsid w:val="1D7E5681"/>
    <w:rsid w:val="1D8068A6"/>
    <w:rsid w:val="1D870334"/>
    <w:rsid w:val="1DA6F880"/>
    <w:rsid w:val="1DAFE404"/>
    <w:rsid w:val="1DBB55DA"/>
    <w:rsid w:val="1DC297FD"/>
    <w:rsid w:val="1DCD7D9F"/>
    <w:rsid w:val="1DCE53D2"/>
    <w:rsid w:val="1DCFD04B"/>
    <w:rsid w:val="1DE1E2B5"/>
    <w:rsid w:val="1DF20493"/>
    <w:rsid w:val="1DFB9EF6"/>
    <w:rsid w:val="1E08E152"/>
    <w:rsid w:val="1E140456"/>
    <w:rsid w:val="1E28B783"/>
    <w:rsid w:val="1E356B46"/>
    <w:rsid w:val="1E47FF53"/>
    <w:rsid w:val="1E5BAEE2"/>
    <w:rsid w:val="1E6E90DB"/>
    <w:rsid w:val="1E8FE56B"/>
    <w:rsid w:val="1E9C3B29"/>
    <w:rsid w:val="1EB3F3AF"/>
    <w:rsid w:val="1EC8E00C"/>
    <w:rsid w:val="1ECADAF8"/>
    <w:rsid w:val="1EDBA78A"/>
    <w:rsid w:val="1EF6C211"/>
    <w:rsid w:val="1EFD7AA7"/>
    <w:rsid w:val="1F08BFB2"/>
    <w:rsid w:val="1F0DC0FA"/>
    <w:rsid w:val="1F10A3E8"/>
    <w:rsid w:val="1F1C6D92"/>
    <w:rsid w:val="1F21FBC1"/>
    <w:rsid w:val="1F2A7761"/>
    <w:rsid w:val="1F2ABD64"/>
    <w:rsid w:val="1F34AB98"/>
    <w:rsid w:val="1F36731E"/>
    <w:rsid w:val="1F3A1489"/>
    <w:rsid w:val="1F3B6505"/>
    <w:rsid w:val="1F3DE47C"/>
    <w:rsid w:val="1F63F802"/>
    <w:rsid w:val="1F68688E"/>
    <w:rsid w:val="1F68BB8A"/>
    <w:rsid w:val="1F69EB86"/>
    <w:rsid w:val="1F6D2561"/>
    <w:rsid w:val="1F79889B"/>
    <w:rsid w:val="1F82E704"/>
    <w:rsid w:val="1F83A9D7"/>
    <w:rsid w:val="1F92E770"/>
    <w:rsid w:val="1F98D044"/>
    <w:rsid w:val="1F9B0B76"/>
    <w:rsid w:val="1F9F9B63"/>
    <w:rsid w:val="1FA4B1B3"/>
    <w:rsid w:val="1FA70869"/>
    <w:rsid w:val="1FB2BCC6"/>
    <w:rsid w:val="1FB675FE"/>
    <w:rsid w:val="1FB7A68C"/>
    <w:rsid w:val="1FBA2E11"/>
    <w:rsid w:val="1FC0FC4E"/>
    <w:rsid w:val="1FD045D9"/>
    <w:rsid w:val="1FD51F5F"/>
    <w:rsid w:val="1FD85624"/>
    <w:rsid w:val="1FF6AFAE"/>
    <w:rsid w:val="1FFFE4E3"/>
    <w:rsid w:val="20168BDC"/>
    <w:rsid w:val="201FE486"/>
    <w:rsid w:val="20248D5D"/>
    <w:rsid w:val="2044861C"/>
    <w:rsid w:val="205D11E9"/>
    <w:rsid w:val="205FDE29"/>
    <w:rsid w:val="20637FC7"/>
    <w:rsid w:val="2079E721"/>
    <w:rsid w:val="207C3987"/>
    <w:rsid w:val="2089A87D"/>
    <w:rsid w:val="209E338F"/>
    <w:rsid w:val="209EFDB1"/>
    <w:rsid w:val="20A292DF"/>
    <w:rsid w:val="20AF5BF3"/>
    <w:rsid w:val="20B407BE"/>
    <w:rsid w:val="20B74932"/>
    <w:rsid w:val="20C59CA6"/>
    <w:rsid w:val="20DCB336"/>
    <w:rsid w:val="20DE26F7"/>
    <w:rsid w:val="20F156A5"/>
    <w:rsid w:val="20FB77F7"/>
    <w:rsid w:val="20FE2B02"/>
    <w:rsid w:val="2105BBE7"/>
    <w:rsid w:val="210FCF74"/>
    <w:rsid w:val="211E3AB2"/>
    <w:rsid w:val="2132CD21"/>
    <w:rsid w:val="21408214"/>
    <w:rsid w:val="2146C73C"/>
    <w:rsid w:val="2149A9AB"/>
    <w:rsid w:val="21599095"/>
    <w:rsid w:val="21600574"/>
    <w:rsid w:val="2174F869"/>
    <w:rsid w:val="2175F805"/>
    <w:rsid w:val="218F1D33"/>
    <w:rsid w:val="21AF50EF"/>
    <w:rsid w:val="21B36634"/>
    <w:rsid w:val="21C10AFB"/>
    <w:rsid w:val="21C30AD3"/>
    <w:rsid w:val="21C81E6E"/>
    <w:rsid w:val="21CAB6B0"/>
    <w:rsid w:val="21D30805"/>
    <w:rsid w:val="21D792DE"/>
    <w:rsid w:val="21DE4908"/>
    <w:rsid w:val="21E424A3"/>
    <w:rsid w:val="21FB6932"/>
    <w:rsid w:val="2203CCF7"/>
    <w:rsid w:val="220B05D4"/>
    <w:rsid w:val="22144EAE"/>
    <w:rsid w:val="221BF065"/>
    <w:rsid w:val="22271ED7"/>
    <w:rsid w:val="222EFEC2"/>
    <w:rsid w:val="222FBE38"/>
    <w:rsid w:val="223FDC6B"/>
    <w:rsid w:val="2246A638"/>
    <w:rsid w:val="2249B6DF"/>
    <w:rsid w:val="227305C7"/>
    <w:rsid w:val="2282086B"/>
    <w:rsid w:val="229525DD"/>
    <w:rsid w:val="229B24C4"/>
    <w:rsid w:val="22A18C48"/>
    <w:rsid w:val="22A4A0AB"/>
    <w:rsid w:val="22C08734"/>
    <w:rsid w:val="22C90A33"/>
    <w:rsid w:val="22D1413F"/>
    <w:rsid w:val="22EDBA81"/>
    <w:rsid w:val="22F01A71"/>
    <w:rsid w:val="22F01DF3"/>
    <w:rsid w:val="22FADECE"/>
    <w:rsid w:val="23082C4A"/>
    <w:rsid w:val="230A4E74"/>
    <w:rsid w:val="23119E34"/>
    <w:rsid w:val="23134053"/>
    <w:rsid w:val="23327BA5"/>
    <w:rsid w:val="234C1D56"/>
    <w:rsid w:val="234F3529"/>
    <w:rsid w:val="23747365"/>
    <w:rsid w:val="238890C5"/>
    <w:rsid w:val="23B90BF7"/>
    <w:rsid w:val="23CC409B"/>
    <w:rsid w:val="23CF018B"/>
    <w:rsid w:val="23D55D35"/>
    <w:rsid w:val="23D69E73"/>
    <w:rsid w:val="23E3E1F7"/>
    <w:rsid w:val="23EFC6D0"/>
    <w:rsid w:val="23F8388D"/>
    <w:rsid w:val="240D8EE4"/>
    <w:rsid w:val="240ED628"/>
    <w:rsid w:val="24134EDA"/>
    <w:rsid w:val="24235D69"/>
    <w:rsid w:val="242A7A25"/>
    <w:rsid w:val="242B1E65"/>
    <w:rsid w:val="243D5CA9"/>
    <w:rsid w:val="244CF384"/>
    <w:rsid w:val="244D2400"/>
    <w:rsid w:val="24512439"/>
    <w:rsid w:val="247BEA98"/>
    <w:rsid w:val="248C2D49"/>
    <w:rsid w:val="249DEB51"/>
    <w:rsid w:val="24A0D87E"/>
    <w:rsid w:val="24A33507"/>
    <w:rsid w:val="24A4ACCA"/>
    <w:rsid w:val="24B87FC5"/>
    <w:rsid w:val="24C209CB"/>
    <w:rsid w:val="24CAC431"/>
    <w:rsid w:val="24D2A694"/>
    <w:rsid w:val="24DF40F7"/>
    <w:rsid w:val="24EB06F6"/>
    <w:rsid w:val="25082D4B"/>
    <w:rsid w:val="2546F3DD"/>
    <w:rsid w:val="25485E77"/>
    <w:rsid w:val="2557ABF3"/>
    <w:rsid w:val="256B0820"/>
    <w:rsid w:val="256BE5C9"/>
    <w:rsid w:val="257C7C10"/>
    <w:rsid w:val="25986FBD"/>
    <w:rsid w:val="25BB0597"/>
    <w:rsid w:val="25BB1EBF"/>
    <w:rsid w:val="25C755A3"/>
    <w:rsid w:val="25D25811"/>
    <w:rsid w:val="25D37CD8"/>
    <w:rsid w:val="25D8E411"/>
    <w:rsid w:val="25D92D0A"/>
    <w:rsid w:val="25E217B6"/>
    <w:rsid w:val="25EBFFE6"/>
    <w:rsid w:val="25ECF49A"/>
    <w:rsid w:val="260C57E2"/>
    <w:rsid w:val="261527D6"/>
    <w:rsid w:val="2615EEB8"/>
    <w:rsid w:val="262EABDE"/>
    <w:rsid w:val="26559055"/>
    <w:rsid w:val="26586BAE"/>
    <w:rsid w:val="2674C9BA"/>
    <w:rsid w:val="26775864"/>
    <w:rsid w:val="2678E46C"/>
    <w:rsid w:val="26905C92"/>
    <w:rsid w:val="26992973"/>
    <w:rsid w:val="26B19C35"/>
    <w:rsid w:val="26C4E0B1"/>
    <w:rsid w:val="26D6A90E"/>
    <w:rsid w:val="26ECACF3"/>
    <w:rsid w:val="26ED516C"/>
    <w:rsid w:val="26F9A554"/>
    <w:rsid w:val="26FB9A52"/>
    <w:rsid w:val="27086C92"/>
    <w:rsid w:val="271359BB"/>
    <w:rsid w:val="2727B4AB"/>
    <w:rsid w:val="272829F7"/>
    <w:rsid w:val="2734401E"/>
    <w:rsid w:val="274D8E14"/>
    <w:rsid w:val="275A5425"/>
    <w:rsid w:val="27605507"/>
    <w:rsid w:val="2771838E"/>
    <w:rsid w:val="27799C96"/>
    <w:rsid w:val="2789D4BA"/>
    <w:rsid w:val="27937E24"/>
    <w:rsid w:val="27A7417E"/>
    <w:rsid w:val="27B04988"/>
    <w:rsid w:val="27B3786B"/>
    <w:rsid w:val="27BBE94A"/>
    <w:rsid w:val="27C8C28F"/>
    <w:rsid w:val="27CCD959"/>
    <w:rsid w:val="27D66DFD"/>
    <w:rsid w:val="27E5D8B4"/>
    <w:rsid w:val="27E751C7"/>
    <w:rsid w:val="280124B1"/>
    <w:rsid w:val="2809F4F6"/>
    <w:rsid w:val="2814DA39"/>
    <w:rsid w:val="28233A95"/>
    <w:rsid w:val="2832B1AD"/>
    <w:rsid w:val="284F0704"/>
    <w:rsid w:val="2856CE03"/>
    <w:rsid w:val="285724D2"/>
    <w:rsid w:val="2859962D"/>
    <w:rsid w:val="285AA01F"/>
    <w:rsid w:val="2866E201"/>
    <w:rsid w:val="286D3801"/>
    <w:rsid w:val="2873EE89"/>
    <w:rsid w:val="287A3554"/>
    <w:rsid w:val="2883DB85"/>
    <w:rsid w:val="28A0CD20"/>
    <w:rsid w:val="28B6E3CF"/>
    <w:rsid w:val="28B7531A"/>
    <w:rsid w:val="28D7D9E3"/>
    <w:rsid w:val="28E9A938"/>
    <w:rsid w:val="28F15DA1"/>
    <w:rsid w:val="28F3C8FE"/>
    <w:rsid w:val="290544E8"/>
    <w:rsid w:val="290E6B30"/>
    <w:rsid w:val="291DD84D"/>
    <w:rsid w:val="2928F8BB"/>
    <w:rsid w:val="29399A22"/>
    <w:rsid w:val="29446D12"/>
    <w:rsid w:val="2946922F"/>
    <w:rsid w:val="2952CEE8"/>
    <w:rsid w:val="2971D6F5"/>
    <w:rsid w:val="298679BC"/>
    <w:rsid w:val="29A04657"/>
    <w:rsid w:val="29AFAFCC"/>
    <w:rsid w:val="29AFF261"/>
    <w:rsid w:val="29B3B50F"/>
    <w:rsid w:val="29B6579B"/>
    <w:rsid w:val="29DF5D3F"/>
    <w:rsid w:val="29EB1F14"/>
    <w:rsid w:val="29EB6862"/>
    <w:rsid w:val="29FDC55D"/>
    <w:rsid w:val="2A09F370"/>
    <w:rsid w:val="2A13BD65"/>
    <w:rsid w:val="2A17B614"/>
    <w:rsid w:val="2A1D5A70"/>
    <w:rsid w:val="2A1E73F5"/>
    <w:rsid w:val="2A3270E2"/>
    <w:rsid w:val="2A3BFAB8"/>
    <w:rsid w:val="2A4B66BB"/>
    <w:rsid w:val="2A505FC5"/>
    <w:rsid w:val="2A53237B"/>
    <w:rsid w:val="2A5B4AED"/>
    <w:rsid w:val="2A61EC59"/>
    <w:rsid w:val="2A64DD04"/>
    <w:rsid w:val="2A70D958"/>
    <w:rsid w:val="2A803349"/>
    <w:rsid w:val="2A9DB233"/>
    <w:rsid w:val="2AA2DE03"/>
    <w:rsid w:val="2AA37098"/>
    <w:rsid w:val="2AAA3B91"/>
    <w:rsid w:val="2AAC0DAA"/>
    <w:rsid w:val="2AADD509"/>
    <w:rsid w:val="2AAE4D9C"/>
    <w:rsid w:val="2AAF0E21"/>
    <w:rsid w:val="2AB9F78E"/>
    <w:rsid w:val="2ABBA52F"/>
    <w:rsid w:val="2AC65B05"/>
    <w:rsid w:val="2ACB5628"/>
    <w:rsid w:val="2AD5197D"/>
    <w:rsid w:val="2AF4F140"/>
    <w:rsid w:val="2AF5345E"/>
    <w:rsid w:val="2AF94589"/>
    <w:rsid w:val="2B008CFB"/>
    <w:rsid w:val="2B09DD5E"/>
    <w:rsid w:val="2B0C1A4F"/>
    <w:rsid w:val="2B148C5A"/>
    <w:rsid w:val="2B2AD9F3"/>
    <w:rsid w:val="2B31F9D9"/>
    <w:rsid w:val="2B41201D"/>
    <w:rsid w:val="2B43A3EC"/>
    <w:rsid w:val="2B458092"/>
    <w:rsid w:val="2B5266A8"/>
    <w:rsid w:val="2B546C24"/>
    <w:rsid w:val="2B54732E"/>
    <w:rsid w:val="2B554016"/>
    <w:rsid w:val="2B59E373"/>
    <w:rsid w:val="2B6268C0"/>
    <w:rsid w:val="2B66B260"/>
    <w:rsid w:val="2B6C69EB"/>
    <w:rsid w:val="2B6FA569"/>
    <w:rsid w:val="2B7FAA1E"/>
    <w:rsid w:val="2B8E0F80"/>
    <w:rsid w:val="2B92DE17"/>
    <w:rsid w:val="2B93A2AA"/>
    <w:rsid w:val="2BA49A37"/>
    <w:rsid w:val="2BA63C68"/>
    <w:rsid w:val="2BAA3753"/>
    <w:rsid w:val="2BB97FA1"/>
    <w:rsid w:val="2BC5E82A"/>
    <w:rsid w:val="2BD209D0"/>
    <w:rsid w:val="2BE7748E"/>
    <w:rsid w:val="2BF484FA"/>
    <w:rsid w:val="2BFEC393"/>
    <w:rsid w:val="2C169718"/>
    <w:rsid w:val="2C397818"/>
    <w:rsid w:val="2C4183A2"/>
    <w:rsid w:val="2C42EFBD"/>
    <w:rsid w:val="2C460BF2"/>
    <w:rsid w:val="2C637E83"/>
    <w:rsid w:val="2C6DFD60"/>
    <w:rsid w:val="2CA592CD"/>
    <w:rsid w:val="2CA80B8B"/>
    <w:rsid w:val="2CAE7551"/>
    <w:rsid w:val="2CB201C1"/>
    <w:rsid w:val="2CB42445"/>
    <w:rsid w:val="2CBD1F61"/>
    <w:rsid w:val="2CD0A33D"/>
    <w:rsid w:val="2CD1D62E"/>
    <w:rsid w:val="2CD7FCC4"/>
    <w:rsid w:val="2CDF4A15"/>
    <w:rsid w:val="2CDF5D43"/>
    <w:rsid w:val="2CED2B1A"/>
    <w:rsid w:val="2D0AD70A"/>
    <w:rsid w:val="2D127777"/>
    <w:rsid w:val="2D19B1E4"/>
    <w:rsid w:val="2D27FD37"/>
    <w:rsid w:val="2D4C19EB"/>
    <w:rsid w:val="2D4CB67F"/>
    <w:rsid w:val="2D57072F"/>
    <w:rsid w:val="2D584EF5"/>
    <w:rsid w:val="2D5AF08C"/>
    <w:rsid w:val="2D67A604"/>
    <w:rsid w:val="2D68C0CB"/>
    <w:rsid w:val="2D70D6A0"/>
    <w:rsid w:val="2D7D80B9"/>
    <w:rsid w:val="2D80B857"/>
    <w:rsid w:val="2D8C083C"/>
    <w:rsid w:val="2D8E9F26"/>
    <w:rsid w:val="2D8EC05B"/>
    <w:rsid w:val="2D9B6B6C"/>
    <w:rsid w:val="2D9FAEA9"/>
    <w:rsid w:val="2DA94576"/>
    <w:rsid w:val="2DB5B86E"/>
    <w:rsid w:val="2DBA9178"/>
    <w:rsid w:val="2DD69DB2"/>
    <w:rsid w:val="2DEB1793"/>
    <w:rsid w:val="2DED7D15"/>
    <w:rsid w:val="2DEE02FA"/>
    <w:rsid w:val="2DFBB62F"/>
    <w:rsid w:val="2E103D55"/>
    <w:rsid w:val="2E21C9E8"/>
    <w:rsid w:val="2E34EEE6"/>
    <w:rsid w:val="2E3C41B6"/>
    <w:rsid w:val="2E3D28E3"/>
    <w:rsid w:val="2E4A5BD9"/>
    <w:rsid w:val="2E4C6F18"/>
    <w:rsid w:val="2E5586C4"/>
    <w:rsid w:val="2E5714A8"/>
    <w:rsid w:val="2E69B02E"/>
    <w:rsid w:val="2E7628AC"/>
    <w:rsid w:val="2EB27B50"/>
    <w:rsid w:val="2EC02C91"/>
    <w:rsid w:val="2EC5711B"/>
    <w:rsid w:val="2ECB6227"/>
    <w:rsid w:val="2ED19A5E"/>
    <w:rsid w:val="2ED495DB"/>
    <w:rsid w:val="2ED62D40"/>
    <w:rsid w:val="2EE33C83"/>
    <w:rsid w:val="2EEA8F2B"/>
    <w:rsid w:val="2EF31D09"/>
    <w:rsid w:val="2EF99FB2"/>
    <w:rsid w:val="2F0CD695"/>
    <w:rsid w:val="2F181A11"/>
    <w:rsid w:val="2F217A7E"/>
    <w:rsid w:val="2F35D158"/>
    <w:rsid w:val="2F433EDE"/>
    <w:rsid w:val="2F49A688"/>
    <w:rsid w:val="2F52BCE8"/>
    <w:rsid w:val="2F6D3C41"/>
    <w:rsid w:val="2F74497F"/>
    <w:rsid w:val="2F792464"/>
    <w:rsid w:val="2F8B9AE9"/>
    <w:rsid w:val="2F8D4083"/>
    <w:rsid w:val="2F918992"/>
    <w:rsid w:val="2FA251A4"/>
    <w:rsid w:val="2FAE12E8"/>
    <w:rsid w:val="2FB933C4"/>
    <w:rsid w:val="2FC3C92B"/>
    <w:rsid w:val="2FCC65EA"/>
    <w:rsid w:val="2FCF33AF"/>
    <w:rsid w:val="2FE2734A"/>
    <w:rsid w:val="2FE3D43E"/>
    <w:rsid w:val="2FE4ECB6"/>
    <w:rsid w:val="2FE9A283"/>
    <w:rsid w:val="2FF0E627"/>
    <w:rsid w:val="2FFF443E"/>
    <w:rsid w:val="300604E0"/>
    <w:rsid w:val="3016DE3A"/>
    <w:rsid w:val="3018EC66"/>
    <w:rsid w:val="3019458A"/>
    <w:rsid w:val="301F46F6"/>
    <w:rsid w:val="3020D1EB"/>
    <w:rsid w:val="30216740"/>
    <w:rsid w:val="3029BBCB"/>
    <w:rsid w:val="304A13C1"/>
    <w:rsid w:val="305F4911"/>
    <w:rsid w:val="3062E13C"/>
    <w:rsid w:val="306531BD"/>
    <w:rsid w:val="309CF6E6"/>
    <w:rsid w:val="309E6513"/>
    <w:rsid w:val="30A7E2B3"/>
    <w:rsid w:val="30ABFE57"/>
    <w:rsid w:val="30D60458"/>
    <w:rsid w:val="30D896A5"/>
    <w:rsid w:val="30DF74DE"/>
    <w:rsid w:val="30ED5930"/>
    <w:rsid w:val="30F0C68E"/>
    <w:rsid w:val="30F82E66"/>
    <w:rsid w:val="30FAFC84"/>
    <w:rsid w:val="31063CE7"/>
    <w:rsid w:val="312AC1A0"/>
    <w:rsid w:val="312D59F3"/>
    <w:rsid w:val="312E7C6E"/>
    <w:rsid w:val="3134F56B"/>
    <w:rsid w:val="31582647"/>
    <w:rsid w:val="316288C7"/>
    <w:rsid w:val="31720393"/>
    <w:rsid w:val="31804D00"/>
    <w:rsid w:val="318313BE"/>
    <w:rsid w:val="318B1662"/>
    <w:rsid w:val="318B1D58"/>
    <w:rsid w:val="3193B476"/>
    <w:rsid w:val="31941F0F"/>
    <w:rsid w:val="31958142"/>
    <w:rsid w:val="319AAF92"/>
    <w:rsid w:val="31A806F7"/>
    <w:rsid w:val="31A89A0F"/>
    <w:rsid w:val="31B1F417"/>
    <w:rsid w:val="31B8B15F"/>
    <w:rsid w:val="31C34D71"/>
    <w:rsid w:val="31CF41C9"/>
    <w:rsid w:val="31D4C96E"/>
    <w:rsid w:val="31F62827"/>
    <w:rsid w:val="322371DE"/>
    <w:rsid w:val="322F0A3F"/>
    <w:rsid w:val="3235E60F"/>
    <w:rsid w:val="3242EC11"/>
    <w:rsid w:val="32517CB4"/>
    <w:rsid w:val="3253BBEE"/>
    <w:rsid w:val="32650806"/>
    <w:rsid w:val="326862E2"/>
    <w:rsid w:val="328A5DAA"/>
    <w:rsid w:val="328A90F7"/>
    <w:rsid w:val="32ADC631"/>
    <w:rsid w:val="32B4ED24"/>
    <w:rsid w:val="32B5924B"/>
    <w:rsid w:val="32B92CAE"/>
    <w:rsid w:val="32C23D32"/>
    <w:rsid w:val="32DA473F"/>
    <w:rsid w:val="32DD7EC4"/>
    <w:rsid w:val="32E181ED"/>
    <w:rsid w:val="3333803C"/>
    <w:rsid w:val="333509BA"/>
    <w:rsid w:val="33446A70"/>
    <w:rsid w:val="33451895"/>
    <w:rsid w:val="33694D57"/>
    <w:rsid w:val="33763F7B"/>
    <w:rsid w:val="3381737A"/>
    <w:rsid w:val="338E939B"/>
    <w:rsid w:val="33A90D41"/>
    <w:rsid w:val="33BDA582"/>
    <w:rsid w:val="33D78A1E"/>
    <w:rsid w:val="33D97DB9"/>
    <w:rsid w:val="33DF17F7"/>
    <w:rsid w:val="33DF7206"/>
    <w:rsid w:val="33DFEFD5"/>
    <w:rsid w:val="33EDAB90"/>
    <w:rsid w:val="33FD0BA9"/>
    <w:rsid w:val="3416210B"/>
    <w:rsid w:val="3416DDB3"/>
    <w:rsid w:val="341C2ED4"/>
    <w:rsid w:val="343642FD"/>
    <w:rsid w:val="343B13E8"/>
    <w:rsid w:val="34418F63"/>
    <w:rsid w:val="3447D781"/>
    <w:rsid w:val="344E3911"/>
    <w:rsid w:val="34585545"/>
    <w:rsid w:val="346E39AD"/>
    <w:rsid w:val="34776638"/>
    <w:rsid w:val="3483DAB7"/>
    <w:rsid w:val="3488A547"/>
    <w:rsid w:val="348ACE6E"/>
    <w:rsid w:val="3492E246"/>
    <w:rsid w:val="349C3105"/>
    <w:rsid w:val="34C92433"/>
    <w:rsid w:val="34D22A07"/>
    <w:rsid w:val="34DE92D9"/>
    <w:rsid w:val="34F912BF"/>
    <w:rsid w:val="34FC20E0"/>
    <w:rsid w:val="35011808"/>
    <w:rsid w:val="35025088"/>
    <w:rsid w:val="3502DA7D"/>
    <w:rsid w:val="3515840C"/>
    <w:rsid w:val="352E0F92"/>
    <w:rsid w:val="353B29D1"/>
    <w:rsid w:val="354BE077"/>
    <w:rsid w:val="354EDE84"/>
    <w:rsid w:val="355DCA33"/>
    <w:rsid w:val="3565577F"/>
    <w:rsid w:val="35674B2D"/>
    <w:rsid w:val="3568FA07"/>
    <w:rsid w:val="356E2135"/>
    <w:rsid w:val="357B2947"/>
    <w:rsid w:val="357C3A63"/>
    <w:rsid w:val="358557A0"/>
    <w:rsid w:val="3587A8F7"/>
    <w:rsid w:val="358970F7"/>
    <w:rsid w:val="35912CCC"/>
    <w:rsid w:val="359C67BC"/>
    <w:rsid w:val="359F5890"/>
    <w:rsid w:val="359F68F1"/>
    <w:rsid w:val="35B2AE14"/>
    <w:rsid w:val="35B59710"/>
    <w:rsid w:val="35FABAC9"/>
    <w:rsid w:val="361A1AAF"/>
    <w:rsid w:val="361A2923"/>
    <w:rsid w:val="3622E257"/>
    <w:rsid w:val="3623EF81"/>
    <w:rsid w:val="363E860C"/>
    <w:rsid w:val="364AC987"/>
    <w:rsid w:val="364E9E40"/>
    <w:rsid w:val="3669EB17"/>
    <w:rsid w:val="36864CB7"/>
    <w:rsid w:val="368E96F4"/>
    <w:rsid w:val="3695D207"/>
    <w:rsid w:val="369846FA"/>
    <w:rsid w:val="36C2DFE4"/>
    <w:rsid w:val="36C4775D"/>
    <w:rsid w:val="36DC26EA"/>
    <w:rsid w:val="36E64257"/>
    <w:rsid w:val="36E7783E"/>
    <w:rsid w:val="36F420C5"/>
    <w:rsid w:val="36F48B0C"/>
    <w:rsid w:val="36F67C2E"/>
    <w:rsid w:val="3701BFD4"/>
    <w:rsid w:val="3708A2B1"/>
    <w:rsid w:val="37145EE6"/>
    <w:rsid w:val="3723A8D6"/>
    <w:rsid w:val="372C3E77"/>
    <w:rsid w:val="372C5085"/>
    <w:rsid w:val="3731D997"/>
    <w:rsid w:val="373345B3"/>
    <w:rsid w:val="3734DD17"/>
    <w:rsid w:val="37399409"/>
    <w:rsid w:val="3739BACF"/>
    <w:rsid w:val="3753E8FD"/>
    <w:rsid w:val="3758C670"/>
    <w:rsid w:val="377DFD5A"/>
    <w:rsid w:val="379987D4"/>
    <w:rsid w:val="37AF8C04"/>
    <w:rsid w:val="37AF9880"/>
    <w:rsid w:val="37CF876A"/>
    <w:rsid w:val="37D11146"/>
    <w:rsid w:val="37EB3502"/>
    <w:rsid w:val="38000884"/>
    <w:rsid w:val="3804D677"/>
    <w:rsid w:val="3817FE95"/>
    <w:rsid w:val="381A7A5D"/>
    <w:rsid w:val="381BDE8D"/>
    <w:rsid w:val="3833D37A"/>
    <w:rsid w:val="383C7FA9"/>
    <w:rsid w:val="385B77DB"/>
    <w:rsid w:val="385CBE8B"/>
    <w:rsid w:val="385E383B"/>
    <w:rsid w:val="3860EADB"/>
    <w:rsid w:val="3869F56D"/>
    <w:rsid w:val="387EE795"/>
    <w:rsid w:val="38905E6A"/>
    <w:rsid w:val="38988296"/>
    <w:rsid w:val="38A1299B"/>
    <w:rsid w:val="38ACEEDC"/>
    <w:rsid w:val="38C21C9A"/>
    <w:rsid w:val="38DFF06A"/>
    <w:rsid w:val="38EBDC87"/>
    <w:rsid w:val="39073CC2"/>
    <w:rsid w:val="39077F94"/>
    <w:rsid w:val="391ADE4A"/>
    <w:rsid w:val="3927934F"/>
    <w:rsid w:val="39287798"/>
    <w:rsid w:val="393461AE"/>
    <w:rsid w:val="393E35B4"/>
    <w:rsid w:val="3941AAD0"/>
    <w:rsid w:val="3953B772"/>
    <w:rsid w:val="39571C22"/>
    <w:rsid w:val="395EB5D9"/>
    <w:rsid w:val="397DA4EC"/>
    <w:rsid w:val="3985386A"/>
    <w:rsid w:val="39858021"/>
    <w:rsid w:val="39880220"/>
    <w:rsid w:val="39892D1C"/>
    <w:rsid w:val="3992D4A8"/>
    <w:rsid w:val="39974885"/>
    <w:rsid w:val="399ECE79"/>
    <w:rsid w:val="39A98072"/>
    <w:rsid w:val="39A9CC24"/>
    <w:rsid w:val="39AA0054"/>
    <w:rsid w:val="39B1ADD1"/>
    <w:rsid w:val="39B22B8C"/>
    <w:rsid w:val="39C3E2AD"/>
    <w:rsid w:val="39C41464"/>
    <w:rsid w:val="39CD8AB0"/>
    <w:rsid w:val="39D305AB"/>
    <w:rsid w:val="39DF010B"/>
    <w:rsid w:val="39F3522B"/>
    <w:rsid w:val="39F526E8"/>
    <w:rsid w:val="39F6C1B6"/>
    <w:rsid w:val="3A1393D8"/>
    <w:rsid w:val="3A3B3031"/>
    <w:rsid w:val="3A662310"/>
    <w:rsid w:val="3A68FFA0"/>
    <w:rsid w:val="3A6BC834"/>
    <w:rsid w:val="3A6CD415"/>
    <w:rsid w:val="3A734037"/>
    <w:rsid w:val="3A84C51E"/>
    <w:rsid w:val="3A861F37"/>
    <w:rsid w:val="3A9DCA36"/>
    <w:rsid w:val="3AA3707A"/>
    <w:rsid w:val="3AB2A16B"/>
    <w:rsid w:val="3AB3A20C"/>
    <w:rsid w:val="3ABCBD57"/>
    <w:rsid w:val="3AD2680C"/>
    <w:rsid w:val="3AD9A053"/>
    <w:rsid w:val="3ADC26C2"/>
    <w:rsid w:val="3AE890A9"/>
    <w:rsid w:val="3B0338CB"/>
    <w:rsid w:val="3B238DD5"/>
    <w:rsid w:val="3B2957C1"/>
    <w:rsid w:val="3B2C8B7D"/>
    <w:rsid w:val="3B3F652A"/>
    <w:rsid w:val="3B403EFE"/>
    <w:rsid w:val="3B4C547F"/>
    <w:rsid w:val="3B5F316D"/>
    <w:rsid w:val="3B624ED5"/>
    <w:rsid w:val="3B774D75"/>
    <w:rsid w:val="3B920CA0"/>
    <w:rsid w:val="3B9751C7"/>
    <w:rsid w:val="3B9A72F2"/>
    <w:rsid w:val="3B9D953A"/>
    <w:rsid w:val="3BAB307C"/>
    <w:rsid w:val="3BB3F421"/>
    <w:rsid w:val="3BB5D9C6"/>
    <w:rsid w:val="3BB9A5C6"/>
    <w:rsid w:val="3BD8D702"/>
    <w:rsid w:val="3BDB1E3F"/>
    <w:rsid w:val="3BE4497F"/>
    <w:rsid w:val="3BE64EEC"/>
    <w:rsid w:val="3BEE8D2A"/>
    <w:rsid w:val="3BFEAE2E"/>
    <w:rsid w:val="3C0AB4CB"/>
    <w:rsid w:val="3C0BC72B"/>
    <w:rsid w:val="3C2DFD1B"/>
    <w:rsid w:val="3C30D4F3"/>
    <w:rsid w:val="3C330D29"/>
    <w:rsid w:val="3C3A1E8C"/>
    <w:rsid w:val="3C531813"/>
    <w:rsid w:val="3C77F723"/>
    <w:rsid w:val="3C79DA0C"/>
    <w:rsid w:val="3C7A476E"/>
    <w:rsid w:val="3C9BA567"/>
    <w:rsid w:val="3CA045B1"/>
    <w:rsid w:val="3CAC8493"/>
    <w:rsid w:val="3CBE2B46"/>
    <w:rsid w:val="3CCF3936"/>
    <w:rsid w:val="3CD0BD12"/>
    <w:rsid w:val="3CD28451"/>
    <w:rsid w:val="3CD2B853"/>
    <w:rsid w:val="3CD5BC60"/>
    <w:rsid w:val="3CF243F9"/>
    <w:rsid w:val="3CF3DDB6"/>
    <w:rsid w:val="3CFB01CE"/>
    <w:rsid w:val="3CFC8EED"/>
    <w:rsid w:val="3D0D29B6"/>
    <w:rsid w:val="3D10D10C"/>
    <w:rsid w:val="3D5827DA"/>
    <w:rsid w:val="3D5A611B"/>
    <w:rsid w:val="3D870193"/>
    <w:rsid w:val="3D8E9B29"/>
    <w:rsid w:val="3D97E469"/>
    <w:rsid w:val="3DAB5609"/>
    <w:rsid w:val="3DACA1A6"/>
    <w:rsid w:val="3DB62704"/>
    <w:rsid w:val="3DBDBFF9"/>
    <w:rsid w:val="3DBED1D0"/>
    <w:rsid w:val="3E0537BE"/>
    <w:rsid w:val="3E138F48"/>
    <w:rsid w:val="3E14BF8A"/>
    <w:rsid w:val="3E2CFFC4"/>
    <w:rsid w:val="3E343607"/>
    <w:rsid w:val="3E5B24AA"/>
    <w:rsid w:val="3E641544"/>
    <w:rsid w:val="3E6747E8"/>
    <w:rsid w:val="3E80402D"/>
    <w:rsid w:val="3E80E606"/>
    <w:rsid w:val="3E9260DD"/>
    <w:rsid w:val="3EA223A1"/>
    <w:rsid w:val="3ED4C0E7"/>
    <w:rsid w:val="3ED99C7A"/>
    <w:rsid w:val="3EE67791"/>
    <w:rsid w:val="3F0244F4"/>
    <w:rsid w:val="3F1105C9"/>
    <w:rsid w:val="3F1986C1"/>
    <w:rsid w:val="3F1F119F"/>
    <w:rsid w:val="3F2B40F4"/>
    <w:rsid w:val="3F2F5D8A"/>
    <w:rsid w:val="3F3E9082"/>
    <w:rsid w:val="3F441069"/>
    <w:rsid w:val="3F54F621"/>
    <w:rsid w:val="3F89C782"/>
    <w:rsid w:val="3FAF97E5"/>
    <w:rsid w:val="3FB2150E"/>
    <w:rsid w:val="3FDEA521"/>
    <w:rsid w:val="3FE34FE0"/>
    <w:rsid w:val="3FEB3E54"/>
    <w:rsid w:val="3FEB623E"/>
    <w:rsid w:val="3FF1D95C"/>
    <w:rsid w:val="3FF69ACD"/>
    <w:rsid w:val="400CFC77"/>
    <w:rsid w:val="400DEB21"/>
    <w:rsid w:val="401096B8"/>
    <w:rsid w:val="401D2EB7"/>
    <w:rsid w:val="4030043F"/>
    <w:rsid w:val="406E14A5"/>
    <w:rsid w:val="4078AF92"/>
    <w:rsid w:val="407D3388"/>
    <w:rsid w:val="407F34B1"/>
    <w:rsid w:val="4084C3B6"/>
    <w:rsid w:val="40868FC0"/>
    <w:rsid w:val="4088160A"/>
    <w:rsid w:val="408C3676"/>
    <w:rsid w:val="40940891"/>
    <w:rsid w:val="4094C117"/>
    <w:rsid w:val="409A7FB0"/>
    <w:rsid w:val="409DDA95"/>
    <w:rsid w:val="409ECD78"/>
    <w:rsid w:val="40A089DC"/>
    <w:rsid w:val="40A155E5"/>
    <w:rsid w:val="40A2B6C1"/>
    <w:rsid w:val="40A54A80"/>
    <w:rsid w:val="40BC9DEA"/>
    <w:rsid w:val="40BD3C21"/>
    <w:rsid w:val="40C28A7D"/>
    <w:rsid w:val="40C2ED3C"/>
    <w:rsid w:val="40E26B45"/>
    <w:rsid w:val="40E50750"/>
    <w:rsid w:val="40E7CD9A"/>
    <w:rsid w:val="410C6A60"/>
    <w:rsid w:val="41113618"/>
    <w:rsid w:val="4117A567"/>
    <w:rsid w:val="411B9965"/>
    <w:rsid w:val="4125029A"/>
    <w:rsid w:val="413DE205"/>
    <w:rsid w:val="4141CEC8"/>
    <w:rsid w:val="4143CBDE"/>
    <w:rsid w:val="41446366"/>
    <w:rsid w:val="414B1A0B"/>
    <w:rsid w:val="41504949"/>
    <w:rsid w:val="416A240A"/>
    <w:rsid w:val="416F695A"/>
    <w:rsid w:val="417A9345"/>
    <w:rsid w:val="4193E1E0"/>
    <w:rsid w:val="41988FA4"/>
    <w:rsid w:val="41A31CDF"/>
    <w:rsid w:val="41A5F606"/>
    <w:rsid w:val="41AB85EF"/>
    <w:rsid w:val="41ABF1E1"/>
    <w:rsid w:val="41B1C970"/>
    <w:rsid w:val="41B50143"/>
    <w:rsid w:val="41C25960"/>
    <w:rsid w:val="41C66AD7"/>
    <w:rsid w:val="41C71466"/>
    <w:rsid w:val="41C97E5A"/>
    <w:rsid w:val="41D253DF"/>
    <w:rsid w:val="41E1FC11"/>
    <w:rsid w:val="42113D3C"/>
    <w:rsid w:val="42135598"/>
    <w:rsid w:val="421E1853"/>
    <w:rsid w:val="42251ACD"/>
    <w:rsid w:val="423740B0"/>
    <w:rsid w:val="42411AE1"/>
    <w:rsid w:val="4248CF1B"/>
    <w:rsid w:val="425295BB"/>
    <w:rsid w:val="4263AEE0"/>
    <w:rsid w:val="426891CE"/>
    <w:rsid w:val="42861183"/>
    <w:rsid w:val="42900A66"/>
    <w:rsid w:val="42936548"/>
    <w:rsid w:val="4295B8FD"/>
    <w:rsid w:val="42A8D7DE"/>
    <w:rsid w:val="42AE825F"/>
    <w:rsid w:val="42B549B5"/>
    <w:rsid w:val="42DC80BB"/>
    <w:rsid w:val="42F12073"/>
    <w:rsid w:val="42F3A28E"/>
    <w:rsid w:val="4303BCE6"/>
    <w:rsid w:val="4305F46B"/>
    <w:rsid w:val="430A599B"/>
    <w:rsid w:val="4316C96F"/>
    <w:rsid w:val="431A0071"/>
    <w:rsid w:val="432B2120"/>
    <w:rsid w:val="434D99D1"/>
    <w:rsid w:val="435526EF"/>
    <w:rsid w:val="4356AD43"/>
    <w:rsid w:val="435A2DB9"/>
    <w:rsid w:val="4361E8A8"/>
    <w:rsid w:val="4371D7A6"/>
    <w:rsid w:val="4379CEEB"/>
    <w:rsid w:val="43A08388"/>
    <w:rsid w:val="43A65E18"/>
    <w:rsid w:val="43AB5472"/>
    <w:rsid w:val="43C782F6"/>
    <w:rsid w:val="43D4FCD6"/>
    <w:rsid w:val="43DBD07B"/>
    <w:rsid w:val="43DCEB42"/>
    <w:rsid w:val="43E689F9"/>
    <w:rsid w:val="43F1F88C"/>
    <w:rsid w:val="43F84302"/>
    <w:rsid w:val="43F93EE1"/>
    <w:rsid w:val="4402B2B3"/>
    <w:rsid w:val="440AB72A"/>
    <w:rsid w:val="441F9796"/>
    <w:rsid w:val="442876B8"/>
    <w:rsid w:val="44445BFC"/>
    <w:rsid w:val="4464BF01"/>
    <w:rsid w:val="446EB02E"/>
    <w:rsid w:val="448487E3"/>
    <w:rsid w:val="448E132C"/>
    <w:rsid w:val="449D54A6"/>
    <w:rsid w:val="44A1BC4F"/>
    <w:rsid w:val="44AEA682"/>
    <w:rsid w:val="44B7A263"/>
    <w:rsid w:val="44B8F3AD"/>
    <w:rsid w:val="44C116DC"/>
    <w:rsid w:val="44C6F77A"/>
    <w:rsid w:val="44C7A5E8"/>
    <w:rsid w:val="44D03066"/>
    <w:rsid w:val="44DBCFF1"/>
    <w:rsid w:val="44E1C357"/>
    <w:rsid w:val="44ECDD1E"/>
    <w:rsid w:val="44F3D132"/>
    <w:rsid w:val="44F40616"/>
    <w:rsid w:val="4500810D"/>
    <w:rsid w:val="45020A58"/>
    <w:rsid w:val="452A7B80"/>
    <w:rsid w:val="4533B6BD"/>
    <w:rsid w:val="453F72F8"/>
    <w:rsid w:val="4555B915"/>
    <w:rsid w:val="4556B931"/>
    <w:rsid w:val="455FBC51"/>
    <w:rsid w:val="456AB70B"/>
    <w:rsid w:val="456EA52F"/>
    <w:rsid w:val="45752763"/>
    <w:rsid w:val="457939A4"/>
    <w:rsid w:val="457A16AD"/>
    <w:rsid w:val="4580AAE8"/>
    <w:rsid w:val="45896E13"/>
    <w:rsid w:val="4589B70F"/>
    <w:rsid w:val="4594C828"/>
    <w:rsid w:val="4597373B"/>
    <w:rsid w:val="4599CF87"/>
    <w:rsid w:val="459A9254"/>
    <w:rsid w:val="459AC202"/>
    <w:rsid w:val="459AF229"/>
    <w:rsid w:val="45AA7654"/>
    <w:rsid w:val="45B1A80A"/>
    <w:rsid w:val="45BA12D7"/>
    <w:rsid w:val="45C4E22A"/>
    <w:rsid w:val="45C4EC18"/>
    <w:rsid w:val="45E02C5D"/>
    <w:rsid w:val="45E12977"/>
    <w:rsid w:val="45EB6998"/>
    <w:rsid w:val="45F103CA"/>
    <w:rsid w:val="45FE1855"/>
    <w:rsid w:val="4602709D"/>
    <w:rsid w:val="4611A8D0"/>
    <w:rsid w:val="4616F807"/>
    <w:rsid w:val="461C52D1"/>
    <w:rsid w:val="462BD030"/>
    <w:rsid w:val="46377433"/>
    <w:rsid w:val="463F7363"/>
    <w:rsid w:val="46453B85"/>
    <w:rsid w:val="4649BD99"/>
    <w:rsid w:val="465028B6"/>
    <w:rsid w:val="4673FDE9"/>
    <w:rsid w:val="467EF712"/>
    <w:rsid w:val="46803B13"/>
    <w:rsid w:val="468726E4"/>
    <w:rsid w:val="46B1E59D"/>
    <w:rsid w:val="46B34C20"/>
    <w:rsid w:val="46BC8B80"/>
    <w:rsid w:val="46C2DE2E"/>
    <w:rsid w:val="46D38C69"/>
    <w:rsid w:val="46D5ECB1"/>
    <w:rsid w:val="46D7BC13"/>
    <w:rsid w:val="46E12FF6"/>
    <w:rsid w:val="46E7602A"/>
    <w:rsid w:val="46EA0E84"/>
    <w:rsid w:val="46F3B958"/>
    <w:rsid w:val="46F8CBE4"/>
    <w:rsid w:val="46FAC86E"/>
    <w:rsid w:val="470A0FC3"/>
    <w:rsid w:val="470D5C21"/>
    <w:rsid w:val="47100FBF"/>
    <w:rsid w:val="47105571"/>
    <w:rsid w:val="47187DF0"/>
    <w:rsid w:val="471FC82E"/>
    <w:rsid w:val="4724E5CB"/>
    <w:rsid w:val="472898CF"/>
    <w:rsid w:val="47321AB0"/>
    <w:rsid w:val="4736563F"/>
    <w:rsid w:val="473FD905"/>
    <w:rsid w:val="474373B3"/>
    <w:rsid w:val="47457929"/>
    <w:rsid w:val="4759B0C5"/>
    <w:rsid w:val="475A9C1F"/>
    <w:rsid w:val="47647348"/>
    <w:rsid w:val="4764A23F"/>
    <w:rsid w:val="4765C245"/>
    <w:rsid w:val="47745EDE"/>
    <w:rsid w:val="477B1B6D"/>
    <w:rsid w:val="47809AB0"/>
    <w:rsid w:val="47840A16"/>
    <w:rsid w:val="478B3A46"/>
    <w:rsid w:val="47BA55A9"/>
    <w:rsid w:val="47C06BE5"/>
    <w:rsid w:val="47E3FA79"/>
    <w:rsid w:val="47E57863"/>
    <w:rsid w:val="47F05E5B"/>
    <w:rsid w:val="47F5891F"/>
    <w:rsid w:val="4807D128"/>
    <w:rsid w:val="48093A0C"/>
    <w:rsid w:val="4817F910"/>
    <w:rsid w:val="4818C619"/>
    <w:rsid w:val="48197998"/>
    <w:rsid w:val="481AC773"/>
    <w:rsid w:val="481DB41D"/>
    <w:rsid w:val="482F56E8"/>
    <w:rsid w:val="484D5BCA"/>
    <w:rsid w:val="486439CC"/>
    <w:rsid w:val="48657B93"/>
    <w:rsid w:val="487807BE"/>
    <w:rsid w:val="48782378"/>
    <w:rsid w:val="487F02A6"/>
    <w:rsid w:val="4883308B"/>
    <w:rsid w:val="4891CBE3"/>
    <w:rsid w:val="48939062"/>
    <w:rsid w:val="489A5FB6"/>
    <w:rsid w:val="489EA2C9"/>
    <w:rsid w:val="489F097F"/>
    <w:rsid w:val="48A08F63"/>
    <w:rsid w:val="48A09523"/>
    <w:rsid w:val="48B175DC"/>
    <w:rsid w:val="48B4F6A9"/>
    <w:rsid w:val="48B6042E"/>
    <w:rsid w:val="48BA3A49"/>
    <w:rsid w:val="48DCB72C"/>
    <w:rsid w:val="48E6DEDE"/>
    <w:rsid w:val="48F311E7"/>
    <w:rsid w:val="48F40CFD"/>
    <w:rsid w:val="49105D19"/>
    <w:rsid w:val="491DC3E3"/>
    <w:rsid w:val="492A0E12"/>
    <w:rsid w:val="49404A12"/>
    <w:rsid w:val="49466B5C"/>
    <w:rsid w:val="495C3C46"/>
    <w:rsid w:val="49772C9B"/>
    <w:rsid w:val="4988B3F8"/>
    <w:rsid w:val="49A3A189"/>
    <w:rsid w:val="49B5C893"/>
    <w:rsid w:val="49C870C3"/>
    <w:rsid w:val="49D1EAFD"/>
    <w:rsid w:val="49DC4845"/>
    <w:rsid w:val="49DF4B27"/>
    <w:rsid w:val="4A0B3C23"/>
    <w:rsid w:val="4A160789"/>
    <w:rsid w:val="4A351911"/>
    <w:rsid w:val="4A75BE44"/>
    <w:rsid w:val="4A814329"/>
    <w:rsid w:val="4AA7C285"/>
    <w:rsid w:val="4AB2141A"/>
    <w:rsid w:val="4ACFDB59"/>
    <w:rsid w:val="4AD77820"/>
    <w:rsid w:val="4AE4E0F4"/>
    <w:rsid w:val="4AE5FFD0"/>
    <w:rsid w:val="4AEB4CBC"/>
    <w:rsid w:val="4AFA8B4A"/>
    <w:rsid w:val="4B148993"/>
    <w:rsid w:val="4B1667B0"/>
    <w:rsid w:val="4B1C253A"/>
    <w:rsid w:val="4B28FFBD"/>
    <w:rsid w:val="4B4C0EFE"/>
    <w:rsid w:val="4B5C2A76"/>
    <w:rsid w:val="4B84F9D6"/>
    <w:rsid w:val="4B9674B1"/>
    <w:rsid w:val="4B971D2D"/>
    <w:rsid w:val="4B9C6021"/>
    <w:rsid w:val="4BAAFE89"/>
    <w:rsid w:val="4BB50659"/>
    <w:rsid w:val="4BBD99CF"/>
    <w:rsid w:val="4BCCAC63"/>
    <w:rsid w:val="4BCDCDDA"/>
    <w:rsid w:val="4BCF71BC"/>
    <w:rsid w:val="4BE3E214"/>
    <w:rsid w:val="4BE416EE"/>
    <w:rsid w:val="4BF41C83"/>
    <w:rsid w:val="4BF87879"/>
    <w:rsid w:val="4BFCD340"/>
    <w:rsid w:val="4C01756F"/>
    <w:rsid w:val="4C09B311"/>
    <w:rsid w:val="4C197A1F"/>
    <w:rsid w:val="4C30641E"/>
    <w:rsid w:val="4C56EC9F"/>
    <w:rsid w:val="4C64DC58"/>
    <w:rsid w:val="4C89747A"/>
    <w:rsid w:val="4C8E1AED"/>
    <w:rsid w:val="4CA1A1E3"/>
    <w:rsid w:val="4CB6BF1A"/>
    <w:rsid w:val="4CB84773"/>
    <w:rsid w:val="4CC08C41"/>
    <w:rsid w:val="4CCB6978"/>
    <w:rsid w:val="4CE134D7"/>
    <w:rsid w:val="4CEF9087"/>
    <w:rsid w:val="4CF035A9"/>
    <w:rsid w:val="4CF1B55F"/>
    <w:rsid w:val="4D098BBF"/>
    <w:rsid w:val="4D0E936B"/>
    <w:rsid w:val="4D1002B7"/>
    <w:rsid w:val="4D18D894"/>
    <w:rsid w:val="4D204E3B"/>
    <w:rsid w:val="4D2EE16D"/>
    <w:rsid w:val="4D34AB75"/>
    <w:rsid w:val="4D50D6BA"/>
    <w:rsid w:val="4D6D8C15"/>
    <w:rsid w:val="4D8AD366"/>
    <w:rsid w:val="4D98A3A1"/>
    <w:rsid w:val="4DB5FE43"/>
    <w:rsid w:val="4DBE8E5F"/>
    <w:rsid w:val="4DCA3A98"/>
    <w:rsid w:val="4DCD3913"/>
    <w:rsid w:val="4DE36584"/>
    <w:rsid w:val="4DF94220"/>
    <w:rsid w:val="4DFED7B8"/>
    <w:rsid w:val="4E0035CB"/>
    <w:rsid w:val="4E1445C9"/>
    <w:rsid w:val="4E155059"/>
    <w:rsid w:val="4E24DE03"/>
    <w:rsid w:val="4E2BD3D9"/>
    <w:rsid w:val="4E3D9358"/>
    <w:rsid w:val="4E3E42BB"/>
    <w:rsid w:val="4E4B1301"/>
    <w:rsid w:val="4E4C18FB"/>
    <w:rsid w:val="4E663709"/>
    <w:rsid w:val="4E6A8763"/>
    <w:rsid w:val="4E6D9004"/>
    <w:rsid w:val="4E962BA3"/>
    <w:rsid w:val="4E9FDDD6"/>
    <w:rsid w:val="4EA55C20"/>
    <w:rsid w:val="4EACA6DE"/>
    <w:rsid w:val="4EB2BC4A"/>
    <w:rsid w:val="4EB6127A"/>
    <w:rsid w:val="4EB77542"/>
    <w:rsid w:val="4EDE856D"/>
    <w:rsid w:val="4EEB7A86"/>
    <w:rsid w:val="4EF860FC"/>
    <w:rsid w:val="4F03142B"/>
    <w:rsid w:val="4F05DA53"/>
    <w:rsid w:val="4F06D62F"/>
    <w:rsid w:val="4F0DACDE"/>
    <w:rsid w:val="4F21BE5B"/>
    <w:rsid w:val="4F276E33"/>
    <w:rsid w:val="4F491785"/>
    <w:rsid w:val="4F6C9A23"/>
    <w:rsid w:val="4F8F684B"/>
    <w:rsid w:val="4F9214F1"/>
    <w:rsid w:val="4FA0051D"/>
    <w:rsid w:val="4FD33B95"/>
    <w:rsid w:val="4FD48FB6"/>
    <w:rsid w:val="4FDB748D"/>
    <w:rsid w:val="4FE63502"/>
    <w:rsid w:val="5001360F"/>
    <w:rsid w:val="500198CB"/>
    <w:rsid w:val="50081BBE"/>
    <w:rsid w:val="5048773F"/>
    <w:rsid w:val="504A4EBA"/>
    <w:rsid w:val="5061BEEE"/>
    <w:rsid w:val="5079543C"/>
    <w:rsid w:val="5083576B"/>
    <w:rsid w:val="50B52738"/>
    <w:rsid w:val="50B89839"/>
    <w:rsid w:val="50BBE69F"/>
    <w:rsid w:val="50C679CD"/>
    <w:rsid w:val="50DBDA5C"/>
    <w:rsid w:val="50DD8E62"/>
    <w:rsid w:val="50E76AAE"/>
    <w:rsid w:val="50EB6110"/>
    <w:rsid w:val="50ED9793"/>
    <w:rsid w:val="50F6F578"/>
    <w:rsid w:val="50FD7931"/>
    <w:rsid w:val="51053321"/>
    <w:rsid w:val="510FAD6B"/>
    <w:rsid w:val="512640E8"/>
    <w:rsid w:val="513E3F45"/>
    <w:rsid w:val="513F751C"/>
    <w:rsid w:val="51630817"/>
    <w:rsid w:val="516B417F"/>
    <w:rsid w:val="5170F6A1"/>
    <w:rsid w:val="517AB21D"/>
    <w:rsid w:val="517E6A6B"/>
    <w:rsid w:val="51848963"/>
    <w:rsid w:val="51853895"/>
    <w:rsid w:val="518D01B8"/>
    <w:rsid w:val="5194741D"/>
    <w:rsid w:val="51C97A39"/>
    <w:rsid w:val="51F41895"/>
    <w:rsid w:val="51FD0B15"/>
    <w:rsid w:val="520B49BB"/>
    <w:rsid w:val="5214D0CB"/>
    <w:rsid w:val="5218D152"/>
    <w:rsid w:val="5218D7FA"/>
    <w:rsid w:val="521F0318"/>
    <w:rsid w:val="523398B2"/>
    <w:rsid w:val="5245E014"/>
    <w:rsid w:val="52685D3B"/>
    <w:rsid w:val="526869D6"/>
    <w:rsid w:val="527CCEED"/>
    <w:rsid w:val="52AA845E"/>
    <w:rsid w:val="52AB7DCC"/>
    <w:rsid w:val="52B76C8A"/>
    <w:rsid w:val="52C2042C"/>
    <w:rsid w:val="52C2B003"/>
    <w:rsid w:val="52C59A61"/>
    <w:rsid w:val="52DCE0EB"/>
    <w:rsid w:val="52E578C7"/>
    <w:rsid w:val="530ACF77"/>
    <w:rsid w:val="530C9AED"/>
    <w:rsid w:val="5311B3DE"/>
    <w:rsid w:val="531AE945"/>
    <w:rsid w:val="531DC67E"/>
    <w:rsid w:val="534C85FB"/>
    <w:rsid w:val="534D7DE6"/>
    <w:rsid w:val="5366BA15"/>
    <w:rsid w:val="53673F80"/>
    <w:rsid w:val="536C9592"/>
    <w:rsid w:val="5370D5D0"/>
    <w:rsid w:val="5371B8C2"/>
    <w:rsid w:val="5374A99A"/>
    <w:rsid w:val="53769C5A"/>
    <w:rsid w:val="5379C804"/>
    <w:rsid w:val="5383B826"/>
    <w:rsid w:val="53862D6D"/>
    <w:rsid w:val="5388CF83"/>
    <w:rsid w:val="53A132C4"/>
    <w:rsid w:val="53AE98F6"/>
    <w:rsid w:val="53AF4888"/>
    <w:rsid w:val="53C7D5BA"/>
    <w:rsid w:val="53E3D090"/>
    <w:rsid w:val="540FAA72"/>
    <w:rsid w:val="5414A786"/>
    <w:rsid w:val="54225C2F"/>
    <w:rsid w:val="5422AEA0"/>
    <w:rsid w:val="54350218"/>
    <w:rsid w:val="545120C3"/>
    <w:rsid w:val="545586E8"/>
    <w:rsid w:val="54616B93"/>
    <w:rsid w:val="546E03C9"/>
    <w:rsid w:val="5484118A"/>
    <w:rsid w:val="54916CF8"/>
    <w:rsid w:val="54A3BFBF"/>
    <w:rsid w:val="54A6E0C2"/>
    <w:rsid w:val="54AB7440"/>
    <w:rsid w:val="54AE378C"/>
    <w:rsid w:val="54B0A3BD"/>
    <w:rsid w:val="54C44697"/>
    <w:rsid w:val="54C57147"/>
    <w:rsid w:val="54D22F82"/>
    <w:rsid w:val="54D9C8E7"/>
    <w:rsid w:val="54E777E9"/>
    <w:rsid w:val="54E91D25"/>
    <w:rsid w:val="54EB4C5E"/>
    <w:rsid w:val="54ECA8CB"/>
    <w:rsid w:val="54FE6DD7"/>
    <w:rsid w:val="54FFAD6D"/>
    <w:rsid w:val="55226E04"/>
    <w:rsid w:val="5526AD2C"/>
    <w:rsid w:val="552BB957"/>
    <w:rsid w:val="5541A6D0"/>
    <w:rsid w:val="555BF37A"/>
    <w:rsid w:val="5567D139"/>
    <w:rsid w:val="556E0FFC"/>
    <w:rsid w:val="5588A01C"/>
    <w:rsid w:val="558A4A33"/>
    <w:rsid w:val="55933B3C"/>
    <w:rsid w:val="55A41048"/>
    <w:rsid w:val="55A4C788"/>
    <w:rsid w:val="55A6A026"/>
    <w:rsid w:val="55A85959"/>
    <w:rsid w:val="55BC4F79"/>
    <w:rsid w:val="55C0C3B3"/>
    <w:rsid w:val="55C83ACB"/>
    <w:rsid w:val="55CFE433"/>
    <w:rsid w:val="55E7B473"/>
    <w:rsid w:val="55EF7650"/>
    <w:rsid w:val="55F4DDF2"/>
    <w:rsid w:val="5603F099"/>
    <w:rsid w:val="560C763C"/>
    <w:rsid w:val="562A7C36"/>
    <w:rsid w:val="5636920E"/>
    <w:rsid w:val="56399C5E"/>
    <w:rsid w:val="564954A0"/>
    <w:rsid w:val="56641E99"/>
    <w:rsid w:val="5668F866"/>
    <w:rsid w:val="56764367"/>
    <w:rsid w:val="5678C97B"/>
    <w:rsid w:val="5680E622"/>
    <w:rsid w:val="5690F600"/>
    <w:rsid w:val="569415A1"/>
    <w:rsid w:val="569F9B92"/>
    <w:rsid w:val="56A067E1"/>
    <w:rsid w:val="56AF13CE"/>
    <w:rsid w:val="56B1F556"/>
    <w:rsid w:val="56B5E6ED"/>
    <w:rsid w:val="56C9739F"/>
    <w:rsid w:val="56CE066A"/>
    <w:rsid w:val="56D32B23"/>
    <w:rsid w:val="56D9E64D"/>
    <w:rsid w:val="56DA89F6"/>
    <w:rsid w:val="56E931C9"/>
    <w:rsid w:val="56F80D24"/>
    <w:rsid w:val="56FAFEE7"/>
    <w:rsid w:val="57079A6A"/>
    <w:rsid w:val="570EC23C"/>
    <w:rsid w:val="5711E814"/>
    <w:rsid w:val="57131617"/>
    <w:rsid w:val="57189D0C"/>
    <w:rsid w:val="571BAD58"/>
    <w:rsid w:val="571BFC58"/>
    <w:rsid w:val="572C8BAE"/>
    <w:rsid w:val="57326B8E"/>
    <w:rsid w:val="57432C74"/>
    <w:rsid w:val="574D2178"/>
    <w:rsid w:val="5756AC32"/>
    <w:rsid w:val="57611E05"/>
    <w:rsid w:val="57684FA7"/>
    <w:rsid w:val="576A4672"/>
    <w:rsid w:val="576CA2DA"/>
    <w:rsid w:val="5790B0A5"/>
    <w:rsid w:val="5791987D"/>
    <w:rsid w:val="5793464C"/>
    <w:rsid w:val="5798AA16"/>
    <w:rsid w:val="57A11313"/>
    <w:rsid w:val="57AF6E0C"/>
    <w:rsid w:val="57CFD8FB"/>
    <w:rsid w:val="57D9F36B"/>
    <w:rsid w:val="57F2F60E"/>
    <w:rsid w:val="58003851"/>
    <w:rsid w:val="5800550D"/>
    <w:rsid w:val="5800656B"/>
    <w:rsid w:val="58194B2D"/>
    <w:rsid w:val="5822ED20"/>
    <w:rsid w:val="5825E278"/>
    <w:rsid w:val="5830D08F"/>
    <w:rsid w:val="58429D68"/>
    <w:rsid w:val="5855609F"/>
    <w:rsid w:val="58593398"/>
    <w:rsid w:val="586D514D"/>
    <w:rsid w:val="586EF121"/>
    <w:rsid w:val="5877C41A"/>
    <w:rsid w:val="58797938"/>
    <w:rsid w:val="589B7CEA"/>
    <w:rsid w:val="589D5E32"/>
    <w:rsid w:val="589FC0F3"/>
    <w:rsid w:val="58A25653"/>
    <w:rsid w:val="58B0CE24"/>
    <w:rsid w:val="58CCBAF4"/>
    <w:rsid w:val="58D8018B"/>
    <w:rsid w:val="58E8F1D9"/>
    <w:rsid w:val="58EC1071"/>
    <w:rsid w:val="58EDE6AA"/>
    <w:rsid w:val="58F0050A"/>
    <w:rsid w:val="58FB838E"/>
    <w:rsid w:val="591C6538"/>
    <w:rsid w:val="5926182B"/>
    <w:rsid w:val="59330D14"/>
    <w:rsid w:val="59337BED"/>
    <w:rsid w:val="5933DE45"/>
    <w:rsid w:val="594B992A"/>
    <w:rsid w:val="595EBFDA"/>
    <w:rsid w:val="5963C78F"/>
    <w:rsid w:val="59A1153A"/>
    <w:rsid w:val="59AB5B25"/>
    <w:rsid w:val="59AC2DBC"/>
    <w:rsid w:val="59AE2DA6"/>
    <w:rsid w:val="59BA4322"/>
    <w:rsid w:val="59BAE90C"/>
    <w:rsid w:val="59C8F8BF"/>
    <w:rsid w:val="59CF0310"/>
    <w:rsid w:val="59D53FFC"/>
    <w:rsid w:val="59FF59C8"/>
    <w:rsid w:val="5A154999"/>
    <w:rsid w:val="5A1725FC"/>
    <w:rsid w:val="5A3B93D5"/>
    <w:rsid w:val="5A4CFAA6"/>
    <w:rsid w:val="5A4EA64A"/>
    <w:rsid w:val="5A57A0ED"/>
    <w:rsid w:val="5A5CA4B4"/>
    <w:rsid w:val="5A75CC5D"/>
    <w:rsid w:val="5A9224A6"/>
    <w:rsid w:val="5A9E2EA0"/>
    <w:rsid w:val="5AAA4D57"/>
    <w:rsid w:val="5AB732B5"/>
    <w:rsid w:val="5AC31365"/>
    <w:rsid w:val="5ACD15BB"/>
    <w:rsid w:val="5ACFE81E"/>
    <w:rsid w:val="5ADFCFA1"/>
    <w:rsid w:val="5B091C92"/>
    <w:rsid w:val="5B144104"/>
    <w:rsid w:val="5B1CC5C3"/>
    <w:rsid w:val="5B2772B3"/>
    <w:rsid w:val="5B4467A3"/>
    <w:rsid w:val="5B44B196"/>
    <w:rsid w:val="5B45B911"/>
    <w:rsid w:val="5B464681"/>
    <w:rsid w:val="5B569F13"/>
    <w:rsid w:val="5B6B5002"/>
    <w:rsid w:val="5B899344"/>
    <w:rsid w:val="5B95EF95"/>
    <w:rsid w:val="5B9733EF"/>
    <w:rsid w:val="5B983961"/>
    <w:rsid w:val="5BAC0A50"/>
    <w:rsid w:val="5BADBDF9"/>
    <w:rsid w:val="5BAE3EAF"/>
    <w:rsid w:val="5BC43B0D"/>
    <w:rsid w:val="5BCB34FE"/>
    <w:rsid w:val="5BCEF1E5"/>
    <w:rsid w:val="5BD9C490"/>
    <w:rsid w:val="5BF919E0"/>
    <w:rsid w:val="5BFFC0E1"/>
    <w:rsid w:val="5C0219E3"/>
    <w:rsid w:val="5C072F1A"/>
    <w:rsid w:val="5C17DCB9"/>
    <w:rsid w:val="5C4B0267"/>
    <w:rsid w:val="5C4ED599"/>
    <w:rsid w:val="5C5405FA"/>
    <w:rsid w:val="5C5EA887"/>
    <w:rsid w:val="5C604BAD"/>
    <w:rsid w:val="5C649846"/>
    <w:rsid w:val="5C650742"/>
    <w:rsid w:val="5C675F45"/>
    <w:rsid w:val="5C8E4728"/>
    <w:rsid w:val="5C995956"/>
    <w:rsid w:val="5CA08427"/>
    <w:rsid w:val="5CA8DDE2"/>
    <w:rsid w:val="5CAC3B95"/>
    <w:rsid w:val="5CB50305"/>
    <w:rsid w:val="5CC15B99"/>
    <w:rsid w:val="5CC39746"/>
    <w:rsid w:val="5CEAE40B"/>
    <w:rsid w:val="5CF00EF1"/>
    <w:rsid w:val="5CF243DE"/>
    <w:rsid w:val="5D0F263D"/>
    <w:rsid w:val="5D1074CF"/>
    <w:rsid w:val="5D13E756"/>
    <w:rsid w:val="5D1AA0A0"/>
    <w:rsid w:val="5D25C499"/>
    <w:rsid w:val="5D3C72CC"/>
    <w:rsid w:val="5D4D63C9"/>
    <w:rsid w:val="5D5442BB"/>
    <w:rsid w:val="5D6A9370"/>
    <w:rsid w:val="5D6D39E9"/>
    <w:rsid w:val="5D849B68"/>
    <w:rsid w:val="5D946CF9"/>
    <w:rsid w:val="5D94ED20"/>
    <w:rsid w:val="5D99606E"/>
    <w:rsid w:val="5D9BC2DC"/>
    <w:rsid w:val="5DA16B1D"/>
    <w:rsid w:val="5DA3A770"/>
    <w:rsid w:val="5DA84068"/>
    <w:rsid w:val="5DCE7288"/>
    <w:rsid w:val="5DE27482"/>
    <w:rsid w:val="5DE9FA0B"/>
    <w:rsid w:val="5E16F4AF"/>
    <w:rsid w:val="5E2A511B"/>
    <w:rsid w:val="5E2A827D"/>
    <w:rsid w:val="5E328400"/>
    <w:rsid w:val="5E362113"/>
    <w:rsid w:val="5E4CCBC5"/>
    <w:rsid w:val="5E553571"/>
    <w:rsid w:val="5E5AAE1E"/>
    <w:rsid w:val="5E5B5B2F"/>
    <w:rsid w:val="5E658D3E"/>
    <w:rsid w:val="5E66EB71"/>
    <w:rsid w:val="5E6EBEA7"/>
    <w:rsid w:val="5E8A7F7D"/>
    <w:rsid w:val="5E8E68D3"/>
    <w:rsid w:val="5E9B6F90"/>
    <w:rsid w:val="5EAF4CBF"/>
    <w:rsid w:val="5EB0521E"/>
    <w:rsid w:val="5ECF0541"/>
    <w:rsid w:val="5EDCF4D7"/>
    <w:rsid w:val="5EF94339"/>
    <w:rsid w:val="5F092179"/>
    <w:rsid w:val="5F0B1D5B"/>
    <w:rsid w:val="5F387136"/>
    <w:rsid w:val="5F457847"/>
    <w:rsid w:val="5F477810"/>
    <w:rsid w:val="5F4E0627"/>
    <w:rsid w:val="5F4FDF7D"/>
    <w:rsid w:val="5F613D7A"/>
    <w:rsid w:val="5F667F48"/>
    <w:rsid w:val="5F675127"/>
    <w:rsid w:val="5F693DDC"/>
    <w:rsid w:val="5F6C2346"/>
    <w:rsid w:val="5F7C3152"/>
    <w:rsid w:val="5F8A8561"/>
    <w:rsid w:val="5F99EDEE"/>
    <w:rsid w:val="5FBE9330"/>
    <w:rsid w:val="5FDF988A"/>
    <w:rsid w:val="5FF755F7"/>
    <w:rsid w:val="6002E051"/>
    <w:rsid w:val="6005DDCC"/>
    <w:rsid w:val="600BAF19"/>
    <w:rsid w:val="6014C40A"/>
    <w:rsid w:val="6018CBD7"/>
    <w:rsid w:val="602FCEF5"/>
    <w:rsid w:val="6037751F"/>
    <w:rsid w:val="6044BC75"/>
    <w:rsid w:val="6060B05D"/>
    <w:rsid w:val="6061BDB8"/>
    <w:rsid w:val="6084D189"/>
    <w:rsid w:val="608D10C7"/>
    <w:rsid w:val="608D7DF1"/>
    <w:rsid w:val="609E17DE"/>
    <w:rsid w:val="60A02DB8"/>
    <w:rsid w:val="60B29C4F"/>
    <w:rsid w:val="60B67D0C"/>
    <w:rsid w:val="60C1949F"/>
    <w:rsid w:val="60CCE9FA"/>
    <w:rsid w:val="60D109AD"/>
    <w:rsid w:val="60D1FE13"/>
    <w:rsid w:val="60D52D56"/>
    <w:rsid w:val="60F21C77"/>
    <w:rsid w:val="60FC9B6F"/>
    <w:rsid w:val="6109415F"/>
    <w:rsid w:val="61113543"/>
    <w:rsid w:val="611A461A"/>
    <w:rsid w:val="6127C7F7"/>
    <w:rsid w:val="61284B71"/>
    <w:rsid w:val="613F4B0B"/>
    <w:rsid w:val="61403612"/>
    <w:rsid w:val="6145891F"/>
    <w:rsid w:val="614DA337"/>
    <w:rsid w:val="61531446"/>
    <w:rsid w:val="616C18DA"/>
    <w:rsid w:val="616DC5F9"/>
    <w:rsid w:val="617935DC"/>
    <w:rsid w:val="61AE42D5"/>
    <w:rsid w:val="61AF4172"/>
    <w:rsid w:val="61E75879"/>
    <w:rsid w:val="61E94D9A"/>
    <w:rsid w:val="61F096AB"/>
    <w:rsid w:val="61FC42E5"/>
    <w:rsid w:val="62051E30"/>
    <w:rsid w:val="621A3AC8"/>
    <w:rsid w:val="622175EA"/>
    <w:rsid w:val="6234B347"/>
    <w:rsid w:val="625E2A8F"/>
    <w:rsid w:val="626BD8F1"/>
    <w:rsid w:val="6274C8CD"/>
    <w:rsid w:val="627E5E24"/>
    <w:rsid w:val="62846E4B"/>
    <w:rsid w:val="6286C33C"/>
    <w:rsid w:val="6287190C"/>
    <w:rsid w:val="628D29C5"/>
    <w:rsid w:val="628E598C"/>
    <w:rsid w:val="62A03B26"/>
    <w:rsid w:val="62C9E4FE"/>
    <w:rsid w:val="62D2629D"/>
    <w:rsid w:val="6309965A"/>
    <w:rsid w:val="630FFC63"/>
    <w:rsid w:val="6311F2CF"/>
    <w:rsid w:val="6315063D"/>
    <w:rsid w:val="63245765"/>
    <w:rsid w:val="632BA5BC"/>
    <w:rsid w:val="632F3551"/>
    <w:rsid w:val="633D0B91"/>
    <w:rsid w:val="636E65DD"/>
    <w:rsid w:val="63760F10"/>
    <w:rsid w:val="63770B33"/>
    <w:rsid w:val="637884CD"/>
    <w:rsid w:val="638328DA"/>
    <w:rsid w:val="6389F513"/>
    <w:rsid w:val="638FCB12"/>
    <w:rsid w:val="6398CA0B"/>
    <w:rsid w:val="639ACAB5"/>
    <w:rsid w:val="63A32084"/>
    <w:rsid w:val="63A8AA09"/>
    <w:rsid w:val="63B6D09E"/>
    <w:rsid w:val="63C7B4C6"/>
    <w:rsid w:val="63CAF4F2"/>
    <w:rsid w:val="63CC5E4D"/>
    <w:rsid w:val="63D356AB"/>
    <w:rsid w:val="63ED043B"/>
    <w:rsid w:val="63F90247"/>
    <w:rsid w:val="63FFC1C5"/>
    <w:rsid w:val="640215F1"/>
    <w:rsid w:val="64067567"/>
    <w:rsid w:val="641A2E85"/>
    <w:rsid w:val="641D9981"/>
    <w:rsid w:val="642A51E7"/>
    <w:rsid w:val="642C56A5"/>
    <w:rsid w:val="64329E79"/>
    <w:rsid w:val="643C20A1"/>
    <w:rsid w:val="643DBF71"/>
    <w:rsid w:val="64555F06"/>
    <w:rsid w:val="64625D2F"/>
    <w:rsid w:val="6466EDB1"/>
    <w:rsid w:val="6467456A"/>
    <w:rsid w:val="6476CB16"/>
    <w:rsid w:val="64779797"/>
    <w:rsid w:val="6479A16D"/>
    <w:rsid w:val="6484BBA2"/>
    <w:rsid w:val="648870E7"/>
    <w:rsid w:val="649156F5"/>
    <w:rsid w:val="649E15C5"/>
    <w:rsid w:val="64B3E34A"/>
    <w:rsid w:val="64B81029"/>
    <w:rsid w:val="64B9151F"/>
    <w:rsid w:val="64BE617C"/>
    <w:rsid w:val="64CD314B"/>
    <w:rsid w:val="64D904EF"/>
    <w:rsid w:val="64DB6450"/>
    <w:rsid w:val="64E115DA"/>
    <w:rsid w:val="64E55A79"/>
    <w:rsid w:val="64F170FD"/>
    <w:rsid w:val="64F8A3C8"/>
    <w:rsid w:val="651A571E"/>
    <w:rsid w:val="651EF93B"/>
    <w:rsid w:val="65226F3F"/>
    <w:rsid w:val="65401A8E"/>
    <w:rsid w:val="654F8A30"/>
    <w:rsid w:val="655C9926"/>
    <w:rsid w:val="6578F341"/>
    <w:rsid w:val="65891D6B"/>
    <w:rsid w:val="658FAD4D"/>
    <w:rsid w:val="6594CB41"/>
    <w:rsid w:val="65A77DE4"/>
    <w:rsid w:val="65AC18DF"/>
    <w:rsid w:val="65B3D1BC"/>
    <w:rsid w:val="65C5687A"/>
    <w:rsid w:val="65DBC76B"/>
    <w:rsid w:val="65DCF10C"/>
    <w:rsid w:val="65DEA63D"/>
    <w:rsid w:val="65EC6E14"/>
    <w:rsid w:val="6602C8F1"/>
    <w:rsid w:val="6607D72D"/>
    <w:rsid w:val="660A4565"/>
    <w:rsid w:val="660C27C9"/>
    <w:rsid w:val="661D42B5"/>
    <w:rsid w:val="66326B5A"/>
    <w:rsid w:val="663D6D95"/>
    <w:rsid w:val="66509BED"/>
    <w:rsid w:val="665D5F64"/>
    <w:rsid w:val="665DEC5B"/>
    <w:rsid w:val="666E3727"/>
    <w:rsid w:val="667B1984"/>
    <w:rsid w:val="6693D99F"/>
    <w:rsid w:val="66A25050"/>
    <w:rsid w:val="66A32221"/>
    <w:rsid w:val="66A6248F"/>
    <w:rsid w:val="66BA5EA4"/>
    <w:rsid w:val="66BD610E"/>
    <w:rsid w:val="66BF0CC5"/>
    <w:rsid w:val="66C4C28E"/>
    <w:rsid w:val="66CB2BF8"/>
    <w:rsid w:val="66D004F7"/>
    <w:rsid w:val="66D4AED0"/>
    <w:rsid w:val="66DB219B"/>
    <w:rsid w:val="66E6AB60"/>
    <w:rsid w:val="66F90133"/>
    <w:rsid w:val="670B94A3"/>
    <w:rsid w:val="6723C3F4"/>
    <w:rsid w:val="672B7DAE"/>
    <w:rsid w:val="6734D3C0"/>
    <w:rsid w:val="673512EE"/>
    <w:rsid w:val="67414C58"/>
    <w:rsid w:val="6749E1C1"/>
    <w:rsid w:val="674FD6C6"/>
    <w:rsid w:val="6751CF47"/>
    <w:rsid w:val="676210A7"/>
    <w:rsid w:val="678BE6FF"/>
    <w:rsid w:val="67A659DF"/>
    <w:rsid w:val="67A90CD9"/>
    <w:rsid w:val="67C5F170"/>
    <w:rsid w:val="67CE5E61"/>
    <w:rsid w:val="67E0C83E"/>
    <w:rsid w:val="67EF1791"/>
    <w:rsid w:val="67F1011A"/>
    <w:rsid w:val="67F37E0F"/>
    <w:rsid w:val="6816CBB5"/>
    <w:rsid w:val="6824178F"/>
    <w:rsid w:val="683B7BC5"/>
    <w:rsid w:val="6847137A"/>
    <w:rsid w:val="6849D04A"/>
    <w:rsid w:val="6855E533"/>
    <w:rsid w:val="685B3CCC"/>
    <w:rsid w:val="685FCDAF"/>
    <w:rsid w:val="68644411"/>
    <w:rsid w:val="68779FA8"/>
    <w:rsid w:val="687E255D"/>
    <w:rsid w:val="68843901"/>
    <w:rsid w:val="68852C86"/>
    <w:rsid w:val="688EA61E"/>
    <w:rsid w:val="68940CAF"/>
    <w:rsid w:val="68978A88"/>
    <w:rsid w:val="6897F40E"/>
    <w:rsid w:val="689F3CEE"/>
    <w:rsid w:val="68A953C3"/>
    <w:rsid w:val="68AE9676"/>
    <w:rsid w:val="68B37968"/>
    <w:rsid w:val="68C62B1F"/>
    <w:rsid w:val="68C9D3FC"/>
    <w:rsid w:val="68DDD1E6"/>
    <w:rsid w:val="68E2910B"/>
    <w:rsid w:val="68E34712"/>
    <w:rsid w:val="68E52711"/>
    <w:rsid w:val="68EA49BE"/>
    <w:rsid w:val="68ED9FA8"/>
    <w:rsid w:val="68EF9F7F"/>
    <w:rsid w:val="68F3D04A"/>
    <w:rsid w:val="6902A1FE"/>
    <w:rsid w:val="6909BB1F"/>
    <w:rsid w:val="691B627F"/>
    <w:rsid w:val="69231398"/>
    <w:rsid w:val="6923A6B0"/>
    <w:rsid w:val="692778C4"/>
    <w:rsid w:val="69399E28"/>
    <w:rsid w:val="693C421C"/>
    <w:rsid w:val="6949F1F8"/>
    <w:rsid w:val="694BAB78"/>
    <w:rsid w:val="694D08AD"/>
    <w:rsid w:val="695D19F0"/>
    <w:rsid w:val="695D30EC"/>
    <w:rsid w:val="695F72A7"/>
    <w:rsid w:val="696748BA"/>
    <w:rsid w:val="6974D694"/>
    <w:rsid w:val="6982BC2D"/>
    <w:rsid w:val="6988356B"/>
    <w:rsid w:val="698A8987"/>
    <w:rsid w:val="69AE834B"/>
    <w:rsid w:val="69BF0488"/>
    <w:rsid w:val="69D7B373"/>
    <w:rsid w:val="69F9EBC7"/>
    <w:rsid w:val="6A09CB6D"/>
    <w:rsid w:val="6A119482"/>
    <w:rsid w:val="6A2178FB"/>
    <w:rsid w:val="6A2B5AEC"/>
    <w:rsid w:val="6A446C3B"/>
    <w:rsid w:val="6A5C8E8E"/>
    <w:rsid w:val="6A631E70"/>
    <w:rsid w:val="6A7134D2"/>
    <w:rsid w:val="6A734B93"/>
    <w:rsid w:val="6A7F134D"/>
    <w:rsid w:val="6A818283"/>
    <w:rsid w:val="6A9AE65F"/>
    <w:rsid w:val="6AB381AA"/>
    <w:rsid w:val="6AD02664"/>
    <w:rsid w:val="6AD8419D"/>
    <w:rsid w:val="6AEEAEF9"/>
    <w:rsid w:val="6AFEF991"/>
    <w:rsid w:val="6AFF38AE"/>
    <w:rsid w:val="6B0F0950"/>
    <w:rsid w:val="6B1D1A90"/>
    <w:rsid w:val="6B26D92A"/>
    <w:rsid w:val="6B31EE72"/>
    <w:rsid w:val="6B39CFFB"/>
    <w:rsid w:val="6B49DBEF"/>
    <w:rsid w:val="6B5AFC76"/>
    <w:rsid w:val="6B74CABD"/>
    <w:rsid w:val="6B9194CE"/>
    <w:rsid w:val="6B992C63"/>
    <w:rsid w:val="6BBB0196"/>
    <w:rsid w:val="6BBDC01A"/>
    <w:rsid w:val="6BC45AF6"/>
    <w:rsid w:val="6BCC46A4"/>
    <w:rsid w:val="6BCF2B4A"/>
    <w:rsid w:val="6BD31D9E"/>
    <w:rsid w:val="6BFE3118"/>
    <w:rsid w:val="6C0B3F68"/>
    <w:rsid w:val="6C11A97E"/>
    <w:rsid w:val="6C2347E9"/>
    <w:rsid w:val="6C284A16"/>
    <w:rsid w:val="6C2E6CF0"/>
    <w:rsid w:val="6C304DCA"/>
    <w:rsid w:val="6C32B31C"/>
    <w:rsid w:val="6C36A931"/>
    <w:rsid w:val="6C3AD4DD"/>
    <w:rsid w:val="6C45B71C"/>
    <w:rsid w:val="6C46D059"/>
    <w:rsid w:val="6C4C591D"/>
    <w:rsid w:val="6C4FE034"/>
    <w:rsid w:val="6C5237F9"/>
    <w:rsid w:val="6C5AB45A"/>
    <w:rsid w:val="6C78B78E"/>
    <w:rsid w:val="6C8817A5"/>
    <w:rsid w:val="6C8BB93B"/>
    <w:rsid w:val="6C93C986"/>
    <w:rsid w:val="6CA09B60"/>
    <w:rsid w:val="6CBC675C"/>
    <w:rsid w:val="6CBFBE74"/>
    <w:rsid w:val="6CD24E7A"/>
    <w:rsid w:val="6CDA5647"/>
    <w:rsid w:val="6CEE0AA5"/>
    <w:rsid w:val="6CEFF7D7"/>
    <w:rsid w:val="6CFE5C66"/>
    <w:rsid w:val="6D08B9F1"/>
    <w:rsid w:val="6D09A9A4"/>
    <w:rsid w:val="6D106FD7"/>
    <w:rsid w:val="6D109B1E"/>
    <w:rsid w:val="6D1405F9"/>
    <w:rsid w:val="6D199D2F"/>
    <w:rsid w:val="6D22F531"/>
    <w:rsid w:val="6D34D0F9"/>
    <w:rsid w:val="6D46EFC0"/>
    <w:rsid w:val="6D5A80DA"/>
    <w:rsid w:val="6D6222C9"/>
    <w:rsid w:val="6D79CA8D"/>
    <w:rsid w:val="6D80319B"/>
    <w:rsid w:val="6D93FD42"/>
    <w:rsid w:val="6D942F50"/>
    <w:rsid w:val="6D999C42"/>
    <w:rsid w:val="6DAE56BA"/>
    <w:rsid w:val="6DAF91CD"/>
    <w:rsid w:val="6DDC14BC"/>
    <w:rsid w:val="6DDCC9D2"/>
    <w:rsid w:val="6DDFC004"/>
    <w:rsid w:val="6DE35210"/>
    <w:rsid w:val="6DF73649"/>
    <w:rsid w:val="6E04E1EB"/>
    <w:rsid w:val="6E17FBD7"/>
    <w:rsid w:val="6E191827"/>
    <w:rsid w:val="6E199022"/>
    <w:rsid w:val="6E2C7A6B"/>
    <w:rsid w:val="6E3DA10E"/>
    <w:rsid w:val="6E3F6017"/>
    <w:rsid w:val="6E3FFB35"/>
    <w:rsid w:val="6E45BDDB"/>
    <w:rsid w:val="6E52A8C4"/>
    <w:rsid w:val="6E54BB52"/>
    <w:rsid w:val="6E60BAB6"/>
    <w:rsid w:val="6E6BFB44"/>
    <w:rsid w:val="6E6E2EBB"/>
    <w:rsid w:val="6E7AAF11"/>
    <w:rsid w:val="6E907AC3"/>
    <w:rsid w:val="6EAB11B6"/>
    <w:rsid w:val="6EAF029E"/>
    <w:rsid w:val="6EBA4B20"/>
    <w:rsid w:val="6EC19D90"/>
    <w:rsid w:val="6EC636AB"/>
    <w:rsid w:val="6EC712AD"/>
    <w:rsid w:val="6EDC2F33"/>
    <w:rsid w:val="6EDF3F2F"/>
    <w:rsid w:val="6EE208B8"/>
    <w:rsid w:val="6EF19013"/>
    <w:rsid w:val="6F13A64C"/>
    <w:rsid w:val="6F1F2692"/>
    <w:rsid w:val="6F1F92A1"/>
    <w:rsid w:val="6F220400"/>
    <w:rsid w:val="6F2F15D8"/>
    <w:rsid w:val="6F4F80B6"/>
    <w:rsid w:val="6F5AE8AB"/>
    <w:rsid w:val="6F5E594F"/>
    <w:rsid w:val="6F62267E"/>
    <w:rsid w:val="6F8399FB"/>
    <w:rsid w:val="6F8780CE"/>
    <w:rsid w:val="6F9126D1"/>
    <w:rsid w:val="6F9A42A2"/>
    <w:rsid w:val="6FB930E6"/>
    <w:rsid w:val="6FC7D06B"/>
    <w:rsid w:val="6FC8F5CE"/>
    <w:rsid w:val="6FC9F444"/>
    <w:rsid w:val="6FE81962"/>
    <w:rsid w:val="7006CF74"/>
    <w:rsid w:val="701558F3"/>
    <w:rsid w:val="703AAF40"/>
    <w:rsid w:val="704C1055"/>
    <w:rsid w:val="705AA8B9"/>
    <w:rsid w:val="70645BBC"/>
    <w:rsid w:val="7067AADC"/>
    <w:rsid w:val="7067F163"/>
    <w:rsid w:val="7068BD01"/>
    <w:rsid w:val="7090D24E"/>
    <w:rsid w:val="7099EFD1"/>
    <w:rsid w:val="70B5E82E"/>
    <w:rsid w:val="70BAB26A"/>
    <w:rsid w:val="70C8570F"/>
    <w:rsid w:val="70CB5F5B"/>
    <w:rsid w:val="70CC3261"/>
    <w:rsid w:val="70EF3F33"/>
    <w:rsid w:val="70EFC6EE"/>
    <w:rsid w:val="710516E8"/>
    <w:rsid w:val="7117E590"/>
    <w:rsid w:val="711942FC"/>
    <w:rsid w:val="713CEF22"/>
    <w:rsid w:val="714995FC"/>
    <w:rsid w:val="714F9474"/>
    <w:rsid w:val="715D216B"/>
    <w:rsid w:val="716116F0"/>
    <w:rsid w:val="71673AA9"/>
    <w:rsid w:val="717808CD"/>
    <w:rsid w:val="717B3E65"/>
    <w:rsid w:val="71800EEF"/>
    <w:rsid w:val="718F71D3"/>
    <w:rsid w:val="71A29FD5"/>
    <w:rsid w:val="71A52E8F"/>
    <w:rsid w:val="71B79DB0"/>
    <w:rsid w:val="71B85FBE"/>
    <w:rsid w:val="71CE0916"/>
    <w:rsid w:val="71DBB15E"/>
    <w:rsid w:val="71EB0098"/>
    <w:rsid w:val="71EBCCAC"/>
    <w:rsid w:val="71ECEB67"/>
    <w:rsid w:val="71F4AF6E"/>
    <w:rsid w:val="723AAFC5"/>
    <w:rsid w:val="72627157"/>
    <w:rsid w:val="727C432F"/>
    <w:rsid w:val="7283008D"/>
    <w:rsid w:val="728F1784"/>
    <w:rsid w:val="729C4FD1"/>
    <w:rsid w:val="72A49F44"/>
    <w:rsid w:val="72B2715B"/>
    <w:rsid w:val="72BFB297"/>
    <w:rsid w:val="72C0981E"/>
    <w:rsid w:val="72D07969"/>
    <w:rsid w:val="72D3B94F"/>
    <w:rsid w:val="72DC183A"/>
    <w:rsid w:val="730ED690"/>
    <w:rsid w:val="731F138B"/>
    <w:rsid w:val="7331133A"/>
    <w:rsid w:val="733FA1A4"/>
    <w:rsid w:val="73556816"/>
    <w:rsid w:val="7357718E"/>
    <w:rsid w:val="735F5B15"/>
    <w:rsid w:val="73660E5B"/>
    <w:rsid w:val="73684FA9"/>
    <w:rsid w:val="736F1C84"/>
    <w:rsid w:val="7379860E"/>
    <w:rsid w:val="737EE9C9"/>
    <w:rsid w:val="73839D07"/>
    <w:rsid w:val="739113B6"/>
    <w:rsid w:val="73B43A4A"/>
    <w:rsid w:val="73C129D2"/>
    <w:rsid w:val="73C41F5A"/>
    <w:rsid w:val="73C4982A"/>
    <w:rsid w:val="73C50984"/>
    <w:rsid w:val="73C6C1B8"/>
    <w:rsid w:val="73E2DCF1"/>
    <w:rsid w:val="7405B30C"/>
    <w:rsid w:val="7409BE0F"/>
    <w:rsid w:val="7418C1BC"/>
    <w:rsid w:val="7426BBBF"/>
    <w:rsid w:val="742E3E6A"/>
    <w:rsid w:val="7431458D"/>
    <w:rsid w:val="7442E152"/>
    <w:rsid w:val="744460E4"/>
    <w:rsid w:val="7465F093"/>
    <w:rsid w:val="74697B16"/>
    <w:rsid w:val="746CF3AD"/>
    <w:rsid w:val="7473E73A"/>
    <w:rsid w:val="747A5BD1"/>
    <w:rsid w:val="7484C458"/>
    <w:rsid w:val="74895010"/>
    <w:rsid w:val="74A73E95"/>
    <w:rsid w:val="74B4BBD9"/>
    <w:rsid w:val="74B5A624"/>
    <w:rsid w:val="74CBEC63"/>
    <w:rsid w:val="74D15D34"/>
    <w:rsid w:val="74D31D13"/>
    <w:rsid w:val="74D6725C"/>
    <w:rsid w:val="74E22D6F"/>
    <w:rsid w:val="74E9AE69"/>
    <w:rsid w:val="74F9A597"/>
    <w:rsid w:val="75137598"/>
    <w:rsid w:val="7517420C"/>
    <w:rsid w:val="75322C83"/>
    <w:rsid w:val="753A4C3A"/>
    <w:rsid w:val="754AE254"/>
    <w:rsid w:val="754FCC30"/>
    <w:rsid w:val="757A4E33"/>
    <w:rsid w:val="757AFA44"/>
    <w:rsid w:val="75839C21"/>
    <w:rsid w:val="75893E11"/>
    <w:rsid w:val="75932281"/>
    <w:rsid w:val="75932F5C"/>
    <w:rsid w:val="7593EB01"/>
    <w:rsid w:val="759B615F"/>
    <w:rsid w:val="75A3730C"/>
    <w:rsid w:val="75A74878"/>
    <w:rsid w:val="75A9E0A8"/>
    <w:rsid w:val="75AF0E7D"/>
    <w:rsid w:val="75B674B0"/>
    <w:rsid w:val="75B7EF67"/>
    <w:rsid w:val="75BE0F71"/>
    <w:rsid w:val="75C4814B"/>
    <w:rsid w:val="75D0C965"/>
    <w:rsid w:val="75D2A765"/>
    <w:rsid w:val="75E4C824"/>
    <w:rsid w:val="75E89897"/>
    <w:rsid w:val="75ED4BA2"/>
    <w:rsid w:val="760E6581"/>
    <w:rsid w:val="761C3EE0"/>
    <w:rsid w:val="7620AFDB"/>
    <w:rsid w:val="764131C9"/>
    <w:rsid w:val="76542D8D"/>
    <w:rsid w:val="766D832D"/>
    <w:rsid w:val="769CDB74"/>
    <w:rsid w:val="76A9F952"/>
    <w:rsid w:val="76ADD7AF"/>
    <w:rsid w:val="76C957D2"/>
    <w:rsid w:val="76CB7B05"/>
    <w:rsid w:val="76CDDAEC"/>
    <w:rsid w:val="76E10ABC"/>
    <w:rsid w:val="76F64394"/>
    <w:rsid w:val="76F7BCA9"/>
    <w:rsid w:val="76FC38EC"/>
    <w:rsid w:val="771E6858"/>
    <w:rsid w:val="7724C2E1"/>
    <w:rsid w:val="77276260"/>
    <w:rsid w:val="77622410"/>
    <w:rsid w:val="7765FA90"/>
    <w:rsid w:val="776F7EAF"/>
    <w:rsid w:val="77752E79"/>
    <w:rsid w:val="7775A9C0"/>
    <w:rsid w:val="777DA57D"/>
    <w:rsid w:val="777DAF0F"/>
    <w:rsid w:val="778869C3"/>
    <w:rsid w:val="7790C1B8"/>
    <w:rsid w:val="77940F70"/>
    <w:rsid w:val="77A335B3"/>
    <w:rsid w:val="77AFF898"/>
    <w:rsid w:val="77BBDBC1"/>
    <w:rsid w:val="77C07268"/>
    <w:rsid w:val="77C13916"/>
    <w:rsid w:val="77D27EFB"/>
    <w:rsid w:val="77D5FC5F"/>
    <w:rsid w:val="77ED5BC3"/>
    <w:rsid w:val="77F45DD3"/>
    <w:rsid w:val="77FB19D0"/>
    <w:rsid w:val="77FE17C2"/>
    <w:rsid w:val="78026BC8"/>
    <w:rsid w:val="7802B665"/>
    <w:rsid w:val="780329C9"/>
    <w:rsid w:val="78112E4C"/>
    <w:rsid w:val="781714B0"/>
    <w:rsid w:val="7818C628"/>
    <w:rsid w:val="78263E8C"/>
    <w:rsid w:val="782A1D9B"/>
    <w:rsid w:val="782FE9DE"/>
    <w:rsid w:val="7838A7A0"/>
    <w:rsid w:val="78397F7E"/>
    <w:rsid w:val="784AF2BF"/>
    <w:rsid w:val="784B4172"/>
    <w:rsid w:val="784E5597"/>
    <w:rsid w:val="784E55DA"/>
    <w:rsid w:val="784FD371"/>
    <w:rsid w:val="7858278C"/>
    <w:rsid w:val="7875281E"/>
    <w:rsid w:val="788EA9B6"/>
    <w:rsid w:val="789BFF1E"/>
    <w:rsid w:val="78AA82ED"/>
    <w:rsid w:val="78ADF2D2"/>
    <w:rsid w:val="78AF9DF7"/>
    <w:rsid w:val="78B5FE7D"/>
    <w:rsid w:val="78D19415"/>
    <w:rsid w:val="78DC3A08"/>
    <w:rsid w:val="78F7E578"/>
    <w:rsid w:val="7903C372"/>
    <w:rsid w:val="790A6BDD"/>
    <w:rsid w:val="79239C42"/>
    <w:rsid w:val="79253A76"/>
    <w:rsid w:val="792FEACF"/>
    <w:rsid w:val="7943D5F9"/>
    <w:rsid w:val="79461713"/>
    <w:rsid w:val="794D56C6"/>
    <w:rsid w:val="794F73C2"/>
    <w:rsid w:val="795DA9F9"/>
    <w:rsid w:val="797505F9"/>
    <w:rsid w:val="7981C363"/>
    <w:rsid w:val="798D08A4"/>
    <w:rsid w:val="79A59BE8"/>
    <w:rsid w:val="79A82405"/>
    <w:rsid w:val="79BB7915"/>
    <w:rsid w:val="79CD350E"/>
    <w:rsid w:val="79DDA137"/>
    <w:rsid w:val="79DE5E08"/>
    <w:rsid w:val="79F56B50"/>
    <w:rsid w:val="7A03C01C"/>
    <w:rsid w:val="7A09A357"/>
    <w:rsid w:val="7A124BB3"/>
    <w:rsid w:val="7A31FD84"/>
    <w:rsid w:val="7A41CE3D"/>
    <w:rsid w:val="7A669E74"/>
    <w:rsid w:val="7A679243"/>
    <w:rsid w:val="7A6AB74A"/>
    <w:rsid w:val="7A980A66"/>
    <w:rsid w:val="7A9830D2"/>
    <w:rsid w:val="7A990315"/>
    <w:rsid w:val="7AB53926"/>
    <w:rsid w:val="7AC49025"/>
    <w:rsid w:val="7AC652CF"/>
    <w:rsid w:val="7ACF242C"/>
    <w:rsid w:val="7AD8876C"/>
    <w:rsid w:val="7ADB6D70"/>
    <w:rsid w:val="7ADCF549"/>
    <w:rsid w:val="7ADD27CE"/>
    <w:rsid w:val="7AE4439E"/>
    <w:rsid w:val="7AEB1D93"/>
    <w:rsid w:val="7AF0E002"/>
    <w:rsid w:val="7AF8EEBE"/>
    <w:rsid w:val="7B0ACDD6"/>
    <w:rsid w:val="7B15F9C7"/>
    <w:rsid w:val="7B366C82"/>
    <w:rsid w:val="7B3CE80E"/>
    <w:rsid w:val="7B44027E"/>
    <w:rsid w:val="7B4A2957"/>
    <w:rsid w:val="7B4CB694"/>
    <w:rsid w:val="7B585886"/>
    <w:rsid w:val="7B728D5C"/>
    <w:rsid w:val="7B8BA464"/>
    <w:rsid w:val="7B9A101D"/>
    <w:rsid w:val="7B9D58EE"/>
    <w:rsid w:val="7BACEBE3"/>
    <w:rsid w:val="7BAE1C14"/>
    <w:rsid w:val="7BBEE2B0"/>
    <w:rsid w:val="7BC10442"/>
    <w:rsid w:val="7BC3DC97"/>
    <w:rsid w:val="7BCDDF22"/>
    <w:rsid w:val="7BCE80D7"/>
    <w:rsid w:val="7BD25D45"/>
    <w:rsid w:val="7BD2ADC0"/>
    <w:rsid w:val="7BDA1119"/>
    <w:rsid w:val="7BDA31A0"/>
    <w:rsid w:val="7BDE903B"/>
    <w:rsid w:val="7BE7723D"/>
    <w:rsid w:val="7BE84A33"/>
    <w:rsid w:val="7BEC6BAB"/>
    <w:rsid w:val="7BF734F6"/>
    <w:rsid w:val="7C023DF2"/>
    <w:rsid w:val="7C04E3E0"/>
    <w:rsid w:val="7C4AAB2D"/>
    <w:rsid w:val="7C50E13C"/>
    <w:rsid w:val="7C520433"/>
    <w:rsid w:val="7C6256FB"/>
    <w:rsid w:val="7C63B0CD"/>
    <w:rsid w:val="7C7F2C33"/>
    <w:rsid w:val="7C81AC2D"/>
    <w:rsid w:val="7C8B652F"/>
    <w:rsid w:val="7C9662FB"/>
    <w:rsid w:val="7CA110CF"/>
    <w:rsid w:val="7CA5430F"/>
    <w:rsid w:val="7CAB2169"/>
    <w:rsid w:val="7CB2F4D9"/>
    <w:rsid w:val="7CB7D654"/>
    <w:rsid w:val="7CC487E2"/>
    <w:rsid w:val="7CCD068C"/>
    <w:rsid w:val="7CE309BB"/>
    <w:rsid w:val="7CE86023"/>
    <w:rsid w:val="7CE88E1D"/>
    <w:rsid w:val="7CE981EB"/>
    <w:rsid w:val="7CEE9F50"/>
    <w:rsid w:val="7CF19C51"/>
    <w:rsid w:val="7D02CC60"/>
    <w:rsid w:val="7D089E5D"/>
    <w:rsid w:val="7D108FB6"/>
    <w:rsid w:val="7D1E63E2"/>
    <w:rsid w:val="7D21C6BA"/>
    <w:rsid w:val="7D2C79F5"/>
    <w:rsid w:val="7D2D598A"/>
    <w:rsid w:val="7D2E891B"/>
    <w:rsid w:val="7D2F10B9"/>
    <w:rsid w:val="7D38ED05"/>
    <w:rsid w:val="7D3D9708"/>
    <w:rsid w:val="7D3EBB9B"/>
    <w:rsid w:val="7D527FC1"/>
    <w:rsid w:val="7D6D4F3E"/>
    <w:rsid w:val="7D6EC7D6"/>
    <w:rsid w:val="7D84ADC6"/>
    <w:rsid w:val="7D91B0DA"/>
    <w:rsid w:val="7D93AC58"/>
    <w:rsid w:val="7DB30E67"/>
    <w:rsid w:val="7DB60982"/>
    <w:rsid w:val="7DB8D082"/>
    <w:rsid w:val="7DBF8169"/>
    <w:rsid w:val="7DE376D6"/>
    <w:rsid w:val="7DF1CB2A"/>
    <w:rsid w:val="7DF3AA7C"/>
    <w:rsid w:val="7DF65597"/>
    <w:rsid w:val="7E06677B"/>
    <w:rsid w:val="7E2B5C24"/>
    <w:rsid w:val="7E2C9554"/>
    <w:rsid w:val="7E309068"/>
    <w:rsid w:val="7E44BEAC"/>
    <w:rsid w:val="7E585E0A"/>
    <w:rsid w:val="7E614200"/>
    <w:rsid w:val="7E6A5A51"/>
    <w:rsid w:val="7E7162CB"/>
    <w:rsid w:val="7E8F627F"/>
    <w:rsid w:val="7E97626B"/>
    <w:rsid w:val="7EA46EBE"/>
    <w:rsid w:val="7EA914CC"/>
    <w:rsid w:val="7EBA2C21"/>
    <w:rsid w:val="7ED803FC"/>
    <w:rsid w:val="7EE5B9BE"/>
    <w:rsid w:val="7EFF71CB"/>
    <w:rsid w:val="7F0BC43A"/>
    <w:rsid w:val="7F0BDC34"/>
    <w:rsid w:val="7F17FC7E"/>
    <w:rsid w:val="7F260E48"/>
    <w:rsid w:val="7F32640A"/>
    <w:rsid w:val="7F3DCEE4"/>
    <w:rsid w:val="7F41494D"/>
    <w:rsid w:val="7F549B18"/>
    <w:rsid w:val="7F56E703"/>
    <w:rsid w:val="7F5D488F"/>
    <w:rsid w:val="7F6CEA5D"/>
    <w:rsid w:val="7F943B2D"/>
    <w:rsid w:val="7FBA4976"/>
    <w:rsid w:val="7FBD04AE"/>
    <w:rsid w:val="7FC067E6"/>
    <w:rsid w:val="7FC39703"/>
    <w:rsid w:val="7FD371D3"/>
    <w:rsid w:val="7FDAF33C"/>
    <w:rsid w:val="7FE6F296"/>
    <w:rsid w:val="7FE7EE75"/>
    <w:rsid w:val="7FE99848"/>
    <w:rsid w:val="7FFA6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2CEF8"/>
  <w15:chartTrackingRefBased/>
  <w15:docId w15:val="{D5A73EBA-2B2F-BB4F-A78A-0501D7F3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9FE"/>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261"/>
    <w:pPr>
      <w:spacing w:before="100" w:beforeAutospacing="1" w:after="100" w:afterAutospacing="1"/>
    </w:pPr>
  </w:style>
  <w:style w:type="character" w:styleId="Hyperlink">
    <w:name w:val="Hyperlink"/>
    <w:basedOn w:val="DefaultParagraphFont"/>
    <w:uiPriority w:val="99"/>
    <w:unhideWhenUsed/>
    <w:rsid w:val="00640261"/>
    <w:rPr>
      <w:color w:val="0563C1" w:themeColor="hyperlink"/>
      <w:u w:val="single"/>
    </w:rPr>
  </w:style>
  <w:style w:type="paragraph" w:styleId="ListParagraph">
    <w:name w:val="List Paragraph"/>
    <w:basedOn w:val="Normal"/>
    <w:uiPriority w:val="34"/>
    <w:qFormat/>
    <w:rsid w:val="00640261"/>
    <w:pPr>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apple-converted-space">
    <w:name w:val="apple-converted-space"/>
    <w:basedOn w:val="DefaultParagraphFont"/>
    <w:rsid w:val="00710D0F"/>
  </w:style>
  <w:style w:type="character" w:customStyle="1" w:styleId="normaltextrun">
    <w:name w:val="normaltextrun"/>
    <w:basedOn w:val="DefaultParagraphFont"/>
    <w:rsid w:val="00D82FCE"/>
  </w:style>
  <w:style w:type="character" w:customStyle="1" w:styleId="eop">
    <w:name w:val="eop"/>
    <w:basedOn w:val="DefaultParagraphFont"/>
    <w:rsid w:val="00D82FCE"/>
  </w:style>
  <w:style w:type="character" w:styleId="Strong">
    <w:name w:val="Strong"/>
    <w:basedOn w:val="DefaultParagraphFont"/>
    <w:uiPriority w:val="22"/>
    <w:qFormat/>
    <w:rsid w:val="002A3819"/>
    <w:rPr>
      <w:b/>
      <w:bCs/>
    </w:rPr>
  </w:style>
  <w:style w:type="character" w:styleId="CommentReference">
    <w:name w:val="annotation reference"/>
    <w:basedOn w:val="DefaultParagraphFont"/>
    <w:uiPriority w:val="99"/>
    <w:semiHidden/>
    <w:unhideWhenUsed/>
    <w:rsid w:val="00867BBB"/>
    <w:rPr>
      <w:sz w:val="16"/>
      <w:szCs w:val="16"/>
    </w:rPr>
  </w:style>
  <w:style w:type="paragraph" w:styleId="CommentText">
    <w:name w:val="annotation text"/>
    <w:basedOn w:val="Normal"/>
    <w:link w:val="CommentTextChar"/>
    <w:uiPriority w:val="99"/>
    <w:semiHidden/>
    <w:unhideWhenUsed/>
    <w:rsid w:val="00867BBB"/>
    <w:rPr>
      <w:sz w:val="20"/>
      <w:szCs w:val="20"/>
    </w:rPr>
  </w:style>
  <w:style w:type="character" w:customStyle="1" w:styleId="CommentTextChar">
    <w:name w:val="Comment Text Char"/>
    <w:basedOn w:val="DefaultParagraphFont"/>
    <w:link w:val="CommentText"/>
    <w:uiPriority w:val="99"/>
    <w:semiHidden/>
    <w:rsid w:val="00867BB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67BBB"/>
    <w:rPr>
      <w:b/>
      <w:bCs/>
    </w:rPr>
  </w:style>
  <w:style w:type="character" w:customStyle="1" w:styleId="CommentSubjectChar">
    <w:name w:val="Comment Subject Char"/>
    <w:basedOn w:val="CommentTextChar"/>
    <w:link w:val="CommentSubject"/>
    <w:uiPriority w:val="99"/>
    <w:semiHidden/>
    <w:rsid w:val="00867BBB"/>
    <w:rPr>
      <w:rFonts w:ascii="Times New Roman" w:eastAsia="Times New Roman" w:hAnsi="Times New Roman" w:cs="Times New Roman"/>
      <w:b/>
      <w:bCs/>
      <w:sz w:val="20"/>
      <w:szCs w:val="20"/>
      <w:lang w:eastAsia="en-GB"/>
    </w:rPr>
  </w:style>
  <w:style w:type="paragraph" w:customStyle="1" w:styleId="paragraph">
    <w:name w:val="paragraph"/>
    <w:basedOn w:val="Normal"/>
    <w:rsid w:val="00455885"/>
    <w:pPr>
      <w:spacing w:before="100" w:beforeAutospacing="1" w:after="100" w:afterAutospacing="1"/>
    </w:pPr>
  </w:style>
  <w:style w:type="paragraph" w:styleId="BalloonText">
    <w:name w:val="Balloon Text"/>
    <w:basedOn w:val="Normal"/>
    <w:link w:val="BalloonTextChar"/>
    <w:uiPriority w:val="99"/>
    <w:semiHidden/>
    <w:unhideWhenUsed/>
    <w:rsid w:val="006671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1A7"/>
    <w:rPr>
      <w:rFonts w:ascii="Segoe UI" w:eastAsia="Times New Roman" w:hAnsi="Segoe UI" w:cs="Segoe UI"/>
      <w:sz w:val="18"/>
      <w:szCs w:val="18"/>
      <w:lang w:eastAsia="en-GB"/>
    </w:rPr>
  </w:style>
  <w:style w:type="paragraph" w:styleId="Revision">
    <w:name w:val="Revision"/>
    <w:hidden/>
    <w:uiPriority w:val="99"/>
    <w:semiHidden/>
    <w:rsid w:val="00431DAE"/>
    <w:rPr>
      <w:rFonts w:ascii="Times New Roman" w:eastAsia="Times New Roman" w:hAnsi="Times New Roman" w:cs="Times New Roman"/>
      <w:lang w:eastAsia="en-GB"/>
    </w:rPr>
  </w:style>
  <w:style w:type="table" w:styleId="TableGridLight">
    <w:name w:val="Grid Table Light"/>
    <w:basedOn w:val="TableNormal"/>
    <w:uiPriority w:val="40"/>
    <w:rsid w:val="00C874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97087">
      <w:bodyDiv w:val="1"/>
      <w:marLeft w:val="0"/>
      <w:marRight w:val="0"/>
      <w:marTop w:val="0"/>
      <w:marBottom w:val="0"/>
      <w:divBdr>
        <w:top w:val="none" w:sz="0" w:space="0" w:color="auto"/>
        <w:left w:val="none" w:sz="0" w:space="0" w:color="auto"/>
        <w:bottom w:val="none" w:sz="0" w:space="0" w:color="auto"/>
        <w:right w:val="none" w:sz="0" w:space="0" w:color="auto"/>
      </w:divBdr>
    </w:div>
    <w:div w:id="199516884">
      <w:bodyDiv w:val="1"/>
      <w:marLeft w:val="0"/>
      <w:marRight w:val="0"/>
      <w:marTop w:val="0"/>
      <w:marBottom w:val="0"/>
      <w:divBdr>
        <w:top w:val="none" w:sz="0" w:space="0" w:color="auto"/>
        <w:left w:val="none" w:sz="0" w:space="0" w:color="auto"/>
        <w:bottom w:val="none" w:sz="0" w:space="0" w:color="auto"/>
        <w:right w:val="none" w:sz="0" w:space="0" w:color="auto"/>
      </w:divBdr>
    </w:div>
    <w:div w:id="217865828">
      <w:bodyDiv w:val="1"/>
      <w:marLeft w:val="0"/>
      <w:marRight w:val="0"/>
      <w:marTop w:val="0"/>
      <w:marBottom w:val="0"/>
      <w:divBdr>
        <w:top w:val="none" w:sz="0" w:space="0" w:color="auto"/>
        <w:left w:val="none" w:sz="0" w:space="0" w:color="auto"/>
        <w:bottom w:val="none" w:sz="0" w:space="0" w:color="auto"/>
        <w:right w:val="none" w:sz="0" w:space="0" w:color="auto"/>
      </w:divBdr>
    </w:div>
    <w:div w:id="309133534">
      <w:bodyDiv w:val="1"/>
      <w:marLeft w:val="0"/>
      <w:marRight w:val="0"/>
      <w:marTop w:val="0"/>
      <w:marBottom w:val="0"/>
      <w:divBdr>
        <w:top w:val="none" w:sz="0" w:space="0" w:color="auto"/>
        <w:left w:val="none" w:sz="0" w:space="0" w:color="auto"/>
        <w:bottom w:val="none" w:sz="0" w:space="0" w:color="auto"/>
        <w:right w:val="none" w:sz="0" w:space="0" w:color="auto"/>
      </w:divBdr>
      <w:divsChild>
        <w:div w:id="2068068697">
          <w:marLeft w:val="0"/>
          <w:marRight w:val="0"/>
          <w:marTop w:val="0"/>
          <w:marBottom w:val="0"/>
          <w:divBdr>
            <w:top w:val="none" w:sz="0" w:space="0" w:color="auto"/>
            <w:left w:val="none" w:sz="0" w:space="0" w:color="auto"/>
            <w:bottom w:val="none" w:sz="0" w:space="0" w:color="auto"/>
            <w:right w:val="none" w:sz="0" w:space="0" w:color="auto"/>
          </w:divBdr>
        </w:div>
      </w:divsChild>
    </w:div>
    <w:div w:id="347678236">
      <w:bodyDiv w:val="1"/>
      <w:marLeft w:val="0"/>
      <w:marRight w:val="0"/>
      <w:marTop w:val="0"/>
      <w:marBottom w:val="0"/>
      <w:divBdr>
        <w:top w:val="none" w:sz="0" w:space="0" w:color="auto"/>
        <w:left w:val="none" w:sz="0" w:space="0" w:color="auto"/>
        <w:bottom w:val="none" w:sz="0" w:space="0" w:color="auto"/>
        <w:right w:val="none" w:sz="0" w:space="0" w:color="auto"/>
      </w:divBdr>
    </w:div>
    <w:div w:id="386496210">
      <w:bodyDiv w:val="1"/>
      <w:marLeft w:val="0"/>
      <w:marRight w:val="0"/>
      <w:marTop w:val="0"/>
      <w:marBottom w:val="0"/>
      <w:divBdr>
        <w:top w:val="none" w:sz="0" w:space="0" w:color="auto"/>
        <w:left w:val="none" w:sz="0" w:space="0" w:color="auto"/>
        <w:bottom w:val="none" w:sz="0" w:space="0" w:color="auto"/>
        <w:right w:val="none" w:sz="0" w:space="0" w:color="auto"/>
      </w:divBdr>
    </w:div>
    <w:div w:id="398400976">
      <w:bodyDiv w:val="1"/>
      <w:marLeft w:val="0"/>
      <w:marRight w:val="0"/>
      <w:marTop w:val="0"/>
      <w:marBottom w:val="0"/>
      <w:divBdr>
        <w:top w:val="none" w:sz="0" w:space="0" w:color="auto"/>
        <w:left w:val="none" w:sz="0" w:space="0" w:color="auto"/>
        <w:bottom w:val="none" w:sz="0" w:space="0" w:color="auto"/>
        <w:right w:val="none" w:sz="0" w:space="0" w:color="auto"/>
      </w:divBdr>
    </w:div>
    <w:div w:id="455683475">
      <w:bodyDiv w:val="1"/>
      <w:marLeft w:val="0"/>
      <w:marRight w:val="0"/>
      <w:marTop w:val="0"/>
      <w:marBottom w:val="0"/>
      <w:divBdr>
        <w:top w:val="none" w:sz="0" w:space="0" w:color="auto"/>
        <w:left w:val="none" w:sz="0" w:space="0" w:color="auto"/>
        <w:bottom w:val="none" w:sz="0" w:space="0" w:color="auto"/>
        <w:right w:val="none" w:sz="0" w:space="0" w:color="auto"/>
      </w:divBdr>
    </w:div>
    <w:div w:id="493572640">
      <w:bodyDiv w:val="1"/>
      <w:marLeft w:val="0"/>
      <w:marRight w:val="0"/>
      <w:marTop w:val="0"/>
      <w:marBottom w:val="0"/>
      <w:divBdr>
        <w:top w:val="none" w:sz="0" w:space="0" w:color="auto"/>
        <w:left w:val="none" w:sz="0" w:space="0" w:color="auto"/>
        <w:bottom w:val="none" w:sz="0" w:space="0" w:color="auto"/>
        <w:right w:val="none" w:sz="0" w:space="0" w:color="auto"/>
      </w:divBdr>
    </w:div>
    <w:div w:id="535242631">
      <w:bodyDiv w:val="1"/>
      <w:marLeft w:val="0"/>
      <w:marRight w:val="0"/>
      <w:marTop w:val="0"/>
      <w:marBottom w:val="0"/>
      <w:divBdr>
        <w:top w:val="none" w:sz="0" w:space="0" w:color="auto"/>
        <w:left w:val="none" w:sz="0" w:space="0" w:color="auto"/>
        <w:bottom w:val="none" w:sz="0" w:space="0" w:color="auto"/>
        <w:right w:val="none" w:sz="0" w:space="0" w:color="auto"/>
      </w:divBdr>
    </w:div>
    <w:div w:id="564796903">
      <w:bodyDiv w:val="1"/>
      <w:marLeft w:val="0"/>
      <w:marRight w:val="0"/>
      <w:marTop w:val="0"/>
      <w:marBottom w:val="0"/>
      <w:divBdr>
        <w:top w:val="none" w:sz="0" w:space="0" w:color="auto"/>
        <w:left w:val="none" w:sz="0" w:space="0" w:color="auto"/>
        <w:bottom w:val="none" w:sz="0" w:space="0" w:color="auto"/>
        <w:right w:val="none" w:sz="0" w:space="0" w:color="auto"/>
      </w:divBdr>
      <w:divsChild>
        <w:div w:id="1165439313">
          <w:marLeft w:val="0"/>
          <w:marRight w:val="0"/>
          <w:marTop w:val="0"/>
          <w:marBottom w:val="0"/>
          <w:divBdr>
            <w:top w:val="none" w:sz="0" w:space="0" w:color="auto"/>
            <w:left w:val="none" w:sz="0" w:space="0" w:color="auto"/>
            <w:bottom w:val="none" w:sz="0" w:space="0" w:color="auto"/>
            <w:right w:val="none" w:sz="0" w:space="0" w:color="auto"/>
          </w:divBdr>
        </w:div>
        <w:div w:id="2114668146">
          <w:marLeft w:val="0"/>
          <w:marRight w:val="0"/>
          <w:marTop w:val="0"/>
          <w:marBottom w:val="0"/>
          <w:divBdr>
            <w:top w:val="none" w:sz="0" w:space="0" w:color="auto"/>
            <w:left w:val="none" w:sz="0" w:space="0" w:color="auto"/>
            <w:bottom w:val="none" w:sz="0" w:space="0" w:color="auto"/>
            <w:right w:val="none" w:sz="0" w:space="0" w:color="auto"/>
          </w:divBdr>
        </w:div>
      </w:divsChild>
    </w:div>
    <w:div w:id="609045895">
      <w:bodyDiv w:val="1"/>
      <w:marLeft w:val="0"/>
      <w:marRight w:val="0"/>
      <w:marTop w:val="0"/>
      <w:marBottom w:val="0"/>
      <w:divBdr>
        <w:top w:val="none" w:sz="0" w:space="0" w:color="auto"/>
        <w:left w:val="none" w:sz="0" w:space="0" w:color="auto"/>
        <w:bottom w:val="none" w:sz="0" w:space="0" w:color="auto"/>
        <w:right w:val="none" w:sz="0" w:space="0" w:color="auto"/>
      </w:divBdr>
    </w:div>
    <w:div w:id="630523059">
      <w:bodyDiv w:val="1"/>
      <w:marLeft w:val="0"/>
      <w:marRight w:val="0"/>
      <w:marTop w:val="0"/>
      <w:marBottom w:val="0"/>
      <w:divBdr>
        <w:top w:val="none" w:sz="0" w:space="0" w:color="auto"/>
        <w:left w:val="none" w:sz="0" w:space="0" w:color="auto"/>
        <w:bottom w:val="none" w:sz="0" w:space="0" w:color="auto"/>
        <w:right w:val="none" w:sz="0" w:space="0" w:color="auto"/>
      </w:divBdr>
      <w:divsChild>
        <w:div w:id="395250766">
          <w:marLeft w:val="0"/>
          <w:marRight w:val="0"/>
          <w:marTop w:val="0"/>
          <w:marBottom w:val="0"/>
          <w:divBdr>
            <w:top w:val="none" w:sz="0" w:space="0" w:color="auto"/>
            <w:left w:val="none" w:sz="0" w:space="0" w:color="auto"/>
            <w:bottom w:val="none" w:sz="0" w:space="0" w:color="auto"/>
            <w:right w:val="none" w:sz="0" w:space="0" w:color="auto"/>
          </w:divBdr>
        </w:div>
        <w:div w:id="207029719">
          <w:marLeft w:val="0"/>
          <w:marRight w:val="0"/>
          <w:marTop w:val="0"/>
          <w:marBottom w:val="0"/>
          <w:divBdr>
            <w:top w:val="none" w:sz="0" w:space="0" w:color="auto"/>
            <w:left w:val="none" w:sz="0" w:space="0" w:color="auto"/>
            <w:bottom w:val="none" w:sz="0" w:space="0" w:color="auto"/>
            <w:right w:val="none" w:sz="0" w:space="0" w:color="auto"/>
          </w:divBdr>
        </w:div>
        <w:div w:id="234098315">
          <w:marLeft w:val="0"/>
          <w:marRight w:val="0"/>
          <w:marTop w:val="0"/>
          <w:marBottom w:val="0"/>
          <w:divBdr>
            <w:top w:val="none" w:sz="0" w:space="0" w:color="auto"/>
            <w:left w:val="none" w:sz="0" w:space="0" w:color="auto"/>
            <w:bottom w:val="none" w:sz="0" w:space="0" w:color="auto"/>
            <w:right w:val="none" w:sz="0" w:space="0" w:color="auto"/>
          </w:divBdr>
        </w:div>
        <w:div w:id="1781873299">
          <w:marLeft w:val="0"/>
          <w:marRight w:val="0"/>
          <w:marTop w:val="0"/>
          <w:marBottom w:val="0"/>
          <w:divBdr>
            <w:top w:val="none" w:sz="0" w:space="0" w:color="auto"/>
            <w:left w:val="none" w:sz="0" w:space="0" w:color="auto"/>
            <w:bottom w:val="none" w:sz="0" w:space="0" w:color="auto"/>
            <w:right w:val="none" w:sz="0" w:space="0" w:color="auto"/>
          </w:divBdr>
        </w:div>
      </w:divsChild>
    </w:div>
    <w:div w:id="685443888">
      <w:bodyDiv w:val="1"/>
      <w:marLeft w:val="0"/>
      <w:marRight w:val="0"/>
      <w:marTop w:val="0"/>
      <w:marBottom w:val="0"/>
      <w:divBdr>
        <w:top w:val="none" w:sz="0" w:space="0" w:color="auto"/>
        <w:left w:val="none" w:sz="0" w:space="0" w:color="auto"/>
        <w:bottom w:val="none" w:sz="0" w:space="0" w:color="auto"/>
        <w:right w:val="none" w:sz="0" w:space="0" w:color="auto"/>
      </w:divBdr>
    </w:div>
    <w:div w:id="713654097">
      <w:bodyDiv w:val="1"/>
      <w:marLeft w:val="0"/>
      <w:marRight w:val="0"/>
      <w:marTop w:val="0"/>
      <w:marBottom w:val="0"/>
      <w:divBdr>
        <w:top w:val="none" w:sz="0" w:space="0" w:color="auto"/>
        <w:left w:val="none" w:sz="0" w:space="0" w:color="auto"/>
        <w:bottom w:val="none" w:sz="0" w:space="0" w:color="auto"/>
        <w:right w:val="none" w:sz="0" w:space="0" w:color="auto"/>
      </w:divBdr>
      <w:divsChild>
        <w:div w:id="919947116">
          <w:marLeft w:val="0"/>
          <w:marRight w:val="0"/>
          <w:marTop w:val="0"/>
          <w:marBottom w:val="0"/>
          <w:divBdr>
            <w:top w:val="none" w:sz="0" w:space="0" w:color="auto"/>
            <w:left w:val="none" w:sz="0" w:space="0" w:color="auto"/>
            <w:bottom w:val="none" w:sz="0" w:space="0" w:color="auto"/>
            <w:right w:val="none" w:sz="0" w:space="0" w:color="auto"/>
          </w:divBdr>
          <w:divsChild>
            <w:div w:id="1979022699">
              <w:marLeft w:val="0"/>
              <w:marRight w:val="0"/>
              <w:marTop w:val="0"/>
              <w:marBottom w:val="0"/>
              <w:divBdr>
                <w:top w:val="none" w:sz="0" w:space="0" w:color="auto"/>
                <w:left w:val="none" w:sz="0" w:space="0" w:color="auto"/>
                <w:bottom w:val="none" w:sz="0" w:space="0" w:color="auto"/>
                <w:right w:val="none" w:sz="0" w:space="0" w:color="auto"/>
              </w:divBdr>
            </w:div>
            <w:div w:id="1675260377">
              <w:marLeft w:val="0"/>
              <w:marRight w:val="0"/>
              <w:marTop w:val="0"/>
              <w:marBottom w:val="0"/>
              <w:divBdr>
                <w:top w:val="none" w:sz="0" w:space="0" w:color="auto"/>
                <w:left w:val="none" w:sz="0" w:space="0" w:color="auto"/>
                <w:bottom w:val="none" w:sz="0" w:space="0" w:color="auto"/>
                <w:right w:val="none" w:sz="0" w:space="0" w:color="auto"/>
              </w:divBdr>
              <w:divsChild>
                <w:div w:id="1308172666">
                  <w:marLeft w:val="0"/>
                  <w:marRight w:val="0"/>
                  <w:marTop w:val="0"/>
                  <w:marBottom w:val="0"/>
                  <w:divBdr>
                    <w:top w:val="none" w:sz="0" w:space="0" w:color="auto"/>
                    <w:left w:val="none" w:sz="0" w:space="0" w:color="auto"/>
                    <w:bottom w:val="none" w:sz="0" w:space="0" w:color="auto"/>
                    <w:right w:val="none" w:sz="0" w:space="0" w:color="auto"/>
                  </w:divBdr>
                  <w:divsChild>
                    <w:div w:id="83611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518741">
      <w:bodyDiv w:val="1"/>
      <w:marLeft w:val="0"/>
      <w:marRight w:val="0"/>
      <w:marTop w:val="0"/>
      <w:marBottom w:val="0"/>
      <w:divBdr>
        <w:top w:val="none" w:sz="0" w:space="0" w:color="auto"/>
        <w:left w:val="none" w:sz="0" w:space="0" w:color="auto"/>
        <w:bottom w:val="none" w:sz="0" w:space="0" w:color="auto"/>
        <w:right w:val="none" w:sz="0" w:space="0" w:color="auto"/>
      </w:divBdr>
    </w:div>
    <w:div w:id="855266682">
      <w:bodyDiv w:val="1"/>
      <w:marLeft w:val="0"/>
      <w:marRight w:val="0"/>
      <w:marTop w:val="0"/>
      <w:marBottom w:val="0"/>
      <w:divBdr>
        <w:top w:val="none" w:sz="0" w:space="0" w:color="auto"/>
        <w:left w:val="none" w:sz="0" w:space="0" w:color="auto"/>
        <w:bottom w:val="none" w:sz="0" w:space="0" w:color="auto"/>
        <w:right w:val="none" w:sz="0" w:space="0" w:color="auto"/>
      </w:divBdr>
    </w:div>
    <w:div w:id="909731930">
      <w:bodyDiv w:val="1"/>
      <w:marLeft w:val="0"/>
      <w:marRight w:val="0"/>
      <w:marTop w:val="0"/>
      <w:marBottom w:val="0"/>
      <w:divBdr>
        <w:top w:val="none" w:sz="0" w:space="0" w:color="auto"/>
        <w:left w:val="none" w:sz="0" w:space="0" w:color="auto"/>
        <w:bottom w:val="none" w:sz="0" w:space="0" w:color="auto"/>
        <w:right w:val="none" w:sz="0" w:space="0" w:color="auto"/>
      </w:divBdr>
      <w:divsChild>
        <w:div w:id="1499424977">
          <w:marLeft w:val="0"/>
          <w:marRight w:val="0"/>
          <w:marTop w:val="0"/>
          <w:marBottom w:val="0"/>
          <w:divBdr>
            <w:top w:val="none" w:sz="0" w:space="0" w:color="auto"/>
            <w:left w:val="none" w:sz="0" w:space="0" w:color="auto"/>
            <w:bottom w:val="none" w:sz="0" w:space="0" w:color="auto"/>
            <w:right w:val="none" w:sz="0" w:space="0" w:color="auto"/>
          </w:divBdr>
        </w:div>
      </w:divsChild>
    </w:div>
    <w:div w:id="931207290">
      <w:bodyDiv w:val="1"/>
      <w:marLeft w:val="0"/>
      <w:marRight w:val="0"/>
      <w:marTop w:val="0"/>
      <w:marBottom w:val="0"/>
      <w:divBdr>
        <w:top w:val="none" w:sz="0" w:space="0" w:color="auto"/>
        <w:left w:val="none" w:sz="0" w:space="0" w:color="auto"/>
        <w:bottom w:val="none" w:sz="0" w:space="0" w:color="auto"/>
        <w:right w:val="none" w:sz="0" w:space="0" w:color="auto"/>
      </w:divBdr>
      <w:divsChild>
        <w:div w:id="915548911">
          <w:marLeft w:val="0"/>
          <w:marRight w:val="0"/>
          <w:marTop w:val="0"/>
          <w:marBottom w:val="0"/>
          <w:divBdr>
            <w:top w:val="none" w:sz="0" w:space="0" w:color="auto"/>
            <w:left w:val="none" w:sz="0" w:space="0" w:color="auto"/>
            <w:bottom w:val="none" w:sz="0" w:space="0" w:color="auto"/>
            <w:right w:val="none" w:sz="0" w:space="0" w:color="auto"/>
          </w:divBdr>
        </w:div>
      </w:divsChild>
    </w:div>
    <w:div w:id="975140702">
      <w:bodyDiv w:val="1"/>
      <w:marLeft w:val="0"/>
      <w:marRight w:val="0"/>
      <w:marTop w:val="0"/>
      <w:marBottom w:val="0"/>
      <w:divBdr>
        <w:top w:val="none" w:sz="0" w:space="0" w:color="auto"/>
        <w:left w:val="none" w:sz="0" w:space="0" w:color="auto"/>
        <w:bottom w:val="none" w:sz="0" w:space="0" w:color="auto"/>
        <w:right w:val="none" w:sz="0" w:space="0" w:color="auto"/>
      </w:divBdr>
      <w:divsChild>
        <w:div w:id="314185471">
          <w:marLeft w:val="0"/>
          <w:marRight w:val="0"/>
          <w:marTop w:val="0"/>
          <w:marBottom w:val="0"/>
          <w:divBdr>
            <w:top w:val="none" w:sz="0" w:space="0" w:color="auto"/>
            <w:left w:val="none" w:sz="0" w:space="0" w:color="auto"/>
            <w:bottom w:val="none" w:sz="0" w:space="0" w:color="auto"/>
            <w:right w:val="none" w:sz="0" w:space="0" w:color="auto"/>
          </w:divBdr>
        </w:div>
      </w:divsChild>
    </w:div>
    <w:div w:id="1003362244">
      <w:bodyDiv w:val="1"/>
      <w:marLeft w:val="0"/>
      <w:marRight w:val="0"/>
      <w:marTop w:val="0"/>
      <w:marBottom w:val="0"/>
      <w:divBdr>
        <w:top w:val="none" w:sz="0" w:space="0" w:color="auto"/>
        <w:left w:val="none" w:sz="0" w:space="0" w:color="auto"/>
        <w:bottom w:val="none" w:sz="0" w:space="0" w:color="auto"/>
        <w:right w:val="none" w:sz="0" w:space="0" w:color="auto"/>
      </w:divBdr>
    </w:div>
    <w:div w:id="1049769278">
      <w:bodyDiv w:val="1"/>
      <w:marLeft w:val="0"/>
      <w:marRight w:val="0"/>
      <w:marTop w:val="0"/>
      <w:marBottom w:val="0"/>
      <w:divBdr>
        <w:top w:val="none" w:sz="0" w:space="0" w:color="auto"/>
        <w:left w:val="none" w:sz="0" w:space="0" w:color="auto"/>
        <w:bottom w:val="none" w:sz="0" w:space="0" w:color="auto"/>
        <w:right w:val="none" w:sz="0" w:space="0" w:color="auto"/>
      </w:divBdr>
      <w:divsChild>
        <w:div w:id="1659842355">
          <w:marLeft w:val="0"/>
          <w:marRight w:val="0"/>
          <w:marTop w:val="0"/>
          <w:marBottom w:val="0"/>
          <w:divBdr>
            <w:top w:val="none" w:sz="0" w:space="0" w:color="auto"/>
            <w:left w:val="none" w:sz="0" w:space="0" w:color="auto"/>
            <w:bottom w:val="none" w:sz="0" w:space="0" w:color="auto"/>
            <w:right w:val="none" w:sz="0" w:space="0" w:color="auto"/>
          </w:divBdr>
        </w:div>
      </w:divsChild>
    </w:div>
    <w:div w:id="1081871112">
      <w:bodyDiv w:val="1"/>
      <w:marLeft w:val="0"/>
      <w:marRight w:val="0"/>
      <w:marTop w:val="0"/>
      <w:marBottom w:val="0"/>
      <w:divBdr>
        <w:top w:val="none" w:sz="0" w:space="0" w:color="auto"/>
        <w:left w:val="none" w:sz="0" w:space="0" w:color="auto"/>
        <w:bottom w:val="none" w:sz="0" w:space="0" w:color="auto"/>
        <w:right w:val="none" w:sz="0" w:space="0" w:color="auto"/>
      </w:divBdr>
      <w:divsChild>
        <w:div w:id="735474754">
          <w:marLeft w:val="0"/>
          <w:marRight w:val="0"/>
          <w:marTop w:val="0"/>
          <w:marBottom w:val="0"/>
          <w:divBdr>
            <w:top w:val="none" w:sz="0" w:space="0" w:color="auto"/>
            <w:left w:val="none" w:sz="0" w:space="0" w:color="auto"/>
            <w:bottom w:val="none" w:sz="0" w:space="0" w:color="auto"/>
            <w:right w:val="none" w:sz="0" w:space="0" w:color="auto"/>
          </w:divBdr>
        </w:div>
      </w:divsChild>
    </w:div>
    <w:div w:id="1226180131">
      <w:bodyDiv w:val="1"/>
      <w:marLeft w:val="0"/>
      <w:marRight w:val="0"/>
      <w:marTop w:val="0"/>
      <w:marBottom w:val="0"/>
      <w:divBdr>
        <w:top w:val="none" w:sz="0" w:space="0" w:color="auto"/>
        <w:left w:val="none" w:sz="0" w:space="0" w:color="auto"/>
        <w:bottom w:val="none" w:sz="0" w:space="0" w:color="auto"/>
        <w:right w:val="none" w:sz="0" w:space="0" w:color="auto"/>
      </w:divBdr>
    </w:div>
    <w:div w:id="1344668628">
      <w:bodyDiv w:val="1"/>
      <w:marLeft w:val="0"/>
      <w:marRight w:val="0"/>
      <w:marTop w:val="0"/>
      <w:marBottom w:val="0"/>
      <w:divBdr>
        <w:top w:val="none" w:sz="0" w:space="0" w:color="auto"/>
        <w:left w:val="none" w:sz="0" w:space="0" w:color="auto"/>
        <w:bottom w:val="none" w:sz="0" w:space="0" w:color="auto"/>
        <w:right w:val="none" w:sz="0" w:space="0" w:color="auto"/>
      </w:divBdr>
      <w:divsChild>
        <w:div w:id="1935085718">
          <w:marLeft w:val="0"/>
          <w:marRight w:val="0"/>
          <w:marTop w:val="0"/>
          <w:marBottom w:val="0"/>
          <w:divBdr>
            <w:top w:val="none" w:sz="0" w:space="0" w:color="auto"/>
            <w:left w:val="none" w:sz="0" w:space="0" w:color="auto"/>
            <w:bottom w:val="none" w:sz="0" w:space="0" w:color="auto"/>
            <w:right w:val="none" w:sz="0" w:space="0" w:color="auto"/>
          </w:divBdr>
        </w:div>
      </w:divsChild>
    </w:div>
    <w:div w:id="1425885198">
      <w:bodyDiv w:val="1"/>
      <w:marLeft w:val="0"/>
      <w:marRight w:val="0"/>
      <w:marTop w:val="0"/>
      <w:marBottom w:val="0"/>
      <w:divBdr>
        <w:top w:val="none" w:sz="0" w:space="0" w:color="auto"/>
        <w:left w:val="none" w:sz="0" w:space="0" w:color="auto"/>
        <w:bottom w:val="none" w:sz="0" w:space="0" w:color="auto"/>
        <w:right w:val="none" w:sz="0" w:space="0" w:color="auto"/>
      </w:divBdr>
    </w:div>
    <w:div w:id="1465539604">
      <w:bodyDiv w:val="1"/>
      <w:marLeft w:val="0"/>
      <w:marRight w:val="0"/>
      <w:marTop w:val="0"/>
      <w:marBottom w:val="0"/>
      <w:divBdr>
        <w:top w:val="none" w:sz="0" w:space="0" w:color="auto"/>
        <w:left w:val="none" w:sz="0" w:space="0" w:color="auto"/>
        <w:bottom w:val="none" w:sz="0" w:space="0" w:color="auto"/>
        <w:right w:val="none" w:sz="0" w:space="0" w:color="auto"/>
      </w:divBdr>
      <w:divsChild>
        <w:div w:id="597714867">
          <w:marLeft w:val="0"/>
          <w:marRight w:val="0"/>
          <w:marTop w:val="0"/>
          <w:marBottom w:val="0"/>
          <w:divBdr>
            <w:top w:val="none" w:sz="0" w:space="0" w:color="auto"/>
            <w:left w:val="none" w:sz="0" w:space="0" w:color="auto"/>
            <w:bottom w:val="none" w:sz="0" w:space="0" w:color="auto"/>
            <w:right w:val="none" w:sz="0" w:space="0" w:color="auto"/>
          </w:divBdr>
        </w:div>
      </w:divsChild>
    </w:div>
    <w:div w:id="1520315152">
      <w:bodyDiv w:val="1"/>
      <w:marLeft w:val="0"/>
      <w:marRight w:val="0"/>
      <w:marTop w:val="0"/>
      <w:marBottom w:val="0"/>
      <w:divBdr>
        <w:top w:val="none" w:sz="0" w:space="0" w:color="auto"/>
        <w:left w:val="none" w:sz="0" w:space="0" w:color="auto"/>
        <w:bottom w:val="none" w:sz="0" w:space="0" w:color="auto"/>
        <w:right w:val="none" w:sz="0" w:space="0" w:color="auto"/>
      </w:divBdr>
    </w:div>
    <w:div w:id="1700427699">
      <w:bodyDiv w:val="1"/>
      <w:marLeft w:val="0"/>
      <w:marRight w:val="0"/>
      <w:marTop w:val="0"/>
      <w:marBottom w:val="0"/>
      <w:divBdr>
        <w:top w:val="none" w:sz="0" w:space="0" w:color="auto"/>
        <w:left w:val="none" w:sz="0" w:space="0" w:color="auto"/>
        <w:bottom w:val="none" w:sz="0" w:space="0" w:color="auto"/>
        <w:right w:val="none" w:sz="0" w:space="0" w:color="auto"/>
      </w:divBdr>
    </w:div>
    <w:div w:id="1738822019">
      <w:bodyDiv w:val="1"/>
      <w:marLeft w:val="0"/>
      <w:marRight w:val="0"/>
      <w:marTop w:val="0"/>
      <w:marBottom w:val="0"/>
      <w:divBdr>
        <w:top w:val="none" w:sz="0" w:space="0" w:color="auto"/>
        <w:left w:val="none" w:sz="0" w:space="0" w:color="auto"/>
        <w:bottom w:val="none" w:sz="0" w:space="0" w:color="auto"/>
        <w:right w:val="none" w:sz="0" w:space="0" w:color="auto"/>
      </w:divBdr>
    </w:div>
    <w:div w:id="1817063815">
      <w:bodyDiv w:val="1"/>
      <w:marLeft w:val="0"/>
      <w:marRight w:val="0"/>
      <w:marTop w:val="0"/>
      <w:marBottom w:val="0"/>
      <w:divBdr>
        <w:top w:val="none" w:sz="0" w:space="0" w:color="auto"/>
        <w:left w:val="none" w:sz="0" w:space="0" w:color="auto"/>
        <w:bottom w:val="none" w:sz="0" w:space="0" w:color="auto"/>
        <w:right w:val="none" w:sz="0" w:space="0" w:color="auto"/>
      </w:divBdr>
    </w:div>
    <w:div w:id="2016223551">
      <w:bodyDiv w:val="1"/>
      <w:marLeft w:val="0"/>
      <w:marRight w:val="0"/>
      <w:marTop w:val="0"/>
      <w:marBottom w:val="0"/>
      <w:divBdr>
        <w:top w:val="none" w:sz="0" w:space="0" w:color="auto"/>
        <w:left w:val="none" w:sz="0" w:space="0" w:color="auto"/>
        <w:bottom w:val="none" w:sz="0" w:space="0" w:color="auto"/>
        <w:right w:val="none" w:sz="0" w:space="0" w:color="auto"/>
      </w:divBdr>
      <w:divsChild>
        <w:div w:id="1188252083">
          <w:marLeft w:val="0"/>
          <w:marRight w:val="0"/>
          <w:marTop w:val="0"/>
          <w:marBottom w:val="0"/>
          <w:divBdr>
            <w:top w:val="none" w:sz="0" w:space="0" w:color="auto"/>
            <w:left w:val="none" w:sz="0" w:space="0" w:color="auto"/>
            <w:bottom w:val="none" w:sz="0" w:space="0" w:color="auto"/>
            <w:right w:val="none" w:sz="0" w:space="0" w:color="auto"/>
          </w:divBdr>
        </w:div>
        <w:div w:id="1869945486">
          <w:marLeft w:val="0"/>
          <w:marRight w:val="0"/>
          <w:marTop w:val="0"/>
          <w:marBottom w:val="0"/>
          <w:divBdr>
            <w:top w:val="none" w:sz="0" w:space="0" w:color="auto"/>
            <w:left w:val="none" w:sz="0" w:space="0" w:color="auto"/>
            <w:bottom w:val="none" w:sz="0" w:space="0" w:color="auto"/>
            <w:right w:val="none" w:sz="0" w:space="0" w:color="auto"/>
          </w:divBdr>
        </w:div>
        <w:div w:id="1494487418">
          <w:marLeft w:val="0"/>
          <w:marRight w:val="0"/>
          <w:marTop w:val="0"/>
          <w:marBottom w:val="0"/>
          <w:divBdr>
            <w:top w:val="none" w:sz="0" w:space="0" w:color="auto"/>
            <w:left w:val="none" w:sz="0" w:space="0" w:color="auto"/>
            <w:bottom w:val="none" w:sz="0" w:space="0" w:color="auto"/>
            <w:right w:val="none" w:sz="0" w:space="0" w:color="auto"/>
          </w:divBdr>
        </w:div>
      </w:divsChild>
    </w:div>
    <w:div w:id="208059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petersen@qmul.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QMUL Document" ma:contentTypeID="0x0101005EA864BF41DF8A41860E925F5B29BCF5008127CD0FB9339D429ABC91E731868D10" ma:contentTypeVersion="26" ma:contentTypeDescription="" ma:contentTypeScope="" ma:versionID="aa9f07ef50c700c9479d1812a54b3e4d">
  <xsd:schema xmlns:xsd="http://www.w3.org/2001/XMLSchema" xmlns:xs="http://www.w3.org/2001/XMLSchema" xmlns:p="http://schemas.microsoft.com/office/2006/metadata/properties" xmlns:ns1="http://schemas.microsoft.com/sharepoint/v3" xmlns:ns2="d5efd484-15aa-41a0-83f6-0646502cb6d6" xmlns:ns3="857ad0e4-69ee-449d-afa6-c02358b38cdd" targetNamespace="http://schemas.microsoft.com/office/2006/metadata/properties" ma:root="true" ma:fieldsID="23800c8c2e59be265d4542e5aff7b1af" ns1:_="" ns2:_="" ns3:_="">
    <xsd:import namespace="http://schemas.microsoft.com/sharepoint/v3"/>
    <xsd:import namespace="d5efd484-15aa-41a0-83f6-0646502cb6d6"/>
    <xsd:import namespace="857ad0e4-69ee-449d-afa6-c02358b38cdd"/>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MediaServiceAutoKeyPoints" minOccurs="0"/>
                <xsd:element ref="ns3:MediaServiceKeyPoint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taxonomy="true" ma:internalName="QMULDocumentStatusTaxHTField0" ma:taxonomyFieldName="QMULDocumentStatus" ma:displayName="Document Status" ma:default="" ma:fieldId="{083bdfb7-9f4e-4bc9-b582-62ed6b950f9e}" ma:sspId="9c18f9b8-5ae4-4f0b-a238-a922c51e2dda" ma:termSetId="780aba48-6c17-4ca0-84b9-f0207a095630" ma:anchorId="00000000-0000-0000-0000-000000000000" ma:open="false" ma:isKeyword="false">
      <xsd:complexType>
        <xsd:sequence>
          <xsd:element ref="pc:Terms" minOccurs="0" maxOccurs="1"/>
        </xsd:sequence>
      </xsd:complexType>
    </xsd:element>
    <xsd:element name="QMULDepartmentTaxHTField0" ma:index="10" nillable="true" ma:taxonomy="true" ma:internalName="QMULDepartmentTaxHTField0" ma:taxonomyFieldName="QMULDepartment" ma:displayName="Department" ma:readOnly="false" ma:default="" ma:fieldId="{2a7d89f9-5f8e-4c42-ab4f-aa1fc3002ea0}" ma:sspId="9c18f9b8-5ae4-4f0b-a238-a922c51e2dda" ma:termSetId="28874c57-2df5-45e8-a804-d15afc96d4ee" ma:anchorId="00000000-0000-0000-0000-000000000000" ma:open="false" ma:isKeyword="false">
      <xsd:complexType>
        <xsd:sequence>
          <xsd:element ref="pc:Terms" minOccurs="0" maxOccurs="1"/>
        </xsd:sequence>
      </xsd:complexType>
    </xsd:element>
    <xsd:element name="QMULSchoolTaxHTField0" ma:index="12" nillable="true" ma:taxonomy="true" ma:internalName="QMULSchoolTaxHTField0" ma:taxonomyFieldName="QMULSchool" ma:displayName="School" ma:readOnly="false" ma:default="" ma:fieldId="{46346f8e-3161-4021-8b14-3dcca2e3ca8d}" ma:sspId="9c18f9b8-5ae4-4f0b-a238-a922c51e2dda" ma:termSetId="0f9f7e9f-7d6b-4cae-9193-a3e3200f87de" ma:anchorId="00000000-0000-0000-0000-000000000000" ma:open="false" ma:isKeyword="false">
      <xsd:complexType>
        <xsd:sequence>
          <xsd:element ref="pc:Terms" minOccurs="0" maxOccurs="1"/>
        </xsd:sequence>
      </xsd:complexType>
    </xsd:element>
    <xsd:element name="QMULDocumentTypeTaxHTField0" ma:index="14" nillable="true" ma:taxonomy="true" ma:internalName="QMULDocumentTypeTaxHTField0" ma:taxonomyFieldName="QMULDocumentType" ma:displayName="Document Type" ma:default="" ma:fieldId="{2596c3af-0d77-4ea4-a15d-d3f71457b096}" ma:sspId="9c18f9b8-5ae4-4f0b-a238-a922c51e2dda" ma:termSetId="8ec3f1bd-c4f8-46a7-ae88-878ed3be39d1" ma:anchorId="00000000-0000-0000-0000-000000000000" ma:open="false" ma:isKeyword="false">
      <xsd:complexType>
        <xsd:sequence>
          <xsd:element ref="pc:Terms" minOccurs="0" maxOccurs="1"/>
        </xsd:sequence>
      </xsd:complexType>
    </xsd:element>
    <xsd:element name="QMULLocationTaxHTField0" ma:index="16" nillable="true" ma:taxonomy="true" ma:internalName="QMULLocationTaxHTField0" ma:taxonomyFieldName="QMULLocation" ma:displayName="Location" ma:default="" ma:fieldId="{29b985f4-a05e-4f39-b5da-e9fb81ddaa79}" ma:sspId="9c18f9b8-5ae4-4f0b-a238-a922c51e2dda" ma:termSetId="5327f1c4-618f-4317-b197-fc29da39fa66" ma:anchorId="00000000-0000-0000-0000-000000000000" ma:open="false" ma:isKeyword="false">
      <xsd:complexType>
        <xsd:sequence>
          <xsd:element ref="pc:Terms" minOccurs="0" maxOccurs="1"/>
        </xsd:sequence>
      </xsd:complexType>
    </xsd:element>
    <xsd:element name="QMULInformationClassificationTaxHTField0" ma:index="18" nillable="true" ma:taxonomy="true" ma:internalName="QMULInformationClassificationTaxHTField0" ma:taxonomyFieldName="QMULInformationClassification" ma:displayName="Information Classification" ma:default="1;#Protect|9124d8d9-0c1c-41e9-aa14-aba001e9a028" ma:fieldId="{57b3469a-2ea1-4a06-a2d1-c99ce62a5d6f}" ma:sspId="9c18f9b8-5ae4-4f0b-a238-a922c51e2dda" ma:termSetId="a3d7b326-4e5e-4e73-95fa-6245adfab113" ma:anchorId="00000000-0000-0000-0000-000000000000" ma:open="false" ma:isKeyword="false">
      <xsd:complexType>
        <xsd:sequence>
          <xsd:element ref="pc:Terms" minOccurs="0" maxOccurs="1"/>
        </xsd:sequence>
      </xsd:complex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5af7bfce-4b3f-48f0-b63b-a201e29f284f}" ma:internalName="TaxCatchAll" ma:showField="CatchAllData" ma:web="95ac5e16-e67b-4f18-bf74-2ef1ce453655">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5af7bfce-4b3f-48f0-b63b-a201e29f284f}" ma:internalName="TaxCatchAllLabel" ma:readOnly="true" ma:showField="CatchAllDataLabel" ma:web="95ac5e16-e67b-4f18-bf74-2ef1ce4536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7ad0e4-69ee-449d-afa6-c02358b38cdd" elementFormDefault="qualified">
    <xsd:import namespace="http://schemas.microsoft.com/office/2006/documentManagement/types"/>
    <xsd:import namespace="http://schemas.microsoft.com/office/infopath/2007/PartnerControls"/>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c18f9b8-5ae4-4f0b-a238-a922c51e2dda" ContentTypeId="0x0101005EA864BF41DF8A41860E925F5B29BCF5" PreviousValue="false"/>
</file>

<file path=customXml/item4.xml><?xml version="1.0" encoding="utf-8"?>
<p:properties xmlns:p="http://schemas.microsoft.com/office/2006/metadata/properties" xmlns:xsi="http://www.w3.org/2001/XMLSchema-instance" xmlns:pc="http://schemas.microsoft.com/office/infopath/2007/PartnerControls">
  <documentManagement>
    <QMULInformationClassificationTaxHTField0 xmlns="http://schemas.microsoft.com/sharepoint/v3">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QMULInformationClassificationTaxHTField0>
    <QMULSchoolTaxHTField0 xmlns="http://schemas.microsoft.com/sharepoint/v3">
      <Terms xmlns="http://schemas.microsoft.com/office/infopath/2007/PartnerControls"/>
    </QMULSchoolTaxHTField0>
    <QMULDocumentTypeTaxHTField0 xmlns="http://schemas.microsoft.com/sharepoint/v3">
      <Terms xmlns="http://schemas.microsoft.com/office/infopath/2007/PartnerControls"/>
    </QMULDocumentTypeTaxHTField0>
    <QMULReviewDate xmlns="http://schemas.microsoft.com/sharepoint/v3" xsi:nil="true"/>
    <QMULOwner xmlns="http://schemas.microsoft.com/sharepoint/v3">
      <UserInfo>
        <DisplayName/>
        <AccountId xsi:nil="true"/>
        <AccountType/>
      </UserInfo>
    </QMULOwner>
    <QMULDepartmentTaxHTField0 xmlns="http://schemas.microsoft.com/sharepoint/v3">
      <Terms xmlns="http://schemas.microsoft.com/office/infopath/2007/PartnerControls"/>
    </QMULDepartmentTaxHTField0>
    <QMULAcademicYear xmlns="http://schemas.microsoft.com/sharepoint/v3" xsi:nil="true"/>
    <QMULLocationTaxHTField0 xmlns="http://schemas.microsoft.com/sharepoint/v3">
      <Terms xmlns="http://schemas.microsoft.com/office/infopath/2007/PartnerControls"/>
    </QMULLocationTaxHTField0>
    <QMULDocumentStatusTaxHTField0 xmlns="http://schemas.microsoft.com/sharepoint/v3">
      <Terms xmlns="http://schemas.microsoft.com/office/infopath/2007/PartnerControls"/>
    </QMULDocumentStatusTaxHTField0>
    <QMULProject xmlns="http://schemas.microsoft.com/sharepoint/v3" xsi:nil="true"/>
    <TaxKeywordTaxHTField xmlns="d5efd484-15aa-41a0-83f6-0646502cb6d6">
      <Terms xmlns="http://schemas.microsoft.com/office/infopath/2007/PartnerControls"/>
    </TaxKeywordTaxHTField>
    <TaxCatchAll xmlns="d5efd484-15aa-41a0-83f6-0646502cb6d6">
      <Value>1</Value>
    </TaxCatchAl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2B17C-B2CD-4085-842E-59DAB6B15A46}">
  <ds:schemaRefs>
    <ds:schemaRef ds:uri="http://schemas.microsoft.com/sharepoint/v3/contenttype/forms"/>
  </ds:schemaRefs>
</ds:datastoreItem>
</file>

<file path=customXml/itemProps2.xml><?xml version="1.0" encoding="utf-8"?>
<ds:datastoreItem xmlns:ds="http://schemas.openxmlformats.org/officeDocument/2006/customXml" ds:itemID="{DBCD188C-2502-464B-BA3D-F7A6CE409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efd484-15aa-41a0-83f6-0646502cb6d6"/>
    <ds:schemaRef ds:uri="857ad0e4-69ee-449d-afa6-c02358b38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5DD7C-5A2D-4265-897B-D22EA1D36FBA}">
  <ds:schemaRefs>
    <ds:schemaRef ds:uri="Microsoft.SharePoint.Taxonomy.ContentTypeSync"/>
  </ds:schemaRefs>
</ds:datastoreItem>
</file>

<file path=customXml/itemProps4.xml><?xml version="1.0" encoding="utf-8"?>
<ds:datastoreItem xmlns:ds="http://schemas.openxmlformats.org/officeDocument/2006/customXml" ds:itemID="{F278F317-7BC9-4198-A688-C769E0665C36}">
  <ds:schemaRefs>
    <ds:schemaRef ds:uri="http://purl.org/dc/terms/"/>
    <ds:schemaRef ds:uri="http://schemas.microsoft.com/sharepoint/v3"/>
    <ds:schemaRef ds:uri="http://www.w3.org/XML/1998/namespace"/>
    <ds:schemaRef ds:uri="d5efd484-15aa-41a0-83f6-0646502cb6d6"/>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857ad0e4-69ee-449d-afa6-c02358b38cdd"/>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AD853D48-A61A-4CD2-AF2D-282C6398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30780</Words>
  <Characters>175447</Characters>
  <Application>Microsoft Office Word</Application>
  <DocSecurity>4</DocSecurity>
  <Lines>1462</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Raisi-Estabragh</dc:creator>
  <cp:keywords/>
  <dc:description/>
  <cp:lastModifiedBy>Karen Drake</cp:lastModifiedBy>
  <cp:revision>2</cp:revision>
  <cp:lastPrinted>2021-11-29T09:52:00Z</cp:lastPrinted>
  <dcterms:created xsi:type="dcterms:W3CDTF">2021-11-29T11:28:00Z</dcterms:created>
  <dcterms:modified xsi:type="dcterms:W3CDTF">2021-11-29T11:28:00Z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0x0101005EA864BF41DF8A41860E925F5B29BCF5008127CD0FB9339D429ABC91E731868D10</vt:lpwstr>
  </property>
  <property fmtid="{D5CDD505-2E9C-101B-9397-08002B2CF9AE}" pid="3" name="QMULSchool">
    <vt:lpwstr/>
  </property>
  <property fmtid="{D5CDD505-2E9C-101B-9397-08002B2CF9AE}" pid="4" name="TaxKeyword">
    <vt:lpwstr/>
  </property>
  <property fmtid="{D5CDD505-2E9C-101B-9397-08002B2CF9AE}" pid="5" name="QMULDocumentStatus">
    <vt:lpwstr/>
  </property>
  <property fmtid="{D5CDD505-2E9C-101B-9397-08002B2CF9AE}" pid="6" name="QMULInformationClassification">
    <vt:lpwstr>1;#Protect|9124d8d9-0c1c-41e9-aa14-aba001e9a028</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Mendeley Recent Style Id 0_1">
    <vt:lpwstr>http://www.zotero.org/styles/aging-clinical-and-experimental-research</vt:lpwstr>
  </property>
  <property fmtid="{D5CDD505-2E9C-101B-9397-08002B2CF9AE}" pid="11" name="Mendeley Recent Style Name 0_1">
    <vt:lpwstr>Aging Clinical and Experimental Research</vt:lpwstr>
  </property>
  <property fmtid="{D5CDD505-2E9C-101B-9397-08002B2CF9AE}" pid="12" name="Mendeley Recent Style Id 1_1">
    <vt:lpwstr>http://www.zotero.org/styles/american-medical-association</vt:lpwstr>
  </property>
  <property fmtid="{D5CDD505-2E9C-101B-9397-08002B2CF9AE}" pid="13" name="Mendeley Recent Style Name 1_1">
    <vt:lpwstr>American Medical Association 11th edition</vt:lpwstr>
  </property>
  <property fmtid="{D5CDD505-2E9C-101B-9397-08002B2CF9AE}" pid="14" name="Mendeley Recent Style Id 2_1">
    <vt:lpwstr>http://www.zotero.org/styles/american-political-science-association</vt:lpwstr>
  </property>
  <property fmtid="{D5CDD505-2E9C-101B-9397-08002B2CF9AE}" pid="15" name="Mendeley Recent Style Name 2_1">
    <vt:lpwstr>American Political Science Association</vt:lpwstr>
  </property>
  <property fmtid="{D5CDD505-2E9C-101B-9397-08002B2CF9AE}" pid="16" name="Mendeley Recent Style Id 3_1">
    <vt:lpwstr>http://www.zotero.org/styles/american-sociological-association</vt:lpwstr>
  </property>
  <property fmtid="{D5CDD505-2E9C-101B-9397-08002B2CF9AE}" pid="17" name="Mendeley Recent Style Name 3_1">
    <vt:lpwstr>American Sociological Association 6th edition</vt:lpwstr>
  </property>
  <property fmtid="{D5CDD505-2E9C-101B-9397-08002B2CF9AE}" pid="18" name="Mendeley Recent Style Id 4_1">
    <vt:lpwstr>http://www.zotero.org/styles/chicago-author-date</vt:lpwstr>
  </property>
  <property fmtid="{D5CDD505-2E9C-101B-9397-08002B2CF9AE}" pid="19" name="Mendeley Recent Style Name 4_1">
    <vt:lpwstr>Chicago Manual of Style 17th edition (author-date)</vt:lpwstr>
  </property>
  <property fmtid="{D5CDD505-2E9C-101B-9397-08002B2CF9AE}" pid="20" name="Mendeley Recent Style Id 5_1">
    <vt:lpwstr>http://www.zotero.org/styles/european-heart-journal</vt:lpwstr>
  </property>
  <property fmtid="{D5CDD505-2E9C-101B-9397-08002B2CF9AE}" pid="21" name="Mendeley Recent Style Name 5_1">
    <vt:lpwstr>European Heart Journal</vt:lpwstr>
  </property>
  <property fmtid="{D5CDD505-2E9C-101B-9397-08002B2CF9AE}" pid="22" name="Mendeley Recent Style Id 6_1">
    <vt:lpwstr>http://www.zotero.org/styles/european-heart-journal-cardiovascular-imaging</vt:lpwstr>
  </property>
  <property fmtid="{D5CDD505-2E9C-101B-9397-08002B2CF9AE}" pid="23" name="Mendeley Recent Style Name 6_1">
    <vt:lpwstr>European Heart Journal - Cardiovascular Imaging</vt:lpwstr>
  </property>
  <property fmtid="{D5CDD505-2E9C-101B-9397-08002B2CF9AE}" pid="24" name="Mendeley Recent Style Id 7_1">
    <vt:lpwstr>http://www.zotero.org/styles/frontiers-in-cardiovascular-medicine</vt:lpwstr>
  </property>
  <property fmtid="{D5CDD505-2E9C-101B-9397-08002B2CF9AE}" pid="25" name="Mendeley Recent Style Name 7_1">
    <vt:lpwstr>Frontiers in Cardiovascular Medicine</vt:lpwstr>
  </property>
  <property fmtid="{D5CDD505-2E9C-101B-9397-08002B2CF9AE}" pid="26" name="Mendeley Recent Style Id 8_1">
    <vt:lpwstr>http://www.zotero.org/styles/ieee</vt:lpwstr>
  </property>
  <property fmtid="{D5CDD505-2E9C-101B-9397-08002B2CF9AE}" pid="27" name="Mendeley Recent Style Name 8_1">
    <vt:lpwstr>IEEE</vt:lpwstr>
  </property>
  <property fmtid="{D5CDD505-2E9C-101B-9397-08002B2CF9AE}" pid="28" name="Mendeley Recent Style Id 9_1">
    <vt:lpwstr>http://www.zotero.org/styles/modern-humanities-research-association</vt:lpwstr>
  </property>
  <property fmtid="{D5CDD505-2E9C-101B-9397-08002B2CF9AE}" pid="29" name="Mendeley Recent Style Name 9_1">
    <vt:lpwstr>Modern Humanities Research Association 3rd edition (note with bibliography)</vt:lpwstr>
  </property>
  <property fmtid="{D5CDD505-2E9C-101B-9397-08002B2CF9AE}" pid="30" name="Mendeley Citation Style_1">
    <vt:lpwstr>http://www.zotero.org/styles/european-heart-journal-cardiovascular-imaging</vt:lpwstr>
  </property>
  <property fmtid="{D5CDD505-2E9C-101B-9397-08002B2CF9AE}" pid="31" name="Mendeley Document_1">
    <vt:lpwstr>True</vt:lpwstr>
  </property>
  <property fmtid="{D5CDD505-2E9C-101B-9397-08002B2CF9AE}" pid="32" name="Mendeley Unique User Id_1">
    <vt:lpwstr>937765fd-da0f-3dac-8008-8e44c038a03f</vt:lpwstr>
  </property>
</Properties>
</file>