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C4C6D" w14:textId="7E14F4C4" w:rsidR="008D4C3A" w:rsidRDefault="00EF671B" w:rsidP="000A00F0">
      <w:pPr>
        <w:spacing w:line="360" w:lineRule="auto"/>
        <w:rPr>
          <w:b/>
        </w:rPr>
      </w:pPr>
      <w:r w:rsidRPr="00993B38">
        <w:rPr>
          <w:b/>
        </w:rPr>
        <w:t xml:space="preserve">Implementation of Treatment Escalation Plans </w:t>
      </w:r>
      <w:r w:rsidR="003E0E37">
        <w:rPr>
          <w:b/>
        </w:rPr>
        <w:t xml:space="preserve">in an </w:t>
      </w:r>
      <w:r w:rsidR="00387890">
        <w:rPr>
          <w:b/>
        </w:rPr>
        <w:t xml:space="preserve">Old Age </w:t>
      </w:r>
      <w:r w:rsidRPr="00993B38">
        <w:rPr>
          <w:b/>
        </w:rPr>
        <w:t>Psychiat</w:t>
      </w:r>
      <w:r w:rsidR="00387890">
        <w:rPr>
          <w:b/>
        </w:rPr>
        <w:t>ry</w:t>
      </w:r>
      <w:r w:rsidRPr="00993B38">
        <w:rPr>
          <w:b/>
        </w:rPr>
        <w:t xml:space="preserve"> </w:t>
      </w:r>
      <w:r w:rsidR="003E0E37">
        <w:rPr>
          <w:b/>
        </w:rPr>
        <w:t>inpatient hospital</w:t>
      </w:r>
    </w:p>
    <w:p w14:paraId="4C06EB5E" w14:textId="7BE71FBC" w:rsidR="00695A24" w:rsidRDefault="00EF671B" w:rsidP="000A00F0">
      <w:pPr>
        <w:spacing w:line="360" w:lineRule="auto"/>
        <w:rPr>
          <w:vertAlign w:val="superscript"/>
        </w:rPr>
      </w:pPr>
      <w:r w:rsidRPr="0001075B">
        <w:t>Anne YT Chua</w:t>
      </w:r>
      <w:r w:rsidRPr="0001075B">
        <w:rPr>
          <w:vertAlign w:val="superscript"/>
        </w:rPr>
        <w:t>1</w:t>
      </w:r>
      <w:r w:rsidRPr="0001075B">
        <w:t xml:space="preserve">, </w:t>
      </w:r>
      <w:r w:rsidR="00B0371E" w:rsidRPr="0001075B">
        <w:t>Adnaan Ghanchi</w:t>
      </w:r>
      <w:r w:rsidR="00B0371E" w:rsidRPr="0001075B">
        <w:rPr>
          <w:vertAlign w:val="superscript"/>
        </w:rPr>
        <w:t>1</w:t>
      </w:r>
      <w:r w:rsidR="00B0371E" w:rsidRPr="0001075B">
        <w:t xml:space="preserve">, </w:t>
      </w:r>
      <w:r w:rsidRPr="0001075B">
        <w:t>Sangeeta K Makh</w:t>
      </w:r>
      <w:r w:rsidRPr="0001075B">
        <w:rPr>
          <w:vertAlign w:val="superscript"/>
        </w:rPr>
        <w:t>1</w:t>
      </w:r>
      <w:r w:rsidRPr="0001075B">
        <w:t>, Jessica Grayston</w:t>
      </w:r>
      <w:r w:rsidRPr="0001075B">
        <w:rPr>
          <w:vertAlign w:val="superscript"/>
        </w:rPr>
        <w:t>1</w:t>
      </w:r>
      <w:r w:rsidRPr="0001075B">
        <w:t xml:space="preserve">, </w:t>
      </w:r>
      <w:r w:rsidR="00A00E01" w:rsidRPr="0001075B">
        <w:t xml:space="preserve">Stephen </w:t>
      </w:r>
      <w:r w:rsidR="00CA2BAC" w:rsidRPr="0001075B">
        <w:t xml:space="preserve">J </w:t>
      </w:r>
      <w:r w:rsidR="00A00E01" w:rsidRPr="0001075B">
        <w:t>Woolford</w:t>
      </w:r>
      <w:r w:rsidR="00A00E01" w:rsidRPr="0001075B">
        <w:rPr>
          <w:vertAlign w:val="superscript"/>
        </w:rPr>
        <w:t>1</w:t>
      </w:r>
      <w:r w:rsidR="00A00E01" w:rsidRPr="0001075B">
        <w:t xml:space="preserve">, </w:t>
      </w:r>
      <w:r w:rsidRPr="0001075B">
        <w:t>Sahan Wijayaweera</w:t>
      </w:r>
      <w:r w:rsidRPr="0001075B">
        <w:rPr>
          <w:vertAlign w:val="superscript"/>
        </w:rPr>
        <w:t>2</w:t>
      </w:r>
      <w:r w:rsidRPr="0001075B">
        <w:t xml:space="preserve">, </w:t>
      </w:r>
      <w:r w:rsidR="00CF5D13" w:rsidRPr="0001075B">
        <w:t>Victoria Osman-Hicks</w:t>
      </w:r>
      <w:r w:rsidR="00993B38" w:rsidRPr="0001075B">
        <w:rPr>
          <w:vertAlign w:val="superscript"/>
        </w:rPr>
        <w:t>2</w:t>
      </w:r>
      <w:r w:rsidR="003E0E37" w:rsidRPr="0001075B">
        <w:rPr>
          <w:vertAlign w:val="superscript"/>
        </w:rPr>
        <w:t>,</w:t>
      </w:r>
      <w:r w:rsidR="009454A4" w:rsidRPr="0001075B">
        <w:rPr>
          <w:vertAlign w:val="superscript"/>
        </w:rPr>
        <w:t>3</w:t>
      </w:r>
      <w:r w:rsidR="00CF5D13" w:rsidRPr="0001075B">
        <w:t xml:space="preserve">, </w:t>
      </w:r>
      <w:r w:rsidR="00A00E01" w:rsidRPr="0001075B">
        <w:t>Harnish P Patel</w:t>
      </w:r>
      <w:r w:rsidR="00A00E01" w:rsidRPr="0001075B">
        <w:rPr>
          <w:vertAlign w:val="superscript"/>
        </w:rPr>
        <w:t>1,3</w:t>
      </w:r>
      <w:r w:rsidR="00A00E01" w:rsidRPr="0001075B">
        <w:t xml:space="preserve">, </w:t>
      </w:r>
      <w:r w:rsidRPr="0001075B">
        <w:t>Jay Amin</w:t>
      </w:r>
      <w:r w:rsidRPr="0001075B">
        <w:rPr>
          <w:vertAlign w:val="superscript"/>
        </w:rPr>
        <w:t>2,</w:t>
      </w:r>
      <w:r w:rsidR="009454A4" w:rsidRPr="0001075B">
        <w:rPr>
          <w:vertAlign w:val="superscript"/>
        </w:rPr>
        <w:t>3</w:t>
      </w:r>
    </w:p>
    <w:p w14:paraId="4384D30F" w14:textId="0C359A4E" w:rsidR="001441FF" w:rsidRPr="005F5189" w:rsidRDefault="00695A24" w:rsidP="009454A4">
      <w:pPr>
        <w:spacing w:line="360" w:lineRule="auto"/>
      </w:pPr>
      <w:r w:rsidRPr="00695A24">
        <w:t>1</w:t>
      </w:r>
      <w:r>
        <w:t>.</w:t>
      </w:r>
      <w:r w:rsidRPr="00695A24">
        <w:t xml:space="preserve"> </w:t>
      </w:r>
      <w:r w:rsidR="00EF671B" w:rsidRPr="00AA6835">
        <w:t>University Hospital Southampton NHS Foundation Trust, Southampton, UK</w:t>
      </w:r>
    </w:p>
    <w:p w14:paraId="59A1BBCB" w14:textId="2A83FAEF" w:rsidR="001441FF" w:rsidRPr="00AA6835" w:rsidRDefault="00EF671B" w:rsidP="009454A4">
      <w:pPr>
        <w:spacing w:line="360" w:lineRule="auto"/>
      </w:pPr>
      <w:r w:rsidRPr="00AA6835">
        <w:t>2</w:t>
      </w:r>
      <w:r w:rsidR="00695A24" w:rsidRPr="00AA6835">
        <w:t xml:space="preserve">. </w:t>
      </w:r>
      <w:r w:rsidRPr="00AA6835">
        <w:t>Southern Health NHS Foundation Trust, Southampton, UK</w:t>
      </w:r>
    </w:p>
    <w:p w14:paraId="3AF9F1D1" w14:textId="6977EC70" w:rsidR="00993B38" w:rsidRDefault="009454A4" w:rsidP="009454A4">
      <w:pPr>
        <w:spacing w:line="360" w:lineRule="auto"/>
      </w:pPr>
      <w:r>
        <w:t>3</w:t>
      </w:r>
      <w:r w:rsidRPr="00AA6835">
        <w:t>. University of Southampton</w:t>
      </w:r>
      <w:r w:rsidR="007606E3" w:rsidRPr="007606E3">
        <w:t xml:space="preserve"> </w:t>
      </w:r>
      <w:r w:rsidR="007606E3" w:rsidRPr="00AA6835">
        <w:t>Faculty of Medicine</w:t>
      </w:r>
      <w:r w:rsidRPr="00AA6835">
        <w:t>, Southampton, UK</w:t>
      </w:r>
    </w:p>
    <w:p w14:paraId="5B77867A" w14:textId="77777777" w:rsidR="007606E3" w:rsidRPr="00993B38" w:rsidRDefault="007606E3" w:rsidP="009454A4">
      <w:pPr>
        <w:spacing w:line="360" w:lineRule="auto"/>
      </w:pPr>
    </w:p>
    <w:p w14:paraId="2C898B77" w14:textId="20413C28" w:rsidR="00993B38" w:rsidRPr="00993B38" w:rsidRDefault="00993B38" w:rsidP="009454A4">
      <w:pPr>
        <w:spacing w:line="360" w:lineRule="auto"/>
        <w:outlineLvl w:val="0"/>
      </w:pPr>
      <w:r w:rsidRPr="00993B38">
        <w:rPr>
          <w:b/>
        </w:rPr>
        <w:t>Corresponding author:</w:t>
      </w:r>
      <w:r w:rsidRPr="00993B38">
        <w:t xml:space="preserve"> </w:t>
      </w:r>
      <w:r>
        <w:t>Dr Jay Amin</w:t>
      </w:r>
    </w:p>
    <w:p w14:paraId="33B80CF4" w14:textId="1DCE587C" w:rsidR="00993B38" w:rsidRPr="00993B38" w:rsidRDefault="00993B38" w:rsidP="009454A4">
      <w:pPr>
        <w:spacing w:line="360" w:lineRule="auto"/>
      </w:pPr>
      <w:r w:rsidRPr="00993B38">
        <w:rPr>
          <w:b/>
        </w:rPr>
        <w:t xml:space="preserve">Address: </w:t>
      </w:r>
      <w:r w:rsidRPr="00993B38">
        <w:t xml:space="preserve">Memory Assessment and Research Centre, </w:t>
      </w:r>
      <w:r w:rsidR="00EC180F">
        <w:t xml:space="preserve">Tom Rudd Unit, </w:t>
      </w:r>
      <w:r w:rsidR="00EC180F" w:rsidRPr="00993B38">
        <w:t>Southern Health NHS Foundation Trust</w:t>
      </w:r>
      <w:r w:rsidR="00EC180F">
        <w:t>,</w:t>
      </w:r>
      <w:r w:rsidR="00EC180F" w:rsidRPr="00993B38">
        <w:t xml:space="preserve"> </w:t>
      </w:r>
      <w:r w:rsidRPr="00993B38">
        <w:t xml:space="preserve">Moorgreen Hospital, Southampton, </w:t>
      </w:r>
      <w:r w:rsidR="00EC180F">
        <w:t>SO30 3JB</w:t>
      </w:r>
    </w:p>
    <w:p w14:paraId="36D5B360" w14:textId="797395A9" w:rsidR="00993B38" w:rsidRDefault="00993B38" w:rsidP="000A00F0">
      <w:pPr>
        <w:spacing w:line="360" w:lineRule="auto"/>
        <w:rPr>
          <w:bCs/>
        </w:rPr>
      </w:pPr>
      <w:r w:rsidRPr="00993B38">
        <w:rPr>
          <w:b/>
        </w:rPr>
        <w:t>Email address:</w:t>
      </w:r>
      <w:r w:rsidRPr="00993B38">
        <w:rPr>
          <w:bCs/>
        </w:rPr>
        <w:t xml:space="preserve"> </w:t>
      </w:r>
      <w:r w:rsidR="00EC180F" w:rsidRPr="007D77D6">
        <w:rPr>
          <w:bCs/>
        </w:rPr>
        <w:t>jay.amin@soton.ac.uk</w:t>
      </w:r>
    </w:p>
    <w:p w14:paraId="4A8C03FE" w14:textId="405862E3" w:rsidR="00EC180F" w:rsidRDefault="00EC180F" w:rsidP="000A00F0">
      <w:pPr>
        <w:spacing w:line="360" w:lineRule="auto"/>
        <w:rPr>
          <w:bCs/>
        </w:rPr>
      </w:pPr>
      <w:r>
        <w:rPr>
          <w:b/>
        </w:rPr>
        <w:t>Telephone</w:t>
      </w:r>
      <w:r w:rsidRPr="00993B38">
        <w:rPr>
          <w:b/>
        </w:rPr>
        <w:t>:</w:t>
      </w:r>
      <w:r w:rsidRPr="00993B38">
        <w:rPr>
          <w:bCs/>
        </w:rPr>
        <w:t xml:space="preserve"> </w:t>
      </w:r>
      <w:r>
        <w:rPr>
          <w:bCs/>
        </w:rPr>
        <w:t>02380 475206</w:t>
      </w:r>
    </w:p>
    <w:p w14:paraId="19D684BF" w14:textId="77777777" w:rsidR="00EC180F" w:rsidRPr="00993B38" w:rsidRDefault="00EC180F" w:rsidP="000A00F0">
      <w:pPr>
        <w:spacing w:line="360" w:lineRule="auto"/>
      </w:pPr>
    </w:p>
    <w:p w14:paraId="592086C8" w14:textId="2D1CE5CD" w:rsidR="00EC180F" w:rsidRDefault="00993B38" w:rsidP="000A00F0">
      <w:pPr>
        <w:spacing w:line="360" w:lineRule="auto"/>
      </w:pPr>
      <w:r w:rsidRPr="00993B38">
        <w:rPr>
          <w:b/>
        </w:rPr>
        <w:t xml:space="preserve">Key words: </w:t>
      </w:r>
      <w:r w:rsidR="007606E3" w:rsidRPr="007606E3">
        <w:t xml:space="preserve">Dementia, </w:t>
      </w:r>
      <w:bookmarkStart w:id="0" w:name="_GoBack"/>
      <w:r w:rsidR="007606E3" w:rsidRPr="007606E3">
        <w:t>Resuscitation</w:t>
      </w:r>
      <w:bookmarkEnd w:id="0"/>
      <w:r w:rsidR="007606E3" w:rsidRPr="007606E3">
        <w:t>, Mental Health, Geriatrics, Healthcare quality improvement</w:t>
      </w:r>
    </w:p>
    <w:p w14:paraId="24B98405" w14:textId="2DB8803E" w:rsidR="004E07B5" w:rsidRDefault="00EC180F" w:rsidP="00EC180F">
      <w:pPr>
        <w:spacing w:line="360" w:lineRule="auto"/>
        <w:rPr>
          <w:bCs/>
        </w:rPr>
      </w:pPr>
      <w:r>
        <w:rPr>
          <w:b/>
        </w:rPr>
        <w:t xml:space="preserve">Word count: </w:t>
      </w:r>
      <w:r w:rsidR="008D0EC0">
        <w:rPr>
          <w:bCs/>
        </w:rPr>
        <w:t>3610</w:t>
      </w:r>
    </w:p>
    <w:p w14:paraId="36FE412B" w14:textId="77777777" w:rsidR="004E07B5" w:rsidRPr="009A3B2A" w:rsidRDefault="004E07B5" w:rsidP="004E07B5">
      <w:pPr>
        <w:spacing w:before="240" w:after="120"/>
        <w:rPr>
          <w:b/>
          <w:bCs/>
        </w:rPr>
      </w:pPr>
      <w:r>
        <w:rPr>
          <w:b/>
          <w:bCs/>
        </w:rPr>
        <w:t>Acknowledgements</w:t>
      </w:r>
    </w:p>
    <w:p w14:paraId="2DDB8B54" w14:textId="5ED1DE53" w:rsidR="004E07B5" w:rsidRDefault="004E07B5" w:rsidP="004E07B5">
      <w:pPr>
        <w:spacing w:before="240" w:after="120"/>
      </w:pPr>
      <w:r>
        <w:t>We thank the patients, families and staff who participated in this quality improvement project.</w:t>
      </w:r>
    </w:p>
    <w:p w14:paraId="5A7CEAEF" w14:textId="6AE1B141" w:rsidR="004E07B5" w:rsidRPr="00DE1E91" w:rsidRDefault="004E07B5" w:rsidP="004E07B5">
      <w:pPr>
        <w:spacing w:before="240" w:after="120"/>
        <w:rPr>
          <w:b/>
          <w:bCs/>
        </w:rPr>
      </w:pPr>
      <w:r>
        <w:rPr>
          <w:b/>
          <w:bCs/>
        </w:rPr>
        <w:t>Competing interests</w:t>
      </w:r>
    </w:p>
    <w:p w14:paraId="38D5C0DD" w14:textId="37CAD191" w:rsidR="007D77D6" w:rsidRPr="007D77D6" w:rsidRDefault="007D77D6" w:rsidP="004E07B5">
      <w:pPr>
        <w:spacing w:before="240" w:after="120"/>
      </w:pPr>
      <w:r>
        <w:t>T</w:t>
      </w:r>
      <w:r w:rsidRPr="007D77D6">
        <w:t>here are no competing interests for any author</w:t>
      </w:r>
      <w:r>
        <w:t>.</w:t>
      </w:r>
    </w:p>
    <w:p w14:paraId="7F078469" w14:textId="3EFADBF9" w:rsidR="004E07B5" w:rsidRPr="00DE1E91" w:rsidRDefault="004E07B5" w:rsidP="004E07B5">
      <w:pPr>
        <w:spacing w:before="240" w:after="120"/>
        <w:rPr>
          <w:b/>
          <w:bCs/>
        </w:rPr>
      </w:pPr>
      <w:r w:rsidRPr="00DE1E91">
        <w:rPr>
          <w:b/>
          <w:bCs/>
        </w:rPr>
        <w:t>Ethical approval</w:t>
      </w:r>
    </w:p>
    <w:p w14:paraId="7C82A9AE" w14:textId="6CA5A25D" w:rsidR="00993B38" w:rsidRDefault="004E07B5" w:rsidP="004E07B5">
      <w:pPr>
        <w:spacing w:before="240" w:after="120"/>
      </w:pPr>
      <w:r w:rsidRPr="00DE1E91">
        <w:t xml:space="preserve">This </w:t>
      </w:r>
      <w:r>
        <w:t>study</w:t>
      </w:r>
      <w:r w:rsidRPr="00DE1E91">
        <w:t xml:space="preserve"> is deemed to be a</w:t>
      </w:r>
      <w:r>
        <w:t xml:space="preserve"> quality</w:t>
      </w:r>
      <w:r w:rsidRPr="00DE1E91">
        <w:t xml:space="preserve"> improvement study and not </w:t>
      </w:r>
      <w:r>
        <w:t>research,</w:t>
      </w:r>
      <w:r w:rsidRPr="00DE1E91">
        <w:t xml:space="preserve"> therefore local policy excludes this from requiring ethical approval.</w:t>
      </w:r>
    </w:p>
    <w:p w14:paraId="641C6EB2" w14:textId="624174F8" w:rsidR="004E07B5" w:rsidRDefault="004E07B5" w:rsidP="004E07B5">
      <w:pPr>
        <w:spacing w:before="240" w:after="120"/>
        <w:rPr>
          <w:b/>
          <w:bCs/>
        </w:rPr>
      </w:pPr>
      <w:r w:rsidRPr="007D77D6">
        <w:rPr>
          <w:b/>
          <w:bCs/>
        </w:rPr>
        <w:t>Contributorship statement</w:t>
      </w:r>
    </w:p>
    <w:p w14:paraId="0431429C" w14:textId="07535CAC" w:rsidR="007D77D6" w:rsidRPr="007D77D6" w:rsidRDefault="007D77D6" w:rsidP="004E07B5">
      <w:pPr>
        <w:spacing w:before="240" w:after="120"/>
      </w:pPr>
      <w:r w:rsidRPr="007D77D6">
        <w:t>JA and HPP conceived the study. AC, AG, SKM, JG, SW and JA contributed to data collection, analysis and interpretation. AC, AG, SKM, JG, SJW, SW, VOH, HPP and JA drafted, revised and approved the manuscript for submission.</w:t>
      </w:r>
    </w:p>
    <w:p w14:paraId="4D41E67A" w14:textId="012000E6" w:rsidR="004E07B5" w:rsidRPr="00DE1E91" w:rsidRDefault="004E07B5" w:rsidP="004E07B5">
      <w:pPr>
        <w:spacing w:before="240" w:after="120"/>
        <w:rPr>
          <w:b/>
          <w:bCs/>
        </w:rPr>
      </w:pPr>
      <w:r>
        <w:rPr>
          <w:b/>
          <w:bCs/>
        </w:rPr>
        <w:t>Funding</w:t>
      </w:r>
    </w:p>
    <w:p w14:paraId="03EE17FB" w14:textId="157CA5F7" w:rsidR="00993B38" w:rsidRDefault="007D77D6" w:rsidP="004E07B5">
      <w:pPr>
        <w:spacing w:before="240" w:after="120"/>
        <w:rPr>
          <w:b/>
          <w:bCs/>
        </w:rPr>
      </w:pPr>
      <w:r>
        <w:t>There is no funding to report for this submission.</w:t>
      </w:r>
      <w:r w:rsidR="00993B38">
        <w:rPr>
          <w:b/>
          <w:bCs/>
        </w:rPr>
        <w:br w:type="page"/>
      </w:r>
    </w:p>
    <w:p w14:paraId="415A35BE" w14:textId="60771D5B" w:rsidR="00F50D0F" w:rsidRPr="009A3B2A" w:rsidRDefault="00A633CB" w:rsidP="000A00F0">
      <w:pPr>
        <w:spacing w:before="240" w:after="120"/>
        <w:rPr>
          <w:b/>
          <w:bCs/>
        </w:rPr>
      </w:pPr>
      <w:r w:rsidRPr="0020541F">
        <w:rPr>
          <w:b/>
          <w:bCs/>
        </w:rPr>
        <w:lastRenderedPageBreak/>
        <w:t>Abstract</w:t>
      </w:r>
    </w:p>
    <w:p w14:paraId="47B05F26" w14:textId="172E4CC8" w:rsidR="00626DCE" w:rsidRPr="00B30E4C" w:rsidRDefault="00430314" w:rsidP="00626DCE">
      <w:pPr>
        <w:spacing w:before="240" w:after="120"/>
        <w:rPr>
          <w:rFonts w:eastAsia="Times New Roman"/>
          <w:color w:val="000000"/>
          <w:lang w:val="en-MY" w:eastAsia="zh-CN"/>
        </w:rPr>
      </w:pPr>
      <w:r>
        <w:rPr>
          <w:rFonts w:eastAsia="Times New Roman"/>
          <w:color w:val="000000"/>
          <w:lang w:val="en-MY" w:eastAsia="zh-CN"/>
        </w:rPr>
        <w:t xml:space="preserve">A </w:t>
      </w:r>
      <w:r w:rsidR="00EB5517" w:rsidRPr="00B30E4C">
        <w:rPr>
          <w:rFonts w:eastAsia="Times New Roman"/>
          <w:color w:val="000000"/>
          <w:lang w:val="en-MY" w:eastAsia="zh-CN"/>
        </w:rPr>
        <w:t xml:space="preserve">Treatment Escalation Plan (TEP) </w:t>
      </w:r>
      <w:r w:rsidR="00B8037E">
        <w:rPr>
          <w:rFonts w:eastAsia="Times New Roman"/>
          <w:color w:val="000000"/>
          <w:lang w:val="en-MY" w:eastAsia="zh-CN"/>
        </w:rPr>
        <w:t>enable</w:t>
      </w:r>
      <w:r w:rsidR="00111E20">
        <w:rPr>
          <w:rFonts w:eastAsia="Times New Roman"/>
          <w:color w:val="000000"/>
          <w:lang w:val="en-MY" w:eastAsia="zh-CN"/>
        </w:rPr>
        <w:t>s</w:t>
      </w:r>
      <w:r w:rsidR="00626DCE">
        <w:rPr>
          <w:rFonts w:eastAsia="Times New Roman"/>
          <w:color w:val="000000"/>
          <w:lang w:val="en-MY" w:eastAsia="zh-CN"/>
        </w:rPr>
        <w:t xml:space="preserve"> timely and</w:t>
      </w:r>
      <w:r w:rsidR="00B8037E">
        <w:rPr>
          <w:rFonts w:eastAsia="Times New Roman"/>
          <w:color w:val="000000"/>
          <w:lang w:val="en-MY" w:eastAsia="zh-CN"/>
        </w:rPr>
        <w:t xml:space="preserve"> </w:t>
      </w:r>
      <w:r w:rsidR="00EB5517" w:rsidRPr="00B30E4C">
        <w:rPr>
          <w:rFonts w:eastAsia="Times New Roman"/>
          <w:color w:val="000000"/>
          <w:lang w:val="en-MY" w:eastAsia="zh-CN"/>
        </w:rPr>
        <w:t xml:space="preserve">appropriate decision making in the management of deteriorating patients. </w:t>
      </w:r>
      <w:r w:rsidR="00626DCE" w:rsidRPr="00B30E4C">
        <w:rPr>
          <w:rFonts w:eastAsia="Times New Roman"/>
          <w:color w:val="000000"/>
          <w:lang w:val="en-MY" w:eastAsia="zh-CN"/>
        </w:rPr>
        <w:t>The COVID-19 pandemic</w:t>
      </w:r>
      <w:r w:rsidR="00626DCE">
        <w:rPr>
          <w:rFonts w:eastAsia="Times New Roman"/>
          <w:color w:val="000000"/>
          <w:lang w:val="en-MY" w:eastAsia="zh-CN"/>
        </w:rPr>
        <w:t xml:space="preserve"> </w:t>
      </w:r>
      <w:r w:rsidR="00626DCE" w:rsidRPr="00B30E4C">
        <w:rPr>
          <w:rFonts w:eastAsia="Times New Roman"/>
          <w:color w:val="000000"/>
          <w:lang w:val="en-MY" w:eastAsia="zh-CN"/>
        </w:rPr>
        <w:t xml:space="preserve">precipitated </w:t>
      </w:r>
      <w:r w:rsidR="00626DCE">
        <w:rPr>
          <w:rFonts w:eastAsia="Times New Roman"/>
          <w:color w:val="000000"/>
          <w:lang w:val="en-MY" w:eastAsia="zh-CN"/>
        </w:rPr>
        <w:t xml:space="preserve">the </w:t>
      </w:r>
      <w:r w:rsidR="00626DCE" w:rsidRPr="00B30E4C">
        <w:rPr>
          <w:rFonts w:eastAsia="Times New Roman"/>
          <w:color w:val="000000"/>
          <w:lang w:val="en-MY" w:eastAsia="zh-CN"/>
        </w:rPr>
        <w:t xml:space="preserve">widespread </w:t>
      </w:r>
      <w:r w:rsidR="00626DCE">
        <w:rPr>
          <w:rFonts w:eastAsia="Times New Roman"/>
          <w:color w:val="000000"/>
          <w:lang w:val="en-MY" w:eastAsia="zh-CN"/>
        </w:rPr>
        <w:t>use</w:t>
      </w:r>
      <w:r w:rsidR="00626DCE" w:rsidRPr="00B30E4C">
        <w:rPr>
          <w:rFonts w:eastAsia="Times New Roman"/>
          <w:color w:val="000000"/>
          <w:lang w:val="en-MY" w:eastAsia="zh-CN"/>
        </w:rPr>
        <w:t xml:space="preserve"> of TEP</w:t>
      </w:r>
      <w:r w:rsidR="00A56FEB">
        <w:rPr>
          <w:rFonts w:eastAsia="Times New Roman"/>
          <w:color w:val="000000"/>
          <w:lang w:val="en-MY" w:eastAsia="zh-CN"/>
        </w:rPr>
        <w:t>s</w:t>
      </w:r>
      <w:r w:rsidR="00626DCE" w:rsidRPr="00B30E4C">
        <w:rPr>
          <w:rFonts w:eastAsia="Times New Roman"/>
          <w:color w:val="000000"/>
          <w:lang w:val="en-MY" w:eastAsia="zh-CN"/>
        </w:rPr>
        <w:t xml:space="preserve"> in </w:t>
      </w:r>
      <w:r w:rsidR="00626DCE">
        <w:rPr>
          <w:rFonts w:eastAsia="Times New Roman"/>
          <w:color w:val="000000"/>
          <w:lang w:val="en-MY" w:eastAsia="zh-CN"/>
        </w:rPr>
        <w:t>acute care settings throughout the National Health Service (</w:t>
      </w:r>
      <w:r w:rsidR="00626DCE" w:rsidRPr="00B30E4C">
        <w:rPr>
          <w:rFonts w:eastAsia="Times New Roman"/>
          <w:color w:val="000000"/>
          <w:lang w:val="en-MY" w:eastAsia="zh-CN"/>
        </w:rPr>
        <w:t>NHS</w:t>
      </w:r>
      <w:r w:rsidR="00626DCE">
        <w:rPr>
          <w:rFonts w:eastAsia="Times New Roman"/>
          <w:color w:val="000000"/>
          <w:lang w:val="en-MY" w:eastAsia="zh-CN"/>
        </w:rPr>
        <w:t>) to facilitate safe and effective decision making</w:t>
      </w:r>
      <w:r w:rsidR="00626DCE" w:rsidRPr="00B30E4C">
        <w:rPr>
          <w:rFonts w:eastAsia="Times New Roman"/>
          <w:color w:val="000000"/>
          <w:lang w:val="en-MY" w:eastAsia="zh-CN"/>
        </w:rPr>
        <w:t xml:space="preserve">. </w:t>
      </w:r>
      <w:r w:rsidR="00B7561B">
        <w:rPr>
          <w:rFonts w:eastAsia="Times New Roman"/>
          <w:color w:val="000000"/>
          <w:lang w:val="en-MY" w:eastAsia="zh-CN"/>
        </w:rPr>
        <w:t>TEP proformas have not</w:t>
      </w:r>
      <w:r w:rsidR="00626DCE">
        <w:rPr>
          <w:rFonts w:eastAsia="Times New Roman"/>
          <w:color w:val="000000"/>
          <w:lang w:val="en-MY" w:eastAsia="zh-CN"/>
        </w:rPr>
        <w:t xml:space="preserve"> been developed for the inpatient psychiatric setting. </w:t>
      </w:r>
      <w:r w:rsidR="00626DCE">
        <w:t>This is particularly concerning in Old Age Psychiatry inpatient wards where patients often have multiple compounding comorbidities and complex decisions regarding capacity are often made.</w:t>
      </w:r>
      <w:r w:rsidR="00626DCE" w:rsidRPr="00B30E4C">
        <w:rPr>
          <w:rFonts w:eastAsia="Times New Roman"/>
          <w:color w:val="000000"/>
          <w:lang w:val="en-MY" w:eastAsia="zh-CN"/>
        </w:rPr>
        <w:t xml:space="preserve">Our aim for this quality improvement project was to </w:t>
      </w:r>
      <w:r w:rsidR="00626DCE">
        <w:rPr>
          <w:rFonts w:eastAsia="Times New Roman"/>
          <w:color w:val="000000"/>
          <w:lang w:val="en-MY" w:eastAsia="zh-CN"/>
        </w:rPr>
        <w:t xml:space="preserve">pilot a novel </w:t>
      </w:r>
      <w:r w:rsidR="00626DCE" w:rsidRPr="00B30E4C">
        <w:rPr>
          <w:rFonts w:eastAsia="Times New Roman"/>
          <w:color w:val="000000"/>
          <w:lang w:val="en-MY" w:eastAsia="zh-CN"/>
        </w:rPr>
        <w:t>TEP proforma within</w:t>
      </w:r>
      <w:r w:rsidR="00ED3709">
        <w:rPr>
          <w:rFonts w:eastAsia="Times New Roman"/>
          <w:color w:val="000000"/>
          <w:lang w:val="en-MY" w:eastAsia="zh-CN"/>
        </w:rPr>
        <w:t xml:space="preserve"> a UK Old Age Psychiatry inpatient hospital. W</w:t>
      </w:r>
      <w:r w:rsidR="00626DCE" w:rsidRPr="00B30E4C">
        <w:rPr>
          <w:rFonts w:eastAsia="Times New Roman"/>
          <w:color w:val="000000"/>
          <w:lang w:val="en-MY" w:eastAsia="zh-CN"/>
        </w:rPr>
        <w:t xml:space="preserve">e </w:t>
      </w:r>
      <w:r w:rsidR="00E244A0">
        <w:rPr>
          <w:rFonts w:eastAsia="Times New Roman"/>
          <w:color w:val="000000"/>
          <w:lang w:val="en-MY" w:eastAsia="zh-CN"/>
        </w:rPr>
        <w:t xml:space="preserve">first </w:t>
      </w:r>
      <w:r w:rsidR="00626DCE" w:rsidRPr="00B30E4C">
        <w:rPr>
          <w:rFonts w:eastAsia="Times New Roman"/>
          <w:color w:val="000000"/>
          <w:lang w:val="en-MY" w:eastAsia="zh-CN"/>
        </w:rPr>
        <w:t xml:space="preserve">adapted a TEP </w:t>
      </w:r>
      <w:r w:rsidR="00495737">
        <w:rPr>
          <w:rFonts w:eastAsia="Times New Roman"/>
          <w:color w:val="000000"/>
          <w:lang w:val="en-MY" w:eastAsia="zh-CN"/>
        </w:rPr>
        <w:t>proforma</w:t>
      </w:r>
      <w:r w:rsidR="00626DCE" w:rsidRPr="00B30E4C">
        <w:rPr>
          <w:rFonts w:eastAsia="Times New Roman"/>
          <w:color w:val="000000"/>
          <w:lang w:val="en-MY" w:eastAsia="zh-CN"/>
        </w:rPr>
        <w:t xml:space="preserve"> used in our partner acute</w:t>
      </w:r>
      <w:r w:rsidR="00626DCE">
        <w:rPr>
          <w:rFonts w:eastAsia="Times New Roman"/>
          <w:color w:val="000000"/>
          <w:lang w:val="en-MY" w:eastAsia="zh-CN"/>
        </w:rPr>
        <w:t xml:space="preserve"> </w:t>
      </w:r>
      <w:r w:rsidR="00564F11">
        <w:rPr>
          <w:rFonts w:eastAsia="Times New Roman"/>
          <w:color w:val="000000"/>
          <w:lang w:val="en-MY" w:eastAsia="zh-CN"/>
        </w:rPr>
        <w:t xml:space="preserve">tertiary hospital </w:t>
      </w:r>
      <w:r w:rsidR="00626DCE" w:rsidRPr="00B30E4C">
        <w:rPr>
          <w:rFonts w:eastAsia="Times New Roman"/>
          <w:color w:val="000000"/>
          <w:lang w:val="en-MY" w:eastAsia="zh-CN"/>
        </w:rPr>
        <w:t>and implemented it on our Old Age Psychiatry wards. We then</w:t>
      </w:r>
      <w:r w:rsidR="00495737">
        <w:rPr>
          <w:rFonts w:eastAsia="Times New Roman"/>
          <w:color w:val="000000"/>
          <w:lang w:val="en-MY" w:eastAsia="zh-CN"/>
        </w:rPr>
        <w:t xml:space="preserve"> further</w:t>
      </w:r>
      <w:r w:rsidR="00626DCE" w:rsidRPr="00B30E4C">
        <w:rPr>
          <w:rFonts w:eastAsia="Times New Roman"/>
          <w:color w:val="000000"/>
          <w:lang w:val="en-MY" w:eastAsia="zh-CN"/>
        </w:rPr>
        <w:t xml:space="preserve"> refined the form and gathered data about uptake, length of time </w:t>
      </w:r>
      <w:r w:rsidR="00626DCE">
        <w:rPr>
          <w:rFonts w:eastAsia="Times New Roman"/>
          <w:color w:val="000000"/>
          <w:lang w:val="en-MY" w:eastAsia="zh-CN"/>
        </w:rPr>
        <w:t xml:space="preserve">to complete a TEP </w:t>
      </w:r>
      <w:r w:rsidR="00626DCE" w:rsidRPr="00B30E4C">
        <w:rPr>
          <w:rFonts w:eastAsia="Times New Roman"/>
          <w:color w:val="000000"/>
          <w:lang w:val="en-MY" w:eastAsia="zh-CN"/>
        </w:rPr>
        <w:t>and the ceiling of care documented</w:t>
      </w:r>
      <w:r w:rsidR="00626DCE">
        <w:rPr>
          <w:rFonts w:eastAsia="Times New Roman"/>
          <w:color w:val="000000"/>
          <w:lang w:val="en-MY" w:eastAsia="zh-CN"/>
        </w:rPr>
        <w:t xml:space="preserve"> in the TEP</w:t>
      </w:r>
      <w:r w:rsidR="00626DCE" w:rsidRPr="00B30E4C">
        <w:rPr>
          <w:rFonts w:eastAsia="Times New Roman"/>
          <w:color w:val="000000"/>
          <w:lang w:val="en-MY" w:eastAsia="zh-CN"/>
        </w:rPr>
        <w:t>. We also explored staff</w:t>
      </w:r>
      <w:r w:rsidR="00DB34CA">
        <w:rPr>
          <w:rFonts w:eastAsia="Times New Roman"/>
          <w:color w:val="000000"/>
          <w:lang w:val="en-MY" w:eastAsia="zh-CN"/>
        </w:rPr>
        <w:t xml:space="preserve">, </w:t>
      </w:r>
      <w:r w:rsidR="00626DCE" w:rsidRPr="00B30E4C">
        <w:rPr>
          <w:rFonts w:eastAsia="Times New Roman"/>
          <w:color w:val="000000"/>
          <w:lang w:val="en-MY" w:eastAsia="zh-CN"/>
        </w:rPr>
        <w:t>patient</w:t>
      </w:r>
      <w:r w:rsidR="00DB34CA">
        <w:rPr>
          <w:rFonts w:eastAsia="Times New Roman"/>
          <w:color w:val="000000"/>
          <w:lang w:val="en-MY" w:eastAsia="zh-CN"/>
        </w:rPr>
        <w:t xml:space="preserve"> and </w:t>
      </w:r>
      <w:r w:rsidR="00626DCE" w:rsidRPr="00B30E4C">
        <w:rPr>
          <w:rFonts w:eastAsia="Times New Roman"/>
          <w:color w:val="000000"/>
          <w:lang w:val="en-MY" w:eastAsia="zh-CN"/>
        </w:rPr>
        <w:t>family views on the usefulness of TEP proformas</w:t>
      </w:r>
      <w:r w:rsidR="00DB34CA">
        <w:rPr>
          <w:rFonts w:eastAsia="Times New Roman"/>
          <w:color w:val="000000"/>
          <w:lang w:val="en-MY" w:eastAsia="zh-CN"/>
        </w:rPr>
        <w:t xml:space="preserve"> using questionaries</w:t>
      </w:r>
    </w:p>
    <w:p w14:paraId="440506B3" w14:textId="1A7D883E" w:rsidR="00DC4272" w:rsidRDefault="00B30E4C" w:rsidP="000A00F0">
      <w:pPr>
        <w:spacing w:before="240" w:after="120"/>
        <w:rPr>
          <w:rFonts w:eastAsia="Times New Roman"/>
          <w:color w:val="000000"/>
          <w:lang w:val="en-MY" w:eastAsia="zh-CN"/>
        </w:rPr>
      </w:pPr>
      <w:r w:rsidRPr="00B30E4C">
        <w:rPr>
          <w:rFonts w:eastAsia="Times New Roman"/>
          <w:color w:val="000000"/>
          <w:lang w:val="en-MY" w:eastAsia="zh-CN"/>
        </w:rPr>
        <w:t xml:space="preserve">TEP decisions were documented in 54% of patient records at baseline. Following </w:t>
      </w:r>
      <w:r w:rsidR="00495737">
        <w:rPr>
          <w:rFonts w:eastAsia="Times New Roman"/>
          <w:color w:val="000000"/>
          <w:lang w:val="en-MY" w:eastAsia="zh-CN"/>
        </w:rPr>
        <w:t>revision</w:t>
      </w:r>
      <w:r w:rsidRPr="00B30E4C">
        <w:rPr>
          <w:rFonts w:eastAsia="Times New Roman"/>
          <w:color w:val="000000"/>
          <w:lang w:val="en-MY" w:eastAsia="zh-CN"/>
        </w:rPr>
        <w:t xml:space="preserve"> and implementation of a TEP proforma this increased to 100%</w:t>
      </w:r>
      <w:r w:rsidR="00B8037E">
        <w:rPr>
          <w:rFonts w:eastAsia="Times New Roman"/>
          <w:color w:val="000000"/>
          <w:lang w:val="en-MY" w:eastAsia="zh-CN"/>
        </w:rPr>
        <w:t xml:space="preserve"> on our two wards</w:t>
      </w:r>
      <w:r w:rsidRPr="00B30E4C">
        <w:rPr>
          <w:rFonts w:eastAsia="Times New Roman"/>
          <w:color w:val="000000"/>
          <w:lang w:val="en-MY" w:eastAsia="zh-CN"/>
        </w:rPr>
        <w:t>. The mean time taken to complete a TEP was reduced from 7.1 days to 3.2 days following inclusion of the TEP proforma in admission packs. Feedback from staff showed improvements in understanding about</w:t>
      </w:r>
      <w:r w:rsidR="00B8037E">
        <w:rPr>
          <w:rFonts w:eastAsia="Times New Roman"/>
          <w:color w:val="000000"/>
          <w:lang w:val="en-MY" w:eastAsia="zh-CN"/>
        </w:rPr>
        <w:t xml:space="preserve"> TEP</w:t>
      </w:r>
      <w:r w:rsidRPr="00B30E4C">
        <w:rPr>
          <w:rFonts w:eastAsia="Times New Roman"/>
          <w:color w:val="000000"/>
          <w:lang w:val="en-MY" w:eastAsia="zh-CN"/>
        </w:rPr>
        <w:t xml:space="preserve"> and improved knowledge of where these decisions were documented.</w:t>
      </w:r>
    </w:p>
    <w:p w14:paraId="2FF60AE3" w14:textId="41532CF9" w:rsidR="00387890" w:rsidRDefault="00B30E4C" w:rsidP="000A00F0">
      <w:pPr>
        <w:spacing w:before="240" w:after="120"/>
        <w:rPr>
          <w:b/>
        </w:rPr>
      </w:pPr>
      <w:r w:rsidRPr="00B30E4C">
        <w:rPr>
          <w:rFonts w:eastAsia="Times New Roman"/>
          <w:color w:val="000000"/>
          <w:lang w:val="en-MY" w:eastAsia="zh-CN"/>
        </w:rPr>
        <w:t xml:space="preserve">We advocate the use of TEP proformas on all Old Age Psychiatry </w:t>
      </w:r>
      <w:r w:rsidR="00B8037E">
        <w:rPr>
          <w:rFonts w:eastAsia="Times New Roman"/>
          <w:color w:val="000000"/>
          <w:lang w:val="en-MY" w:eastAsia="zh-CN"/>
        </w:rPr>
        <w:t xml:space="preserve">inpatient </w:t>
      </w:r>
      <w:r w:rsidRPr="00B30E4C">
        <w:rPr>
          <w:rFonts w:eastAsia="Times New Roman"/>
          <w:color w:val="000000"/>
          <w:lang w:val="en-MY" w:eastAsia="zh-CN"/>
        </w:rPr>
        <w:t xml:space="preserve">wards to </w:t>
      </w:r>
      <w:r w:rsidR="00A633CB" w:rsidRPr="00B30E4C">
        <w:rPr>
          <w:rFonts w:eastAsia="Times New Roman"/>
          <w:color w:val="000000"/>
          <w:lang w:val="en-MY" w:eastAsia="zh-CN"/>
        </w:rPr>
        <w:t>offer clear guidance to</w:t>
      </w:r>
      <w:r w:rsidR="00760DEA">
        <w:rPr>
          <w:rFonts w:eastAsia="Times New Roman"/>
          <w:color w:val="000000"/>
          <w:lang w:val="en-MY" w:eastAsia="zh-CN"/>
        </w:rPr>
        <w:t xml:space="preserve"> relatives and</w:t>
      </w:r>
      <w:r w:rsidR="00A633CB" w:rsidRPr="00B30E4C">
        <w:rPr>
          <w:rFonts w:eastAsia="Times New Roman"/>
          <w:color w:val="000000"/>
          <w:lang w:val="en-MY" w:eastAsia="zh-CN"/>
        </w:rPr>
        <w:t xml:space="preserve"> treating clinicians about the ceilings of care for patients.</w:t>
      </w:r>
      <w:r w:rsidR="00B8037E">
        <w:rPr>
          <w:rFonts w:eastAsia="Times New Roman"/>
          <w:color w:val="000000"/>
          <w:lang w:val="en-MY" w:eastAsia="zh-CN"/>
        </w:rPr>
        <w:t xml:space="preserve"> There are potentially wider benefits to healthcare systems by reducing inappropriate transfers between Psychiatry and acute NHS hospitals.</w:t>
      </w:r>
      <w:r w:rsidR="00387890">
        <w:rPr>
          <w:b/>
        </w:rPr>
        <w:br w:type="page"/>
      </w:r>
    </w:p>
    <w:p w14:paraId="5EA3E4BE" w14:textId="6A0F448F" w:rsidR="00E32179" w:rsidRPr="009A3B2A" w:rsidRDefault="00E668B2" w:rsidP="000A00F0">
      <w:pPr>
        <w:spacing w:before="240" w:after="120"/>
        <w:rPr>
          <w:b/>
        </w:rPr>
      </w:pPr>
      <w:r w:rsidRPr="00CF5D13">
        <w:rPr>
          <w:b/>
        </w:rPr>
        <w:lastRenderedPageBreak/>
        <w:t>Problem</w:t>
      </w:r>
    </w:p>
    <w:p w14:paraId="11F99DF7" w14:textId="560DBCE3" w:rsidR="00E32179" w:rsidRDefault="00006B43" w:rsidP="000A00F0">
      <w:pPr>
        <w:spacing w:before="240" w:after="120"/>
      </w:pPr>
      <w:r>
        <w:t>Old Age Psychiatry inpatient wards</w:t>
      </w:r>
      <w:r w:rsidR="00A44D86">
        <w:t xml:space="preserve"> </w:t>
      </w:r>
      <w:r>
        <w:t xml:space="preserve">host </w:t>
      </w:r>
      <w:r w:rsidR="00AA6835">
        <w:t xml:space="preserve">older </w:t>
      </w:r>
      <w:r>
        <w:t xml:space="preserve">patients who are often </w:t>
      </w:r>
      <w:r w:rsidR="00AA6835">
        <w:t xml:space="preserve">living with </w:t>
      </w:r>
      <w:r>
        <w:t>frail</w:t>
      </w:r>
      <w:r w:rsidR="00AA6835">
        <w:t>ty or</w:t>
      </w:r>
      <w:r>
        <w:t xml:space="preserve"> have </w:t>
      </w:r>
      <w:r w:rsidR="00AA6835">
        <w:t xml:space="preserve">many interacting </w:t>
      </w:r>
      <w:r>
        <w:t xml:space="preserve">co-morbidities. </w:t>
      </w:r>
      <w:r w:rsidR="00A44D86">
        <w:t>These</w:t>
      </w:r>
      <w:r>
        <w:t xml:space="preserve"> patients are </w:t>
      </w:r>
      <w:r w:rsidR="00A44D86">
        <w:t>prone</w:t>
      </w:r>
      <w:r>
        <w:t xml:space="preserve"> to physical decompensation</w:t>
      </w:r>
      <w:r w:rsidR="002F3DC5">
        <w:t>, often</w:t>
      </w:r>
      <w:r>
        <w:t xml:space="preserve"> requiring medical assessment and intervention. Most Old Age Psychiatry inpatient wards </w:t>
      </w:r>
      <w:r w:rsidR="00D756F1">
        <w:t xml:space="preserve">are geographically isolated from acute hospitals and </w:t>
      </w:r>
      <w:r>
        <w:t>have limited expertise</w:t>
      </w:r>
      <w:r w:rsidR="002F3DC5">
        <w:t xml:space="preserve"> and resources</w:t>
      </w:r>
      <w:r>
        <w:t xml:space="preserve"> to identify and manage physically deteriorating patients, leading to transfer</w:t>
      </w:r>
      <w:r w:rsidR="002F3DC5">
        <w:t xml:space="preserve"> of patients</w:t>
      </w:r>
      <w:r>
        <w:t xml:space="preserve"> to local acute hospitals for further assessment and treatment. </w:t>
      </w:r>
      <w:r w:rsidR="0049730D">
        <w:t>This is particularly challenging o</w:t>
      </w:r>
      <w:r w:rsidR="006167FB">
        <w:t>ut-of-hours</w:t>
      </w:r>
      <w:r w:rsidR="0049730D">
        <w:t>, when</w:t>
      </w:r>
      <w:r w:rsidR="006167FB">
        <w:t xml:space="preserve"> t</w:t>
      </w:r>
      <w:r>
        <w:t xml:space="preserve">ransfers of patients </w:t>
      </w:r>
      <w:r w:rsidR="006167FB">
        <w:t xml:space="preserve">with severe mental illness </w:t>
      </w:r>
      <w:r w:rsidR="00D756F1">
        <w:t xml:space="preserve">to acute hospitals </w:t>
      </w:r>
      <w:r>
        <w:t xml:space="preserve">may </w:t>
      </w:r>
      <w:r w:rsidR="006167FB">
        <w:t>occur</w:t>
      </w:r>
      <w:r>
        <w:t xml:space="preserve"> with limited opportunity to discuss and agree whether this is </w:t>
      </w:r>
      <w:r w:rsidR="002F3DC5">
        <w:t xml:space="preserve">indeed </w:t>
      </w:r>
      <w:r>
        <w:t>appropriate.</w:t>
      </w:r>
      <w:r w:rsidR="00D756F1">
        <w:t xml:space="preserve"> The clinical decision maker can often be a junior doctor </w:t>
      </w:r>
      <w:r w:rsidR="00C55C92">
        <w:t xml:space="preserve">on-call </w:t>
      </w:r>
      <w:r w:rsidR="00D756F1">
        <w:t>or a ward nurse who may not know the patient care plan and family’s prior wishes.</w:t>
      </w:r>
      <w:r w:rsidR="0049730D">
        <w:t xml:space="preserve"> This can lead to inappropriate invasive procedures or distressing episodes of care, which could have otherwise been avoided with clear advanced care planning.</w:t>
      </w:r>
    </w:p>
    <w:p w14:paraId="60C8FD1A" w14:textId="069C0317" w:rsidR="002F3DC5" w:rsidRPr="008D0EC0" w:rsidRDefault="003C34DB" w:rsidP="000A00F0">
      <w:pPr>
        <w:spacing w:before="240" w:after="120"/>
      </w:pPr>
      <w:r>
        <w:t>Despite their widespread use in a</w:t>
      </w:r>
      <w:r w:rsidR="006167FB">
        <w:t>c</w:t>
      </w:r>
      <w:r>
        <w:t xml:space="preserve">ute hospitals, </w:t>
      </w:r>
      <w:r w:rsidR="005F6C74">
        <w:t xml:space="preserve">a </w:t>
      </w:r>
      <w:r>
        <w:t xml:space="preserve">formal </w:t>
      </w:r>
      <w:r w:rsidR="00006B43">
        <w:t>Treatment Escalation Plan (TEP)</w:t>
      </w:r>
      <w:r w:rsidR="005F6C74">
        <w:t xml:space="preserve"> is</w:t>
      </w:r>
      <w:r>
        <w:t xml:space="preserve"> </w:t>
      </w:r>
      <w:r w:rsidR="00006B43">
        <w:t>rarely</w:t>
      </w:r>
      <w:r>
        <w:t xml:space="preserve"> used in inpatient</w:t>
      </w:r>
      <w:r w:rsidR="00006B43">
        <w:t xml:space="preserve"> Old Age</w:t>
      </w:r>
      <w:r>
        <w:t xml:space="preserve"> Psychiatry hospitals.</w:t>
      </w:r>
      <w:r w:rsidR="00006B43">
        <w:t xml:space="preserve"> </w:t>
      </w:r>
      <w:r w:rsidR="003E0E37">
        <w:t>This project took place at the Western Community Hospital (WCH)</w:t>
      </w:r>
      <w:r w:rsidR="008D68C2">
        <w:t xml:space="preserve">, </w:t>
      </w:r>
      <w:r w:rsidR="003E0E37">
        <w:t>Southern Health NHS Foundation Trust</w:t>
      </w:r>
      <w:r w:rsidR="008D68C2">
        <w:t xml:space="preserve">, Southampton. </w:t>
      </w:r>
      <w:r w:rsidR="003E0E37">
        <w:t>WCH</w:t>
      </w:r>
      <w:r w:rsidR="008D68C2">
        <w:t xml:space="preserve"> ho</w:t>
      </w:r>
      <w:r w:rsidR="003E0E37">
        <w:t xml:space="preserve">sts two </w:t>
      </w:r>
      <w:r w:rsidR="008D68C2">
        <w:t xml:space="preserve">Old Age Psychiatry </w:t>
      </w:r>
      <w:r w:rsidR="006167FB">
        <w:t xml:space="preserve">inpatient </w:t>
      </w:r>
      <w:r w:rsidR="003E0E37">
        <w:t xml:space="preserve">wards. Berrywood ward accommodates 18 </w:t>
      </w:r>
      <w:r w:rsidR="005B1FB1">
        <w:t>older adults</w:t>
      </w:r>
      <w:r w:rsidR="003E0E37">
        <w:t xml:space="preserve"> with functional mental illnesses such as schizophrenia and depression. Beaulieu ward accommodates up to 14 </w:t>
      </w:r>
      <w:r w:rsidR="005B1FB1">
        <w:t>older adults</w:t>
      </w:r>
      <w:r w:rsidR="003E0E37">
        <w:t xml:space="preserve"> with</w:t>
      </w:r>
      <w:r w:rsidR="008D68C2">
        <w:t xml:space="preserve"> severe</w:t>
      </w:r>
      <w:r w:rsidR="003E0E37">
        <w:t xml:space="preserve"> </w:t>
      </w:r>
      <w:r w:rsidR="002F3DC5">
        <w:t>behavioural symptoms of dementia</w:t>
      </w:r>
      <w:r w:rsidR="003E0E37">
        <w:t>. The two wards are staffed by</w:t>
      </w:r>
      <w:r w:rsidR="008B79E4">
        <w:t xml:space="preserve"> a multidisciplinary team including </w:t>
      </w:r>
      <w:r w:rsidR="00122293">
        <w:t>two</w:t>
      </w:r>
      <w:r w:rsidR="008B79E4">
        <w:t xml:space="preserve"> consultant psychiatrists,</w:t>
      </w:r>
      <w:r w:rsidR="00E75314">
        <w:t xml:space="preserve"> junior doctors</w:t>
      </w:r>
      <w:r w:rsidR="008B79E4">
        <w:t>, clinical</w:t>
      </w:r>
      <w:r w:rsidR="003E0E37">
        <w:t xml:space="preserve"> psychologists, occupational</w:t>
      </w:r>
      <w:r w:rsidR="008D68C2">
        <w:t xml:space="preserve"> therapists, </w:t>
      </w:r>
      <w:r w:rsidR="003E0E37">
        <w:t xml:space="preserve">physiotherapists, and a team of nurses and healthcare support workers. The two wards serve a large geographical area across the central South Coast, with the hospital situated </w:t>
      </w:r>
      <w:r w:rsidR="0041357C">
        <w:t>one</w:t>
      </w:r>
      <w:r w:rsidR="00C55C92">
        <w:t xml:space="preserve"> mile away from</w:t>
      </w:r>
      <w:r w:rsidR="003E0E37">
        <w:t xml:space="preserve"> the local acute </w:t>
      </w:r>
      <w:r w:rsidR="00AA6835">
        <w:t xml:space="preserve">tertiary </w:t>
      </w:r>
      <w:r w:rsidR="003E0E37" w:rsidRPr="008D0EC0">
        <w:t>hospital, University Hospital Southampton NHS Foundation Trust</w:t>
      </w:r>
      <w:r w:rsidR="00AA6835" w:rsidRPr="008D0EC0">
        <w:t xml:space="preserve"> (UHSFT)</w:t>
      </w:r>
      <w:r w:rsidR="003E0E37" w:rsidRPr="008D0EC0">
        <w:t>.</w:t>
      </w:r>
    </w:p>
    <w:p w14:paraId="5DECE280" w14:textId="6AE51FE3" w:rsidR="00BF1DC6" w:rsidRPr="008D0EC0" w:rsidRDefault="002F3DC5" w:rsidP="000A00F0">
      <w:pPr>
        <w:spacing w:before="240" w:after="120"/>
      </w:pPr>
      <w:r w:rsidRPr="008D0EC0">
        <w:t>T</w:t>
      </w:r>
      <w:r w:rsidR="00AE1513" w:rsidRPr="008D0EC0">
        <w:t>he project team</w:t>
      </w:r>
      <w:r w:rsidR="0001124E" w:rsidRPr="008D0EC0">
        <w:t>, which included specialists in Old Age Psychiatry and Medicine for Older People,</w:t>
      </w:r>
      <w:r w:rsidR="00AE1513" w:rsidRPr="008D0EC0">
        <w:t xml:space="preserve"> were thrust into making timely decisions </w:t>
      </w:r>
      <w:r w:rsidR="006167FB" w:rsidRPr="008D0EC0">
        <w:t>about</w:t>
      </w:r>
      <w:r w:rsidR="00AE1513" w:rsidRPr="008D0EC0">
        <w:t xml:space="preserve"> </w:t>
      </w:r>
      <w:r w:rsidR="00793597" w:rsidRPr="008D0EC0">
        <w:t xml:space="preserve">the upper limit of care that should be provided for </w:t>
      </w:r>
      <w:r w:rsidR="00AE1513" w:rsidRPr="008D0EC0">
        <w:t>our inpatients</w:t>
      </w:r>
      <w:r w:rsidR="00793597" w:rsidRPr="008D0EC0">
        <w:t xml:space="preserve"> in the event of clinical deterioration</w:t>
      </w:r>
      <w:r w:rsidR="00AE1513" w:rsidRPr="008D0EC0">
        <w:t xml:space="preserve"> during the first wave of the Coronavirus disease 2019 (COVID-19) pandemic in early 2020. </w:t>
      </w:r>
      <w:r w:rsidR="008B79E4" w:rsidRPr="008D0EC0">
        <w:t>Prior to this, d</w:t>
      </w:r>
      <w:r w:rsidR="00AE1513" w:rsidRPr="008D0EC0">
        <w:t xml:space="preserve">iscussions about </w:t>
      </w:r>
      <w:r w:rsidR="00793597" w:rsidRPr="008D0EC0">
        <w:t>these upper limits of care, termed “</w:t>
      </w:r>
      <w:r w:rsidR="00AE1513" w:rsidRPr="008D0EC0">
        <w:t>ceiling of care</w:t>
      </w:r>
      <w:r w:rsidR="00793597" w:rsidRPr="008D0EC0">
        <w:t>”,</w:t>
      </w:r>
      <w:r w:rsidR="00AE1513" w:rsidRPr="008D0EC0">
        <w:t xml:space="preserve"> were </w:t>
      </w:r>
      <w:r w:rsidRPr="008D0EC0">
        <w:t xml:space="preserve">not routine </w:t>
      </w:r>
      <w:r w:rsidR="008B79E4" w:rsidRPr="008D0EC0">
        <w:t>and</w:t>
      </w:r>
      <w:r w:rsidRPr="008D0EC0">
        <w:t xml:space="preserve"> were</w:t>
      </w:r>
      <w:r w:rsidR="008B79E4" w:rsidRPr="008D0EC0">
        <w:t xml:space="preserve"> </w:t>
      </w:r>
      <w:r w:rsidR="00AE1513" w:rsidRPr="008D0EC0">
        <w:t xml:space="preserve">inconsistently </w:t>
      </w:r>
      <w:r w:rsidR="008B79E4" w:rsidRPr="008D0EC0">
        <w:t>documented</w:t>
      </w:r>
      <w:r w:rsidRPr="008D0EC0">
        <w:t>, with feedback from on-call doctors highlighting this issue.</w:t>
      </w:r>
      <w:r w:rsidR="00AE1513" w:rsidRPr="008D0EC0">
        <w:t xml:space="preserve"> </w:t>
      </w:r>
      <w:r w:rsidRPr="008D0EC0">
        <w:t xml:space="preserve">We believed </w:t>
      </w:r>
      <w:r w:rsidR="00AE1513" w:rsidRPr="008D0EC0">
        <w:t xml:space="preserve">that </w:t>
      </w:r>
      <w:r w:rsidR="008B79E4" w:rsidRPr="008D0EC0">
        <w:t>clearer</w:t>
      </w:r>
      <w:r w:rsidR="00AE1513" w:rsidRPr="008D0EC0">
        <w:t xml:space="preserve"> documentation of these </w:t>
      </w:r>
      <w:r w:rsidRPr="008D0EC0">
        <w:t xml:space="preserve">ceiling of care </w:t>
      </w:r>
      <w:r w:rsidR="00AE1513" w:rsidRPr="008D0EC0">
        <w:t xml:space="preserve">discussions could be greatly improved for the benefit of </w:t>
      </w:r>
      <w:r w:rsidRPr="008D0EC0">
        <w:t>our</w:t>
      </w:r>
      <w:r w:rsidR="00AE1513" w:rsidRPr="008D0EC0">
        <w:t xml:space="preserve"> patient group</w:t>
      </w:r>
      <w:r w:rsidR="000203A6" w:rsidRPr="008D0EC0">
        <w:t>, and that implementation of TEP forms would be the best way to achieve this.</w:t>
      </w:r>
    </w:p>
    <w:p w14:paraId="4F3BF890" w14:textId="0BAEEEE6" w:rsidR="008954B2" w:rsidRPr="008D0EC0" w:rsidRDefault="00BF1DC6" w:rsidP="000A00F0">
      <w:pPr>
        <w:spacing w:before="240" w:after="120"/>
        <w:rPr>
          <w:b/>
        </w:rPr>
      </w:pPr>
      <w:r w:rsidRPr="008D0EC0">
        <w:t>Our aim was to</w:t>
      </w:r>
      <w:r w:rsidR="008D68C2" w:rsidRPr="008D0EC0">
        <w:t xml:space="preserve"> develop a </w:t>
      </w:r>
      <w:r w:rsidRPr="008D0EC0">
        <w:t xml:space="preserve">TEP </w:t>
      </w:r>
      <w:r w:rsidR="008D68C2" w:rsidRPr="008D0EC0">
        <w:t xml:space="preserve">proforma that </w:t>
      </w:r>
      <w:r w:rsidR="002F3DC5" w:rsidRPr="008D0EC0">
        <w:t xml:space="preserve">would be implemented in at least 80% of patients on our </w:t>
      </w:r>
      <w:r w:rsidR="008D68C2" w:rsidRPr="008D0EC0">
        <w:t xml:space="preserve">Old Age Psychiatry inpatient </w:t>
      </w:r>
      <w:r w:rsidR="002F3DC5" w:rsidRPr="008D0EC0">
        <w:t>wards</w:t>
      </w:r>
      <w:r w:rsidR="008D68C2" w:rsidRPr="008D0EC0">
        <w:t>.</w:t>
      </w:r>
    </w:p>
    <w:p w14:paraId="1DA6451B" w14:textId="6F731CE5" w:rsidR="00006B43" w:rsidRPr="008D0EC0" w:rsidRDefault="00E668B2" w:rsidP="000A00F0">
      <w:pPr>
        <w:spacing w:before="240" w:after="120"/>
        <w:rPr>
          <w:b/>
          <w:bCs/>
        </w:rPr>
      </w:pPr>
      <w:r w:rsidRPr="008D0EC0">
        <w:rPr>
          <w:b/>
          <w:bCs/>
        </w:rPr>
        <w:t xml:space="preserve">Background </w:t>
      </w:r>
    </w:p>
    <w:p w14:paraId="4DFA911B" w14:textId="4317669C" w:rsidR="00CF7DF5" w:rsidRDefault="00D756F1" w:rsidP="000A00F0">
      <w:pPr>
        <w:spacing w:before="240" w:after="120"/>
      </w:pPr>
      <w:r w:rsidRPr="008D0EC0">
        <w:t>TEP</w:t>
      </w:r>
      <w:r w:rsidR="006C33A0" w:rsidRPr="008D0EC0">
        <w:t>s</w:t>
      </w:r>
      <w:r w:rsidRPr="008D0EC0">
        <w:t xml:space="preserve"> offer</w:t>
      </w:r>
      <w:r w:rsidR="00006B43" w:rsidRPr="008D0EC0">
        <w:t xml:space="preserve"> </w:t>
      </w:r>
      <w:r w:rsidR="002F3DC5" w:rsidRPr="008D0EC0">
        <w:t>greater clarity in planning</w:t>
      </w:r>
      <w:r w:rsidR="00006B43" w:rsidRPr="008D0EC0">
        <w:t xml:space="preserve"> appropriate decision making in the management of deteriorating patients by</w:t>
      </w:r>
      <w:r w:rsidR="002F3DC5" w:rsidRPr="008D0EC0">
        <w:t xml:space="preserve"> explicitly stating</w:t>
      </w:r>
      <w:r w:rsidR="00006B43" w:rsidRPr="008D0EC0">
        <w:t xml:space="preserve"> a ceiling of care</w:t>
      </w:r>
      <w:r w:rsidR="000302B2" w:rsidRPr="008D0EC0">
        <w:t>, where these decisions are discussed with and agreed by patients or relatives</w:t>
      </w:r>
      <w:r w:rsidR="00F84AE3" w:rsidRPr="008D0EC0">
        <w:t xml:space="preserve"> </w:t>
      </w:r>
      <w:r w:rsidR="00F84AE3" w:rsidRPr="008D0EC0">
        <w:fldChar w:fldCharType="begin"/>
      </w:r>
      <w:r w:rsidR="00E5250A">
        <w:instrText xml:space="preserve"> ADDIN EN.CITE &lt;EndNote&gt;&lt;Cite&gt;&lt;Author&gt;Obolensky&lt;/Author&gt;&lt;Year&gt;2010&lt;/Year&gt;&lt;RecNum&gt;6&lt;/RecNum&gt;&lt;DisplayText&gt;[1]&lt;/DisplayText&gt;&lt;record&gt;&lt;rec-number&gt;6&lt;/rec-number&gt;&lt;foreign-keys&gt;&lt;key app="EN" db-id="95fspv95w9ere8eppw2pse9f9aa0x5ee0dw9" timestamp="1621598948"&gt;6&lt;/key&gt;&lt;/foreign-keys&gt;&lt;ref-type name="Journal Article"&gt;17&lt;/ref-type&gt;&lt;contributors&gt;&lt;authors&gt;&lt;author&gt;Obolensky, L.&lt;/author&gt;&lt;author&gt;Clark, T.&lt;/author&gt;&lt;author&gt;Matthew, G.&lt;/author&gt;&lt;author&gt;Mercer, M.&lt;/author&gt;&lt;/authors&gt;&lt;/contributors&gt;&lt;auth-address&gt;Department of Anaesthesia, Torbay Hospital, Torquay, Devon, UK lucyobolensky@live.co.uk&lt;/auth-address&gt;&lt;titles&gt;&lt;title&gt;A patient and relative centred evaluation of treatment escalation plans: a replacement for the do-not-resuscitate process&lt;/title&gt;&lt;secondary-title&gt;J Med Ethics&lt;/secondary-title&gt;&lt;/titles&gt;&lt;periodical&gt;&lt;full-title&gt;J Med Ethics&lt;/full-title&gt;&lt;/periodical&gt;&lt;pages&gt;518-20&lt;/pages&gt;&lt;volume&gt;36&lt;/volume&gt;&lt;number&gt;9&lt;/number&gt;&lt;edition&gt;2010/09/08&lt;/edition&gt;&lt;keywords&gt;&lt;keyword&gt;Aged&lt;/keyword&gt;&lt;keyword&gt;Aged, 80 and over&lt;/keyword&gt;&lt;keyword&gt;Attitude of Health Personnel&lt;/keyword&gt;&lt;keyword&gt;*Cardiopulmonary Resuscitation&lt;/keyword&gt;&lt;keyword&gt;Caregivers/*psychology&lt;/keyword&gt;&lt;keyword&gt;Humans&lt;/keyword&gt;&lt;keyword&gt;Middle Aged&lt;/keyword&gt;&lt;keyword&gt;Patient Participation/*psychology&lt;/keyword&gt;&lt;keyword&gt;Patients/*psychology&lt;/keyword&gt;&lt;keyword&gt;Resuscitation Orders/*psychology&lt;/keyword&gt;&lt;keyword&gt;Surveys and Questionnaires&lt;/keyword&gt;&lt;keyword&gt;United Kingdom&lt;/keyword&gt;&lt;keyword&gt;Withholding Treatment/*ethics&lt;/keyword&gt;&lt;/keywords&gt;&lt;dates&gt;&lt;year&gt;2010&lt;/year&gt;&lt;pub-dates&gt;&lt;date&gt;Sep&lt;/date&gt;&lt;/pub-dates&gt;&lt;/dates&gt;&lt;isbn&gt;0306-6800&lt;/isbn&gt;&lt;accession-num&gt;20817818&lt;/accession-num&gt;&lt;urls&gt;&lt;/urls&gt;&lt;electronic-resource-num&gt;10.1136/jme.2009.033977&lt;/electronic-resource-num&gt;&lt;remote-database-provider&gt;NLM&lt;/remote-database-provider&gt;&lt;language&gt;eng&lt;/language&gt;&lt;/record&gt;&lt;/Cite&gt;&lt;/EndNote&gt;</w:instrText>
      </w:r>
      <w:r w:rsidR="00F84AE3" w:rsidRPr="008D0EC0">
        <w:fldChar w:fldCharType="separate"/>
      </w:r>
      <w:r w:rsidR="00E5250A">
        <w:rPr>
          <w:noProof/>
        </w:rPr>
        <w:t>[1]</w:t>
      </w:r>
      <w:r w:rsidR="00F84AE3" w:rsidRPr="008D0EC0">
        <w:fldChar w:fldCharType="end"/>
      </w:r>
      <w:r w:rsidR="00006B43" w:rsidRPr="008D0EC0">
        <w:t>. This includes, but is not limited to, a Do Not Attempt</w:t>
      </w:r>
      <w:r w:rsidR="00006B43">
        <w:t xml:space="preserve"> Cardiopulmonary Resuscitation (DNACPR) decision, as well as decisions regarding organ failure support (e.g. non-invasive ventilation) and appropriate settings of care for deteriorating patients (e.g. whether Intensive Care Unit admission would be suitable). Completion and regular review of a TEP ensures that patients are not subject to inappropriate invasive procedures or distressing modes of care in the case of terminal events. However, a TEP also ensures that all necessary and suitable treatment is started for a patient who is deteriorating, aiding the decision making of clinicians</w:t>
      </w:r>
      <w:r>
        <w:t xml:space="preserve">, especially </w:t>
      </w:r>
      <w:r w:rsidR="000302B2">
        <w:t>on-call</w:t>
      </w:r>
      <w:r>
        <w:t xml:space="preserve"> junior clinicians,</w:t>
      </w:r>
      <w:r w:rsidR="00006B43">
        <w:t xml:space="preserve"> who have not been previously involved in that patients care during their admission.</w:t>
      </w:r>
    </w:p>
    <w:p w14:paraId="5034679F" w14:textId="3D614969" w:rsidR="006A3128" w:rsidRDefault="00CF7DF5" w:rsidP="000A00F0">
      <w:pPr>
        <w:spacing w:before="240" w:after="120"/>
      </w:pPr>
      <w:r w:rsidRPr="008D0EC0">
        <w:t xml:space="preserve">The use of </w:t>
      </w:r>
      <w:r w:rsidR="005B1FB1" w:rsidRPr="008D0EC0">
        <w:t xml:space="preserve">TEP </w:t>
      </w:r>
      <w:r w:rsidRPr="008D0EC0">
        <w:t>proformas have been adopted in several</w:t>
      </w:r>
      <w:r w:rsidR="001254F0" w:rsidRPr="008D0EC0">
        <w:t xml:space="preserve"> acute</w:t>
      </w:r>
      <w:r w:rsidRPr="008D0EC0">
        <w:t xml:space="preserve"> </w:t>
      </w:r>
      <w:r w:rsidR="00793558" w:rsidRPr="008D0EC0">
        <w:t>hospitals</w:t>
      </w:r>
      <w:r w:rsidRPr="008D0EC0">
        <w:t xml:space="preserve"> across the NHS with succes</w:t>
      </w:r>
      <w:r w:rsidR="001254F0" w:rsidRPr="008D0EC0">
        <w:t xml:space="preserve">s </w:t>
      </w:r>
      <w:r w:rsidR="001254F0" w:rsidRPr="008D0EC0">
        <w:fldChar w:fldCharType="begin"/>
      </w:r>
      <w:r w:rsidR="00E5250A">
        <w:instrText xml:space="preserve"> ADDIN EN.CITE &lt;EndNote&gt;&lt;Cite&gt;&lt;Author&gt;Paes&lt;/Author&gt;&lt;Year&gt;2012&lt;/Year&gt;&lt;RecNum&gt;1&lt;/RecNum&gt;&lt;DisplayText&gt;[2, 3]&lt;/DisplayText&gt;&lt;record&gt;&lt;rec-number&gt;1&lt;/rec-number&gt;&lt;foreign-keys&gt;&lt;key app="EN" db-id="95fspv95w9ere8eppw2pse9f9aa0x5ee0dw9" timestamp="1621512814"&gt;1&lt;/key&gt;&lt;/foreign-keys&gt;&lt;ref-type name="Journal Article"&gt;17&lt;/ref-type&gt;&lt;contributors&gt;&lt;authors&gt;&lt;author&gt;Paes, Paul&lt;/author&gt;&lt;author&gt;O&amp;apos;Neill, Cate&lt;/author&gt;&lt;/authors&gt;&lt;/contributors&gt;&lt;titles&gt;&lt;title&gt;Treatment escalation plans – a tool to aid end of life decision making?&lt;/title&gt;&lt;secondary-title&gt;BMJ Supportive &amp;amp;amp; Palliative Care&lt;/secondary-title&gt;&lt;/titles&gt;&lt;periodical&gt;&lt;full-title&gt;BMJ Supportive &amp;amp;amp; Palliative Care&lt;/full-title&gt;&lt;/periodical&gt;&lt;pages&gt;A60-A60&lt;/pages&gt;&lt;volume&gt;2&lt;/volume&gt;&lt;number&gt;Suppl 1&lt;/number&gt;&lt;dates&gt;&lt;year&gt;2012&lt;/year&gt;&lt;/dates&gt;&lt;urls&gt;&lt;related-urls&gt;&lt;url&gt;https://spcare.bmj.com/content/bmjspcare/2/Suppl_1/A60.1.full.pdf&lt;/url&gt;&lt;/related-urls&gt;&lt;/urls&gt;&lt;electronic-resource-num&gt;10.1136/bmjspcare-2012-000196.174&lt;/electronic-resource-num&gt;&lt;/record&gt;&lt;/Cite&gt;&lt;Cite&gt;&lt;Author&gt;Dartford &amp;amp; Gravesham NHS Trust&lt;/Author&gt;&lt;Year&gt;2013&lt;/Year&gt;&lt;RecNum&gt;3&lt;/RecNum&gt;&lt;record&gt;&lt;rec-number&gt;3&lt;/rec-number&gt;&lt;foreign-keys&gt;&lt;key app="EN" db-id="95fspv95w9ere8eppw2pse9f9aa0x5ee0dw9" timestamp="1621515640"&gt;3&lt;/key&gt;&lt;/foreign-keys&gt;&lt;ref-type name="Report"&gt;27&lt;/ref-type&gt;&lt;contributors&gt;&lt;authors&gt;&lt;author&gt;Dartford &amp;amp; Gravesham NHS Trust,&lt;/author&gt;&lt;/authors&gt;&lt;tertiary-authors&gt;&lt;author&gt;National Institute for Health and Care Excellence&lt;/author&gt;&lt;/tertiary-authors&gt;&lt;/contributors&gt;&lt;titles&gt;&lt;title&gt;Reducing mortality through improving care for &amp;apos;acutely ill patients in hospital&amp;apos;&lt;/title&gt;&lt;/titles&gt;&lt;dates&gt;&lt;year&gt;2013&lt;/year&gt;&lt;/dates&gt;&lt;urls&gt;&lt;related-urls&gt;&lt;url&gt;https://www.nice.org.uk/sharedlearning/reducing-mortality-through-improving-care-for-acutely-ill-patients-in-hospital&lt;/url&gt;&lt;/related-urls&gt;&lt;/urls&gt;&lt;/record&gt;&lt;/Cite&gt;&lt;/EndNote&gt;</w:instrText>
      </w:r>
      <w:r w:rsidR="001254F0" w:rsidRPr="008D0EC0">
        <w:fldChar w:fldCharType="separate"/>
      </w:r>
      <w:r w:rsidR="00E5250A">
        <w:rPr>
          <w:noProof/>
        </w:rPr>
        <w:t>[2, 3]</w:t>
      </w:r>
      <w:r w:rsidR="001254F0" w:rsidRPr="008D0EC0">
        <w:fldChar w:fldCharType="end"/>
      </w:r>
      <w:r w:rsidR="000D1F97" w:rsidRPr="008D0EC0">
        <w:t>, with one previous quality improvement project showing the highest usage rates on acute wards</w:t>
      </w:r>
      <w:r w:rsidR="00AA6835" w:rsidRPr="008D0EC0">
        <w:t xml:space="preserve"> for older people</w:t>
      </w:r>
      <w:r w:rsidR="009C3D09" w:rsidRPr="008D0EC0">
        <w:t>, demonstrating the importance of TEP in patients who may be more frail</w:t>
      </w:r>
      <w:r w:rsidR="000D1F97" w:rsidRPr="008D0EC0">
        <w:t xml:space="preserve"> </w:t>
      </w:r>
      <w:r w:rsidR="00825C72" w:rsidRPr="008D0EC0">
        <w:fldChar w:fldCharType="begin"/>
      </w:r>
      <w:r w:rsidR="00E5250A">
        <w:instrText xml:space="preserve"> ADDIN EN.CITE &lt;EndNote&gt;&lt;Cite&gt;&lt;Author&gt;Stockdale&lt;/Author&gt;&lt;Year&gt;2014&lt;/Year&gt;&lt;RecNum&gt;5&lt;/RecNum&gt;&lt;DisplayText&gt;[4]&lt;/DisplayText&gt;&lt;record&gt;&lt;rec-number&gt;5&lt;/rec-number&gt;&lt;foreign-keys&gt;&lt;key app="EN" db-id="95fspv95w9ere8eppw2pse9f9aa0x5ee0dw9" timestamp="1621598929"&gt;5&lt;/key&gt;&lt;/foreign-keys&gt;&lt;ref-type name="Journal Article"&gt;17&lt;/ref-type&gt;&lt;contributors&gt;&lt;authors&gt;&lt;author&gt;Stockdale, C.&lt;/author&gt;&lt;author&gt;Trivedi, B.&lt;/author&gt;&lt;author&gt;Jerome, E.&lt;/author&gt;&lt;author&gt;Salih, S.&lt;/author&gt;&lt;author&gt;Huntley, C.&lt;/author&gt;&lt;author&gt;Cooke, E.&lt;/author&gt;&lt;author&gt;Massey, Y.&lt;/author&gt;&lt;author&gt;Mella, S.&lt;/author&gt;&lt;/authors&gt;&lt;/contributors&gt;&lt;auth-address&gt;Musgrove Park Hospital, Taunton.&lt;/auth-address&gt;&lt;titles&gt;&lt;title&gt;Implementation of a combined Cardiopulmonary Resuscitation and Treatment Escalation Plan document in a District General Hospital&lt;/title&gt;&lt;secondary-title&gt;BMJ Qual Improv Rep&lt;/secondary-title&gt;&lt;/titles&gt;&lt;periodical&gt;&lt;full-title&gt;BMJ Qual Improv Rep&lt;/full-title&gt;&lt;/periodical&gt;&lt;volume&gt;2&lt;/volume&gt;&lt;number&gt;2&lt;/number&gt;&lt;edition&gt;2014/01/01&lt;/edition&gt;&lt;dates&gt;&lt;year&gt;2014&lt;/year&gt;&lt;/dates&gt;&lt;isbn&gt;2050-1315 (Print)&amp;#xD;2050-1315&lt;/isbn&gt;&lt;accession-num&gt;26734225&lt;/accession-num&gt;&lt;urls&gt;&lt;/urls&gt;&lt;custom2&gt;PMC4663841&lt;/custom2&gt;&lt;electronic-resource-num&gt;10.1136/bmjquality.u202653.w1236&lt;/electronic-resource-num&gt;&lt;remote-database-provider&gt;NLM&lt;/remote-database-provider&gt;&lt;language&gt;eng&lt;/language&gt;&lt;/record&gt;&lt;/Cite&gt;&lt;/EndNote&gt;</w:instrText>
      </w:r>
      <w:r w:rsidR="00825C72" w:rsidRPr="008D0EC0">
        <w:fldChar w:fldCharType="separate"/>
      </w:r>
      <w:r w:rsidR="00E5250A">
        <w:rPr>
          <w:noProof/>
        </w:rPr>
        <w:t>[4]</w:t>
      </w:r>
      <w:r w:rsidR="00825C72" w:rsidRPr="008D0EC0">
        <w:fldChar w:fldCharType="end"/>
      </w:r>
      <w:r w:rsidR="006A3128" w:rsidRPr="008D0EC0">
        <w:t xml:space="preserve">. </w:t>
      </w:r>
      <w:r w:rsidR="00825C72" w:rsidRPr="008D0EC0">
        <w:t>Another project</w:t>
      </w:r>
      <w:r w:rsidR="006A3128" w:rsidRPr="008D0EC0">
        <w:t xml:space="preserve"> demonstrated that 96% of </w:t>
      </w:r>
      <w:r w:rsidR="000D1F97" w:rsidRPr="008D0EC0">
        <w:t xml:space="preserve">sampled </w:t>
      </w:r>
      <w:r w:rsidR="006A3128" w:rsidRPr="008D0EC0">
        <w:t>patients</w:t>
      </w:r>
      <w:r w:rsidR="000D1F97" w:rsidRPr="008D0EC0">
        <w:t xml:space="preserve"> </w:t>
      </w:r>
      <w:r w:rsidR="006A3128" w:rsidRPr="008D0EC0">
        <w:t xml:space="preserve">and relatives thought </w:t>
      </w:r>
      <w:r w:rsidR="000D1F97" w:rsidRPr="008D0EC0">
        <w:t xml:space="preserve">that </w:t>
      </w:r>
      <w:r w:rsidR="006A3128" w:rsidRPr="008D0EC0">
        <w:t>a TEP would be beneficial</w:t>
      </w:r>
      <w:r w:rsidR="00825C72" w:rsidRPr="008D0EC0">
        <w:t xml:space="preserve"> </w:t>
      </w:r>
      <w:r w:rsidR="00825C72" w:rsidRPr="008D0EC0">
        <w:fldChar w:fldCharType="begin"/>
      </w:r>
      <w:r w:rsidR="00E5250A">
        <w:instrText xml:space="preserve"> ADDIN EN.CITE &lt;EndNote&gt;&lt;Cite&gt;&lt;Author&gt;Obolensky&lt;/Author&gt;&lt;Year&gt;2010&lt;/Year&gt;&lt;RecNum&gt;6&lt;/RecNum&gt;&lt;DisplayText&gt;[1]&lt;/DisplayText&gt;&lt;record&gt;&lt;rec-number&gt;6&lt;/rec-number&gt;&lt;foreign-keys&gt;&lt;key app="EN" db-id="95fspv95w9ere8eppw2pse9f9aa0x5ee0dw9" timestamp="1621598948"&gt;6&lt;/key&gt;&lt;/foreign-keys&gt;&lt;ref-type name="Journal Article"&gt;17&lt;/ref-type&gt;&lt;contributors&gt;&lt;authors&gt;&lt;author&gt;Obolensky, L.&lt;/author&gt;&lt;author&gt;Clark, T.&lt;/author&gt;&lt;author&gt;Matthew, G.&lt;/author&gt;&lt;author&gt;Mercer, M.&lt;/author&gt;&lt;/authors&gt;&lt;/contributors&gt;&lt;auth-address&gt;Department of Anaesthesia, Torbay Hospital, Torquay, Devon, UK lucyobolensky@live.co.uk&lt;/auth-address&gt;&lt;titles&gt;&lt;title&gt;A patient and relative centred evaluation of treatment escalation plans: a replacement for the do-not-resuscitate process&lt;/title&gt;&lt;secondary-title&gt;J Med Ethics&lt;/secondary-title&gt;&lt;/titles&gt;&lt;periodical&gt;&lt;full-title&gt;J Med Ethics&lt;/full-title&gt;&lt;/periodical&gt;&lt;pages&gt;518-20&lt;/pages&gt;&lt;volume&gt;36&lt;/volume&gt;&lt;number&gt;9&lt;/number&gt;&lt;edition&gt;2010/09/08&lt;/edition&gt;&lt;keywords&gt;&lt;keyword&gt;Aged&lt;/keyword&gt;&lt;keyword&gt;Aged, 80 and over&lt;/keyword&gt;&lt;keyword&gt;Attitude of Health Personnel&lt;/keyword&gt;&lt;keyword&gt;*Cardiopulmonary Resuscitation&lt;/keyword&gt;&lt;keyword&gt;Caregivers/*psychology&lt;/keyword&gt;&lt;keyword&gt;Humans&lt;/keyword&gt;&lt;keyword&gt;Middle Aged&lt;/keyword&gt;&lt;keyword&gt;Patient Participation/*psychology&lt;/keyword&gt;&lt;keyword&gt;Patients/*psychology&lt;/keyword&gt;&lt;keyword&gt;Resuscitation Orders/*psychology&lt;/keyword&gt;&lt;keyword&gt;Surveys and Questionnaires&lt;/keyword&gt;&lt;keyword&gt;United Kingdom&lt;/keyword&gt;&lt;keyword&gt;Withholding Treatment/*ethics&lt;/keyword&gt;&lt;/keywords&gt;&lt;dates&gt;&lt;year&gt;2010&lt;/year&gt;&lt;pub-dates&gt;&lt;date&gt;Sep&lt;/date&gt;&lt;/pub-dates&gt;&lt;/dates&gt;&lt;isbn&gt;0306-6800&lt;/isbn&gt;&lt;accession-num&gt;20817818&lt;/accession-num&gt;&lt;urls&gt;&lt;/urls&gt;&lt;electronic-resource-num&gt;10.1136/jme.2009.033977&lt;/electronic-resource-num&gt;&lt;remote-database-provider&gt;NLM&lt;/remote-database-provider&gt;&lt;language&gt;eng&lt;/language&gt;&lt;/record&gt;&lt;/Cite&gt;&lt;/EndNote&gt;</w:instrText>
      </w:r>
      <w:r w:rsidR="00825C72" w:rsidRPr="008D0EC0">
        <w:fldChar w:fldCharType="separate"/>
      </w:r>
      <w:r w:rsidR="00E5250A">
        <w:rPr>
          <w:noProof/>
        </w:rPr>
        <w:t>[1]</w:t>
      </w:r>
      <w:r w:rsidR="00825C72" w:rsidRPr="008D0EC0">
        <w:fldChar w:fldCharType="end"/>
      </w:r>
      <w:r w:rsidR="006A3128" w:rsidRPr="008D0EC0">
        <w:t>.</w:t>
      </w:r>
      <w:r w:rsidR="000D1F97" w:rsidRPr="008D0EC0">
        <w:t xml:space="preserve"> A</w:t>
      </w:r>
      <w:r w:rsidR="00825C72" w:rsidRPr="008D0EC0">
        <w:t xml:space="preserve"> further project noted</w:t>
      </w:r>
      <w:r w:rsidR="006A3128" w:rsidRPr="008D0EC0">
        <w:t xml:space="preserve"> that DNACPR forms </w:t>
      </w:r>
      <w:r w:rsidR="000D1F97" w:rsidRPr="008D0EC0">
        <w:t>were</w:t>
      </w:r>
      <w:r w:rsidR="006A3128" w:rsidRPr="008D0EC0">
        <w:t xml:space="preserve"> not sufficient to guide </w:t>
      </w:r>
      <w:r w:rsidR="000D1F97" w:rsidRPr="008D0EC0">
        <w:t>clinical decisions</w:t>
      </w:r>
      <w:r w:rsidR="006A3128" w:rsidRPr="008D0EC0">
        <w:t xml:space="preserve"> about treatment escalation and showed that TEP </w:t>
      </w:r>
      <w:r w:rsidR="00B925B4" w:rsidRPr="008D0EC0">
        <w:t>proformas</w:t>
      </w:r>
      <w:r w:rsidR="006A3128">
        <w:t xml:space="preserve"> not only benefit</w:t>
      </w:r>
      <w:r w:rsidR="000D1F97">
        <w:t>ted the</w:t>
      </w:r>
      <w:r w:rsidR="006A3128">
        <w:t xml:space="preserve"> patient but also the treating clinician</w:t>
      </w:r>
      <w:r w:rsidR="000D1F97">
        <w:t>s</w:t>
      </w:r>
      <w:r w:rsidR="006A3128">
        <w:t>, particularly on-call junior doctors</w:t>
      </w:r>
      <w:r w:rsidR="00825C72">
        <w:t xml:space="preserve"> </w:t>
      </w:r>
      <w:r w:rsidR="00825C72">
        <w:fldChar w:fldCharType="begin"/>
      </w:r>
      <w:r w:rsidR="00E5250A">
        <w:instrText xml:space="preserve"> ADDIN EN.CITE &lt;EndNote&gt;&lt;Cite&gt;&lt;Author&gt;Shermon&lt;/Author&gt;&lt;Year&gt;2017&lt;/Year&gt;&lt;RecNum&gt;7&lt;/RecNum&gt;&lt;DisplayText&gt;[5]&lt;/DisplayText&gt;&lt;record&gt;&lt;rec-number&gt;7&lt;/rec-number&gt;&lt;foreign-keys&gt;&lt;key app="EN" db-id="95fspv95w9ere8eppw2pse9f9aa0x5ee0dw9" timestamp="1621598987"&gt;7&lt;/key&gt;&lt;/foreign-keys&gt;&lt;ref-type name="Journal Article"&gt;17&lt;/ref-type&gt;&lt;contributors&gt;&lt;authors&gt;&lt;author&gt;Shermon, Elizabeth&lt;/author&gt;&lt;author&gt;Munglani, Laura&lt;/author&gt;&lt;author&gt;Oram, Sarah&lt;/author&gt;&lt;author&gt;William, Linda&lt;/author&gt;&lt;author&gt;Abel, Julian&lt;/author&gt;&lt;/authors&gt;&lt;/contributors&gt;&lt;titles&gt;&lt;title&gt;Reducing DNACPR complaints to zero: designing and implementing a treatment escalation plan using quality improvement methodology&lt;/title&gt;&lt;secondary-title&gt;BMJ Open Quality&lt;/secondary-title&gt;&lt;/titles&gt;&lt;periodical&gt;&lt;full-title&gt;BMJ Open Quality&lt;/full-title&gt;&lt;/periodical&gt;&lt;pages&gt;e000011&lt;/pages&gt;&lt;volume&gt;6&lt;/volume&gt;&lt;number&gt;2&lt;/number&gt;&lt;dates&gt;&lt;year&gt;2017&lt;/year&gt;&lt;/dates&gt;&lt;urls&gt;&lt;related-urls&gt;&lt;url&gt;https://bmjopenquality.bmj.com/content/bmjqir/6/2/e000011.full.pdf&lt;/url&gt;&lt;/related-urls&gt;&lt;/urls&gt;&lt;electronic-resource-num&gt;10.1136/bmjoq-2017-000011&lt;/electronic-resource-num&gt;&lt;/record&gt;&lt;/Cite&gt;&lt;/EndNote&gt;</w:instrText>
      </w:r>
      <w:r w:rsidR="00825C72">
        <w:fldChar w:fldCharType="separate"/>
      </w:r>
      <w:r w:rsidR="00E5250A">
        <w:rPr>
          <w:noProof/>
        </w:rPr>
        <w:t>[5]</w:t>
      </w:r>
      <w:r w:rsidR="00825C72">
        <w:fldChar w:fldCharType="end"/>
      </w:r>
      <w:r w:rsidR="006A3128">
        <w:t xml:space="preserve">. </w:t>
      </w:r>
      <w:r w:rsidR="000D1F97">
        <w:t xml:space="preserve">A retrospective case note review of 45 cases concluded that formal TEP proformas were needed to enable visible and clear management plans for deteriorating patients, especially due to the complex management of such patients </w:t>
      </w:r>
      <w:r w:rsidR="000D1F97">
        <w:fldChar w:fldCharType="begin"/>
      </w:r>
      <w:r w:rsidR="00E5250A">
        <w:instrText xml:space="preserve"> ADDIN EN.CITE &lt;EndNote&gt;&lt;Cite&gt;&lt;Author&gt;Campling&lt;/Author&gt;&lt;Year&gt;2018&lt;/Year&gt;&lt;RecNum&gt;10&lt;/RecNum&gt;&lt;DisplayText&gt;[6]&lt;/DisplayText&gt;&lt;record&gt;&lt;rec-number&gt;10&lt;/rec-number&gt;&lt;foreign-keys&gt;&lt;key app="EN" db-id="95fspv95w9ere8eppw2pse9f9aa0x5ee0dw9" timestamp="1621601971"&gt;10&lt;/key&gt;&lt;/foreign-keys&gt;&lt;ref-type name="Journal Article"&gt;17&lt;/ref-type&gt;&lt;contributors&gt;&lt;authors&gt;&lt;author&gt;Campling, Natasha&lt;/author&gt;&lt;author&gt;Cummings, Amanda&lt;/author&gt;&lt;author&gt;Myall, Michelle&lt;/author&gt;&lt;author&gt;Lund, Susi&lt;/author&gt;&lt;author&gt;May, Carl R&lt;/author&gt;&lt;author&gt;Pearce, Neil W&lt;/author&gt;&lt;author&gt;Richardson, Alison&lt;/author&gt;&lt;/authors&gt;&lt;/contributors&gt;&lt;titles&gt;&lt;title&gt;Escalation-related decision making in acute deterioration: a retrospective case note review&lt;/title&gt;&lt;secondary-title&gt;BMJ Open&lt;/secondary-title&gt;&lt;/titles&gt;&lt;periodical&gt;&lt;full-title&gt;BMJ Open&lt;/full-title&gt;&lt;/periodical&gt;&lt;pages&gt;e022021&lt;/pages&gt;&lt;volume&gt;8&lt;/volume&gt;&lt;number&gt;8&lt;/number&gt;&lt;dates&gt;&lt;year&gt;2018&lt;/year&gt;&lt;/dates&gt;&lt;urls&gt;&lt;related-urls&gt;&lt;url&gt;https://bmjopen.bmj.com/content/bmjopen/8/8/e022021.full.pdf&lt;/url&gt;&lt;/related-urls&gt;&lt;/urls&gt;&lt;electronic-resource-num&gt;10.1136/bmjopen-2018-022021&lt;/electronic-resource-num&gt;&lt;/record&gt;&lt;/Cite&gt;&lt;/EndNote&gt;</w:instrText>
      </w:r>
      <w:r w:rsidR="000D1F97">
        <w:fldChar w:fldCharType="separate"/>
      </w:r>
      <w:r w:rsidR="00E5250A">
        <w:rPr>
          <w:noProof/>
        </w:rPr>
        <w:t>[6]</w:t>
      </w:r>
      <w:r w:rsidR="000D1F97">
        <w:fldChar w:fldCharType="end"/>
      </w:r>
      <w:r w:rsidR="000D1F97">
        <w:t>. One previous quality improvement p</w:t>
      </w:r>
      <w:r w:rsidR="002F61CE">
        <w:t>roject found the introduction of standardised TEP proformas significantly improved the clarity of documented</w:t>
      </w:r>
      <w:r w:rsidR="000D1F97">
        <w:t xml:space="preserve"> treatment</w:t>
      </w:r>
      <w:r w:rsidR="002F61CE">
        <w:t xml:space="preserve"> decisions </w:t>
      </w:r>
      <w:r w:rsidR="002F61CE">
        <w:fldChar w:fldCharType="begin"/>
      </w:r>
      <w:r w:rsidR="00E5250A">
        <w:instrText xml:space="preserve"> ADDIN EN.CITE &lt;EndNote&gt;&lt;Cite&gt;&lt;Author&gt;Zainal&lt;/Author&gt;&lt;Year&gt;2018&lt;/Year&gt;&lt;RecNum&gt;9&lt;/RecNum&gt;&lt;DisplayText&gt;[7]&lt;/DisplayText&gt;&lt;record&gt;&lt;rec-number&gt;9&lt;/rec-number&gt;&lt;foreign-keys&gt;&lt;key app="EN" db-id="95fspv95w9ere8eppw2pse9f9aa0x5ee0dw9" timestamp="1621601827"&gt;9&lt;/key&gt;&lt;/foreign-keys&gt;&lt;ref-type name="Journal Article"&gt;17&lt;/ref-type&gt;&lt;contributors&gt;&lt;authors&gt;&lt;author&gt;Zainal, Tariq&lt;/author&gt;&lt;author&gt;Healy, David&lt;/author&gt;&lt;author&gt;Joyce, Caitriona&lt;/author&gt;&lt;author&gt;Curran, Carmel&lt;/author&gt;&lt;/authors&gt;&lt;/contributors&gt;&lt;titles&gt;&lt;title&gt;176New Proforma for DNAR and Treatment Escalation Plan (TEP) Improves Quality of Documentation in a Large Teaching Hospital&lt;/title&gt;&lt;secondary-title&gt;Age and Ageing&lt;/secondary-title&gt;&lt;/titles&gt;&lt;periodical&gt;&lt;full-title&gt;Age and ageing&lt;/full-title&gt;&lt;abbr-1&gt;Age Ageing&lt;/abbr-1&gt;&lt;/periodical&gt;&lt;pages&gt;v1-v12&lt;/pages&gt;&lt;volume&gt;47&lt;/volume&gt;&lt;number&gt;suppl_5&lt;/number&gt;&lt;dates&gt;&lt;year&gt;2018&lt;/year&gt;&lt;/dates&gt;&lt;isbn&gt;0002-0729&lt;/isbn&gt;&lt;urls&gt;&lt;related-urls&gt;&lt;url&gt;https://doi.org/10.1093/ageing/afy141.28&lt;/url&gt;&lt;/related-urls&gt;&lt;/urls&gt;&lt;electronic-resource-num&gt;10.1093/ageing/afy141.28&lt;/electronic-resource-num&gt;&lt;access-date&gt;5/21/2021&lt;/access-date&gt;&lt;/record&gt;&lt;/Cite&gt;&lt;/EndNote&gt;</w:instrText>
      </w:r>
      <w:r w:rsidR="002F61CE">
        <w:fldChar w:fldCharType="separate"/>
      </w:r>
      <w:r w:rsidR="00E5250A">
        <w:rPr>
          <w:noProof/>
        </w:rPr>
        <w:t>[7]</w:t>
      </w:r>
      <w:r w:rsidR="002F61CE">
        <w:fldChar w:fldCharType="end"/>
      </w:r>
      <w:r w:rsidR="004452CA">
        <w:t xml:space="preserve">, and another showed that on-call doctors found documented ceiling of treatment proformas highly beneficial </w:t>
      </w:r>
      <w:r w:rsidR="004452CA">
        <w:fldChar w:fldCharType="begin"/>
      </w:r>
      <w:r w:rsidR="00E5250A">
        <w:instrText xml:space="preserve"> ADDIN EN.CITE &lt;EndNote&gt;&lt;Cite&gt;&lt;Author&gt;Dahill&lt;/Author&gt;&lt;Year&gt;2013&lt;/Year&gt;&lt;RecNum&gt;13&lt;/RecNum&gt;&lt;DisplayText&gt;[8]&lt;/DisplayText&gt;&lt;record&gt;&lt;rec-number&gt;13&lt;/rec-number&gt;&lt;foreign-keys&gt;&lt;key app="EN" db-id="95fspv95w9ere8eppw2pse9f9aa0x5ee0dw9" timestamp="1622011636"&gt;13&lt;/key&gt;&lt;/foreign-keys&gt;&lt;ref-type name="Journal Article"&gt;17&lt;/ref-type&gt;&lt;contributors&gt;&lt;authors&gt;&lt;author&gt;Dahill, Mark&lt;/author&gt;&lt;author&gt;Powter, Louise&lt;/author&gt;&lt;author&gt;Garland, Lynn&lt;/author&gt;&lt;author&gt;Mallett, Mark&lt;/author&gt;&lt;author&gt;Nolan, Jerry&lt;/author&gt;&lt;/authors&gt;&lt;/contributors&gt;&lt;titles&gt;&lt;title&gt;Improving documentation of treatment escalation decisions in acute care&lt;/title&gt;&lt;secondary-title&gt;BMJ Quality Improvement Reports&lt;/secondary-title&gt;&lt;/titles&gt;&lt;periodical&gt;&lt;full-title&gt;BMJ Quality Improvement Reports&lt;/full-title&gt;&lt;/periodical&gt;&lt;pages&gt;u200617.w1077&lt;/pages&gt;&lt;volume&gt;2&lt;/volume&gt;&lt;number&gt;1&lt;/number&gt;&lt;dates&gt;&lt;year&gt;2013&lt;/year&gt;&lt;/dates&gt;&lt;urls&gt;&lt;related-urls&gt;&lt;url&gt;https://bmjopenquality.bmj.com/content/bmjqir/2/1/u200617.w1077.full.pdf&lt;/url&gt;&lt;/related-urls&gt;&lt;/urls&gt;&lt;electronic-resource-num&gt;10.1136/bmjquality.u200617.w1077&lt;/electronic-resource-num&gt;&lt;/record&gt;&lt;/Cite&gt;&lt;/EndNote&gt;</w:instrText>
      </w:r>
      <w:r w:rsidR="004452CA">
        <w:fldChar w:fldCharType="separate"/>
      </w:r>
      <w:r w:rsidR="00E5250A">
        <w:rPr>
          <w:noProof/>
        </w:rPr>
        <w:t>[8]</w:t>
      </w:r>
      <w:r w:rsidR="004452CA">
        <w:fldChar w:fldCharType="end"/>
      </w:r>
      <w:r w:rsidR="004452CA">
        <w:t xml:space="preserve">. </w:t>
      </w:r>
      <w:r w:rsidR="000D1F97">
        <w:t>Lastly, there are challenges in the completion of a TEP but methods</w:t>
      </w:r>
      <w:r w:rsidR="00911BE1">
        <w:t>,</w:t>
      </w:r>
      <w:r w:rsidR="000D1F97">
        <w:t xml:space="preserve"> such as use of an information leaflet</w:t>
      </w:r>
      <w:r w:rsidR="00911BE1">
        <w:t>,</w:t>
      </w:r>
      <w:r w:rsidR="000D1F97">
        <w:t xml:space="preserve"> can </w:t>
      </w:r>
      <w:r w:rsidR="002F61CE">
        <w:t xml:space="preserve">improve the proportion of inpatients who had a TEP </w:t>
      </w:r>
      <w:r w:rsidR="002F61CE">
        <w:fldChar w:fldCharType="begin"/>
      </w:r>
      <w:r w:rsidR="00E5250A">
        <w:instrText xml:space="preserve"> ADDIN EN.CITE &lt;EndNote&gt;&lt;Cite&gt;&lt;Author&gt;Sayma&lt;/Author&gt;&lt;Year&gt;2018&lt;/Year&gt;&lt;RecNum&gt;11&lt;/RecNum&gt;&lt;DisplayText&gt;[9]&lt;/DisplayText&gt;&lt;record&gt;&lt;rec-number&gt;11&lt;/rec-number&gt;&lt;foreign-keys&gt;&lt;key app="EN" db-id="95fspv95w9ere8eppw2pse9f9aa0x5ee0dw9" timestamp="1621602059"&gt;11&lt;/key&gt;&lt;/foreign-keys&gt;&lt;ref-type name="Journal Article"&gt;17&lt;/ref-type&gt;&lt;contributors&gt;&lt;authors&gt;&lt;author&gt;Sayma, Meelad&lt;/author&gt;&lt;author&gt;Nowell, George&lt;/author&gt;&lt;author&gt;O’Connor, Aedamar&lt;/author&gt;&lt;author&gt;Clark, Gemma&lt;/author&gt;&lt;author&gt;Gaukroger, Andrew&lt;/author&gt;&lt;author&gt;Proctor, Dominic&lt;/author&gt;&lt;author&gt;Walsh, Jamie&lt;/author&gt;&lt;author&gt;Rigney, Brian&lt;/author&gt;&lt;author&gt;Norman, Storm&lt;/author&gt;&lt;author&gt;Adedeji, Andrew&lt;/author&gt;&lt;author&gt;Wilson, David&lt;/author&gt;&lt;author&gt;O’hagan, Darren&lt;/author&gt;&lt;author&gt;Cook, Victoria&lt;/author&gt;&lt;author&gt;Carrington, Robbie&lt;/author&gt;&lt;author&gt;Sekaran, Preshgena&lt;/author&gt;&lt;author&gt;Wehbe, Maya&lt;/author&gt;&lt;author&gt;Paterson, Duncan&lt;/author&gt;&lt;author&gt;Welchman, Sophie&lt;/author&gt;&lt;author&gt;Over, Jay&lt;/author&gt;&lt;author&gt;Payne, Sheila&lt;/author&gt;&lt;/authors&gt;&lt;/contributors&gt;&lt;titles&gt;&lt;title&gt;Improving the use of treatment escalation plans: a quality-improvement study&lt;/title&gt;&lt;secondary-title&gt;Postgraduate Medical Journal&lt;/secondary-title&gt;&lt;/titles&gt;&lt;periodical&gt;&lt;full-title&gt;Postgraduate Medical Journal&lt;/full-title&gt;&lt;/periodical&gt;&lt;pages&gt;404-410&lt;/pages&gt;&lt;volume&gt;94&lt;/volume&gt;&lt;number&gt;1113&lt;/number&gt;&lt;dates&gt;&lt;year&gt;2018&lt;/year&gt;&lt;/dates&gt;&lt;urls&gt;&lt;related-urls&gt;&lt;url&gt;https://pmj.bmj.com/content/postgradmedj/94/1113/404.full.pdf&lt;/url&gt;&lt;/related-urls&gt;&lt;/urls&gt;&lt;electronic-resource-num&gt;10.1136/postgradmedj-2018-135699&lt;/electronic-resource-num&gt;&lt;/record&gt;&lt;/Cite&gt;&lt;/EndNote&gt;</w:instrText>
      </w:r>
      <w:r w:rsidR="002F61CE">
        <w:fldChar w:fldCharType="separate"/>
      </w:r>
      <w:r w:rsidR="00E5250A">
        <w:rPr>
          <w:noProof/>
        </w:rPr>
        <w:t>[9]</w:t>
      </w:r>
      <w:r w:rsidR="002F61CE">
        <w:fldChar w:fldCharType="end"/>
      </w:r>
      <w:r w:rsidR="002F61CE">
        <w:t>.</w:t>
      </w:r>
    </w:p>
    <w:p w14:paraId="74EB9174" w14:textId="58EE57C0" w:rsidR="001441FF" w:rsidRDefault="001254F0" w:rsidP="000A00F0">
      <w:pPr>
        <w:spacing w:before="240" w:after="120"/>
      </w:pPr>
      <w:r>
        <w:t>The COVID-19 pandemic increased awareness of the importance of discussions regarding DNACPR and ceiling of care</w:t>
      </w:r>
      <w:r w:rsidR="005513D0">
        <w:t xml:space="preserve"> due to the risk of rapid deterioration in patients with COVID-19 and limited bed space in hospitals, especially in settings providing respiratory organ support. The pandemic </w:t>
      </w:r>
      <w:r>
        <w:t xml:space="preserve">provided an opportunity </w:t>
      </w:r>
      <w:r w:rsidR="005B1FB1">
        <w:t>to strengthen clinical decision making about treatment escalation</w:t>
      </w:r>
      <w:r>
        <w:t xml:space="preserve"> </w:t>
      </w:r>
      <w:r>
        <w:fldChar w:fldCharType="begin"/>
      </w:r>
      <w:r w:rsidR="00E5250A">
        <w:instrText xml:space="preserve"> ADDIN EN.CITE &lt;EndNote&gt;&lt;Cite&gt;&lt;Author&gt;McIntosh&lt;/Author&gt;&lt;Year&gt;2020&lt;/Year&gt;&lt;RecNum&gt;2&lt;/RecNum&gt;&lt;DisplayText&gt;[10]&lt;/DisplayText&gt;&lt;record&gt;&lt;rec-number&gt;2&lt;/rec-number&gt;&lt;foreign-keys&gt;&lt;key app="EN" db-id="95fspv95w9ere8eppw2pse9f9aa0x5ee0dw9" timestamp="1621512834"&gt;2&lt;/key&gt;&lt;/foreign-keys&gt;&lt;ref-type name="Journal Article"&gt;17&lt;/ref-type&gt;&lt;contributors&gt;&lt;authors&gt;&lt;author&gt;McIntosh, Luke&lt;/author&gt;&lt;/authors&gt;&lt;/contributors&gt;&lt;titles&gt;&lt;title&gt;Can the COVID-19 crisis strengthen our treatment escalation planning and resuscitation decision making?&lt;/title&gt;&lt;secondary-title&gt;Age and ageing&lt;/secondary-title&gt;&lt;alt-title&gt;Age Ageing&lt;/alt-title&gt;&lt;/titles&gt;&lt;periodical&gt;&lt;full-title&gt;Age and ageing&lt;/full-title&gt;&lt;abbr-1&gt;Age Ageing&lt;/abbr-1&gt;&lt;/periodical&gt;&lt;alt-periodical&gt;&lt;full-title&gt;Age and ageing&lt;/full-title&gt;&lt;abbr-1&gt;Age Ageing&lt;/abbr-1&gt;&lt;/alt-periodical&gt;&lt;pages&gt;525-525&lt;/pages&gt;&lt;volume&gt;49&lt;/volume&gt;&lt;number&gt;4&lt;/number&gt;&lt;keywords&gt;&lt;keyword&gt;*Betacoronavirus&lt;/keyword&gt;&lt;keyword&gt;COVID-19&lt;/keyword&gt;&lt;keyword&gt;Cardiopulmonary Resuscitation/*psychology&lt;/keyword&gt;&lt;keyword&gt;Coronavirus Infections/epidemiology/psychology/*therapy&lt;/keyword&gt;&lt;keyword&gt;*Decision Making&lt;/keyword&gt;&lt;keyword&gt;Humans&lt;/keyword&gt;&lt;keyword&gt;*Pandemics&lt;/keyword&gt;&lt;keyword&gt;Pneumonia, Viral/epidemiology/psychology/*therapy&lt;/keyword&gt;&lt;keyword&gt;Resuscitation Orders/*psychology&lt;/keyword&gt;&lt;keyword&gt;SARS-CoV-2&lt;/keyword&gt;&lt;/keywords&gt;&lt;dates&gt;&lt;year&gt;2020&lt;/year&gt;&lt;/dates&gt;&lt;publisher&gt;Oxford University Press&lt;/publisher&gt;&lt;isbn&gt;1468-2834&amp;#xD;0002-0729&lt;/isbn&gt;&lt;accession-num&gt;32318694&lt;/accession-num&gt;&lt;urls&gt;&lt;related-urls&gt;&lt;url&gt;https://pubmed.ncbi.nlm.nih.gov/32318694&lt;/url&gt;&lt;url&gt;https://www.ncbi.nlm.nih.gov/pmc/articles/PMC7188182/&lt;/url&gt;&lt;/related-urls&gt;&lt;/urls&gt;&lt;electronic-resource-num&gt;10.1093/ageing/afaa083&lt;/electronic-resource-num&gt;&lt;remote-database-name&gt;PubMed&lt;/remote-database-name&gt;&lt;language&gt;eng&lt;/language&gt;&lt;/record&gt;&lt;/Cite&gt;&lt;/EndNote&gt;</w:instrText>
      </w:r>
      <w:r>
        <w:fldChar w:fldCharType="separate"/>
      </w:r>
      <w:r w:rsidR="00E5250A">
        <w:rPr>
          <w:noProof/>
        </w:rPr>
        <w:t>[10]</w:t>
      </w:r>
      <w:r>
        <w:fldChar w:fldCharType="end"/>
      </w:r>
      <w:r>
        <w:t xml:space="preserve">. </w:t>
      </w:r>
      <w:r w:rsidR="000861C5">
        <w:t>N</w:t>
      </w:r>
      <w:r w:rsidR="007A082E">
        <w:t xml:space="preserve">ational Institute for </w:t>
      </w:r>
      <w:r w:rsidR="005B1FB1">
        <w:t>Health and Care</w:t>
      </w:r>
      <w:r w:rsidR="007A082E">
        <w:t xml:space="preserve"> Excellence (N</w:t>
      </w:r>
      <w:r w:rsidR="000861C5">
        <w:t>ICE</w:t>
      </w:r>
      <w:r w:rsidR="007A082E">
        <w:t>)</w:t>
      </w:r>
      <w:r w:rsidR="000861C5">
        <w:t xml:space="preserve"> COVID-19 rapid guideline</w:t>
      </w:r>
      <w:r w:rsidR="005B1FB1">
        <w:t>s</w:t>
      </w:r>
      <w:r w:rsidR="00825C72">
        <w:t xml:space="preserve"> </w:t>
      </w:r>
      <w:r w:rsidR="005B1FB1">
        <w:t>recommend</w:t>
      </w:r>
      <w:r w:rsidR="000D1F97">
        <w:t>ed</w:t>
      </w:r>
      <w:r w:rsidR="005B1FB1">
        <w:t xml:space="preserve"> timely discussion of ceiling of care decisions with patients and families, and documentation of these decisions through a TEP</w:t>
      </w:r>
      <w:r w:rsidR="000D1F97">
        <w:t xml:space="preserve"> </w:t>
      </w:r>
      <w:r w:rsidR="000D1F97">
        <w:fldChar w:fldCharType="begin"/>
      </w:r>
      <w:r w:rsidR="00E5250A">
        <w:instrText xml:space="preserve"> ADDIN EN.CITE &lt;EndNote&gt;&lt;Cite&gt;&lt;Author&gt;National Institute for Health and Care Excellence&lt;/Author&gt;&lt;Year&gt;2021&lt;/Year&gt;&lt;RecNum&gt;4&lt;/RecNum&gt;&lt;DisplayText&gt;[11]&lt;/DisplayText&gt;&lt;record&gt;&lt;rec-number&gt;4&lt;/rec-number&gt;&lt;foreign-keys&gt;&lt;key app="EN" db-id="95fspv95w9ere8eppw2pse9f9aa0x5ee0dw9" timestamp="1621598843"&gt;4&lt;/key&gt;&lt;/foreign-keys&gt;&lt;ref-type name="Government Document"&gt;46&lt;/ref-type&gt;&lt;contributors&gt;&lt;authors&gt;&lt;author&gt;National Institute for Health and Care Excellence,&lt;/author&gt;&lt;/authors&gt;&lt;/contributors&gt;&lt;titles&gt;&lt;title&gt;COVID-19 rapid guideline: managing COVID-19&lt;/title&gt;&lt;/titles&gt;&lt;edition&gt;23/03/2021&lt;/edition&gt;&lt;dates&gt;&lt;year&gt;2021&lt;/year&gt;&lt;/dates&gt;&lt;urls&gt;&lt;related-urls&gt;&lt;url&gt;https://www.nice.org.uk/guidance/ng191&lt;/url&gt;&lt;/related-urls&gt;&lt;/urls&gt;&lt;access-date&gt;21/05/2021&lt;/access-date&gt;&lt;/record&gt;&lt;/Cite&gt;&lt;/EndNote&gt;</w:instrText>
      </w:r>
      <w:r w:rsidR="000D1F97">
        <w:fldChar w:fldCharType="separate"/>
      </w:r>
      <w:r w:rsidR="00E5250A">
        <w:rPr>
          <w:noProof/>
        </w:rPr>
        <w:t>[11]</w:t>
      </w:r>
      <w:r w:rsidR="000D1F97">
        <w:fldChar w:fldCharType="end"/>
      </w:r>
      <w:r w:rsidR="005B1FB1">
        <w:t xml:space="preserve">. Although the </w:t>
      </w:r>
      <w:r w:rsidR="000861C5">
        <w:t xml:space="preserve">COVID-19 </w:t>
      </w:r>
      <w:r w:rsidR="005B1FB1">
        <w:t xml:space="preserve">pandemic </w:t>
      </w:r>
      <w:r w:rsidR="000861C5">
        <w:t xml:space="preserve">accentuated the need for TEPs, </w:t>
      </w:r>
      <w:r w:rsidR="005B1FB1">
        <w:t xml:space="preserve">these should be adopted </w:t>
      </w:r>
      <w:r w:rsidR="00DD1ACD">
        <w:t xml:space="preserve">as </w:t>
      </w:r>
      <w:r w:rsidR="005B1FB1">
        <w:t>part of good clinical practice, especially</w:t>
      </w:r>
      <w:r w:rsidR="00DD1ACD">
        <w:t xml:space="preserve"> </w:t>
      </w:r>
      <w:r w:rsidR="000302B2">
        <w:t xml:space="preserve">in </w:t>
      </w:r>
      <w:r w:rsidR="00DD1ACD">
        <w:t>older people</w:t>
      </w:r>
      <w:r w:rsidR="00AA6835">
        <w:t xml:space="preserve"> who may be living with frailty</w:t>
      </w:r>
      <w:r w:rsidR="00DD1ACD">
        <w:t>.</w:t>
      </w:r>
    </w:p>
    <w:p w14:paraId="74649886" w14:textId="510F9E7B" w:rsidR="000804B2" w:rsidRDefault="00EF671B" w:rsidP="000A00F0">
      <w:pPr>
        <w:spacing w:before="240" w:after="120"/>
      </w:pPr>
      <w:r>
        <w:t>Prior to the C</w:t>
      </w:r>
      <w:r w:rsidR="006A3128">
        <w:t>OVID</w:t>
      </w:r>
      <w:r>
        <w:t xml:space="preserve">-19 pandemic there was no TEP proforma </w:t>
      </w:r>
      <w:r w:rsidR="006A3128">
        <w:t>in use at WCH. Discussions about ceiling</w:t>
      </w:r>
      <w:r w:rsidR="00DD1ACD">
        <w:t>s</w:t>
      </w:r>
      <w:r w:rsidR="006A3128">
        <w:t xml:space="preserve"> of care were not consistently documented on the </w:t>
      </w:r>
      <w:r w:rsidR="00D741F3">
        <w:t>electronic</w:t>
      </w:r>
      <w:r w:rsidR="006A3128">
        <w:t xml:space="preserve"> patient record system (RiO),</w:t>
      </w:r>
      <w:r w:rsidR="00DD1ACD">
        <w:t xml:space="preserve"> leading to some uncertainty about whether treatment escalation was appropriate. </w:t>
      </w:r>
      <w:r w:rsidR="006A3128">
        <w:t>This was particularly problematic when the treating clinician had no prior knowledge of the patient</w:t>
      </w:r>
      <w:r w:rsidR="00DD1ACD">
        <w:t>, such as when out-of-hours doctors were called about a deteriorating patient.</w:t>
      </w:r>
      <w:r w:rsidR="00D255F9">
        <w:t xml:space="preserve"> Therefore, t</w:t>
      </w:r>
      <w:r>
        <w:t>he</w:t>
      </w:r>
      <w:r w:rsidR="00D741F3">
        <w:t xml:space="preserve"> design and</w:t>
      </w:r>
      <w:r>
        <w:t xml:space="preserve"> implementation of a</w:t>
      </w:r>
      <w:r w:rsidRPr="00EF671B">
        <w:rPr>
          <w:lang w:val="en-GB"/>
        </w:rPr>
        <w:t xml:space="preserve"> </w:t>
      </w:r>
      <w:r>
        <w:t xml:space="preserve">TEP proforma was identified to be an area </w:t>
      </w:r>
      <w:r w:rsidR="00D741F3">
        <w:t xml:space="preserve">that </w:t>
      </w:r>
      <w:r>
        <w:t xml:space="preserve">we could improve </w:t>
      </w:r>
      <w:r w:rsidR="003174A4">
        <w:t xml:space="preserve">patient </w:t>
      </w:r>
      <w:r>
        <w:t xml:space="preserve">care </w:t>
      </w:r>
      <w:r w:rsidR="00243ED4">
        <w:t xml:space="preserve">on the </w:t>
      </w:r>
      <w:r w:rsidR="00D741F3">
        <w:t>Old Age Psychiatry inpatient wards at the</w:t>
      </w:r>
      <w:r>
        <w:t xml:space="preserve"> </w:t>
      </w:r>
      <w:r w:rsidR="001A02E7">
        <w:t>WCH</w:t>
      </w:r>
      <w:r>
        <w:t xml:space="preserve">. </w:t>
      </w:r>
    </w:p>
    <w:p w14:paraId="14B6869D" w14:textId="1CD93005" w:rsidR="00D741F3" w:rsidRPr="009A3B2A" w:rsidRDefault="00BC6710" w:rsidP="000A00F0">
      <w:pPr>
        <w:spacing w:before="240" w:after="120"/>
        <w:rPr>
          <w:b/>
          <w:bCs/>
        </w:rPr>
      </w:pPr>
      <w:r w:rsidRPr="00D741F3">
        <w:rPr>
          <w:b/>
          <w:bCs/>
        </w:rPr>
        <w:t>Baseline Measurement</w:t>
      </w:r>
    </w:p>
    <w:p w14:paraId="6F585A1E" w14:textId="589394AD" w:rsidR="00D741F3" w:rsidRDefault="00D741F3" w:rsidP="000A00F0">
      <w:pPr>
        <w:spacing w:before="240" w:after="120"/>
      </w:pPr>
      <w:r w:rsidRPr="008D0EC0">
        <w:t xml:space="preserve">Baseline data </w:t>
      </w:r>
      <w:r w:rsidR="00906BAD" w:rsidRPr="008D0EC0">
        <w:t>were</w:t>
      </w:r>
      <w:r w:rsidRPr="008D0EC0">
        <w:t xml:space="preserve"> collected</w:t>
      </w:r>
      <w:r w:rsidR="009C3D09" w:rsidRPr="008D0EC0">
        <w:t xml:space="preserve"> cross-sectionally</w:t>
      </w:r>
      <w:r w:rsidRPr="008D0EC0">
        <w:t xml:space="preserve"> from electronic patient records of all </w:t>
      </w:r>
      <w:r w:rsidR="009C3D09" w:rsidRPr="008D0EC0">
        <w:t>in</w:t>
      </w:r>
      <w:r w:rsidRPr="008D0EC0">
        <w:t>patients</w:t>
      </w:r>
      <w:r w:rsidR="009C3D09" w:rsidRPr="008D0EC0">
        <w:t xml:space="preserve"> with ongoing admissions </w:t>
      </w:r>
      <w:r w:rsidRPr="008D0EC0">
        <w:t>on 3</w:t>
      </w:r>
      <w:r w:rsidR="005E080B" w:rsidRPr="008D0EC0">
        <w:t>0</w:t>
      </w:r>
      <w:r w:rsidRPr="008D0EC0">
        <w:t>/07/2020 across both Berrywood and Beaulieu wards</w:t>
      </w:r>
      <w:r w:rsidR="00906BAD" w:rsidRPr="008D0EC0">
        <w:t xml:space="preserve"> at WCH</w:t>
      </w:r>
      <w:r w:rsidRPr="008D0EC0">
        <w:t>.</w:t>
      </w:r>
      <w:r>
        <w:t xml:space="preserve"> Each patient’s notes were </w:t>
      </w:r>
      <w:r w:rsidR="005E080B">
        <w:t>scrutinised</w:t>
      </w:r>
      <w:r>
        <w:t xml:space="preserve"> for </w:t>
      </w:r>
      <w:r w:rsidR="00906BAD">
        <w:t xml:space="preserve">documentation </w:t>
      </w:r>
      <w:r>
        <w:t>of any type of discussion about ceiling of care with the patient or their family</w:t>
      </w:r>
      <w:r w:rsidR="005E080B">
        <w:t xml:space="preserve">. This excluded discussions solely about DNACPR. </w:t>
      </w:r>
    </w:p>
    <w:p w14:paraId="15B372C8" w14:textId="37F0703E" w:rsidR="00101FA9" w:rsidRDefault="00D741F3" w:rsidP="000A00F0">
      <w:pPr>
        <w:spacing w:before="240" w:after="120"/>
      </w:pPr>
      <w:r w:rsidRPr="008D0EC0">
        <w:t xml:space="preserve">Of the </w:t>
      </w:r>
      <w:r w:rsidR="005E080B" w:rsidRPr="008D0EC0">
        <w:t xml:space="preserve">24 patients </w:t>
      </w:r>
      <w:r w:rsidR="009C3D09" w:rsidRPr="008D0EC0">
        <w:t xml:space="preserve">present in hospital </w:t>
      </w:r>
      <w:r w:rsidR="005E080B" w:rsidRPr="008D0EC0">
        <w:t xml:space="preserve">at baseline assessment, 13 (54%) patient records had evidence of a ceiling of care discussion being documented with either the patient themselves or their family. However, there was often some ambiguity about the final ceiling of care decision and </w:t>
      </w:r>
      <w:r w:rsidR="00E547C8" w:rsidRPr="008D0EC0">
        <w:t>precisely</w:t>
      </w:r>
      <w:r w:rsidR="005E080B" w:rsidRPr="008D0EC0">
        <w:t xml:space="preserve"> </w:t>
      </w:r>
      <w:r w:rsidR="00E547C8" w:rsidRPr="008D0EC0">
        <w:t>who</w:t>
      </w:r>
      <w:r w:rsidR="005E080B" w:rsidRPr="008D0EC0">
        <w:t xml:space="preserve"> was consulted.</w:t>
      </w:r>
    </w:p>
    <w:p w14:paraId="5C1998CD" w14:textId="4A286AEF" w:rsidR="00F22124" w:rsidRDefault="00101FA9" w:rsidP="000A00F0">
      <w:pPr>
        <w:spacing w:before="240" w:after="120"/>
      </w:pPr>
      <w:r>
        <w:t>Baseline qualitative data was collected</w:t>
      </w:r>
      <w:r w:rsidR="00395BB2">
        <w:t xml:space="preserve"> through a staff questionnaire exploring views about ceiling of care and TEP</w:t>
      </w:r>
      <w:r w:rsidR="004A4CC0">
        <w:t xml:space="preserve"> (Supplementary Figure 1)</w:t>
      </w:r>
      <w:r w:rsidR="00395BB2">
        <w:t>. S</w:t>
      </w:r>
      <w:r>
        <w:t xml:space="preserve">taff members were chosen based on stratified sampling that consisted of </w:t>
      </w:r>
      <w:r w:rsidR="00B61450">
        <w:t xml:space="preserve"> </w:t>
      </w:r>
      <w:r w:rsidR="00E75314">
        <w:t>three junior doctors</w:t>
      </w:r>
      <w:r>
        <w:t xml:space="preserve">, </w:t>
      </w:r>
      <w:r w:rsidR="00B61450">
        <w:t>two</w:t>
      </w:r>
      <w:r>
        <w:t xml:space="preserve"> consultants, </w:t>
      </w:r>
      <w:r w:rsidR="00410A2D">
        <w:t>one</w:t>
      </w:r>
      <w:r>
        <w:t xml:space="preserve"> healthcare assistant</w:t>
      </w:r>
      <w:r w:rsidR="00F22124">
        <w:t xml:space="preserve"> and </w:t>
      </w:r>
      <w:r w:rsidR="00410A2D">
        <w:t>four</w:t>
      </w:r>
      <w:r>
        <w:t xml:space="preserve"> nurses.</w:t>
      </w:r>
    </w:p>
    <w:p w14:paraId="17967B26" w14:textId="5F3FC5F9" w:rsidR="00B84C8A" w:rsidRDefault="00F22124" w:rsidP="000A00F0">
      <w:pPr>
        <w:spacing w:before="240" w:after="120"/>
      </w:pPr>
      <w:r>
        <w:t>We planned to collect data again following the design and implementation of the TEP proforma at WCH.</w:t>
      </w:r>
    </w:p>
    <w:p w14:paraId="2CD26078" w14:textId="21EE6C3F" w:rsidR="00F22124" w:rsidRDefault="00F22124" w:rsidP="000A00F0">
      <w:pPr>
        <w:spacing w:before="240" w:after="120"/>
        <w:rPr>
          <w:b/>
        </w:rPr>
      </w:pPr>
      <w:r>
        <w:rPr>
          <w:b/>
        </w:rPr>
        <w:t>Design</w:t>
      </w:r>
    </w:p>
    <w:p w14:paraId="6EA931BC" w14:textId="750D2221" w:rsidR="00F22124" w:rsidRDefault="00F22124" w:rsidP="000A00F0">
      <w:pPr>
        <w:spacing w:before="240" w:after="120"/>
      </w:pPr>
      <w:r>
        <w:t>In order to meet our project aim of designing a TEP</w:t>
      </w:r>
      <w:r w:rsidR="000C0D97">
        <w:t xml:space="preserve"> proforma</w:t>
      </w:r>
      <w:r>
        <w:t xml:space="preserve"> for the Old Age Psychiatry inpatient hospital, we</w:t>
      </w:r>
      <w:r w:rsidR="000C0D97">
        <w:t xml:space="preserve"> </w:t>
      </w:r>
      <w:r w:rsidR="00AA6835">
        <w:t>modified the</w:t>
      </w:r>
      <w:r w:rsidR="000C0D97">
        <w:t xml:space="preserve"> TEP proforma </w:t>
      </w:r>
      <w:r w:rsidR="00303A38">
        <w:t>already i</w:t>
      </w:r>
      <w:r w:rsidR="000C0D97">
        <w:t>n use at our neighboring acute hospital</w:t>
      </w:r>
      <w:r w:rsidR="00960A2C">
        <w:t xml:space="preserve"> </w:t>
      </w:r>
      <w:r w:rsidR="003A4BA0">
        <w:t xml:space="preserve">(UHSFT) </w:t>
      </w:r>
      <w:r w:rsidR="00AA6835">
        <w:t>after permission was granted</w:t>
      </w:r>
      <w:r w:rsidR="00960A2C">
        <w:t xml:space="preserve">. </w:t>
      </w:r>
      <w:r w:rsidR="00362247">
        <w:t>This previous proforma included the following levels of care:</w:t>
      </w:r>
    </w:p>
    <w:p w14:paraId="6BE5DD53" w14:textId="77777777" w:rsidR="00F22124" w:rsidRDefault="00F22124" w:rsidP="000A00F0">
      <w:pPr>
        <w:pStyle w:val="ListParagraph"/>
        <w:numPr>
          <w:ilvl w:val="0"/>
          <w:numId w:val="10"/>
        </w:numPr>
        <w:spacing w:before="240" w:after="120"/>
      </w:pPr>
      <w:r>
        <w:t>Level 3 = consider critical care (multi-organ support, advanced respiratory support)</w:t>
      </w:r>
    </w:p>
    <w:p w14:paraId="6C68A5DF" w14:textId="77777777" w:rsidR="00F22124" w:rsidRDefault="00F22124" w:rsidP="000A00F0">
      <w:pPr>
        <w:pStyle w:val="ListParagraph"/>
        <w:numPr>
          <w:ilvl w:val="0"/>
          <w:numId w:val="10"/>
        </w:numPr>
        <w:spacing w:before="240" w:after="120"/>
      </w:pPr>
      <w:r>
        <w:t>Level 2 = critical care step down</w:t>
      </w:r>
    </w:p>
    <w:p w14:paraId="05B04B6F" w14:textId="77777777" w:rsidR="00F22124" w:rsidRDefault="00F22124" w:rsidP="000A00F0">
      <w:pPr>
        <w:pStyle w:val="ListParagraph"/>
        <w:numPr>
          <w:ilvl w:val="0"/>
          <w:numId w:val="10"/>
        </w:numPr>
        <w:spacing w:before="240" w:after="120"/>
      </w:pPr>
      <w:r>
        <w:t>Level 1 = patients monitored on observable bay with critical care outreach team input</w:t>
      </w:r>
    </w:p>
    <w:p w14:paraId="63D0C76B" w14:textId="217E2B97" w:rsidR="00F22124" w:rsidRDefault="00F22124" w:rsidP="000A00F0">
      <w:pPr>
        <w:pStyle w:val="ListParagraph"/>
        <w:numPr>
          <w:ilvl w:val="0"/>
          <w:numId w:val="10"/>
        </w:numPr>
        <w:spacing w:before="240" w:after="120"/>
      </w:pPr>
      <w:r>
        <w:t>Level 0 = ac</w:t>
      </w:r>
      <w:r w:rsidR="009A3B2A">
        <w:t>t</w:t>
      </w:r>
      <w:r>
        <w:t>ive ward base care</w:t>
      </w:r>
    </w:p>
    <w:p w14:paraId="6ECD6841" w14:textId="2C9AD3E0" w:rsidR="00F22124" w:rsidRDefault="000C0D97" w:rsidP="000A00F0">
      <w:pPr>
        <w:spacing w:before="240" w:after="120"/>
      </w:pPr>
      <w:r>
        <w:t xml:space="preserve">The project team discussed how this </w:t>
      </w:r>
      <w:r w:rsidR="00395BB2">
        <w:t>TEP proforma c</w:t>
      </w:r>
      <w:r>
        <w:t xml:space="preserve">ould be adapted to suit an Old Age Psychiatry community inpatient hospital. </w:t>
      </w:r>
      <w:r w:rsidR="005513D0">
        <w:t>With</w:t>
      </w:r>
      <w:r>
        <w:t xml:space="preserve"> </w:t>
      </w:r>
      <w:r w:rsidR="005513D0">
        <w:t>input from</w:t>
      </w:r>
      <w:r>
        <w:t xml:space="preserve"> the</w:t>
      </w:r>
      <w:r w:rsidR="005513D0">
        <w:t xml:space="preserve"> </w:t>
      </w:r>
      <w:r>
        <w:t>multidisciplinary team</w:t>
      </w:r>
      <w:r w:rsidR="00F22124">
        <w:t xml:space="preserve"> the following list describe</w:t>
      </w:r>
      <w:r w:rsidR="00395BB2">
        <w:t>d</w:t>
      </w:r>
      <w:r w:rsidR="00F22124">
        <w:t xml:space="preserve"> the level of </w:t>
      </w:r>
      <w:r w:rsidR="00960A2C">
        <w:t>ward-based</w:t>
      </w:r>
      <w:r w:rsidR="00F22124">
        <w:t xml:space="preserve"> intervention available for inpatients</w:t>
      </w:r>
      <w:r>
        <w:t xml:space="preserve"> at WCH</w:t>
      </w:r>
      <w:r w:rsidR="009F2CE6">
        <w:t>:</w:t>
      </w:r>
      <w:r>
        <w:t xml:space="preserve"> </w:t>
      </w:r>
      <w:r w:rsidR="005C5173">
        <w:t>o</w:t>
      </w:r>
      <w:r w:rsidR="00F22124">
        <w:t xml:space="preserve">ral </w:t>
      </w:r>
      <w:r>
        <w:t>medication, su</w:t>
      </w:r>
      <w:r w:rsidR="00F22124">
        <w:t>bcutaneous fluids</w:t>
      </w:r>
      <w:r>
        <w:t>, b</w:t>
      </w:r>
      <w:r w:rsidR="00F22124">
        <w:t>loods tests</w:t>
      </w:r>
      <w:r>
        <w:t>, r</w:t>
      </w:r>
      <w:r w:rsidR="00F22124">
        <w:t xml:space="preserve">adiological investigations (facilitating appointments at </w:t>
      </w:r>
      <w:r w:rsidR="00AA6835">
        <w:t>UHSFT</w:t>
      </w:r>
      <w:r>
        <w:t xml:space="preserve">), physical observation monitoring and </w:t>
      </w:r>
      <w:r w:rsidR="00906BAD">
        <w:t>electrocardiogram</w:t>
      </w:r>
      <w:r>
        <w:t>. Any higher level of care</w:t>
      </w:r>
      <w:r w:rsidR="00395BB2">
        <w:t xml:space="preserve">, such as intravenous medication or critical care, </w:t>
      </w:r>
      <w:r>
        <w:t xml:space="preserve">would necessitate transfer to </w:t>
      </w:r>
      <w:r w:rsidR="000F09A7">
        <w:t>UHSFT</w:t>
      </w:r>
      <w:r>
        <w:t>.</w:t>
      </w:r>
      <w:r w:rsidR="00395BB2">
        <w:t xml:space="preserve"> </w:t>
      </w:r>
      <w:r w:rsidR="00362247">
        <w:t xml:space="preserve">An option of palliative care was also deemed to be necessary. Following </w:t>
      </w:r>
      <w:r w:rsidR="005513D0">
        <w:t xml:space="preserve">agreement within the project team </w:t>
      </w:r>
      <w:r>
        <w:t>an adapted TEP proforma was implemented on both wards at WCH</w:t>
      </w:r>
      <w:r w:rsidR="006D1F9B">
        <w:t xml:space="preserve">. </w:t>
      </w:r>
      <w:r w:rsidR="00606F3E">
        <w:t>We anticipated some anxiety amongst staff about using a new proforma, and of the implications of a TEP recommending that a patient not be transferred to the acute hospital. We therefore</w:t>
      </w:r>
      <w:r>
        <w:t xml:space="preserve"> </w:t>
      </w:r>
      <w:r w:rsidR="00606F3E">
        <w:t>provided education</w:t>
      </w:r>
      <w:r>
        <w:t xml:space="preserve"> sessions for the wider multidisciplinary team</w:t>
      </w:r>
      <w:r w:rsidR="00606F3E">
        <w:t xml:space="preserve"> about the TEP proforma, the rationale for its implementation and provided time for any questions to be answered.</w:t>
      </w:r>
      <w:r w:rsidR="00303A38">
        <w:t xml:space="preserve"> </w:t>
      </w:r>
      <w:r w:rsidR="006625B5">
        <w:t>Following</w:t>
      </w:r>
      <w:r w:rsidR="00303A38">
        <w:t xml:space="preserve"> rollout of the TEP we intended to review the proforma to see if any further improvements could be made.</w:t>
      </w:r>
    </w:p>
    <w:p w14:paraId="419DFCFB" w14:textId="3C7512B5" w:rsidR="00F22124" w:rsidRPr="009A3B2A" w:rsidRDefault="00F22124" w:rsidP="000A00F0">
      <w:pPr>
        <w:spacing w:before="240" w:after="120"/>
        <w:rPr>
          <w:b/>
          <w:bCs/>
        </w:rPr>
      </w:pPr>
      <w:r w:rsidRPr="00CF5D13">
        <w:rPr>
          <w:b/>
          <w:bCs/>
        </w:rPr>
        <w:t xml:space="preserve">Strategy </w:t>
      </w:r>
    </w:p>
    <w:p w14:paraId="3760EE0E" w14:textId="77777777" w:rsidR="00606F3E" w:rsidRPr="00606F3E" w:rsidRDefault="00F22124" w:rsidP="000A00F0">
      <w:pPr>
        <w:spacing w:before="240" w:after="120"/>
        <w:rPr>
          <w:u w:val="single"/>
        </w:rPr>
      </w:pPr>
      <w:r w:rsidRPr="00606F3E">
        <w:rPr>
          <w:u w:val="single"/>
        </w:rPr>
        <w:t>PDSA cycle 1:</w:t>
      </w:r>
    </w:p>
    <w:p w14:paraId="571B3980" w14:textId="67D1E967" w:rsidR="00606F3E" w:rsidRDefault="00606F3E" w:rsidP="000A00F0">
      <w:pPr>
        <w:spacing w:before="240" w:after="120"/>
      </w:pPr>
      <w:r>
        <w:t xml:space="preserve">In our first PDSA cycle we implemented the adapted TEP proforma on both Old Age Psychiatry inpatient wards at WCH in August 2020. The senior and junior medical team prompted </w:t>
      </w:r>
      <w:r w:rsidR="006A46E6">
        <w:t xml:space="preserve">ceiling of care </w:t>
      </w:r>
      <w:r>
        <w:t xml:space="preserve">discussions with patients and family members (where appropriate) for </w:t>
      </w:r>
      <w:r w:rsidR="00107D13">
        <w:t>existing</w:t>
      </w:r>
      <w:r w:rsidR="006A46E6">
        <w:t xml:space="preserve"> </w:t>
      </w:r>
      <w:r>
        <w:t>inpatients and all new admissions. Feedback</w:t>
      </w:r>
      <w:r w:rsidR="009E0E19">
        <w:t xml:space="preserve"> about the TEP proforma led to several minor changes, with the final version shown in Figure 1.</w:t>
      </w:r>
    </w:p>
    <w:p w14:paraId="65B2260A" w14:textId="57C4D9F3" w:rsidR="006625B5" w:rsidRDefault="00F22124" w:rsidP="000A00F0">
      <w:pPr>
        <w:spacing w:before="240" w:after="120"/>
      </w:pPr>
      <w:r>
        <w:t xml:space="preserve">Firstly, </w:t>
      </w:r>
      <w:r w:rsidR="009E0E19">
        <w:t xml:space="preserve">a requirement to include the patient’s address was removed since </w:t>
      </w:r>
      <w:r w:rsidR="00A30AEE">
        <w:t>two</w:t>
      </w:r>
      <w:r w:rsidR="009E0E19">
        <w:t xml:space="preserve"> points of identification were already in place (name and date of birth or NHS number). </w:t>
      </w:r>
      <w:r w:rsidR="00A02E47">
        <w:t xml:space="preserve">A requirement was added to state the person or persons with which the ceiling of care discussion was had. </w:t>
      </w:r>
      <w:r w:rsidR="009E0E19">
        <w:t xml:space="preserve">We believed this to be good practice, enabling re-discussion with the same person should the TEP need to be reviewed. We changed the heading “for ward-based care” to make it </w:t>
      </w:r>
      <w:r w:rsidR="00906BAD">
        <w:t xml:space="preserve">explicitly </w:t>
      </w:r>
      <w:r w:rsidR="009E0E19">
        <w:t xml:space="preserve">clear that this was for care </w:t>
      </w:r>
      <w:r w:rsidR="00A02E47">
        <w:t>on</w:t>
      </w:r>
      <w:r w:rsidR="009E0E19">
        <w:t xml:space="preserve"> </w:t>
      </w:r>
      <w:r w:rsidR="00D756F1">
        <w:t xml:space="preserve">the psychiatry ward </w:t>
      </w:r>
      <w:r w:rsidR="009E0E19">
        <w:t>and not ward-based care at the acute hospital. La</w:t>
      </w:r>
      <w:r>
        <w:t xml:space="preserve">stly, </w:t>
      </w:r>
      <w:r w:rsidR="00906BAD">
        <w:t xml:space="preserve">to aid clarity </w:t>
      </w:r>
      <w:r w:rsidR="009E0E19">
        <w:t>we changed the DNACPR section from a free text line to a tick box.</w:t>
      </w:r>
      <w:r>
        <w:t xml:space="preserve"> </w:t>
      </w:r>
    </w:p>
    <w:p w14:paraId="32C43CFB" w14:textId="4BC074D9" w:rsidR="006A46E6" w:rsidRDefault="006625B5" w:rsidP="000A00F0">
      <w:pPr>
        <w:spacing w:before="240" w:after="120"/>
      </w:pPr>
      <w:r>
        <w:t xml:space="preserve">Data on whether a TEP had been completed, the outcome of the TEP, who contributed to the discussion and the number of days from admission it took to </w:t>
      </w:r>
      <w:r w:rsidR="00EF7676">
        <w:t>complete the</w:t>
      </w:r>
      <w:r>
        <w:t xml:space="preserve"> TEP was collected on 25/09/2020 retrospectively by reviewing electronic and paper records for all admissions</w:t>
      </w:r>
      <w:r w:rsidR="00EF7676">
        <w:t xml:space="preserve"> since baseline</w:t>
      </w:r>
      <w:r w:rsidR="00C96057">
        <w:t xml:space="preserve"> (n=20).</w:t>
      </w:r>
      <w:r w:rsidR="00506751">
        <w:t xml:space="preserve"> TEP proforma completion had improved to 100% from 54% at baseline, with the mean duration from admission to </w:t>
      </w:r>
      <w:r w:rsidR="00EF7676">
        <w:t>proforma</w:t>
      </w:r>
      <w:r w:rsidR="00506751">
        <w:t xml:space="preserve"> completion lasting 7.1 days.</w:t>
      </w:r>
    </w:p>
    <w:p w14:paraId="7B7762D2" w14:textId="1A7CB425" w:rsidR="006A46E6" w:rsidRDefault="00EF7676" w:rsidP="00EF7676">
      <w:pPr>
        <w:spacing w:before="240" w:after="120"/>
      </w:pPr>
      <w:r>
        <w:t>A</w:t>
      </w:r>
      <w:r w:rsidR="000B44AC">
        <w:t xml:space="preserve">fter implementation of the TEP proforma, </w:t>
      </w:r>
      <w:r w:rsidR="00EA2B43">
        <w:t>a</w:t>
      </w:r>
      <w:r>
        <w:t xml:space="preserve"> staff questionnaire was </w:t>
      </w:r>
      <w:r w:rsidR="00EA2B43">
        <w:t xml:space="preserve">again </w:t>
      </w:r>
      <w:r>
        <w:t>used to explore views about the TEP proforma, including staff confidence about comprehensiveness of the proforma and whether staff felt that decisions were easily locatable</w:t>
      </w:r>
      <w:r w:rsidR="00EA2B43">
        <w:t xml:space="preserve"> (Supplementary Figure 1)</w:t>
      </w:r>
      <w:r>
        <w:t xml:space="preserve">. Again, </w:t>
      </w:r>
      <w:r w:rsidR="000B44AC">
        <w:t>a stratified sampling method was adopted</w:t>
      </w:r>
      <w:r>
        <w:t xml:space="preserve"> to include</w:t>
      </w:r>
      <w:r w:rsidR="009B61F5">
        <w:t xml:space="preserve"> </w:t>
      </w:r>
      <w:r w:rsidR="002A3F5A">
        <w:t>seven</w:t>
      </w:r>
      <w:r w:rsidR="00E75314">
        <w:t xml:space="preserve"> junior doctors,</w:t>
      </w:r>
      <w:r w:rsidR="000B44AC">
        <w:t xml:space="preserve"> </w:t>
      </w:r>
      <w:r w:rsidR="00A30AEE">
        <w:t>three</w:t>
      </w:r>
      <w:r w:rsidR="000B44AC">
        <w:t xml:space="preserve"> consultants, </w:t>
      </w:r>
      <w:r w:rsidR="00A30AEE">
        <w:t>three</w:t>
      </w:r>
      <w:r w:rsidR="000B44AC">
        <w:t xml:space="preserve"> MDT members (including occupational therapist, physiotherapist, and psychologist) and </w:t>
      </w:r>
      <w:r w:rsidR="00F560CB">
        <w:t>seven</w:t>
      </w:r>
      <w:r w:rsidR="000B44AC">
        <w:t xml:space="preserve"> nurses.</w:t>
      </w:r>
    </w:p>
    <w:p w14:paraId="221D18DC" w14:textId="77777777" w:rsidR="00606F3E" w:rsidRPr="00606F3E" w:rsidRDefault="00F22124" w:rsidP="000A00F0">
      <w:pPr>
        <w:spacing w:before="240" w:after="120"/>
        <w:rPr>
          <w:u w:val="single"/>
        </w:rPr>
      </w:pPr>
      <w:r w:rsidRPr="00606F3E">
        <w:rPr>
          <w:u w:val="single"/>
        </w:rPr>
        <w:t>PDSA cycle 2:</w:t>
      </w:r>
    </w:p>
    <w:p w14:paraId="169C3E2C" w14:textId="4EABA02E" w:rsidR="00506751" w:rsidRDefault="00506751" w:rsidP="000A00F0">
      <w:pPr>
        <w:spacing w:before="240" w:after="120"/>
      </w:pPr>
      <w:r>
        <w:t xml:space="preserve">The widespread use of the TEP proforma provided benefit to regular and on-call staff in </w:t>
      </w:r>
      <w:r w:rsidR="00495C3B">
        <w:t>delivering more</w:t>
      </w:r>
      <w:r>
        <w:t xml:space="preserve"> clarity on decisions related to ceiling of care. </w:t>
      </w:r>
      <w:r w:rsidR="008739ED">
        <w:t xml:space="preserve">However, patients had often been admitted for over a week before completion of the TEP proforma. </w:t>
      </w:r>
      <w:r w:rsidR="00495C3B">
        <w:t>We therefore i</w:t>
      </w:r>
      <w:r w:rsidR="008739ED">
        <w:t xml:space="preserve">ncluded a </w:t>
      </w:r>
      <w:r w:rsidR="004A1785">
        <w:t xml:space="preserve">blank </w:t>
      </w:r>
      <w:r w:rsidR="008739ED">
        <w:t xml:space="preserve">TEP </w:t>
      </w:r>
      <w:r w:rsidR="00AB6D86">
        <w:t xml:space="preserve">proforma </w:t>
      </w:r>
      <w:r w:rsidR="009D0748">
        <w:t>with</w:t>
      </w:r>
      <w:r w:rsidR="008739ED">
        <w:t>in the admission clerking proforma that the inpatient junior medical team use</w:t>
      </w:r>
      <w:r w:rsidR="00495C3B">
        <w:t>d</w:t>
      </w:r>
      <w:r w:rsidR="008739ED">
        <w:t xml:space="preserve"> when new patient admissions </w:t>
      </w:r>
      <w:r w:rsidR="00495C3B">
        <w:t>were</w:t>
      </w:r>
      <w:r w:rsidR="008739ED">
        <w:t xml:space="preserve"> assessed. This </w:t>
      </w:r>
      <w:r w:rsidR="004A1785">
        <w:t>prompted</w:t>
      </w:r>
      <w:r w:rsidR="008739ED">
        <w:t xml:space="preserve"> early discussions with patients and/or family about ceiling of </w:t>
      </w:r>
      <w:r w:rsidR="00495C3B">
        <w:t>care and</w:t>
      </w:r>
      <w:r w:rsidR="008739ED">
        <w:t xml:space="preserve"> meant that t</w:t>
      </w:r>
      <w:r w:rsidR="00495C3B">
        <w:t xml:space="preserve">he TEP proforma could </w:t>
      </w:r>
      <w:r w:rsidR="004A1785">
        <w:t xml:space="preserve">often </w:t>
      </w:r>
      <w:r w:rsidR="00495C3B">
        <w:t xml:space="preserve">be </w:t>
      </w:r>
      <w:r w:rsidR="00A02E47">
        <w:t xml:space="preserve">finalised </w:t>
      </w:r>
      <w:r w:rsidR="00495C3B">
        <w:t xml:space="preserve">by a senior </w:t>
      </w:r>
      <w:r w:rsidR="004A1785">
        <w:t xml:space="preserve">doctor </w:t>
      </w:r>
      <w:r w:rsidR="008739ED">
        <w:t>before the initial Care Planning Approach (CPA) meeting on the ward</w:t>
      </w:r>
      <w:r w:rsidR="00495C3B">
        <w:t>.</w:t>
      </w:r>
    </w:p>
    <w:p w14:paraId="72AFD7FC" w14:textId="61E98FE4" w:rsidR="000B44AC" w:rsidRDefault="00506751" w:rsidP="000A00F0">
      <w:pPr>
        <w:spacing w:before="240" w:after="120"/>
      </w:pPr>
      <w:r>
        <w:t xml:space="preserve">Further data was gathered on 03/11/2020 and showed that TEP proforma completion was maintained at 100% of all admissions (n=21), with the mean duration from admission to </w:t>
      </w:r>
      <w:r w:rsidR="00C24A49">
        <w:t>pro</w:t>
      </w:r>
      <w:r>
        <w:t>form</w:t>
      </w:r>
      <w:r w:rsidR="00C24A49">
        <w:t>a</w:t>
      </w:r>
      <w:r>
        <w:t xml:space="preserve"> completion reduced to 3.2 days</w:t>
      </w:r>
      <w:r w:rsidR="00C24A49">
        <w:t xml:space="preserve"> from 7.1 days</w:t>
      </w:r>
      <w:r w:rsidR="009F2CE6">
        <w:t>.</w:t>
      </w:r>
    </w:p>
    <w:p w14:paraId="77427112" w14:textId="4ABEF9DD" w:rsidR="00906BAD" w:rsidRPr="009A3B2A" w:rsidRDefault="004A1785" w:rsidP="000A00F0">
      <w:pPr>
        <w:spacing w:before="240" w:after="120"/>
      </w:pPr>
      <w:r>
        <w:t>Patients and their relatives were approached by telephone (n=10) to complete a questionnaire</w:t>
      </w:r>
      <w:r w:rsidR="00662B9B">
        <w:t xml:space="preserve"> ((Supplementary Figure 2)</w:t>
      </w:r>
      <w:r>
        <w:t xml:space="preserve"> to gather their views on whether they understood what a TEP form was and if they felt it would be useful to have one in place.</w:t>
      </w:r>
    </w:p>
    <w:p w14:paraId="06066E80" w14:textId="71162AB4" w:rsidR="0020541F" w:rsidRPr="009A3B2A" w:rsidRDefault="00EF671B" w:rsidP="000A00F0">
      <w:pPr>
        <w:spacing w:before="240" w:after="120"/>
        <w:rPr>
          <w:b/>
        </w:rPr>
      </w:pPr>
      <w:r>
        <w:rPr>
          <w:b/>
        </w:rPr>
        <w:t>Results</w:t>
      </w:r>
    </w:p>
    <w:p w14:paraId="78DB7505" w14:textId="763A768E" w:rsidR="00E547C8" w:rsidRDefault="00920A8B" w:rsidP="000A00F0">
      <w:pPr>
        <w:spacing w:before="240" w:after="120"/>
      </w:pPr>
      <w:r>
        <w:t xml:space="preserve">Our </w:t>
      </w:r>
      <w:r w:rsidR="00FE345D">
        <w:t xml:space="preserve">primary </w:t>
      </w:r>
      <w:r>
        <w:t xml:space="preserve">outcome measure was the number of inpatients </w:t>
      </w:r>
      <w:r w:rsidR="00CE5BA9">
        <w:t>who had</w:t>
      </w:r>
      <w:r>
        <w:t xml:space="preserve"> a TEP proforma. </w:t>
      </w:r>
      <w:r w:rsidR="00E547C8" w:rsidRPr="00E547C8">
        <w:t>T</w:t>
      </w:r>
      <w:r w:rsidR="00E547C8">
        <w:t>he completion of a TEP proforma increased from 54% at baseline to 100% following PDSA cycle 1</w:t>
      </w:r>
      <w:r w:rsidR="00CE5BA9">
        <w:t xml:space="preserve"> </w:t>
      </w:r>
      <w:r w:rsidR="00E547C8">
        <w:t>and was maintained at 100% following PDSA cycle 2 (Table 1).</w:t>
      </w:r>
    </w:p>
    <w:p w14:paraId="03DC77B3" w14:textId="703D1D6D" w:rsidR="00DF3C4A" w:rsidRPr="00DF3C4A" w:rsidRDefault="00DF3C4A" w:rsidP="000A00F0">
      <w:pPr>
        <w:spacing w:before="240" w:after="120"/>
        <w:rPr>
          <w:u w:val="single"/>
        </w:rPr>
      </w:pPr>
      <w:r w:rsidRPr="00DF3C4A">
        <w:rPr>
          <w:u w:val="single"/>
        </w:rPr>
        <w:t xml:space="preserve">Table 1: </w:t>
      </w:r>
      <w:r w:rsidR="00F3572D">
        <w:rPr>
          <w:u w:val="single"/>
        </w:rPr>
        <w:t>Number</w:t>
      </w:r>
      <w:r w:rsidRPr="00DF3C4A">
        <w:rPr>
          <w:u w:val="single"/>
        </w:rPr>
        <w:t xml:space="preserve"> of inpatients with a TEP</w:t>
      </w:r>
    </w:p>
    <w:tbl>
      <w:tblPr>
        <w:tblStyle w:val="TableGrid"/>
        <w:tblW w:w="0" w:type="auto"/>
        <w:tblLook w:val="04A0" w:firstRow="1" w:lastRow="0" w:firstColumn="1" w:lastColumn="0" w:noHBand="0" w:noVBand="1"/>
      </w:tblPr>
      <w:tblGrid>
        <w:gridCol w:w="3114"/>
        <w:gridCol w:w="1984"/>
        <w:gridCol w:w="2127"/>
        <w:gridCol w:w="2125"/>
      </w:tblGrid>
      <w:tr w:rsidR="00101FA9" w:rsidRPr="00463829" w14:paraId="423BDC1A" w14:textId="77777777" w:rsidTr="00AC228D">
        <w:trPr>
          <w:cantSplit/>
        </w:trPr>
        <w:tc>
          <w:tcPr>
            <w:tcW w:w="3114" w:type="dxa"/>
            <w:shd w:val="clear" w:color="auto" w:fill="D9D9D9" w:themeFill="background1" w:themeFillShade="D9"/>
            <w:vAlign w:val="center"/>
          </w:tcPr>
          <w:p w14:paraId="1A1E29AA" w14:textId="77777777" w:rsidR="00101FA9" w:rsidRPr="00463829" w:rsidRDefault="00101FA9" w:rsidP="00CE5BA9">
            <w:pPr>
              <w:spacing w:line="300" w:lineRule="auto"/>
            </w:pPr>
          </w:p>
        </w:tc>
        <w:tc>
          <w:tcPr>
            <w:tcW w:w="1984" w:type="dxa"/>
            <w:shd w:val="clear" w:color="auto" w:fill="D9D9D9" w:themeFill="background1" w:themeFillShade="D9"/>
            <w:vAlign w:val="center"/>
          </w:tcPr>
          <w:p w14:paraId="123125F1" w14:textId="3696AE7B" w:rsidR="00101FA9" w:rsidRPr="00463829" w:rsidRDefault="00101FA9" w:rsidP="00CE5BA9">
            <w:pPr>
              <w:spacing w:line="300" w:lineRule="auto"/>
              <w:jc w:val="center"/>
            </w:pPr>
            <w:r w:rsidRPr="00463829">
              <w:t>Baseline</w:t>
            </w:r>
          </w:p>
        </w:tc>
        <w:tc>
          <w:tcPr>
            <w:tcW w:w="2127" w:type="dxa"/>
            <w:shd w:val="clear" w:color="auto" w:fill="D9D9D9" w:themeFill="background1" w:themeFillShade="D9"/>
            <w:vAlign w:val="center"/>
          </w:tcPr>
          <w:p w14:paraId="02895776" w14:textId="6F92F6BC" w:rsidR="00101FA9" w:rsidRPr="00463829" w:rsidRDefault="00101FA9" w:rsidP="00CE5BA9">
            <w:pPr>
              <w:spacing w:line="300" w:lineRule="auto"/>
              <w:jc w:val="center"/>
            </w:pPr>
            <w:r w:rsidRPr="00463829">
              <w:t xml:space="preserve">PDSA </w:t>
            </w:r>
            <w:r w:rsidR="00CE5BA9">
              <w:t>cy</w:t>
            </w:r>
            <w:r w:rsidRPr="00463829">
              <w:t>cle 1</w:t>
            </w:r>
          </w:p>
        </w:tc>
        <w:tc>
          <w:tcPr>
            <w:tcW w:w="2125" w:type="dxa"/>
            <w:shd w:val="clear" w:color="auto" w:fill="D9D9D9" w:themeFill="background1" w:themeFillShade="D9"/>
            <w:vAlign w:val="center"/>
          </w:tcPr>
          <w:p w14:paraId="69ECF33A" w14:textId="361D4A99" w:rsidR="00101FA9" w:rsidRPr="00463829" w:rsidRDefault="00101FA9" w:rsidP="00CE5BA9">
            <w:pPr>
              <w:spacing w:line="300" w:lineRule="auto"/>
              <w:jc w:val="center"/>
            </w:pPr>
            <w:r w:rsidRPr="00463829">
              <w:t xml:space="preserve">PDSA </w:t>
            </w:r>
            <w:r w:rsidR="00CE5BA9">
              <w:t>c</w:t>
            </w:r>
            <w:r w:rsidRPr="00463829">
              <w:t>ycle 2</w:t>
            </w:r>
          </w:p>
        </w:tc>
      </w:tr>
      <w:tr w:rsidR="00101FA9" w:rsidRPr="00463829" w14:paraId="5B783745" w14:textId="77777777" w:rsidTr="00AC228D">
        <w:trPr>
          <w:cantSplit/>
        </w:trPr>
        <w:tc>
          <w:tcPr>
            <w:tcW w:w="3114" w:type="dxa"/>
            <w:shd w:val="clear" w:color="auto" w:fill="D9D9D9" w:themeFill="background1" w:themeFillShade="D9"/>
            <w:vAlign w:val="center"/>
          </w:tcPr>
          <w:p w14:paraId="0D77AEBC" w14:textId="3553F6AA" w:rsidR="00101FA9" w:rsidRPr="00463829" w:rsidRDefault="00614EC9" w:rsidP="00CE5BA9">
            <w:pPr>
              <w:spacing w:line="300" w:lineRule="auto"/>
            </w:pPr>
            <w:r w:rsidRPr="00463829">
              <w:t xml:space="preserve">Number of </w:t>
            </w:r>
            <w:r w:rsidR="00E547C8" w:rsidRPr="00463829">
              <w:t>in</w:t>
            </w:r>
            <w:r w:rsidRPr="00463829">
              <w:t>patients</w:t>
            </w:r>
          </w:p>
        </w:tc>
        <w:tc>
          <w:tcPr>
            <w:tcW w:w="1984" w:type="dxa"/>
            <w:shd w:val="clear" w:color="auto" w:fill="auto"/>
            <w:vAlign w:val="center"/>
          </w:tcPr>
          <w:p w14:paraId="43771B3E" w14:textId="2418AEA5" w:rsidR="00101FA9" w:rsidRPr="00463829" w:rsidRDefault="00E547C8" w:rsidP="00CE5BA9">
            <w:pPr>
              <w:spacing w:line="300" w:lineRule="auto"/>
              <w:jc w:val="center"/>
            </w:pPr>
            <w:r w:rsidRPr="00463829">
              <w:t>24</w:t>
            </w:r>
          </w:p>
        </w:tc>
        <w:tc>
          <w:tcPr>
            <w:tcW w:w="2127" w:type="dxa"/>
            <w:shd w:val="clear" w:color="auto" w:fill="auto"/>
            <w:vAlign w:val="center"/>
          </w:tcPr>
          <w:p w14:paraId="4B5CF529" w14:textId="3337EE56" w:rsidR="00101FA9" w:rsidRPr="00463829" w:rsidRDefault="00614EC9" w:rsidP="00CE5BA9">
            <w:pPr>
              <w:spacing w:line="300" w:lineRule="auto"/>
              <w:jc w:val="center"/>
            </w:pPr>
            <w:r w:rsidRPr="00463829">
              <w:t>20</w:t>
            </w:r>
          </w:p>
        </w:tc>
        <w:tc>
          <w:tcPr>
            <w:tcW w:w="2125" w:type="dxa"/>
            <w:shd w:val="clear" w:color="auto" w:fill="auto"/>
            <w:vAlign w:val="center"/>
          </w:tcPr>
          <w:p w14:paraId="4836055A" w14:textId="1D1D9B4E" w:rsidR="00101FA9" w:rsidRPr="00463829" w:rsidRDefault="00614EC9" w:rsidP="00CE5BA9">
            <w:pPr>
              <w:spacing w:line="300" w:lineRule="auto"/>
              <w:jc w:val="center"/>
            </w:pPr>
            <w:r w:rsidRPr="00463829">
              <w:t>21</w:t>
            </w:r>
          </w:p>
        </w:tc>
      </w:tr>
      <w:tr w:rsidR="00614EC9" w:rsidRPr="00463829" w14:paraId="30DD93C9" w14:textId="77777777" w:rsidTr="00AC228D">
        <w:trPr>
          <w:cantSplit/>
        </w:trPr>
        <w:tc>
          <w:tcPr>
            <w:tcW w:w="3114" w:type="dxa"/>
            <w:shd w:val="clear" w:color="auto" w:fill="D9D9D9" w:themeFill="background1" w:themeFillShade="D9"/>
            <w:vAlign w:val="center"/>
          </w:tcPr>
          <w:p w14:paraId="301031DA" w14:textId="34819C5C" w:rsidR="00614EC9" w:rsidRPr="00463829" w:rsidRDefault="00F3572D" w:rsidP="00CE5BA9">
            <w:pPr>
              <w:spacing w:line="300" w:lineRule="auto"/>
            </w:pPr>
            <w:r>
              <w:t>Number</w:t>
            </w:r>
            <w:r w:rsidR="00614EC9" w:rsidRPr="00463829">
              <w:t xml:space="preserve"> of </w:t>
            </w:r>
            <w:r w:rsidR="00E547C8" w:rsidRPr="00463829">
              <w:t>in</w:t>
            </w:r>
            <w:r w:rsidR="00614EC9" w:rsidRPr="00463829">
              <w:t>patients with a TEP</w:t>
            </w:r>
            <w:r w:rsidR="00CE5BA9">
              <w:t xml:space="preserve"> proforma</w:t>
            </w:r>
          </w:p>
        </w:tc>
        <w:tc>
          <w:tcPr>
            <w:tcW w:w="1984" w:type="dxa"/>
            <w:shd w:val="clear" w:color="auto" w:fill="auto"/>
            <w:vAlign w:val="center"/>
          </w:tcPr>
          <w:p w14:paraId="188205D5" w14:textId="77777777" w:rsidR="00CE5BA9" w:rsidRDefault="00E547C8" w:rsidP="00CE5BA9">
            <w:pPr>
              <w:spacing w:line="300" w:lineRule="auto"/>
              <w:jc w:val="center"/>
            </w:pPr>
            <w:r w:rsidRPr="00463829">
              <w:t>13</w:t>
            </w:r>
          </w:p>
          <w:p w14:paraId="785536C2" w14:textId="0B2EABD0" w:rsidR="00614EC9" w:rsidRPr="00463829" w:rsidRDefault="00D54B8D" w:rsidP="00CE5BA9">
            <w:pPr>
              <w:spacing w:line="300" w:lineRule="auto"/>
              <w:jc w:val="center"/>
            </w:pPr>
            <w:r w:rsidRPr="00463829">
              <w:t>(</w:t>
            </w:r>
            <w:r w:rsidR="00E547C8" w:rsidRPr="00463829">
              <w:t>54</w:t>
            </w:r>
            <w:r w:rsidRPr="00463829">
              <w:t>%)</w:t>
            </w:r>
          </w:p>
        </w:tc>
        <w:tc>
          <w:tcPr>
            <w:tcW w:w="2127" w:type="dxa"/>
            <w:shd w:val="clear" w:color="auto" w:fill="auto"/>
            <w:vAlign w:val="center"/>
          </w:tcPr>
          <w:p w14:paraId="106D96E3" w14:textId="77777777" w:rsidR="00CE5BA9" w:rsidRDefault="00614EC9" w:rsidP="00CE5BA9">
            <w:pPr>
              <w:spacing w:line="300" w:lineRule="auto"/>
              <w:jc w:val="center"/>
            </w:pPr>
            <w:r w:rsidRPr="00463829">
              <w:t>20</w:t>
            </w:r>
          </w:p>
          <w:p w14:paraId="7822A403" w14:textId="1483695B" w:rsidR="00614EC9" w:rsidRPr="00463829" w:rsidRDefault="00D54B8D" w:rsidP="00CE5BA9">
            <w:pPr>
              <w:spacing w:line="300" w:lineRule="auto"/>
              <w:jc w:val="center"/>
            </w:pPr>
            <w:r w:rsidRPr="00463829">
              <w:t>(100%)</w:t>
            </w:r>
          </w:p>
        </w:tc>
        <w:tc>
          <w:tcPr>
            <w:tcW w:w="2125" w:type="dxa"/>
            <w:shd w:val="clear" w:color="auto" w:fill="auto"/>
            <w:vAlign w:val="center"/>
          </w:tcPr>
          <w:p w14:paraId="228D074A" w14:textId="77777777" w:rsidR="00CE5BA9" w:rsidRDefault="00614EC9" w:rsidP="00CE5BA9">
            <w:pPr>
              <w:spacing w:line="300" w:lineRule="auto"/>
              <w:jc w:val="center"/>
            </w:pPr>
            <w:r w:rsidRPr="00463829">
              <w:t>21</w:t>
            </w:r>
          </w:p>
          <w:p w14:paraId="63FB0AE3" w14:textId="229AAA89" w:rsidR="00614EC9" w:rsidRPr="00463829" w:rsidRDefault="00D54B8D" w:rsidP="00CE5BA9">
            <w:pPr>
              <w:spacing w:line="300" w:lineRule="auto"/>
              <w:jc w:val="center"/>
            </w:pPr>
            <w:r w:rsidRPr="00463829">
              <w:t>(100%)</w:t>
            </w:r>
          </w:p>
        </w:tc>
      </w:tr>
    </w:tbl>
    <w:p w14:paraId="151CAF66" w14:textId="5AE7C00B" w:rsidR="00CE0AA3" w:rsidRDefault="00CE0AA3" w:rsidP="000A00F0">
      <w:pPr>
        <w:spacing w:before="240" w:after="120"/>
      </w:pPr>
      <w:r w:rsidRPr="00463829">
        <w:t>The mean time to complete a TEP proforma from admission reduced from 7.1 days to 3.2 days in PDSA cycle 2 (Table 2)</w:t>
      </w:r>
      <w:r w:rsidR="00E771ED" w:rsidRPr="00463829">
        <w:t>, likely to be due to the inclusion of the TEP proforma in admission clerking packs</w:t>
      </w:r>
      <w:r w:rsidRPr="00463829">
        <w:t>. In both PDSA cycles the majority of TEP decisions were made following consultation with a family member rather than the patient</w:t>
      </w:r>
      <w:r w:rsidR="00CE5BA9">
        <w:t xml:space="preserve"> themselves</w:t>
      </w:r>
      <w:r w:rsidRPr="00463829">
        <w:t xml:space="preserve">. </w:t>
      </w:r>
      <w:r w:rsidR="00920A8B" w:rsidRPr="00463829">
        <w:t>Unexpectedly, i</w:t>
      </w:r>
      <w:r w:rsidRPr="00463829">
        <w:t xml:space="preserve">n both PDSA cycles </w:t>
      </w:r>
      <w:r w:rsidR="00E771ED" w:rsidRPr="00463829">
        <w:t>most</w:t>
      </w:r>
      <w:r w:rsidRPr="00463829">
        <w:t xml:space="preserve"> </w:t>
      </w:r>
      <w:r w:rsidR="00920A8B" w:rsidRPr="00463829">
        <w:t xml:space="preserve">TEP proformas supported </w:t>
      </w:r>
      <w:r w:rsidRPr="00463829">
        <w:t>full escalation to the acute hospital.</w:t>
      </w:r>
    </w:p>
    <w:p w14:paraId="38E52222" w14:textId="0322D8E1" w:rsidR="00DF3C4A" w:rsidRPr="00DF3C4A" w:rsidRDefault="00DF3C4A" w:rsidP="000A00F0">
      <w:pPr>
        <w:spacing w:before="240" w:after="120"/>
        <w:rPr>
          <w:u w:val="single"/>
        </w:rPr>
      </w:pPr>
      <w:r w:rsidRPr="00DF3C4A">
        <w:rPr>
          <w:u w:val="single"/>
        </w:rPr>
        <w:t>Table 2:</w:t>
      </w:r>
      <w:r>
        <w:rPr>
          <w:u w:val="single"/>
        </w:rPr>
        <w:t xml:space="preserve"> TEP detail of contents</w:t>
      </w:r>
    </w:p>
    <w:tbl>
      <w:tblPr>
        <w:tblStyle w:val="TableGrid"/>
        <w:tblW w:w="9351" w:type="dxa"/>
        <w:tblLook w:val="04A0" w:firstRow="1" w:lastRow="0" w:firstColumn="1" w:lastColumn="0" w:noHBand="0" w:noVBand="1"/>
      </w:tblPr>
      <w:tblGrid>
        <w:gridCol w:w="4106"/>
        <w:gridCol w:w="2552"/>
        <w:gridCol w:w="2693"/>
      </w:tblGrid>
      <w:tr w:rsidR="00E547C8" w:rsidRPr="00463829" w14:paraId="1B54F39B" w14:textId="77777777" w:rsidTr="00AC228D">
        <w:tc>
          <w:tcPr>
            <w:tcW w:w="4106" w:type="dxa"/>
            <w:shd w:val="clear" w:color="auto" w:fill="D9D9D9" w:themeFill="background1" w:themeFillShade="D9"/>
            <w:vAlign w:val="center"/>
          </w:tcPr>
          <w:p w14:paraId="0A193AC1" w14:textId="77777777" w:rsidR="00E547C8" w:rsidRPr="00463829" w:rsidRDefault="00E547C8" w:rsidP="00CE5BA9">
            <w:pPr>
              <w:spacing w:line="300" w:lineRule="auto"/>
            </w:pPr>
          </w:p>
        </w:tc>
        <w:tc>
          <w:tcPr>
            <w:tcW w:w="2552" w:type="dxa"/>
            <w:shd w:val="clear" w:color="auto" w:fill="D9D9D9" w:themeFill="background1" w:themeFillShade="D9"/>
            <w:vAlign w:val="center"/>
          </w:tcPr>
          <w:p w14:paraId="78467900" w14:textId="177B7A9A" w:rsidR="00E547C8" w:rsidRPr="00463829" w:rsidRDefault="00E547C8" w:rsidP="00CE5BA9">
            <w:pPr>
              <w:spacing w:line="300" w:lineRule="auto"/>
              <w:jc w:val="center"/>
            </w:pPr>
            <w:r w:rsidRPr="00463829">
              <w:t xml:space="preserve">PDSA </w:t>
            </w:r>
            <w:r w:rsidR="00CE5BA9">
              <w:t>c</w:t>
            </w:r>
            <w:r w:rsidRPr="00463829">
              <w:t>ycle 1</w:t>
            </w:r>
          </w:p>
        </w:tc>
        <w:tc>
          <w:tcPr>
            <w:tcW w:w="2693" w:type="dxa"/>
            <w:shd w:val="clear" w:color="auto" w:fill="D9D9D9" w:themeFill="background1" w:themeFillShade="D9"/>
            <w:vAlign w:val="center"/>
          </w:tcPr>
          <w:p w14:paraId="429CFAF9" w14:textId="66ADCA44" w:rsidR="00E547C8" w:rsidRPr="00463829" w:rsidRDefault="00E547C8" w:rsidP="00CE5BA9">
            <w:pPr>
              <w:spacing w:line="300" w:lineRule="auto"/>
              <w:jc w:val="center"/>
            </w:pPr>
            <w:r w:rsidRPr="00463829">
              <w:t xml:space="preserve">PDSA </w:t>
            </w:r>
            <w:r w:rsidR="00CE5BA9">
              <w:t>c</w:t>
            </w:r>
            <w:r w:rsidRPr="00463829">
              <w:t>ycle 2</w:t>
            </w:r>
          </w:p>
        </w:tc>
      </w:tr>
      <w:tr w:rsidR="00021C28" w:rsidRPr="00463829" w14:paraId="3EB5889D" w14:textId="77777777" w:rsidTr="00021C28">
        <w:tc>
          <w:tcPr>
            <w:tcW w:w="4106" w:type="dxa"/>
            <w:shd w:val="clear" w:color="auto" w:fill="D9D9D9" w:themeFill="background1" w:themeFillShade="D9"/>
            <w:vAlign w:val="center"/>
          </w:tcPr>
          <w:p w14:paraId="5D752396" w14:textId="37E795E8" w:rsidR="00021C28" w:rsidRPr="00463829" w:rsidRDefault="00021C28" w:rsidP="00CE5BA9">
            <w:pPr>
              <w:spacing w:line="300" w:lineRule="auto"/>
            </w:pPr>
            <w:r>
              <w:t>Number of inpatients</w:t>
            </w:r>
          </w:p>
        </w:tc>
        <w:tc>
          <w:tcPr>
            <w:tcW w:w="2552" w:type="dxa"/>
            <w:shd w:val="clear" w:color="auto" w:fill="auto"/>
            <w:vAlign w:val="center"/>
          </w:tcPr>
          <w:p w14:paraId="71E3118C" w14:textId="1492E65A" w:rsidR="00021C28" w:rsidRPr="00463829" w:rsidRDefault="00021C28" w:rsidP="00CE5BA9">
            <w:pPr>
              <w:spacing w:line="300" w:lineRule="auto"/>
              <w:jc w:val="center"/>
            </w:pPr>
            <w:r>
              <w:t>20</w:t>
            </w:r>
          </w:p>
        </w:tc>
        <w:tc>
          <w:tcPr>
            <w:tcW w:w="2693" w:type="dxa"/>
            <w:shd w:val="clear" w:color="auto" w:fill="auto"/>
            <w:vAlign w:val="center"/>
          </w:tcPr>
          <w:p w14:paraId="2F2522D1" w14:textId="0D961BBE" w:rsidR="00021C28" w:rsidRPr="00463829" w:rsidRDefault="00021C28" w:rsidP="00CE5BA9">
            <w:pPr>
              <w:spacing w:line="300" w:lineRule="auto"/>
              <w:jc w:val="center"/>
            </w:pPr>
            <w:r>
              <w:t>21</w:t>
            </w:r>
          </w:p>
        </w:tc>
      </w:tr>
      <w:tr w:rsidR="00E547C8" w:rsidRPr="00463829" w14:paraId="0E7C8C79" w14:textId="77777777" w:rsidTr="00AC228D">
        <w:trPr>
          <w:cantSplit/>
        </w:trPr>
        <w:tc>
          <w:tcPr>
            <w:tcW w:w="4106" w:type="dxa"/>
            <w:shd w:val="clear" w:color="auto" w:fill="D9D9D9" w:themeFill="background1" w:themeFillShade="D9"/>
            <w:vAlign w:val="center"/>
          </w:tcPr>
          <w:p w14:paraId="785D79EC" w14:textId="25CE0E79" w:rsidR="00E547C8" w:rsidRPr="00463829" w:rsidRDefault="00E547C8" w:rsidP="00CE5BA9">
            <w:pPr>
              <w:spacing w:line="300" w:lineRule="auto"/>
            </w:pPr>
            <w:r w:rsidRPr="00463829">
              <w:t>Time from admission to completion of TEP (mean days)</w:t>
            </w:r>
            <w:r w:rsidR="00021C28">
              <w:t xml:space="preserve"> for new admissions</w:t>
            </w:r>
          </w:p>
        </w:tc>
        <w:tc>
          <w:tcPr>
            <w:tcW w:w="2552" w:type="dxa"/>
            <w:shd w:val="clear" w:color="auto" w:fill="auto"/>
            <w:vAlign w:val="center"/>
          </w:tcPr>
          <w:p w14:paraId="53BDE381" w14:textId="6E50BAD8" w:rsidR="00E547C8" w:rsidRPr="00463829" w:rsidRDefault="00E547C8" w:rsidP="00CE5BA9">
            <w:pPr>
              <w:spacing w:line="300" w:lineRule="auto"/>
              <w:jc w:val="center"/>
            </w:pPr>
            <w:r w:rsidRPr="00463829">
              <w:t>7.1</w:t>
            </w:r>
          </w:p>
        </w:tc>
        <w:tc>
          <w:tcPr>
            <w:tcW w:w="2693" w:type="dxa"/>
            <w:shd w:val="clear" w:color="auto" w:fill="auto"/>
            <w:vAlign w:val="center"/>
          </w:tcPr>
          <w:p w14:paraId="36CDC147" w14:textId="1CF005C0" w:rsidR="00E547C8" w:rsidRPr="00463829" w:rsidRDefault="00E547C8" w:rsidP="00CE5BA9">
            <w:pPr>
              <w:spacing w:line="300" w:lineRule="auto"/>
              <w:jc w:val="center"/>
            </w:pPr>
            <w:r w:rsidRPr="00463829">
              <w:t>3.2</w:t>
            </w:r>
          </w:p>
        </w:tc>
      </w:tr>
      <w:tr w:rsidR="00E547C8" w:rsidRPr="00463829" w14:paraId="73F60FEC" w14:textId="77777777" w:rsidTr="00AC228D">
        <w:trPr>
          <w:cantSplit/>
        </w:trPr>
        <w:tc>
          <w:tcPr>
            <w:tcW w:w="4106" w:type="dxa"/>
            <w:shd w:val="clear" w:color="auto" w:fill="D9D9D9" w:themeFill="background1" w:themeFillShade="D9"/>
            <w:vAlign w:val="center"/>
          </w:tcPr>
          <w:p w14:paraId="5B25C2F7" w14:textId="0D0B0520" w:rsidR="00E547C8" w:rsidRPr="00463829" w:rsidRDefault="00E547C8" w:rsidP="00CE5BA9">
            <w:pPr>
              <w:spacing w:line="300" w:lineRule="auto"/>
            </w:pPr>
            <w:r w:rsidRPr="00463829">
              <w:t xml:space="preserve">Who </w:t>
            </w:r>
            <w:r w:rsidR="00CE5BA9">
              <w:t>was consulted in decision making process</w:t>
            </w:r>
          </w:p>
        </w:tc>
        <w:tc>
          <w:tcPr>
            <w:tcW w:w="2552" w:type="dxa"/>
            <w:shd w:val="clear" w:color="auto" w:fill="auto"/>
            <w:vAlign w:val="center"/>
          </w:tcPr>
          <w:p w14:paraId="13999A72" w14:textId="426488E5" w:rsidR="00E547C8" w:rsidRPr="00463829" w:rsidRDefault="00E547C8" w:rsidP="00CE5BA9">
            <w:pPr>
              <w:spacing w:line="300" w:lineRule="auto"/>
              <w:jc w:val="center"/>
            </w:pPr>
            <w:r w:rsidRPr="00463829">
              <w:t>2 with patient</w:t>
            </w:r>
          </w:p>
          <w:p w14:paraId="06C6BA38" w14:textId="26D22B5A" w:rsidR="00E547C8" w:rsidRPr="00463829" w:rsidRDefault="00E547C8" w:rsidP="00CE5BA9">
            <w:pPr>
              <w:spacing w:line="300" w:lineRule="auto"/>
              <w:jc w:val="center"/>
            </w:pPr>
            <w:r w:rsidRPr="00463829">
              <w:t xml:space="preserve">17 with </w:t>
            </w:r>
            <w:r w:rsidR="00CE5BA9">
              <w:t>family</w:t>
            </w:r>
          </w:p>
          <w:p w14:paraId="10E2AFAB" w14:textId="4A62A8AD" w:rsidR="00E547C8" w:rsidRPr="00463829" w:rsidRDefault="00E547C8" w:rsidP="00CE5BA9">
            <w:pPr>
              <w:spacing w:line="300" w:lineRule="auto"/>
              <w:jc w:val="center"/>
            </w:pPr>
            <w:r w:rsidRPr="00463829">
              <w:t>1 neither</w:t>
            </w:r>
          </w:p>
        </w:tc>
        <w:tc>
          <w:tcPr>
            <w:tcW w:w="2693" w:type="dxa"/>
            <w:shd w:val="clear" w:color="auto" w:fill="auto"/>
            <w:vAlign w:val="center"/>
          </w:tcPr>
          <w:p w14:paraId="6379E4DF" w14:textId="45EDD4C1" w:rsidR="00E547C8" w:rsidRPr="00463829" w:rsidRDefault="00E547C8" w:rsidP="00CE5BA9">
            <w:pPr>
              <w:spacing w:line="300" w:lineRule="auto"/>
              <w:jc w:val="center"/>
            </w:pPr>
            <w:r w:rsidRPr="00463829">
              <w:t>3 with patient</w:t>
            </w:r>
          </w:p>
          <w:p w14:paraId="564E303A" w14:textId="6C7D1613" w:rsidR="00E547C8" w:rsidRPr="00463829" w:rsidRDefault="00E547C8" w:rsidP="00CE5BA9">
            <w:pPr>
              <w:spacing w:line="300" w:lineRule="auto"/>
              <w:jc w:val="center"/>
            </w:pPr>
            <w:r w:rsidRPr="00463829">
              <w:t xml:space="preserve">17 with </w:t>
            </w:r>
            <w:r w:rsidR="00CE5BA9">
              <w:t>family</w:t>
            </w:r>
          </w:p>
          <w:p w14:paraId="109D0C85" w14:textId="5007DD22" w:rsidR="00E547C8" w:rsidRPr="00463829" w:rsidRDefault="00E547C8" w:rsidP="00CE5BA9">
            <w:pPr>
              <w:spacing w:line="300" w:lineRule="auto"/>
              <w:jc w:val="center"/>
            </w:pPr>
            <w:r w:rsidRPr="00463829">
              <w:t>1 neither</w:t>
            </w:r>
          </w:p>
        </w:tc>
      </w:tr>
      <w:tr w:rsidR="00E547C8" w:rsidRPr="00463829" w14:paraId="23C11B74" w14:textId="77777777" w:rsidTr="00AC228D">
        <w:trPr>
          <w:cantSplit/>
        </w:trPr>
        <w:tc>
          <w:tcPr>
            <w:tcW w:w="4106" w:type="dxa"/>
            <w:shd w:val="clear" w:color="auto" w:fill="D9D9D9" w:themeFill="background1" w:themeFillShade="D9"/>
            <w:vAlign w:val="center"/>
          </w:tcPr>
          <w:p w14:paraId="41CDC71F" w14:textId="2CB99CE3" w:rsidR="00E547C8" w:rsidRPr="00463829" w:rsidRDefault="00CE0AA3" w:rsidP="00CE5BA9">
            <w:pPr>
              <w:spacing w:line="300" w:lineRule="auto"/>
            </w:pPr>
            <w:r w:rsidRPr="00463829">
              <w:t>Ceiling of care</w:t>
            </w:r>
            <w:r w:rsidR="00331BA0">
              <w:t xml:space="preserve"> stated</w:t>
            </w:r>
            <w:r w:rsidRPr="00463829">
              <w:t xml:space="preserve"> in</w:t>
            </w:r>
            <w:r w:rsidR="00E547C8" w:rsidRPr="00463829">
              <w:t xml:space="preserve"> TEP</w:t>
            </w:r>
          </w:p>
        </w:tc>
        <w:tc>
          <w:tcPr>
            <w:tcW w:w="2552" w:type="dxa"/>
            <w:shd w:val="clear" w:color="auto" w:fill="auto"/>
            <w:vAlign w:val="center"/>
          </w:tcPr>
          <w:p w14:paraId="18B699A3" w14:textId="58BB4634" w:rsidR="00E547C8" w:rsidRPr="00463829" w:rsidRDefault="00E547C8" w:rsidP="00CE5BA9">
            <w:pPr>
              <w:spacing w:line="300" w:lineRule="auto"/>
              <w:jc w:val="center"/>
            </w:pPr>
            <w:r w:rsidRPr="00463829">
              <w:t>18 full escalation</w:t>
            </w:r>
          </w:p>
          <w:p w14:paraId="0742DB27" w14:textId="77777777" w:rsidR="00E547C8" w:rsidRDefault="00E547C8" w:rsidP="00CE5BA9">
            <w:pPr>
              <w:spacing w:line="300" w:lineRule="auto"/>
              <w:jc w:val="center"/>
            </w:pPr>
            <w:r w:rsidRPr="00463829">
              <w:t>2 ward-based care</w:t>
            </w:r>
          </w:p>
          <w:p w14:paraId="3030C5BA" w14:textId="10266ED8" w:rsidR="003A688F" w:rsidRPr="00463829" w:rsidRDefault="003A688F" w:rsidP="00CE5BA9">
            <w:pPr>
              <w:spacing w:line="300" w:lineRule="auto"/>
              <w:jc w:val="center"/>
            </w:pPr>
            <w:r>
              <w:t>0 palliative care</w:t>
            </w:r>
          </w:p>
        </w:tc>
        <w:tc>
          <w:tcPr>
            <w:tcW w:w="2693" w:type="dxa"/>
            <w:shd w:val="clear" w:color="auto" w:fill="auto"/>
            <w:vAlign w:val="center"/>
          </w:tcPr>
          <w:p w14:paraId="5A1E3D4C" w14:textId="77777777" w:rsidR="00E547C8" w:rsidRPr="00463829" w:rsidRDefault="00E547C8" w:rsidP="00CE5BA9">
            <w:pPr>
              <w:spacing w:line="300" w:lineRule="auto"/>
              <w:jc w:val="center"/>
            </w:pPr>
            <w:r w:rsidRPr="00463829">
              <w:t>19 full escalation</w:t>
            </w:r>
          </w:p>
          <w:p w14:paraId="11A64AD0" w14:textId="77777777" w:rsidR="00E547C8" w:rsidRDefault="00E547C8" w:rsidP="00CE5BA9">
            <w:pPr>
              <w:spacing w:line="300" w:lineRule="auto"/>
              <w:jc w:val="center"/>
            </w:pPr>
            <w:r w:rsidRPr="00463829">
              <w:t>2 ward-based care</w:t>
            </w:r>
          </w:p>
          <w:p w14:paraId="55226673" w14:textId="3390D3EC" w:rsidR="003A688F" w:rsidRPr="00463829" w:rsidRDefault="003A688F" w:rsidP="00CE5BA9">
            <w:pPr>
              <w:spacing w:line="300" w:lineRule="auto"/>
              <w:jc w:val="center"/>
            </w:pPr>
            <w:r>
              <w:t>0 palliative care</w:t>
            </w:r>
          </w:p>
        </w:tc>
      </w:tr>
    </w:tbl>
    <w:p w14:paraId="1A5FF05D" w14:textId="1B8463B0" w:rsidR="00FA4B72" w:rsidRPr="00C16CB8" w:rsidRDefault="00A01709" w:rsidP="000A00F0">
      <w:pPr>
        <w:spacing w:before="240" w:after="120"/>
        <w:rPr>
          <w:bCs/>
          <w:u w:val="single"/>
        </w:rPr>
      </w:pPr>
      <w:r>
        <w:t xml:space="preserve">A questionnaire was distributed to different members of the MDT </w:t>
      </w:r>
      <w:r w:rsidR="00292D0F">
        <w:t>before</w:t>
      </w:r>
      <w:r w:rsidR="009B61F5">
        <w:t xml:space="preserve"> PDSA cycle 1 and after the </w:t>
      </w:r>
      <w:r w:rsidR="00292D0F">
        <w:t>TEP</w:t>
      </w:r>
      <w:r w:rsidR="009B61F5">
        <w:t xml:space="preserve"> proforma had been</w:t>
      </w:r>
      <w:r w:rsidR="00292D0F">
        <w:t xml:space="preserve"> implemented.</w:t>
      </w:r>
      <w:r w:rsidR="009B61F5">
        <w:t xml:space="preserve"> </w:t>
      </w:r>
      <w:r w:rsidR="00EB020B">
        <w:t>S</w:t>
      </w:r>
      <w:r w:rsidR="009B61F5">
        <w:t>taff reporting of understanding what a TEP is, comprehensiveness of TEP proformas and ease of location of a TEP decision were dramatically improved. A further questionnaire was distributed to patients/family members after PDSA cycle 2. This showed that the understanding of what a TEP was and the desire to have a TEP in place was very high amongst</w:t>
      </w:r>
      <w:r w:rsidR="004A1785">
        <w:t xml:space="preserve"> both</w:t>
      </w:r>
      <w:r w:rsidR="009B61F5">
        <w:t xml:space="preserve"> patients and their family members.</w:t>
      </w:r>
    </w:p>
    <w:p w14:paraId="066AAFBB" w14:textId="0049DFCA" w:rsidR="00C96057" w:rsidRDefault="00292D0F" w:rsidP="000A00F0">
      <w:pPr>
        <w:spacing w:before="240" w:after="120"/>
      </w:pPr>
      <w:r>
        <w:rPr>
          <w:b/>
        </w:rPr>
        <w:t>Lessons and Limitations</w:t>
      </w:r>
    </w:p>
    <w:p w14:paraId="355565DE" w14:textId="030EE9A3" w:rsidR="006F006D" w:rsidRDefault="00AA6E4F" w:rsidP="000A00F0">
      <w:pPr>
        <w:spacing w:before="240" w:after="120"/>
      </w:pPr>
      <w:r>
        <w:t>I</w:t>
      </w:r>
      <w:r w:rsidR="005513D0">
        <w:t xml:space="preserve">ntroducing a TEP proforma into patient admission clerking proformas drastically improved uptake of TEP decision making, with likely benefits to patients’ safety and care within our cohort. </w:t>
      </w:r>
      <w:r w:rsidR="006F006D">
        <w:t xml:space="preserve">Simply using the same TEP proforma as an acute general hospital </w:t>
      </w:r>
      <w:r w:rsidR="005513D0">
        <w:t>was</w:t>
      </w:r>
      <w:r w:rsidR="006F006D">
        <w:t xml:space="preserve"> not adequate to meet the needs of </w:t>
      </w:r>
      <w:r w:rsidR="003A688F">
        <w:t xml:space="preserve">an </w:t>
      </w:r>
      <w:r w:rsidR="006F006D">
        <w:t xml:space="preserve">Old Age Psychiatry inpatient </w:t>
      </w:r>
      <w:r w:rsidR="003A688F">
        <w:t>hospital</w:t>
      </w:r>
      <w:r w:rsidR="006F006D">
        <w:t xml:space="preserve">. Adaption </w:t>
      </w:r>
      <w:r w:rsidR="005513D0">
        <w:t>was</w:t>
      </w:r>
      <w:r w:rsidR="006F006D">
        <w:t xml:space="preserve"> required to allow for the differences in availability of medical interventions, but this </w:t>
      </w:r>
      <w:r w:rsidR="005513D0">
        <w:t>was</w:t>
      </w:r>
      <w:r w:rsidR="006F006D">
        <w:t xml:space="preserve"> relatively straightforward to accommodate.</w:t>
      </w:r>
    </w:p>
    <w:p w14:paraId="0F50224C" w14:textId="20B1B052" w:rsidR="006F006D" w:rsidRDefault="006F006D" w:rsidP="000A00F0">
      <w:pPr>
        <w:spacing w:before="240" w:after="120"/>
      </w:pPr>
      <w:r w:rsidRPr="008D0EC0">
        <w:t xml:space="preserve">Although the COVID-19 pandemic was the precipitant for this project, the importance of </w:t>
      </w:r>
      <w:r w:rsidR="003A688F" w:rsidRPr="008D0EC0">
        <w:t xml:space="preserve">having a </w:t>
      </w:r>
      <w:r w:rsidRPr="008D0EC0">
        <w:t xml:space="preserve">TEP in Old Age Psychiatry is clear. This is especially so on organic wards </w:t>
      </w:r>
      <w:r w:rsidR="00961577" w:rsidRPr="008D0EC0">
        <w:t>that</w:t>
      </w:r>
      <w:r w:rsidRPr="008D0EC0">
        <w:t xml:space="preserve"> host people with severe dementia, where escalation of treatment to an acute general hospital may not always be appropriate.</w:t>
      </w:r>
      <w:r w:rsidR="00961577" w:rsidRPr="008D0EC0">
        <w:t xml:space="preserve"> </w:t>
      </w:r>
      <w:bookmarkStart w:id="1" w:name="_Hlk87013384"/>
      <w:r w:rsidR="00961577" w:rsidRPr="008D0EC0">
        <w:t xml:space="preserve">One </w:t>
      </w:r>
      <w:r w:rsidR="00B1104B" w:rsidRPr="008D0EC0">
        <w:t xml:space="preserve">noteworthy </w:t>
      </w:r>
      <w:r w:rsidR="00961577" w:rsidRPr="008D0EC0">
        <w:t xml:space="preserve">study provided data regarding advance care planning of patients with severe dementia in a nursing home </w:t>
      </w:r>
      <w:r w:rsidR="00B1104B" w:rsidRPr="008D0EC0">
        <w:t>setting and</w:t>
      </w:r>
      <w:r w:rsidR="00961577" w:rsidRPr="008D0EC0">
        <w:t xml:space="preserve"> reported on implementation of a “Goals of Care” intervention, consisting of a video decision aid and structured care planning meeting for family decision makers, in a cluster randomised trial. The intervention was shown to be effective at enhancing palliative care plans and reducing transfers to acute hospitals</w:t>
      </w:r>
      <w:r w:rsidR="00B1104B" w:rsidRPr="008D0EC0">
        <w:t xml:space="preserve"> </w:t>
      </w:r>
      <w:r w:rsidR="00B1104B" w:rsidRPr="008D0EC0">
        <w:fldChar w:fldCharType="begin">
          <w:fldData xml:space="preserve">PEVuZE5vdGU+PENpdGU+PEF1dGhvcj5IYW5zb248L0F1dGhvcj48WWVhcj4yMDE3PC9ZZWFyPjxS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=
</w:fldData>
        </w:fldChar>
      </w:r>
      <w:r w:rsidR="00E5250A">
        <w:instrText xml:space="preserve"> ADDIN EN.CITE </w:instrText>
      </w:r>
      <w:r w:rsidR="00E5250A">
        <w:fldChar w:fldCharType="begin">
          <w:fldData xml:space="preserve">PEVuZE5vdGU+PENpdGU+PEF1dGhvcj5IYW5zb248L0F1dGhvcj48WWVhcj4yMDE3PC9ZZWFyPjxS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=
</w:fldData>
        </w:fldChar>
      </w:r>
      <w:r w:rsidR="00E5250A">
        <w:instrText xml:space="preserve"> ADDIN EN.CITE.DATA </w:instrText>
      </w:r>
      <w:r w:rsidR="00E5250A">
        <w:fldChar w:fldCharType="end"/>
      </w:r>
      <w:r w:rsidR="00B1104B" w:rsidRPr="008D0EC0">
        <w:fldChar w:fldCharType="separate"/>
      </w:r>
      <w:r w:rsidR="00E5250A">
        <w:rPr>
          <w:noProof/>
        </w:rPr>
        <w:t>[12]</w:t>
      </w:r>
      <w:r w:rsidR="00B1104B" w:rsidRPr="008D0EC0">
        <w:fldChar w:fldCharType="end"/>
      </w:r>
      <w:r w:rsidR="00961577" w:rsidRPr="008D0EC0">
        <w:t>. Discussions about ceiling of care</w:t>
      </w:r>
      <w:r w:rsidR="00B1104B" w:rsidRPr="008D0EC0">
        <w:t xml:space="preserve"> </w:t>
      </w:r>
      <w:r w:rsidR="00961577" w:rsidRPr="008D0EC0">
        <w:t xml:space="preserve">should </w:t>
      </w:r>
      <w:r w:rsidR="00B1104B" w:rsidRPr="008D0EC0">
        <w:t>form</w:t>
      </w:r>
      <w:r w:rsidR="00961577" w:rsidRPr="008D0EC0">
        <w:t xml:space="preserve"> part of standard clinical practice </w:t>
      </w:r>
      <w:r w:rsidR="00B1104B" w:rsidRPr="008D0EC0">
        <w:t>in any setting hosting people with severe dementia, including on</w:t>
      </w:r>
      <w:r w:rsidR="00961577" w:rsidRPr="008D0EC0">
        <w:t xml:space="preserve"> Old Age Psychiatry inpatient wards.</w:t>
      </w:r>
      <w:bookmarkEnd w:id="1"/>
    </w:p>
    <w:p w14:paraId="66E05C53" w14:textId="022867A8" w:rsidR="003D2AD5" w:rsidRPr="008D0EC0" w:rsidRDefault="003D2AD5" w:rsidP="003D2AD5">
      <w:pPr>
        <w:spacing w:before="240" w:after="120"/>
      </w:pPr>
      <w:r>
        <w:t xml:space="preserve">Our project revealed that most discussions when agreeing to a TEP were had with family members of patients rather than solely with patients themselves. </w:t>
      </w:r>
      <w:r w:rsidR="00534F9D">
        <w:t>This is likely to have been because m</w:t>
      </w:r>
      <w:r>
        <w:t>any of the patients on the organic dementia ward, and indeed the functional ward, did not have</w:t>
      </w:r>
      <w:r w:rsidR="007E3802">
        <w:t xml:space="preserve"> mental</w:t>
      </w:r>
      <w:r>
        <w:t xml:space="preserve"> capacity to make decisions regarding their TEP. Although many patients were still consulted for their views even if they lacked capacity, some patients with severe dementia were not able to express a</w:t>
      </w:r>
      <w:r w:rsidR="007E3802">
        <w:t xml:space="preserve"> preference</w:t>
      </w:r>
      <w:r>
        <w:t xml:space="preserve">. The COVID-19 pandemic generated significant anxiety in family members of patients, exacerbated by their inability to visit their loved ones. The discussion about an appropriate of ceiling of care is a difficult one, further complicated by the need to limit these discussions to telephone or video calls only. The use of information leaflets </w:t>
      </w:r>
      <w:r w:rsidRPr="008D0EC0">
        <w:t xml:space="preserve">for patients and relatives, as has previously been tested </w:t>
      </w:r>
      <w:r w:rsidRPr="008D0EC0">
        <w:fldChar w:fldCharType="begin"/>
      </w:r>
      <w:r w:rsidR="00E5250A">
        <w:instrText xml:space="preserve"> ADDIN EN.CITE &lt;EndNote&gt;&lt;Cite&gt;&lt;Author&gt;Sayma&lt;/Author&gt;&lt;Year&gt;2018&lt;/Year&gt;&lt;RecNum&gt;11&lt;/RecNum&gt;&lt;DisplayText&gt;[9]&lt;/DisplayText&gt;&lt;record&gt;&lt;rec-number&gt;11&lt;/rec-number&gt;&lt;foreign-keys&gt;&lt;key app="EN" db-id="95fspv95w9ere8eppw2pse9f9aa0x5ee0dw9" timestamp="1621602059"&gt;11&lt;/key&gt;&lt;/foreign-keys&gt;&lt;ref-type name="Journal Article"&gt;17&lt;/ref-type&gt;&lt;contributors&gt;&lt;authors&gt;&lt;author&gt;Sayma, Meelad&lt;/author&gt;&lt;author&gt;Nowell, George&lt;/author&gt;&lt;author&gt;O’Connor, Aedamar&lt;/author&gt;&lt;author&gt;Clark, Gemma&lt;/author&gt;&lt;author&gt;Gaukroger, Andrew&lt;/author&gt;&lt;author&gt;Proctor, Dominic&lt;/author&gt;&lt;author&gt;Walsh, Jamie&lt;/author&gt;&lt;author&gt;Rigney, Brian&lt;/author&gt;&lt;author&gt;Norman, Storm&lt;/author&gt;&lt;author&gt;Adedeji, Andrew&lt;/author&gt;&lt;author&gt;Wilson, David&lt;/author&gt;&lt;author&gt;O’hagan, Darren&lt;/author&gt;&lt;author&gt;Cook, Victoria&lt;/author&gt;&lt;author&gt;Carrington, Robbie&lt;/author&gt;&lt;author&gt;Sekaran, Preshgena&lt;/author&gt;&lt;author&gt;Wehbe, Maya&lt;/author&gt;&lt;author&gt;Paterson, Duncan&lt;/author&gt;&lt;author&gt;Welchman, Sophie&lt;/author&gt;&lt;author&gt;Over, Jay&lt;/author&gt;&lt;author&gt;Payne, Sheila&lt;/author&gt;&lt;/authors&gt;&lt;/contributors&gt;&lt;titles&gt;&lt;title&gt;Improving the use of treatment escalation plans: a quality-improvement study&lt;/title&gt;&lt;secondary-title&gt;Postgraduate Medical Journal&lt;/secondary-title&gt;&lt;/titles&gt;&lt;periodical&gt;&lt;full-title&gt;Postgraduate Medical Journal&lt;/full-title&gt;&lt;/periodical&gt;&lt;pages&gt;404-410&lt;/pages&gt;&lt;volume&gt;94&lt;/volume&gt;&lt;number&gt;1113&lt;/number&gt;&lt;dates&gt;&lt;year&gt;2018&lt;/year&gt;&lt;/dates&gt;&lt;urls&gt;&lt;related-urls&gt;&lt;url&gt;https://pmj.bmj.com/content/postgradmedj/94/1113/404.full.pdf&lt;/url&gt;&lt;/related-urls&gt;&lt;/urls&gt;&lt;electronic-resource-num&gt;10.1136/postgradmedj-2018-135699&lt;/electronic-resource-num&gt;&lt;/record&gt;&lt;/Cite&gt;&lt;/EndNote&gt;</w:instrText>
      </w:r>
      <w:r w:rsidRPr="008D0EC0">
        <w:fldChar w:fldCharType="separate"/>
      </w:r>
      <w:r w:rsidR="00E5250A">
        <w:rPr>
          <w:noProof/>
        </w:rPr>
        <w:t>[9]</w:t>
      </w:r>
      <w:r w:rsidRPr="008D0EC0">
        <w:fldChar w:fldCharType="end"/>
      </w:r>
      <w:r w:rsidRPr="008D0EC0">
        <w:t>, may help to prime for these discussions.</w:t>
      </w:r>
      <w:r w:rsidR="00DC3B87" w:rsidRPr="008D0EC0">
        <w:t xml:space="preserve"> Furthermore, it is important to remember that TEP decisions are not final and</w:t>
      </w:r>
      <w:r w:rsidR="00FD6C64" w:rsidRPr="008D0EC0">
        <w:t xml:space="preserve"> they</w:t>
      </w:r>
      <w:r w:rsidR="00DC3B87" w:rsidRPr="008D0EC0">
        <w:t xml:space="preserve"> should be periodically reviewed with patients and/or families, particularly if there are significant changes to the patient’s medical status.</w:t>
      </w:r>
    </w:p>
    <w:p w14:paraId="556A4917" w14:textId="0DF094FA" w:rsidR="002703A4" w:rsidRDefault="006F006D" w:rsidP="000A00F0">
      <w:pPr>
        <w:spacing w:before="240" w:after="120"/>
      </w:pPr>
      <w:r w:rsidRPr="008D0EC0">
        <w:t>One important limitation to this project was the lack of exploration of the downstream effects of</w:t>
      </w:r>
      <w:r>
        <w:t xml:space="preserve"> having more TEP</w:t>
      </w:r>
      <w:r w:rsidR="00B21F15">
        <w:t>s</w:t>
      </w:r>
      <w:r>
        <w:t xml:space="preserve"> in place. This study did not collect data on the number of transfers to the acute hospital, and whether these were appropriate. Analysis of cost savings of reduced inappropriate transfers would have been a powerful argument to support use of TEP. Additionally, feedback from </w:t>
      </w:r>
      <w:r w:rsidR="007E3802">
        <w:t>out-of-hours</w:t>
      </w:r>
      <w:r>
        <w:t xml:space="preserve"> medical and nursing staff on the accessibility and clarity of the TEP proforma would have allowed further refinement.</w:t>
      </w:r>
    </w:p>
    <w:p w14:paraId="4876ACF1" w14:textId="3BE32065" w:rsidR="009726D7" w:rsidRDefault="007E3802" w:rsidP="000A00F0">
      <w:pPr>
        <w:spacing w:before="240" w:after="120"/>
      </w:pPr>
      <w:r w:rsidRPr="007E3802">
        <w:t xml:space="preserve">An unexpected finding from this project was the relatively high proportion of patients whose TEP supported full escalation to the acute general hospital. Although some of these patients did not have multiple comorbidities and were physically well aside from their mental health disorder, upon reflection a significant proportion of the participants probably would not have benefited from escalation of treatment. There are several reasons why </w:t>
      </w:r>
      <w:r w:rsidR="009726D7">
        <w:t xml:space="preserve">our project observed such a high proportion of TEP that supported escalation of care to the acute hospital. </w:t>
      </w:r>
      <w:r w:rsidR="002C3B0B" w:rsidRPr="007E3802">
        <w:t>Firstly</w:t>
      </w:r>
      <w:r w:rsidR="007F5B05" w:rsidRPr="007E3802">
        <w:t xml:space="preserve">, the decision to </w:t>
      </w:r>
      <w:r w:rsidR="002C3B0B" w:rsidRPr="007E3802">
        <w:t>advocate for escalation of treatment</w:t>
      </w:r>
      <w:r w:rsidR="007F5B05" w:rsidRPr="007E3802">
        <w:t xml:space="preserve"> may have been influenced by anxiety in the nursing and allied healthcare team</w:t>
      </w:r>
      <w:r w:rsidR="002C3B0B" w:rsidRPr="007E3802">
        <w:t>,</w:t>
      </w:r>
      <w:r w:rsidR="007F5B05" w:rsidRPr="007E3802">
        <w:t xml:space="preserve"> who may not feel they have sufficient </w:t>
      </w:r>
      <w:r w:rsidR="00D756F1" w:rsidRPr="007E3802">
        <w:t xml:space="preserve">skills and confidence </w:t>
      </w:r>
      <w:r w:rsidR="007F5B05" w:rsidRPr="007E3802">
        <w:t xml:space="preserve">in managing deteriorating patients, including those at end-of-life. </w:t>
      </w:r>
      <w:r w:rsidR="002C3B0B" w:rsidRPr="007E3802">
        <w:t>Secondly</w:t>
      </w:r>
      <w:r w:rsidR="007F5B05" w:rsidRPr="007E3802">
        <w:t xml:space="preserve">, the largely remote mode of discussion during COVID-19 pandemic restrictions is likely to have affected the quality of discussion about </w:t>
      </w:r>
      <w:r w:rsidR="005D50F6">
        <w:t xml:space="preserve">benefits and drawbacks </w:t>
      </w:r>
      <w:r w:rsidR="007F5B05" w:rsidRPr="007E3802">
        <w:t xml:space="preserve">of escalation. </w:t>
      </w:r>
      <w:r w:rsidR="00F725F5" w:rsidRPr="007E3802">
        <w:t>Lastly, more junior medical staff may not have been confident enough</w:t>
      </w:r>
      <w:r w:rsidR="002C3B0B" w:rsidRPr="007E3802">
        <w:t>, or had the necessary support,</w:t>
      </w:r>
      <w:r w:rsidR="00F725F5" w:rsidRPr="007E3802">
        <w:t xml:space="preserve"> to undertake these discussions.</w:t>
      </w:r>
    </w:p>
    <w:p w14:paraId="5E182CC9" w14:textId="6FB76B20" w:rsidR="00B17A8E" w:rsidRDefault="007F5B05" w:rsidP="000A00F0">
      <w:pPr>
        <w:spacing w:before="240" w:after="120"/>
      </w:pPr>
      <w:r w:rsidRPr="007E3802">
        <w:t xml:space="preserve">The disproportionate number of patients who were for escalation is an important area that warrants further review. One possible area for improvement is to ensure adequate training for junior </w:t>
      </w:r>
      <w:r w:rsidR="00D756F1" w:rsidRPr="007E3802">
        <w:t xml:space="preserve">and senior </w:t>
      </w:r>
      <w:r w:rsidRPr="007E3802">
        <w:t>doctors</w:t>
      </w:r>
      <w:r w:rsidR="00811E87" w:rsidRPr="007E3802">
        <w:t xml:space="preserve"> in Psychiatry</w:t>
      </w:r>
      <w:r w:rsidRPr="007E3802">
        <w:t xml:space="preserve"> having </w:t>
      </w:r>
      <w:r w:rsidR="002C3B0B" w:rsidRPr="007E3802">
        <w:t xml:space="preserve">discussions about </w:t>
      </w:r>
      <w:r w:rsidRPr="007E3802">
        <w:t>ceiling of care, to ensure th</w:t>
      </w:r>
      <w:r w:rsidR="00D756F1" w:rsidRPr="007E3802">
        <w:t>eir practice is in line with local geriatricians.</w:t>
      </w:r>
      <w:r w:rsidR="009726D7">
        <w:t xml:space="preserve"> This may be possible through sessional GP or geriatrician input into the wards.</w:t>
      </w:r>
      <w:r w:rsidR="00D756F1" w:rsidRPr="007E3802">
        <w:t xml:space="preserve"> It may be that junior </w:t>
      </w:r>
      <w:r w:rsidR="00811E87" w:rsidRPr="007E3802">
        <w:t>P</w:t>
      </w:r>
      <w:r w:rsidR="00D756F1" w:rsidRPr="007E3802">
        <w:t xml:space="preserve">sychiatry doctors require </w:t>
      </w:r>
      <w:r w:rsidR="00811E87" w:rsidRPr="007E3802">
        <w:t xml:space="preserve">a greater consultant presence to </w:t>
      </w:r>
      <w:r w:rsidRPr="007E3802">
        <w:t>facilitate and answer questions</w:t>
      </w:r>
      <w:r w:rsidR="00811E87" w:rsidRPr="007E3802">
        <w:t xml:space="preserve"> </w:t>
      </w:r>
      <w:r w:rsidR="009726D7">
        <w:t xml:space="preserve">about TEP </w:t>
      </w:r>
      <w:r w:rsidR="00811E87" w:rsidRPr="007E3802">
        <w:t>with patients and families</w:t>
      </w:r>
      <w:r w:rsidRPr="007E3802">
        <w:t>.</w:t>
      </w:r>
      <w:r w:rsidR="00F725F5" w:rsidRPr="007E3802">
        <w:t xml:space="preserve"> In addition, good clinical practice dictates an early senior review for new admissions, allowing an opportunity for a consultant to lead on these discussions soon after admission.</w:t>
      </w:r>
      <w:r w:rsidR="005F5189" w:rsidRPr="007E3802">
        <w:t xml:space="preserve"> </w:t>
      </w:r>
      <w:r w:rsidR="009726D7">
        <w:t>It has been shown previously that</w:t>
      </w:r>
      <w:r w:rsidR="00572535" w:rsidRPr="007E3802">
        <w:t xml:space="preserve"> large numbers of hospital inpatients enter the last year of their lives following admission </w:t>
      </w:r>
      <w:r w:rsidR="00572535" w:rsidRPr="007E3802">
        <w:fldChar w:fldCharType="begin">
          <w:fldData xml:space="preserve">PEVuZE5vdGU+PENpdGU+PEF1dGhvcj5DbGFyazwvQXV0aG9yPjxZZWFyPjIwMTQ8L1llYXI+PFJl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=
</w:fldData>
        </w:fldChar>
      </w:r>
      <w:r w:rsidR="00E5250A">
        <w:instrText xml:space="preserve"> ADDIN EN.CITE </w:instrText>
      </w:r>
      <w:r w:rsidR="00E5250A">
        <w:fldChar w:fldCharType="begin">
          <w:fldData xml:space="preserve">PEVuZE5vdGU+PENpdGU+PEF1dGhvcj5DbGFyazwvQXV0aG9yPjxZZWFyPjIwMTQ8L1llYXI+PFJl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=
</w:fldData>
        </w:fldChar>
      </w:r>
      <w:r w:rsidR="00E5250A">
        <w:instrText xml:space="preserve"> ADDIN EN.CITE.DATA </w:instrText>
      </w:r>
      <w:r w:rsidR="00E5250A">
        <w:fldChar w:fldCharType="end"/>
      </w:r>
      <w:r w:rsidR="00572535" w:rsidRPr="007E3802">
        <w:fldChar w:fldCharType="separate"/>
      </w:r>
      <w:r w:rsidR="00E5250A">
        <w:rPr>
          <w:noProof/>
        </w:rPr>
        <w:t>[13]</w:t>
      </w:r>
      <w:r w:rsidR="00572535" w:rsidRPr="007E3802">
        <w:fldChar w:fldCharType="end"/>
      </w:r>
      <w:r w:rsidR="00572535" w:rsidRPr="007E3802">
        <w:t>. This may be even less</w:t>
      </w:r>
      <w:r w:rsidR="005F5189" w:rsidRPr="007E3802">
        <w:t xml:space="preserve"> adequately recognised in </w:t>
      </w:r>
      <w:r w:rsidR="00811E87" w:rsidRPr="007E3802">
        <w:t>P</w:t>
      </w:r>
      <w:r w:rsidR="005F5189" w:rsidRPr="007E3802">
        <w:t>sychiatry settings, impacting on escalations</w:t>
      </w:r>
      <w:r w:rsidR="00811E87" w:rsidRPr="007E3802">
        <w:t xml:space="preserve"> of treatment</w:t>
      </w:r>
      <w:r w:rsidR="005F5189" w:rsidRPr="007E3802">
        <w:t xml:space="preserve"> being too high in comparison to when </w:t>
      </w:r>
      <w:r w:rsidR="009726D7">
        <w:t xml:space="preserve">patients with dementia are </w:t>
      </w:r>
      <w:r w:rsidR="005F5189" w:rsidRPr="007E3802">
        <w:t>admitted to acute hospitals</w:t>
      </w:r>
      <w:r w:rsidR="00A53DF8" w:rsidRPr="007E3802">
        <w:t>.</w:t>
      </w:r>
      <w:r w:rsidR="005F5189" w:rsidRPr="00811E87">
        <w:t xml:space="preserve"> </w:t>
      </w:r>
    </w:p>
    <w:p w14:paraId="563D1CCE" w14:textId="12CF0BB9" w:rsidR="00DC3B87" w:rsidRPr="008D0EC0" w:rsidRDefault="00EF5946" w:rsidP="000A00F0">
      <w:pPr>
        <w:spacing w:before="240" w:after="120"/>
      </w:pPr>
      <w:r w:rsidRPr="00EF5946">
        <w:t>In the era of electronic patient records, it could be argued that the use of paper TEP proformas</w:t>
      </w:r>
      <w:r w:rsidR="002C3B0B">
        <w:t xml:space="preserve"> alone</w:t>
      </w:r>
      <w:r w:rsidRPr="00EF5946">
        <w:t xml:space="preserve"> is outdated. The implementation of TEP decisions on electronic patient records has been demonstrated in the NHS and is a development that we would support </w:t>
      </w:r>
      <w:r w:rsidRPr="00EF5946">
        <w:fldChar w:fldCharType="begin"/>
      </w:r>
      <w:r w:rsidR="00E5250A">
        <w:instrText xml:space="preserve"> ADDIN EN.CITE &lt;EndNote&gt;&lt;Cite&gt;&lt;Author&gt;Johnson&lt;/Author&gt;&lt;Year&gt;2017&lt;/Year&gt;&lt;RecNum&gt;8&lt;/RecNum&gt;&lt;DisplayText&gt;[14]&lt;/DisplayText&gt;&lt;record&gt;&lt;rec-number&gt;8&lt;/rec-number&gt;&lt;foreign-keys&gt;&lt;key app="EN" db-id="95fspv95w9ere8eppw2pse9f9aa0x5ee0dw9" timestamp="1621600167"&gt;8&lt;/key&gt;&lt;/foreign-keys&gt;&lt;ref-type name="Journal Article"&gt;17&lt;/ref-type&gt;&lt;contributors&gt;&lt;authors&gt;&lt;author&gt;Johnson, Mae&lt;/author&gt;&lt;author&gt;Whyte, Martin&lt;/author&gt;&lt;author&gt;Loveridge, Robert&lt;/author&gt;&lt;author&gt;Yorke, Richard&lt;/author&gt;&lt;author&gt;Naleem, Shairana&lt;/author&gt;&lt;/authors&gt;&lt;/contributors&gt;&lt;titles&gt;&lt;title&gt;A Unified Electronic Tool for CPR and Emergency Treatment Escalation Plans Improves Communication and Early Collaborative Decision Making for Acute Hospital Admissions&lt;/title&gt;&lt;secondary-title&gt;BMJ Quality Improvement Reports&lt;/secondary-title&gt;&lt;/titles&gt;&lt;periodical&gt;&lt;full-title&gt;BMJ Quality Improvement Reports&lt;/full-title&gt;&lt;/periodical&gt;&lt;pages&gt;u213254.w6626&lt;/pages&gt;&lt;volume&gt;6&lt;/volume&gt;&lt;number&gt;1&lt;/number&gt;&lt;dates&gt;&lt;year&gt;2017&lt;/year&gt;&lt;/dates&gt;&lt;urls&gt;&lt;related-urls&gt;&lt;url&gt;https://bmjopenquality.bmj.com/content/bmjqir/6/1/u213254.w6626.full.pdf&lt;/url&gt;&lt;/related-urls&gt;&lt;/urls&gt;&lt;electronic-resource-num&gt;10.1136/bmjquality.u213254.w6626&lt;/electronic-resource-num&gt;&lt;/record&gt;&lt;/Cite&gt;&lt;/EndNote&gt;</w:instrText>
      </w:r>
      <w:r w:rsidRPr="00EF5946">
        <w:fldChar w:fldCharType="separate"/>
      </w:r>
      <w:r w:rsidR="00E5250A">
        <w:rPr>
          <w:noProof/>
        </w:rPr>
        <w:t>[14]</w:t>
      </w:r>
      <w:r w:rsidRPr="00EF5946">
        <w:fldChar w:fldCharType="end"/>
      </w:r>
      <w:r w:rsidRPr="00EF5946">
        <w:t xml:space="preserve">. This would </w:t>
      </w:r>
      <w:r w:rsidR="00FB21D8" w:rsidRPr="00EF5946">
        <w:t>improve</w:t>
      </w:r>
      <w:r w:rsidRPr="00EF5946">
        <w:t xml:space="preserve"> </w:t>
      </w:r>
      <w:r w:rsidRPr="008D0EC0">
        <w:t xml:space="preserve">the accessibility of TEP proformas, especially important in Psychiatry where on-call </w:t>
      </w:r>
      <w:r w:rsidR="002C3B0B" w:rsidRPr="008D0EC0">
        <w:t>doctors</w:t>
      </w:r>
      <w:r w:rsidRPr="008D0EC0">
        <w:t xml:space="preserve"> are non-resident and therefore </w:t>
      </w:r>
      <w:r w:rsidR="002C3B0B" w:rsidRPr="008D0EC0">
        <w:t>out-of-hours</w:t>
      </w:r>
      <w:r w:rsidRPr="008D0EC0">
        <w:t xml:space="preserve"> staff may not have immediate access to paper records.</w:t>
      </w:r>
    </w:p>
    <w:p w14:paraId="765AC6D4" w14:textId="5DC9937E" w:rsidR="00DC3B87" w:rsidRDefault="00DC3B87" w:rsidP="000A00F0">
      <w:pPr>
        <w:spacing w:before="240" w:after="120"/>
      </w:pPr>
      <w:r w:rsidRPr="008D0EC0">
        <w:t xml:space="preserve">Our TEP proforma was designed to be tailored to the </w:t>
      </w:r>
      <w:r w:rsidR="00B01447" w:rsidRPr="008D0EC0">
        <w:t xml:space="preserve">range and </w:t>
      </w:r>
      <w:r w:rsidRPr="008D0EC0">
        <w:t xml:space="preserve">nature of treatment available at the Western Community Hospital. </w:t>
      </w:r>
      <w:r w:rsidR="00256C9F" w:rsidRPr="008D0EC0">
        <w:t>Therefore,</w:t>
      </w:r>
      <w:r w:rsidRPr="008D0EC0">
        <w:t xml:space="preserve"> if other settings are able to provide a different level of care, such as intravenous fluids, our TEP proforma would need to be adapted to each specific care setting. If our patients are transferred to </w:t>
      </w:r>
      <w:r w:rsidR="00B01447" w:rsidRPr="008D0EC0">
        <w:t>an</w:t>
      </w:r>
      <w:r w:rsidRPr="008D0EC0">
        <w:t xml:space="preserve"> acute general hospital then a new TEP proforma is completed, one that contains options including ward-based care versus escalation to intensive care. Similarly, if our patients are discharged from hospital to a nursing home then an adapted TEP proforma could be designed to complement locally used advance care planning documentation.</w:t>
      </w:r>
      <w:r>
        <w:t xml:space="preserve"> </w:t>
      </w:r>
    </w:p>
    <w:p w14:paraId="157CD8A8" w14:textId="62ADEAF7" w:rsidR="00904D72" w:rsidRDefault="00EF671B" w:rsidP="000A00F0">
      <w:pPr>
        <w:spacing w:before="240" w:after="120"/>
        <w:rPr>
          <w:b/>
        </w:rPr>
      </w:pPr>
      <w:r>
        <w:rPr>
          <w:b/>
        </w:rPr>
        <w:t>Conclusion</w:t>
      </w:r>
    </w:p>
    <w:p w14:paraId="4C3D7EB7" w14:textId="40701DCC" w:rsidR="00303A38" w:rsidRDefault="00904D72" w:rsidP="000A00F0">
      <w:pPr>
        <w:spacing w:before="240" w:after="120"/>
      </w:pPr>
      <w:r>
        <w:t>TEP</w:t>
      </w:r>
      <w:r w:rsidR="00114930">
        <w:t>s</w:t>
      </w:r>
      <w:r>
        <w:t xml:space="preserve"> play an important role in guiding clinical decision making. Our project demonstrates that TEP proformas can be successfully adapted and implemented on two Old Age Psychiatry</w:t>
      </w:r>
      <w:r w:rsidR="00A62D91">
        <w:t xml:space="preserve"> inpatient</w:t>
      </w:r>
      <w:r>
        <w:t xml:space="preserve"> wards. W</w:t>
      </w:r>
      <w:r w:rsidR="00303A38">
        <w:t>e</w:t>
      </w:r>
      <w:r>
        <w:t xml:space="preserve"> </w:t>
      </w:r>
      <w:r w:rsidR="000203A6">
        <w:t>exceeded our aim of having 80% of patients having a TEP proforma in place, and in fact achieved a completion rate of</w:t>
      </w:r>
      <w:r>
        <w:t xml:space="preserve"> </w:t>
      </w:r>
      <w:r w:rsidR="00250091">
        <w:t>100%</w:t>
      </w:r>
      <w:r w:rsidR="000203A6">
        <w:t>. We th</w:t>
      </w:r>
      <w:r w:rsidR="00250091">
        <w:t xml:space="preserve">ereby </w:t>
      </w:r>
      <w:r>
        <w:t xml:space="preserve">significantly </w:t>
      </w:r>
      <w:r w:rsidR="00250091">
        <w:t>reduc</w:t>
      </w:r>
      <w:r w:rsidR="000203A6">
        <w:t xml:space="preserve">ed </w:t>
      </w:r>
      <w:r w:rsidR="00250091">
        <w:t>ambiguity regarding ceiling of care</w:t>
      </w:r>
      <w:r w:rsidR="000203A6">
        <w:t xml:space="preserve"> decisions</w:t>
      </w:r>
      <w:r w:rsidR="00250091">
        <w:t xml:space="preserve"> for our patient group. We did however find that an unexpectedly </w:t>
      </w:r>
      <w:r w:rsidR="004328A0">
        <w:t>high</w:t>
      </w:r>
      <w:r w:rsidR="00250091">
        <w:t xml:space="preserve"> number of patients, </w:t>
      </w:r>
      <w:r w:rsidR="009726D7">
        <w:t>including</w:t>
      </w:r>
      <w:r w:rsidR="00250091">
        <w:t xml:space="preserve"> those with severe dementia, had a TEP that advocated transfer to the acute hospital. We conclude that whilst it is important to have a TEP in place, there must be sufficient training and support for those undertaking these discussions to enable the </w:t>
      </w:r>
      <w:r w:rsidR="004328A0">
        <w:t>most appropriate</w:t>
      </w:r>
      <w:r w:rsidR="00250091">
        <w:t xml:space="preserve"> ceiling of care to be agreed.</w:t>
      </w:r>
    </w:p>
    <w:p w14:paraId="270DCAAA" w14:textId="5E9358DE" w:rsidR="00904D72" w:rsidRPr="008D0EC0" w:rsidRDefault="00303A38" w:rsidP="000A00F0">
      <w:pPr>
        <w:spacing w:before="240" w:after="120"/>
      </w:pPr>
      <w:r>
        <w:t xml:space="preserve">We acknowledge that there is a pressing need for clarity on treatment escalation decisions across Old Age Psychiatry inpatient units, with no previous </w:t>
      </w:r>
      <w:r w:rsidR="00A62D91">
        <w:t xml:space="preserve">quality improvement </w:t>
      </w:r>
      <w:r>
        <w:t>project published in this field.</w:t>
      </w:r>
      <w:r w:rsidR="00904D72">
        <w:t xml:space="preserve"> The prevention of unnecessary admissions to acute general hospitals is likely to provide both a cost saving to the local healthcare economy but also enable the most appropriate care to be delivered to patients. However, to support Old Age Psychiatry wards to manage patients who are not for escalation, we postulate that enhanced training and staffing is required to support the medical assessment and management of these patients on Old Age Psychiatry wards. </w:t>
      </w:r>
      <w:r w:rsidR="00904D72" w:rsidRPr="00904D72">
        <w:t xml:space="preserve">Future projects could include </w:t>
      </w:r>
      <w:r w:rsidR="00904D72">
        <w:t xml:space="preserve">analysis of cost savings of preventing </w:t>
      </w:r>
      <w:r w:rsidR="00904D72" w:rsidRPr="008D0EC0">
        <w:t>inappropriate transfers to acute hospitals along with the impact of this on medical assessment and care on the Old Age Psychiatry wards.</w:t>
      </w:r>
    </w:p>
    <w:p w14:paraId="0B3108DF" w14:textId="11293B66" w:rsidR="00817AE0" w:rsidRDefault="00303A38" w:rsidP="000A00F0">
      <w:pPr>
        <w:spacing w:before="240" w:after="120"/>
      </w:pPr>
      <w:r w:rsidRPr="008D0EC0">
        <w:t>The project team ha</w:t>
      </w:r>
      <w:r w:rsidR="00250091" w:rsidRPr="008D0EC0">
        <w:t xml:space="preserve">ve begun to support other </w:t>
      </w:r>
      <w:r w:rsidR="00DE082A" w:rsidRPr="008D0EC0">
        <w:t>inpatient wards in</w:t>
      </w:r>
      <w:r w:rsidR="00250091" w:rsidRPr="008D0EC0">
        <w:t xml:space="preserve"> our </w:t>
      </w:r>
      <w:r w:rsidR="00793558" w:rsidRPr="008D0EC0">
        <w:t>healthcare</w:t>
      </w:r>
      <w:r w:rsidR="00250091" w:rsidRPr="008D0EC0">
        <w:t xml:space="preserve"> </w:t>
      </w:r>
      <w:r w:rsidR="00793558" w:rsidRPr="008D0EC0">
        <w:t>organisation</w:t>
      </w:r>
      <w:r w:rsidR="00250091" w:rsidRPr="008D0EC0">
        <w:t xml:space="preserve"> in rolling out our TEP proforma, with further refinement in the discussion and documentation process likely to be beneficial.</w:t>
      </w:r>
      <w:r w:rsidR="00904D72" w:rsidRPr="008D0EC0">
        <w:t xml:space="preserve"> </w:t>
      </w:r>
      <w:r w:rsidR="00DE082A" w:rsidRPr="008D0EC0">
        <w:t xml:space="preserve">We </w:t>
      </w:r>
      <w:r w:rsidR="00FD6C64" w:rsidRPr="008D0EC0">
        <w:t xml:space="preserve">now aim to have </w:t>
      </w:r>
      <w:r w:rsidR="00DE082A" w:rsidRPr="008D0EC0">
        <w:t xml:space="preserve">our TEP proforma adopted onto our electronic patient record system and accompanied by guidance on its use, which will improve the sustainability of our intervention. </w:t>
      </w:r>
      <w:r w:rsidR="00EC180F" w:rsidRPr="008D0EC0">
        <w:t>Widespread</w:t>
      </w:r>
      <w:r w:rsidR="00793558" w:rsidRPr="008D0EC0">
        <w:t xml:space="preserve"> a</w:t>
      </w:r>
      <w:r w:rsidR="00904D72" w:rsidRPr="008D0EC0">
        <w:t>doption of the TEP proforma will allow</w:t>
      </w:r>
      <w:r w:rsidR="00904D72">
        <w:t xml:space="preserve"> continuation of the work started by the project team</w:t>
      </w:r>
      <w:r w:rsidR="00EC180F">
        <w:t>, enabling</w:t>
      </w:r>
      <w:r w:rsidR="00F3572D">
        <w:t xml:space="preserve"> treating clinicians to access clear guidance about the ceiling of care for</w:t>
      </w:r>
      <w:r w:rsidR="00EC180F">
        <w:t xml:space="preserve"> older mental health inpatients.</w:t>
      </w:r>
      <w:r w:rsidR="00817AE0">
        <w:br w:type="page"/>
      </w:r>
    </w:p>
    <w:p w14:paraId="59471082" w14:textId="77777777" w:rsidR="00303A38" w:rsidRPr="00F22124" w:rsidRDefault="00303A38" w:rsidP="00303A38">
      <w:pPr>
        <w:jc w:val="both"/>
        <w:rPr>
          <w:b/>
        </w:rPr>
      </w:pPr>
      <w:r w:rsidRPr="00F22124">
        <w:rPr>
          <w:b/>
        </w:rPr>
        <w:t>References</w:t>
      </w:r>
    </w:p>
    <w:p w14:paraId="1651351A" w14:textId="77777777" w:rsidR="00303A38" w:rsidRDefault="00303A38" w:rsidP="00303A38">
      <w:pPr>
        <w:jc w:val="both"/>
        <w:rPr>
          <w:rFonts w:ascii="Calibri" w:eastAsia="Calibri" w:hAnsi="Calibri" w:cs="Calibri"/>
        </w:rPr>
      </w:pPr>
    </w:p>
    <w:p w14:paraId="3FB0E00B" w14:textId="77777777" w:rsidR="00E5250A" w:rsidRPr="00E5250A" w:rsidRDefault="00303A38" w:rsidP="00E5250A">
      <w:pPr>
        <w:pStyle w:val="EndNoteBibliography"/>
        <w:ind w:left="720" w:hanging="720"/>
      </w:pPr>
      <w:r>
        <w:rPr>
          <w:rFonts w:ascii="Calibri" w:eastAsia="Calibri" w:hAnsi="Calibri" w:cs="Calibri"/>
        </w:rPr>
        <w:fldChar w:fldCharType="begin"/>
      </w:r>
      <w:r>
        <w:rPr>
          <w:rFonts w:ascii="Calibri" w:eastAsia="Calibri" w:hAnsi="Calibri" w:cs="Calibri"/>
        </w:rPr>
        <w:instrText xml:space="preserve"> ADDIN EN.REFLIST </w:instrText>
      </w:r>
      <w:r>
        <w:rPr>
          <w:rFonts w:ascii="Calibri" w:eastAsia="Calibri" w:hAnsi="Calibri" w:cs="Calibri"/>
        </w:rPr>
        <w:fldChar w:fldCharType="separate"/>
      </w:r>
      <w:r w:rsidR="00E5250A" w:rsidRPr="00E5250A">
        <w:t>1.</w:t>
      </w:r>
      <w:r w:rsidR="00E5250A" w:rsidRPr="00E5250A">
        <w:tab/>
        <w:t xml:space="preserve">Obolensky, L., et al., </w:t>
      </w:r>
      <w:r w:rsidR="00E5250A" w:rsidRPr="00E5250A">
        <w:rPr>
          <w:i/>
        </w:rPr>
        <w:t>A patient and relative centred evaluation of treatment escalation plans: a replacement for the do-not-resuscitate process.</w:t>
      </w:r>
      <w:r w:rsidR="00E5250A" w:rsidRPr="00E5250A">
        <w:t xml:space="preserve"> J Med Ethics, 2010. </w:t>
      </w:r>
      <w:r w:rsidR="00E5250A" w:rsidRPr="00E5250A">
        <w:rPr>
          <w:b/>
        </w:rPr>
        <w:t>36</w:t>
      </w:r>
      <w:r w:rsidR="00E5250A" w:rsidRPr="00E5250A">
        <w:t>(9): p. 518-20.</w:t>
      </w:r>
    </w:p>
    <w:p w14:paraId="64780FAE" w14:textId="77777777" w:rsidR="00E5250A" w:rsidRPr="00E5250A" w:rsidRDefault="00E5250A" w:rsidP="00E5250A">
      <w:pPr>
        <w:pStyle w:val="EndNoteBibliography"/>
        <w:ind w:left="720" w:hanging="720"/>
      </w:pPr>
      <w:r w:rsidRPr="00E5250A">
        <w:t>2.</w:t>
      </w:r>
      <w:r w:rsidRPr="00E5250A">
        <w:tab/>
        <w:t xml:space="preserve">Paes, P. and C. O'Neill, </w:t>
      </w:r>
      <w:r w:rsidRPr="00E5250A">
        <w:rPr>
          <w:i/>
        </w:rPr>
        <w:t>Treatment escalation plans – a tool to aid end of life decision making?</w:t>
      </w:r>
      <w:r w:rsidRPr="00E5250A">
        <w:t xml:space="preserve"> BMJ Supportive &amp;amp; Palliative Care, 2012. </w:t>
      </w:r>
      <w:r w:rsidRPr="00E5250A">
        <w:rPr>
          <w:b/>
        </w:rPr>
        <w:t>2</w:t>
      </w:r>
      <w:r w:rsidRPr="00E5250A">
        <w:t>(Suppl 1): p. A60-A60.</w:t>
      </w:r>
    </w:p>
    <w:p w14:paraId="7B468460" w14:textId="77777777" w:rsidR="00E5250A" w:rsidRPr="00E5250A" w:rsidRDefault="00E5250A" w:rsidP="00E5250A">
      <w:pPr>
        <w:pStyle w:val="EndNoteBibliography"/>
        <w:ind w:left="720" w:hanging="720"/>
      </w:pPr>
      <w:r w:rsidRPr="00E5250A">
        <w:t>3.</w:t>
      </w:r>
      <w:r w:rsidRPr="00E5250A">
        <w:tab/>
        <w:t xml:space="preserve">Dartford &amp; Gravesham NHS Trust, </w:t>
      </w:r>
      <w:r w:rsidRPr="00E5250A">
        <w:rPr>
          <w:i/>
        </w:rPr>
        <w:t>Reducing mortality through improving care for 'acutely ill patients in hospital'</w:t>
      </w:r>
      <w:r w:rsidRPr="00E5250A">
        <w:t>. 2013.</w:t>
      </w:r>
    </w:p>
    <w:p w14:paraId="740FADB9" w14:textId="77777777" w:rsidR="00E5250A" w:rsidRPr="00E5250A" w:rsidRDefault="00E5250A" w:rsidP="00E5250A">
      <w:pPr>
        <w:pStyle w:val="EndNoteBibliography"/>
        <w:ind w:left="720" w:hanging="720"/>
      </w:pPr>
      <w:r w:rsidRPr="00E5250A">
        <w:t>4.</w:t>
      </w:r>
      <w:r w:rsidRPr="00E5250A">
        <w:tab/>
        <w:t xml:space="preserve">Stockdale, C., et al., </w:t>
      </w:r>
      <w:r w:rsidRPr="00E5250A">
        <w:rPr>
          <w:i/>
        </w:rPr>
        <w:t>Implementation of a combined Cardiopulmonary Resuscitation and Treatment Escalation Plan document in a District General Hospital.</w:t>
      </w:r>
      <w:r w:rsidRPr="00E5250A">
        <w:t xml:space="preserve"> BMJ Qual Improv Rep, 2014. </w:t>
      </w:r>
      <w:r w:rsidRPr="00E5250A">
        <w:rPr>
          <w:b/>
        </w:rPr>
        <w:t>2</w:t>
      </w:r>
      <w:r w:rsidRPr="00E5250A">
        <w:t>(2).</w:t>
      </w:r>
    </w:p>
    <w:p w14:paraId="584B688E" w14:textId="77777777" w:rsidR="00E5250A" w:rsidRPr="00E5250A" w:rsidRDefault="00E5250A" w:rsidP="00E5250A">
      <w:pPr>
        <w:pStyle w:val="EndNoteBibliography"/>
        <w:ind w:left="720" w:hanging="720"/>
      </w:pPr>
      <w:r w:rsidRPr="00E5250A">
        <w:t>5.</w:t>
      </w:r>
      <w:r w:rsidRPr="00E5250A">
        <w:tab/>
        <w:t xml:space="preserve">Shermon, E., et al., </w:t>
      </w:r>
      <w:r w:rsidRPr="00E5250A">
        <w:rPr>
          <w:i/>
        </w:rPr>
        <w:t>Reducing DNACPR complaints to zero: designing and implementing a treatment escalation plan using quality improvement methodology.</w:t>
      </w:r>
      <w:r w:rsidRPr="00E5250A">
        <w:t xml:space="preserve"> BMJ Open Quality, 2017. </w:t>
      </w:r>
      <w:r w:rsidRPr="00E5250A">
        <w:rPr>
          <w:b/>
        </w:rPr>
        <w:t>6</w:t>
      </w:r>
      <w:r w:rsidRPr="00E5250A">
        <w:t>(2): p. e000011.</w:t>
      </w:r>
    </w:p>
    <w:p w14:paraId="1E1B0FA2" w14:textId="77777777" w:rsidR="00E5250A" w:rsidRPr="00E5250A" w:rsidRDefault="00E5250A" w:rsidP="00E5250A">
      <w:pPr>
        <w:pStyle w:val="EndNoteBibliography"/>
        <w:ind w:left="720" w:hanging="720"/>
      </w:pPr>
      <w:r w:rsidRPr="00E5250A">
        <w:t>6.</w:t>
      </w:r>
      <w:r w:rsidRPr="00E5250A">
        <w:tab/>
        <w:t xml:space="preserve">Campling, N., et al., </w:t>
      </w:r>
      <w:r w:rsidRPr="00E5250A">
        <w:rPr>
          <w:i/>
        </w:rPr>
        <w:t>Escalation-related decision making in acute deterioration: a retrospective case note review.</w:t>
      </w:r>
      <w:r w:rsidRPr="00E5250A">
        <w:t xml:space="preserve"> BMJ Open, 2018. </w:t>
      </w:r>
      <w:r w:rsidRPr="00E5250A">
        <w:rPr>
          <w:b/>
        </w:rPr>
        <w:t>8</w:t>
      </w:r>
      <w:r w:rsidRPr="00E5250A">
        <w:t>(8): p. e022021.</w:t>
      </w:r>
    </w:p>
    <w:p w14:paraId="409DDC18" w14:textId="77777777" w:rsidR="00E5250A" w:rsidRPr="00E5250A" w:rsidRDefault="00E5250A" w:rsidP="00E5250A">
      <w:pPr>
        <w:pStyle w:val="EndNoteBibliography"/>
        <w:ind w:left="720" w:hanging="720"/>
      </w:pPr>
      <w:r w:rsidRPr="00E5250A">
        <w:t>7.</w:t>
      </w:r>
      <w:r w:rsidRPr="00E5250A">
        <w:tab/>
        <w:t xml:space="preserve">Zainal, T., et al., </w:t>
      </w:r>
      <w:r w:rsidRPr="00E5250A">
        <w:rPr>
          <w:i/>
        </w:rPr>
        <w:t>176New Proforma for DNAR and Treatment Escalation Plan (TEP) Improves Quality of Documentation in a Large Teaching Hospital.</w:t>
      </w:r>
      <w:r w:rsidRPr="00E5250A">
        <w:t xml:space="preserve"> Age and Ageing, 2018. </w:t>
      </w:r>
      <w:r w:rsidRPr="00E5250A">
        <w:rPr>
          <w:b/>
        </w:rPr>
        <w:t>47</w:t>
      </w:r>
      <w:r w:rsidRPr="00E5250A">
        <w:t>(suppl_5): p. v1-v12.</w:t>
      </w:r>
    </w:p>
    <w:p w14:paraId="77226659" w14:textId="77777777" w:rsidR="00E5250A" w:rsidRPr="00E5250A" w:rsidRDefault="00E5250A" w:rsidP="00E5250A">
      <w:pPr>
        <w:pStyle w:val="EndNoteBibliography"/>
        <w:ind w:left="720" w:hanging="720"/>
      </w:pPr>
      <w:r w:rsidRPr="00E5250A">
        <w:t>8.</w:t>
      </w:r>
      <w:r w:rsidRPr="00E5250A">
        <w:tab/>
        <w:t xml:space="preserve">Dahill, M., et al., </w:t>
      </w:r>
      <w:r w:rsidRPr="00E5250A">
        <w:rPr>
          <w:i/>
        </w:rPr>
        <w:t>Improving documentation of treatment escalation decisions in acute care.</w:t>
      </w:r>
      <w:r w:rsidRPr="00E5250A">
        <w:t xml:space="preserve"> BMJ Quality Improvement Reports, 2013. </w:t>
      </w:r>
      <w:r w:rsidRPr="00E5250A">
        <w:rPr>
          <w:b/>
        </w:rPr>
        <w:t>2</w:t>
      </w:r>
      <w:r w:rsidRPr="00E5250A">
        <w:t>(1): p. u200617.w1077.</w:t>
      </w:r>
    </w:p>
    <w:p w14:paraId="61D5BAD5" w14:textId="77777777" w:rsidR="00E5250A" w:rsidRPr="00E5250A" w:rsidRDefault="00E5250A" w:rsidP="00E5250A">
      <w:pPr>
        <w:pStyle w:val="EndNoteBibliography"/>
        <w:ind w:left="720" w:hanging="720"/>
      </w:pPr>
      <w:r w:rsidRPr="00E5250A">
        <w:t>9.</w:t>
      </w:r>
      <w:r w:rsidRPr="00E5250A">
        <w:tab/>
        <w:t xml:space="preserve">Sayma, M., et al., </w:t>
      </w:r>
      <w:r w:rsidRPr="00E5250A">
        <w:rPr>
          <w:i/>
        </w:rPr>
        <w:t>Improving the use of treatment escalation plans: a quality-improvement study.</w:t>
      </w:r>
      <w:r w:rsidRPr="00E5250A">
        <w:t xml:space="preserve"> Postgraduate Medical Journal, 2018. </w:t>
      </w:r>
      <w:r w:rsidRPr="00E5250A">
        <w:rPr>
          <w:b/>
        </w:rPr>
        <w:t>94</w:t>
      </w:r>
      <w:r w:rsidRPr="00E5250A">
        <w:t>(1113): p. 404-410.</w:t>
      </w:r>
    </w:p>
    <w:p w14:paraId="00C5A0EC" w14:textId="77777777" w:rsidR="00E5250A" w:rsidRPr="00E5250A" w:rsidRDefault="00E5250A" w:rsidP="00E5250A">
      <w:pPr>
        <w:pStyle w:val="EndNoteBibliography"/>
        <w:ind w:left="720" w:hanging="720"/>
      </w:pPr>
      <w:r w:rsidRPr="00E5250A">
        <w:t>10.</w:t>
      </w:r>
      <w:r w:rsidRPr="00E5250A">
        <w:tab/>
        <w:t xml:space="preserve">McIntosh, L., </w:t>
      </w:r>
      <w:r w:rsidRPr="00E5250A">
        <w:rPr>
          <w:i/>
        </w:rPr>
        <w:t>Can the COVID-19 crisis strengthen our treatment escalation planning and resuscitation decision making?</w:t>
      </w:r>
      <w:r w:rsidRPr="00E5250A">
        <w:t xml:space="preserve"> Age and ageing, 2020. </w:t>
      </w:r>
      <w:r w:rsidRPr="00E5250A">
        <w:rPr>
          <w:b/>
        </w:rPr>
        <w:t>49</w:t>
      </w:r>
      <w:r w:rsidRPr="00E5250A">
        <w:t>(4): p. 525-525.</w:t>
      </w:r>
    </w:p>
    <w:p w14:paraId="2FE7EA02" w14:textId="77777777" w:rsidR="00E5250A" w:rsidRPr="00E5250A" w:rsidRDefault="00E5250A" w:rsidP="00E5250A">
      <w:pPr>
        <w:pStyle w:val="EndNoteBibliography"/>
        <w:ind w:left="720" w:hanging="720"/>
      </w:pPr>
      <w:r w:rsidRPr="00E5250A">
        <w:t>11.</w:t>
      </w:r>
      <w:r w:rsidRPr="00E5250A">
        <w:tab/>
        <w:t xml:space="preserve">National Institute for Health and Care Excellence, </w:t>
      </w:r>
      <w:r w:rsidRPr="00E5250A">
        <w:rPr>
          <w:i/>
        </w:rPr>
        <w:t>COVID-19 rapid guideline: managing COVID-19</w:t>
      </w:r>
      <w:r w:rsidRPr="00E5250A">
        <w:t>. 2021.</w:t>
      </w:r>
    </w:p>
    <w:p w14:paraId="49B46A66" w14:textId="77777777" w:rsidR="00E5250A" w:rsidRPr="00E5250A" w:rsidRDefault="00E5250A" w:rsidP="00E5250A">
      <w:pPr>
        <w:pStyle w:val="EndNoteBibliography"/>
        <w:ind w:left="720" w:hanging="720"/>
      </w:pPr>
      <w:r w:rsidRPr="00E5250A">
        <w:t>12.</w:t>
      </w:r>
      <w:r w:rsidRPr="00E5250A">
        <w:tab/>
        <w:t xml:space="preserve">Hanson, L.C., et al., </w:t>
      </w:r>
      <w:r w:rsidRPr="00E5250A">
        <w:rPr>
          <w:i/>
        </w:rPr>
        <w:t>Effect of the Goals of Care Intervention for Advanced Dementia: A Randomized Clinical Trial.</w:t>
      </w:r>
      <w:r w:rsidRPr="00E5250A">
        <w:t xml:space="preserve"> JAMA internal medicine, 2017. </w:t>
      </w:r>
      <w:r w:rsidRPr="00E5250A">
        <w:rPr>
          <w:b/>
        </w:rPr>
        <w:t>177</w:t>
      </w:r>
      <w:r w:rsidRPr="00E5250A">
        <w:t>(1): p. 24-31.</w:t>
      </w:r>
    </w:p>
    <w:p w14:paraId="43B7B1A3" w14:textId="77777777" w:rsidR="00E5250A" w:rsidRPr="00E5250A" w:rsidRDefault="00E5250A" w:rsidP="00E5250A">
      <w:pPr>
        <w:pStyle w:val="EndNoteBibliography"/>
        <w:ind w:left="720" w:hanging="720"/>
      </w:pPr>
      <w:r w:rsidRPr="00E5250A">
        <w:t>13.</w:t>
      </w:r>
      <w:r w:rsidRPr="00E5250A">
        <w:tab/>
        <w:t xml:space="preserve">Clark, D., et al., </w:t>
      </w:r>
      <w:r w:rsidRPr="00E5250A">
        <w:rPr>
          <w:i/>
        </w:rPr>
        <w:t>Imminence of death among hospital inpatients: Prevalent cohort study.</w:t>
      </w:r>
      <w:r w:rsidRPr="00E5250A">
        <w:t xml:space="preserve"> Palliat Med, 2014. </w:t>
      </w:r>
      <w:r w:rsidRPr="00E5250A">
        <w:rPr>
          <w:b/>
        </w:rPr>
        <w:t>28</w:t>
      </w:r>
      <w:r w:rsidRPr="00E5250A">
        <w:t>(6): p. 474-479.</w:t>
      </w:r>
    </w:p>
    <w:p w14:paraId="0D1AA0BF" w14:textId="77777777" w:rsidR="00E5250A" w:rsidRPr="00E5250A" w:rsidRDefault="00E5250A" w:rsidP="00E5250A">
      <w:pPr>
        <w:pStyle w:val="EndNoteBibliography"/>
        <w:ind w:left="720" w:hanging="720"/>
      </w:pPr>
      <w:r w:rsidRPr="00E5250A">
        <w:t>14.</w:t>
      </w:r>
      <w:r w:rsidRPr="00E5250A">
        <w:tab/>
        <w:t xml:space="preserve">Johnson, M., et al., </w:t>
      </w:r>
      <w:r w:rsidRPr="00E5250A">
        <w:rPr>
          <w:i/>
        </w:rPr>
        <w:t>A Unified Electronic Tool for CPR and Emergency Treatment Escalation Plans Improves Communication and Early Collaborative Decision Making for Acute Hospital Admissions.</w:t>
      </w:r>
      <w:r w:rsidRPr="00E5250A">
        <w:t xml:space="preserve"> BMJ Quality Improvement Reports, 2017. </w:t>
      </w:r>
      <w:r w:rsidRPr="00E5250A">
        <w:rPr>
          <w:b/>
        </w:rPr>
        <w:t>6</w:t>
      </w:r>
      <w:r w:rsidRPr="00E5250A">
        <w:t>(1): p. u213254.w6626.</w:t>
      </w:r>
    </w:p>
    <w:p w14:paraId="703700AC" w14:textId="599A3CC8" w:rsidR="00846FC6" w:rsidRPr="00846FC6" w:rsidRDefault="00303A38" w:rsidP="006A37BE">
      <w:pPr>
        <w:jc w:val="both"/>
      </w:pPr>
      <w:r>
        <w:rPr>
          <w:rFonts w:ascii="Calibri" w:eastAsia="Calibri" w:hAnsi="Calibri" w:cs="Calibri"/>
        </w:rPr>
        <w:fldChar w:fldCharType="end"/>
      </w:r>
    </w:p>
    <w:sectPr w:rsidR="00846FC6" w:rsidRPr="00846FC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F693D" w14:textId="77777777" w:rsidR="001870FB" w:rsidRDefault="001870FB" w:rsidP="00CF7DF5">
      <w:pPr>
        <w:spacing w:line="240" w:lineRule="auto"/>
      </w:pPr>
      <w:r>
        <w:separator/>
      </w:r>
    </w:p>
  </w:endnote>
  <w:endnote w:type="continuationSeparator" w:id="0">
    <w:p w14:paraId="439812B5" w14:textId="77777777" w:rsidR="001870FB" w:rsidRDefault="001870FB" w:rsidP="00CF7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380836"/>
      <w:docPartObj>
        <w:docPartGallery w:val="Page Numbers (Bottom of Page)"/>
        <w:docPartUnique/>
      </w:docPartObj>
    </w:sdtPr>
    <w:sdtEndPr>
      <w:rPr>
        <w:noProof/>
      </w:rPr>
    </w:sdtEndPr>
    <w:sdtContent>
      <w:p w14:paraId="03C4C3CA" w14:textId="252AEA0B" w:rsidR="00C4461A" w:rsidRDefault="00C4461A">
        <w:pPr>
          <w:pStyle w:val="Footer"/>
          <w:jc w:val="right"/>
        </w:pPr>
        <w:r>
          <w:fldChar w:fldCharType="begin"/>
        </w:r>
        <w:r>
          <w:instrText xml:space="preserve"> PAGE   \* MERGEFORMAT </w:instrText>
        </w:r>
        <w:r>
          <w:fldChar w:fldCharType="separate"/>
        </w:r>
        <w:r w:rsidR="0014793A">
          <w:rPr>
            <w:noProof/>
          </w:rPr>
          <w:t>1</w:t>
        </w:r>
        <w:r>
          <w:rPr>
            <w:noProof/>
          </w:rPr>
          <w:fldChar w:fldCharType="end"/>
        </w:r>
      </w:p>
    </w:sdtContent>
  </w:sdt>
  <w:p w14:paraId="35C08355" w14:textId="77777777" w:rsidR="00C4461A" w:rsidRDefault="00C44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9EBFC" w14:textId="77777777" w:rsidR="001870FB" w:rsidRDefault="001870FB" w:rsidP="00CF7DF5">
      <w:pPr>
        <w:spacing w:line="240" w:lineRule="auto"/>
      </w:pPr>
      <w:r>
        <w:separator/>
      </w:r>
    </w:p>
  </w:footnote>
  <w:footnote w:type="continuationSeparator" w:id="0">
    <w:p w14:paraId="78561796" w14:textId="77777777" w:rsidR="001870FB" w:rsidRDefault="001870FB" w:rsidP="00CF7D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09"/>
    <w:multiLevelType w:val="multilevel"/>
    <w:tmpl w:val="F79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A6025"/>
    <w:multiLevelType w:val="multilevel"/>
    <w:tmpl w:val="573C32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57A33"/>
    <w:multiLevelType w:val="multilevel"/>
    <w:tmpl w:val="841C9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51A7A"/>
    <w:multiLevelType w:val="hybridMultilevel"/>
    <w:tmpl w:val="C93CB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613627"/>
    <w:multiLevelType w:val="multilevel"/>
    <w:tmpl w:val="65583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817473"/>
    <w:multiLevelType w:val="multilevel"/>
    <w:tmpl w:val="54E2E4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A06602"/>
    <w:multiLevelType w:val="hybridMultilevel"/>
    <w:tmpl w:val="28CC6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BA0320"/>
    <w:multiLevelType w:val="hybridMultilevel"/>
    <w:tmpl w:val="21CC11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A53679"/>
    <w:multiLevelType w:val="multilevel"/>
    <w:tmpl w:val="FCAAC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BD4626"/>
    <w:multiLevelType w:val="multilevel"/>
    <w:tmpl w:val="DE72371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3B7FFE"/>
    <w:multiLevelType w:val="multilevel"/>
    <w:tmpl w:val="276A606C"/>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793E2305"/>
    <w:multiLevelType w:val="multilevel"/>
    <w:tmpl w:val="76D06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1"/>
  </w:num>
  <w:num w:numId="3">
    <w:abstractNumId w:val="1"/>
  </w:num>
  <w:num w:numId="4">
    <w:abstractNumId w:val="2"/>
  </w:num>
  <w:num w:numId="5">
    <w:abstractNumId w:val="8"/>
  </w:num>
  <w:num w:numId="6">
    <w:abstractNumId w:val="7"/>
  </w:num>
  <w:num w:numId="7">
    <w:abstractNumId w:val="3"/>
  </w:num>
  <w:num w:numId="8">
    <w:abstractNumId w:val="6"/>
  </w:num>
  <w:num w:numId="9">
    <w:abstractNumId w:val="9"/>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fspv95w9ere8eppw2pse9f9aa0x5ee0dw9&quot;&gt;TEP EndNote Library&lt;record-ids&gt;&lt;item&gt;1&lt;/item&gt;&lt;item&gt;2&lt;/item&gt;&lt;item&gt;3&lt;/item&gt;&lt;item&gt;4&lt;/item&gt;&lt;item&gt;5&lt;/item&gt;&lt;item&gt;6&lt;/item&gt;&lt;item&gt;7&lt;/item&gt;&lt;item&gt;8&lt;/item&gt;&lt;item&gt;9&lt;/item&gt;&lt;item&gt;10&lt;/item&gt;&lt;item&gt;11&lt;/item&gt;&lt;item&gt;13&lt;/item&gt;&lt;item&gt;14&lt;/item&gt;&lt;item&gt;17&lt;/item&gt;&lt;/record-ids&gt;&lt;/item&gt;&lt;/Libraries&gt;"/>
  </w:docVars>
  <w:rsids>
    <w:rsidRoot w:val="001441FF"/>
    <w:rsid w:val="0000455E"/>
    <w:rsid w:val="00005D08"/>
    <w:rsid w:val="00006B43"/>
    <w:rsid w:val="0001075B"/>
    <w:rsid w:val="0001124E"/>
    <w:rsid w:val="0001132A"/>
    <w:rsid w:val="000132B8"/>
    <w:rsid w:val="000154AB"/>
    <w:rsid w:val="00017900"/>
    <w:rsid w:val="000203A6"/>
    <w:rsid w:val="00021C28"/>
    <w:rsid w:val="000257AC"/>
    <w:rsid w:val="00026506"/>
    <w:rsid w:val="000302B2"/>
    <w:rsid w:val="000371D6"/>
    <w:rsid w:val="0005420D"/>
    <w:rsid w:val="000608F3"/>
    <w:rsid w:val="000804B2"/>
    <w:rsid w:val="00085B7D"/>
    <w:rsid w:val="000861C5"/>
    <w:rsid w:val="0009452B"/>
    <w:rsid w:val="00094953"/>
    <w:rsid w:val="00097A53"/>
    <w:rsid w:val="000A00F0"/>
    <w:rsid w:val="000A0594"/>
    <w:rsid w:val="000A1C1C"/>
    <w:rsid w:val="000A593B"/>
    <w:rsid w:val="000B2545"/>
    <w:rsid w:val="000B44AC"/>
    <w:rsid w:val="000B72FD"/>
    <w:rsid w:val="000C0D97"/>
    <w:rsid w:val="000D1F97"/>
    <w:rsid w:val="000D2F8B"/>
    <w:rsid w:val="000E0012"/>
    <w:rsid w:val="000E6CDC"/>
    <w:rsid w:val="000F09A7"/>
    <w:rsid w:val="000F1280"/>
    <w:rsid w:val="00101FA9"/>
    <w:rsid w:val="00105CEB"/>
    <w:rsid w:val="00107D13"/>
    <w:rsid w:val="0011059A"/>
    <w:rsid w:val="00111E20"/>
    <w:rsid w:val="001125C1"/>
    <w:rsid w:val="00114930"/>
    <w:rsid w:val="00117B97"/>
    <w:rsid w:val="00122293"/>
    <w:rsid w:val="001254F0"/>
    <w:rsid w:val="00126AC6"/>
    <w:rsid w:val="001271F9"/>
    <w:rsid w:val="001441FF"/>
    <w:rsid w:val="001455B6"/>
    <w:rsid w:val="0014793A"/>
    <w:rsid w:val="0015039D"/>
    <w:rsid w:val="0015041E"/>
    <w:rsid w:val="00175760"/>
    <w:rsid w:val="00180792"/>
    <w:rsid w:val="001870FB"/>
    <w:rsid w:val="00194CCB"/>
    <w:rsid w:val="001A02E7"/>
    <w:rsid w:val="001B3D87"/>
    <w:rsid w:val="001C6833"/>
    <w:rsid w:val="001D7532"/>
    <w:rsid w:val="002018A8"/>
    <w:rsid w:val="0020541F"/>
    <w:rsid w:val="002101B2"/>
    <w:rsid w:val="002147BB"/>
    <w:rsid w:val="002148D7"/>
    <w:rsid w:val="002264F0"/>
    <w:rsid w:val="00243ED4"/>
    <w:rsid w:val="00250091"/>
    <w:rsid w:val="00256C9F"/>
    <w:rsid w:val="002703A4"/>
    <w:rsid w:val="00287A79"/>
    <w:rsid w:val="00292D0F"/>
    <w:rsid w:val="002A002D"/>
    <w:rsid w:val="002A3F5A"/>
    <w:rsid w:val="002B4EE7"/>
    <w:rsid w:val="002B6B53"/>
    <w:rsid w:val="002C1AA4"/>
    <w:rsid w:val="002C3B0B"/>
    <w:rsid w:val="002C6913"/>
    <w:rsid w:val="002D13C0"/>
    <w:rsid w:val="002F3DC5"/>
    <w:rsid w:val="002F500F"/>
    <w:rsid w:val="002F58D2"/>
    <w:rsid w:val="002F61CE"/>
    <w:rsid w:val="00303A38"/>
    <w:rsid w:val="00305E84"/>
    <w:rsid w:val="00307113"/>
    <w:rsid w:val="003171C0"/>
    <w:rsid w:val="003174A4"/>
    <w:rsid w:val="00320BB0"/>
    <w:rsid w:val="003230AE"/>
    <w:rsid w:val="00331BA0"/>
    <w:rsid w:val="00362247"/>
    <w:rsid w:val="00362752"/>
    <w:rsid w:val="003772D9"/>
    <w:rsid w:val="0038013D"/>
    <w:rsid w:val="0038155C"/>
    <w:rsid w:val="00387890"/>
    <w:rsid w:val="00395BB2"/>
    <w:rsid w:val="003A4BA0"/>
    <w:rsid w:val="003A688F"/>
    <w:rsid w:val="003B016C"/>
    <w:rsid w:val="003B43CE"/>
    <w:rsid w:val="003C032D"/>
    <w:rsid w:val="003C34DB"/>
    <w:rsid w:val="003D2AD5"/>
    <w:rsid w:val="003D2E77"/>
    <w:rsid w:val="003E0E37"/>
    <w:rsid w:val="003E5725"/>
    <w:rsid w:val="003E605D"/>
    <w:rsid w:val="003F032C"/>
    <w:rsid w:val="003F0E2C"/>
    <w:rsid w:val="003F3AE2"/>
    <w:rsid w:val="00410A2D"/>
    <w:rsid w:val="0041357C"/>
    <w:rsid w:val="00421E7D"/>
    <w:rsid w:val="004258AB"/>
    <w:rsid w:val="00430314"/>
    <w:rsid w:val="004328A0"/>
    <w:rsid w:val="00435A9A"/>
    <w:rsid w:val="00440BE3"/>
    <w:rsid w:val="004452CA"/>
    <w:rsid w:val="00450B72"/>
    <w:rsid w:val="0045197A"/>
    <w:rsid w:val="00463829"/>
    <w:rsid w:val="00465ABC"/>
    <w:rsid w:val="00466DA4"/>
    <w:rsid w:val="004711C4"/>
    <w:rsid w:val="004738A8"/>
    <w:rsid w:val="00473A55"/>
    <w:rsid w:val="00476A73"/>
    <w:rsid w:val="00477D51"/>
    <w:rsid w:val="0048070D"/>
    <w:rsid w:val="00486C2A"/>
    <w:rsid w:val="00495737"/>
    <w:rsid w:val="00495C3B"/>
    <w:rsid w:val="00496C84"/>
    <w:rsid w:val="0049730D"/>
    <w:rsid w:val="004A10AE"/>
    <w:rsid w:val="004A1785"/>
    <w:rsid w:val="004A3476"/>
    <w:rsid w:val="004A4CC0"/>
    <w:rsid w:val="004C3A3C"/>
    <w:rsid w:val="004C425A"/>
    <w:rsid w:val="004E07B5"/>
    <w:rsid w:val="004E1BE6"/>
    <w:rsid w:val="00506751"/>
    <w:rsid w:val="00513AB6"/>
    <w:rsid w:val="005236F3"/>
    <w:rsid w:val="00534F9D"/>
    <w:rsid w:val="00537A3C"/>
    <w:rsid w:val="00543DFB"/>
    <w:rsid w:val="005513D0"/>
    <w:rsid w:val="00553C89"/>
    <w:rsid w:val="00554498"/>
    <w:rsid w:val="0055721B"/>
    <w:rsid w:val="005618CC"/>
    <w:rsid w:val="00564F11"/>
    <w:rsid w:val="00572535"/>
    <w:rsid w:val="00585E54"/>
    <w:rsid w:val="005A7A0B"/>
    <w:rsid w:val="005B1C1B"/>
    <w:rsid w:val="005B1FB1"/>
    <w:rsid w:val="005B73B9"/>
    <w:rsid w:val="005C5173"/>
    <w:rsid w:val="005D001F"/>
    <w:rsid w:val="005D50F6"/>
    <w:rsid w:val="005E080B"/>
    <w:rsid w:val="005E0A56"/>
    <w:rsid w:val="005E1D71"/>
    <w:rsid w:val="005E4400"/>
    <w:rsid w:val="005F330F"/>
    <w:rsid w:val="005F5189"/>
    <w:rsid w:val="005F6C74"/>
    <w:rsid w:val="00603A9E"/>
    <w:rsid w:val="00606F3E"/>
    <w:rsid w:val="006129A4"/>
    <w:rsid w:val="00614EC9"/>
    <w:rsid w:val="006167FB"/>
    <w:rsid w:val="006227BF"/>
    <w:rsid w:val="00622EDF"/>
    <w:rsid w:val="00626DCE"/>
    <w:rsid w:val="00633FFB"/>
    <w:rsid w:val="00643850"/>
    <w:rsid w:val="006438AD"/>
    <w:rsid w:val="00655620"/>
    <w:rsid w:val="006601AB"/>
    <w:rsid w:val="00662288"/>
    <w:rsid w:val="006625B5"/>
    <w:rsid w:val="00662B9B"/>
    <w:rsid w:val="00693422"/>
    <w:rsid w:val="00695A24"/>
    <w:rsid w:val="00696E91"/>
    <w:rsid w:val="006A3128"/>
    <w:rsid w:val="006A37BE"/>
    <w:rsid w:val="006A46E6"/>
    <w:rsid w:val="006B1F76"/>
    <w:rsid w:val="006B37FA"/>
    <w:rsid w:val="006B5B7E"/>
    <w:rsid w:val="006B7D33"/>
    <w:rsid w:val="006C33A0"/>
    <w:rsid w:val="006D1F9B"/>
    <w:rsid w:val="006F006D"/>
    <w:rsid w:val="007305A1"/>
    <w:rsid w:val="0074114C"/>
    <w:rsid w:val="00743C52"/>
    <w:rsid w:val="00743DBC"/>
    <w:rsid w:val="00753FD7"/>
    <w:rsid w:val="007606E3"/>
    <w:rsid w:val="00760DEA"/>
    <w:rsid w:val="00773A0B"/>
    <w:rsid w:val="00774A6C"/>
    <w:rsid w:val="0077713F"/>
    <w:rsid w:val="00780308"/>
    <w:rsid w:val="0078488D"/>
    <w:rsid w:val="00793558"/>
    <w:rsid w:val="00793597"/>
    <w:rsid w:val="00794184"/>
    <w:rsid w:val="007A082E"/>
    <w:rsid w:val="007C2C9E"/>
    <w:rsid w:val="007D77D6"/>
    <w:rsid w:val="007E0138"/>
    <w:rsid w:val="007E3802"/>
    <w:rsid w:val="007F5B05"/>
    <w:rsid w:val="007F7DA1"/>
    <w:rsid w:val="00801B3B"/>
    <w:rsid w:val="00806A5A"/>
    <w:rsid w:val="00811E87"/>
    <w:rsid w:val="00815AD8"/>
    <w:rsid w:val="0081727B"/>
    <w:rsid w:val="00817AE0"/>
    <w:rsid w:val="0082258A"/>
    <w:rsid w:val="00824127"/>
    <w:rsid w:val="008255D4"/>
    <w:rsid w:val="008259DF"/>
    <w:rsid w:val="00825C72"/>
    <w:rsid w:val="00826417"/>
    <w:rsid w:val="00846FC6"/>
    <w:rsid w:val="00847877"/>
    <w:rsid w:val="00851ED1"/>
    <w:rsid w:val="00855EFE"/>
    <w:rsid w:val="00857FAE"/>
    <w:rsid w:val="008675E5"/>
    <w:rsid w:val="008739ED"/>
    <w:rsid w:val="00891352"/>
    <w:rsid w:val="00891807"/>
    <w:rsid w:val="008954B2"/>
    <w:rsid w:val="008A0604"/>
    <w:rsid w:val="008B79E4"/>
    <w:rsid w:val="008D0EC0"/>
    <w:rsid w:val="008D1FDE"/>
    <w:rsid w:val="008D4C3A"/>
    <w:rsid w:val="008D68C2"/>
    <w:rsid w:val="008E5D55"/>
    <w:rsid w:val="00903AC6"/>
    <w:rsid w:val="00904D72"/>
    <w:rsid w:val="00906BAD"/>
    <w:rsid w:val="00911BE1"/>
    <w:rsid w:val="00915D76"/>
    <w:rsid w:val="00920A8B"/>
    <w:rsid w:val="00920DBD"/>
    <w:rsid w:val="009220AC"/>
    <w:rsid w:val="00923906"/>
    <w:rsid w:val="00925C22"/>
    <w:rsid w:val="00940C8D"/>
    <w:rsid w:val="009454A4"/>
    <w:rsid w:val="00955DE2"/>
    <w:rsid w:val="00960A2C"/>
    <w:rsid w:val="00961577"/>
    <w:rsid w:val="00962863"/>
    <w:rsid w:val="009726D7"/>
    <w:rsid w:val="009818CC"/>
    <w:rsid w:val="0098551A"/>
    <w:rsid w:val="00993B38"/>
    <w:rsid w:val="00997CAC"/>
    <w:rsid w:val="009A21DC"/>
    <w:rsid w:val="009A3B2A"/>
    <w:rsid w:val="009B61F5"/>
    <w:rsid w:val="009C0B8C"/>
    <w:rsid w:val="009C3D09"/>
    <w:rsid w:val="009D0748"/>
    <w:rsid w:val="009D48B6"/>
    <w:rsid w:val="009E0E19"/>
    <w:rsid w:val="009F2CE6"/>
    <w:rsid w:val="00A00E01"/>
    <w:rsid w:val="00A01709"/>
    <w:rsid w:val="00A02E47"/>
    <w:rsid w:val="00A05E67"/>
    <w:rsid w:val="00A1312B"/>
    <w:rsid w:val="00A13DAC"/>
    <w:rsid w:val="00A243F1"/>
    <w:rsid w:val="00A248B2"/>
    <w:rsid w:val="00A30AEE"/>
    <w:rsid w:val="00A3458C"/>
    <w:rsid w:val="00A44D86"/>
    <w:rsid w:val="00A46699"/>
    <w:rsid w:val="00A53DF8"/>
    <w:rsid w:val="00A56FEB"/>
    <w:rsid w:val="00A579C3"/>
    <w:rsid w:val="00A62D91"/>
    <w:rsid w:val="00A633CB"/>
    <w:rsid w:val="00A63833"/>
    <w:rsid w:val="00A83AC9"/>
    <w:rsid w:val="00A859D1"/>
    <w:rsid w:val="00AA0F21"/>
    <w:rsid w:val="00AA2020"/>
    <w:rsid w:val="00AA6835"/>
    <w:rsid w:val="00AA6E4F"/>
    <w:rsid w:val="00AB6D86"/>
    <w:rsid w:val="00AC0DE1"/>
    <w:rsid w:val="00AC228D"/>
    <w:rsid w:val="00AC7CA6"/>
    <w:rsid w:val="00AD65DC"/>
    <w:rsid w:val="00AD7C28"/>
    <w:rsid w:val="00AE140A"/>
    <w:rsid w:val="00AE1513"/>
    <w:rsid w:val="00AE5390"/>
    <w:rsid w:val="00AF1073"/>
    <w:rsid w:val="00B01447"/>
    <w:rsid w:val="00B0371E"/>
    <w:rsid w:val="00B1104B"/>
    <w:rsid w:val="00B13537"/>
    <w:rsid w:val="00B15206"/>
    <w:rsid w:val="00B17A8E"/>
    <w:rsid w:val="00B20F6B"/>
    <w:rsid w:val="00B21F15"/>
    <w:rsid w:val="00B30E4C"/>
    <w:rsid w:val="00B37D29"/>
    <w:rsid w:val="00B61450"/>
    <w:rsid w:val="00B6162D"/>
    <w:rsid w:val="00B67AC2"/>
    <w:rsid w:val="00B67C43"/>
    <w:rsid w:val="00B7561B"/>
    <w:rsid w:val="00B8037E"/>
    <w:rsid w:val="00B8063D"/>
    <w:rsid w:val="00B807E7"/>
    <w:rsid w:val="00B847F0"/>
    <w:rsid w:val="00B84C8A"/>
    <w:rsid w:val="00B850D3"/>
    <w:rsid w:val="00B8668D"/>
    <w:rsid w:val="00B90A6D"/>
    <w:rsid w:val="00B925B4"/>
    <w:rsid w:val="00BC34A5"/>
    <w:rsid w:val="00BC40B9"/>
    <w:rsid w:val="00BC6710"/>
    <w:rsid w:val="00BD7E4C"/>
    <w:rsid w:val="00BE5FD5"/>
    <w:rsid w:val="00BF0A3B"/>
    <w:rsid w:val="00BF1DC6"/>
    <w:rsid w:val="00BF6AD6"/>
    <w:rsid w:val="00C05AD3"/>
    <w:rsid w:val="00C06548"/>
    <w:rsid w:val="00C16CB8"/>
    <w:rsid w:val="00C22F3E"/>
    <w:rsid w:val="00C23031"/>
    <w:rsid w:val="00C24A49"/>
    <w:rsid w:val="00C367C5"/>
    <w:rsid w:val="00C4461A"/>
    <w:rsid w:val="00C55C92"/>
    <w:rsid w:val="00C567A8"/>
    <w:rsid w:val="00C612FD"/>
    <w:rsid w:val="00C84CBC"/>
    <w:rsid w:val="00C8792D"/>
    <w:rsid w:val="00C96057"/>
    <w:rsid w:val="00CA2BAC"/>
    <w:rsid w:val="00CA633C"/>
    <w:rsid w:val="00CC4BC9"/>
    <w:rsid w:val="00CD4535"/>
    <w:rsid w:val="00CD4B45"/>
    <w:rsid w:val="00CE0AA3"/>
    <w:rsid w:val="00CE1BAB"/>
    <w:rsid w:val="00CE5BA9"/>
    <w:rsid w:val="00CF0B43"/>
    <w:rsid w:val="00CF121D"/>
    <w:rsid w:val="00CF4238"/>
    <w:rsid w:val="00CF5D13"/>
    <w:rsid w:val="00CF7DF5"/>
    <w:rsid w:val="00D00966"/>
    <w:rsid w:val="00D111B7"/>
    <w:rsid w:val="00D22705"/>
    <w:rsid w:val="00D255F9"/>
    <w:rsid w:val="00D263DC"/>
    <w:rsid w:val="00D30A8F"/>
    <w:rsid w:val="00D35618"/>
    <w:rsid w:val="00D41662"/>
    <w:rsid w:val="00D54B8D"/>
    <w:rsid w:val="00D56BAB"/>
    <w:rsid w:val="00D62D89"/>
    <w:rsid w:val="00D67EA1"/>
    <w:rsid w:val="00D7025D"/>
    <w:rsid w:val="00D72052"/>
    <w:rsid w:val="00D741F3"/>
    <w:rsid w:val="00D756F1"/>
    <w:rsid w:val="00D91E43"/>
    <w:rsid w:val="00D95A34"/>
    <w:rsid w:val="00D971C8"/>
    <w:rsid w:val="00DA777F"/>
    <w:rsid w:val="00DB21B2"/>
    <w:rsid w:val="00DB34CA"/>
    <w:rsid w:val="00DB5334"/>
    <w:rsid w:val="00DB6BD7"/>
    <w:rsid w:val="00DC3B87"/>
    <w:rsid w:val="00DC4272"/>
    <w:rsid w:val="00DD065A"/>
    <w:rsid w:val="00DD1ACD"/>
    <w:rsid w:val="00DD1CD3"/>
    <w:rsid w:val="00DD27BC"/>
    <w:rsid w:val="00DD56E4"/>
    <w:rsid w:val="00DE082A"/>
    <w:rsid w:val="00DE1E91"/>
    <w:rsid w:val="00DF3C4A"/>
    <w:rsid w:val="00E04047"/>
    <w:rsid w:val="00E06A16"/>
    <w:rsid w:val="00E206C4"/>
    <w:rsid w:val="00E20FCC"/>
    <w:rsid w:val="00E244A0"/>
    <w:rsid w:val="00E313FE"/>
    <w:rsid w:val="00E32179"/>
    <w:rsid w:val="00E36F89"/>
    <w:rsid w:val="00E4199B"/>
    <w:rsid w:val="00E47E14"/>
    <w:rsid w:val="00E5250A"/>
    <w:rsid w:val="00E547C8"/>
    <w:rsid w:val="00E55A06"/>
    <w:rsid w:val="00E668B2"/>
    <w:rsid w:val="00E678C8"/>
    <w:rsid w:val="00E75314"/>
    <w:rsid w:val="00E771ED"/>
    <w:rsid w:val="00E81AF6"/>
    <w:rsid w:val="00E837CF"/>
    <w:rsid w:val="00E875FF"/>
    <w:rsid w:val="00EA10A9"/>
    <w:rsid w:val="00EA2B34"/>
    <w:rsid w:val="00EA2B43"/>
    <w:rsid w:val="00EA35BA"/>
    <w:rsid w:val="00EB020B"/>
    <w:rsid w:val="00EB4E80"/>
    <w:rsid w:val="00EB5517"/>
    <w:rsid w:val="00EC180F"/>
    <w:rsid w:val="00EC452A"/>
    <w:rsid w:val="00ED1BB5"/>
    <w:rsid w:val="00ED3709"/>
    <w:rsid w:val="00EE6DD2"/>
    <w:rsid w:val="00EF5946"/>
    <w:rsid w:val="00EF671B"/>
    <w:rsid w:val="00EF7676"/>
    <w:rsid w:val="00F03A07"/>
    <w:rsid w:val="00F074B9"/>
    <w:rsid w:val="00F13539"/>
    <w:rsid w:val="00F1714C"/>
    <w:rsid w:val="00F21E70"/>
    <w:rsid w:val="00F22124"/>
    <w:rsid w:val="00F24823"/>
    <w:rsid w:val="00F3572D"/>
    <w:rsid w:val="00F50D0F"/>
    <w:rsid w:val="00F55462"/>
    <w:rsid w:val="00F560CB"/>
    <w:rsid w:val="00F66C8E"/>
    <w:rsid w:val="00F725F5"/>
    <w:rsid w:val="00F74C92"/>
    <w:rsid w:val="00F82344"/>
    <w:rsid w:val="00F84AE3"/>
    <w:rsid w:val="00F8599E"/>
    <w:rsid w:val="00F937DE"/>
    <w:rsid w:val="00FA4B72"/>
    <w:rsid w:val="00FB0481"/>
    <w:rsid w:val="00FB1321"/>
    <w:rsid w:val="00FB21D8"/>
    <w:rsid w:val="00FB2BC6"/>
    <w:rsid w:val="00FB58D7"/>
    <w:rsid w:val="00FC1B02"/>
    <w:rsid w:val="00FD6C64"/>
    <w:rsid w:val="00FE18A8"/>
    <w:rsid w:val="00FE345D"/>
    <w:rsid w:val="00FE62F1"/>
    <w:rsid w:val="00FE7441"/>
    <w:rsid w:val="00FF46B1"/>
    <w:rsid w:val="00FF4F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889686"/>
  <w15:docId w15:val="{7F33A814-B9F7-4A91-9EAF-F971C216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C1B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B02"/>
    <w:rPr>
      <w:rFonts w:ascii="Segoe UI" w:hAnsi="Segoe UI" w:cs="Segoe UI"/>
      <w:sz w:val="18"/>
      <w:szCs w:val="18"/>
    </w:rPr>
  </w:style>
  <w:style w:type="paragraph" w:styleId="ListParagraph">
    <w:name w:val="List Paragraph"/>
    <w:basedOn w:val="Normal"/>
    <w:uiPriority w:val="34"/>
    <w:qFormat/>
    <w:rsid w:val="00EF671B"/>
    <w:pPr>
      <w:ind w:left="720"/>
      <w:contextualSpacing/>
    </w:pPr>
  </w:style>
  <w:style w:type="paragraph" w:styleId="NormalWeb">
    <w:name w:val="Normal (Web)"/>
    <w:basedOn w:val="Normal"/>
    <w:uiPriority w:val="99"/>
    <w:semiHidden/>
    <w:unhideWhenUsed/>
    <w:rsid w:val="00915D7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C06548"/>
    <w:rPr>
      <w:b/>
      <w:bCs/>
    </w:rPr>
  </w:style>
  <w:style w:type="character" w:customStyle="1" w:styleId="CommentSubjectChar">
    <w:name w:val="Comment Subject Char"/>
    <w:basedOn w:val="CommentTextChar"/>
    <w:link w:val="CommentSubject"/>
    <w:uiPriority w:val="99"/>
    <w:semiHidden/>
    <w:rsid w:val="00C06548"/>
    <w:rPr>
      <w:b/>
      <w:bCs/>
      <w:sz w:val="20"/>
      <w:szCs w:val="20"/>
    </w:rPr>
  </w:style>
  <w:style w:type="character" w:styleId="Hyperlink">
    <w:name w:val="Hyperlink"/>
    <w:basedOn w:val="DefaultParagraphFont"/>
    <w:uiPriority w:val="99"/>
    <w:unhideWhenUsed/>
    <w:rsid w:val="00C06548"/>
    <w:rPr>
      <w:color w:val="0000FF" w:themeColor="hyperlink"/>
      <w:u w:val="single"/>
    </w:rPr>
  </w:style>
  <w:style w:type="character" w:customStyle="1" w:styleId="UnresolvedMention1">
    <w:name w:val="Unresolved Mention1"/>
    <w:basedOn w:val="DefaultParagraphFont"/>
    <w:uiPriority w:val="99"/>
    <w:semiHidden/>
    <w:unhideWhenUsed/>
    <w:rsid w:val="00C06548"/>
    <w:rPr>
      <w:color w:val="605E5C"/>
      <w:shd w:val="clear" w:color="auto" w:fill="E1DFDD"/>
    </w:rPr>
  </w:style>
  <w:style w:type="paragraph" w:styleId="Revision">
    <w:name w:val="Revision"/>
    <w:hidden/>
    <w:uiPriority w:val="99"/>
    <w:semiHidden/>
    <w:rsid w:val="00693422"/>
    <w:pPr>
      <w:spacing w:line="240" w:lineRule="auto"/>
    </w:pPr>
  </w:style>
  <w:style w:type="character" w:styleId="FollowedHyperlink">
    <w:name w:val="FollowedHyperlink"/>
    <w:basedOn w:val="DefaultParagraphFont"/>
    <w:uiPriority w:val="99"/>
    <w:semiHidden/>
    <w:unhideWhenUsed/>
    <w:rsid w:val="000608F3"/>
    <w:rPr>
      <w:color w:val="800080" w:themeColor="followedHyperlink"/>
      <w:u w:val="single"/>
    </w:rPr>
  </w:style>
  <w:style w:type="character" w:customStyle="1" w:styleId="highwire-citation-authors">
    <w:name w:val="highwire-citation-authors"/>
    <w:basedOn w:val="DefaultParagraphFont"/>
    <w:rsid w:val="00CF0B43"/>
  </w:style>
  <w:style w:type="character" w:customStyle="1" w:styleId="highwire-citation-author">
    <w:name w:val="highwire-citation-author"/>
    <w:basedOn w:val="DefaultParagraphFont"/>
    <w:rsid w:val="00CF0B43"/>
  </w:style>
  <w:style w:type="character" w:customStyle="1" w:styleId="nlm-surname">
    <w:name w:val="nlm-surname"/>
    <w:basedOn w:val="DefaultParagraphFont"/>
    <w:rsid w:val="00CF0B43"/>
  </w:style>
  <w:style w:type="character" w:customStyle="1" w:styleId="citation-et">
    <w:name w:val="citation-et"/>
    <w:basedOn w:val="DefaultParagraphFont"/>
    <w:rsid w:val="00CF0B43"/>
  </w:style>
  <w:style w:type="character" w:customStyle="1" w:styleId="highwire-cite-metadata-journal">
    <w:name w:val="highwire-cite-metadata-journal"/>
    <w:basedOn w:val="DefaultParagraphFont"/>
    <w:rsid w:val="00CF0B43"/>
  </w:style>
  <w:style w:type="character" w:customStyle="1" w:styleId="highwire-cite-metadata-year">
    <w:name w:val="highwire-cite-metadata-year"/>
    <w:basedOn w:val="DefaultParagraphFont"/>
    <w:rsid w:val="00CF0B43"/>
  </w:style>
  <w:style w:type="character" w:customStyle="1" w:styleId="highwire-cite-metadata-volume">
    <w:name w:val="highwire-cite-metadata-volume"/>
    <w:basedOn w:val="DefaultParagraphFont"/>
    <w:rsid w:val="00CF0B43"/>
  </w:style>
  <w:style w:type="character" w:customStyle="1" w:styleId="highwire-cite-metadata-elocation-id">
    <w:name w:val="highwire-cite-metadata-elocation-id"/>
    <w:basedOn w:val="DefaultParagraphFont"/>
    <w:rsid w:val="00CF0B43"/>
  </w:style>
  <w:style w:type="character" w:customStyle="1" w:styleId="highwire-cite-metadata-doi">
    <w:name w:val="highwire-cite-metadata-doi"/>
    <w:basedOn w:val="DefaultParagraphFont"/>
    <w:rsid w:val="00CF0B43"/>
  </w:style>
  <w:style w:type="character" w:customStyle="1" w:styleId="label">
    <w:name w:val="label"/>
    <w:basedOn w:val="DefaultParagraphFont"/>
    <w:rsid w:val="00CF0B43"/>
  </w:style>
  <w:style w:type="character" w:customStyle="1" w:styleId="highwire-cite-metadata-pages">
    <w:name w:val="highwire-cite-metadata-pages"/>
    <w:basedOn w:val="DefaultParagraphFont"/>
    <w:rsid w:val="00AE140A"/>
  </w:style>
  <w:style w:type="character" w:customStyle="1" w:styleId="UnresolvedMention">
    <w:name w:val="Unresolved Mention"/>
    <w:basedOn w:val="DefaultParagraphFont"/>
    <w:uiPriority w:val="99"/>
    <w:semiHidden/>
    <w:unhideWhenUsed/>
    <w:rsid w:val="005B73B9"/>
    <w:rPr>
      <w:color w:val="605E5C"/>
      <w:shd w:val="clear" w:color="auto" w:fill="E1DFDD"/>
    </w:rPr>
  </w:style>
  <w:style w:type="table" w:styleId="TableGrid">
    <w:name w:val="Table Grid"/>
    <w:basedOn w:val="TableNormal"/>
    <w:uiPriority w:val="39"/>
    <w:rsid w:val="00101F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7890"/>
    <w:rPr>
      <w:b/>
      <w:bCs/>
    </w:rPr>
  </w:style>
  <w:style w:type="paragraph" w:styleId="FootnoteText">
    <w:name w:val="footnote text"/>
    <w:basedOn w:val="Normal"/>
    <w:link w:val="FootnoteTextChar"/>
    <w:uiPriority w:val="99"/>
    <w:semiHidden/>
    <w:unhideWhenUsed/>
    <w:rsid w:val="00CF7DF5"/>
    <w:pPr>
      <w:spacing w:line="240" w:lineRule="auto"/>
    </w:pPr>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CF7DF5"/>
    <w:rPr>
      <w:rFonts w:asciiTheme="minorHAnsi" w:eastAsiaTheme="minorHAnsi" w:hAnsiTheme="minorHAnsi" w:cstheme="minorBidi"/>
      <w:sz w:val="20"/>
      <w:szCs w:val="20"/>
      <w:lang w:val="en-GB" w:eastAsia="en-US"/>
    </w:rPr>
  </w:style>
  <w:style w:type="character" w:styleId="FootnoteReference">
    <w:name w:val="footnote reference"/>
    <w:basedOn w:val="DefaultParagraphFont"/>
    <w:uiPriority w:val="99"/>
    <w:semiHidden/>
    <w:unhideWhenUsed/>
    <w:rsid w:val="00CF7DF5"/>
    <w:rPr>
      <w:vertAlign w:val="superscript"/>
    </w:rPr>
  </w:style>
  <w:style w:type="paragraph" w:styleId="EndnoteText">
    <w:name w:val="endnote text"/>
    <w:basedOn w:val="Normal"/>
    <w:link w:val="EndnoteTextChar"/>
    <w:uiPriority w:val="99"/>
    <w:semiHidden/>
    <w:unhideWhenUsed/>
    <w:rsid w:val="001254F0"/>
    <w:pPr>
      <w:spacing w:line="240" w:lineRule="auto"/>
    </w:pPr>
    <w:rPr>
      <w:sz w:val="20"/>
      <w:szCs w:val="20"/>
    </w:rPr>
  </w:style>
  <w:style w:type="character" w:customStyle="1" w:styleId="EndnoteTextChar">
    <w:name w:val="Endnote Text Char"/>
    <w:basedOn w:val="DefaultParagraphFont"/>
    <w:link w:val="EndnoteText"/>
    <w:uiPriority w:val="99"/>
    <w:semiHidden/>
    <w:rsid w:val="001254F0"/>
    <w:rPr>
      <w:sz w:val="20"/>
      <w:szCs w:val="20"/>
    </w:rPr>
  </w:style>
  <w:style w:type="character" w:styleId="EndnoteReference">
    <w:name w:val="endnote reference"/>
    <w:basedOn w:val="DefaultParagraphFont"/>
    <w:uiPriority w:val="99"/>
    <w:semiHidden/>
    <w:unhideWhenUsed/>
    <w:rsid w:val="001254F0"/>
    <w:rPr>
      <w:vertAlign w:val="superscript"/>
    </w:rPr>
  </w:style>
  <w:style w:type="paragraph" w:customStyle="1" w:styleId="EndNoteBibliographyTitle">
    <w:name w:val="EndNote Bibliography Title"/>
    <w:basedOn w:val="Normal"/>
    <w:link w:val="EndNoteBibliographyTitleChar"/>
    <w:rsid w:val="001254F0"/>
    <w:pPr>
      <w:jc w:val="center"/>
    </w:pPr>
    <w:rPr>
      <w:noProof/>
      <w:lang w:val="en-GB"/>
    </w:rPr>
  </w:style>
  <w:style w:type="character" w:customStyle="1" w:styleId="EndNoteBibliographyTitleChar">
    <w:name w:val="EndNote Bibliography Title Char"/>
    <w:basedOn w:val="DefaultParagraphFont"/>
    <w:link w:val="EndNoteBibliographyTitle"/>
    <w:rsid w:val="001254F0"/>
    <w:rPr>
      <w:noProof/>
      <w:lang w:val="en-GB"/>
    </w:rPr>
  </w:style>
  <w:style w:type="paragraph" w:customStyle="1" w:styleId="EndNoteBibliography">
    <w:name w:val="EndNote Bibliography"/>
    <w:basedOn w:val="Normal"/>
    <w:link w:val="EndNoteBibliographyChar"/>
    <w:rsid w:val="001254F0"/>
    <w:pPr>
      <w:spacing w:line="240" w:lineRule="auto"/>
      <w:jc w:val="both"/>
    </w:pPr>
    <w:rPr>
      <w:noProof/>
      <w:lang w:val="en-GB"/>
    </w:rPr>
  </w:style>
  <w:style w:type="character" w:customStyle="1" w:styleId="EndNoteBibliographyChar">
    <w:name w:val="EndNote Bibliography Char"/>
    <w:basedOn w:val="DefaultParagraphFont"/>
    <w:link w:val="EndNoteBibliography"/>
    <w:rsid w:val="001254F0"/>
    <w:rPr>
      <w:noProof/>
      <w:lang w:val="en-GB"/>
    </w:rPr>
  </w:style>
  <w:style w:type="character" w:customStyle="1" w:styleId="fn-label">
    <w:name w:val="fn-label"/>
    <w:basedOn w:val="DefaultParagraphFont"/>
    <w:rsid w:val="00DE1E91"/>
  </w:style>
  <w:style w:type="paragraph" w:styleId="Header">
    <w:name w:val="header"/>
    <w:basedOn w:val="Normal"/>
    <w:link w:val="HeaderChar"/>
    <w:uiPriority w:val="99"/>
    <w:unhideWhenUsed/>
    <w:rsid w:val="00C4461A"/>
    <w:pPr>
      <w:tabs>
        <w:tab w:val="center" w:pos="4513"/>
        <w:tab w:val="right" w:pos="9026"/>
      </w:tabs>
      <w:spacing w:line="240" w:lineRule="auto"/>
    </w:pPr>
  </w:style>
  <w:style w:type="character" w:customStyle="1" w:styleId="HeaderChar">
    <w:name w:val="Header Char"/>
    <w:basedOn w:val="DefaultParagraphFont"/>
    <w:link w:val="Header"/>
    <w:uiPriority w:val="99"/>
    <w:rsid w:val="00C4461A"/>
  </w:style>
  <w:style w:type="paragraph" w:styleId="Footer">
    <w:name w:val="footer"/>
    <w:basedOn w:val="Normal"/>
    <w:link w:val="FooterChar"/>
    <w:uiPriority w:val="99"/>
    <w:unhideWhenUsed/>
    <w:rsid w:val="00C4461A"/>
    <w:pPr>
      <w:tabs>
        <w:tab w:val="center" w:pos="4513"/>
        <w:tab w:val="right" w:pos="9026"/>
      </w:tabs>
      <w:spacing w:line="240" w:lineRule="auto"/>
    </w:pPr>
  </w:style>
  <w:style w:type="character" w:customStyle="1" w:styleId="FooterChar">
    <w:name w:val="Footer Char"/>
    <w:basedOn w:val="DefaultParagraphFont"/>
    <w:link w:val="Footer"/>
    <w:uiPriority w:val="99"/>
    <w:rsid w:val="00C4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8306">
      <w:bodyDiv w:val="1"/>
      <w:marLeft w:val="0"/>
      <w:marRight w:val="0"/>
      <w:marTop w:val="0"/>
      <w:marBottom w:val="0"/>
      <w:divBdr>
        <w:top w:val="none" w:sz="0" w:space="0" w:color="auto"/>
        <w:left w:val="none" w:sz="0" w:space="0" w:color="auto"/>
        <w:bottom w:val="none" w:sz="0" w:space="0" w:color="auto"/>
        <w:right w:val="none" w:sz="0" w:space="0" w:color="auto"/>
      </w:divBdr>
      <w:divsChild>
        <w:div w:id="687103629">
          <w:marLeft w:val="0"/>
          <w:marRight w:val="0"/>
          <w:marTop w:val="0"/>
          <w:marBottom w:val="0"/>
          <w:divBdr>
            <w:top w:val="none" w:sz="0" w:space="0" w:color="auto"/>
            <w:left w:val="none" w:sz="0" w:space="0" w:color="auto"/>
            <w:bottom w:val="none" w:sz="0" w:space="0" w:color="auto"/>
            <w:right w:val="none" w:sz="0" w:space="0" w:color="auto"/>
          </w:divBdr>
        </w:div>
        <w:div w:id="1562137492">
          <w:marLeft w:val="0"/>
          <w:marRight w:val="0"/>
          <w:marTop w:val="0"/>
          <w:marBottom w:val="0"/>
          <w:divBdr>
            <w:top w:val="none" w:sz="0" w:space="0" w:color="auto"/>
            <w:left w:val="none" w:sz="0" w:space="0" w:color="auto"/>
            <w:bottom w:val="none" w:sz="0" w:space="0" w:color="auto"/>
            <w:right w:val="none" w:sz="0" w:space="0" w:color="auto"/>
          </w:divBdr>
        </w:div>
        <w:div w:id="1952008250">
          <w:marLeft w:val="0"/>
          <w:marRight w:val="0"/>
          <w:marTop w:val="0"/>
          <w:marBottom w:val="0"/>
          <w:divBdr>
            <w:top w:val="none" w:sz="0" w:space="0" w:color="auto"/>
            <w:left w:val="none" w:sz="0" w:space="0" w:color="auto"/>
            <w:bottom w:val="none" w:sz="0" w:space="0" w:color="auto"/>
            <w:right w:val="none" w:sz="0" w:space="0" w:color="auto"/>
          </w:divBdr>
        </w:div>
      </w:divsChild>
    </w:div>
    <w:div w:id="314072657">
      <w:bodyDiv w:val="1"/>
      <w:marLeft w:val="0"/>
      <w:marRight w:val="0"/>
      <w:marTop w:val="0"/>
      <w:marBottom w:val="0"/>
      <w:divBdr>
        <w:top w:val="none" w:sz="0" w:space="0" w:color="auto"/>
        <w:left w:val="none" w:sz="0" w:space="0" w:color="auto"/>
        <w:bottom w:val="none" w:sz="0" w:space="0" w:color="auto"/>
        <w:right w:val="none" w:sz="0" w:space="0" w:color="auto"/>
      </w:divBdr>
    </w:div>
    <w:div w:id="653411164">
      <w:bodyDiv w:val="1"/>
      <w:marLeft w:val="0"/>
      <w:marRight w:val="0"/>
      <w:marTop w:val="0"/>
      <w:marBottom w:val="0"/>
      <w:divBdr>
        <w:top w:val="none" w:sz="0" w:space="0" w:color="auto"/>
        <w:left w:val="none" w:sz="0" w:space="0" w:color="auto"/>
        <w:bottom w:val="none" w:sz="0" w:space="0" w:color="auto"/>
        <w:right w:val="none" w:sz="0" w:space="0" w:color="auto"/>
      </w:divBdr>
    </w:div>
    <w:div w:id="656690592">
      <w:bodyDiv w:val="1"/>
      <w:marLeft w:val="0"/>
      <w:marRight w:val="0"/>
      <w:marTop w:val="0"/>
      <w:marBottom w:val="0"/>
      <w:divBdr>
        <w:top w:val="none" w:sz="0" w:space="0" w:color="auto"/>
        <w:left w:val="none" w:sz="0" w:space="0" w:color="auto"/>
        <w:bottom w:val="none" w:sz="0" w:space="0" w:color="auto"/>
        <w:right w:val="none" w:sz="0" w:space="0" w:color="auto"/>
      </w:divBdr>
    </w:div>
    <w:div w:id="676690481">
      <w:bodyDiv w:val="1"/>
      <w:marLeft w:val="0"/>
      <w:marRight w:val="0"/>
      <w:marTop w:val="0"/>
      <w:marBottom w:val="0"/>
      <w:divBdr>
        <w:top w:val="none" w:sz="0" w:space="0" w:color="auto"/>
        <w:left w:val="none" w:sz="0" w:space="0" w:color="auto"/>
        <w:bottom w:val="none" w:sz="0" w:space="0" w:color="auto"/>
        <w:right w:val="none" w:sz="0" w:space="0" w:color="auto"/>
      </w:divBdr>
    </w:div>
    <w:div w:id="763646620">
      <w:bodyDiv w:val="1"/>
      <w:marLeft w:val="0"/>
      <w:marRight w:val="0"/>
      <w:marTop w:val="0"/>
      <w:marBottom w:val="0"/>
      <w:divBdr>
        <w:top w:val="none" w:sz="0" w:space="0" w:color="auto"/>
        <w:left w:val="none" w:sz="0" w:space="0" w:color="auto"/>
        <w:bottom w:val="none" w:sz="0" w:space="0" w:color="auto"/>
        <w:right w:val="none" w:sz="0" w:space="0" w:color="auto"/>
      </w:divBdr>
    </w:div>
    <w:div w:id="940263752">
      <w:bodyDiv w:val="1"/>
      <w:marLeft w:val="0"/>
      <w:marRight w:val="0"/>
      <w:marTop w:val="0"/>
      <w:marBottom w:val="0"/>
      <w:divBdr>
        <w:top w:val="none" w:sz="0" w:space="0" w:color="auto"/>
        <w:left w:val="none" w:sz="0" w:space="0" w:color="auto"/>
        <w:bottom w:val="none" w:sz="0" w:space="0" w:color="auto"/>
        <w:right w:val="none" w:sz="0" w:space="0" w:color="auto"/>
      </w:divBdr>
      <w:divsChild>
        <w:div w:id="1036544801">
          <w:marLeft w:val="0"/>
          <w:marRight w:val="0"/>
          <w:marTop w:val="0"/>
          <w:marBottom w:val="0"/>
          <w:divBdr>
            <w:top w:val="none" w:sz="0" w:space="0" w:color="auto"/>
            <w:left w:val="none" w:sz="0" w:space="0" w:color="auto"/>
            <w:bottom w:val="none" w:sz="0" w:space="0" w:color="auto"/>
            <w:right w:val="none" w:sz="0" w:space="0" w:color="auto"/>
          </w:divBdr>
        </w:div>
        <w:div w:id="1911426007">
          <w:marLeft w:val="0"/>
          <w:marRight w:val="0"/>
          <w:marTop w:val="0"/>
          <w:marBottom w:val="0"/>
          <w:divBdr>
            <w:top w:val="none" w:sz="0" w:space="0" w:color="auto"/>
            <w:left w:val="none" w:sz="0" w:space="0" w:color="auto"/>
            <w:bottom w:val="none" w:sz="0" w:space="0" w:color="auto"/>
            <w:right w:val="none" w:sz="0" w:space="0" w:color="auto"/>
          </w:divBdr>
        </w:div>
        <w:div w:id="884754261">
          <w:marLeft w:val="0"/>
          <w:marRight w:val="0"/>
          <w:marTop w:val="0"/>
          <w:marBottom w:val="0"/>
          <w:divBdr>
            <w:top w:val="none" w:sz="0" w:space="0" w:color="auto"/>
            <w:left w:val="none" w:sz="0" w:space="0" w:color="auto"/>
            <w:bottom w:val="none" w:sz="0" w:space="0" w:color="auto"/>
            <w:right w:val="none" w:sz="0" w:space="0" w:color="auto"/>
          </w:divBdr>
        </w:div>
      </w:divsChild>
    </w:div>
    <w:div w:id="1115175221">
      <w:bodyDiv w:val="1"/>
      <w:marLeft w:val="0"/>
      <w:marRight w:val="0"/>
      <w:marTop w:val="0"/>
      <w:marBottom w:val="0"/>
      <w:divBdr>
        <w:top w:val="none" w:sz="0" w:space="0" w:color="auto"/>
        <w:left w:val="none" w:sz="0" w:space="0" w:color="auto"/>
        <w:bottom w:val="none" w:sz="0" w:space="0" w:color="auto"/>
        <w:right w:val="none" w:sz="0" w:space="0" w:color="auto"/>
      </w:divBdr>
    </w:div>
    <w:div w:id="1225337157">
      <w:bodyDiv w:val="1"/>
      <w:marLeft w:val="0"/>
      <w:marRight w:val="0"/>
      <w:marTop w:val="0"/>
      <w:marBottom w:val="0"/>
      <w:divBdr>
        <w:top w:val="none" w:sz="0" w:space="0" w:color="auto"/>
        <w:left w:val="none" w:sz="0" w:space="0" w:color="auto"/>
        <w:bottom w:val="none" w:sz="0" w:space="0" w:color="auto"/>
        <w:right w:val="none" w:sz="0" w:space="0" w:color="auto"/>
      </w:divBdr>
      <w:divsChild>
        <w:div w:id="1158696089">
          <w:marLeft w:val="0"/>
          <w:marRight w:val="0"/>
          <w:marTop w:val="0"/>
          <w:marBottom w:val="0"/>
          <w:divBdr>
            <w:top w:val="none" w:sz="0" w:space="0" w:color="auto"/>
            <w:left w:val="none" w:sz="0" w:space="0" w:color="auto"/>
            <w:bottom w:val="none" w:sz="0" w:space="0" w:color="auto"/>
            <w:right w:val="none" w:sz="0" w:space="0" w:color="auto"/>
          </w:divBdr>
        </w:div>
        <w:div w:id="515076943">
          <w:marLeft w:val="0"/>
          <w:marRight w:val="0"/>
          <w:marTop w:val="0"/>
          <w:marBottom w:val="0"/>
          <w:divBdr>
            <w:top w:val="none" w:sz="0" w:space="0" w:color="auto"/>
            <w:left w:val="none" w:sz="0" w:space="0" w:color="auto"/>
            <w:bottom w:val="none" w:sz="0" w:space="0" w:color="auto"/>
            <w:right w:val="none" w:sz="0" w:space="0" w:color="auto"/>
          </w:divBdr>
        </w:div>
        <w:div w:id="1350834143">
          <w:marLeft w:val="0"/>
          <w:marRight w:val="0"/>
          <w:marTop w:val="0"/>
          <w:marBottom w:val="0"/>
          <w:divBdr>
            <w:top w:val="none" w:sz="0" w:space="0" w:color="auto"/>
            <w:left w:val="none" w:sz="0" w:space="0" w:color="auto"/>
            <w:bottom w:val="none" w:sz="0" w:space="0" w:color="auto"/>
            <w:right w:val="none" w:sz="0" w:space="0" w:color="auto"/>
          </w:divBdr>
        </w:div>
      </w:divsChild>
    </w:div>
    <w:div w:id="1350526575">
      <w:bodyDiv w:val="1"/>
      <w:marLeft w:val="0"/>
      <w:marRight w:val="0"/>
      <w:marTop w:val="0"/>
      <w:marBottom w:val="0"/>
      <w:divBdr>
        <w:top w:val="none" w:sz="0" w:space="0" w:color="auto"/>
        <w:left w:val="none" w:sz="0" w:space="0" w:color="auto"/>
        <w:bottom w:val="none" w:sz="0" w:space="0" w:color="auto"/>
        <w:right w:val="none" w:sz="0" w:space="0" w:color="auto"/>
      </w:divBdr>
      <w:divsChild>
        <w:div w:id="888342009">
          <w:marLeft w:val="0"/>
          <w:marRight w:val="0"/>
          <w:marTop w:val="0"/>
          <w:marBottom w:val="0"/>
          <w:divBdr>
            <w:top w:val="none" w:sz="0" w:space="0" w:color="auto"/>
            <w:left w:val="none" w:sz="0" w:space="0" w:color="auto"/>
            <w:bottom w:val="none" w:sz="0" w:space="0" w:color="auto"/>
            <w:right w:val="none" w:sz="0" w:space="0" w:color="auto"/>
          </w:divBdr>
        </w:div>
        <w:div w:id="942807748">
          <w:marLeft w:val="0"/>
          <w:marRight w:val="0"/>
          <w:marTop w:val="0"/>
          <w:marBottom w:val="0"/>
          <w:divBdr>
            <w:top w:val="none" w:sz="0" w:space="0" w:color="auto"/>
            <w:left w:val="none" w:sz="0" w:space="0" w:color="auto"/>
            <w:bottom w:val="none" w:sz="0" w:space="0" w:color="auto"/>
            <w:right w:val="none" w:sz="0" w:space="0" w:color="auto"/>
          </w:divBdr>
        </w:div>
        <w:div w:id="1730762803">
          <w:marLeft w:val="0"/>
          <w:marRight w:val="0"/>
          <w:marTop w:val="0"/>
          <w:marBottom w:val="0"/>
          <w:divBdr>
            <w:top w:val="none" w:sz="0" w:space="0" w:color="auto"/>
            <w:left w:val="none" w:sz="0" w:space="0" w:color="auto"/>
            <w:bottom w:val="none" w:sz="0" w:space="0" w:color="auto"/>
            <w:right w:val="none" w:sz="0" w:space="0" w:color="auto"/>
          </w:divBdr>
        </w:div>
      </w:divsChild>
    </w:div>
    <w:div w:id="1373578971">
      <w:bodyDiv w:val="1"/>
      <w:marLeft w:val="0"/>
      <w:marRight w:val="0"/>
      <w:marTop w:val="0"/>
      <w:marBottom w:val="0"/>
      <w:divBdr>
        <w:top w:val="none" w:sz="0" w:space="0" w:color="auto"/>
        <w:left w:val="none" w:sz="0" w:space="0" w:color="auto"/>
        <w:bottom w:val="none" w:sz="0" w:space="0" w:color="auto"/>
        <w:right w:val="none" w:sz="0" w:space="0" w:color="auto"/>
      </w:divBdr>
    </w:div>
    <w:div w:id="1461462393">
      <w:bodyDiv w:val="1"/>
      <w:marLeft w:val="0"/>
      <w:marRight w:val="0"/>
      <w:marTop w:val="0"/>
      <w:marBottom w:val="0"/>
      <w:divBdr>
        <w:top w:val="none" w:sz="0" w:space="0" w:color="auto"/>
        <w:left w:val="none" w:sz="0" w:space="0" w:color="auto"/>
        <w:bottom w:val="none" w:sz="0" w:space="0" w:color="auto"/>
        <w:right w:val="none" w:sz="0" w:space="0" w:color="auto"/>
      </w:divBdr>
    </w:div>
    <w:div w:id="1461729051">
      <w:bodyDiv w:val="1"/>
      <w:marLeft w:val="0"/>
      <w:marRight w:val="0"/>
      <w:marTop w:val="0"/>
      <w:marBottom w:val="0"/>
      <w:divBdr>
        <w:top w:val="none" w:sz="0" w:space="0" w:color="auto"/>
        <w:left w:val="none" w:sz="0" w:space="0" w:color="auto"/>
        <w:bottom w:val="none" w:sz="0" w:space="0" w:color="auto"/>
        <w:right w:val="none" w:sz="0" w:space="0" w:color="auto"/>
      </w:divBdr>
    </w:div>
    <w:div w:id="1472482254">
      <w:bodyDiv w:val="1"/>
      <w:marLeft w:val="0"/>
      <w:marRight w:val="0"/>
      <w:marTop w:val="0"/>
      <w:marBottom w:val="0"/>
      <w:divBdr>
        <w:top w:val="none" w:sz="0" w:space="0" w:color="auto"/>
        <w:left w:val="none" w:sz="0" w:space="0" w:color="auto"/>
        <w:bottom w:val="none" w:sz="0" w:space="0" w:color="auto"/>
        <w:right w:val="none" w:sz="0" w:space="0" w:color="auto"/>
      </w:divBdr>
    </w:div>
    <w:div w:id="1495753981">
      <w:bodyDiv w:val="1"/>
      <w:marLeft w:val="0"/>
      <w:marRight w:val="0"/>
      <w:marTop w:val="0"/>
      <w:marBottom w:val="0"/>
      <w:divBdr>
        <w:top w:val="none" w:sz="0" w:space="0" w:color="auto"/>
        <w:left w:val="none" w:sz="0" w:space="0" w:color="auto"/>
        <w:bottom w:val="none" w:sz="0" w:space="0" w:color="auto"/>
        <w:right w:val="none" w:sz="0" w:space="0" w:color="auto"/>
      </w:divBdr>
      <w:divsChild>
        <w:div w:id="1708791969">
          <w:marLeft w:val="0"/>
          <w:marRight w:val="0"/>
          <w:marTop w:val="0"/>
          <w:marBottom w:val="0"/>
          <w:divBdr>
            <w:top w:val="none" w:sz="0" w:space="0" w:color="auto"/>
            <w:left w:val="none" w:sz="0" w:space="0" w:color="auto"/>
            <w:bottom w:val="none" w:sz="0" w:space="0" w:color="auto"/>
            <w:right w:val="none" w:sz="0" w:space="0" w:color="auto"/>
          </w:divBdr>
        </w:div>
        <w:div w:id="1841381987">
          <w:marLeft w:val="0"/>
          <w:marRight w:val="0"/>
          <w:marTop w:val="0"/>
          <w:marBottom w:val="0"/>
          <w:divBdr>
            <w:top w:val="none" w:sz="0" w:space="0" w:color="auto"/>
            <w:left w:val="none" w:sz="0" w:space="0" w:color="auto"/>
            <w:bottom w:val="none" w:sz="0" w:space="0" w:color="auto"/>
            <w:right w:val="none" w:sz="0" w:space="0" w:color="auto"/>
          </w:divBdr>
        </w:div>
        <w:div w:id="1648784174">
          <w:marLeft w:val="0"/>
          <w:marRight w:val="0"/>
          <w:marTop w:val="0"/>
          <w:marBottom w:val="0"/>
          <w:divBdr>
            <w:top w:val="none" w:sz="0" w:space="0" w:color="auto"/>
            <w:left w:val="none" w:sz="0" w:space="0" w:color="auto"/>
            <w:bottom w:val="none" w:sz="0" w:space="0" w:color="auto"/>
            <w:right w:val="none" w:sz="0" w:space="0" w:color="auto"/>
          </w:divBdr>
        </w:div>
      </w:divsChild>
    </w:div>
    <w:div w:id="1549802858">
      <w:bodyDiv w:val="1"/>
      <w:marLeft w:val="0"/>
      <w:marRight w:val="0"/>
      <w:marTop w:val="0"/>
      <w:marBottom w:val="0"/>
      <w:divBdr>
        <w:top w:val="none" w:sz="0" w:space="0" w:color="auto"/>
        <w:left w:val="none" w:sz="0" w:space="0" w:color="auto"/>
        <w:bottom w:val="none" w:sz="0" w:space="0" w:color="auto"/>
        <w:right w:val="none" w:sz="0" w:space="0" w:color="auto"/>
      </w:divBdr>
      <w:divsChild>
        <w:div w:id="431751731">
          <w:marLeft w:val="0"/>
          <w:marRight w:val="0"/>
          <w:marTop w:val="0"/>
          <w:marBottom w:val="0"/>
          <w:divBdr>
            <w:top w:val="none" w:sz="0" w:space="0" w:color="auto"/>
            <w:left w:val="none" w:sz="0" w:space="0" w:color="auto"/>
            <w:bottom w:val="none" w:sz="0" w:space="0" w:color="auto"/>
            <w:right w:val="none" w:sz="0" w:space="0" w:color="auto"/>
          </w:divBdr>
        </w:div>
        <w:div w:id="1973243665">
          <w:marLeft w:val="0"/>
          <w:marRight w:val="0"/>
          <w:marTop w:val="0"/>
          <w:marBottom w:val="0"/>
          <w:divBdr>
            <w:top w:val="none" w:sz="0" w:space="0" w:color="auto"/>
            <w:left w:val="none" w:sz="0" w:space="0" w:color="auto"/>
            <w:bottom w:val="none" w:sz="0" w:space="0" w:color="auto"/>
            <w:right w:val="none" w:sz="0" w:space="0" w:color="auto"/>
          </w:divBdr>
        </w:div>
        <w:div w:id="1767531693">
          <w:marLeft w:val="0"/>
          <w:marRight w:val="0"/>
          <w:marTop w:val="0"/>
          <w:marBottom w:val="0"/>
          <w:divBdr>
            <w:top w:val="none" w:sz="0" w:space="0" w:color="auto"/>
            <w:left w:val="none" w:sz="0" w:space="0" w:color="auto"/>
            <w:bottom w:val="none" w:sz="0" w:space="0" w:color="auto"/>
            <w:right w:val="none" w:sz="0" w:space="0" w:color="auto"/>
          </w:divBdr>
        </w:div>
      </w:divsChild>
    </w:div>
    <w:div w:id="1591700868">
      <w:bodyDiv w:val="1"/>
      <w:marLeft w:val="0"/>
      <w:marRight w:val="0"/>
      <w:marTop w:val="0"/>
      <w:marBottom w:val="0"/>
      <w:divBdr>
        <w:top w:val="none" w:sz="0" w:space="0" w:color="auto"/>
        <w:left w:val="none" w:sz="0" w:space="0" w:color="auto"/>
        <w:bottom w:val="none" w:sz="0" w:space="0" w:color="auto"/>
        <w:right w:val="none" w:sz="0" w:space="0" w:color="auto"/>
      </w:divBdr>
    </w:div>
    <w:div w:id="1993479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Bri21</b:Tag>
    <b:SourceType>InternetSite</b:SourceType>
    <b:Guid>{5158098E-437D-5F49-A8FB-735A7743691E}</b:Guid>
    <b:Title>Last 1000 Days</b:Title>
    <b:Year>2021</b:Year>
    <b:Author>
      <b:Author>
        <b:NameList>
          <b:Person>
            <b:Last>Dolan</b:Last>
            <b:First>Brian</b:First>
          </b:Person>
        </b:NameList>
      </b:Author>
    </b:Author>
    <b:InternetSiteTitle>Last 1000 Days</b:InternetSiteTitle>
    <b:URL>https://www.last1000days.com/</b:URL>
    <b:Month>June</b:Month>
    <b:Day>5</b:Day>
    <b:RefOrder>1</b:RefOrder>
  </b:Source>
</b:Sources>
</file>

<file path=customXml/itemProps1.xml><?xml version="1.0" encoding="utf-8"?>
<ds:datastoreItem xmlns:ds="http://schemas.openxmlformats.org/officeDocument/2006/customXml" ds:itemID="{2A75ED07-BB73-46EA-A002-A75C05E7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7043</Words>
  <Characters>40151</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47100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Makh, Sangeeta</dc:creator>
  <cp:lastModifiedBy>Mary Houston</cp:lastModifiedBy>
  <cp:revision>2</cp:revision>
  <dcterms:created xsi:type="dcterms:W3CDTF">2021-11-29T15:39:00Z</dcterms:created>
  <dcterms:modified xsi:type="dcterms:W3CDTF">2021-11-29T15:39:00Z</dcterms:modified>
</cp:coreProperties>
</file>